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68"/>
          <w:highlight w:val="none"/>
        </w:rPr>
      </w:pPr>
      <w:bookmarkStart w:id="0" w:name="_Toc282596244"/>
      <w:bookmarkStart w:id="1" w:name="_Toc372899806"/>
      <w:bookmarkStart w:id="2" w:name="_Toc394573877"/>
      <w:bookmarkStart w:id="3" w:name="_Toc283976480"/>
      <w:bookmarkStart w:id="4" w:name="_Toc237769237"/>
      <w:bookmarkStart w:id="5" w:name="_Toc321925366"/>
      <w:bookmarkStart w:id="6" w:name="_Toc288556230"/>
      <w:bookmarkStart w:id="7" w:name="_Toc372899683"/>
      <w:bookmarkStart w:id="8" w:name="_Toc283886189"/>
      <w:bookmarkStart w:id="9" w:name="_Toc228163222"/>
      <w:bookmarkStart w:id="10" w:name="_Toc237768773"/>
      <w:bookmarkStart w:id="11" w:name="_Toc152042286"/>
      <w:bookmarkStart w:id="12" w:name="_Toc144974478"/>
    </w:p>
    <w:bookmarkEnd w:id="0"/>
    <w:bookmarkEnd w:id="1"/>
    <w:bookmarkEnd w:id="2"/>
    <w:bookmarkEnd w:id="3"/>
    <w:bookmarkEnd w:id="4"/>
    <w:bookmarkEnd w:id="5"/>
    <w:bookmarkEnd w:id="6"/>
    <w:bookmarkEnd w:id="7"/>
    <w:bookmarkEnd w:id="8"/>
    <w:bookmarkEnd w:id="9"/>
    <w:bookmarkEnd w:id="10"/>
    <w:p>
      <w:pPr>
        <w:spacing w:line="480" w:lineRule="auto"/>
        <w:rPr>
          <w:bCs/>
          <w:color w:val="auto"/>
          <w:sz w:val="28"/>
          <w:highlight w:val="none"/>
        </w:rPr>
      </w:pPr>
    </w:p>
    <w:p>
      <w:pPr>
        <w:pStyle w:val="19"/>
        <w:ind w:firstLine="210"/>
        <w:rPr>
          <w:color w:val="auto"/>
          <w:highlight w:val="none"/>
        </w:rPr>
      </w:pPr>
    </w:p>
    <w:p>
      <w:pPr>
        <w:jc w:val="center"/>
        <w:rPr>
          <w:rFonts w:hint="eastAsia"/>
          <w:b/>
          <w:color w:val="auto"/>
          <w:sz w:val="72"/>
          <w:szCs w:val="72"/>
          <w:highlight w:val="none"/>
        </w:rPr>
      </w:pPr>
      <w:r>
        <w:rPr>
          <w:rFonts w:hint="eastAsia"/>
          <w:b/>
          <w:color w:val="auto"/>
          <w:sz w:val="72"/>
          <w:szCs w:val="72"/>
          <w:highlight w:val="none"/>
        </w:rPr>
        <w:t>台州湾新区小额工程</w:t>
      </w:r>
    </w:p>
    <w:p>
      <w:pPr>
        <w:jc w:val="center"/>
        <w:rPr>
          <w:color w:val="auto"/>
          <w:sz w:val="72"/>
          <w:szCs w:val="72"/>
          <w:highlight w:val="none"/>
        </w:rPr>
      </w:pPr>
      <w:r>
        <w:rPr>
          <w:rFonts w:hint="eastAsia"/>
          <w:b/>
          <w:color w:val="auto"/>
          <w:sz w:val="72"/>
          <w:szCs w:val="72"/>
          <w:highlight w:val="none"/>
        </w:rPr>
        <w:t>招</w:t>
      </w:r>
      <w:r>
        <w:rPr>
          <w:b/>
          <w:color w:val="auto"/>
          <w:sz w:val="72"/>
          <w:szCs w:val="72"/>
          <w:highlight w:val="none"/>
        </w:rPr>
        <w:t xml:space="preserve"> </w:t>
      </w:r>
      <w:r>
        <w:rPr>
          <w:rFonts w:hint="eastAsia"/>
          <w:b/>
          <w:color w:val="auto"/>
          <w:sz w:val="72"/>
          <w:szCs w:val="72"/>
          <w:highlight w:val="none"/>
        </w:rPr>
        <w:t>标</w:t>
      </w:r>
      <w:r>
        <w:rPr>
          <w:b/>
          <w:color w:val="auto"/>
          <w:sz w:val="72"/>
          <w:szCs w:val="72"/>
          <w:highlight w:val="none"/>
        </w:rPr>
        <w:t xml:space="preserve"> </w:t>
      </w:r>
      <w:r>
        <w:rPr>
          <w:rFonts w:hint="eastAsia"/>
          <w:b/>
          <w:color w:val="auto"/>
          <w:sz w:val="72"/>
          <w:szCs w:val="72"/>
          <w:highlight w:val="none"/>
        </w:rPr>
        <w:t>文</w:t>
      </w:r>
      <w:r>
        <w:rPr>
          <w:b/>
          <w:color w:val="auto"/>
          <w:sz w:val="72"/>
          <w:szCs w:val="72"/>
          <w:highlight w:val="none"/>
        </w:rPr>
        <w:t xml:space="preserve"> </w:t>
      </w:r>
      <w:r>
        <w:rPr>
          <w:rFonts w:hint="eastAsia"/>
          <w:b/>
          <w:color w:val="auto"/>
          <w:sz w:val="72"/>
          <w:szCs w:val="72"/>
          <w:highlight w:val="none"/>
        </w:rPr>
        <w:t>件</w:t>
      </w:r>
    </w:p>
    <w:p>
      <w:pPr>
        <w:pStyle w:val="19"/>
        <w:ind w:firstLine="540"/>
        <w:rPr>
          <w:color w:val="auto"/>
          <w:w w:val="150"/>
          <w:sz w:val="36"/>
          <w:highlight w:val="none"/>
        </w:rPr>
      </w:pPr>
    </w:p>
    <w:p>
      <w:pPr>
        <w:pStyle w:val="33"/>
        <w:rPr>
          <w:color w:val="auto"/>
          <w:highlight w:val="none"/>
        </w:rPr>
      </w:pPr>
    </w:p>
    <w:p>
      <w:pPr>
        <w:rPr>
          <w:color w:val="auto"/>
          <w:highlight w:val="none"/>
        </w:rPr>
      </w:pPr>
    </w:p>
    <w:p>
      <w:pPr>
        <w:rPr>
          <w:color w:val="auto"/>
          <w:highlight w:val="none"/>
        </w:rPr>
      </w:pPr>
    </w:p>
    <w:p>
      <w:pPr>
        <w:pStyle w:val="19"/>
        <w:ind w:firstLine="210"/>
        <w:rPr>
          <w:color w:val="auto"/>
          <w:highlight w:val="none"/>
        </w:rPr>
      </w:pPr>
    </w:p>
    <w:p>
      <w:pPr>
        <w:spacing w:line="360" w:lineRule="auto"/>
        <w:ind w:left="1148"/>
        <w:jc w:val="center"/>
        <w:rPr>
          <w:color w:val="auto"/>
          <w:w w:val="150"/>
          <w:sz w:val="36"/>
          <w:highlight w:val="none"/>
        </w:rPr>
      </w:pPr>
      <w:r>
        <w:rPr>
          <w:rFonts w:hint="eastAsia"/>
          <w:color w:val="auto"/>
          <w:kern w:val="0"/>
          <w:sz w:val="36"/>
          <w:highlight w:val="none"/>
        </w:rPr>
        <mc:AlternateContent>
          <mc:Choice Requires="wps">
            <w:drawing>
              <wp:anchor distT="0" distB="0" distL="114300" distR="114300" simplePos="0" relativeHeight="251659264" behindDoc="0" locked="0" layoutInCell="1" allowOverlap="1">
                <wp:simplePos x="0" y="0"/>
                <wp:positionH relativeFrom="column">
                  <wp:posOffset>616585</wp:posOffset>
                </wp:positionH>
                <wp:positionV relativeFrom="paragraph">
                  <wp:posOffset>100330</wp:posOffset>
                </wp:positionV>
                <wp:extent cx="4556125" cy="485140"/>
                <wp:effectExtent l="4445" t="4445" r="11430" b="5715"/>
                <wp:wrapNone/>
                <wp:docPr id="1" name="Rectangle 3"/>
                <wp:cNvGraphicFramePr/>
                <a:graphic xmlns:a="http://schemas.openxmlformats.org/drawingml/2006/main">
                  <a:graphicData uri="http://schemas.microsoft.com/office/word/2010/wordprocessingShape">
                    <wps:wsp>
                      <wps:cNvSpPr/>
                      <wps:spPr>
                        <a:xfrm>
                          <a:off x="0" y="0"/>
                          <a:ext cx="4556125" cy="485140"/>
                        </a:xfrm>
                        <a:prstGeom prst="rect">
                          <a:avLst/>
                        </a:prstGeom>
                        <a:solidFill>
                          <a:srgbClr val="FFFFFF"/>
                        </a:solidFill>
                        <a:ln w="0" cap="flat" cmpd="sng">
                          <a:solidFill>
                            <a:srgbClr val="FFFFFF"/>
                          </a:solidFill>
                          <a:prstDash val="solid"/>
                          <a:miter/>
                          <a:headEnd type="none" w="med" len="med"/>
                          <a:tailEnd type="none" w="med" len="med"/>
                        </a:ln>
                      </wps:spPr>
                      <wps:txbx>
                        <w:txbxContent>
                          <w:p>
                            <w:pPr>
                              <w:rPr>
                                <w:rFonts w:hint="eastAsia"/>
                              </w:rPr>
                            </w:pPr>
                          </w:p>
                          <w:p>
                            <w:pPr>
                              <w:pStyle w:val="19"/>
                              <w:ind w:firstLine="210"/>
                              <w:rPr>
                                <w:rFonts w:hint="eastAsia"/>
                              </w:rPr>
                            </w:pPr>
                          </w:p>
                          <w:p>
                            <w:pPr>
                              <w:pStyle w:val="19"/>
                              <w:ind w:firstLine="210"/>
                              <w:rPr>
                                <w:rFonts w:hint="eastAsia"/>
                              </w:rPr>
                            </w:pPr>
                          </w:p>
                          <w:p>
                            <w:pPr>
                              <w:pStyle w:val="33"/>
                              <w:rPr>
                                <w:rFonts w:hint="eastAsia"/>
                              </w:rPr>
                            </w:pPr>
                          </w:p>
                        </w:txbxContent>
                      </wps:txbx>
                      <wps:bodyPr wrap="square" upright="1"/>
                    </wps:wsp>
                  </a:graphicData>
                </a:graphic>
              </wp:anchor>
            </w:drawing>
          </mc:Choice>
          <mc:Fallback>
            <w:pict>
              <v:rect id="Rectangle 3" o:spid="_x0000_s1026" o:spt="1" style="position:absolute;left:0pt;margin-left:48.55pt;margin-top:7.9pt;height:38.2pt;width:358.75pt;z-index:251659264;mso-width-relative:page;mso-height-relative:page;" fillcolor="#FFFFFF" filled="t" stroked="t" coordsize="21600,21600" o:gfxdata="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oG6CHWAAAACAEAAA8A&#10;AAAAAAAAAQAgAAAAIgAAAGRycy9kb3ducmV2LnhtbFBLAQIUABQAAAAIAIdO4kAGEXL24AEAAOkD&#10;AAAOAAAAAAAAAAEAIAAAACUBAABkcnMvZTJvRG9jLnhtbFBLBQYAAAAABgAGAFkBAAB3BQAAAAA=&#10;">
                <v:fill on="t" focussize="0,0"/>
                <v:stroke weight="0pt" color="#FFFFFF" joinstyle="miter"/>
                <v:imagedata o:title=""/>
                <o:lock v:ext="edit" aspectratio="f"/>
                <v:textbox>
                  <w:txbxContent>
                    <w:p>
                      <w:pPr>
                        <w:rPr>
                          <w:rFonts w:hint="eastAsia"/>
                        </w:rPr>
                      </w:pPr>
                    </w:p>
                    <w:p>
                      <w:pPr>
                        <w:pStyle w:val="19"/>
                        <w:ind w:firstLine="210"/>
                        <w:rPr>
                          <w:rFonts w:hint="eastAsia"/>
                        </w:rPr>
                      </w:pPr>
                    </w:p>
                    <w:p>
                      <w:pPr>
                        <w:pStyle w:val="19"/>
                        <w:ind w:firstLine="210"/>
                        <w:rPr>
                          <w:rFonts w:hint="eastAsia"/>
                        </w:rPr>
                      </w:pPr>
                    </w:p>
                    <w:p>
                      <w:pPr>
                        <w:pStyle w:val="33"/>
                        <w:rPr>
                          <w:rFonts w:hint="eastAsia"/>
                        </w:rPr>
                      </w:pPr>
                    </w:p>
                  </w:txbxContent>
                </v:textbox>
              </v:rect>
            </w:pict>
          </mc:Fallback>
        </mc:AlternateContent>
      </w:r>
    </w:p>
    <w:p>
      <w:pPr>
        <w:spacing w:line="360" w:lineRule="auto"/>
        <w:ind w:left="752" w:leftChars="358"/>
        <w:rPr>
          <w:rFonts w:hint="eastAsia"/>
          <w:bCs/>
          <w:color w:val="auto"/>
          <w:sz w:val="28"/>
          <w:highlight w:val="none"/>
        </w:rPr>
      </w:pPr>
    </w:p>
    <w:p>
      <w:pPr>
        <w:spacing w:line="360" w:lineRule="auto"/>
        <w:ind w:firstLine="840" w:firstLineChars="300"/>
        <w:rPr>
          <w:rFonts w:hint="eastAsia"/>
          <w:color w:val="auto"/>
          <w:sz w:val="28"/>
          <w:highlight w:val="none"/>
          <w:u w:val="single"/>
          <w:lang w:eastAsia="zh-CN"/>
        </w:rPr>
      </w:pPr>
      <w:r>
        <w:rPr>
          <w:rFonts w:hint="eastAsia" w:hAnsi="宋体"/>
          <w:bCs/>
          <w:color w:val="auto"/>
          <w:sz w:val="28"/>
          <w:highlight w:val="none"/>
        </w:rPr>
        <w:t>招标项目：</w:t>
      </w:r>
      <w:r>
        <w:rPr>
          <w:rFonts w:hint="eastAsia"/>
          <w:color w:val="auto"/>
          <w:sz w:val="28"/>
          <w:highlight w:val="none"/>
          <w:u w:val="single"/>
          <w:lang w:eastAsia="zh-CN"/>
        </w:rPr>
        <w:t>月湖派出所综合指挥室改造工程</w:t>
      </w:r>
    </w:p>
    <w:p>
      <w:pPr>
        <w:spacing w:line="360" w:lineRule="auto"/>
        <w:ind w:firstLine="840" w:firstLineChars="300"/>
        <w:rPr>
          <w:rFonts w:hint="eastAsia" w:hAnsi="宋体"/>
          <w:bCs/>
          <w:color w:val="auto"/>
          <w:sz w:val="28"/>
          <w:highlight w:val="none"/>
        </w:rPr>
      </w:pPr>
      <w:r>
        <w:rPr>
          <w:rFonts w:hint="eastAsia" w:hAnsi="宋体"/>
          <w:color w:val="auto"/>
          <w:sz w:val="28"/>
          <w:highlight w:val="none"/>
        </w:rPr>
        <w:t>招</w:t>
      </w:r>
      <w:r>
        <w:rPr>
          <w:rFonts w:hint="eastAsia"/>
          <w:color w:val="auto"/>
          <w:sz w:val="28"/>
          <w:highlight w:val="none"/>
        </w:rPr>
        <w:t xml:space="preserve"> </w:t>
      </w:r>
      <w:r>
        <w:rPr>
          <w:rFonts w:hint="eastAsia" w:hAnsi="宋体"/>
          <w:color w:val="auto"/>
          <w:sz w:val="28"/>
          <w:highlight w:val="none"/>
        </w:rPr>
        <w:t>标</w:t>
      </w:r>
      <w:r>
        <w:rPr>
          <w:rFonts w:hint="eastAsia"/>
          <w:color w:val="auto"/>
          <w:sz w:val="28"/>
          <w:highlight w:val="none"/>
        </w:rPr>
        <w:t xml:space="preserve"> </w:t>
      </w:r>
      <w:r>
        <w:rPr>
          <w:rFonts w:hint="eastAsia" w:hAnsi="宋体"/>
          <w:bCs/>
          <w:color w:val="auto"/>
          <w:sz w:val="28"/>
          <w:highlight w:val="none"/>
        </w:rPr>
        <w:t>人：</w:t>
      </w:r>
      <w:r>
        <w:rPr>
          <w:rFonts w:hint="eastAsia"/>
          <w:color w:val="auto"/>
          <w:sz w:val="28"/>
          <w:highlight w:val="none"/>
          <w:u w:val="single"/>
          <w:lang w:eastAsia="zh-CN"/>
        </w:rPr>
        <w:t>台州市公安局台州湾新区（高新区）分局</w:t>
      </w:r>
      <w:r>
        <w:rPr>
          <w:rFonts w:hint="eastAsia" w:hAnsi="宋体"/>
          <w:bCs/>
          <w:color w:val="auto"/>
          <w:sz w:val="28"/>
          <w:highlight w:val="none"/>
        </w:rPr>
        <w:t>（盖章）</w:t>
      </w:r>
    </w:p>
    <w:p>
      <w:pPr>
        <w:spacing w:line="360" w:lineRule="auto"/>
        <w:ind w:firstLine="840" w:firstLineChars="300"/>
        <w:rPr>
          <w:rFonts w:hint="eastAsia"/>
          <w:color w:val="auto"/>
          <w:highlight w:val="none"/>
        </w:rPr>
      </w:pPr>
      <w:r>
        <w:rPr>
          <w:rFonts w:hint="eastAsia" w:hAnsi="宋体"/>
          <w:color w:val="auto"/>
          <w:sz w:val="28"/>
          <w:highlight w:val="none"/>
        </w:rPr>
        <w:t>联</w:t>
      </w:r>
      <w:r>
        <w:rPr>
          <w:rFonts w:hint="eastAsia"/>
          <w:color w:val="auto"/>
          <w:sz w:val="28"/>
          <w:highlight w:val="none"/>
        </w:rPr>
        <w:t xml:space="preserve"> </w:t>
      </w:r>
      <w:r>
        <w:rPr>
          <w:rFonts w:hint="eastAsia" w:hAnsi="宋体"/>
          <w:color w:val="auto"/>
          <w:sz w:val="28"/>
          <w:highlight w:val="none"/>
        </w:rPr>
        <w:t>系</w:t>
      </w:r>
      <w:r>
        <w:rPr>
          <w:rFonts w:hint="eastAsia"/>
          <w:color w:val="auto"/>
          <w:sz w:val="28"/>
          <w:highlight w:val="none"/>
        </w:rPr>
        <w:t xml:space="preserve"> </w:t>
      </w:r>
      <w:r>
        <w:rPr>
          <w:rFonts w:hint="eastAsia" w:hAnsi="宋体"/>
          <w:color w:val="auto"/>
          <w:sz w:val="28"/>
          <w:highlight w:val="none"/>
        </w:rPr>
        <w:t>人：</w:t>
      </w:r>
      <w:r>
        <w:rPr>
          <w:rFonts w:hint="eastAsia"/>
          <w:color w:val="auto"/>
          <w:sz w:val="28"/>
          <w:highlight w:val="none"/>
          <w:u w:val="single"/>
        </w:rPr>
        <w:t xml:space="preserve">   </w:t>
      </w:r>
      <w:r>
        <w:rPr>
          <w:rFonts w:hint="eastAsia"/>
          <w:color w:val="auto"/>
          <w:sz w:val="28"/>
          <w:highlight w:val="none"/>
          <w:u w:val="single"/>
          <w:lang w:val="en-US" w:eastAsia="zh-CN"/>
        </w:rPr>
        <w:t>卢先生</w:t>
      </w:r>
      <w:r>
        <w:rPr>
          <w:rFonts w:hint="eastAsia"/>
          <w:color w:val="auto"/>
          <w:sz w:val="28"/>
          <w:highlight w:val="none"/>
          <w:u w:val="single"/>
        </w:rPr>
        <w:t xml:space="preserve">    </w:t>
      </w:r>
      <w:r>
        <w:rPr>
          <w:rFonts w:hint="eastAsia"/>
          <w:color w:val="auto"/>
          <w:sz w:val="28"/>
          <w:highlight w:val="none"/>
        </w:rPr>
        <w:t xml:space="preserve">    </w:t>
      </w:r>
      <w:r>
        <w:rPr>
          <w:rFonts w:hint="eastAsia" w:hAnsi="宋体"/>
          <w:color w:val="auto"/>
          <w:sz w:val="28"/>
          <w:highlight w:val="none"/>
        </w:rPr>
        <w:t>联系电话：</w:t>
      </w:r>
      <w:r>
        <w:rPr>
          <w:rFonts w:hint="eastAsia"/>
          <w:color w:val="auto"/>
          <w:sz w:val="28"/>
          <w:highlight w:val="none"/>
          <w:u w:val="single"/>
        </w:rPr>
        <w:t xml:space="preserve"> 13858680156</w:t>
      </w:r>
    </w:p>
    <w:p>
      <w:pPr>
        <w:spacing w:line="360" w:lineRule="auto"/>
        <w:ind w:firstLine="840" w:firstLineChars="300"/>
        <w:rPr>
          <w:rFonts w:hint="eastAsia" w:hAnsi="宋体"/>
          <w:bCs/>
          <w:color w:val="auto"/>
          <w:sz w:val="28"/>
          <w:highlight w:val="none"/>
        </w:rPr>
      </w:pPr>
      <w:r>
        <w:rPr>
          <w:rFonts w:hint="eastAsia" w:hAnsi="宋体"/>
          <w:color w:val="auto"/>
          <w:sz w:val="28"/>
          <w:highlight w:val="none"/>
        </w:rPr>
        <w:t>招标</w:t>
      </w:r>
      <w:r>
        <w:rPr>
          <w:rFonts w:hint="eastAsia" w:hAnsi="宋体"/>
          <w:bCs/>
          <w:color w:val="auto"/>
          <w:sz w:val="28"/>
          <w:highlight w:val="none"/>
        </w:rPr>
        <w:t>代理：</w:t>
      </w:r>
      <w:r>
        <w:rPr>
          <w:rFonts w:hint="eastAsia"/>
          <w:color w:val="auto"/>
          <w:sz w:val="28"/>
          <w:highlight w:val="none"/>
          <w:u w:val="single"/>
        </w:rPr>
        <w:t xml:space="preserve">  </w:t>
      </w:r>
      <w:r>
        <w:rPr>
          <w:rFonts w:hint="eastAsia"/>
          <w:color w:val="auto"/>
          <w:sz w:val="28"/>
          <w:highlight w:val="none"/>
          <w:u w:val="single"/>
          <w:lang w:eastAsia="zh-CN"/>
        </w:rPr>
        <w:t>浙江双联工程咨询有限公司</w:t>
      </w:r>
      <w:r>
        <w:rPr>
          <w:rFonts w:hint="eastAsia"/>
          <w:color w:val="auto"/>
          <w:sz w:val="28"/>
          <w:highlight w:val="none"/>
          <w:u w:val="single"/>
        </w:rPr>
        <w:t xml:space="preserve">   </w:t>
      </w:r>
      <w:r>
        <w:rPr>
          <w:rFonts w:hint="eastAsia" w:hAnsi="宋体"/>
          <w:bCs/>
          <w:color w:val="auto"/>
          <w:sz w:val="28"/>
          <w:highlight w:val="none"/>
        </w:rPr>
        <w:t>（盖章）</w:t>
      </w:r>
    </w:p>
    <w:p>
      <w:pPr>
        <w:spacing w:line="360" w:lineRule="auto"/>
        <w:ind w:firstLine="840" w:firstLineChars="300"/>
        <w:rPr>
          <w:rFonts w:hint="eastAsia" w:eastAsia="宋体"/>
          <w:color w:val="auto"/>
          <w:sz w:val="28"/>
          <w:highlight w:val="none"/>
          <w:u w:val="single"/>
          <w:lang w:eastAsia="zh-CN"/>
        </w:rPr>
      </w:pPr>
      <w:r>
        <w:rPr>
          <w:rFonts w:hint="eastAsia" w:hAnsi="宋体"/>
          <w:color w:val="auto"/>
          <w:sz w:val="28"/>
          <w:highlight w:val="none"/>
        </w:rPr>
        <w:t>联</w:t>
      </w:r>
      <w:r>
        <w:rPr>
          <w:rFonts w:hint="eastAsia"/>
          <w:color w:val="auto"/>
          <w:sz w:val="28"/>
          <w:highlight w:val="none"/>
        </w:rPr>
        <w:t xml:space="preserve"> </w:t>
      </w:r>
      <w:r>
        <w:rPr>
          <w:rFonts w:hint="eastAsia" w:hAnsi="宋体"/>
          <w:color w:val="auto"/>
          <w:sz w:val="28"/>
          <w:highlight w:val="none"/>
        </w:rPr>
        <w:t>系</w:t>
      </w:r>
      <w:r>
        <w:rPr>
          <w:rFonts w:hint="eastAsia"/>
          <w:color w:val="auto"/>
          <w:sz w:val="28"/>
          <w:highlight w:val="none"/>
        </w:rPr>
        <w:t xml:space="preserve"> </w:t>
      </w:r>
      <w:r>
        <w:rPr>
          <w:rFonts w:hint="eastAsia" w:hAnsi="宋体"/>
          <w:color w:val="auto"/>
          <w:sz w:val="28"/>
          <w:highlight w:val="none"/>
        </w:rPr>
        <w:t>人：</w:t>
      </w:r>
      <w:r>
        <w:rPr>
          <w:rFonts w:hint="eastAsia"/>
          <w:color w:val="auto"/>
          <w:sz w:val="28"/>
          <w:highlight w:val="none"/>
          <w:u w:val="single"/>
        </w:rPr>
        <w:t xml:space="preserve">   </w:t>
      </w:r>
      <w:r>
        <w:rPr>
          <w:rFonts w:hint="eastAsia"/>
          <w:color w:val="auto"/>
          <w:sz w:val="28"/>
          <w:highlight w:val="none"/>
          <w:u w:val="single"/>
          <w:lang w:eastAsia="zh-CN"/>
        </w:rPr>
        <w:t>郑建平</w:t>
      </w:r>
      <w:r>
        <w:rPr>
          <w:rFonts w:hint="eastAsia"/>
          <w:color w:val="auto"/>
          <w:sz w:val="28"/>
          <w:highlight w:val="none"/>
          <w:u w:val="single"/>
        </w:rPr>
        <w:t xml:space="preserve">    </w:t>
      </w:r>
      <w:r>
        <w:rPr>
          <w:rFonts w:hint="eastAsia"/>
          <w:color w:val="auto"/>
          <w:sz w:val="28"/>
          <w:highlight w:val="none"/>
        </w:rPr>
        <w:t xml:space="preserve">    </w:t>
      </w:r>
      <w:r>
        <w:rPr>
          <w:rFonts w:hint="eastAsia" w:hAnsi="宋体"/>
          <w:color w:val="auto"/>
          <w:sz w:val="28"/>
          <w:highlight w:val="none"/>
        </w:rPr>
        <w:t>联系电话：</w:t>
      </w:r>
      <w:r>
        <w:rPr>
          <w:rFonts w:hint="eastAsia"/>
          <w:color w:val="auto"/>
          <w:sz w:val="28"/>
          <w:highlight w:val="none"/>
          <w:u w:val="single"/>
        </w:rPr>
        <w:t xml:space="preserve"> 0576-</w:t>
      </w:r>
      <w:r>
        <w:rPr>
          <w:rFonts w:hint="eastAsia"/>
          <w:color w:val="auto"/>
          <w:sz w:val="28"/>
          <w:highlight w:val="none"/>
          <w:u w:val="single"/>
          <w:lang w:eastAsia="zh-CN"/>
        </w:rPr>
        <w:t>81818017</w:t>
      </w:r>
    </w:p>
    <w:p>
      <w:pPr>
        <w:spacing w:line="360" w:lineRule="auto"/>
        <w:ind w:left="2161" w:leftChars="309" w:hanging="1512" w:hangingChars="504"/>
        <w:rPr>
          <w:rFonts w:hint="eastAsia"/>
          <w:color w:val="auto"/>
          <w:sz w:val="30"/>
          <w:highlight w:val="none"/>
        </w:rPr>
      </w:pPr>
    </w:p>
    <w:p>
      <w:pPr>
        <w:spacing w:line="360" w:lineRule="auto"/>
        <w:jc w:val="center"/>
        <w:rPr>
          <w:rFonts w:hint="eastAsia"/>
          <w:color w:val="auto"/>
          <w:sz w:val="28"/>
          <w:highlight w:val="none"/>
        </w:rPr>
      </w:pPr>
    </w:p>
    <w:p>
      <w:pPr>
        <w:pStyle w:val="19"/>
        <w:ind w:firstLine="210"/>
        <w:rPr>
          <w:rFonts w:hint="eastAsia"/>
          <w:color w:val="auto"/>
          <w:highlight w:val="none"/>
        </w:rPr>
      </w:pPr>
    </w:p>
    <w:p>
      <w:pPr>
        <w:spacing w:line="360" w:lineRule="auto"/>
        <w:jc w:val="center"/>
        <w:rPr>
          <w:rFonts w:hint="eastAsia"/>
          <w:color w:val="auto"/>
          <w:sz w:val="28"/>
          <w:highlight w:val="none"/>
        </w:rPr>
      </w:pPr>
    </w:p>
    <w:p>
      <w:pPr>
        <w:spacing w:line="360" w:lineRule="auto"/>
        <w:jc w:val="center"/>
        <w:rPr>
          <w:rFonts w:hint="eastAsia"/>
          <w:color w:val="auto"/>
          <w:sz w:val="28"/>
          <w:highlight w:val="none"/>
        </w:rPr>
      </w:pPr>
      <w:r>
        <w:rPr>
          <w:rFonts w:hint="eastAsia"/>
          <w:color w:val="auto"/>
          <w:sz w:val="28"/>
          <w:highlight w:val="none"/>
        </w:rPr>
        <w:t xml:space="preserve">  </w:t>
      </w:r>
    </w:p>
    <w:p>
      <w:pPr>
        <w:spacing w:line="288" w:lineRule="auto"/>
        <w:jc w:val="center"/>
        <w:rPr>
          <w:color w:val="auto"/>
          <w:sz w:val="30"/>
          <w:szCs w:val="30"/>
          <w:highlight w:val="none"/>
        </w:rPr>
        <w:sectPr>
          <w:headerReference r:id="rId3" w:type="default"/>
          <w:footerReference r:id="rId4"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hint="eastAsia"/>
          <w:color w:val="auto"/>
          <w:sz w:val="30"/>
          <w:szCs w:val="30"/>
          <w:highlight w:val="none"/>
        </w:rPr>
        <w:t>日期：2024</w:t>
      </w:r>
      <w:r>
        <w:rPr>
          <w:rFonts w:hint="eastAsia" w:hAnsi="宋体"/>
          <w:color w:val="auto"/>
          <w:sz w:val="30"/>
          <w:szCs w:val="30"/>
          <w:highlight w:val="none"/>
        </w:rPr>
        <w:t>年</w:t>
      </w:r>
      <w:r>
        <w:rPr>
          <w:rFonts w:hint="eastAsia" w:hAnsi="宋体"/>
          <w:color w:val="auto"/>
          <w:sz w:val="30"/>
          <w:szCs w:val="30"/>
          <w:highlight w:val="none"/>
          <w:lang w:eastAsia="zh-CN"/>
        </w:rPr>
        <w:t>0</w:t>
      </w:r>
      <w:r>
        <w:rPr>
          <w:rFonts w:hint="eastAsia" w:hAnsi="宋体"/>
          <w:color w:val="auto"/>
          <w:sz w:val="30"/>
          <w:szCs w:val="30"/>
          <w:highlight w:val="none"/>
          <w:lang w:val="en-US" w:eastAsia="zh-CN"/>
        </w:rPr>
        <w:t>7</w:t>
      </w:r>
      <w:r>
        <w:rPr>
          <w:rFonts w:hint="eastAsia" w:hAnsi="宋体"/>
          <w:color w:val="auto"/>
          <w:sz w:val="30"/>
          <w:szCs w:val="30"/>
          <w:highlight w:val="none"/>
        </w:rPr>
        <w:t>月</w:t>
      </w:r>
    </w:p>
    <w:p>
      <w:pPr>
        <w:spacing w:line="400" w:lineRule="exact"/>
        <w:jc w:val="center"/>
        <w:rPr>
          <w:rFonts w:hint="eastAsia" w:eastAsia="黑体"/>
          <w:b/>
          <w:bCs/>
          <w:color w:val="auto"/>
          <w:sz w:val="32"/>
          <w:highlight w:val="none"/>
        </w:rPr>
        <w:sectPr>
          <w:headerReference r:id="rId5" w:type="default"/>
          <w:footerReference r:id="rId6" w:type="default"/>
          <w:type w:val="continuous"/>
          <w:pgSz w:w="11907" w:h="16840"/>
          <w:pgMar w:top="1417" w:right="1418" w:bottom="1417" w:left="1531" w:header="851" w:footer="992" w:gutter="0"/>
          <w:cols w:space="720" w:num="1"/>
          <w:docGrid w:type="lines" w:linePitch="312" w:charSpace="0"/>
        </w:sectPr>
      </w:pPr>
    </w:p>
    <w:p>
      <w:pPr>
        <w:spacing w:line="400" w:lineRule="exact"/>
        <w:jc w:val="center"/>
        <w:rPr>
          <w:rFonts w:hint="eastAsia" w:eastAsia="黑体"/>
          <w:b/>
          <w:bCs/>
          <w:color w:val="auto"/>
          <w:sz w:val="32"/>
          <w:highlight w:val="none"/>
        </w:rPr>
      </w:pPr>
    </w:p>
    <w:p>
      <w:pPr>
        <w:spacing w:line="400" w:lineRule="exact"/>
        <w:jc w:val="center"/>
        <w:rPr>
          <w:rFonts w:hint="eastAsia" w:eastAsia="黑体"/>
          <w:b/>
          <w:bCs/>
          <w:color w:val="auto"/>
          <w:sz w:val="32"/>
          <w:highlight w:val="none"/>
        </w:rPr>
      </w:pPr>
    </w:p>
    <w:p>
      <w:pPr>
        <w:spacing w:line="400" w:lineRule="exact"/>
        <w:jc w:val="center"/>
        <w:rPr>
          <w:rFonts w:eastAsia="黑体"/>
          <w:b/>
          <w:bCs/>
          <w:color w:val="auto"/>
          <w:sz w:val="32"/>
          <w:highlight w:val="none"/>
        </w:rPr>
      </w:pPr>
      <w:r>
        <w:rPr>
          <w:rFonts w:hint="eastAsia" w:eastAsia="黑体"/>
          <w:b/>
          <w:bCs/>
          <w:color w:val="auto"/>
          <w:sz w:val="32"/>
          <w:highlight w:val="none"/>
        </w:rPr>
        <w:t>目</w:t>
      </w:r>
      <w:r>
        <w:rPr>
          <w:rFonts w:eastAsia="黑体"/>
          <w:b/>
          <w:bCs/>
          <w:color w:val="auto"/>
          <w:sz w:val="32"/>
          <w:highlight w:val="none"/>
        </w:rPr>
        <w:t xml:space="preserve">     </w:t>
      </w:r>
      <w:r>
        <w:rPr>
          <w:rFonts w:hint="eastAsia" w:eastAsia="黑体"/>
          <w:b/>
          <w:bCs/>
          <w:color w:val="auto"/>
          <w:sz w:val="32"/>
          <w:highlight w:val="none"/>
        </w:rPr>
        <w:t>录</w:t>
      </w:r>
      <w:bookmarkEnd w:id="11"/>
      <w:bookmarkEnd w:id="12"/>
    </w:p>
    <w:p>
      <w:pPr>
        <w:pStyle w:val="2"/>
        <w:tabs>
          <w:tab w:val="right" w:leader="dot" w:pos="8958"/>
        </w:tabs>
        <w:spacing w:before="0" w:after="0" w:line="3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TOC \o "1-3" \h \z \u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_Toc27881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第一章  招标公告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_Toc27881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2"/>
        <w:tabs>
          <w:tab w:val="right" w:leader="dot" w:pos="8958"/>
        </w:tabs>
        <w:spacing w:before="0" w:after="0" w:line="3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_Toc7157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第二章 投标人须知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_Toc7157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_Toc11909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投标人须知前附表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_Toc11909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_Toc5161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 总则</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_Toc5161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10</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_Toc22003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1.1 工程概况</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_Toc22003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10</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_Toc6240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1.2 资金来源和落实情况</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_Toc6240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10</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_Toc23020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1.3 招标范围、计划工期和质量要求</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_Toc23020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10</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_Toc23109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1.4 投标人资格要求</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_Toc23109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10</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_Toc11251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1.5 费用承担</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_Toc11251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11</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_Toc6569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1.6 保密</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_Toc6569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11</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_Toc22386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1.7 语言文字</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_Toc22386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11</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_Toc15305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1.8 计量单位</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_Toc15305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11</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_Toc24156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1.9 踏勘现场</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_Toc24156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11</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_Toc19913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1.10 投标预备会</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_Toc19913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11</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_Toc26690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1.11 分包</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_Toc26690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12</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_Toc21515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1.12 偏离</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_Toc21515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12</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_Toc16067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 招标文件</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_Toc16067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_Toc5456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2.1 招标文件的组成</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_Toc5456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12</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_Toc10937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2.2 招标文件的澄清</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_Toc10937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12</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_Toc18369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2.3 招标文件的修改</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_Toc18369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12</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_Toc8083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 投标文件</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_Toc8083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_Toc30541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3.1 投标文件的组成</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_Toc30541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13</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_Toc20157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3.2 投标报价</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_Toc20157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13</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_Toc30728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3.3 投标有效期</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_Toc30728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13</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_Toc19202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3.4 投标担保</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_Toc19202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13</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_Toc3182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3.5 备选投标方案</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_Toc3182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14</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_Toc25680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3.6 投标文件的编制</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_Toc25680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14</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_Toc26284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4. 投标</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_Toc26284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_Toc26180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4.1 投标文件的递交</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_Toc26180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14</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_Toc9576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4.2投标截止期</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_Toc9576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14</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_Toc30820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4.3 投标文件的修改与撤回</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_Toc30820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14</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_Toc12195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5. 开标</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_Toc12195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_Toc5374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5.1 开标时间和地点</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_Toc5374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14</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_Toc12441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5.2 开标程序</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_Toc12441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14</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_Toc29681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6. 评标</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_Toc29681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_Toc15322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6.1 评标委员会</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_Toc15322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15</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_Toc28925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6.2 评标原则</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_Toc28925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15</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_Toc8940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6.3 评标</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_Toc8940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15</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_Toc28998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7. 合同授予</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_Toc28998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_Toc4405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7.1中标候选人公示</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_Toc4405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15</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_Toc10792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7.2中标通知书</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_Toc10792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15</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_Toc26622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7.3合同签订</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_Toc26622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16</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_Toc31645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8.重新招标和不再招标</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_Toc31645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_Toc25553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8.1重新招标</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_Toc25553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16</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_Toc25267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8.2 不再招标</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_Toc25267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16</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_Toc7551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9. 纪律和监督</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_Toc7551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_Toc27889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9.1 对招标人的纪律要求</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_Toc27889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16</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_Toc19596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9.2 对投标人的纪律要求</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_Toc19596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16</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_Toc7062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9.3 对评标委员会成员的纪律要求</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_Toc7062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16</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_Toc7642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9.4 对与评标活动有关的工作人员的纪律要求</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_Toc7642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16</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_Toc24084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9.5 投诉</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_Toc24084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16</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_Toc18631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10. 需要补充的其他内容</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_Toc18631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17</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2"/>
        <w:tabs>
          <w:tab w:val="right" w:leader="dot" w:pos="8958"/>
        </w:tabs>
        <w:spacing w:before="0" w:after="0" w:line="3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_Toc17726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第三章 评标办法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_Toc17726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18</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_Toc7704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评标办法前附表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_Toc7704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18</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_Toc23804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 评标方法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_Toc23804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_Toc26474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 评审标准</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_Toc26474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_Toc18562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2.1 初步评审标准</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_Toc18562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19</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_Toc25345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2.2 分值构成与评分标准</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_Toc25345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19</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_Toc23901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 评标程序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_Toc23901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_Toc18217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3.1 初步评审</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_Toc18217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19</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_Toc7128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3.2 详细评审</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_Toc7128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20</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_Toc20869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3.3 投标文件的澄清和补正</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_Toc20869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20</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_Toc6014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3.4 评标结果</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_Toc6014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20</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_Toc18950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评标办法附件</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_Toc18950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2"/>
        <w:tabs>
          <w:tab w:val="right" w:leader="dot" w:pos="8958"/>
        </w:tabs>
        <w:spacing w:before="0" w:after="0" w:line="3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_Toc24155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第四章  合同条款及格式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9</w:t>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_Toc1442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 工程概况</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_Toc1442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54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_Toc8424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 技术规范及标准</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_Toc8424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54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_Toc3475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3．材料质量要求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_Toc3475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55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35"/>
        <w:tabs>
          <w:tab w:val="right" w:leader="dot" w:pos="8958"/>
        </w:tabs>
        <w:spacing w:line="34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_Toc7050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4．工程管理的要求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_Toc7050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55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22"/>
        <w:tabs>
          <w:tab w:val="right" w:leader="dot" w:pos="8958"/>
        </w:tabs>
        <w:spacing w:line="340" w:lineRule="exact"/>
        <w:ind w:left="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HYPERLINK \l _Toc1901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5．其他</w:t>
      </w:r>
      <w:r>
        <w:rPr>
          <w:rFonts w:hint="eastAsia" w:ascii="宋体" w:hAnsi="宋体" w:cs="宋体"/>
          <w:i w:val="0"/>
          <w:iCs w:val="0"/>
          <w:color w:val="auto"/>
          <w:sz w:val="21"/>
          <w:szCs w:val="21"/>
          <w:highlight w:val="none"/>
        </w:rPr>
        <w:tab/>
      </w:r>
      <w:r>
        <w:rPr>
          <w:rFonts w:hint="eastAsia" w:ascii="宋体" w:hAnsi="宋体" w:cs="宋体"/>
          <w:i w:val="0"/>
          <w:iCs w:val="0"/>
          <w:color w:val="auto"/>
          <w:sz w:val="21"/>
          <w:szCs w:val="21"/>
          <w:highlight w:val="none"/>
        </w:rPr>
        <w:fldChar w:fldCharType="begin"/>
      </w:r>
      <w:r>
        <w:rPr>
          <w:rFonts w:hint="eastAsia" w:ascii="宋体" w:hAnsi="宋体" w:cs="宋体"/>
          <w:i w:val="0"/>
          <w:iCs w:val="0"/>
          <w:color w:val="auto"/>
          <w:sz w:val="21"/>
          <w:szCs w:val="21"/>
          <w:highlight w:val="none"/>
        </w:rPr>
        <w:instrText xml:space="preserve"> PAGEREF _Toc1901 \h </w:instrText>
      </w:r>
      <w:r>
        <w:rPr>
          <w:rFonts w:hint="eastAsia" w:ascii="宋体" w:hAnsi="宋体" w:cs="宋体"/>
          <w:i w:val="0"/>
          <w:iCs w:val="0"/>
          <w:color w:val="auto"/>
          <w:sz w:val="21"/>
          <w:szCs w:val="21"/>
          <w:highlight w:val="none"/>
        </w:rPr>
        <w:fldChar w:fldCharType="separate"/>
      </w:r>
      <w:r>
        <w:rPr>
          <w:rFonts w:hint="eastAsia" w:ascii="宋体" w:hAnsi="宋体" w:cs="宋体"/>
          <w:i w:val="0"/>
          <w:iCs w:val="0"/>
          <w:color w:val="auto"/>
          <w:sz w:val="21"/>
          <w:szCs w:val="21"/>
          <w:highlight w:val="none"/>
        </w:rPr>
        <w:t>56</w:t>
      </w:r>
      <w:r>
        <w:rPr>
          <w:rFonts w:hint="eastAsia" w:ascii="宋体" w:hAnsi="宋体" w:cs="宋体"/>
          <w:i w:val="0"/>
          <w:iCs w:val="0"/>
          <w:color w:val="auto"/>
          <w:sz w:val="21"/>
          <w:szCs w:val="21"/>
          <w:highlight w:val="none"/>
        </w:rPr>
        <w:fldChar w:fldCharType="end"/>
      </w:r>
      <w:r>
        <w:rPr>
          <w:rFonts w:hint="eastAsia" w:ascii="宋体" w:hAnsi="宋体" w:cs="宋体"/>
          <w:i w:val="0"/>
          <w:iCs w:val="0"/>
          <w:color w:val="auto"/>
          <w:sz w:val="21"/>
          <w:szCs w:val="21"/>
          <w:highlight w:val="none"/>
        </w:rPr>
        <w:fldChar w:fldCharType="end"/>
      </w:r>
    </w:p>
    <w:p>
      <w:pPr>
        <w:pStyle w:val="2"/>
        <w:tabs>
          <w:tab w:val="right" w:leader="dot" w:pos="8958"/>
        </w:tabs>
        <w:spacing w:before="0" w:after="0" w:line="340" w:lineRule="exact"/>
        <w:rPr>
          <w:rFonts w:ascii="宋体" w:hAnsi="宋体" w:cs="宋体"/>
          <w:color w:val="auto"/>
          <w:sz w:val="21"/>
          <w:szCs w:val="21"/>
          <w:highlight w:val="none"/>
        </w:rPr>
      </w:pPr>
      <w:r>
        <w:rPr>
          <w:rFonts w:hint="eastAsia" w:ascii="宋体" w:hAnsi="宋体" w:cs="宋体"/>
          <w:color w:val="auto"/>
          <w:sz w:val="21"/>
          <w:szCs w:val="21"/>
          <w:highlight w:val="none"/>
        </w:rPr>
        <w:t>第五章  技术标准和要求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t>53</w:t>
      </w:r>
    </w:p>
    <w:p>
      <w:pPr>
        <w:pStyle w:val="2"/>
        <w:tabs>
          <w:tab w:val="right" w:leader="dot" w:pos="8958"/>
        </w:tabs>
        <w:spacing w:before="0" w:after="0" w:line="3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_Toc3426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第六章  投标文件格式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_Toc3426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57</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tabs>
          <w:tab w:val="right" w:leader="dot" w:pos="8296"/>
        </w:tabs>
        <w:spacing w:line="340" w:lineRule="exact"/>
        <w:jc w:val="left"/>
        <w:rPr>
          <w:rFonts w:cs="Calibri"/>
          <w:color w:val="auto"/>
          <w:sz w:val="20"/>
          <w:szCs w:val="21"/>
          <w:highlight w:val="none"/>
        </w:rPr>
        <w:sectPr>
          <w:pgSz w:w="11907" w:h="16840"/>
          <w:pgMar w:top="1417" w:right="1418" w:bottom="1417" w:left="1531" w:header="851" w:footer="992" w:gutter="0"/>
          <w:cols w:space="720" w:num="1"/>
          <w:docGrid w:type="lines" w:linePitch="312" w:charSpace="0"/>
        </w:sectPr>
      </w:pPr>
      <w:r>
        <w:rPr>
          <w:rFonts w:hint="eastAsia" w:ascii="宋体" w:hAnsi="宋体" w:cs="宋体"/>
          <w:color w:val="auto"/>
          <w:szCs w:val="21"/>
          <w:highlight w:val="none"/>
        </w:rPr>
        <w:fldChar w:fldCharType="end"/>
      </w:r>
    </w:p>
    <w:p>
      <w:pPr>
        <w:pStyle w:val="3"/>
        <w:spacing w:before="120" w:after="120" w:line="400" w:lineRule="exact"/>
        <w:jc w:val="center"/>
        <w:rPr>
          <w:rFonts w:eastAsia="黑体"/>
          <w:b w:val="0"/>
          <w:bCs w:val="0"/>
          <w:color w:val="auto"/>
          <w:sz w:val="32"/>
          <w:highlight w:val="none"/>
        </w:rPr>
      </w:pPr>
      <w:bookmarkStart w:id="13" w:name="_Toc27881"/>
      <w:r>
        <w:rPr>
          <w:rFonts w:hint="eastAsia" w:eastAsia="黑体"/>
          <w:b w:val="0"/>
          <w:bCs w:val="0"/>
          <w:color w:val="auto"/>
          <w:sz w:val="32"/>
          <w:highlight w:val="none"/>
        </w:rPr>
        <w:t>第一章</w:t>
      </w:r>
      <w:r>
        <w:rPr>
          <w:rFonts w:eastAsia="黑体"/>
          <w:b w:val="0"/>
          <w:bCs w:val="0"/>
          <w:color w:val="auto"/>
          <w:sz w:val="32"/>
          <w:highlight w:val="none"/>
        </w:rPr>
        <w:t xml:space="preserve">  </w:t>
      </w:r>
      <w:r>
        <w:rPr>
          <w:rFonts w:hint="eastAsia" w:eastAsia="黑体"/>
          <w:b w:val="0"/>
          <w:bCs w:val="0"/>
          <w:color w:val="auto"/>
          <w:sz w:val="32"/>
          <w:highlight w:val="none"/>
        </w:rPr>
        <w:t>招标公告</w:t>
      </w:r>
      <w:bookmarkEnd w:id="13"/>
    </w:p>
    <w:p>
      <w:pPr>
        <w:snapToGrid w:val="0"/>
        <w:spacing w:line="360" w:lineRule="auto"/>
        <w:jc w:val="center"/>
        <w:rPr>
          <w:rFonts w:ascii="宋体"/>
          <w:color w:val="auto"/>
          <w:highlight w:val="none"/>
        </w:rPr>
      </w:pPr>
      <w:bookmarkStart w:id="14" w:name="_Toc7157"/>
      <w:bookmarkStart w:id="15" w:name="_Toc152042303"/>
      <w:bookmarkStart w:id="16" w:name="_Toc152045527"/>
      <w:bookmarkStart w:id="17" w:name="_Toc144974495"/>
      <w:r>
        <w:rPr>
          <w:rFonts w:hint="eastAsia" w:ascii="宋体" w:hAnsi="宋体"/>
          <w:color w:val="auto"/>
          <w:highlight w:val="none"/>
        </w:rPr>
        <w:t>详见台州湾新区小额工程电子交易平台和浙江政府采购网上招标公告</w:t>
      </w:r>
    </w:p>
    <w:p>
      <w:pPr>
        <w:snapToGrid w:val="0"/>
        <w:spacing w:line="360" w:lineRule="auto"/>
        <w:jc w:val="center"/>
        <w:rPr>
          <w:rFonts w:ascii="宋体"/>
          <w:color w:val="auto"/>
          <w:highlight w:val="none"/>
        </w:rPr>
      </w:pPr>
      <w:r>
        <w:rPr>
          <w:rFonts w:hint="eastAsia" w:ascii="宋体" w:hAnsi="宋体"/>
          <w:color w:val="auto"/>
          <w:highlight w:val="none"/>
        </w:rPr>
        <w:t>（台州湾新区小额工程电子交易平台，http://www.tzwztb.com/）。</w:t>
      </w:r>
    </w:p>
    <w:p>
      <w:pPr>
        <w:snapToGrid w:val="0"/>
        <w:spacing w:line="360" w:lineRule="auto"/>
        <w:jc w:val="center"/>
        <w:rPr>
          <w:rFonts w:ascii="宋体" w:cs="宋体"/>
          <w:color w:val="auto"/>
          <w:highlight w:val="none"/>
        </w:rPr>
      </w:pPr>
      <w:r>
        <w:rPr>
          <w:rStyle w:val="48"/>
          <w:rFonts w:hint="eastAsia"/>
          <w:color w:val="auto"/>
          <w:highlight w:val="none"/>
          <w:u w:val="none"/>
        </w:rPr>
        <w:t>（</w:t>
      </w:r>
      <w:r>
        <w:rPr>
          <w:rFonts w:hint="eastAsia" w:ascii="宋体" w:hAnsi="宋体"/>
          <w:color w:val="auto"/>
          <w:highlight w:val="none"/>
        </w:rPr>
        <w:t>浙江政府采购网，https://zfcg.czt.zj.gov.cn/</w:t>
      </w:r>
      <w:r>
        <w:rPr>
          <w:rStyle w:val="48"/>
          <w:rFonts w:hint="eastAsia"/>
          <w:color w:val="auto"/>
          <w:highlight w:val="none"/>
          <w:u w:val="none"/>
        </w:rPr>
        <w:t>）。</w:t>
      </w:r>
    </w:p>
    <w:p>
      <w:pPr>
        <w:pStyle w:val="3"/>
        <w:spacing w:before="120" w:after="120" w:line="400" w:lineRule="exact"/>
        <w:jc w:val="center"/>
        <w:rPr>
          <w:rFonts w:hint="eastAsia" w:eastAsia="黑体"/>
          <w:b w:val="0"/>
          <w:bCs w:val="0"/>
          <w:color w:val="auto"/>
          <w:sz w:val="32"/>
          <w:highlight w:val="none"/>
        </w:rPr>
        <w:sectPr>
          <w:pgSz w:w="11907" w:h="16840"/>
          <w:pgMar w:top="1417" w:right="1418" w:bottom="1417" w:left="1531" w:header="851" w:footer="992" w:gutter="0"/>
          <w:cols w:space="720" w:num="1"/>
          <w:docGrid w:type="lines" w:linePitch="312" w:charSpace="0"/>
        </w:sectPr>
      </w:pPr>
    </w:p>
    <w:p>
      <w:pPr>
        <w:pStyle w:val="3"/>
        <w:spacing w:before="120" w:after="120" w:line="400" w:lineRule="exact"/>
        <w:jc w:val="center"/>
        <w:rPr>
          <w:rFonts w:eastAsia="黑体"/>
          <w:color w:val="auto"/>
          <w:sz w:val="20"/>
          <w:szCs w:val="20"/>
          <w:highlight w:val="none"/>
          <w:u w:val="single"/>
        </w:rPr>
      </w:pPr>
      <w:r>
        <w:rPr>
          <w:rFonts w:hint="eastAsia" w:eastAsia="黑体"/>
          <w:b w:val="0"/>
          <w:bCs w:val="0"/>
          <w:color w:val="auto"/>
          <w:sz w:val="32"/>
          <w:highlight w:val="none"/>
        </w:rPr>
        <w:t>第二章</w:t>
      </w:r>
      <w:r>
        <w:rPr>
          <w:rFonts w:eastAsia="黑体"/>
          <w:b w:val="0"/>
          <w:bCs w:val="0"/>
          <w:color w:val="auto"/>
          <w:sz w:val="32"/>
          <w:highlight w:val="none"/>
        </w:rPr>
        <w:t xml:space="preserve"> </w:t>
      </w:r>
      <w:r>
        <w:rPr>
          <w:rFonts w:hint="eastAsia" w:eastAsia="黑体"/>
          <w:b w:val="0"/>
          <w:bCs w:val="0"/>
          <w:color w:val="auto"/>
          <w:sz w:val="32"/>
          <w:highlight w:val="none"/>
        </w:rPr>
        <w:t>投标人须知</w:t>
      </w:r>
      <w:bookmarkEnd w:id="14"/>
      <w:bookmarkEnd w:id="15"/>
      <w:bookmarkEnd w:id="16"/>
      <w:bookmarkEnd w:id="17"/>
    </w:p>
    <w:p>
      <w:pPr>
        <w:pStyle w:val="113"/>
        <w:rPr>
          <w:rFonts w:cs="Times New Roman"/>
          <w:color w:val="auto"/>
          <w:highlight w:val="none"/>
        </w:rPr>
      </w:pPr>
      <w:bookmarkStart w:id="18" w:name="_Toc152042304"/>
      <w:bookmarkStart w:id="19" w:name="_Toc152045528"/>
      <w:bookmarkStart w:id="20" w:name="_Toc144974496"/>
      <w:bookmarkStart w:id="21" w:name="_Toc394573881"/>
      <w:bookmarkStart w:id="22" w:name="_Toc531161970"/>
      <w:bookmarkStart w:id="23" w:name="_Toc11909"/>
      <w:r>
        <w:rPr>
          <w:rFonts w:hint="eastAsia" w:cs="Times New Roman"/>
          <w:color w:val="auto"/>
          <w:highlight w:val="none"/>
        </w:rPr>
        <w:t>投标人须知前附表</w:t>
      </w:r>
      <w:bookmarkEnd w:id="18"/>
      <w:bookmarkEnd w:id="19"/>
      <w:bookmarkEnd w:id="20"/>
      <w:bookmarkEnd w:id="21"/>
      <w:bookmarkEnd w:id="22"/>
      <w:bookmarkEnd w:id="23"/>
    </w:p>
    <w:tbl>
      <w:tblPr>
        <w:tblStyle w:val="42"/>
        <w:tblW w:w="9410" w:type="dxa"/>
        <w:jc w:val="center"/>
        <w:tblLayout w:type="fixed"/>
        <w:tblCellMar>
          <w:top w:w="0" w:type="dxa"/>
          <w:left w:w="108" w:type="dxa"/>
          <w:bottom w:w="0" w:type="dxa"/>
          <w:right w:w="108" w:type="dxa"/>
        </w:tblCellMar>
      </w:tblPr>
      <w:tblGrid>
        <w:gridCol w:w="1068"/>
        <w:gridCol w:w="1834"/>
        <w:gridCol w:w="6508"/>
      </w:tblGrid>
      <w:tr>
        <w:tblPrEx>
          <w:tblCellMar>
            <w:top w:w="0" w:type="dxa"/>
            <w:left w:w="108" w:type="dxa"/>
            <w:bottom w:w="0" w:type="dxa"/>
            <w:right w:w="108" w:type="dxa"/>
          </w:tblCellMar>
        </w:tblPrEx>
        <w:trPr>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szCs w:val="21"/>
                <w:highlight w:val="none"/>
              </w:rPr>
            </w:pPr>
            <w:r>
              <w:rPr>
                <w:rFonts w:hint="eastAsia"/>
                <w:b/>
                <w:color w:val="auto"/>
                <w:szCs w:val="21"/>
                <w:highlight w:val="none"/>
              </w:rPr>
              <w:t>条款号</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szCs w:val="21"/>
                <w:highlight w:val="none"/>
              </w:rPr>
            </w:pPr>
            <w:r>
              <w:rPr>
                <w:rFonts w:hint="eastAsia"/>
                <w:b/>
                <w:color w:val="auto"/>
                <w:szCs w:val="21"/>
                <w:highlight w:val="none"/>
              </w:rPr>
              <w:t>条</w:t>
            </w:r>
            <w:r>
              <w:rPr>
                <w:b/>
                <w:color w:val="auto"/>
                <w:szCs w:val="21"/>
                <w:highlight w:val="none"/>
              </w:rPr>
              <w:t xml:space="preserve">  </w:t>
            </w:r>
            <w:r>
              <w:rPr>
                <w:rFonts w:hint="eastAsia"/>
                <w:b/>
                <w:color w:val="auto"/>
                <w:szCs w:val="21"/>
                <w:highlight w:val="none"/>
              </w:rPr>
              <w:t>款</w:t>
            </w:r>
            <w:r>
              <w:rPr>
                <w:b/>
                <w:color w:val="auto"/>
                <w:szCs w:val="21"/>
                <w:highlight w:val="none"/>
              </w:rPr>
              <w:t xml:space="preserve">  </w:t>
            </w:r>
            <w:r>
              <w:rPr>
                <w:rFonts w:hint="eastAsia"/>
                <w:b/>
                <w:color w:val="auto"/>
                <w:szCs w:val="21"/>
                <w:highlight w:val="none"/>
              </w:rPr>
              <w:t>名</w:t>
            </w:r>
            <w:r>
              <w:rPr>
                <w:b/>
                <w:color w:val="auto"/>
                <w:szCs w:val="21"/>
                <w:highlight w:val="none"/>
              </w:rPr>
              <w:t xml:space="preserve">  </w:t>
            </w:r>
            <w:r>
              <w:rPr>
                <w:rFonts w:hint="eastAsia"/>
                <w:b/>
                <w:color w:val="auto"/>
                <w:szCs w:val="21"/>
                <w:highlight w:val="none"/>
              </w:rPr>
              <w:t>称</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ind w:firstLine="422"/>
              <w:jc w:val="center"/>
              <w:rPr>
                <w:b/>
                <w:color w:val="auto"/>
                <w:szCs w:val="21"/>
                <w:highlight w:val="none"/>
              </w:rPr>
            </w:pPr>
            <w:r>
              <w:rPr>
                <w:rFonts w:hint="eastAsia"/>
                <w:b/>
                <w:color w:val="auto"/>
                <w:szCs w:val="21"/>
                <w:highlight w:val="none"/>
              </w:rPr>
              <w:t>编</w:t>
            </w:r>
            <w:r>
              <w:rPr>
                <w:b/>
                <w:color w:val="auto"/>
                <w:szCs w:val="21"/>
                <w:highlight w:val="none"/>
              </w:rPr>
              <w:t xml:space="preserve">  </w:t>
            </w:r>
            <w:r>
              <w:rPr>
                <w:rFonts w:hint="eastAsia"/>
                <w:b/>
                <w:color w:val="auto"/>
                <w:szCs w:val="21"/>
                <w:highlight w:val="none"/>
              </w:rPr>
              <w:t>列</w:t>
            </w:r>
            <w:r>
              <w:rPr>
                <w:b/>
                <w:color w:val="auto"/>
                <w:szCs w:val="21"/>
                <w:highlight w:val="none"/>
              </w:rPr>
              <w:t xml:space="preserve">  </w:t>
            </w:r>
            <w:r>
              <w:rPr>
                <w:rFonts w:hint="eastAsia"/>
                <w:b/>
                <w:color w:val="auto"/>
                <w:szCs w:val="21"/>
                <w:highlight w:val="none"/>
              </w:rPr>
              <w:t>内</w:t>
            </w:r>
            <w:r>
              <w:rPr>
                <w:b/>
                <w:color w:val="auto"/>
                <w:szCs w:val="21"/>
                <w:highlight w:val="none"/>
              </w:rPr>
              <w:t xml:space="preserve">  </w:t>
            </w:r>
            <w:r>
              <w:rPr>
                <w:rFonts w:hint="eastAsia"/>
                <w:b/>
                <w:color w:val="auto"/>
                <w:szCs w:val="21"/>
                <w:highlight w:val="none"/>
              </w:rPr>
              <w:t>容</w:t>
            </w:r>
          </w:p>
        </w:tc>
      </w:tr>
      <w:tr>
        <w:tblPrEx>
          <w:tblCellMar>
            <w:top w:w="0" w:type="dxa"/>
            <w:left w:w="108" w:type="dxa"/>
            <w:bottom w:w="0" w:type="dxa"/>
            <w:right w:w="108" w:type="dxa"/>
          </w:tblCellMar>
        </w:tblPrEx>
        <w:trPr>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1.1.1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highlight w:val="none"/>
              </w:rPr>
              <w:t>工程名称</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olor w:val="auto"/>
                <w:highlight w:val="none"/>
                <w:lang w:eastAsia="zh-CN"/>
              </w:rPr>
            </w:pPr>
            <w:r>
              <w:rPr>
                <w:rFonts w:hint="eastAsia"/>
                <w:color w:val="auto"/>
                <w:highlight w:val="none"/>
              </w:rPr>
              <w:t>工程名称：</w:t>
            </w:r>
            <w:r>
              <w:rPr>
                <w:rFonts w:hint="eastAsia"/>
                <w:color w:val="auto"/>
                <w:highlight w:val="none"/>
                <w:lang w:eastAsia="zh-CN"/>
              </w:rPr>
              <w:t>月湖派出所综合指挥室改造工程</w:t>
            </w:r>
          </w:p>
        </w:tc>
      </w:tr>
      <w:tr>
        <w:tblPrEx>
          <w:tblCellMar>
            <w:top w:w="0" w:type="dxa"/>
            <w:left w:w="108" w:type="dxa"/>
            <w:bottom w:w="0" w:type="dxa"/>
            <w:right w:w="108" w:type="dxa"/>
          </w:tblCellMar>
        </w:tblPrEx>
        <w:trPr>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1.1.2</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招标人</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台州市公安局台州湾新区（高新区）分局</w:t>
            </w:r>
          </w:p>
          <w:p>
            <w:pPr>
              <w:rPr>
                <w:rFonts w:hint="eastAsia"/>
                <w:color w:val="auto"/>
                <w:szCs w:val="21"/>
                <w:highlight w:val="none"/>
              </w:rPr>
            </w:pPr>
            <w:r>
              <w:rPr>
                <w:rFonts w:hint="eastAsia"/>
                <w:color w:val="auto"/>
                <w:szCs w:val="21"/>
                <w:highlight w:val="none"/>
              </w:rPr>
              <w:t>地址：台州市台州湾新区海秀路55号</w:t>
            </w:r>
          </w:p>
          <w:p>
            <w:pPr>
              <w:rPr>
                <w:rFonts w:hint="eastAsia" w:eastAsia="宋体"/>
                <w:color w:val="auto"/>
                <w:szCs w:val="21"/>
                <w:highlight w:val="none"/>
                <w:lang w:eastAsia="zh-CN"/>
              </w:rPr>
            </w:pPr>
            <w:r>
              <w:rPr>
                <w:rFonts w:hint="eastAsia"/>
                <w:color w:val="auto"/>
                <w:szCs w:val="21"/>
                <w:highlight w:val="none"/>
              </w:rPr>
              <w:t>联系人：</w:t>
            </w:r>
            <w:r>
              <w:rPr>
                <w:rFonts w:hint="eastAsia"/>
                <w:color w:val="auto"/>
                <w:szCs w:val="21"/>
                <w:highlight w:val="none"/>
                <w:lang w:eastAsia="zh-CN"/>
              </w:rPr>
              <w:t>卢先生</w:t>
            </w:r>
          </w:p>
          <w:p>
            <w:pPr>
              <w:rPr>
                <w:rFonts w:hint="eastAsia" w:eastAsia="宋体"/>
                <w:color w:val="auto"/>
                <w:szCs w:val="21"/>
                <w:highlight w:val="none"/>
                <w:lang w:eastAsia="zh-CN"/>
              </w:rPr>
            </w:pPr>
            <w:r>
              <w:rPr>
                <w:rFonts w:hint="eastAsia"/>
                <w:color w:val="auto"/>
                <w:szCs w:val="21"/>
                <w:highlight w:val="none"/>
              </w:rPr>
              <w:t>电话：</w:t>
            </w:r>
            <w:r>
              <w:rPr>
                <w:rFonts w:hint="eastAsia"/>
                <w:color w:val="auto"/>
                <w:szCs w:val="21"/>
                <w:highlight w:val="none"/>
                <w:lang w:eastAsia="zh-CN"/>
              </w:rPr>
              <w:t>13858680156</w:t>
            </w:r>
          </w:p>
        </w:tc>
      </w:tr>
      <w:tr>
        <w:tblPrEx>
          <w:tblCellMar>
            <w:top w:w="0" w:type="dxa"/>
            <w:left w:w="108" w:type="dxa"/>
            <w:bottom w:w="0" w:type="dxa"/>
            <w:right w:w="108" w:type="dxa"/>
          </w:tblCellMar>
        </w:tblPrEx>
        <w:trPr>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1.1.3</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招标代理机构</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浙江双联工程咨询有限公司</w:t>
            </w:r>
          </w:p>
          <w:p>
            <w:pPr>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台州市经中路398号（明远大厦）3幢3楼</w:t>
            </w:r>
          </w:p>
          <w:p>
            <w:pPr>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郑建平</w:t>
            </w:r>
          </w:p>
          <w:p>
            <w:pPr>
              <w:rPr>
                <w:rFonts w:hint="eastAsia" w:eastAsia="宋体"/>
                <w:color w:val="auto"/>
                <w:szCs w:val="21"/>
                <w:highlight w:val="none"/>
                <w:lang w:eastAsia="zh-CN"/>
              </w:rPr>
            </w:pPr>
            <w:r>
              <w:rPr>
                <w:rFonts w:hint="eastAsia" w:ascii="宋体" w:hAnsi="宋体"/>
                <w:color w:val="auto"/>
                <w:szCs w:val="21"/>
                <w:highlight w:val="none"/>
              </w:rPr>
              <w:t>电话：0576-</w:t>
            </w:r>
            <w:r>
              <w:rPr>
                <w:rFonts w:hint="eastAsia" w:ascii="宋体" w:hAnsi="宋体"/>
                <w:color w:val="auto"/>
                <w:szCs w:val="21"/>
                <w:highlight w:val="none"/>
                <w:lang w:eastAsia="zh-CN"/>
              </w:rPr>
              <w:t>81818017</w:t>
            </w:r>
          </w:p>
        </w:tc>
      </w:tr>
      <w:tr>
        <w:tblPrEx>
          <w:tblCellMar>
            <w:top w:w="0" w:type="dxa"/>
            <w:left w:w="108" w:type="dxa"/>
            <w:bottom w:w="0" w:type="dxa"/>
            <w:right w:w="108" w:type="dxa"/>
          </w:tblCellMar>
        </w:tblPrEx>
        <w:trPr>
          <w:trHeight w:val="90"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color w:val="auto"/>
                <w:szCs w:val="21"/>
                <w:highlight w:val="none"/>
              </w:rPr>
              <w:t>1.1.</w:t>
            </w:r>
            <w:r>
              <w:rPr>
                <w:rFonts w:hint="eastAsia"/>
                <w:color w:val="auto"/>
                <w:szCs w:val="21"/>
                <w:highlight w:val="none"/>
              </w:rPr>
              <w:t>4</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建设地点</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Cs w:val="21"/>
                <w:highlight w:val="none"/>
              </w:rPr>
            </w:pPr>
            <w:r>
              <w:rPr>
                <w:rFonts w:hint="eastAsia" w:ascii="宋体" w:hAnsi="宋体"/>
                <w:color w:val="auto"/>
                <w:szCs w:val="21"/>
                <w:highlight w:val="none"/>
              </w:rPr>
              <w:t>位于</w:t>
            </w:r>
            <w:r>
              <w:rPr>
                <w:rFonts w:hint="eastAsia" w:ascii="宋体" w:hAnsi="宋体"/>
                <w:color w:val="auto"/>
                <w:szCs w:val="21"/>
                <w:highlight w:val="none"/>
                <w:lang w:eastAsia="zh-CN"/>
              </w:rPr>
              <w:t>台州市公安局台州湾新区分局</w:t>
            </w:r>
            <w:r>
              <w:rPr>
                <w:rFonts w:hint="eastAsia" w:ascii="宋体" w:hAnsi="宋体"/>
                <w:color w:val="auto"/>
                <w:szCs w:val="21"/>
                <w:highlight w:val="none"/>
                <w:lang w:val="en-US" w:eastAsia="zh-CN"/>
              </w:rPr>
              <w:t>大院内</w:t>
            </w:r>
            <w:r>
              <w:rPr>
                <w:rFonts w:hint="eastAsia" w:ascii="宋体" w:hAnsi="宋体"/>
                <w:color w:val="auto"/>
                <w:szCs w:val="21"/>
                <w:highlight w:val="none"/>
              </w:rPr>
              <w:t>；</w:t>
            </w:r>
          </w:p>
        </w:tc>
      </w:tr>
      <w:tr>
        <w:tblPrEx>
          <w:tblCellMar>
            <w:top w:w="0" w:type="dxa"/>
            <w:left w:w="108" w:type="dxa"/>
            <w:bottom w:w="0" w:type="dxa"/>
            <w:right w:w="108" w:type="dxa"/>
          </w:tblCellMar>
        </w:tblPrEx>
        <w:trPr>
          <w:trHeight w:val="618"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1.2.1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rFonts w:hint="eastAsia"/>
                <w:color w:val="auto"/>
                <w:szCs w:val="21"/>
                <w:highlight w:val="none"/>
              </w:rPr>
              <w:t>资金来源及</w:t>
            </w:r>
          </w:p>
          <w:p>
            <w:pPr>
              <w:adjustRightInd w:val="0"/>
              <w:snapToGrid w:val="0"/>
              <w:jc w:val="center"/>
              <w:rPr>
                <w:color w:val="auto"/>
                <w:szCs w:val="21"/>
                <w:highlight w:val="none"/>
              </w:rPr>
            </w:pPr>
            <w:r>
              <w:rPr>
                <w:rFonts w:hint="eastAsia"/>
                <w:color w:val="auto"/>
                <w:szCs w:val="21"/>
                <w:highlight w:val="none"/>
              </w:rPr>
              <w:t>出资比例</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zCs w:val="21"/>
                <w:highlight w:val="none"/>
              </w:rPr>
            </w:pPr>
          </w:p>
          <w:p>
            <w:pPr>
              <w:adjustRightInd w:val="0"/>
              <w:snapToGrid w:val="0"/>
              <w:rPr>
                <w:color w:val="auto"/>
                <w:szCs w:val="21"/>
                <w:highlight w:val="none"/>
              </w:rPr>
            </w:pPr>
            <w:r>
              <w:rPr>
                <w:rFonts w:hint="eastAsia"/>
                <w:color w:val="auto"/>
                <w:szCs w:val="21"/>
                <w:highlight w:val="none"/>
                <w:lang w:val="en-US" w:eastAsia="zh-CN"/>
              </w:rPr>
              <w:t>自筹</w:t>
            </w:r>
            <w:r>
              <w:rPr>
                <w:rFonts w:hint="eastAsia"/>
                <w:color w:val="auto"/>
                <w:szCs w:val="21"/>
                <w:highlight w:val="none"/>
              </w:rPr>
              <w:t>100%</w:t>
            </w:r>
          </w:p>
          <w:p>
            <w:pPr>
              <w:adjustRightInd w:val="0"/>
              <w:snapToGrid w:val="0"/>
              <w:rPr>
                <w:color w:val="auto"/>
                <w:szCs w:val="21"/>
                <w:highlight w:val="none"/>
              </w:rPr>
            </w:pPr>
          </w:p>
        </w:tc>
      </w:tr>
      <w:tr>
        <w:tblPrEx>
          <w:tblCellMar>
            <w:top w:w="0" w:type="dxa"/>
            <w:left w:w="108" w:type="dxa"/>
            <w:bottom w:w="0" w:type="dxa"/>
            <w:right w:w="108" w:type="dxa"/>
          </w:tblCellMar>
        </w:tblPrEx>
        <w:trPr>
          <w:trHeight w:val="439"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1.2.2</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资金落实情况</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已落实</w:t>
            </w:r>
          </w:p>
        </w:tc>
      </w:tr>
      <w:tr>
        <w:tblPrEx>
          <w:tblCellMar>
            <w:top w:w="0" w:type="dxa"/>
            <w:left w:w="108" w:type="dxa"/>
            <w:bottom w:w="0" w:type="dxa"/>
            <w:right w:w="108" w:type="dxa"/>
          </w:tblCellMar>
        </w:tblPrEx>
        <w:trPr>
          <w:trHeight w:val="90"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1.3.1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招标范围</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color w:val="auto"/>
                <w:highlight w:val="none"/>
                <w:lang w:val="en-US" w:eastAsia="zh-CN"/>
              </w:rPr>
            </w:pPr>
            <w:r>
              <w:rPr>
                <w:rFonts w:hint="eastAsia"/>
                <w:color w:val="auto"/>
                <w:highlight w:val="none"/>
              </w:rPr>
              <w:t>招标范围为招标人提供的施工图</w:t>
            </w:r>
            <w:r>
              <w:rPr>
                <w:rFonts w:hint="eastAsia"/>
                <w:color w:val="auto"/>
                <w:highlight w:val="none"/>
                <w:lang w:eastAsia="zh-CN"/>
              </w:rPr>
              <w:t>（</w:t>
            </w:r>
            <w:r>
              <w:rPr>
                <w:rFonts w:hint="eastAsia"/>
                <w:color w:val="auto"/>
                <w:highlight w:val="none"/>
                <w:lang w:val="en-US" w:eastAsia="zh-CN"/>
              </w:rPr>
              <w:t>按预算说明</w:t>
            </w:r>
            <w:r>
              <w:rPr>
                <w:rFonts w:hint="eastAsia"/>
                <w:color w:val="auto"/>
                <w:highlight w:val="none"/>
                <w:lang w:eastAsia="zh-CN"/>
              </w:rPr>
              <w:t>）</w:t>
            </w:r>
            <w:r>
              <w:rPr>
                <w:rFonts w:hint="eastAsia"/>
                <w:color w:val="auto"/>
                <w:highlight w:val="none"/>
              </w:rPr>
              <w:t>所包含的</w:t>
            </w:r>
            <w:r>
              <w:rPr>
                <w:rFonts w:hint="eastAsia"/>
                <w:color w:val="auto"/>
                <w:highlight w:val="none"/>
                <w:lang w:val="en-US" w:eastAsia="zh-CN"/>
              </w:rPr>
              <w:t>全部工程</w:t>
            </w:r>
          </w:p>
        </w:tc>
      </w:tr>
      <w:tr>
        <w:tblPrEx>
          <w:tblCellMar>
            <w:top w:w="0" w:type="dxa"/>
            <w:left w:w="108" w:type="dxa"/>
            <w:bottom w:w="0" w:type="dxa"/>
            <w:right w:w="108" w:type="dxa"/>
          </w:tblCellMar>
        </w:tblPrEx>
        <w:trPr>
          <w:trHeight w:val="539"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1.3.2</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工期要求</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color w:val="auto"/>
                <w:highlight w:val="none"/>
              </w:rPr>
            </w:pPr>
            <w:r>
              <w:rPr>
                <w:rFonts w:hint="eastAsia"/>
                <w:color w:val="auto"/>
                <w:highlight w:val="none"/>
              </w:rPr>
              <w:t>不超过</w:t>
            </w:r>
            <w:r>
              <w:rPr>
                <w:rFonts w:hint="eastAsia"/>
                <w:color w:val="auto"/>
                <w:highlight w:val="none"/>
                <w:lang w:val="en-US" w:eastAsia="zh-CN"/>
              </w:rPr>
              <w:t>8</w:t>
            </w:r>
            <w:r>
              <w:rPr>
                <w:rFonts w:hint="eastAsia"/>
                <w:color w:val="auto"/>
                <w:highlight w:val="none"/>
              </w:rPr>
              <w:t>0日历天</w:t>
            </w:r>
          </w:p>
        </w:tc>
      </w:tr>
      <w:tr>
        <w:tblPrEx>
          <w:tblCellMar>
            <w:top w:w="0" w:type="dxa"/>
            <w:left w:w="108" w:type="dxa"/>
            <w:bottom w:w="0" w:type="dxa"/>
            <w:right w:w="108" w:type="dxa"/>
          </w:tblCellMar>
        </w:tblPrEx>
        <w:trPr>
          <w:trHeight w:val="90"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1.3.3</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质量要求</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合格</w:t>
            </w:r>
          </w:p>
        </w:tc>
      </w:tr>
      <w:tr>
        <w:tblPrEx>
          <w:tblCellMar>
            <w:top w:w="0" w:type="dxa"/>
            <w:left w:w="108" w:type="dxa"/>
            <w:bottom w:w="0" w:type="dxa"/>
            <w:right w:w="108" w:type="dxa"/>
          </w:tblCellMar>
        </w:tblPrEx>
        <w:trPr>
          <w:trHeight w:val="1015" w:hRule="atLeast"/>
          <w:jc w:val="center"/>
        </w:trPr>
        <w:tc>
          <w:tcPr>
            <w:tcW w:w="1068" w:type="dxa"/>
            <w:tcBorders>
              <w:top w:val="single" w:color="auto" w:sz="4" w:space="0"/>
              <w:left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1.4.1</w:t>
            </w:r>
          </w:p>
        </w:tc>
        <w:tc>
          <w:tcPr>
            <w:tcW w:w="1834" w:type="dxa"/>
            <w:tcBorders>
              <w:top w:val="single" w:color="auto" w:sz="4" w:space="0"/>
              <w:left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投标人资质条件及项目负责人资格要求</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u w:val="none"/>
              </w:rPr>
            </w:pPr>
            <w:r>
              <w:rPr>
                <w:color w:val="auto"/>
                <w:szCs w:val="21"/>
                <w:highlight w:val="none"/>
                <w:u w:val="none"/>
              </w:rPr>
              <w:t>投标人资质条件：</w:t>
            </w:r>
            <w:r>
              <w:rPr>
                <w:rFonts w:hint="eastAsia" w:ascii="Calibri" w:hAnsi="Calibri"/>
                <w:color w:val="auto"/>
                <w:szCs w:val="21"/>
                <w:highlight w:val="none"/>
                <w:u w:val="none"/>
                <w:lang w:eastAsia="zh-CN"/>
              </w:rPr>
              <w:t>建筑装修装饰工程专业承包二级及以上</w:t>
            </w:r>
            <w:r>
              <w:rPr>
                <w:rFonts w:hint="eastAsia" w:ascii="Calibri" w:hAnsi="Calibri"/>
                <w:color w:val="auto"/>
                <w:szCs w:val="21"/>
                <w:highlight w:val="none"/>
                <w:u w:val="none"/>
                <w:lang w:val="en-US" w:eastAsia="zh-CN"/>
              </w:rPr>
              <w:t>资质</w:t>
            </w:r>
            <w:r>
              <w:rPr>
                <w:rFonts w:hint="eastAsia"/>
                <w:color w:val="auto"/>
                <w:szCs w:val="21"/>
                <w:highlight w:val="none"/>
                <w:u w:val="none"/>
              </w:rPr>
              <w:t>；</w:t>
            </w:r>
            <w:r>
              <w:rPr>
                <w:color w:val="auto"/>
                <w:szCs w:val="21"/>
                <w:highlight w:val="none"/>
                <w:u w:val="none"/>
              </w:rPr>
              <w:t xml:space="preserve">              </w:t>
            </w:r>
          </w:p>
          <w:p>
            <w:pPr>
              <w:rPr>
                <w:rFonts w:hint="eastAsia"/>
                <w:i/>
                <w:color w:val="auto"/>
                <w:highlight w:val="none"/>
                <w:u w:val="none"/>
              </w:rPr>
            </w:pPr>
            <w:r>
              <w:rPr>
                <w:color w:val="auto"/>
                <w:szCs w:val="21"/>
                <w:highlight w:val="none"/>
                <w:u w:val="none"/>
              </w:rPr>
              <w:t>项目负责人资格要求：建筑工程专业注册建造师</w:t>
            </w:r>
            <w:r>
              <w:rPr>
                <w:rFonts w:hint="eastAsia"/>
                <w:color w:val="auto"/>
                <w:szCs w:val="21"/>
                <w:highlight w:val="none"/>
                <w:u w:val="none"/>
              </w:rPr>
              <w:t>二级及以上。</w:t>
            </w:r>
          </w:p>
          <w:p>
            <w:pPr>
              <w:rPr>
                <w:rFonts w:hint="eastAsia"/>
                <w:color w:val="auto"/>
                <w:highlight w:val="none"/>
              </w:rPr>
            </w:pPr>
            <w:r>
              <w:rPr>
                <w:rFonts w:hint="eastAsia"/>
                <w:color w:val="auto"/>
                <w:szCs w:val="21"/>
                <w:highlight w:val="none"/>
                <w:u w:val="none"/>
              </w:rPr>
              <w:t>其他要求：详见投标人须知正文</w:t>
            </w:r>
          </w:p>
        </w:tc>
      </w:tr>
      <w:tr>
        <w:tblPrEx>
          <w:tblCellMar>
            <w:top w:w="0" w:type="dxa"/>
            <w:left w:w="108" w:type="dxa"/>
            <w:bottom w:w="0" w:type="dxa"/>
            <w:right w:w="108" w:type="dxa"/>
          </w:tblCellMar>
        </w:tblPrEx>
        <w:trPr>
          <w:trHeight w:val="610"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1.4.4</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是否接受联合体投标</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rFonts w:hint="eastAsia"/>
                <w:b/>
                <w:bCs/>
                <w:color w:val="auto"/>
                <w:szCs w:val="21"/>
                <w:highlight w:val="none"/>
              </w:rPr>
            </w:pPr>
            <w:r>
              <w:rPr>
                <w:color w:val="auto"/>
                <w:szCs w:val="21"/>
                <w:highlight w:val="none"/>
              </w:rPr>
              <w:t>不接受</w:t>
            </w:r>
          </w:p>
        </w:tc>
      </w:tr>
      <w:tr>
        <w:tblPrEx>
          <w:tblCellMar>
            <w:top w:w="0" w:type="dxa"/>
            <w:left w:w="108" w:type="dxa"/>
            <w:bottom w:w="0" w:type="dxa"/>
            <w:right w:w="108" w:type="dxa"/>
          </w:tblCellMar>
        </w:tblPrEx>
        <w:trPr>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1.9.1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踏勘现场</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不组织，由潜在投标人自行前往现场踏勘。</w:t>
            </w:r>
          </w:p>
        </w:tc>
      </w:tr>
      <w:tr>
        <w:tblPrEx>
          <w:tblCellMar>
            <w:top w:w="0" w:type="dxa"/>
            <w:left w:w="108" w:type="dxa"/>
            <w:bottom w:w="0" w:type="dxa"/>
            <w:right w:w="108" w:type="dxa"/>
          </w:tblCellMar>
        </w:tblPrEx>
        <w:trPr>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1.10</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投标预备会</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不召开</w:t>
            </w:r>
          </w:p>
        </w:tc>
      </w:tr>
      <w:tr>
        <w:tblPrEx>
          <w:tblCellMar>
            <w:top w:w="0" w:type="dxa"/>
            <w:left w:w="108" w:type="dxa"/>
            <w:bottom w:w="0" w:type="dxa"/>
            <w:right w:w="108" w:type="dxa"/>
          </w:tblCellMar>
        </w:tblPrEx>
        <w:trPr>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1.11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分包</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不允许</w:t>
            </w:r>
          </w:p>
        </w:tc>
      </w:tr>
      <w:tr>
        <w:tblPrEx>
          <w:tblCellMar>
            <w:top w:w="0" w:type="dxa"/>
            <w:left w:w="108" w:type="dxa"/>
            <w:bottom w:w="0" w:type="dxa"/>
            <w:right w:w="108" w:type="dxa"/>
          </w:tblCellMar>
        </w:tblPrEx>
        <w:trPr>
          <w:trHeight w:val="90"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1.12</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偏离</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不允许</w:t>
            </w:r>
          </w:p>
        </w:tc>
      </w:tr>
      <w:tr>
        <w:tblPrEx>
          <w:tblCellMar>
            <w:top w:w="0" w:type="dxa"/>
            <w:left w:w="108" w:type="dxa"/>
            <w:bottom w:w="0" w:type="dxa"/>
            <w:right w:w="108" w:type="dxa"/>
          </w:tblCellMar>
        </w:tblPrEx>
        <w:trPr>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构成招标文件的其他材料</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color w:val="auto"/>
                <w:highlight w:val="none"/>
              </w:rPr>
            </w:pPr>
            <w:r>
              <w:rPr>
                <w:rFonts w:hint="eastAsia"/>
                <w:color w:val="auto"/>
                <w:highlight w:val="none"/>
              </w:rPr>
              <w:t>其他材料：</w:t>
            </w:r>
          </w:p>
          <w:p>
            <w:pPr>
              <w:numPr>
                <w:ilvl w:val="0"/>
                <w:numId w:val="1"/>
              </w:numPr>
              <w:rPr>
                <w:rFonts w:hint="eastAsia"/>
                <w:color w:val="auto"/>
                <w:highlight w:val="none"/>
              </w:rPr>
            </w:pPr>
            <w:r>
              <w:rPr>
                <w:rFonts w:hint="eastAsia"/>
                <w:color w:val="auto"/>
                <w:highlight w:val="none"/>
              </w:rPr>
              <w:t>招标文件；</w:t>
            </w:r>
          </w:p>
          <w:p>
            <w:pPr>
              <w:numPr>
                <w:ilvl w:val="0"/>
                <w:numId w:val="1"/>
              </w:numPr>
              <w:rPr>
                <w:rFonts w:hint="eastAsia"/>
                <w:color w:val="auto"/>
                <w:highlight w:val="none"/>
              </w:rPr>
            </w:pPr>
            <w:r>
              <w:rPr>
                <w:rFonts w:hint="eastAsia"/>
                <w:color w:val="auto"/>
                <w:highlight w:val="none"/>
              </w:rPr>
              <w:t>招标控制价（如有）；</w:t>
            </w:r>
          </w:p>
          <w:p>
            <w:pPr>
              <w:numPr>
                <w:ilvl w:val="0"/>
                <w:numId w:val="1"/>
              </w:numPr>
              <w:rPr>
                <w:rFonts w:hint="eastAsia"/>
                <w:color w:val="auto"/>
                <w:highlight w:val="none"/>
              </w:rPr>
            </w:pPr>
            <w:r>
              <w:rPr>
                <w:rFonts w:hint="eastAsia"/>
                <w:color w:val="auto"/>
                <w:highlight w:val="none"/>
              </w:rPr>
              <w:t>图纸（如有）；</w:t>
            </w:r>
          </w:p>
        </w:tc>
      </w:tr>
      <w:tr>
        <w:tblPrEx>
          <w:tblCellMar>
            <w:top w:w="0" w:type="dxa"/>
            <w:left w:w="108" w:type="dxa"/>
            <w:bottom w:w="0" w:type="dxa"/>
            <w:right w:w="108" w:type="dxa"/>
          </w:tblCellMar>
        </w:tblPrEx>
        <w:trPr>
          <w:trHeight w:val="224"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2.2</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b/>
                <w:bCs/>
                <w:color w:val="auto"/>
                <w:szCs w:val="21"/>
                <w:highlight w:val="none"/>
              </w:rPr>
              <w:t>招标文件的澄清</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color w:val="auto"/>
                <w:highlight w:val="none"/>
              </w:rPr>
            </w:pPr>
            <w:r>
              <w:rPr>
                <w:rFonts w:hint="eastAsia" w:ascii="宋体" w:hAnsi="宋体" w:cs="宋体"/>
                <w:b/>
                <w:bCs/>
                <w:color w:val="auto"/>
                <w:szCs w:val="21"/>
                <w:highlight w:val="none"/>
              </w:rPr>
              <w:t>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w:t>
            </w:r>
          </w:p>
        </w:tc>
      </w:tr>
      <w:tr>
        <w:tblPrEx>
          <w:tblCellMar>
            <w:top w:w="0" w:type="dxa"/>
            <w:left w:w="108" w:type="dxa"/>
            <w:bottom w:w="0" w:type="dxa"/>
            <w:right w:w="108" w:type="dxa"/>
          </w:tblCellMar>
        </w:tblPrEx>
        <w:trPr>
          <w:trHeight w:val="4355"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3.1.1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投标文件组成</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ind w:firstLine="422" w:firstLineChars="200"/>
              <w:rPr>
                <w:rFonts w:hint="eastAsia" w:ascii="Calibri" w:hAnsi="Calibri"/>
                <w:b/>
                <w:color w:val="auto"/>
                <w:highlight w:val="none"/>
              </w:rPr>
            </w:pPr>
            <w:r>
              <w:rPr>
                <w:rFonts w:hint="eastAsia" w:ascii="Calibri" w:hAnsi="Calibri"/>
                <w:b/>
                <w:color w:val="auto"/>
                <w:highlight w:val="none"/>
              </w:rPr>
              <w:t>通过台州湾新区小额工程电子交易平台（网址：http://www.tzwztb.com/）在线制作。</w:t>
            </w:r>
          </w:p>
          <w:p>
            <w:pPr>
              <w:pStyle w:val="13"/>
              <w:adjustRightInd w:val="0"/>
              <w:snapToGrid w:val="0"/>
              <w:ind w:firstLine="211" w:firstLineChars="100"/>
              <w:rPr>
                <w:rFonts w:hint="eastAsia"/>
                <w:b/>
                <w:color w:val="auto"/>
                <w:highlight w:val="none"/>
              </w:rPr>
            </w:pPr>
            <w:r>
              <w:rPr>
                <w:rFonts w:hint="eastAsia"/>
                <w:b/>
                <w:color w:val="auto"/>
                <w:highlight w:val="none"/>
              </w:rPr>
              <w:t>1</w:t>
            </w:r>
            <w:r>
              <w:rPr>
                <w:rFonts w:hint="eastAsia" w:hAnsi="宋体"/>
                <w:b/>
                <w:color w:val="auto"/>
                <w:highlight w:val="none"/>
              </w:rPr>
              <w:t>、资信标包括：</w:t>
            </w:r>
          </w:p>
          <w:p>
            <w:pPr>
              <w:pStyle w:val="13"/>
              <w:adjustRightInd w:val="0"/>
              <w:rPr>
                <w:rFonts w:hint="eastAsia"/>
                <w:color w:val="auto"/>
                <w:highlight w:val="none"/>
              </w:rPr>
            </w:pPr>
            <w:r>
              <w:rPr>
                <w:rFonts w:hint="eastAsia"/>
                <w:color w:val="auto"/>
                <w:highlight w:val="none"/>
              </w:rPr>
              <w:t>（1）项目负责人简历表（详见投标文件格式）；</w:t>
            </w:r>
          </w:p>
          <w:p>
            <w:pPr>
              <w:pStyle w:val="13"/>
              <w:adjustRightInd w:val="0"/>
              <w:rPr>
                <w:rFonts w:hint="eastAsia"/>
                <w:color w:val="auto"/>
                <w:highlight w:val="none"/>
              </w:rPr>
            </w:pPr>
            <w:r>
              <w:rPr>
                <w:rFonts w:hint="eastAsia"/>
                <w:color w:val="auto"/>
                <w:highlight w:val="none"/>
              </w:rPr>
              <w:t>（2）技术负责人简历表（详见投标文件格式）；</w:t>
            </w:r>
          </w:p>
          <w:p>
            <w:pPr>
              <w:pStyle w:val="13"/>
              <w:adjustRightInd w:val="0"/>
              <w:rPr>
                <w:rFonts w:hint="eastAsia"/>
                <w:color w:val="auto"/>
                <w:highlight w:val="none"/>
              </w:rPr>
            </w:pPr>
            <w:r>
              <w:rPr>
                <w:rFonts w:hint="eastAsia"/>
                <w:color w:val="auto"/>
                <w:highlight w:val="none"/>
              </w:rPr>
              <w:t>（3）主要施工机械设备表（详见投标文件格式）；</w:t>
            </w:r>
          </w:p>
          <w:p>
            <w:pPr>
              <w:pStyle w:val="13"/>
              <w:adjustRightInd w:val="0"/>
              <w:rPr>
                <w:rFonts w:hint="eastAsia"/>
                <w:color w:val="auto"/>
                <w:highlight w:val="none"/>
              </w:rPr>
            </w:pPr>
            <w:r>
              <w:rPr>
                <w:rFonts w:hint="eastAsia"/>
                <w:color w:val="auto"/>
                <w:highlight w:val="none"/>
              </w:rPr>
              <w:t>（4）台州市建设工程诚信投标承诺书（详见投标文件格式）；</w:t>
            </w:r>
          </w:p>
          <w:p>
            <w:pPr>
              <w:pStyle w:val="13"/>
              <w:adjustRightInd w:val="0"/>
              <w:rPr>
                <w:rFonts w:hint="eastAsia"/>
                <w:color w:val="auto"/>
                <w:highlight w:val="none"/>
              </w:rPr>
            </w:pPr>
            <w:r>
              <w:rPr>
                <w:rFonts w:hint="eastAsia"/>
                <w:color w:val="auto"/>
                <w:highlight w:val="none"/>
              </w:rPr>
              <w:t>（5）台州市建设工程安全生产任职资格承诺书（详见投标文件格式）；</w:t>
            </w:r>
          </w:p>
          <w:p>
            <w:pPr>
              <w:pStyle w:val="13"/>
              <w:adjustRightInd w:val="0"/>
              <w:rPr>
                <w:rFonts w:hint="eastAsia"/>
                <w:color w:val="auto"/>
                <w:highlight w:val="none"/>
              </w:rPr>
            </w:pPr>
            <w:r>
              <w:rPr>
                <w:rFonts w:hint="eastAsia"/>
                <w:color w:val="auto"/>
                <w:highlight w:val="none"/>
              </w:rPr>
              <w:t>（6）证书材料：</w:t>
            </w:r>
          </w:p>
          <w:p>
            <w:pPr>
              <w:pStyle w:val="13"/>
              <w:adjustRightInd w:val="0"/>
              <w:rPr>
                <w:rFonts w:hint="eastAsia"/>
                <w:i/>
                <w:color w:val="auto"/>
                <w:highlight w:val="none"/>
              </w:rPr>
            </w:pPr>
            <w:r>
              <w:rPr>
                <w:rFonts w:hint="eastAsia"/>
                <w:color w:val="auto"/>
                <w:highlight w:val="none"/>
              </w:rPr>
              <w:t>①有效的</w:t>
            </w:r>
            <w:r>
              <w:rPr>
                <w:color w:val="auto"/>
                <w:spacing w:val="-1"/>
                <w:highlight w:val="none"/>
              </w:rPr>
              <w:t>企业营业执照</w:t>
            </w:r>
            <w:r>
              <w:rPr>
                <w:rFonts w:hint="eastAsia"/>
                <w:color w:val="auto"/>
                <w:spacing w:val="-1"/>
                <w:highlight w:val="none"/>
              </w:rPr>
              <w:t>；</w:t>
            </w:r>
          </w:p>
          <w:p>
            <w:pPr>
              <w:ind w:firstLine="420"/>
              <w:rPr>
                <w:rFonts w:hint="eastAsia"/>
                <w:color w:val="auto"/>
                <w:spacing w:val="-1"/>
                <w:highlight w:val="none"/>
              </w:rPr>
            </w:pPr>
            <w:r>
              <w:rPr>
                <w:rFonts w:hint="eastAsia"/>
                <w:color w:val="auto"/>
                <w:highlight w:val="none"/>
              </w:rPr>
              <w:t>②</w:t>
            </w:r>
            <w:r>
              <w:rPr>
                <w:rFonts w:hint="eastAsia"/>
                <w:color w:val="auto"/>
                <w:spacing w:val="-1"/>
                <w:highlight w:val="none"/>
              </w:rPr>
              <w:t>有效的</w:t>
            </w:r>
            <w:r>
              <w:rPr>
                <w:color w:val="auto"/>
                <w:spacing w:val="-1"/>
                <w:highlight w:val="none"/>
              </w:rPr>
              <w:t>安全生产许可证</w:t>
            </w:r>
            <w:r>
              <w:rPr>
                <w:rFonts w:hint="eastAsia"/>
                <w:color w:val="auto"/>
                <w:spacing w:val="-1"/>
                <w:highlight w:val="none"/>
              </w:rPr>
              <w:t>；</w:t>
            </w:r>
          </w:p>
          <w:p>
            <w:pPr>
              <w:pStyle w:val="19"/>
              <w:ind w:left="630" w:leftChars="200" w:hanging="210" w:hangingChars="100"/>
              <w:rPr>
                <w:rFonts w:hint="eastAsia" w:eastAsia="宋体"/>
                <w:color w:val="auto"/>
                <w:highlight w:val="none"/>
                <w:lang w:eastAsia="zh-CN"/>
              </w:rPr>
            </w:pPr>
            <w:r>
              <w:rPr>
                <w:rFonts w:hint="eastAsia" w:ascii="宋体" w:hAnsi="宋体" w:cs="宋体"/>
                <w:color w:val="auto"/>
                <w:highlight w:val="none"/>
              </w:rPr>
              <w:t>③有效的</w:t>
            </w:r>
            <w:r>
              <w:rPr>
                <w:color w:val="auto"/>
                <w:spacing w:val="-1"/>
                <w:highlight w:val="none"/>
              </w:rPr>
              <w:t>企业资质证书</w:t>
            </w:r>
            <w:r>
              <w:rPr>
                <w:rFonts w:hint="eastAsia"/>
                <w:color w:val="auto"/>
                <w:spacing w:val="-1"/>
                <w:highlight w:val="none"/>
              </w:rPr>
              <w:t>或</w:t>
            </w:r>
            <w:r>
              <w:rPr>
                <w:rFonts w:hint="eastAsia"/>
                <w:color w:val="auto"/>
                <w:highlight w:val="none"/>
              </w:rPr>
              <w:t>建设部四库平台、网站查询结果截图</w:t>
            </w:r>
            <w:r>
              <w:rPr>
                <w:rFonts w:hint="eastAsia"/>
                <w:color w:val="auto"/>
                <w:highlight w:val="none"/>
                <w:lang w:eastAsia="zh-CN"/>
              </w:rPr>
              <w:t>；</w:t>
            </w:r>
          </w:p>
          <w:p>
            <w:pPr>
              <w:pStyle w:val="19"/>
              <w:ind w:firstLineChars="200"/>
              <w:rPr>
                <w:rFonts w:hint="eastAsia"/>
                <w:color w:val="auto"/>
                <w:highlight w:val="none"/>
              </w:rPr>
            </w:pPr>
            <w:r>
              <w:rPr>
                <w:rFonts w:hint="eastAsia"/>
                <w:color w:val="auto"/>
                <w:highlight w:val="none"/>
              </w:rPr>
              <w:t>④有效的《省外企业进浙承接业务备案证明》或“浙江省建筑市场监管公共服务系统”对外发布的通过审核形成的备案信息网页截图（仅指浙江省省外企业）</w:t>
            </w:r>
          </w:p>
          <w:p>
            <w:pPr>
              <w:pStyle w:val="19"/>
              <w:ind w:firstLineChars="200"/>
              <w:rPr>
                <w:rFonts w:hint="eastAsia"/>
                <w:color w:val="auto"/>
                <w:highlight w:val="none"/>
              </w:rPr>
            </w:pPr>
            <w:r>
              <w:rPr>
                <w:rFonts w:hint="eastAsia"/>
                <w:color w:val="auto"/>
                <w:highlight w:val="none"/>
              </w:rPr>
              <w:t>⑤有效的项目负责人的《项目负责人建造师注册证书》及三类人员B类证书；</w:t>
            </w:r>
          </w:p>
          <w:p>
            <w:pPr>
              <w:pStyle w:val="14"/>
              <w:ind w:left="0" w:leftChars="0" w:firstLine="420" w:firstLineChars="200"/>
              <w:rPr>
                <w:rFonts w:hint="eastAsia"/>
                <w:color w:val="auto"/>
                <w:highlight w:val="none"/>
              </w:rPr>
            </w:pPr>
            <w:r>
              <w:rPr>
                <w:rFonts w:hint="eastAsia"/>
                <w:color w:val="auto"/>
                <w:highlight w:val="none"/>
              </w:rPr>
              <w:t>投标人委派项目负责人为一级建造师，须提供电子证书。一级建造师注册证书须执行住房和城乡建设部的文件（建办市[2021]40号）的相关规定。一级建造师电子证书打印后，应在个人签名处手写本人签名，未手写签名或与签名图像笔迹不一致的，该电子证书无效</w:t>
            </w:r>
          </w:p>
          <w:p>
            <w:pPr>
              <w:pStyle w:val="13"/>
              <w:adjustRightInd w:val="0"/>
              <w:snapToGrid w:val="0"/>
              <w:rPr>
                <w:rFonts w:hint="eastAsia" w:hAnsi="宋体"/>
                <w:color w:val="auto"/>
                <w:szCs w:val="21"/>
                <w:highlight w:val="none"/>
              </w:rPr>
            </w:pPr>
            <w:r>
              <w:rPr>
                <w:rFonts w:hint="eastAsia"/>
                <w:color w:val="auto"/>
                <w:highlight w:val="none"/>
              </w:rPr>
              <w:t>（7）其他证明材料（如有）</w:t>
            </w:r>
            <w:r>
              <w:rPr>
                <w:rFonts w:hint="eastAsia" w:hAnsi="宋体"/>
                <w:color w:val="auto"/>
                <w:szCs w:val="21"/>
                <w:highlight w:val="none"/>
              </w:rPr>
              <w:t>。</w:t>
            </w:r>
          </w:p>
          <w:p>
            <w:pPr>
              <w:pStyle w:val="13"/>
              <w:adjustRightInd w:val="0"/>
              <w:snapToGrid w:val="0"/>
              <w:ind w:firstLine="211" w:firstLineChars="100"/>
              <w:rPr>
                <w:rFonts w:hint="eastAsia" w:hAnsi="宋体"/>
                <w:b/>
                <w:color w:val="auto"/>
                <w:highlight w:val="none"/>
              </w:rPr>
            </w:pPr>
            <w:r>
              <w:rPr>
                <w:rFonts w:hint="eastAsia" w:hAnsi="宋体"/>
                <w:b/>
                <w:color w:val="auto"/>
                <w:highlight w:val="none"/>
              </w:rPr>
              <w:t>2、商务标包括：</w:t>
            </w:r>
          </w:p>
          <w:p>
            <w:pPr>
              <w:pStyle w:val="13"/>
              <w:adjustRightInd w:val="0"/>
              <w:snapToGrid w:val="0"/>
              <w:rPr>
                <w:rFonts w:hAnsi="宋体"/>
                <w:bCs/>
                <w:color w:val="auto"/>
                <w:highlight w:val="none"/>
              </w:rPr>
            </w:pPr>
            <w:r>
              <w:rPr>
                <w:rFonts w:hint="eastAsia" w:hAnsi="宋体"/>
                <w:bCs/>
                <w:color w:val="auto"/>
                <w:highlight w:val="none"/>
              </w:rPr>
              <w:t>（</w:t>
            </w:r>
            <w:r>
              <w:rPr>
                <w:rFonts w:hint="eastAsia"/>
                <w:bCs/>
                <w:color w:val="auto"/>
                <w:highlight w:val="none"/>
              </w:rPr>
              <w:t>1</w:t>
            </w:r>
            <w:r>
              <w:rPr>
                <w:rFonts w:hint="eastAsia" w:hAnsi="宋体"/>
                <w:bCs/>
                <w:color w:val="auto"/>
                <w:highlight w:val="none"/>
              </w:rPr>
              <w:t>）投标函</w:t>
            </w:r>
            <w:r>
              <w:rPr>
                <w:rFonts w:hint="eastAsia"/>
                <w:color w:val="auto"/>
                <w:highlight w:val="none"/>
              </w:rPr>
              <w:t>（详见投标文件格式）</w:t>
            </w:r>
            <w:r>
              <w:rPr>
                <w:rFonts w:hint="eastAsia" w:hAnsi="宋体"/>
                <w:bCs/>
                <w:color w:val="auto"/>
                <w:highlight w:val="none"/>
              </w:rPr>
              <w:t>。</w:t>
            </w:r>
          </w:p>
          <w:p>
            <w:pPr>
              <w:pStyle w:val="13"/>
              <w:adjustRightInd w:val="0"/>
              <w:ind w:firstLine="0" w:firstLineChars="0"/>
              <w:rPr>
                <w:color w:val="auto"/>
                <w:highlight w:val="none"/>
              </w:rPr>
            </w:pPr>
            <w:r>
              <w:rPr>
                <w:rFonts w:hint="eastAsia"/>
                <w:b/>
                <w:bCs/>
                <w:color w:val="auto"/>
                <w:szCs w:val="21"/>
                <w:highlight w:val="none"/>
              </w:rPr>
              <w:t>注：以上内容均需在台州湾新区小额工程电子交易平台投标工具（在线网页版）中对应处自行添加后自动生成，添加的内容须为清晰的电子文档，同时加盖公司电子公章。</w:t>
            </w:r>
          </w:p>
        </w:tc>
      </w:tr>
      <w:tr>
        <w:tblPrEx>
          <w:tblCellMar>
            <w:top w:w="0" w:type="dxa"/>
            <w:left w:w="108" w:type="dxa"/>
            <w:bottom w:w="0" w:type="dxa"/>
            <w:right w:w="108" w:type="dxa"/>
          </w:tblCellMar>
        </w:tblPrEx>
        <w:trPr>
          <w:trHeight w:val="90"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3.2.1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ind w:right="200"/>
              <w:rPr>
                <w:rFonts w:ascii="宋体" w:hAnsi="宋体" w:cs="宋体"/>
                <w:b/>
                <w:bCs/>
                <w:color w:val="auto"/>
                <w:highlight w:val="none"/>
              </w:rPr>
            </w:pPr>
            <w:r>
              <w:rPr>
                <w:rFonts w:hint="eastAsia" w:ascii="宋体" w:hAnsi="宋体" w:cs="宋体"/>
                <w:b/>
                <w:bCs/>
                <w:color w:val="auto"/>
                <w:highlight w:val="none"/>
              </w:rPr>
              <w:t>投标报价要求</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ind w:right="200"/>
              <w:rPr>
                <w:b/>
                <w:bCs/>
                <w:color w:val="auto"/>
                <w:highlight w:val="none"/>
              </w:rPr>
            </w:pPr>
            <w:r>
              <w:rPr>
                <w:b/>
                <w:bCs/>
                <w:color w:val="auto"/>
                <w:highlight w:val="none"/>
              </w:rPr>
              <w:t>招标控制价：</w:t>
            </w:r>
            <w:r>
              <w:rPr>
                <w:rFonts w:hint="eastAsia"/>
                <w:b/>
                <w:bCs/>
                <w:color w:val="auto"/>
                <w:highlight w:val="none"/>
                <w:u w:val="single"/>
                <w:lang w:val="en-US" w:eastAsia="zh-CN"/>
              </w:rPr>
              <w:t>360882</w:t>
            </w:r>
            <w:r>
              <w:rPr>
                <w:b/>
                <w:bCs/>
                <w:color w:val="auto"/>
                <w:highlight w:val="none"/>
              </w:rPr>
              <w:t>元；</w:t>
            </w:r>
          </w:p>
          <w:p>
            <w:pPr>
              <w:ind w:right="200"/>
              <w:rPr>
                <w:b/>
                <w:bCs/>
                <w:color w:val="auto"/>
                <w:highlight w:val="none"/>
              </w:rPr>
            </w:pPr>
            <w:r>
              <w:rPr>
                <w:b/>
                <w:bCs/>
                <w:color w:val="auto"/>
                <w:highlight w:val="none"/>
              </w:rPr>
              <w:t>最高投标限价：</w:t>
            </w:r>
            <w:r>
              <w:rPr>
                <w:rFonts w:hint="eastAsia"/>
                <w:b/>
                <w:bCs/>
                <w:color w:val="auto"/>
                <w:highlight w:val="none"/>
                <w:u w:val="single"/>
                <w:lang w:val="en-US" w:eastAsia="zh-CN"/>
              </w:rPr>
              <w:t>324794</w:t>
            </w:r>
            <w:r>
              <w:rPr>
                <w:b/>
                <w:bCs/>
                <w:color w:val="auto"/>
                <w:highlight w:val="none"/>
              </w:rPr>
              <w:t>元。</w:t>
            </w:r>
            <w:r>
              <w:rPr>
                <w:rFonts w:hint="eastAsia"/>
                <w:b/>
                <w:bCs/>
                <w:color w:val="auto"/>
                <w:highlight w:val="none"/>
              </w:rPr>
              <w:t>（建筑装修装饰工程：招标控制价×</w:t>
            </w:r>
            <w:r>
              <w:rPr>
                <w:rFonts w:hint="eastAsia"/>
                <w:b/>
                <w:bCs/>
                <w:color w:val="auto"/>
                <w:highlight w:val="none"/>
                <w:lang w:val="en-US" w:eastAsia="zh-CN"/>
              </w:rPr>
              <w:t>90</w:t>
            </w:r>
            <w:r>
              <w:rPr>
                <w:rFonts w:hint="eastAsia"/>
                <w:b/>
                <w:bCs/>
                <w:color w:val="auto"/>
                <w:highlight w:val="none"/>
              </w:rPr>
              <w:t xml:space="preserve">%）                                   </w:t>
            </w:r>
          </w:p>
        </w:tc>
      </w:tr>
      <w:tr>
        <w:tblPrEx>
          <w:tblCellMar>
            <w:top w:w="0" w:type="dxa"/>
            <w:left w:w="108" w:type="dxa"/>
            <w:bottom w:w="0" w:type="dxa"/>
            <w:right w:w="108" w:type="dxa"/>
          </w:tblCellMar>
        </w:tblPrEx>
        <w:trPr>
          <w:trHeight w:val="289"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3.3.1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投标有效期</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color w:val="auto"/>
                <w:highlight w:val="none"/>
              </w:rPr>
              <w:t>90</w:t>
            </w:r>
            <w:r>
              <w:rPr>
                <w:rFonts w:hint="eastAsia"/>
                <w:color w:val="auto"/>
                <w:highlight w:val="none"/>
              </w:rPr>
              <w:t>日历天（自投标截止日起计算）</w:t>
            </w:r>
          </w:p>
        </w:tc>
      </w:tr>
      <w:tr>
        <w:tblPrEx>
          <w:tblCellMar>
            <w:top w:w="0" w:type="dxa"/>
            <w:left w:w="108" w:type="dxa"/>
            <w:bottom w:w="0" w:type="dxa"/>
            <w:right w:w="108" w:type="dxa"/>
          </w:tblCellMar>
        </w:tblPrEx>
        <w:trPr>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3.4.1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投标担保</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pStyle w:val="41"/>
              <w:ind w:left="0" w:leftChars="0" w:firstLine="0"/>
              <w:rPr>
                <w:rFonts w:hint="eastAsia" w:cs="Times New Roman"/>
                <w:color w:val="auto"/>
                <w:szCs w:val="24"/>
                <w:highlight w:val="none"/>
              </w:rPr>
            </w:pPr>
            <w:r>
              <w:rPr>
                <w:rFonts w:hint="eastAsia" w:cs="Times New Roman"/>
                <w:color w:val="auto"/>
                <w:szCs w:val="24"/>
                <w:highlight w:val="none"/>
              </w:rPr>
              <w:t>1、担保金额：</w:t>
            </w:r>
            <w:r>
              <w:rPr>
                <w:rFonts w:hint="eastAsia" w:cs="Times New Roman"/>
                <w:color w:val="auto"/>
                <w:szCs w:val="24"/>
                <w:highlight w:val="none"/>
                <w:u w:val="single"/>
              </w:rPr>
              <w:t>0.</w:t>
            </w:r>
            <w:r>
              <w:rPr>
                <w:rFonts w:hint="eastAsia" w:cs="Times New Roman"/>
                <w:color w:val="auto"/>
                <w:szCs w:val="24"/>
                <w:highlight w:val="none"/>
                <w:u w:val="single"/>
                <w:lang w:val="en-US" w:eastAsia="zh-CN"/>
              </w:rPr>
              <w:t>6</w:t>
            </w:r>
            <w:r>
              <w:rPr>
                <w:rFonts w:hint="eastAsia" w:cs="Times New Roman"/>
                <w:color w:val="auto"/>
                <w:szCs w:val="24"/>
                <w:highlight w:val="none"/>
              </w:rPr>
              <w:t>万元人民币。</w:t>
            </w:r>
          </w:p>
          <w:p>
            <w:pPr>
              <w:pStyle w:val="41"/>
              <w:ind w:left="0" w:leftChars="0" w:firstLine="0"/>
              <w:rPr>
                <w:rFonts w:hint="eastAsia" w:ascii="宋体" w:hAnsi="宋体"/>
                <w:color w:val="auto"/>
                <w:highlight w:val="none"/>
              </w:rPr>
            </w:pPr>
            <w:r>
              <w:rPr>
                <w:rFonts w:hint="eastAsia" w:ascii="宋体" w:hAnsi="宋体"/>
                <w:color w:val="auto"/>
                <w:highlight w:val="none"/>
              </w:rPr>
              <w:t>2、投标保证金缴纳方式（任选一种）：现金转账、银行保函、保险机构保证保险保单、融资担保公司保函。</w:t>
            </w:r>
          </w:p>
          <w:p>
            <w:pPr>
              <w:pStyle w:val="18"/>
              <w:rPr>
                <w:rFonts w:cs="宋体"/>
                <w:b/>
                <w:bCs/>
                <w:color w:val="auto"/>
                <w:szCs w:val="21"/>
                <w:highlight w:val="none"/>
              </w:rPr>
            </w:pPr>
            <w:r>
              <w:rPr>
                <w:rFonts w:hint="eastAsia" w:ascii="宋体" w:hAnsi="宋体" w:cs="宋体"/>
                <w:color w:val="auto"/>
                <w:szCs w:val="21"/>
                <w:highlight w:val="none"/>
              </w:rPr>
              <w:t>（1）</w:t>
            </w:r>
            <w:r>
              <w:rPr>
                <w:rFonts w:hint="eastAsia" w:cs="宋体"/>
                <w:b/>
                <w:bCs/>
                <w:color w:val="auto"/>
                <w:szCs w:val="21"/>
                <w:highlight w:val="none"/>
              </w:rPr>
              <w:t>现金转账</w:t>
            </w:r>
          </w:p>
          <w:p>
            <w:pPr>
              <w:pStyle w:val="18"/>
              <w:ind w:firstLine="420" w:firstLineChars="200"/>
              <w:rPr>
                <w:rFonts w:hint="eastAsia" w:ascii="宋体" w:hAnsi="宋体" w:cs="宋体"/>
                <w:color w:val="auto"/>
                <w:highlight w:val="none"/>
              </w:rPr>
            </w:pPr>
            <w:r>
              <w:rPr>
                <w:rFonts w:hint="eastAsia" w:cs="宋体"/>
                <w:color w:val="auto"/>
                <w:szCs w:val="21"/>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pStyle w:val="41"/>
              <w:ind w:left="0" w:leftChars="0" w:firstLineChars="200"/>
              <w:rPr>
                <w:rFonts w:hint="eastAsia" w:ascii="宋体" w:hAnsi="宋体"/>
                <w:color w:val="auto"/>
                <w:highlight w:val="none"/>
              </w:rPr>
            </w:pPr>
            <w:r>
              <w:rPr>
                <w:rFonts w:hint="eastAsia" w:ascii="宋体" w:hAnsi="宋体"/>
                <w:color w:val="auto"/>
                <w:highlight w:val="none"/>
              </w:rPr>
              <w:t>②</w:t>
            </w:r>
            <w:r>
              <w:rPr>
                <w:rFonts w:hint="eastAsia" w:ascii="宋体" w:hAnsi="宋体"/>
                <w:color w:val="auto"/>
                <w:szCs w:val="24"/>
                <w:highlight w:val="none"/>
              </w:rPr>
              <w:t>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olor w:val="auto"/>
                <w:szCs w:val="24"/>
                <w:highlight w:val="none"/>
                <w:lang w:val="en-US" w:eastAsia="zh-CN"/>
              </w:rPr>
              <w:t>及时</w:t>
            </w:r>
            <w:r>
              <w:rPr>
                <w:rFonts w:hint="eastAsia" w:ascii="宋体" w:hAnsi="宋体"/>
                <w:color w:val="auto"/>
                <w:szCs w:val="24"/>
                <w:highlight w:val="none"/>
              </w:rPr>
              <w:t>返还；中标人的投标保证金由招标人暂时保管，待履约担保办理完毕并签订施工合同后，招标人返还中标人。</w:t>
            </w:r>
          </w:p>
          <w:p>
            <w:pPr>
              <w:pStyle w:val="13"/>
              <w:adjustRightInd w:val="0"/>
              <w:snapToGrid w:val="0"/>
              <w:rPr>
                <w:rFonts w:hint="eastAsia" w:ascii="宋体" w:hAnsi="宋体" w:cs="宋体"/>
                <w:color w:val="auto"/>
                <w:szCs w:val="21"/>
                <w:highlight w:val="none"/>
              </w:rPr>
            </w:pPr>
          </w:p>
          <w:p>
            <w:pPr>
              <w:pStyle w:val="13"/>
              <w:adjustRightInd w:val="0"/>
              <w:snapToGrid w:val="0"/>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（2）银行保函、保险机构保证保险保单、融资担保公司保函（以下合称“工程保函”）</w:t>
            </w:r>
          </w:p>
          <w:p>
            <w:pPr>
              <w:topLinePunct/>
              <w:adjustRightInd w:val="0"/>
              <w:spacing w:before="120" w:after="120"/>
              <w:ind w:firstLine="420" w:firstLineChars="200"/>
              <w:jc w:val="left"/>
              <w:rPr>
                <w:rFonts w:hint="eastAsia" w:ascii="宋体" w:hAnsi="宋体" w:cs="宋体"/>
                <w:color w:val="auto"/>
                <w:highlight w:val="none"/>
              </w:rPr>
            </w:pPr>
            <w:r>
              <w:rPr>
                <w:rFonts w:hint="eastAsia" w:ascii="宋体" w:hAnsi="宋体" w:cs="宋体"/>
                <w:color w:val="auto"/>
                <w:highlight w:val="none"/>
              </w:rPr>
              <w:t>①工程保函的受益人：</w:t>
            </w:r>
            <w:r>
              <w:rPr>
                <w:rFonts w:hint="eastAsia" w:ascii="宋体" w:hAnsi="宋体" w:cs="宋体"/>
                <w:color w:val="auto"/>
                <w:highlight w:val="none"/>
                <w:u w:val="single"/>
                <w:lang w:eastAsia="zh-CN"/>
              </w:rPr>
              <w:t>台州市公安局台州湾新区（高新区）分局</w:t>
            </w:r>
            <w:r>
              <w:rPr>
                <w:rFonts w:hint="eastAsia" w:ascii="宋体" w:hAnsi="宋体" w:cs="宋体"/>
                <w:color w:val="auto"/>
                <w:highlight w:val="none"/>
              </w:rPr>
              <w:t>（招标人名称）；</w:t>
            </w:r>
          </w:p>
          <w:p>
            <w:pPr>
              <w:topLinePunct/>
              <w:adjustRightInd w:val="0"/>
              <w:spacing w:before="120" w:after="120"/>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②工程保函的有效期为1年；</w:t>
            </w:r>
          </w:p>
          <w:p>
            <w:pPr>
              <w:pStyle w:val="7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③递交方式：</w:t>
            </w:r>
          </w:p>
          <w:p>
            <w:pPr>
              <w:pStyle w:val="78"/>
              <w:spacing w:line="360" w:lineRule="auto"/>
              <w:rPr>
                <w:rFonts w:hint="eastAsia" w:ascii="宋体" w:hAnsi="宋体" w:cs="宋体"/>
                <w:b/>
                <w:bCs/>
                <w:color w:val="auto"/>
                <w:highlight w:val="none"/>
              </w:rPr>
            </w:pPr>
            <w:r>
              <w:rPr>
                <w:rFonts w:hint="eastAsia" w:ascii="宋体" w:hAnsi="宋体" w:cs="宋体"/>
                <w:b/>
                <w:bCs/>
                <w:color w:val="auto"/>
                <w:highlight w:val="none"/>
              </w:rPr>
              <w:t>递交方式一（电子保函系统）：</w:t>
            </w:r>
          </w:p>
          <w:p>
            <w:pPr>
              <w:pStyle w:val="78"/>
              <w:ind w:firstLine="420" w:firstLineChars="200"/>
              <w:rPr>
                <w:rFonts w:hint="eastAsia" w:ascii="宋体" w:hAnsi="宋体" w:cs="宋体"/>
                <w:color w:val="auto"/>
                <w:highlight w:val="none"/>
              </w:rPr>
            </w:pPr>
            <w:r>
              <w:rPr>
                <w:rFonts w:hint="eastAsia" w:ascii="宋体" w:hAnsi="宋体" w:cs="宋体"/>
                <w:color w:val="auto"/>
                <w:highlight w:val="none"/>
              </w:rPr>
              <w:t>通过台州湾新区小额工程电子交易平台选择“电子保函”递交方式，并按系统流程进行操作、购买电子保函。</w:t>
            </w:r>
          </w:p>
          <w:p>
            <w:pPr>
              <w:pStyle w:val="78"/>
              <w:ind w:firstLine="420" w:firstLineChars="200"/>
              <w:rPr>
                <w:rFonts w:hint="eastAsia" w:ascii="宋体" w:hAnsi="宋体" w:cs="宋体"/>
                <w:color w:val="auto"/>
                <w:highlight w:val="none"/>
              </w:rPr>
            </w:pPr>
          </w:p>
          <w:p>
            <w:pPr>
              <w:pStyle w:val="78"/>
              <w:rPr>
                <w:rFonts w:hint="eastAsia" w:ascii="宋体" w:hAnsi="宋体" w:cs="宋体"/>
                <w:color w:val="auto"/>
                <w:highlight w:val="none"/>
                <w:u w:val="single"/>
              </w:rPr>
            </w:pPr>
            <w:r>
              <w:rPr>
                <w:rFonts w:hint="eastAsia" w:ascii="宋体" w:hAnsi="宋体" w:cs="宋体"/>
                <w:color w:val="auto"/>
                <w:highlight w:val="none"/>
                <w:u w:val="singl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p>
          <w:p>
            <w:pPr>
              <w:pStyle w:val="78"/>
              <w:rPr>
                <w:rFonts w:hint="eastAsia" w:ascii="宋体" w:hAnsi="宋体" w:cs="宋体"/>
                <w:b/>
                <w:bCs/>
                <w:color w:val="auto"/>
                <w:highlight w:val="none"/>
              </w:rPr>
            </w:pPr>
            <w:r>
              <w:rPr>
                <w:rFonts w:hint="eastAsia" w:ascii="宋体" w:hAnsi="宋体" w:cs="宋体"/>
                <w:b/>
                <w:bCs/>
                <w:color w:val="auto"/>
                <w:highlight w:val="none"/>
              </w:rPr>
              <w:t>递交方式二（非电子保函系统）：</w:t>
            </w:r>
          </w:p>
          <w:p>
            <w:pPr>
              <w:pStyle w:val="78"/>
              <w:ind w:firstLine="422" w:firstLineChars="200"/>
              <w:rPr>
                <w:rFonts w:hint="eastAsia" w:ascii="宋体" w:hAnsi="宋体" w:cs="宋体"/>
                <w:color w:val="auto"/>
                <w:highlight w:val="none"/>
              </w:rPr>
            </w:pPr>
            <w:r>
              <w:rPr>
                <w:rFonts w:hint="eastAsia" w:ascii="宋体" w:hAnsi="宋体" w:cs="宋体"/>
                <w:b/>
                <w:bCs/>
                <w:color w:val="auto"/>
                <w:highlight w:val="none"/>
              </w:rPr>
              <w:t>投标人须在投标截止时间前将工程保函纸质原件、基本账户证明材料复印件（加盖公章）、保费支付的银行回单一并按要求递交。</w:t>
            </w:r>
            <w:r>
              <w:rPr>
                <w:rFonts w:hint="eastAsia" w:ascii="宋体" w:hAnsi="宋体" w:cs="宋体"/>
                <w:color w:val="auto"/>
                <w:highlight w:val="none"/>
              </w:rPr>
              <w:t xml:space="preserve"> </w:t>
            </w:r>
          </w:p>
          <w:p>
            <w:pPr>
              <w:pStyle w:val="78"/>
              <w:ind w:firstLine="422" w:firstLineChars="200"/>
              <w:rPr>
                <w:rFonts w:hint="eastAsia" w:ascii="宋体" w:hAnsi="宋体" w:cs="宋体"/>
                <w:b/>
                <w:bCs/>
                <w:color w:val="auto"/>
                <w:highlight w:val="none"/>
              </w:rPr>
            </w:pPr>
            <w:r>
              <w:rPr>
                <w:rFonts w:hint="eastAsia" w:ascii="宋体" w:hAnsi="宋体" w:cs="宋体"/>
                <w:b/>
                <w:bCs/>
                <w:color w:val="auto"/>
                <w:highlight w:val="none"/>
              </w:rPr>
              <w:t>递交方式：现场递交。</w:t>
            </w:r>
          </w:p>
          <w:p>
            <w:pPr>
              <w:pStyle w:val="78"/>
              <w:ind w:firstLine="420" w:firstLineChars="200"/>
              <w:rPr>
                <w:rFonts w:hint="eastAsia" w:ascii="宋体" w:hAnsi="宋体" w:cs="宋体"/>
                <w:color w:val="auto"/>
                <w:highlight w:val="none"/>
              </w:rPr>
            </w:pPr>
            <w:r>
              <w:rPr>
                <w:rFonts w:hint="eastAsia" w:ascii="宋体" w:hAnsi="宋体" w:cs="宋体"/>
                <w:color w:val="auto"/>
                <w:highlight w:val="none"/>
              </w:rPr>
              <w:t>提交地点：</w:t>
            </w:r>
            <w:r>
              <w:rPr>
                <w:rFonts w:hint="eastAsia" w:ascii="宋体" w:hAnsi="宋体" w:cs="宋体"/>
                <w:color w:val="auto"/>
                <w:highlight w:val="none"/>
                <w:u w:val="single"/>
              </w:rPr>
              <w:t>台州湾新区海虹街道一楼大厅。</w:t>
            </w:r>
          </w:p>
          <w:p>
            <w:pPr>
              <w:pStyle w:val="78"/>
              <w:ind w:firstLine="420" w:firstLineChars="200"/>
              <w:rPr>
                <w:rFonts w:hint="eastAsia" w:ascii="宋体" w:hAnsi="宋体" w:cs="宋体"/>
                <w:color w:val="auto"/>
                <w:highlight w:val="none"/>
                <w:u w:val="single"/>
              </w:rPr>
            </w:pPr>
            <w:r>
              <w:rPr>
                <w:rFonts w:hint="eastAsia" w:ascii="宋体" w:hAnsi="宋体" w:cs="宋体"/>
                <w:color w:val="auto"/>
                <w:highlight w:val="none"/>
              </w:rPr>
              <w:t>提交时间：</w:t>
            </w:r>
            <w:r>
              <w:rPr>
                <w:rFonts w:hint="eastAsia" w:ascii="宋体" w:hAnsi="宋体" w:cs="宋体"/>
                <w:b/>
                <w:bCs/>
                <w:color w:val="auto"/>
                <w:highlight w:val="none"/>
                <w:u w:val="single"/>
              </w:rPr>
              <w:t>2024年</w:t>
            </w:r>
            <w:r>
              <w:rPr>
                <w:rFonts w:hint="eastAsia" w:ascii="宋体" w:hAnsi="宋体" w:cs="宋体"/>
                <w:b/>
                <w:bCs/>
                <w:color w:val="auto"/>
                <w:highlight w:val="none"/>
                <w:u w:val="single"/>
                <w:lang w:val="en-US" w:eastAsia="zh-CN"/>
              </w:rPr>
              <w:t>07</w:t>
            </w:r>
            <w:r>
              <w:rPr>
                <w:rFonts w:hint="eastAsia" w:ascii="宋体" w:hAnsi="宋体" w:cs="宋体"/>
                <w:b/>
                <w:bCs/>
                <w:color w:val="auto"/>
                <w:highlight w:val="none"/>
                <w:u w:val="single"/>
              </w:rPr>
              <w:t>月</w:t>
            </w:r>
            <w:r>
              <w:rPr>
                <w:rFonts w:hint="eastAsia" w:ascii="宋体" w:hAnsi="宋体" w:cs="宋体"/>
                <w:b/>
                <w:bCs/>
                <w:color w:val="auto"/>
                <w:highlight w:val="none"/>
                <w:u w:val="single"/>
                <w:lang w:val="en-US" w:eastAsia="zh-CN"/>
              </w:rPr>
              <w:t>19</w:t>
            </w:r>
            <w:r>
              <w:rPr>
                <w:rFonts w:hint="eastAsia" w:ascii="宋体" w:hAnsi="宋体" w:cs="宋体"/>
                <w:b/>
                <w:bCs/>
                <w:color w:val="auto"/>
                <w:highlight w:val="none"/>
                <w:u w:val="single"/>
              </w:rPr>
              <w:t>日09：00-09：30</w:t>
            </w:r>
          </w:p>
          <w:p>
            <w:pPr>
              <w:pStyle w:val="78"/>
              <w:ind w:firstLine="420" w:firstLineChars="200"/>
              <w:rPr>
                <w:rFonts w:hint="eastAsia" w:ascii="宋体" w:hAnsi="宋体" w:cs="宋体"/>
                <w:color w:val="auto"/>
                <w:highlight w:val="none"/>
              </w:rPr>
            </w:pPr>
            <w:r>
              <w:rPr>
                <w:rFonts w:hint="eastAsia" w:ascii="宋体" w:hAnsi="宋体" w:cs="宋体"/>
                <w:color w:val="auto"/>
                <w:highlight w:val="none"/>
              </w:rPr>
              <w:t>接收人：</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浙江双联工程咨询有限公司</w:t>
            </w:r>
            <w:r>
              <w:rPr>
                <w:rFonts w:hint="eastAsia" w:ascii="宋体" w:hAnsi="宋体" w:cs="宋体"/>
                <w:color w:val="auto"/>
                <w:highlight w:val="none"/>
              </w:rPr>
              <w:t>（代理机构）；</w:t>
            </w:r>
          </w:p>
          <w:p>
            <w:pPr>
              <w:pStyle w:val="78"/>
              <w:ind w:firstLine="420" w:firstLineChars="200"/>
              <w:rPr>
                <w:rFonts w:hint="eastAsia" w:ascii="宋体" w:hAnsi="宋体" w:cs="宋体"/>
                <w:color w:val="auto"/>
                <w:highlight w:val="none"/>
              </w:rPr>
            </w:pPr>
            <w:r>
              <w:rPr>
                <w:rFonts w:hint="eastAsia" w:ascii="宋体" w:hAnsi="宋体" w:cs="宋体"/>
                <w:color w:val="auto"/>
                <w:highlight w:val="none"/>
              </w:rPr>
              <w:t>接收人联系方式：</w:t>
            </w:r>
            <w:r>
              <w:rPr>
                <w:rFonts w:hint="eastAsia" w:ascii="宋体" w:hAnsi="宋体" w:cs="宋体"/>
                <w:color w:val="auto"/>
                <w:highlight w:val="none"/>
                <w:u w:val="single"/>
                <w:lang w:eastAsia="zh-CN"/>
              </w:rPr>
              <w:t>0576-81818017</w:t>
            </w:r>
            <w:r>
              <w:rPr>
                <w:rFonts w:hint="eastAsia" w:ascii="宋体" w:hAnsi="宋体" w:cs="宋体"/>
                <w:color w:val="auto"/>
                <w:highlight w:val="none"/>
              </w:rPr>
              <w:t>；</w:t>
            </w:r>
          </w:p>
          <w:p>
            <w:pPr>
              <w:pStyle w:val="78"/>
              <w:ind w:firstLine="420" w:firstLineChars="200"/>
              <w:rPr>
                <w:rFonts w:hint="eastAsia" w:ascii="宋体" w:hAnsi="宋体" w:cs="宋体"/>
                <w:color w:val="auto"/>
                <w:highlight w:val="none"/>
              </w:rPr>
            </w:pPr>
            <w:r>
              <w:rPr>
                <w:rFonts w:hint="eastAsia" w:ascii="宋体" w:hAnsi="宋体" w:cs="宋体"/>
                <w:color w:val="auto"/>
                <w:highlight w:val="none"/>
              </w:rPr>
              <w:t>注：投标保函文件中必须包含投标企业的信息，包含但不限于投标企业名称、保证方式、保证金额、保函获得时间、保证项目名称、保函有效期限、保费标准、费用支付账户（基本账户）等。</w:t>
            </w:r>
            <w:r>
              <w:rPr>
                <w:rFonts w:hint="eastAsia" w:ascii="宋体" w:hAnsi="宋体" w:cs="宋体"/>
                <w:b/>
                <w:bCs/>
                <w:color w:val="auto"/>
                <w:highlight w:val="none"/>
              </w:rPr>
              <w:t>保费应一函一付，通过企业基本账户支付。</w:t>
            </w:r>
            <w:r>
              <w:rPr>
                <w:rFonts w:hint="eastAsia" w:ascii="宋体" w:hAnsi="宋体" w:cs="宋体"/>
                <w:color w:val="auto"/>
                <w:highlight w:val="none"/>
              </w:rPr>
              <w:t>工程保函的保险（保证）责任必须包括本招标文件“投标人须知 3.4.4”所列条款。</w:t>
            </w:r>
          </w:p>
          <w:p>
            <w:pPr>
              <w:pStyle w:val="78"/>
              <w:rPr>
                <w:rFonts w:hint="eastAsia" w:ascii="宋体" w:hAnsi="宋体" w:cs="宋体"/>
                <w:color w:val="auto"/>
                <w:highlight w:val="none"/>
              </w:rPr>
            </w:pPr>
            <w:r>
              <w:rPr>
                <w:rFonts w:hint="eastAsia" w:ascii="宋体" w:hAnsi="宋体" w:cs="宋体"/>
                <w:color w:val="auto"/>
                <w:highlight w:val="none"/>
              </w:rPr>
              <w:t>3、注意事项</w:t>
            </w:r>
          </w:p>
          <w:p>
            <w:pPr>
              <w:pStyle w:val="78"/>
              <w:rPr>
                <w:rFonts w:hint="eastAsia" w:ascii="宋体" w:hAnsi="宋体" w:cs="宋体"/>
                <w:color w:val="auto"/>
                <w:highlight w:val="none"/>
              </w:rPr>
            </w:pPr>
            <w:r>
              <w:rPr>
                <w:rFonts w:hint="eastAsia" w:ascii="宋体" w:hAnsi="宋体" w:cs="宋体"/>
                <w:color w:val="auto"/>
                <w:highlight w:val="none"/>
              </w:rPr>
              <w:t>①若招标文件允许联合体投标且投标人以联合体身份投标的，由联合体牵头人提交投标保证金；</w:t>
            </w:r>
          </w:p>
          <w:p>
            <w:pPr>
              <w:pStyle w:val="78"/>
              <w:spacing w:line="276" w:lineRule="auto"/>
              <w:rPr>
                <w:rFonts w:hint="eastAsia" w:ascii="宋体" w:hAnsi="宋体" w:cs="宋体"/>
                <w:color w:val="auto"/>
                <w:highlight w:val="none"/>
              </w:rPr>
            </w:pPr>
            <w:r>
              <w:rPr>
                <w:rFonts w:hint="eastAsia" w:ascii="宋体" w:hAnsi="宋体" w:cs="宋体"/>
                <w:color w:val="auto"/>
                <w:highlight w:val="none"/>
              </w:rPr>
              <w:t>②</w:t>
            </w:r>
            <w:r>
              <w:rPr>
                <w:rFonts w:hint="eastAsia"/>
                <w:color w:val="auto"/>
                <w:highlight w:val="none"/>
              </w:rPr>
              <w:t>现金转账账号根据不同工程（标段）由系统随机生成，此账号只在本工程（标段）中使用有效，请注意核对。账号漏填、混填或错填均视为</w:t>
            </w:r>
            <w:r>
              <w:rPr>
                <w:rFonts w:hint="eastAsia" w:ascii="宋体"/>
                <w:color w:val="auto"/>
                <w:szCs w:val="21"/>
                <w:highlight w:val="none"/>
              </w:rPr>
              <w:t>未按时缴纳保证金。</w:t>
            </w:r>
          </w:p>
          <w:p>
            <w:pPr>
              <w:pStyle w:val="78"/>
              <w:rPr>
                <w:rFonts w:hint="eastAsia" w:ascii="宋体" w:hAnsi="宋体" w:cs="宋体"/>
                <w:color w:val="auto"/>
                <w:highlight w:val="none"/>
              </w:rPr>
            </w:pPr>
            <w:r>
              <w:rPr>
                <w:rFonts w:hint="eastAsia" w:ascii="宋体" w:hAnsi="宋体" w:cs="宋体"/>
                <w:color w:val="auto"/>
                <w:highlight w:val="none"/>
              </w:rPr>
              <w:t>③以现金转账形式提交的投标保证金应当从投标人基本账户转出，购买工程保函的费用应当从投标人基本账户支付；</w:t>
            </w:r>
          </w:p>
          <w:p>
            <w:pPr>
              <w:pStyle w:val="78"/>
              <w:rPr>
                <w:rFonts w:hint="eastAsia" w:ascii="宋体" w:hAnsi="宋体" w:cs="宋体"/>
                <w:color w:val="auto"/>
                <w:highlight w:val="none"/>
              </w:rPr>
            </w:pPr>
            <w:r>
              <w:rPr>
                <w:rFonts w:hint="eastAsia" w:ascii="宋体" w:hAnsi="宋体" w:cs="宋体"/>
                <w:color w:val="auto"/>
                <w:highlight w:val="none"/>
              </w:rPr>
              <w:t>④若有疑问，请咨询技术服务热线：0576-88865501</w:t>
            </w:r>
          </w:p>
          <w:p>
            <w:pPr>
              <w:pStyle w:val="78"/>
              <w:rPr>
                <w:rFonts w:hint="eastAsia" w:ascii="宋体" w:hAnsi="宋体" w:cs="宋体"/>
                <w:color w:val="auto"/>
                <w:highlight w:val="none"/>
              </w:rPr>
            </w:pPr>
            <w:r>
              <w:rPr>
                <w:rFonts w:hint="eastAsia"/>
                <w:color w:val="auto"/>
                <w:highlight w:val="none"/>
              </w:rPr>
              <w:t>⑤</w:t>
            </w:r>
            <w:r>
              <w:rPr>
                <w:rFonts w:hint="eastAsia" w:ascii="宋体" w:hAnsi="宋体" w:cs="宋体"/>
                <w:color w:val="auto"/>
                <w:highlight w:val="none"/>
              </w:rPr>
              <w:t>以上未按要求提供或提供不清晰的，评标委员会可能做出不利于投标人的评审结果，由此造成的风险由投标人自行承担。</w:t>
            </w:r>
          </w:p>
          <w:p>
            <w:pPr>
              <w:pStyle w:val="41"/>
              <w:tabs>
                <w:tab w:val="left" w:pos="3025"/>
              </w:tabs>
              <w:ind w:left="0" w:leftChars="0" w:firstLine="0"/>
              <w:rPr>
                <w:color w:val="auto"/>
                <w:highlight w:val="none"/>
              </w:rPr>
            </w:pPr>
            <w:r>
              <w:rPr>
                <w:rFonts w:hint="eastAsia" w:ascii="宋体" w:hAnsi="宋体"/>
                <w:b/>
                <w:bCs/>
                <w:color w:val="auto"/>
                <w:highlight w:val="none"/>
              </w:rPr>
              <w:t>4、</w:t>
            </w:r>
            <w:r>
              <w:rPr>
                <w:rFonts w:hint="eastAsia" w:ascii="宋体" w:hAnsi="宋体"/>
                <w:b/>
                <w:bCs/>
                <w:color w:val="auto"/>
                <w:highlight w:val="none"/>
                <w:shd w:val="clear" w:color="auto" w:fill="FFFF00"/>
              </w:rPr>
              <w:t>购买工程电子保函截止时间：</w:t>
            </w:r>
            <w:r>
              <w:rPr>
                <w:rFonts w:hint="eastAsia" w:ascii="宋体" w:hAnsi="宋体"/>
                <w:b/>
                <w:bCs/>
                <w:color w:val="auto"/>
                <w:highlight w:val="none"/>
                <w:u w:val="single"/>
                <w:shd w:val="clear" w:color="auto" w:fill="FFFF00"/>
              </w:rPr>
              <w:t xml:space="preserve"> 2024</w:t>
            </w:r>
            <w:r>
              <w:rPr>
                <w:rFonts w:hint="eastAsia" w:ascii="宋体" w:hAnsi="宋体"/>
                <w:b/>
                <w:bCs/>
                <w:color w:val="auto"/>
                <w:highlight w:val="none"/>
                <w:shd w:val="clear" w:color="auto" w:fill="FFFF00"/>
              </w:rPr>
              <w:t>年</w:t>
            </w:r>
            <w:r>
              <w:rPr>
                <w:rFonts w:hint="eastAsia" w:ascii="宋体" w:hAnsi="宋体"/>
                <w:b/>
                <w:bCs/>
                <w:color w:val="auto"/>
                <w:highlight w:val="none"/>
                <w:u w:val="single"/>
                <w:shd w:val="clear" w:color="auto" w:fill="FFFF00"/>
                <w:lang w:val="en-US" w:eastAsia="zh-CN"/>
              </w:rPr>
              <w:t>07</w:t>
            </w:r>
            <w:r>
              <w:rPr>
                <w:rFonts w:hint="eastAsia" w:ascii="宋体" w:hAnsi="宋体"/>
                <w:b/>
                <w:bCs/>
                <w:color w:val="auto"/>
                <w:highlight w:val="none"/>
                <w:shd w:val="clear" w:color="auto" w:fill="FFFF00"/>
              </w:rPr>
              <w:t>月</w:t>
            </w:r>
            <w:r>
              <w:rPr>
                <w:rFonts w:hint="eastAsia" w:ascii="宋体" w:hAnsi="宋体"/>
                <w:b/>
                <w:bCs/>
                <w:color w:val="auto"/>
                <w:highlight w:val="none"/>
                <w:u w:val="single"/>
                <w:shd w:val="clear" w:color="auto" w:fill="FFFF00"/>
              </w:rPr>
              <w:t>1</w:t>
            </w:r>
            <w:r>
              <w:rPr>
                <w:rFonts w:hint="eastAsia" w:ascii="宋体" w:hAnsi="宋体"/>
                <w:b/>
                <w:bCs/>
                <w:color w:val="auto"/>
                <w:highlight w:val="none"/>
                <w:u w:val="single"/>
                <w:shd w:val="clear" w:color="auto" w:fill="FFFF00"/>
                <w:lang w:val="en-US" w:eastAsia="zh-CN"/>
              </w:rPr>
              <w:t>8</w:t>
            </w:r>
            <w:r>
              <w:rPr>
                <w:rFonts w:hint="eastAsia" w:ascii="宋体" w:hAnsi="宋体"/>
                <w:b/>
                <w:bCs/>
                <w:color w:val="auto"/>
                <w:highlight w:val="none"/>
                <w:shd w:val="clear" w:color="auto" w:fill="FFFF00"/>
              </w:rPr>
              <w:t>号下午16：00前</w:t>
            </w:r>
            <w:r>
              <w:rPr>
                <w:rFonts w:hint="eastAsia" w:ascii="宋体" w:hAnsi="宋体"/>
                <w:b/>
                <w:bCs/>
                <w:color w:val="auto"/>
                <w:highlight w:val="none"/>
              </w:rPr>
              <w:t>。</w:t>
            </w:r>
          </w:p>
        </w:tc>
      </w:tr>
      <w:tr>
        <w:tblPrEx>
          <w:tblCellMar>
            <w:top w:w="0" w:type="dxa"/>
            <w:left w:w="108" w:type="dxa"/>
            <w:bottom w:w="0" w:type="dxa"/>
            <w:right w:w="108" w:type="dxa"/>
          </w:tblCellMar>
        </w:tblPrEx>
        <w:trPr>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3.5</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是否允许递交</w:t>
            </w:r>
          </w:p>
          <w:p>
            <w:pPr>
              <w:jc w:val="center"/>
              <w:rPr>
                <w:color w:val="auto"/>
                <w:szCs w:val="21"/>
                <w:highlight w:val="none"/>
              </w:rPr>
            </w:pPr>
            <w:r>
              <w:rPr>
                <w:rFonts w:hint="eastAsia"/>
                <w:color w:val="auto"/>
                <w:szCs w:val="21"/>
                <w:highlight w:val="none"/>
              </w:rPr>
              <w:t>备选投标方案</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不允许</w:t>
            </w:r>
          </w:p>
        </w:tc>
      </w:tr>
      <w:tr>
        <w:tblPrEx>
          <w:tblCellMar>
            <w:top w:w="0" w:type="dxa"/>
            <w:left w:w="108" w:type="dxa"/>
            <w:bottom w:w="0" w:type="dxa"/>
            <w:right w:w="108" w:type="dxa"/>
          </w:tblCellMar>
        </w:tblPrEx>
        <w:trPr>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rFonts w:hint="eastAsia"/>
                <w:b/>
                <w:bCs/>
                <w:color w:val="auto"/>
                <w:szCs w:val="21"/>
                <w:highlight w:val="none"/>
              </w:rPr>
              <w:t>3.6.1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Cs w:val="21"/>
                <w:highlight w:val="none"/>
              </w:rPr>
            </w:pPr>
            <w:r>
              <w:rPr>
                <w:rFonts w:hint="eastAsia" w:ascii="宋体" w:hAnsi="宋体"/>
                <w:b/>
                <w:bCs/>
                <w:color w:val="auto"/>
                <w:szCs w:val="21"/>
                <w:highlight w:val="none"/>
              </w:rPr>
              <w:t>投标文件其它格式要求</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rPr>
            </w:pPr>
            <w:r>
              <w:rPr>
                <w:rFonts w:hint="eastAsia"/>
                <w:color w:val="auto"/>
                <w:highlight w:val="none"/>
              </w:rPr>
              <w:t>1、投标人应使用招标文件中提供的附件格式。表格如不够用时，可以按同样格式扩展。</w:t>
            </w:r>
          </w:p>
          <w:p>
            <w:pPr>
              <w:rPr>
                <w:rFonts w:hint="eastAsia"/>
                <w:b/>
                <w:bCs/>
                <w:color w:val="auto"/>
                <w:szCs w:val="21"/>
                <w:highlight w:val="none"/>
              </w:rPr>
            </w:pPr>
            <w:r>
              <w:rPr>
                <w:rFonts w:hint="eastAsia"/>
                <w:color w:val="auto"/>
                <w:highlight w:val="none"/>
              </w:rPr>
              <w:t>2、投标人投标文件所用的纸张必须采用</w:t>
            </w:r>
            <w:r>
              <w:rPr>
                <w:color w:val="auto"/>
                <w:highlight w:val="none"/>
              </w:rPr>
              <w:t>A4</w:t>
            </w:r>
            <w:r>
              <w:rPr>
                <w:rFonts w:hint="eastAsia"/>
                <w:color w:val="auto"/>
                <w:highlight w:val="none"/>
              </w:rPr>
              <w:t>型纸，图表可根据需要作适当扩展。</w:t>
            </w:r>
          </w:p>
        </w:tc>
      </w:tr>
      <w:tr>
        <w:tblPrEx>
          <w:tblCellMar>
            <w:top w:w="0" w:type="dxa"/>
            <w:left w:w="108" w:type="dxa"/>
            <w:bottom w:w="0" w:type="dxa"/>
            <w:right w:w="108" w:type="dxa"/>
          </w:tblCellMar>
        </w:tblPrEx>
        <w:trPr>
          <w:trHeight w:val="871"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3.6.2</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b/>
                <w:color w:val="auto"/>
                <w:highlight w:val="none"/>
              </w:rPr>
            </w:pPr>
            <w:r>
              <w:rPr>
                <w:rFonts w:hint="eastAsia" w:eastAsia="黑体"/>
                <w:b/>
                <w:color w:val="auto"/>
                <w:highlight w:val="none"/>
              </w:rPr>
              <w:t>电子签章</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pStyle w:val="41"/>
              <w:tabs>
                <w:tab w:val="left" w:pos="3025"/>
              </w:tabs>
              <w:ind w:left="0" w:leftChars="0" w:firstLine="0"/>
              <w:rPr>
                <w:rFonts w:ascii="宋体" w:hAnsi="宋体"/>
                <w:color w:val="auto"/>
                <w:highlight w:val="none"/>
              </w:rPr>
            </w:pPr>
            <w:r>
              <w:rPr>
                <w:rFonts w:hint="eastAsia" w:ascii="Calibri" w:hAnsi="Calibri"/>
                <w:b/>
                <w:bCs/>
                <w:color w:val="auto"/>
                <w:highlight w:val="none"/>
              </w:rPr>
              <w:t>本工程为电子招投标，电子投标文件格式中注明盖章的，均应按要求使用CA锁加盖公章和法定代表人章。</w:t>
            </w:r>
          </w:p>
        </w:tc>
      </w:tr>
      <w:tr>
        <w:tblPrEx>
          <w:tblCellMar>
            <w:top w:w="0" w:type="dxa"/>
            <w:left w:w="108" w:type="dxa"/>
            <w:bottom w:w="0" w:type="dxa"/>
            <w:right w:w="108" w:type="dxa"/>
          </w:tblCellMar>
        </w:tblPrEx>
        <w:trPr>
          <w:trHeight w:val="328"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4.1.2</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递交投标文件地点</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本项目采用不见面电子招投标，投标人无需到开标现场。电子投标文件上传</w:t>
            </w:r>
          </w:p>
          <w:p>
            <w:pPr>
              <w:snapToGrid w:val="0"/>
              <w:spacing w:line="288" w:lineRule="auto"/>
              <w:jc w:val="left"/>
              <w:rPr>
                <w:rFonts w:ascii="宋体" w:hAnsi="宋体"/>
                <w:color w:val="auto"/>
                <w:szCs w:val="21"/>
                <w:highlight w:val="none"/>
              </w:rPr>
            </w:pPr>
            <w:r>
              <w:rPr>
                <w:rFonts w:hint="eastAsia" w:ascii="新宋体" w:hAnsi="新宋体" w:eastAsia="新宋体" w:cs="新宋体"/>
                <w:color w:val="auto"/>
                <w:szCs w:val="21"/>
                <w:highlight w:val="none"/>
              </w:rPr>
              <w:t>至台州湾新区小额工程电子交易平台（网址：http://www.tzwztb.com/）；</w:t>
            </w:r>
          </w:p>
        </w:tc>
      </w:tr>
      <w:tr>
        <w:tblPrEx>
          <w:tblCellMar>
            <w:top w:w="0" w:type="dxa"/>
            <w:left w:w="108" w:type="dxa"/>
            <w:bottom w:w="0" w:type="dxa"/>
            <w:right w:w="108" w:type="dxa"/>
          </w:tblCellMar>
        </w:tblPrEx>
        <w:trPr>
          <w:trHeight w:val="425"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4.1.3</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是否退还投标文件</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否</w:t>
            </w:r>
          </w:p>
        </w:tc>
      </w:tr>
      <w:tr>
        <w:tblPrEx>
          <w:tblCellMar>
            <w:top w:w="0" w:type="dxa"/>
            <w:left w:w="108" w:type="dxa"/>
            <w:bottom w:w="0" w:type="dxa"/>
            <w:right w:w="108" w:type="dxa"/>
          </w:tblCellMar>
        </w:tblPrEx>
        <w:trPr>
          <w:trHeight w:val="90"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4.2.1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投标截止时间</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rPr>
                <w:b/>
                <w:color w:val="auto"/>
                <w:szCs w:val="21"/>
                <w:highlight w:val="none"/>
              </w:rPr>
            </w:pPr>
            <w:r>
              <w:rPr>
                <w:rFonts w:hint="eastAsia"/>
                <w:b/>
                <w:color w:val="auto"/>
                <w:highlight w:val="none"/>
              </w:rPr>
              <w:t>详见本工程招标公告</w:t>
            </w:r>
          </w:p>
        </w:tc>
      </w:tr>
      <w:tr>
        <w:tblPrEx>
          <w:tblCellMar>
            <w:top w:w="0" w:type="dxa"/>
            <w:left w:w="108" w:type="dxa"/>
            <w:bottom w:w="0" w:type="dxa"/>
            <w:right w:w="108" w:type="dxa"/>
          </w:tblCellMar>
        </w:tblPrEx>
        <w:trPr>
          <w:trHeight w:val="90"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4.2.3</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投标文件</w:t>
            </w:r>
          </w:p>
          <w:p>
            <w:pPr>
              <w:jc w:val="center"/>
              <w:rPr>
                <w:rFonts w:hint="eastAsia"/>
                <w:color w:val="auto"/>
                <w:szCs w:val="21"/>
                <w:highlight w:val="none"/>
              </w:rPr>
            </w:pPr>
            <w:r>
              <w:rPr>
                <w:rFonts w:hint="eastAsia"/>
                <w:color w:val="auto"/>
                <w:szCs w:val="21"/>
                <w:highlight w:val="none"/>
              </w:rPr>
              <w:t>递交要求</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1、本项目采用不见面电子招投标，投标人无需到开标现场。电子投标文件上传至台州湾新区小额工程电子交易平台（步骤如下），如遇有问题的请联系蔡永正，13454667697；王明月，13757680207。</w:t>
            </w:r>
          </w:p>
          <w:p>
            <w:pPr>
              <w:snapToGrid w:val="0"/>
              <w:spacing w:line="288" w:lineRule="auto"/>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2、电子投标文件上传步骤：</w:t>
            </w:r>
          </w:p>
          <w:p>
            <w:pPr>
              <w:snapToGrid w:val="0"/>
              <w:spacing w:line="288" w:lineRule="auto"/>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 台州湾新区小额工程电子交易平台（网址：http://www.tzwztb.com/）；</w:t>
            </w:r>
          </w:p>
          <w:p>
            <w:pPr>
              <w:pStyle w:val="13"/>
              <w:adjustRightInd w:val="0"/>
              <w:snapToGrid w:val="0"/>
              <w:ind w:firstLine="0" w:firstLineChars="0"/>
              <w:rPr>
                <w:rFonts w:eastAsia="黑体"/>
                <w:color w:val="auto"/>
                <w:highlight w:val="none"/>
              </w:rPr>
            </w:pPr>
            <w:r>
              <w:rPr>
                <w:rFonts w:hint="eastAsia" w:ascii="新宋体" w:hAnsi="新宋体" w:eastAsia="新宋体" w:cs="新宋体"/>
                <w:color w:val="auto"/>
                <w:szCs w:val="21"/>
                <w:highlight w:val="none"/>
              </w:rPr>
              <w:t>2)</w:t>
            </w:r>
            <w:r>
              <w:rPr>
                <w:rFonts w:hint="eastAsia" w:eastAsia="黑体"/>
                <w:color w:val="auto"/>
                <w:highlight w:val="none"/>
              </w:rPr>
              <w:t>投标人应提前办好ca锁（办理网址：</w:t>
            </w:r>
            <w:r>
              <w:rPr>
                <w:rFonts w:eastAsia="黑体"/>
                <w:color w:val="auto"/>
                <w:highlight w:val="none"/>
              </w:rPr>
              <w:t>http://www.tseal.cn/tcloud/common.xhtml?projId=295</w:t>
            </w:r>
            <w:r>
              <w:rPr>
                <w:rFonts w:hint="eastAsia" w:eastAsia="黑体"/>
                <w:color w:val="auto"/>
                <w:highlight w:val="none"/>
              </w:rPr>
              <w:t>），绑定平台账户。</w:t>
            </w:r>
          </w:p>
          <w:p>
            <w:pPr>
              <w:snapToGrid w:val="0"/>
              <w:spacing w:line="288" w:lineRule="auto"/>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3）缴纳保证金</w:t>
            </w:r>
            <w:r>
              <w:rPr>
                <w:rFonts w:hint="eastAsia" w:eastAsia="黑体"/>
                <w:color w:val="auto"/>
                <w:highlight w:val="none"/>
              </w:rPr>
              <w:t>（或购买上传电子保函或上传非电子保函）</w:t>
            </w:r>
            <w:r>
              <w:rPr>
                <w:rFonts w:hint="eastAsia" w:ascii="新宋体" w:hAnsi="新宋体" w:eastAsia="新宋体" w:cs="新宋体"/>
                <w:color w:val="auto"/>
                <w:szCs w:val="21"/>
                <w:highlight w:val="none"/>
              </w:rPr>
              <w:t>后，可在线制作电子投标文件。点击“电子投标文件制作工具”，进入电子投标文件制作页面。</w:t>
            </w:r>
          </w:p>
          <w:p>
            <w:pPr>
              <w:snapToGrid w:val="0"/>
              <w:spacing w:line="288" w:lineRule="auto"/>
              <w:jc w:val="left"/>
              <w:rPr>
                <w:rFonts w:hint="eastAsia" w:ascii="宋体" w:hAnsi="宋体" w:cs="宋体"/>
                <w:color w:val="auto"/>
                <w:spacing w:val="-10"/>
                <w:highlight w:val="none"/>
              </w:rPr>
            </w:pPr>
            <w:r>
              <w:rPr>
                <w:rFonts w:hint="eastAsia" w:eastAsia="黑体"/>
                <w:b/>
                <w:bCs/>
                <w:color w:val="auto"/>
                <w:highlight w:val="none"/>
              </w:rPr>
              <w:t>3、投标保证金属于投标文件组成部分，投标保证金递交要求详见本招标文件投标人须知前附表3.4.1条款。</w:t>
            </w:r>
          </w:p>
        </w:tc>
      </w:tr>
      <w:tr>
        <w:tblPrEx>
          <w:tblCellMar>
            <w:top w:w="0" w:type="dxa"/>
            <w:left w:w="108" w:type="dxa"/>
            <w:bottom w:w="0" w:type="dxa"/>
            <w:right w:w="108" w:type="dxa"/>
          </w:tblCellMar>
        </w:tblPrEx>
        <w:trPr>
          <w:trHeight w:val="90"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5.1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开标时间</w:t>
            </w:r>
          </w:p>
          <w:p>
            <w:pPr>
              <w:jc w:val="center"/>
              <w:rPr>
                <w:color w:val="auto"/>
                <w:szCs w:val="21"/>
                <w:highlight w:val="none"/>
              </w:rPr>
            </w:pPr>
            <w:r>
              <w:rPr>
                <w:rFonts w:hint="eastAsia"/>
                <w:color w:val="auto"/>
                <w:szCs w:val="21"/>
                <w:highlight w:val="none"/>
              </w:rPr>
              <w:t>和地点</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left"/>
              <w:rPr>
                <w:color w:val="auto"/>
                <w:highlight w:val="none"/>
              </w:rPr>
            </w:pPr>
            <w:r>
              <w:rPr>
                <w:rFonts w:hint="eastAsia" w:ascii="新宋体" w:hAnsi="新宋体" w:eastAsia="新宋体" w:cs="新宋体"/>
                <w:color w:val="auto"/>
                <w:szCs w:val="21"/>
                <w:highlight w:val="none"/>
              </w:rPr>
              <w:t>开标时间与投标截止时间相同，开标地点详见本工程招标公告。（投标人代表一律不参加现场开标，投标人、招标人可通过在线直播参与监督开标过程。直播网络地址：</w:t>
            </w:r>
            <w:r>
              <w:rPr>
                <w:rFonts w:ascii="新宋体" w:hAnsi="新宋体" w:eastAsia="新宋体" w:cs="新宋体"/>
                <w:color w:val="auto"/>
                <w:szCs w:val="21"/>
                <w:highlight w:val="none"/>
              </w:rPr>
              <w:fldChar w:fldCharType="begin"/>
            </w:r>
            <w:r>
              <w:rPr>
                <w:rFonts w:ascii="新宋体" w:hAnsi="新宋体" w:eastAsia="新宋体" w:cs="新宋体"/>
                <w:color w:val="auto"/>
                <w:szCs w:val="21"/>
                <w:highlight w:val="none"/>
              </w:rPr>
              <w:instrText xml:space="preserve"> HYPERLINK "http://www.tzwztb.com/live/" </w:instrText>
            </w:r>
            <w:r>
              <w:rPr>
                <w:rFonts w:ascii="新宋体" w:hAnsi="新宋体" w:eastAsia="新宋体" w:cs="新宋体"/>
                <w:color w:val="auto"/>
                <w:szCs w:val="21"/>
                <w:highlight w:val="none"/>
              </w:rPr>
              <w:fldChar w:fldCharType="separate"/>
            </w:r>
            <w:r>
              <w:rPr>
                <w:rFonts w:ascii="新宋体" w:hAnsi="新宋体" w:eastAsia="新宋体" w:cs="新宋体"/>
                <w:color w:val="auto"/>
                <w:szCs w:val="21"/>
                <w:highlight w:val="none"/>
              </w:rPr>
              <w:t>www.tzwztb.com/live/</w:t>
            </w:r>
            <w:r>
              <w:rPr>
                <w:rFonts w:ascii="新宋体" w:hAnsi="新宋体" w:eastAsia="新宋体" w:cs="新宋体"/>
                <w:color w:val="auto"/>
                <w:szCs w:val="21"/>
                <w:highlight w:val="none"/>
              </w:rPr>
              <w:fldChar w:fldCharType="end"/>
            </w:r>
            <w:r>
              <w:rPr>
                <w:rFonts w:hint="eastAsia" w:ascii="新宋体" w:hAnsi="新宋体" w:eastAsia="新宋体" w:cs="新宋体"/>
                <w:color w:val="auto"/>
                <w:szCs w:val="21"/>
                <w:highlight w:val="none"/>
              </w:rPr>
              <w:t xml:space="preserve"> 。</w:t>
            </w:r>
          </w:p>
        </w:tc>
      </w:tr>
      <w:tr>
        <w:tblPrEx>
          <w:tblCellMar>
            <w:top w:w="0" w:type="dxa"/>
            <w:left w:w="108" w:type="dxa"/>
            <w:bottom w:w="0" w:type="dxa"/>
            <w:right w:w="108" w:type="dxa"/>
          </w:tblCellMar>
        </w:tblPrEx>
        <w:trPr>
          <w:trHeight w:val="381"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5.2</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开标程序</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1、进入台州湾新区小额工程电子交易平台不见面开标大厅（以下简称：不见面开标系统）。</w:t>
            </w:r>
            <w:bookmarkStart w:id="1439" w:name="_GoBack"/>
            <w:bookmarkEnd w:id="1439"/>
          </w:p>
          <w:p>
            <w:pPr>
              <w:snapToGrid w:val="0"/>
              <w:spacing w:line="288" w:lineRule="auto"/>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因投标人网络与电源不稳定、未按操作手册要求配置软硬件、ca锁发生故障或用错等自身原因，导致投标失败的，视为投标人放弃投标；因招标人原因或网上招投标平台发生故障等，导致无法按时完成投标文件解密或开、评标工作无法进行的，可根据实际情况相应延迟解密时间或调整开、评标时间。重要事项说明：</w:t>
            </w:r>
          </w:p>
          <w:p>
            <w:pPr>
              <w:snapToGrid w:val="0"/>
              <w:spacing w:line="288" w:lineRule="auto"/>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（1）开标项目的时间均以国家授时中心发布的时间为准。</w:t>
            </w:r>
          </w:p>
          <w:p>
            <w:pPr>
              <w:snapToGrid w:val="0"/>
              <w:spacing w:line="288" w:lineRule="auto"/>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（2）若投标人已申请多把CA锁，请注意使用差别。否则造成投标失败的，由投标人负责。</w:t>
            </w:r>
          </w:p>
          <w:p>
            <w:pPr>
              <w:snapToGrid w:val="0"/>
              <w:spacing w:line="288" w:lineRule="auto"/>
              <w:jc w:val="left"/>
              <w:rPr>
                <w:rFonts w:ascii="宋体" w:hAnsi="宋体"/>
                <w:color w:val="auto"/>
                <w:szCs w:val="21"/>
                <w:highlight w:val="none"/>
              </w:rPr>
            </w:pPr>
            <w:r>
              <w:rPr>
                <w:rFonts w:hint="eastAsia" w:ascii="新宋体" w:hAnsi="新宋体" w:eastAsia="新宋体" w:cs="新宋体"/>
                <w:color w:val="auto"/>
                <w:szCs w:val="21"/>
                <w:highlight w:val="none"/>
              </w:rPr>
              <w:t>（3）如有疑问，请咨询台州博育信息技术有限公司技术服务电话，技术服务电话：蔡永正，13454667697；王明月，13757680207。QQ “台州湾新区小额工程电子交易平台交流”（群号：435057190），进行业务咨询。此群也将作为不见面开标的备用远程交互群</w:t>
            </w:r>
          </w:p>
        </w:tc>
      </w:tr>
      <w:tr>
        <w:tblPrEx>
          <w:tblCellMar>
            <w:top w:w="0" w:type="dxa"/>
            <w:left w:w="108" w:type="dxa"/>
            <w:bottom w:w="0" w:type="dxa"/>
            <w:right w:w="108" w:type="dxa"/>
          </w:tblCellMar>
        </w:tblPrEx>
        <w:trPr>
          <w:trHeight w:val="381"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6.3</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评标办法</w:t>
            </w:r>
          </w:p>
        </w:tc>
        <w:tc>
          <w:tcPr>
            <w:tcW w:w="65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简易评标法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068" w:type="dxa"/>
            <w:noWrap w:val="0"/>
            <w:tcMar>
              <w:left w:w="57" w:type="dxa"/>
              <w:right w:w="57" w:type="dxa"/>
            </w:tcMar>
            <w:vAlign w:val="center"/>
          </w:tcPr>
          <w:p>
            <w:pPr>
              <w:snapToGrid w:val="0"/>
              <w:spacing w:line="288" w:lineRule="auto"/>
              <w:jc w:val="center"/>
              <w:rPr>
                <w:rFonts w:ascii="新宋体" w:hAnsi="新宋体" w:eastAsia="新宋体" w:cs="新宋体"/>
                <w:color w:val="auto"/>
                <w:szCs w:val="21"/>
                <w:highlight w:val="none"/>
              </w:rPr>
            </w:pPr>
            <w:r>
              <w:rPr>
                <w:rFonts w:ascii="新宋体" w:hAnsi="新宋体" w:eastAsia="新宋体" w:cs="新宋体"/>
                <w:color w:val="auto"/>
                <w:szCs w:val="21"/>
                <w:highlight w:val="none"/>
              </w:rPr>
              <w:t>7.</w:t>
            </w:r>
            <w:r>
              <w:rPr>
                <w:rFonts w:hint="eastAsia" w:ascii="新宋体" w:hAnsi="新宋体" w:eastAsia="新宋体" w:cs="新宋体"/>
                <w:color w:val="auto"/>
                <w:szCs w:val="21"/>
                <w:highlight w:val="none"/>
              </w:rPr>
              <w:t>3.1</w:t>
            </w:r>
          </w:p>
        </w:tc>
        <w:tc>
          <w:tcPr>
            <w:tcW w:w="1834" w:type="dxa"/>
            <w:noWrap w:val="0"/>
            <w:tcMar>
              <w:left w:w="57" w:type="dxa"/>
              <w:right w:w="57" w:type="dxa"/>
            </w:tcMar>
            <w:vAlign w:val="center"/>
          </w:tcPr>
          <w:p>
            <w:pPr>
              <w:snapToGrid w:val="0"/>
              <w:spacing w:line="288" w:lineRule="auto"/>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履约担保</w:t>
            </w:r>
          </w:p>
        </w:tc>
        <w:tc>
          <w:tcPr>
            <w:tcW w:w="6508" w:type="dxa"/>
            <w:noWrap w:val="0"/>
            <w:tcMar>
              <w:left w:w="57" w:type="dxa"/>
              <w:right w:w="57" w:type="dxa"/>
            </w:tcMar>
            <w:vAlign w:val="center"/>
          </w:tcPr>
          <w:p>
            <w:pPr>
              <w:rPr>
                <w:rFonts w:hint="eastAsia" w:ascii="宋体" w:hAnsi="宋体" w:cs="宋体"/>
                <w:color w:val="auto"/>
                <w:szCs w:val="21"/>
                <w:highlight w:val="none"/>
              </w:rPr>
            </w:pPr>
            <w:r>
              <w:rPr>
                <w:rFonts w:hint="eastAsia" w:eastAsia="黑体"/>
                <w:b/>
                <w:color w:val="auto"/>
                <w:highlight w:val="none"/>
              </w:rPr>
              <w:t>履约担保金额为中标合同金额的2%，如不能办理工程保函采用现金的，中标人必须通过其基本账户转出，以转账、电汇或银行汇票方式存入招标人指定账户。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068" w:type="dxa"/>
            <w:noWrap w:val="0"/>
            <w:tcMar>
              <w:left w:w="57" w:type="dxa"/>
              <w:right w:w="57" w:type="dxa"/>
            </w:tcMar>
            <w:vAlign w:val="center"/>
          </w:tcPr>
          <w:p>
            <w:pPr>
              <w:snapToGrid w:val="0"/>
              <w:spacing w:line="288" w:lineRule="auto"/>
              <w:jc w:val="center"/>
              <w:rPr>
                <w:rFonts w:ascii="新宋体" w:hAnsi="新宋体" w:eastAsia="新宋体" w:cs="新宋体"/>
                <w:color w:val="auto"/>
                <w:szCs w:val="21"/>
                <w:highlight w:val="none"/>
              </w:rPr>
            </w:pPr>
            <w:r>
              <w:rPr>
                <w:rFonts w:ascii="新宋体" w:hAnsi="新宋体" w:eastAsia="新宋体" w:cs="新宋体"/>
                <w:color w:val="auto"/>
                <w:szCs w:val="21"/>
                <w:highlight w:val="none"/>
              </w:rPr>
              <w:t>10</w:t>
            </w:r>
          </w:p>
        </w:tc>
        <w:tc>
          <w:tcPr>
            <w:tcW w:w="8342" w:type="dxa"/>
            <w:gridSpan w:val="2"/>
            <w:noWrap w:val="0"/>
            <w:tcMar>
              <w:left w:w="57" w:type="dxa"/>
              <w:right w:w="57" w:type="dxa"/>
            </w:tcMar>
            <w:vAlign w:val="center"/>
          </w:tcPr>
          <w:p>
            <w:pPr>
              <w:snapToGrid w:val="0"/>
              <w:spacing w:line="288" w:lineRule="auto"/>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1068" w:type="dxa"/>
            <w:noWrap w:val="0"/>
            <w:tcMar>
              <w:left w:w="57" w:type="dxa"/>
              <w:right w:w="57" w:type="dxa"/>
            </w:tcMar>
            <w:vAlign w:val="center"/>
          </w:tcPr>
          <w:p>
            <w:pPr>
              <w:snapToGrid w:val="0"/>
              <w:spacing w:line="288" w:lineRule="auto"/>
              <w:jc w:val="center"/>
              <w:rPr>
                <w:rFonts w:ascii="新宋体" w:hAnsi="新宋体" w:eastAsia="新宋体" w:cs="新宋体"/>
                <w:bCs/>
                <w:color w:val="auto"/>
                <w:szCs w:val="21"/>
                <w:highlight w:val="none"/>
              </w:rPr>
            </w:pPr>
            <w:r>
              <w:rPr>
                <w:rFonts w:ascii="新宋体" w:hAnsi="新宋体" w:eastAsia="新宋体" w:cs="新宋体"/>
                <w:bCs/>
                <w:color w:val="auto"/>
                <w:szCs w:val="21"/>
                <w:highlight w:val="none"/>
              </w:rPr>
              <w:t>10.1</w:t>
            </w:r>
          </w:p>
        </w:tc>
        <w:tc>
          <w:tcPr>
            <w:tcW w:w="1834" w:type="dxa"/>
            <w:noWrap w:val="0"/>
            <w:tcMar>
              <w:left w:w="57" w:type="dxa"/>
              <w:right w:w="57" w:type="dxa"/>
            </w:tcMar>
            <w:vAlign w:val="center"/>
          </w:tcPr>
          <w:p>
            <w:pPr>
              <w:snapToGri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温馨提示</w:t>
            </w:r>
          </w:p>
        </w:tc>
        <w:tc>
          <w:tcPr>
            <w:tcW w:w="6508" w:type="dxa"/>
            <w:noWrap w:val="0"/>
            <w:tcMar>
              <w:left w:w="57" w:type="dxa"/>
              <w:right w:w="57" w:type="dxa"/>
            </w:tcMar>
            <w:vAlign w:val="center"/>
          </w:tcPr>
          <w:p>
            <w:pPr>
              <w:rPr>
                <w:rFonts w:hint="eastAsia" w:ascii="宋体" w:hAnsi="宋体" w:cs="宋体"/>
                <w:color w:val="auto"/>
                <w:szCs w:val="21"/>
                <w:highlight w:val="none"/>
              </w:rPr>
            </w:pPr>
            <w:r>
              <w:rPr>
                <w:rFonts w:hint="eastAsia" w:ascii="宋体" w:hAnsi="宋体" w:cs="宋体"/>
                <w:b/>
                <w:color w:val="auto"/>
                <w:szCs w:val="21"/>
                <w:highlight w:val="none"/>
              </w:rPr>
              <w:t>投标人须在递交投标保证金前在台州湾新区小额工程电子交易平台（www.tzwztb.com）中注册并核验通过。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1068" w:type="dxa"/>
            <w:noWrap w:val="0"/>
            <w:tcMar>
              <w:left w:w="57" w:type="dxa"/>
              <w:right w:w="57" w:type="dxa"/>
            </w:tcMar>
            <w:vAlign w:val="center"/>
          </w:tcPr>
          <w:p>
            <w:pPr>
              <w:snapToGrid w:val="0"/>
              <w:spacing w:line="288" w:lineRule="auto"/>
              <w:jc w:val="center"/>
              <w:rPr>
                <w:rFonts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10.2</w:t>
            </w:r>
          </w:p>
        </w:tc>
        <w:tc>
          <w:tcPr>
            <w:tcW w:w="1834" w:type="dxa"/>
            <w:noWrap w:val="0"/>
            <w:tcMar>
              <w:left w:w="57" w:type="dxa"/>
              <w:right w:w="57" w:type="dxa"/>
            </w:tcMar>
            <w:vAlign w:val="center"/>
          </w:tcPr>
          <w:p>
            <w:pPr>
              <w:snapToGri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注意事项</w:t>
            </w:r>
          </w:p>
        </w:tc>
        <w:tc>
          <w:tcPr>
            <w:tcW w:w="6508" w:type="dxa"/>
            <w:noWrap w:val="0"/>
            <w:tcMar>
              <w:left w:w="57" w:type="dxa"/>
              <w:right w:w="57" w:type="dxa"/>
            </w:tcMar>
            <w:vAlign w:val="center"/>
          </w:tcPr>
          <w:p>
            <w:pPr>
              <w:rPr>
                <w:rFonts w:hint="eastAsia" w:ascii="宋体" w:hAnsi="宋体" w:cs="宋体"/>
                <w:color w:val="auto"/>
                <w:szCs w:val="21"/>
                <w:highlight w:val="none"/>
              </w:rPr>
            </w:pPr>
            <w:r>
              <w:rPr>
                <w:rFonts w:hint="eastAsia" w:eastAsia="黑体"/>
                <w:b/>
                <w:color w:val="auto"/>
                <w:highlight w:val="none"/>
              </w:rPr>
              <w:t>开标后，经核查若不同投标单位报名或上传投标文件的ip地址（或工程清单锁地址）相同，按无效标处理。并提交行业主管部门，由行业主管部门对投标单位按相应规定进行处理。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1068" w:type="dxa"/>
            <w:noWrap w:val="0"/>
            <w:tcMar>
              <w:left w:w="57" w:type="dxa"/>
              <w:right w:w="57" w:type="dxa"/>
            </w:tcMar>
            <w:vAlign w:val="center"/>
          </w:tcPr>
          <w:p>
            <w:pPr>
              <w:snapToGrid w:val="0"/>
              <w:spacing w:line="288" w:lineRule="auto"/>
              <w:jc w:val="center"/>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10.3</w:t>
            </w:r>
          </w:p>
        </w:tc>
        <w:tc>
          <w:tcPr>
            <w:tcW w:w="1834" w:type="dxa"/>
            <w:noWrap w:val="0"/>
            <w:tcMar>
              <w:left w:w="57" w:type="dxa"/>
              <w:right w:w="57" w:type="dxa"/>
            </w:tcMar>
            <w:vAlign w:val="center"/>
          </w:tcPr>
          <w:p>
            <w:pPr>
              <w:snapToGrid w:val="0"/>
              <w:spacing w:line="288" w:lineRule="auto"/>
              <w:jc w:val="center"/>
              <w:rPr>
                <w:rFonts w:hint="eastAsia" w:ascii="宋体" w:hAnsi="宋体"/>
                <w:color w:val="auto"/>
                <w:szCs w:val="21"/>
                <w:highlight w:val="none"/>
              </w:rPr>
            </w:pPr>
            <w:r>
              <w:rPr>
                <w:rFonts w:hint="eastAsia" w:ascii="宋体" w:hAnsi="宋体"/>
                <w:color w:val="auto"/>
                <w:szCs w:val="21"/>
                <w:highlight w:val="none"/>
              </w:rPr>
              <w:t>电子招标文件</w:t>
            </w:r>
          </w:p>
        </w:tc>
        <w:tc>
          <w:tcPr>
            <w:tcW w:w="6508" w:type="dxa"/>
            <w:noWrap w:val="0"/>
            <w:tcMar>
              <w:left w:w="57" w:type="dxa"/>
              <w:right w:w="57" w:type="dxa"/>
            </w:tcMar>
            <w:vAlign w:val="center"/>
          </w:tcPr>
          <w:p>
            <w:pPr>
              <w:snapToGrid w:val="0"/>
              <w:spacing w:line="288" w:lineRule="auto"/>
              <w:jc w:val="left"/>
              <w:rPr>
                <w:rFonts w:hint="eastAsia" w:ascii="宋体" w:hAnsi="宋体"/>
                <w:color w:val="auto"/>
                <w:szCs w:val="21"/>
                <w:highlight w:val="none"/>
              </w:rPr>
            </w:pPr>
            <w:r>
              <w:rPr>
                <w:rFonts w:hint="eastAsia" w:ascii="宋体" w:hAnsi="宋体"/>
                <w:color w:val="auto"/>
                <w:szCs w:val="21"/>
                <w:highlight w:val="none"/>
              </w:rPr>
              <w:t>电子招标文件的评标办法与本招标文件（指Word格式招标文件）的评标办法不一致的，以本招标文件为准。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1068" w:type="dxa"/>
            <w:noWrap w:val="0"/>
            <w:tcMar>
              <w:left w:w="57" w:type="dxa"/>
              <w:right w:w="57" w:type="dxa"/>
            </w:tcMar>
            <w:vAlign w:val="center"/>
          </w:tcPr>
          <w:p>
            <w:pPr>
              <w:snapToGrid w:val="0"/>
              <w:spacing w:line="288" w:lineRule="auto"/>
              <w:jc w:val="center"/>
              <w:rPr>
                <w:rFonts w:hint="eastAsia" w:ascii="新宋体" w:hAnsi="新宋体" w:eastAsia="新宋体" w:cs="新宋体"/>
                <w:bCs/>
                <w:color w:val="auto"/>
                <w:szCs w:val="21"/>
                <w:highlight w:val="none"/>
              </w:rPr>
            </w:pPr>
            <w:r>
              <w:rPr>
                <w:rFonts w:ascii="新宋体" w:hAnsi="新宋体" w:eastAsia="新宋体" w:cs="新宋体"/>
                <w:bCs/>
                <w:color w:val="auto"/>
                <w:szCs w:val="21"/>
                <w:highlight w:val="none"/>
              </w:rPr>
              <w:t>10.</w:t>
            </w:r>
            <w:r>
              <w:rPr>
                <w:rFonts w:hint="eastAsia" w:ascii="新宋体" w:hAnsi="新宋体" w:eastAsia="新宋体" w:cs="新宋体"/>
                <w:bCs/>
                <w:color w:val="auto"/>
                <w:szCs w:val="21"/>
                <w:highlight w:val="none"/>
              </w:rPr>
              <w:t>4</w:t>
            </w:r>
          </w:p>
        </w:tc>
        <w:tc>
          <w:tcPr>
            <w:tcW w:w="1834" w:type="dxa"/>
            <w:noWrap w:val="0"/>
            <w:tcMar>
              <w:left w:w="57" w:type="dxa"/>
              <w:right w:w="57" w:type="dxa"/>
            </w:tcMar>
            <w:vAlign w:val="center"/>
          </w:tcPr>
          <w:p>
            <w:pPr>
              <w:snapToGrid w:val="0"/>
              <w:spacing w:line="288" w:lineRule="auto"/>
              <w:jc w:val="center"/>
              <w:rPr>
                <w:rFonts w:hint="eastAsia" w:ascii="宋体" w:hAnsi="宋体"/>
                <w:color w:val="auto"/>
                <w:szCs w:val="21"/>
                <w:highlight w:val="none"/>
              </w:rPr>
            </w:pPr>
            <w:r>
              <w:rPr>
                <w:rFonts w:hint="eastAsia" w:ascii="宋体" w:hAnsi="宋体"/>
                <w:color w:val="auto"/>
                <w:szCs w:val="21"/>
                <w:highlight w:val="none"/>
              </w:rPr>
              <w:t>中标候选人的确定</w:t>
            </w:r>
          </w:p>
        </w:tc>
        <w:tc>
          <w:tcPr>
            <w:tcW w:w="6508" w:type="dxa"/>
            <w:noWrap w:val="0"/>
            <w:tcMar>
              <w:left w:w="57" w:type="dxa"/>
              <w:right w:w="57" w:type="dxa"/>
            </w:tcMar>
            <w:vAlign w:val="center"/>
          </w:tcPr>
          <w:p>
            <w:pPr>
              <w:snapToGrid w:val="0"/>
              <w:spacing w:line="288" w:lineRule="auto"/>
              <w:jc w:val="left"/>
              <w:rPr>
                <w:rFonts w:hint="eastAsia" w:ascii="宋体" w:hAnsi="宋体"/>
                <w:color w:val="auto"/>
                <w:szCs w:val="21"/>
                <w:highlight w:val="none"/>
              </w:rPr>
            </w:pPr>
            <w:r>
              <w:rPr>
                <w:rFonts w:hint="eastAsia" w:ascii="宋体" w:hAnsi="宋体"/>
                <w:color w:val="auto"/>
                <w:szCs w:val="21"/>
                <w:highlight w:val="none"/>
              </w:rPr>
              <w:t>本工程推选2名中标候选人。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11" w:hRule="atLeast"/>
          <w:jc w:val="center"/>
        </w:trPr>
        <w:tc>
          <w:tcPr>
            <w:tcW w:w="1068" w:type="dxa"/>
            <w:noWrap w:val="0"/>
            <w:tcMar>
              <w:left w:w="57" w:type="dxa"/>
              <w:right w:w="57" w:type="dxa"/>
            </w:tcMar>
            <w:vAlign w:val="center"/>
          </w:tcPr>
          <w:p>
            <w:pPr>
              <w:snapToGrid w:val="0"/>
              <w:spacing w:line="288" w:lineRule="auto"/>
              <w:jc w:val="center"/>
              <w:rPr>
                <w:rFonts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10.5</w:t>
            </w:r>
          </w:p>
        </w:tc>
        <w:tc>
          <w:tcPr>
            <w:tcW w:w="1834" w:type="dxa"/>
            <w:noWrap w:val="0"/>
            <w:tcMar>
              <w:left w:w="57" w:type="dxa"/>
              <w:right w:w="57" w:type="dxa"/>
            </w:tcMar>
            <w:vAlign w:val="center"/>
          </w:tcPr>
          <w:p>
            <w:pPr>
              <w:snapToGrid w:val="0"/>
              <w:spacing w:line="288" w:lineRule="auto"/>
              <w:jc w:val="left"/>
              <w:rPr>
                <w:rFonts w:hint="eastAsia" w:ascii="宋体" w:hAnsi="宋体"/>
                <w:color w:val="auto"/>
                <w:szCs w:val="21"/>
                <w:highlight w:val="none"/>
              </w:rPr>
            </w:pPr>
            <w:r>
              <w:rPr>
                <w:rFonts w:hint="eastAsia" w:ascii="宋体" w:hAnsi="宋体" w:cs="Courier New"/>
                <w:color w:val="auto"/>
                <w:szCs w:val="21"/>
                <w:highlight w:val="none"/>
              </w:rPr>
              <w:t>纸质投标文件说明</w:t>
            </w:r>
          </w:p>
        </w:tc>
        <w:tc>
          <w:tcPr>
            <w:tcW w:w="6508" w:type="dxa"/>
            <w:noWrap w:val="0"/>
            <w:tcMar>
              <w:left w:w="57" w:type="dxa"/>
              <w:right w:w="57" w:type="dxa"/>
            </w:tcMar>
            <w:vAlign w:val="center"/>
          </w:tcPr>
          <w:p>
            <w:pPr>
              <w:snapToGrid w:val="0"/>
              <w:spacing w:line="288" w:lineRule="auto"/>
              <w:jc w:val="left"/>
              <w:rPr>
                <w:rFonts w:hint="eastAsia" w:ascii="宋体" w:hAnsi="宋体" w:cs="Courier New"/>
                <w:color w:val="auto"/>
                <w:szCs w:val="21"/>
                <w:highlight w:val="none"/>
              </w:rPr>
            </w:pPr>
            <w:r>
              <w:rPr>
                <w:rFonts w:hint="eastAsia" w:ascii="宋体" w:hAnsi="宋体" w:cs="Courier New"/>
                <w:color w:val="auto"/>
                <w:szCs w:val="21"/>
                <w:highlight w:val="none"/>
              </w:rPr>
              <w:t>（1）本项目不要求递交纸质投标文件。</w:t>
            </w:r>
          </w:p>
          <w:p>
            <w:pPr>
              <w:snapToGrid w:val="0"/>
              <w:spacing w:line="288" w:lineRule="auto"/>
              <w:jc w:val="left"/>
              <w:rPr>
                <w:rFonts w:hint="eastAsia" w:ascii="宋体" w:hAnsi="宋体" w:cs="Courier New"/>
                <w:color w:val="auto"/>
                <w:szCs w:val="21"/>
                <w:highlight w:val="none"/>
              </w:rPr>
            </w:pPr>
            <w:r>
              <w:rPr>
                <w:rFonts w:hint="eastAsia" w:ascii="宋体" w:hAnsi="宋体" w:cs="Courier New"/>
                <w:color w:val="auto"/>
                <w:szCs w:val="21"/>
                <w:highlight w:val="none"/>
              </w:rPr>
              <w:t>（2）中标人中标后应在签订合同协议书前补交纸质投标文件4份。（投标工具中所有内容打印成纸质文件，纸质文件上的水印码须与上传至“电子交易平台”上的投标文件的水印码一致。）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068" w:type="dxa"/>
            <w:noWrap w:val="0"/>
            <w:tcMar>
              <w:left w:w="57" w:type="dxa"/>
              <w:right w:w="57" w:type="dxa"/>
            </w:tcMar>
            <w:vAlign w:val="center"/>
          </w:tcPr>
          <w:p>
            <w:pPr>
              <w:snapToGrid w:val="0"/>
              <w:spacing w:line="288" w:lineRule="auto"/>
              <w:jc w:val="center"/>
              <w:rPr>
                <w:rFonts w:ascii="新宋体" w:hAnsi="新宋体" w:eastAsia="新宋体" w:cs="新宋体"/>
                <w:bCs/>
                <w:color w:val="auto"/>
                <w:szCs w:val="21"/>
                <w:highlight w:val="none"/>
              </w:rPr>
            </w:pPr>
            <w:r>
              <w:rPr>
                <w:rFonts w:hint="eastAsia" w:ascii="新宋体" w:hAnsi="新宋体" w:eastAsia="新宋体" w:cs="新宋体"/>
                <w:bCs/>
                <w:color w:val="auto"/>
                <w:szCs w:val="21"/>
                <w:highlight w:val="none"/>
              </w:rPr>
              <w:t>10.6</w:t>
            </w:r>
          </w:p>
        </w:tc>
        <w:tc>
          <w:tcPr>
            <w:tcW w:w="1834" w:type="dxa"/>
            <w:noWrap w:val="0"/>
            <w:tcMar>
              <w:left w:w="57" w:type="dxa"/>
              <w:right w:w="57" w:type="dxa"/>
            </w:tcMar>
            <w:vAlign w:val="center"/>
          </w:tcPr>
          <w:p>
            <w:pPr>
              <w:snapToGrid w:val="0"/>
              <w:spacing w:line="288" w:lineRule="auto"/>
              <w:jc w:val="left"/>
              <w:rPr>
                <w:rFonts w:hint="eastAsia" w:ascii="宋体" w:hAnsi="宋体" w:cs="Courier New"/>
                <w:color w:val="auto"/>
                <w:szCs w:val="21"/>
                <w:highlight w:val="none"/>
              </w:rPr>
            </w:pPr>
            <w:r>
              <w:rPr>
                <w:rFonts w:hint="eastAsia" w:eastAsia="黑体"/>
                <w:bCs/>
                <w:color w:val="auto"/>
                <w:highlight w:val="none"/>
              </w:rPr>
              <w:t>增值税计税方式</w:t>
            </w:r>
          </w:p>
        </w:tc>
        <w:tc>
          <w:tcPr>
            <w:tcW w:w="6508" w:type="dxa"/>
            <w:noWrap w:val="0"/>
            <w:tcMar>
              <w:left w:w="57" w:type="dxa"/>
              <w:right w:w="57" w:type="dxa"/>
            </w:tcMar>
            <w:vAlign w:val="center"/>
          </w:tcPr>
          <w:p>
            <w:pPr>
              <w:snapToGrid w:val="0"/>
              <w:spacing w:line="288" w:lineRule="auto"/>
              <w:jc w:val="left"/>
              <w:rPr>
                <w:rFonts w:hint="eastAsia" w:ascii="宋体" w:hAnsi="宋体" w:eastAsia="黑体" w:cs="Courier New"/>
                <w:color w:val="auto"/>
                <w:szCs w:val="21"/>
                <w:highlight w:val="none"/>
              </w:rPr>
            </w:pPr>
            <w:r>
              <w:rPr>
                <w:rFonts w:hint="eastAsia" w:eastAsia="黑体" w:cs="Courier New"/>
                <w:bCs/>
                <w:color w:val="auto"/>
                <w:szCs w:val="21"/>
                <w:highlight w:val="none"/>
              </w:rPr>
              <w:t>本工程采用简易计税法</w:t>
            </w:r>
          </w:p>
        </w:tc>
      </w:tr>
    </w:tbl>
    <w:p>
      <w:pPr>
        <w:pStyle w:val="113"/>
        <w:rPr>
          <w:color w:val="auto"/>
          <w:szCs w:val="28"/>
          <w:highlight w:val="none"/>
        </w:rPr>
      </w:pPr>
      <w:r>
        <w:rPr>
          <w:color w:val="auto"/>
          <w:highlight w:val="none"/>
        </w:rPr>
        <w:br w:type="page"/>
      </w:r>
      <w:bookmarkStart w:id="24" w:name="_Toc5161"/>
      <w:bookmarkStart w:id="25" w:name="_Toc144974497"/>
      <w:bookmarkStart w:id="26" w:name="_Toc152045529"/>
      <w:bookmarkStart w:id="27" w:name="_Toc152042305"/>
      <w:r>
        <w:rPr>
          <w:rFonts w:cs="Times New Roman"/>
          <w:color w:val="auto"/>
          <w:highlight w:val="none"/>
        </w:rPr>
        <w:t xml:space="preserve">1. </w:t>
      </w:r>
      <w:r>
        <w:rPr>
          <w:rFonts w:hint="eastAsia" w:cs="Times New Roman"/>
          <w:color w:val="auto"/>
          <w:highlight w:val="none"/>
        </w:rPr>
        <w:t>总则</w:t>
      </w:r>
      <w:bookmarkEnd w:id="24"/>
      <w:bookmarkEnd w:id="25"/>
      <w:bookmarkEnd w:id="26"/>
      <w:bookmarkEnd w:id="27"/>
    </w:p>
    <w:p>
      <w:pPr>
        <w:pStyle w:val="133"/>
        <w:rPr>
          <w:rFonts w:cs="Times New Roman"/>
          <w:color w:val="auto"/>
          <w:highlight w:val="none"/>
        </w:rPr>
      </w:pPr>
      <w:bookmarkStart w:id="28" w:name="_Toc394573883"/>
      <w:bookmarkStart w:id="29" w:name="_Toc283886195"/>
      <w:bookmarkStart w:id="30" w:name="_Toc283976486"/>
      <w:bookmarkStart w:id="31" w:name="_Toc152042306"/>
      <w:bookmarkStart w:id="32" w:name="_Toc237769243"/>
      <w:bookmarkStart w:id="33" w:name="_Toc288556237"/>
      <w:bookmarkStart w:id="34" w:name="_Toc152045530"/>
      <w:bookmarkStart w:id="35" w:name="_Toc372899812"/>
      <w:bookmarkStart w:id="36" w:name="_Toc372899689"/>
      <w:bookmarkStart w:id="37" w:name="_Toc321925372"/>
      <w:bookmarkStart w:id="38" w:name="_Toc282596250"/>
      <w:bookmarkStart w:id="39" w:name="_Toc22003"/>
      <w:bookmarkStart w:id="40" w:name="_Toc237768779"/>
      <w:bookmarkStart w:id="41" w:name="_Toc179632547"/>
      <w:bookmarkStart w:id="42" w:name="_Toc531161971"/>
      <w:bookmarkStart w:id="43" w:name="_Toc144974498"/>
      <w:r>
        <w:rPr>
          <w:rFonts w:cs="Times New Roman"/>
          <w:color w:val="auto"/>
          <w:highlight w:val="none"/>
        </w:rPr>
        <w:t xml:space="preserve">1.1 </w:t>
      </w:r>
      <w:r>
        <w:rPr>
          <w:rFonts w:hint="eastAsia" w:cs="Times New Roman"/>
          <w:color w:val="auto"/>
          <w:highlight w:val="none"/>
        </w:rPr>
        <w:t>工程概况</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spacing w:line="400" w:lineRule="exact"/>
        <w:ind w:firstLine="420" w:firstLineChars="200"/>
        <w:rPr>
          <w:color w:val="auto"/>
          <w:highlight w:val="none"/>
        </w:rPr>
      </w:pPr>
      <w:r>
        <w:rPr>
          <w:rFonts w:hint="eastAsia"/>
          <w:color w:val="auto"/>
          <w:highlight w:val="none"/>
        </w:rPr>
        <w:t>根据有关法律、法规、规章和地方性规定，本招标工程已具备招标条件，现对本招标工程进行招标。</w:t>
      </w:r>
    </w:p>
    <w:p>
      <w:pPr>
        <w:spacing w:line="400" w:lineRule="exact"/>
        <w:ind w:firstLine="420" w:firstLineChars="200"/>
        <w:rPr>
          <w:color w:val="auto"/>
          <w:highlight w:val="none"/>
        </w:rPr>
      </w:pPr>
      <w:r>
        <w:rPr>
          <w:color w:val="auto"/>
          <w:highlight w:val="none"/>
        </w:rPr>
        <w:t>1.1.1</w:t>
      </w:r>
      <w:r>
        <w:rPr>
          <w:rFonts w:hint="eastAsia"/>
          <w:color w:val="auto"/>
          <w:highlight w:val="none"/>
        </w:rPr>
        <w:t>本招标工程名称：见投标人须知前附表。</w:t>
      </w:r>
    </w:p>
    <w:p>
      <w:pPr>
        <w:spacing w:line="400" w:lineRule="exact"/>
        <w:ind w:firstLine="420" w:firstLineChars="200"/>
        <w:rPr>
          <w:color w:val="auto"/>
          <w:highlight w:val="none"/>
        </w:rPr>
      </w:pPr>
      <w:r>
        <w:rPr>
          <w:color w:val="auto"/>
          <w:highlight w:val="none"/>
        </w:rPr>
        <w:t xml:space="preserve">1.1.2 </w:t>
      </w:r>
      <w:r>
        <w:rPr>
          <w:rFonts w:hint="eastAsia"/>
          <w:color w:val="auto"/>
          <w:highlight w:val="none"/>
        </w:rPr>
        <w:t>本招标工程招标人：见投标人须知前附表。</w:t>
      </w:r>
    </w:p>
    <w:p>
      <w:pPr>
        <w:spacing w:line="400" w:lineRule="exact"/>
        <w:ind w:firstLine="420" w:firstLineChars="200"/>
        <w:rPr>
          <w:color w:val="auto"/>
          <w:highlight w:val="none"/>
        </w:rPr>
      </w:pPr>
      <w:r>
        <w:rPr>
          <w:color w:val="auto"/>
          <w:highlight w:val="none"/>
        </w:rPr>
        <w:t xml:space="preserve">1.1.3 </w:t>
      </w:r>
      <w:r>
        <w:rPr>
          <w:rFonts w:hint="eastAsia"/>
          <w:color w:val="auto"/>
          <w:highlight w:val="none"/>
        </w:rPr>
        <w:t>本招标工程招标代理机构：见投标人须知前附表。</w:t>
      </w:r>
    </w:p>
    <w:p>
      <w:pPr>
        <w:spacing w:line="400" w:lineRule="exact"/>
        <w:ind w:firstLine="420" w:firstLineChars="200"/>
        <w:rPr>
          <w:color w:val="auto"/>
          <w:highlight w:val="none"/>
        </w:rPr>
      </w:pPr>
      <w:r>
        <w:rPr>
          <w:color w:val="auto"/>
          <w:highlight w:val="none"/>
        </w:rPr>
        <w:t>1.1.</w:t>
      </w:r>
      <w:r>
        <w:rPr>
          <w:rFonts w:hint="eastAsia"/>
          <w:color w:val="auto"/>
          <w:highlight w:val="none"/>
        </w:rPr>
        <w:t>4</w:t>
      </w:r>
      <w:r>
        <w:rPr>
          <w:color w:val="auto"/>
          <w:highlight w:val="none"/>
        </w:rPr>
        <w:t xml:space="preserve"> </w:t>
      </w:r>
      <w:r>
        <w:rPr>
          <w:rFonts w:hint="eastAsia"/>
          <w:color w:val="auto"/>
          <w:highlight w:val="none"/>
        </w:rPr>
        <w:t>本招标工程建设地点：见投标人须知前附表。</w:t>
      </w:r>
    </w:p>
    <w:p>
      <w:pPr>
        <w:pStyle w:val="133"/>
        <w:rPr>
          <w:rFonts w:cs="Times New Roman"/>
          <w:color w:val="auto"/>
          <w:highlight w:val="none"/>
        </w:rPr>
      </w:pPr>
      <w:bookmarkStart w:id="44" w:name="_Toc6240"/>
      <w:bookmarkStart w:id="45" w:name="_Toc179632548"/>
      <w:bookmarkStart w:id="46" w:name="_Toc144974499"/>
      <w:bookmarkStart w:id="47" w:name="_Toc321925373"/>
      <w:bookmarkStart w:id="48" w:name="_Toc282596251"/>
      <w:bookmarkStart w:id="49" w:name="_Toc288556238"/>
      <w:bookmarkStart w:id="50" w:name="_Toc531161972"/>
      <w:bookmarkStart w:id="51" w:name="_Toc237769244"/>
      <w:bookmarkStart w:id="52" w:name="_Toc152045531"/>
      <w:bookmarkStart w:id="53" w:name="_Toc283886196"/>
      <w:bookmarkStart w:id="54" w:name="_Toc372899813"/>
      <w:bookmarkStart w:id="55" w:name="_Toc372899690"/>
      <w:bookmarkStart w:id="56" w:name="_Toc283976487"/>
      <w:bookmarkStart w:id="57" w:name="_Toc394573884"/>
      <w:bookmarkStart w:id="58" w:name="_Toc152042307"/>
      <w:bookmarkStart w:id="59" w:name="_Toc237768780"/>
      <w:r>
        <w:rPr>
          <w:rFonts w:cs="Times New Roman"/>
          <w:color w:val="auto"/>
          <w:highlight w:val="none"/>
        </w:rPr>
        <w:t xml:space="preserve">1.2 </w:t>
      </w:r>
      <w:r>
        <w:rPr>
          <w:rFonts w:hint="eastAsia" w:cs="Times New Roman"/>
          <w:color w:val="auto"/>
          <w:highlight w:val="none"/>
        </w:rPr>
        <w:t>资金来源和落实情况</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spacing w:line="400" w:lineRule="exact"/>
        <w:ind w:firstLine="420" w:firstLineChars="200"/>
        <w:rPr>
          <w:color w:val="auto"/>
          <w:highlight w:val="none"/>
        </w:rPr>
      </w:pPr>
      <w:r>
        <w:rPr>
          <w:color w:val="auto"/>
          <w:highlight w:val="none"/>
        </w:rPr>
        <w:t xml:space="preserve">1.2.1 </w:t>
      </w:r>
      <w:r>
        <w:rPr>
          <w:rFonts w:hint="eastAsia"/>
          <w:color w:val="auto"/>
          <w:highlight w:val="none"/>
        </w:rPr>
        <w:t>本招标工程的资金来源及出资比例：见投标人须知前附表。</w:t>
      </w:r>
    </w:p>
    <w:p>
      <w:pPr>
        <w:spacing w:line="400" w:lineRule="exact"/>
        <w:ind w:firstLine="420" w:firstLineChars="200"/>
        <w:rPr>
          <w:color w:val="auto"/>
          <w:highlight w:val="none"/>
        </w:rPr>
      </w:pPr>
      <w:r>
        <w:rPr>
          <w:color w:val="auto"/>
          <w:highlight w:val="none"/>
        </w:rPr>
        <w:t xml:space="preserve">1.2.2 </w:t>
      </w:r>
      <w:r>
        <w:rPr>
          <w:rFonts w:hint="eastAsia"/>
          <w:color w:val="auto"/>
          <w:highlight w:val="none"/>
        </w:rPr>
        <w:t>本招标工程的资金落实情况：见投标人须知前附表。</w:t>
      </w:r>
    </w:p>
    <w:p>
      <w:pPr>
        <w:pStyle w:val="133"/>
        <w:rPr>
          <w:rFonts w:cs="Times New Roman"/>
          <w:color w:val="auto"/>
          <w:highlight w:val="none"/>
        </w:rPr>
      </w:pPr>
      <w:bookmarkStart w:id="60" w:name="_Toc282596252"/>
      <w:bookmarkStart w:id="61" w:name="_Toc237769245"/>
      <w:bookmarkStart w:id="62" w:name="_Toc283886197"/>
      <w:bookmarkStart w:id="63" w:name="_Toc283976488"/>
      <w:bookmarkStart w:id="64" w:name="_Toc321925374"/>
      <w:bookmarkStart w:id="65" w:name="_Toc372899814"/>
      <w:bookmarkStart w:id="66" w:name="_Toc288556239"/>
      <w:bookmarkStart w:id="67" w:name="_Toc152045532"/>
      <w:bookmarkStart w:id="68" w:name="_Toc394573885"/>
      <w:bookmarkStart w:id="69" w:name="_Toc372899691"/>
      <w:bookmarkStart w:id="70" w:name="_Toc144974500"/>
      <w:bookmarkStart w:id="71" w:name="_Toc23020"/>
      <w:bookmarkStart w:id="72" w:name="_Toc531161973"/>
      <w:bookmarkStart w:id="73" w:name="_Toc152042308"/>
      <w:bookmarkStart w:id="74" w:name="_Toc237768781"/>
      <w:bookmarkStart w:id="75" w:name="_Toc179632549"/>
      <w:r>
        <w:rPr>
          <w:rFonts w:cs="Times New Roman"/>
          <w:color w:val="auto"/>
          <w:highlight w:val="none"/>
        </w:rPr>
        <w:t xml:space="preserve">1.3 </w:t>
      </w:r>
      <w:r>
        <w:rPr>
          <w:rFonts w:hint="eastAsia" w:cs="Times New Roman"/>
          <w:color w:val="auto"/>
          <w:highlight w:val="none"/>
        </w:rPr>
        <w:t>招标范围、计划工期和质量要求</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spacing w:line="400" w:lineRule="exact"/>
        <w:ind w:firstLine="420" w:firstLineChars="200"/>
        <w:rPr>
          <w:color w:val="auto"/>
          <w:highlight w:val="none"/>
        </w:rPr>
      </w:pPr>
      <w:r>
        <w:rPr>
          <w:color w:val="auto"/>
          <w:highlight w:val="none"/>
        </w:rPr>
        <w:t xml:space="preserve">1.3.1 </w:t>
      </w:r>
      <w:r>
        <w:rPr>
          <w:rFonts w:hint="eastAsia"/>
          <w:color w:val="auto"/>
          <w:highlight w:val="none"/>
        </w:rPr>
        <w:t>本招标工程的招标范围：见投标人须知前附表。</w:t>
      </w:r>
    </w:p>
    <w:p>
      <w:pPr>
        <w:spacing w:line="400" w:lineRule="exact"/>
        <w:ind w:firstLine="420" w:firstLineChars="200"/>
        <w:rPr>
          <w:color w:val="auto"/>
          <w:highlight w:val="none"/>
        </w:rPr>
      </w:pPr>
      <w:r>
        <w:rPr>
          <w:color w:val="auto"/>
          <w:highlight w:val="none"/>
        </w:rPr>
        <w:t xml:space="preserve">1.3.2 </w:t>
      </w:r>
      <w:r>
        <w:rPr>
          <w:rFonts w:hint="eastAsia"/>
          <w:color w:val="auto"/>
          <w:highlight w:val="none"/>
        </w:rPr>
        <w:t>本招标工程的工期要求：见投标人须知前附表。</w:t>
      </w:r>
    </w:p>
    <w:p>
      <w:pPr>
        <w:spacing w:line="400" w:lineRule="exact"/>
        <w:ind w:firstLine="420" w:firstLineChars="200"/>
        <w:rPr>
          <w:color w:val="auto"/>
          <w:highlight w:val="none"/>
        </w:rPr>
      </w:pPr>
      <w:r>
        <w:rPr>
          <w:color w:val="auto"/>
          <w:highlight w:val="none"/>
        </w:rPr>
        <w:t xml:space="preserve">1.3.3 </w:t>
      </w:r>
      <w:r>
        <w:rPr>
          <w:rFonts w:hint="eastAsia"/>
          <w:color w:val="auto"/>
          <w:highlight w:val="none"/>
        </w:rPr>
        <w:t>本招标工程的质量要求：见投标人须知前附表。</w:t>
      </w:r>
    </w:p>
    <w:p>
      <w:pPr>
        <w:pStyle w:val="133"/>
        <w:rPr>
          <w:rFonts w:cs="Times New Roman"/>
          <w:color w:val="auto"/>
          <w:highlight w:val="none"/>
        </w:rPr>
      </w:pPr>
      <w:bookmarkStart w:id="76" w:name="_Toc144974501"/>
      <w:bookmarkStart w:id="77" w:name="_Toc394573886"/>
      <w:bookmarkStart w:id="78" w:name="_Toc282596253"/>
      <w:bookmarkStart w:id="79" w:name="_Toc179632550"/>
      <w:bookmarkStart w:id="80" w:name="_Toc152045533"/>
      <w:bookmarkStart w:id="81" w:name="_Toc531161974"/>
      <w:bookmarkStart w:id="82" w:name="_Toc288556240"/>
      <w:bookmarkStart w:id="83" w:name="_Toc152042309"/>
      <w:bookmarkStart w:id="84" w:name="_Toc372899692"/>
      <w:bookmarkStart w:id="85" w:name="_Toc23109"/>
      <w:bookmarkStart w:id="86" w:name="_Toc283886198"/>
      <w:bookmarkStart w:id="87" w:name="_Toc283976489"/>
      <w:bookmarkStart w:id="88" w:name="_Toc372899815"/>
      <w:bookmarkStart w:id="89" w:name="_Toc237768782"/>
      <w:bookmarkStart w:id="90" w:name="_Toc237769246"/>
      <w:bookmarkStart w:id="91" w:name="_Toc321925375"/>
      <w:r>
        <w:rPr>
          <w:rFonts w:cs="Times New Roman"/>
          <w:color w:val="auto"/>
          <w:highlight w:val="none"/>
        </w:rPr>
        <w:t xml:space="preserve">1.4 </w:t>
      </w:r>
      <w:r>
        <w:rPr>
          <w:rFonts w:hint="eastAsia" w:cs="Times New Roman"/>
          <w:color w:val="auto"/>
          <w:highlight w:val="none"/>
        </w:rPr>
        <w:t>投标人资格要求</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spacing w:line="400" w:lineRule="exact"/>
        <w:ind w:firstLine="420" w:firstLineChars="200"/>
        <w:rPr>
          <w:color w:val="auto"/>
          <w:highlight w:val="none"/>
        </w:rPr>
      </w:pPr>
      <w:r>
        <w:rPr>
          <w:color w:val="auto"/>
          <w:highlight w:val="none"/>
        </w:rPr>
        <w:t>1.4.1</w:t>
      </w:r>
      <w:r>
        <w:rPr>
          <w:rFonts w:hint="eastAsia"/>
          <w:color w:val="auto"/>
          <w:highlight w:val="none"/>
        </w:rPr>
        <w:t>投标人应具备承担招标工程的资质、资格和其他等要求。</w:t>
      </w:r>
    </w:p>
    <w:p>
      <w:pPr>
        <w:spacing w:line="400" w:lineRule="exact"/>
        <w:ind w:firstLine="315" w:firstLineChars="150"/>
        <w:rPr>
          <w:color w:val="auto"/>
          <w:highlight w:val="none"/>
        </w:rPr>
      </w:pPr>
      <w:r>
        <w:rPr>
          <w:rFonts w:hint="eastAsia"/>
          <w:color w:val="auto"/>
          <w:highlight w:val="none"/>
        </w:rPr>
        <w:t>（</w:t>
      </w:r>
      <w:r>
        <w:rPr>
          <w:color w:val="auto"/>
          <w:highlight w:val="none"/>
        </w:rPr>
        <w:t>1</w:t>
      </w:r>
      <w:r>
        <w:rPr>
          <w:rFonts w:hint="eastAsia"/>
          <w:color w:val="auto"/>
          <w:highlight w:val="none"/>
        </w:rPr>
        <w:t>）资质条件：见投标人须知前附表；</w:t>
      </w:r>
    </w:p>
    <w:p>
      <w:pPr>
        <w:spacing w:line="400" w:lineRule="exact"/>
        <w:ind w:firstLine="315" w:firstLineChars="150"/>
        <w:rPr>
          <w:color w:val="auto"/>
          <w:highlight w:val="none"/>
        </w:rPr>
      </w:pPr>
      <w:r>
        <w:rPr>
          <w:rFonts w:hint="eastAsia"/>
          <w:color w:val="auto"/>
          <w:highlight w:val="none"/>
        </w:rPr>
        <w:t>（</w:t>
      </w:r>
      <w:r>
        <w:rPr>
          <w:color w:val="auto"/>
          <w:highlight w:val="none"/>
        </w:rPr>
        <w:t>2</w:t>
      </w:r>
      <w:r>
        <w:rPr>
          <w:rFonts w:hint="eastAsia"/>
          <w:color w:val="auto"/>
          <w:highlight w:val="none"/>
        </w:rPr>
        <w:t>）项目负责人资格：见投标人须知前附表；</w:t>
      </w:r>
    </w:p>
    <w:p>
      <w:pPr>
        <w:spacing w:line="400" w:lineRule="exact"/>
        <w:ind w:firstLine="315" w:firstLineChars="150"/>
        <w:rPr>
          <w:rFonts w:hint="eastAsia"/>
          <w:color w:val="auto"/>
          <w:highlight w:val="none"/>
        </w:rPr>
      </w:pPr>
      <w:r>
        <w:rPr>
          <w:color w:val="auto"/>
          <w:highlight w:val="none"/>
        </w:rPr>
        <w:t>（3）</w:t>
      </w:r>
      <w:r>
        <w:rPr>
          <w:rFonts w:hint="eastAsia"/>
          <w:color w:val="auto"/>
          <w:highlight w:val="none"/>
        </w:rPr>
        <w:t>项目负责人在建项目要求：不作要求</w:t>
      </w:r>
    </w:p>
    <w:p>
      <w:pPr>
        <w:spacing w:line="400" w:lineRule="exact"/>
        <w:ind w:firstLine="422" w:firstLineChars="200"/>
        <w:rPr>
          <w:rFonts w:hint="eastAsia"/>
          <w:b/>
          <w:bCs/>
          <w:color w:val="auto"/>
          <w:highlight w:val="none"/>
        </w:rPr>
      </w:pPr>
      <w:r>
        <w:rPr>
          <w:rFonts w:hint="eastAsia"/>
          <w:b/>
          <w:bCs/>
          <w:color w:val="auto"/>
          <w:highlight w:val="none"/>
        </w:rPr>
        <w:t>其他要求：项目负责人不得同时在两个或者两个以上单位受聘或者执业（仅指项目负责人不得同时是其他单位的公务员或者事业单位在编人员，涉及到其他情形的，投标资格不受影响）。</w:t>
      </w:r>
    </w:p>
    <w:p>
      <w:pPr>
        <w:pStyle w:val="18"/>
        <w:spacing w:after="0" w:line="400" w:lineRule="exact"/>
        <w:ind w:firstLine="420" w:firstLineChars="200"/>
        <w:rPr>
          <w:b/>
          <w:color w:val="auto"/>
          <w:highlight w:val="none"/>
        </w:rPr>
      </w:pPr>
      <w:r>
        <w:rPr>
          <w:color w:val="auto"/>
          <w:highlight w:val="none"/>
        </w:rPr>
        <w:t>1.4.</w:t>
      </w:r>
      <w:r>
        <w:rPr>
          <w:rFonts w:hint="eastAsia"/>
          <w:color w:val="auto"/>
          <w:highlight w:val="none"/>
        </w:rPr>
        <w:t>2投标人不得存在下列情形之一：</w:t>
      </w:r>
    </w:p>
    <w:p>
      <w:pPr>
        <w:spacing w:line="400" w:lineRule="exact"/>
        <w:ind w:firstLine="315" w:firstLineChars="150"/>
        <w:rPr>
          <w:color w:val="auto"/>
          <w:highlight w:val="none"/>
        </w:rPr>
      </w:pPr>
      <w:r>
        <w:rPr>
          <w:color w:val="auto"/>
          <w:highlight w:val="none"/>
        </w:rPr>
        <w:t xml:space="preserve">（1）为招标人不具有独立法人资格的附属机构（单位）； </w:t>
      </w:r>
    </w:p>
    <w:p>
      <w:pPr>
        <w:spacing w:line="400" w:lineRule="exact"/>
        <w:ind w:firstLine="315" w:firstLineChars="150"/>
        <w:rPr>
          <w:color w:val="auto"/>
          <w:highlight w:val="none"/>
        </w:rPr>
      </w:pPr>
      <w:r>
        <w:rPr>
          <w:color w:val="auto"/>
          <w:highlight w:val="none"/>
        </w:rPr>
        <w:t xml:space="preserve">（2）为本工程前期准备提供设计或咨询服务的，但设计施工总承包的除外； </w:t>
      </w:r>
    </w:p>
    <w:p>
      <w:pPr>
        <w:spacing w:line="400" w:lineRule="exact"/>
        <w:ind w:firstLine="315" w:firstLineChars="150"/>
        <w:rPr>
          <w:color w:val="auto"/>
          <w:highlight w:val="none"/>
        </w:rPr>
      </w:pPr>
      <w:r>
        <w:rPr>
          <w:color w:val="auto"/>
          <w:highlight w:val="none"/>
        </w:rPr>
        <w:t>（3）为本工程的监理人；</w:t>
      </w:r>
    </w:p>
    <w:p>
      <w:pPr>
        <w:spacing w:line="400" w:lineRule="exact"/>
        <w:ind w:firstLine="315" w:firstLineChars="150"/>
        <w:rPr>
          <w:color w:val="auto"/>
          <w:highlight w:val="none"/>
        </w:rPr>
      </w:pPr>
      <w:r>
        <w:rPr>
          <w:color w:val="auto"/>
          <w:highlight w:val="none"/>
        </w:rPr>
        <w:t xml:space="preserve">（4）为本工程的代建人； </w:t>
      </w:r>
    </w:p>
    <w:p>
      <w:pPr>
        <w:spacing w:line="400" w:lineRule="exact"/>
        <w:ind w:firstLine="315" w:firstLineChars="150"/>
        <w:rPr>
          <w:color w:val="auto"/>
          <w:highlight w:val="none"/>
        </w:rPr>
      </w:pPr>
      <w:r>
        <w:rPr>
          <w:color w:val="auto"/>
          <w:highlight w:val="none"/>
        </w:rPr>
        <w:t xml:space="preserve">（5）为本工程提供招标代理服务的； </w:t>
      </w:r>
    </w:p>
    <w:p>
      <w:pPr>
        <w:spacing w:line="400" w:lineRule="exact"/>
        <w:ind w:firstLine="315" w:firstLineChars="150"/>
        <w:rPr>
          <w:color w:val="auto"/>
          <w:highlight w:val="none"/>
        </w:rPr>
      </w:pPr>
      <w:r>
        <w:rPr>
          <w:color w:val="auto"/>
          <w:highlight w:val="none"/>
        </w:rPr>
        <w:t>（6）与本工程的监理人或代建人或招标代理机构同为一个法定代表人的；</w:t>
      </w:r>
    </w:p>
    <w:p>
      <w:pPr>
        <w:spacing w:line="400" w:lineRule="exact"/>
        <w:ind w:firstLine="315" w:firstLineChars="150"/>
        <w:rPr>
          <w:color w:val="auto"/>
          <w:highlight w:val="none"/>
        </w:rPr>
      </w:pPr>
      <w:r>
        <w:rPr>
          <w:color w:val="auto"/>
          <w:highlight w:val="none"/>
        </w:rPr>
        <w:t>（7）与本工程的监理人或代建人或招标代理机构相互控股或参股的；</w:t>
      </w:r>
    </w:p>
    <w:p>
      <w:pPr>
        <w:spacing w:line="400" w:lineRule="exact"/>
        <w:ind w:firstLine="315" w:firstLineChars="150"/>
        <w:rPr>
          <w:color w:val="auto"/>
          <w:highlight w:val="none"/>
        </w:rPr>
      </w:pPr>
      <w:r>
        <w:rPr>
          <w:color w:val="auto"/>
          <w:highlight w:val="none"/>
        </w:rPr>
        <w:t>（8）与本工程的监理人或代建人或招标代理机构相互任职或工作的；</w:t>
      </w:r>
    </w:p>
    <w:p>
      <w:pPr>
        <w:spacing w:line="400" w:lineRule="exact"/>
        <w:ind w:firstLine="315" w:firstLineChars="150"/>
        <w:rPr>
          <w:color w:val="auto"/>
          <w:highlight w:val="none"/>
        </w:rPr>
      </w:pPr>
      <w:r>
        <w:rPr>
          <w:color w:val="auto"/>
          <w:highlight w:val="none"/>
        </w:rPr>
        <w:t xml:space="preserve">（9）被责令停业的； </w:t>
      </w:r>
    </w:p>
    <w:p>
      <w:pPr>
        <w:spacing w:line="400" w:lineRule="exact"/>
        <w:ind w:firstLine="315" w:firstLineChars="150"/>
        <w:rPr>
          <w:color w:val="auto"/>
          <w:highlight w:val="none"/>
        </w:rPr>
      </w:pPr>
      <w:r>
        <w:rPr>
          <w:color w:val="auto"/>
          <w:highlight w:val="none"/>
        </w:rPr>
        <w:t xml:space="preserve">（10）被暂停或取消投标资格的（包括项目负责人）； </w:t>
      </w:r>
    </w:p>
    <w:p>
      <w:pPr>
        <w:spacing w:line="400" w:lineRule="exact"/>
        <w:ind w:firstLine="315" w:firstLineChars="150"/>
        <w:rPr>
          <w:color w:val="auto"/>
          <w:highlight w:val="none"/>
        </w:rPr>
      </w:pPr>
      <w:r>
        <w:rPr>
          <w:color w:val="auto"/>
          <w:highlight w:val="none"/>
        </w:rPr>
        <w:t>（11）安全生产许可证超出有效期或处于暂扣时限内的；</w:t>
      </w:r>
    </w:p>
    <w:p>
      <w:pPr>
        <w:spacing w:line="400" w:lineRule="exact"/>
        <w:ind w:firstLine="315" w:firstLineChars="150"/>
        <w:rPr>
          <w:color w:val="auto"/>
          <w:highlight w:val="none"/>
        </w:rPr>
      </w:pPr>
      <w:r>
        <w:rPr>
          <w:color w:val="auto"/>
          <w:highlight w:val="none"/>
        </w:rPr>
        <w:t>（12）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spacing w:line="400" w:lineRule="exact"/>
        <w:ind w:firstLine="420" w:firstLineChars="200"/>
        <w:rPr>
          <w:color w:val="auto"/>
          <w:highlight w:val="none"/>
        </w:rPr>
      </w:pPr>
      <w:r>
        <w:rPr>
          <w:color w:val="auto"/>
          <w:highlight w:val="none"/>
        </w:rPr>
        <w:t>（13）投标人及相关管理人员（包括项目负责人）安全生产任职资格</w:t>
      </w:r>
      <w:r>
        <w:rPr>
          <w:rFonts w:hint="eastAsia"/>
          <w:color w:val="auto"/>
          <w:highlight w:val="none"/>
        </w:rPr>
        <w:t>不</w:t>
      </w:r>
      <w:r>
        <w:rPr>
          <w:color w:val="auto"/>
          <w:highlight w:val="none"/>
        </w:rPr>
        <w:t>符合相关规定；</w:t>
      </w:r>
    </w:p>
    <w:p>
      <w:pPr>
        <w:spacing w:line="400" w:lineRule="exact"/>
        <w:ind w:firstLine="420" w:firstLineChars="200"/>
        <w:rPr>
          <w:rFonts w:hint="eastAsia"/>
          <w:color w:val="auto"/>
          <w:highlight w:val="none"/>
        </w:rPr>
      </w:pPr>
      <w:r>
        <w:rPr>
          <w:color w:val="auto"/>
          <w:highlight w:val="none"/>
        </w:rPr>
        <w:t>（14）</w:t>
      </w:r>
      <w:r>
        <w:rPr>
          <w:rFonts w:hint="eastAsia"/>
          <w:color w:val="auto"/>
          <w:highlight w:val="none"/>
        </w:rPr>
        <w:t>浙江省外企业《省外企业进浙承接业务备案证明》超出有效期或未能在“浙江省建筑市场监管公共服务系统”对外发布形成的备案信息中显示的或已注销的。</w:t>
      </w:r>
    </w:p>
    <w:p>
      <w:pPr>
        <w:spacing w:line="400" w:lineRule="exact"/>
        <w:ind w:firstLine="420" w:firstLineChars="200"/>
        <w:rPr>
          <w:color w:val="auto"/>
          <w:highlight w:val="none"/>
        </w:rPr>
      </w:pPr>
      <w:r>
        <w:rPr>
          <w:color w:val="auto"/>
          <w:highlight w:val="none"/>
        </w:rPr>
        <w:t>1.4.4</w:t>
      </w:r>
      <w:r>
        <w:rPr>
          <w:rFonts w:hint="eastAsia"/>
          <w:color w:val="auto"/>
          <w:highlight w:val="none"/>
        </w:rPr>
        <w:t>投标人须知前附表规定接受联合体投标的，除应符合本章第</w:t>
      </w:r>
      <w:r>
        <w:rPr>
          <w:color w:val="auto"/>
          <w:highlight w:val="none"/>
        </w:rPr>
        <w:t>1.4.1</w:t>
      </w:r>
      <w:r>
        <w:rPr>
          <w:rFonts w:hint="eastAsia"/>
          <w:color w:val="auto"/>
          <w:highlight w:val="none"/>
        </w:rPr>
        <w:t>项、第</w:t>
      </w:r>
      <w:r>
        <w:rPr>
          <w:color w:val="auto"/>
          <w:highlight w:val="none"/>
        </w:rPr>
        <w:t>1.4.2</w:t>
      </w:r>
      <w:r>
        <w:rPr>
          <w:rFonts w:hint="eastAsia"/>
          <w:color w:val="auto"/>
          <w:highlight w:val="none"/>
        </w:rPr>
        <w:t>项和投标人须知前附表的要求外，还应遵守以下规定：</w:t>
      </w:r>
      <w:r>
        <w:rPr>
          <w:color w:val="auto"/>
          <w:highlight w:val="none"/>
        </w:rPr>
        <w:t xml:space="preserve"> </w:t>
      </w:r>
    </w:p>
    <w:p>
      <w:pPr>
        <w:spacing w:line="4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）联合体各方应按招标文件提供的格式签订联合体协议书，明确联合体牵头人和各方权利义务。联合体协议书可采用线下盖章再扫描上传的方式。</w:t>
      </w:r>
    </w:p>
    <w:p>
      <w:pPr>
        <w:spacing w:line="40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）开标会议应由联合体的牵头人参加。</w:t>
      </w:r>
    </w:p>
    <w:p>
      <w:pPr>
        <w:spacing w:line="400" w:lineRule="exac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）除联合体协议书采用线下盖章外，投标文件格式注明盖章的，均应由联合体牵头人按要求使用</w:t>
      </w:r>
      <w:r>
        <w:rPr>
          <w:color w:val="auto"/>
          <w:highlight w:val="none"/>
        </w:rPr>
        <w:t>CA</w:t>
      </w:r>
      <w:r>
        <w:rPr>
          <w:rFonts w:hint="eastAsia"/>
          <w:color w:val="auto"/>
          <w:highlight w:val="none"/>
        </w:rPr>
        <w:t>锁加盖公章和法人代表章。</w:t>
      </w:r>
    </w:p>
    <w:p>
      <w:pPr>
        <w:spacing w:line="400" w:lineRule="exact"/>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）由同一专业的单位组成的联合体，按照资质等级较低的单位确定资质等级；</w:t>
      </w:r>
      <w:r>
        <w:rPr>
          <w:color w:val="auto"/>
          <w:highlight w:val="none"/>
        </w:rPr>
        <w:t xml:space="preserve"> </w:t>
      </w:r>
    </w:p>
    <w:p>
      <w:pPr>
        <w:spacing w:line="400" w:lineRule="exact"/>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）联合体各方不得再以自己名义单独或参加其他联合体在同一标段中投标。</w:t>
      </w:r>
    </w:p>
    <w:p>
      <w:pPr>
        <w:spacing w:line="400" w:lineRule="exact"/>
        <w:ind w:firstLine="420" w:firstLineChars="200"/>
        <w:rPr>
          <w:color w:val="auto"/>
          <w:highlight w:val="none"/>
        </w:rPr>
      </w:pPr>
      <w:r>
        <w:rPr>
          <w:rFonts w:hint="eastAsia"/>
          <w:color w:val="auto"/>
          <w:highlight w:val="none"/>
        </w:rPr>
        <w:t>（</w:t>
      </w:r>
      <w:r>
        <w:rPr>
          <w:color w:val="auto"/>
          <w:highlight w:val="none"/>
        </w:rPr>
        <w:t>6</w:t>
      </w:r>
      <w:r>
        <w:rPr>
          <w:rFonts w:hint="eastAsia"/>
          <w:color w:val="auto"/>
          <w:highlight w:val="none"/>
        </w:rPr>
        <w:t>）提交投标文件及缴纳投标保证金应由联合体的牵头人完成。</w:t>
      </w:r>
    </w:p>
    <w:p>
      <w:pPr>
        <w:pStyle w:val="133"/>
        <w:rPr>
          <w:rFonts w:cs="Times New Roman"/>
          <w:color w:val="auto"/>
          <w:highlight w:val="none"/>
        </w:rPr>
      </w:pPr>
      <w:bookmarkStart w:id="92" w:name="_Toc288556241"/>
      <w:bookmarkStart w:id="93" w:name="_Toc152042311"/>
      <w:bookmarkStart w:id="94" w:name="_Toc282596254"/>
      <w:bookmarkStart w:id="95" w:name="_Toc321925376"/>
      <w:bookmarkStart w:id="96" w:name="_Toc394573887"/>
      <w:bookmarkStart w:id="97" w:name="_Toc237768783"/>
      <w:bookmarkStart w:id="98" w:name="_Toc372899693"/>
      <w:bookmarkStart w:id="99" w:name="_Toc11251"/>
      <w:bookmarkStart w:id="100" w:name="_Toc283976490"/>
      <w:bookmarkStart w:id="101" w:name="_Toc283886199"/>
      <w:bookmarkStart w:id="102" w:name="_Toc152045535"/>
      <w:bookmarkStart w:id="103" w:name="_Toc372899816"/>
      <w:bookmarkStart w:id="104" w:name="_Toc144974503"/>
      <w:bookmarkStart w:id="105" w:name="_Toc531161975"/>
      <w:bookmarkStart w:id="106" w:name="_Toc179632552"/>
      <w:bookmarkStart w:id="107" w:name="_Toc237769247"/>
      <w:r>
        <w:rPr>
          <w:rFonts w:cs="Times New Roman"/>
          <w:color w:val="auto"/>
          <w:highlight w:val="none"/>
        </w:rPr>
        <w:t xml:space="preserve">1.5 </w:t>
      </w:r>
      <w:r>
        <w:rPr>
          <w:rFonts w:hint="eastAsia" w:cs="Times New Roman"/>
          <w:color w:val="auto"/>
          <w:highlight w:val="none"/>
        </w:rPr>
        <w:t>费用承担</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400" w:lineRule="exact"/>
        <w:ind w:firstLine="420" w:firstLineChars="200"/>
        <w:rPr>
          <w:rFonts w:hint="eastAsia"/>
          <w:color w:val="auto"/>
          <w:highlight w:val="none"/>
        </w:rPr>
      </w:pPr>
      <w:r>
        <w:rPr>
          <w:rFonts w:hint="eastAsia"/>
          <w:color w:val="auto"/>
          <w:highlight w:val="none"/>
        </w:rPr>
        <w:t>投标人准备和参加投标活动发生的费用自理。投标人网上免费下载招标文件，不收取任何工本费。</w:t>
      </w:r>
    </w:p>
    <w:p>
      <w:pPr>
        <w:pStyle w:val="133"/>
        <w:rPr>
          <w:rFonts w:cs="Times New Roman"/>
          <w:color w:val="auto"/>
          <w:highlight w:val="none"/>
        </w:rPr>
      </w:pPr>
      <w:bookmarkStart w:id="108" w:name="_Toc321925377"/>
      <w:bookmarkStart w:id="109" w:name="_Toc283976491"/>
      <w:bookmarkStart w:id="110" w:name="_Toc144974504"/>
      <w:bookmarkStart w:id="111" w:name="_Toc531161976"/>
      <w:bookmarkStart w:id="112" w:name="_Toc282596255"/>
      <w:bookmarkStart w:id="113" w:name="_Toc152045536"/>
      <w:bookmarkStart w:id="114" w:name="_Toc237768784"/>
      <w:bookmarkStart w:id="115" w:name="_Toc237769248"/>
      <w:bookmarkStart w:id="116" w:name="_Toc6569"/>
      <w:bookmarkStart w:id="117" w:name="_Toc394573888"/>
      <w:bookmarkStart w:id="118" w:name="_Toc152042312"/>
      <w:bookmarkStart w:id="119" w:name="_Toc283886200"/>
      <w:bookmarkStart w:id="120" w:name="_Toc179632553"/>
      <w:bookmarkStart w:id="121" w:name="_Toc288556242"/>
      <w:bookmarkStart w:id="122" w:name="_Toc372899817"/>
      <w:bookmarkStart w:id="123" w:name="_Toc372899694"/>
      <w:r>
        <w:rPr>
          <w:rFonts w:cs="Times New Roman"/>
          <w:color w:val="auto"/>
          <w:highlight w:val="none"/>
        </w:rPr>
        <w:t xml:space="preserve">1.6 </w:t>
      </w:r>
      <w:r>
        <w:rPr>
          <w:rFonts w:hint="eastAsia" w:cs="Times New Roman"/>
          <w:color w:val="auto"/>
          <w:highlight w:val="none"/>
        </w:rPr>
        <w:t>保密</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spacing w:line="400" w:lineRule="exact"/>
        <w:ind w:firstLine="420" w:firstLineChars="200"/>
        <w:rPr>
          <w:color w:val="auto"/>
          <w:highlight w:val="none"/>
        </w:rPr>
      </w:pPr>
      <w:r>
        <w:rPr>
          <w:rFonts w:hint="eastAsia"/>
          <w:color w:val="auto"/>
          <w:highlight w:val="none"/>
        </w:rPr>
        <w:t>参与招标投标活动的各方应对招标文件和投标文件中的商业和技术等秘密保密，违者应对由此造成的后果承担法律责任。</w:t>
      </w:r>
      <w:r>
        <w:rPr>
          <w:color w:val="auto"/>
          <w:highlight w:val="none"/>
        </w:rPr>
        <w:t xml:space="preserve"> </w:t>
      </w:r>
    </w:p>
    <w:p>
      <w:pPr>
        <w:pStyle w:val="133"/>
        <w:rPr>
          <w:rFonts w:cs="Times New Roman"/>
          <w:color w:val="auto"/>
          <w:highlight w:val="none"/>
        </w:rPr>
      </w:pPr>
      <w:bookmarkStart w:id="124" w:name="_Toc144974505"/>
      <w:bookmarkStart w:id="125" w:name="_Toc531161977"/>
      <w:bookmarkStart w:id="126" w:name="_Toc321925378"/>
      <w:bookmarkStart w:id="127" w:name="_Toc394573889"/>
      <w:bookmarkStart w:id="128" w:name="_Toc237769249"/>
      <w:bookmarkStart w:id="129" w:name="_Toc237768785"/>
      <w:bookmarkStart w:id="130" w:name="_Toc283886201"/>
      <w:bookmarkStart w:id="131" w:name="_Toc152042313"/>
      <w:bookmarkStart w:id="132" w:name="_Toc283976492"/>
      <w:bookmarkStart w:id="133" w:name="_Toc282596256"/>
      <w:bookmarkStart w:id="134" w:name="_Toc372899818"/>
      <w:bookmarkStart w:id="135" w:name="_Toc22386"/>
      <w:bookmarkStart w:id="136" w:name="_Toc288556243"/>
      <w:bookmarkStart w:id="137" w:name="_Toc152045537"/>
      <w:bookmarkStart w:id="138" w:name="_Toc372899695"/>
      <w:bookmarkStart w:id="139" w:name="_Toc179632554"/>
      <w:r>
        <w:rPr>
          <w:rFonts w:cs="Times New Roman"/>
          <w:color w:val="auto"/>
          <w:highlight w:val="none"/>
        </w:rPr>
        <w:t xml:space="preserve">1.7 </w:t>
      </w:r>
      <w:r>
        <w:rPr>
          <w:rFonts w:hint="eastAsia" w:cs="Times New Roman"/>
          <w:color w:val="auto"/>
          <w:highlight w:val="none"/>
        </w:rPr>
        <w:t>语言</w:t>
      </w:r>
      <w:bookmarkEnd w:id="124"/>
      <w:r>
        <w:rPr>
          <w:rFonts w:hint="eastAsia" w:cs="Times New Roman"/>
          <w:color w:val="auto"/>
          <w:highlight w:val="none"/>
        </w:rPr>
        <w:t>文字</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line="400" w:lineRule="exact"/>
        <w:ind w:firstLine="420" w:firstLineChars="200"/>
        <w:rPr>
          <w:color w:val="auto"/>
          <w:highlight w:val="none"/>
        </w:rPr>
      </w:pPr>
      <w:r>
        <w:rPr>
          <w:rFonts w:hint="eastAsia"/>
          <w:color w:val="auto"/>
          <w:highlight w:val="none"/>
        </w:rPr>
        <w:t>除专用术语外，与招标投标有关的语言均使用中文。必要时专用术语应附有中文注释。</w:t>
      </w:r>
    </w:p>
    <w:p>
      <w:pPr>
        <w:pStyle w:val="133"/>
        <w:rPr>
          <w:rFonts w:cs="Times New Roman"/>
          <w:color w:val="auto"/>
          <w:highlight w:val="none"/>
        </w:rPr>
      </w:pPr>
      <w:bookmarkStart w:id="140" w:name="_Toc152042314"/>
      <w:bookmarkStart w:id="141" w:name="_Toc282596257"/>
      <w:bookmarkStart w:id="142" w:name="_Toc288556244"/>
      <w:bookmarkStart w:id="143" w:name="_Toc237769250"/>
      <w:bookmarkStart w:id="144" w:name="_Toc152045538"/>
      <w:bookmarkStart w:id="145" w:name="_Toc237768786"/>
      <w:bookmarkStart w:id="146" w:name="_Toc144974506"/>
      <w:bookmarkStart w:id="147" w:name="_Toc394573890"/>
      <w:bookmarkStart w:id="148" w:name="_Toc372899696"/>
      <w:bookmarkStart w:id="149" w:name="_Toc372899819"/>
      <w:bookmarkStart w:id="150" w:name="_Toc283976493"/>
      <w:bookmarkStart w:id="151" w:name="_Toc15305"/>
      <w:bookmarkStart w:id="152" w:name="_Toc321925379"/>
      <w:bookmarkStart w:id="153" w:name="_Toc531161978"/>
      <w:bookmarkStart w:id="154" w:name="_Toc283886202"/>
      <w:bookmarkStart w:id="155" w:name="_Toc179632555"/>
      <w:r>
        <w:rPr>
          <w:rFonts w:cs="Times New Roman"/>
          <w:color w:val="auto"/>
          <w:highlight w:val="none"/>
        </w:rPr>
        <w:t xml:space="preserve">1.8 </w:t>
      </w:r>
      <w:r>
        <w:rPr>
          <w:rFonts w:hint="eastAsia" w:cs="Times New Roman"/>
          <w:color w:val="auto"/>
          <w:highlight w:val="none"/>
        </w:rPr>
        <w:t>计量单位</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spacing w:line="400" w:lineRule="exact"/>
        <w:ind w:firstLine="420" w:firstLineChars="200"/>
        <w:rPr>
          <w:color w:val="auto"/>
          <w:highlight w:val="none"/>
        </w:rPr>
      </w:pPr>
      <w:r>
        <w:rPr>
          <w:rFonts w:hint="eastAsia"/>
          <w:color w:val="auto"/>
          <w:highlight w:val="none"/>
        </w:rPr>
        <w:t>所有计量均采用中华人民共和国法定计量单位。</w:t>
      </w:r>
    </w:p>
    <w:p>
      <w:pPr>
        <w:pStyle w:val="133"/>
        <w:rPr>
          <w:rFonts w:cs="Times New Roman"/>
          <w:color w:val="auto"/>
          <w:highlight w:val="none"/>
        </w:rPr>
      </w:pPr>
      <w:bookmarkStart w:id="156" w:name="_Toc321925380"/>
      <w:bookmarkStart w:id="157" w:name="_Toc372899820"/>
      <w:bookmarkStart w:id="158" w:name="_Toc283976494"/>
      <w:bookmarkStart w:id="159" w:name="_Toc152045539"/>
      <w:bookmarkStart w:id="160" w:name="_Toc283886203"/>
      <w:bookmarkStart w:id="161" w:name="_Toc288556245"/>
      <w:bookmarkStart w:id="162" w:name="_Toc237768787"/>
      <w:bookmarkStart w:id="163" w:name="_Toc24156"/>
      <w:bookmarkStart w:id="164" w:name="_Toc144974507"/>
      <w:bookmarkStart w:id="165" w:name="_Toc531161979"/>
      <w:bookmarkStart w:id="166" w:name="_Toc152042315"/>
      <w:bookmarkStart w:id="167" w:name="_Toc237769251"/>
      <w:bookmarkStart w:id="168" w:name="_Toc372899697"/>
      <w:bookmarkStart w:id="169" w:name="_Toc179632556"/>
      <w:bookmarkStart w:id="170" w:name="_Toc394573891"/>
      <w:bookmarkStart w:id="171" w:name="_Toc282596258"/>
      <w:r>
        <w:rPr>
          <w:rFonts w:cs="Times New Roman"/>
          <w:color w:val="auto"/>
          <w:highlight w:val="none"/>
        </w:rPr>
        <w:t xml:space="preserve">1.9 </w:t>
      </w:r>
      <w:r>
        <w:rPr>
          <w:rFonts w:hint="eastAsia" w:cs="Times New Roman"/>
          <w:color w:val="auto"/>
          <w:highlight w:val="none"/>
        </w:rPr>
        <w:t>踏勘现场</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spacing w:line="400" w:lineRule="exact"/>
        <w:ind w:firstLine="420" w:firstLineChars="200"/>
        <w:rPr>
          <w:color w:val="auto"/>
          <w:highlight w:val="none"/>
        </w:rPr>
      </w:pPr>
      <w:r>
        <w:rPr>
          <w:color w:val="auto"/>
          <w:highlight w:val="none"/>
        </w:rPr>
        <w:t xml:space="preserve">1.9.1 </w:t>
      </w:r>
      <w:r>
        <w:rPr>
          <w:rFonts w:hint="eastAsia"/>
          <w:color w:val="auto"/>
          <w:highlight w:val="none"/>
        </w:rPr>
        <w:t>投标人须知前附表规定组织踏勘现场的，招标人按投标人须知前附表规定的时间、地点组织投标人踏勘工程现场。</w:t>
      </w:r>
      <w:r>
        <w:rPr>
          <w:color w:val="auto"/>
          <w:highlight w:val="none"/>
        </w:rPr>
        <w:t xml:space="preserve"> </w:t>
      </w:r>
    </w:p>
    <w:p>
      <w:pPr>
        <w:spacing w:line="400" w:lineRule="exact"/>
        <w:ind w:firstLine="420" w:firstLineChars="200"/>
        <w:rPr>
          <w:color w:val="auto"/>
          <w:highlight w:val="none"/>
        </w:rPr>
      </w:pPr>
      <w:r>
        <w:rPr>
          <w:color w:val="auto"/>
          <w:highlight w:val="none"/>
        </w:rPr>
        <w:t xml:space="preserve">1.9.2 </w:t>
      </w:r>
      <w:r>
        <w:rPr>
          <w:rFonts w:hint="eastAsia"/>
          <w:color w:val="auto"/>
          <w:highlight w:val="none"/>
        </w:rPr>
        <w:t>投标人踏勘现场发生的费用自理。</w:t>
      </w:r>
    </w:p>
    <w:p>
      <w:pPr>
        <w:spacing w:line="400" w:lineRule="exact"/>
        <w:ind w:firstLine="420" w:firstLineChars="200"/>
        <w:rPr>
          <w:color w:val="auto"/>
          <w:highlight w:val="none"/>
        </w:rPr>
      </w:pPr>
      <w:r>
        <w:rPr>
          <w:color w:val="auto"/>
          <w:highlight w:val="none"/>
        </w:rPr>
        <w:t xml:space="preserve">1.9.3 </w:t>
      </w:r>
      <w:r>
        <w:rPr>
          <w:rFonts w:hint="eastAsia"/>
          <w:color w:val="auto"/>
          <w:highlight w:val="none"/>
        </w:rPr>
        <w:t>除招标人的原因外，投标人自行负责在踏勘现场中所发生的人员伤亡和财产损失。</w:t>
      </w:r>
    </w:p>
    <w:p>
      <w:pPr>
        <w:spacing w:line="400" w:lineRule="exact"/>
        <w:ind w:firstLine="420" w:firstLineChars="200"/>
        <w:rPr>
          <w:color w:val="auto"/>
          <w:highlight w:val="none"/>
        </w:rPr>
      </w:pPr>
      <w:r>
        <w:rPr>
          <w:color w:val="auto"/>
          <w:highlight w:val="none"/>
        </w:rPr>
        <w:t xml:space="preserve">1.9.4 </w:t>
      </w:r>
      <w:r>
        <w:rPr>
          <w:rFonts w:hint="eastAsia"/>
          <w:color w:val="auto"/>
          <w:highlight w:val="none"/>
        </w:rPr>
        <w:t>招标人在踏勘现场中介绍的工程场地和相关的周边环境情况，供投标人在编制投标文件时参考，招标人不对投标人据此作出的判断和决策负责。</w:t>
      </w:r>
    </w:p>
    <w:p>
      <w:pPr>
        <w:pStyle w:val="133"/>
        <w:rPr>
          <w:rFonts w:cs="Times New Roman"/>
          <w:color w:val="auto"/>
          <w:highlight w:val="none"/>
        </w:rPr>
      </w:pPr>
      <w:bookmarkStart w:id="172" w:name="_Toc152045540"/>
      <w:bookmarkStart w:id="173" w:name="_Toc283886204"/>
      <w:bookmarkStart w:id="174" w:name="_Toc237769252"/>
      <w:bookmarkStart w:id="175" w:name="_Toc372899821"/>
      <w:bookmarkStart w:id="176" w:name="_Toc372899698"/>
      <w:bookmarkStart w:id="177" w:name="_Toc321925381"/>
      <w:bookmarkStart w:id="178" w:name="_Toc152042316"/>
      <w:bookmarkStart w:id="179" w:name="_Toc283976495"/>
      <w:bookmarkStart w:id="180" w:name="_Toc282596259"/>
      <w:bookmarkStart w:id="181" w:name="_Toc144974508"/>
      <w:bookmarkStart w:id="182" w:name="_Toc531161980"/>
      <w:bookmarkStart w:id="183" w:name="_Toc288556246"/>
      <w:bookmarkStart w:id="184" w:name="_Toc237768788"/>
      <w:bookmarkStart w:id="185" w:name="_Toc394573892"/>
      <w:bookmarkStart w:id="186" w:name="_Toc19913"/>
      <w:bookmarkStart w:id="187" w:name="_Toc179632557"/>
      <w:r>
        <w:rPr>
          <w:rFonts w:cs="Times New Roman"/>
          <w:color w:val="auto"/>
          <w:highlight w:val="none"/>
        </w:rPr>
        <w:t xml:space="preserve">1.10 </w:t>
      </w:r>
      <w:r>
        <w:rPr>
          <w:rFonts w:hint="eastAsia" w:cs="Times New Roman"/>
          <w:color w:val="auto"/>
          <w:highlight w:val="none"/>
        </w:rPr>
        <w:t>投标预备会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spacing w:line="400" w:lineRule="exact"/>
        <w:ind w:firstLine="420" w:firstLineChars="200"/>
        <w:rPr>
          <w:color w:val="auto"/>
          <w:highlight w:val="none"/>
        </w:rPr>
      </w:pPr>
      <w:r>
        <w:rPr>
          <w:rFonts w:hint="eastAsia"/>
          <w:color w:val="auto"/>
          <w:highlight w:val="none"/>
        </w:rPr>
        <w:t>投标人须知前附表规定召开投标预备会的，招标人按投标人须知前附表规定的时间和地点召开投标预备会，澄清投标人提出的问题。</w:t>
      </w:r>
    </w:p>
    <w:p>
      <w:pPr>
        <w:pStyle w:val="133"/>
        <w:rPr>
          <w:rFonts w:cs="Times New Roman"/>
          <w:color w:val="auto"/>
          <w:highlight w:val="none"/>
        </w:rPr>
      </w:pPr>
      <w:bookmarkStart w:id="188" w:name="_Toc283976496"/>
      <w:bookmarkStart w:id="189" w:name="_Toc237768789"/>
      <w:bookmarkStart w:id="190" w:name="_Toc288556247"/>
      <w:bookmarkStart w:id="191" w:name="_Toc394573893"/>
      <w:bookmarkStart w:id="192" w:name="_Toc531161981"/>
      <w:bookmarkStart w:id="193" w:name="_Toc372899822"/>
      <w:bookmarkStart w:id="194" w:name="_Toc283886205"/>
      <w:bookmarkStart w:id="195" w:name="_Toc26690"/>
      <w:bookmarkStart w:id="196" w:name="_Toc282596260"/>
      <w:bookmarkStart w:id="197" w:name="_Toc152045541"/>
      <w:bookmarkStart w:id="198" w:name="_Toc372899699"/>
      <w:bookmarkStart w:id="199" w:name="_Toc237769253"/>
      <w:bookmarkStart w:id="200" w:name="_Toc152042317"/>
      <w:bookmarkStart w:id="201" w:name="_Toc144974509"/>
      <w:bookmarkStart w:id="202" w:name="_Toc321925382"/>
      <w:bookmarkStart w:id="203" w:name="_Toc179632558"/>
      <w:r>
        <w:rPr>
          <w:rFonts w:cs="Times New Roman"/>
          <w:color w:val="auto"/>
          <w:highlight w:val="none"/>
        </w:rPr>
        <w:t xml:space="preserve">1.11 </w:t>
      </w:r>
      <w:r>
        <w:rPr>
          <w:rFonts w:hint="eastAsia" w:cs="Times New Roman"/>
          <w:color w:val="auto"/>
          <w:highlight w:val="none"/>
        </w:rPr>
        <w:t>分包</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spacing w:line="400" w:lineRule="exact"/>
        <w:ind w:firstLine="567" w:firstLineChars="270"/>
        <w:rPr>
          <w:color w:val="auto"/>
          <w:highlight w:val="none"/>
        </w:rPr>
      </w:pPr>
      <w:r>
        <w:rPr>
          <w:rFonts w:hint="eastAsia"/>
          <w:color w:val="auto"/>
          <w:highlight w:val="none"/>
        </w:rPr>
        <w:t>投标人拟在中标后将中标工程的部分非主体、非关键性工作进行分包的，应符合投标人须知前附表规定的分包内容、分包金额和接受分包的第三人资质要求等限制性条件。</w:t>
      </w:r>
    </w:p>
    <w:p>
      <w:pPr>
        <w:pStyle w:val="133"/>
        <w:rPr>
          <w:rFonts w:cs="Times New Roman"/>
          <w:color w:val="auto"/>
          <w:highlight w:val="none"/>
        </w:rPr>
      </w:pPr>
      <w:bookmarkStart w:id="204" w:name="_Toc21515"/>
      <w:bookmarkStart w:id="205" w:name="_Toc531161982"/>
      <w:bookmarkStart w:id="206" w:name="_Toc372899700"/>
      <w:bookmarkStart w:id="207" w:name="_Toc394573894"/>
      <w:bookmarkStart w:id="208" w:name="_Toc372899823"/>
      <w:bookmarkStart w:id="209" w:name="_Toc288556248"/>
      <w:bookmarkStart w:id="210" w:name="_Toc179632559"/>
      <w:bookmarkStart w:id="211" w:name="_Toc237769254"/>
      <w:bookmarkStart w:id="212" w:name="_Toc237768790"/>
      <w:bookmarkStart w:id="213" w:name="_Toc321925383"/>
      <w:bookmarkStart w:id="214" w:name="_Toc283976497"/>
      <w:bookmarkStart w:id="215" w:name="_Toc282596261"/>
      <w:bookmarkStart w:id="216" w:name="_Toc283886206"/>
      <w:r>
        <w:rPr>
          <w:rFonts w:cs="Times New Roman"/>
          <w:color w:val="auto"/>
          <w:highlight w:val="none"/>
        </w:rPr>
        <w:t xml:space="preserve">1.12 </w:t>
      </w:r>
      <w:r>
        <w:rPr>
          <w:rFonts w:hint="eastAsia" w:cs="Times New Roman"/>
          <w:color w:val="auto"/>
          <w:highlight w:val="none"/>
        </w:rPr>
        <w:t>偏离</w:t>
      </w:r>
      <w:bookmarkEnd w:id="204"/>
      <w:bookmarkEnd w:id="205"/>
      <w:bookmarkEnd w:id="206"/>
      <w:bookmarkEnd w:id="207"/>
      <w:bookmarkEnd w:id="208"/>
      <w:bookmarkEnd w:id="209"/>
      <w:bookmarkEnd w:id="210"/>
      <w:bookmarkEnd w:id="211"/>
      <w:bookmarkEnd w:id="212"/>
      <w:bookmarkEnd w:id="213"/>
      <w:bookmarkEnd w:id="214"/>
      <w:bookmarkEnd w:id="215"/>
      <w:bookmarkEnd w:id="216"/>
    </w:p>
    <w:p>
      <w:pPr>
        <w:spacing w:line="400" w:lineRule="exact"/>
        <w:ind w:firstLine="359" w:firstLineChars="171"/>
        <w:rPr>
          <w:color w:val="auto"/>
          <w:highlight w:val="none"/>
        </w:rPr>
      </w:pPr>
      <w:r>
        <w:rPr>
          <w:rFonts w:hint="eastAsia"/>
          <w:color w:val="auto"/>
          <w:highlight w:val="none"/>
        </w:rPr>
        <w:t>投标人须知前附表允许投标文件偏离招标文件某些要求的，偏离应当符合招标文件规定的偏离范围和幅度。</w:t>
      </w:r>
    </w:p>
    <w:p>
      <w:pPr>
        <w:pStyle w:val="113"/>
        <w:rPr>
          <w:rFonts w:cs="Times New Roman"/>
          <w:color w:val="auto"/>
          <w:highlight w:val="none"/>
        </w:rPr>
      </w:pPr>
      <w:bookmarkStart w:id="217" w:name="_Toc531161983"/>
      <w:bookmarkStart w:id="218" w:name="_Toc144974510"/>
      <w:bookmarkStart w:id="219" w:name="_Toc16067"/>
      <w:bookmarkStart w:id="220" w:name="_Toc152042318"/>
      <w:bookmarkStart w:id="221" w:name="_Toc152045542"/>
      <w:r>
        <w:rPr>
          <w:rFonts w:cs="Times New Roman"/>
          <w:color w:val="auto"/>
          <w:highlight w:val="none"/>
        </w:rPr>
        <w:t xml:space="preserve">2. </w:t>
      </w:r>
      <w:r>
        <w:rPr>
          <w:rFonts w:hint="eastAsia" w:cs="Times New Roman"/>
          <w:color w:val="auto"/>
          <w:highlight w:val="none"/>
        </w:rPr>
        <w:t>招标文件</w:t>
      </w:r>
      <w:bookmarkEnd w:id="217"/>
      <w:bookmarkEnd w:id="218"/>
      <w:bookmarkEnd w:id="219"/>
      <w:bookmarkEnd w:id="220"/>
      <w:bookmarkEnd w:id="221"/>
    </w:p>
    <w:p>
      <w:pPr>
        <w:pStyle w:val="133"/>
        <w:rPr>
          <w:rFonts w:cs="Times New Roman"/>
          <w:color w:val="auto"/>
          <w:highlight w:val="none"/>
        </w:rPr>
      </w:pPr>
      <w:bookmarkStart w:id="222" w:name="_Toc152045543"/>
      <w:bookmarkStart w:id="223" w:name="_Toc144974511"/>
      <w:bookmarkStart w:id="224" w:name="_Toc283886208"/>
      <w:bookmarkStart w:id="225" w:name="_Toc531161984"/>
      <w:bookmarkStart w:id="226" w:name="_Toc237769256"/>
      <w:bookmarkStart w:id="227" w:name="_Toc372899825"/>
      <w:bookmarkStart w:id="228" w:name="_Toc288556250"/>
      <w:bookmarkStart w:id="229" w:name="_Toc179632561"/>
      <w:bookmarkStart w:id="230" w:name="_Toc152042319"/>
      <w:bookmarkStart w:id="231" w:name="_Toc394573896"/>
      <w:bookmarkStart w:id="232" w:name="_Toc372899702"/>
      <w:bookmarkStart w:id="233" w:name="_Toc321925385"/>
      <w:bookmarkStart w:id="234" w:name="_Toc282596263"/>
      <w:bookmarkStart w:id="235" w:name="_Toc237768792"/>
      <w:bookmarkStart w:id="236" w:name="_Toc283976499"/>
      <w:bookmarkStart w:id="237" w:name="_Toc5456"/>
      <w:r>
        <w:rPr>
          <w:rFonts w:cs="Times New Roman"/>
          <w:color w:val="auto"/>
          <w:highlight w:val="none"/>
        </w:rPr>
        <w:t xml:space="preserve">2.1 </w:t>
      </w:r>
      <w:r>
        <w:rPr>
          <w:rFonts w:hint="eastAsia" w:cs="Times New Roman"/>
          <w:color w:val="auto"/>
          <w:highlight w:val="none"/>
        </w:rPr>
        <w:t>招标文件的组成</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spacing w:line="400" w:lineRule="exact"/>
        <w:rPr>
          <w:color w:val="auto"/>
          <w:highlight w:val="none"/>
        </w:rPr>
      </w:pPr>
      <w:r>
        <w:rPr>
          <w:rFonts w:hint="eastAsia"/>
          <w:color w:val="auto"/>
          <w:highlight w:val="none"/>
        </w:rPr>
        <w:t>　　本招标文件包括：</w:t>
      </w:r>
    </w:p>
    <w:p>
      <w:pPr>
        <w:spacing w:line="400" w:lineRule="exact"/>
        <w:ind w:firstLine="359" w:firstLineChars="171"/>
        <w:rPr>
          <w:color w:val="auto"/>
          <w:highlight w:val="none"/>
        </w:rPr>
      </w:pPr>
      <w:r>
        <w:rPr>
          <w:rFonts w:hint="eastAsia"/>
          <w:color w:val="auto"/>
          <w:highlight w:val="none"/>
        </w:rPr>
        <w:t>（</w:t>
      </w:r>
      <w:r>
        <w:rPr>
          <w:color w:val="auto"/>
          <w:highlight w:val="none"/>
        </w:rPr>
        <w:t>1</w:t>
      </w:r>
      <w:r>
        <w:rPr>
          <w:rFonts w:hint="eastAsia"/>
          <w:color w:val="auto"/>
          <w:highlight w:val="none"/>
        </w:rPr>
        <w:t>）招标公告；</w:t>
      </w:r>
    </w:p>
    <w:p>
      <w:pPr>
        <w:spacing w:line="400" w:lineRule="exact"/>
        <w:ind w:firstLine="359" w:firstLineChars="171"/>
        <w:rPr>
          <w:color w:val="auto"/>
          <w:highlight w:val="none"/>
        </w:rPr>
      </w:pPr>
      <w:r>
        <w:rPr>
          <w:rFonts w:hint="eastAsia"/>
          <w:color w:val="auto"/>
          <w:highlight w:val="none"/>
        </w:rPr>
        <w:t>（</w:t>
      </w:r>
      <w:r>
        <w:rPr>
          <w:color w:val="auto"/>
          <w:highlight w:val="none"/>
        </w:rPr>
        <w:t>2</w:t>
      </w:r>
      <w:r>
        <w:rPr>
          <w:rFonts w:hint="eastAsia"/>
          <w:color w:val="auto"/>
          <w:highlight w:val="none"/>
        </w:rPr>
        <w:t>）投标人须知；</w:t>
      </w:r>
    </w:p>
    <w:p>
      <w:pPr>
        <w:spacing w:line="400" w:lineRule="exact"/>
        <w:ind w:firstLine="359" w:firstLineChars="171"/>
        <w:rPr>
          <w:color w:val="auto"/>
          <w:highlight w:val="none"/>
        </w:rPr>
      </w:pPr>
      <w:r>
        <w:rPr>
          <w:rFonts w:hint="eastAsia"/>
          <w:color w:val="auto"/>
          <w:highlight w:val="none"/>
        </w:rPr>
        <w:t>（</w:t>
      </w:r>
      <w:r>
        <w:rPr>
          <w:color w:val="auto"/>
          <w:highlight w:val="none"/>
        </w:rPr>
        <w:t>3</w:t>
      </w:r>
      <w:r>
        <w:rPr>
          <w:rFonts w:hint="eastAsia"/>
          <w:color w:val="auto"/>
          <w:highlight w:val="none"/>
        </w:rPr>
        <w:t>）评标办法；</w:t>
      </w:r>
    </w:p>
    <w:p>
      <w:pPr>
        <w:spacing w:line="400" w:lineRule="exact"/>
        <w:ind w:firstLine="359" w:firstLineChars="171"/>
        <w:rPr>
          <w:color w:val="auto"/>
          <w:highlight w:val="none"/>
        </w:rPr>
      </w:pPr>
      <w:r>
        <w:rPr>
          <w:rFonts w:hint="eastAsia"/>
          <w:color w:val="auto"/>
          <w:highlight w:val="none"/>
        </w:rPr>
        <w:t>（</w:t>
      </w:r>
      <w:r>
        <w:rPr>
          <w:color w:val="auto"/>
          <w:highlight w:val="none"/>
        </w:rPr>
        <w:t>4</w:t>
      </w:r>
      <w:r>
        <w:rPr>
          <w:rFonts w:hint="eastAsia"/>
          <w:color w:val="auto"/>
          <w:highlight w:val="none"/>
        </w:rPr>
        <w:t>）合同条款及格式；</w:t>
      </w:r>
    </w:p>
    <w:p>
      <w:pPr>
        <w:spacing w:line="400" w:lineRule="exact"/>
        <w:ind w:firstLine="359" w:firstLineChars="171"/>
        <w:rPr>
          <w:color w:val="auto"/>
          <w:highlight w:val="none"/>
        </w:rPr>
      </w:pPr>
      <w:r>
        <w:rPr>
          <w:rFonts w:hint="eastAsia"/>
          <w:color w:val="auto"/>
          <w:highlight w:val="none"/>
        </w:rPr>
        <w:t>（</w:t>
      </w:r>
      <w:r>
        <w:rPr>
          <w:color w:val="auto"/>
          <w:highlight w:val="none"/>
        </w:rPr>
        <w:t>5</w:t>
      </w:r>
      <w:r>
        <w:rPr>
          <w:rFonts w:hint="eastAsia"/>
          <w:color w:val="auto"/>
          <w:highlight w:val="none"/>
        </w:rPr>
        <w:t>）技术标准和要求；</w:t>
      </w:r>
    </w:p>
    <w:p>
      <w:pPr>
        <w:spacing w:line="400" w:lineRule="exact"/>
        <w:ind w:firstLine="359" w:firstLineChars="171"/>
        <w:rPr>
          <w:color w:val="auto"/>
          <w:highlight w:val="none"/>
        </w:rPr>
      </w:pPr>
      <w:r>
        <w:rPr>
          <w:rFonts w:hint="eastAsia"/>
          <w:color w:val="auto"/>
          <w:highlight w:val="none"/>
        </w:rPr>
        <w:t>（</w:t>
      </w:r>
      <w:r>
        <w:rPr>
          <w:color w:val="auto"/>
          <w:highlight w:val="none"/>
        </w:rPr>
        <w:t>6</w:t>
      </w:r>
      <w:r>
        <w:rPr>
          <w:rFonts w:hint="eastAsia"/>
          <w:color w:val="auto"/>
          <w:highlight w:val="none"/>
        </w:rPr>
        <w:t>）招标控制价（如有）；</w:t>
      </w:r>
    </w:p>
    <w:p>
      <w:pPr>
        <w:spacing w:line="400" w:lineRule="exact"/>
        <w:ind w:firstLine="359" w:firstLineChars="171"/>
        <w:rPr>
          <w:color w:val="auto"/>
          <w:highlight w:val="none"/>
        </w:rPr>
      </w:pPr>
      <w:r>
        <w:rPr>
          <w:rFonts w:hint="eastAsia"/>
          <w:color w:val="auto"/>
          <w:highlight w:val="none"/>
        </w:rPr>
        <w:t>（7）图纸（如有 ）；</w:t>
      </w:r>
      <w:r>
        <w:rPr>
          <w:color w:val="auto"/>
          <w:highlight w:val="none"/>
        </w:rPr>
        <w:t xml:space="preserve"> </w:t>
      </w:r>
    </w:p>
    <w:p>
      <w:pPr>
        <w:spacing w:line="400" w:lineRule="exact"/>
        <w:ind w:firstLine="359" w:firstLineChars="171"/>
        <w:rPr>
          <w:color w:val="auto"/>
          <w:highlight w:val="none"/>
        </w:rPr>
      </w:pPr>
      <w:r>
        <w:rPr>
          <w:rFonts w:hint="eastAsia"/>
          <w:color w:val="auto"/>
          <w:highlight w:val="none"/>
        </w:rPr>
        <w:t>（8）投标人须知前附表规定的其他材料。</w:t>
      </w:r>
    </w:p>
    <w:p>
      <w:pPr>
        <w:spacing w:line="400" w:lineRule="exact"/>
        <w:ind w:firstLine="422" w:firstLineChars="200"/>
        <w:rPr>
          <w:rFonts w:eastAsia="黑体"/>
          <w:b/>
          <w:color w:val="auto"/>
          <w:highlight w:val="none"/>
        </w:rPr>
      </w:pPr>
      <w:r>
        <w:rPr>
          <w:rFonts w:hint="eastAsia" w:eastAsia="黑体"/>
          <w:b/>
          <w:color w:val="auto"/>
          <w:highlight w:val="none"/>
        </w:rPr>
        <w:t>除上款内容外，招标人在提交投标文件截止时间前，发布在</w:t>
      </w:r>
      <w:r>
        <w:rPr>
          <w:rFonts w:hint="eastAsia"/>
          <w:color w:val="auto"/>
          <w:highlight w:val="none"/>
        </w:rPr>
        <w:t>招标公告的媒体上</w:t>
      </w:r>
      <w:r>
        <w:rPr>
          <w:rFonts w:hint="eastAsia" w:eastAsia="黑体"/>
          <w:b/>
          <w:color w:val="auto"/>
          <w:highlight w:val="none"/>
        </w:rPr>
        <w:t>对招标文件的澄清或修改内容，均为招标文件的组成部分，对招标人和投标人起约束作用，投标人应经常浏览本项目</w:t>
      </w:r>
      <w:r>
        <w:rPr>
          <w:rFonts w:hint="eastAsia"/>
          <w:color w:val="auto"/>
          <w:highlight w:val="none"/>
        </w:rPr>
        <w:t>发布招标公告的媒体</w:t>
      </w:r>
      <w:r>
        <w:rPr>
          <w:rFonts w:hint="eastAsia" w:eastAsia="黑体"/>
          <w:b/>
          <w:color w:val="auto"/>
          <w:highlight w:val="none"/>
        </w:rPr>
        <w:t>。</w:t>
      </w:r>
    </w:p>
    <w:p>
      <w:pPr>
        <w:spacing w:line="400" w:lineRule="exact"/>
        <w:ind w:firstLine="420" w:firstLineChars="200"/>
        <w:rPr>
          <w:color w:val="auto"/>
          <w:highlight w:val="none"/>
        </w:rPr>
      </w:pPr>
      <w:r>
        <w:rPr>
          <w:rFonts w:hint="eastAsia"/>
          <w:color w:val="auto"/>
          <w:highlight w:val="none"/>
        </w:rPr>
        <w:t>投标人通过登录台州湾新区小额工程交易中心（http://www.tzwztb.com/</w:t>
      </w:r>
      <w:r>
        <w:rPr>
          <w:rFonts w:hAnsi="宋体" w:cs="宋体"/>
          <w:color w:val="auto"/>
          <w:highlight w:val="none"/>
        </w:rPr>
        <w:t>)</w:t>
      </w:r>
      <w:r>
        <w:rPr>
          <w:rFonts w:ascii="宋体" w:hAnsi="宋体" w:cs="宋体"/>
          <w:color w:val="auto"/>
          <w:szCs w:val="21"/>
          <w:highlight w:val="none"/>
        </w:rPr>
        <w:t>平台</w:t>
      </w:r>
      <w:r>
        <w:rPr>
          <w:rFonts w:hint="eastAsia"/>
          <w:color w:val="auto"/>
          <w:highlight w:val="none"/>
        </w:rPr>
        <w:t>进行报名，并获取招标文件及相关附件。投标人在获取招标文件后，应仔细检查招标文件的所有内容，如有残缺等问题应自招标文件发布在交易场所（发布招标公告的媒体上）</w:t>
      </w:r>
      <w:r>
        <w:rPr>
          <w:color w:val="auto"/>
          <w:highlight w:val="none"/>
        </w:rPr>
        <w:t>3</w:t>
      </w:r>
      <w:r>
        <w:rPr>
          <w:rFonts w:hint="eastAsia"/>
          <w:color w:val="auto"/>
          <w:highlight w:val="none"/>
        </w:rPr>
        <w:t>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133"/>
        <w:rPr>
          <w:rFonts w:cs="Times New Roman"/>
          <w:color w:val="auto"/>
          <w:highlight w:val="none"/>
        </w:rPr>
      </w:pPr>
      <w:bookmarkStart w:id="238" w:name="_Toc283976500"/>
      <w:bookmarkStart w:id="239" w:name="_Toc321925386"/>
      <w:bookmarkStart w:id="240" w:name="_Toc152045544"/>
      <w:bookmarkStart w:id="241" w:name="_Toc152042320"/>
      <w:bookmarkStart w:id="242" w:name="_Toc288556251"/>
      <w:bookmarkStart w:id="243" w:name="_Toc372899826"/>
      <w:bookmarkStart w:id="244" w:name="_Toc237769257"/>
      <w:bookmarkStart w:id="245" w:name="_Toc144974512"/>
      <w:bookmarkStart w:id="246" w:name="_Toc394573897"/>
      <w:bookmarkStart w:id="247" w:name="_Toc237768793"/>
      <w:bookmarkStart w:id="248" w:name="_Toc179632562"/>
      <w:bookmarkStart w:id="249" w:name="_Toc531161985"/>
      <w:bookmarkStart w:id="250" w:name="_Toc283886209"/>
      <w:bookmarkStart w:id="251" w:name="_Toc282596264"/>
      <w:bookmarkStart w:id="252" w:name="_Toc372899703"/>
      <w:bookmarkStart w:id="253" w:name="_Toc10937"/>
      <w:r>
        <w:rPr>
          <w:rFonts w:cs="Times New Roman"/>
          <w:color w:val="auto"/>
          <w:highlight w:val="none"/>
        </w:rPr>
        <w:t xml:space="preserve">2.2 </w:t>
      </w:r>
      <w:r>
        <w:rPr>
          <w:rFonts w:hint="eastAsia" w:cs="Times New Roman"/>
          <w:color w:val="auto"/>
          <w:highlight w:val="none"/>
        </w:rPr>
        <w:t>招标文件的澄清</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spacing w:line="400" w:lineRule="exact"/>
        <w:ind w:firstLine="420" w:firstLineChars="200"/>
        <w:rPr>
          <w:color w:val="auto"/>
          <w:highlight w:val="none"/>
        </w:rPr>
      </w:pPr>
      <w:r>
        <w:rPr>
          <w:rFonts w:hint="eastAsia"/>
          <w:color w:val="auto"/>
          <w:highlight w:val="none"/>
        </w:rPr>
        <w:t>投标人获取招标文件后，若有问题需要澄清，应自招标文件发布在招标公告的媒体上3日内，以书面形式向招标人提出，招标人的答复将发布在招标公告的媒体上。招标人及招标代理机构的任何工作人员对投标人所作的任何口头解释、介绍、答复，只能供投标人参考，对招标人无任何约束力。</w:t>
      </w:r>
    </w:p>
    <w:p>
      <w:pPr>
        <w:pStyle w:val="133"/>
        <w:rPr>
          <w:rFonts w:cs="Times New Roman"/>
          <w:color w:val="auto"/>
          <w:highlight w:val="none"/>
        </w:rPr>
      </w:pPr>
      <w:bookmarkStart w:id="254" w:name="_Toc288556252"/>
      <w:bookmarkStart w:id="255" w:name="_Toc372899827"/>
      <w:bookmarkStart w:id="256" w:name="_Toc152042321"/>
      <w:bookmarkStart w:id="257" w:name="_Toc152045545"/>
      <w:bookmarkStart w:id="258" w:name="_Toc283976501"/>
      <w:bookmarkStart w:id="259" w:name="_Toc18369"/>
      <w:bookmarkStart w:id="260" w:name="_Toc237769258"/>
      <w:bookmarkStart w:id="261" w:name="_Toc283886210"/>
      <w:bookmarkStart w:id="262" w:name="_Toc531161986"/>
      <w:bookmarkStart w:id="263" w:name="_Toc372899704"/>
      <w:bookmarkStart w:id="264" w:name="_Toc144974513"/>
      <w:bookmarkStart w:id="265" w:name="_Toc282596265"/>
      <w:bookmarkStart w:id="266" w:name="_Toc179632563"/>
      <w:bookmarkStart w:id="267" w:name="_Toc394573898"/>
      <w:bookmarkStart w:id="268" w:name="_Toc321925387"/>
      <w:bookmarkStart w:id="269" w:name="_Toc237768794"/>
      <w:r>
        <w:rPr>
          <w:rFonts w:cs="Times New Roman"/>
          <w:color w:val="auto"/>
          <w:highlight w:val="none"/>
        </w:rPr>
        <w:t xml:space="preserve">2.3 </w:t>
      </w:r>
      <w:r>
        <w:rPr>
          <w:rFonts w:hint="eastAsia" w:cs="Times New Roman"/>
          <w:color w:val="auto"/>
          <w:highlight w:val="none"/>
        </w:rPr>
        <w:t>招标文件的修改</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spacing w:line="400" w:lineRule="exact"/>
        <w:ind w:firstLine="420" w:firstLineChars="200"/>
        <w:rPr>
          <w:color w:val="auto"/>
          <w:highlight w:val="none"/>
        </w:rPr>
      </w:pPr>
      <w:bookmarkStart w:id="270" w:name="_Toc152045546"/>
      <w:bookmarkStart w:id="271" w:name="_Toc152042322"/>
      <w:bookmarkStart w:id="272" w:name="_Toc144974514"/>
      <w:r>
        <w:rPr>
          <w:rFonts w:hint="eastAsia"/>
          <w:color w:val="auto"/>
          <w:highlight w:val="none"/>
        </w:rPr>
        <w:t>招标人可以对已发出的招标文件进行必要的澄清或者修改。澄清或者修改的内容可能影响投标文件编制的，招标人应当在投标截止时间（投标截止时间详见投标人须知前附表</w:t>
      </w:r>
      <w:r>
        <w:rPr>
          <w:color w:val="auto"/>
          <w:highlight w:val="none"/>
        </w:rPr>
        <w:t>4.2.1</w:t>
      </w:r>
      <w:r>
        <w:rPr>
          <w:rFonts w:hint="eastAsia"/>
          <w:color w:val="auto"/>
          <w:highlight w:val="none"/>
        </w:rPr>
        <w:t>款规定）至少</w:t>
      </w:r>
      <w:r>
        <w:rPr>
          <w:color w:val="auto"/>
          <w:highlight w:val="none"/>
        </w:rPr>
        <w:t>24</w:t>
      </w:r>
      <w:r>
        <w:rPr>
          <w:rFonts w:hint="eastAsia"/>
          <w:color w:val="auto"/>
          <w:highlight w:val="none"/>
        </w:rPr>
        <w:t>小时前，在招标公告的媒体上发布澄清或者修改文件。当招标文件、招标文件的澄清、修改、补充等在同一内容的表述上不一致时，以最后发出的文件为准。</w:t>
      </w:r>
    </w:p>
    <w:p>
      <w:pPr>
        <w:pStyle w:val="113"/>
        <w:rPr>
          <w:rFonts w:cs="Times New Roman"/>
          <w:color w:val="auto"/>
          <w:highlight w:val="none"/>
        </w:rPr>
      </w:pPr>
      <w:bookmarkStart w:id="273" w:name="_Toc531161987"/>
      <w:bookmarkStart w:id="274" w:name="_Toc8083"/>
      <w:r>
        <w:rPr>
          <w:rFonts w:cs="Times New Roman"/>
          <w:color w:val="auto"/>
          <w:highlight w:val="none"/>
        </w:rPr>
        <w:t xml:space="preserve">3. </w:t>
      </w:r>
      <w:r>
        <w:rPr>
          <w:rFonts w:hint="eastAsia" w:cs="Times New Roman"/>
          <w:color w:val="auto"/>
          <w:highlight w:val="none"/>
        </w:rPr>
        <w:t>投标文件</w:t>
      </w:r>
      <w:bookmarkEnd w:id="270"/>
      <w:bookmarkEnd w:id="271"/>
      <w:bookmarkEnd w:id="272"/>
      <w:bookmarkEnd w:id="273"/>
      <w:bookmarkEnd w:id="274"/>
    </w:p>
    <w:p>
      <w:pPr>
        <w:pStyle w:val="133"/>
        <w:rPr>
          <w:rFonts w:cs="Times New Roman"/>
          <w:color w:val="auto"/>
          <w:highlight w:val="none"/>
        </w:rPr>
      </w:pPr>
      <w:bookmarkStart w:id="275" w:name="_Toc237769260"/>
      <w:bookmarkStart w:id="276" w:name="_Toc531161988"/>
      <w:bookmarkStart w:id="277" w:name="_Toc30541"/>
      <w:bookmarkStart w:id="278" w:name="_Toc237768796"/>
      <w:bookmarkStart w:id="279" w:name="_Toc288556254"/>
      <w:bookmarkStart w:id="280" w:name="_Toc321925389"/>
      <w:bookmarkStart w:id="281" w:name="_Toc283886212"/>
      <w:bookmarkStart w:id="282" w:name="_Toc152042323"/>
      <w:bookmarkStart w:id="283" w:name="_Toc152045547"/>
      <w:bookmarkStart w:id="284" w:name="_Toc179632565"/>
      <w:bookmarkStart w:id="285" w:name="_Toc283976503"/>
      <w:bookmarkStart w:id="286" w:name="_Toc394573900"/>
      <w:bookmarkStart w:id="287" w:name="_Toc282596267"/>
      <w:bookmarkStart w:id="288" w:name="_Toc144974515"/>
      <w:bookmarkStart w:id="289" w:name="_Toc372899829"/>
      <w:bookmarkStart w:id="290" w:name="_Toc372899706"/>
      <w:r>
        <w:rPr>
          <w:rFonts w:cs="Times New Roman"/>
          <w:color w:val="auto"/>
          <w:highlight w:val="none"/>
        </w:rPr>
        <w:t xml:space="preserve">3.1 </w:t>
      </w:r>
      <w:r>
        <w:rPr>
          <w:rFonts w:hint="eastAsia" w:cs="Times New Roman"/>
          <w:color w:val="auto"/>
          <w:highlight w:val="none"/>
        </w:rPr>
        <w:t>投标文件的组成</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spacing w:line="400" w:lineRule="exact"/>
        <w:ind w:firstLine="359" w:firstLineChars="171"/>
        <w:rPr>
          <w:color w:val="auto"/>
          <w:highlight w:val="none"/>
        </w:rPr>
      </w:pPr>
      <w:r>
        <w:rPr>
          <w:color w:val="auto"/>
          <w:highlight w:val="none"/>
        </w:rPr>
        <w:t>3.1.1</w:t>
      </w:r>
      <w:r>
        <w:rPr>
          <w:rFonts w:hint="eastAsia"/>
          <w:color w:val="auto"/>
          <w:highlight w:val="none"/>
        </w:rPr>
        <w:t>投标文件的组成：见投标人须知前附表。</w:t>
      </w:r>
      <w:r>
        <w:rPr>
          <w:color w:val="auto"/>
          <w:highlight w:val="none"/>
        </w:rPr>
        <w:t xml:space="preserve"> </w:t>
      </w:r>
    </w:p>
    <w:p>
      <w:pPr>
        <w:spacing w:line="400" w:lineRule="exact"/>
        <w:ind w:firstLine="359" w:firstLineChars="171"/>
        <w:rPr>
          <w:color w:val="auto"/>
          <w:highlight w:val="none"/>
        </w:rPr>
      </w:pPr>
      <w:r>
        <w:rPr>
          <w:color w:val="auto"/>
          <w:highlight w:val="none"/>
        </w:rPr>
        <w:t>3.1.2</w:t>
      </w:r>
      <w:r>
        <w:rPr>
          <w:rFonts w:hint="eastAsia"/>
          <w:color w:val="auto"/>
          <w:highlight w:val="none"/>
        </w:rPr>
        <w:t>投标文件的份数：见投标人须知前附表。</w:t>
      </w:r>
    </w:p>
    <w:p>
      <w:pPr>
        <w:spacing w:line="400" w:lineRule="exact"/>
        <w:ind w:firstLine="359" w:firstLineChars="171"/>
        <w:rPr>
          <w:color w:val="auto"/>
          <w:highlight w:val="none"/>
        </w:rPr>
      </w:pPr>
      <w:r>
        <w:rPr>
          <w:color w:val="auto"/>
          <w:highlight w:val="none"/>
        </w:rPr>
        <w:t>3.1.3</w:t>
      </w:r>
      <w:r>
        <w:rPr>
          <w:rFonts w:hint="eastAsia"/>
          <w:color w:val="auto"/>
          <w:highlight w:val="none"/>
        </w:rPr>
        <w:t>投标文件的格式要求：见投标人须知前附表。</w:t>
      </w:r>
    </w:p>
    <w:p>
      <w:pPr>
        <w:pStyle w:val="133"/>
        <w:rPr>
          <w:rFonts w:cs="Times New Roman"/>
          <w:color w:val="auto"/>
          <w:highlight w:val="none"/>
        </w:rPr>
      </w:pPr>
      <w:bookmarkStart w:id="291" w:name="_Toc144974516"/>
      <w:bookmarkStart w:id="292" w:name="_Toc283886213"/>
      <w:bookmarkStart w:id="293" w:name="_Toc394573901"/>
      <w:bookmarkStart w:id="294" w:name="_Toc152045548"/>
      <w:bookmarkStart w:id="295" w:name="_Toc372899707"/>
      <w:bookmarkStart w:id="296" w:name="_Toc152042324"/>
      <w:bookmarkStart w:id="297" w:name="_Toc20157"/>
      <w:bookmarkStart w:id="298" w:name="_Toc531161989"/>
      <w:bookmarkStart w:id="299" w:name="_Toc282596268"/>
      <w:bookmarkStart w:id="300" w:name="_Toc288556255"/>
      <w:bookmarkStart w:id="301" w:name="_Toc179632566"/>
      <w:bookmarkStart w:id="302" w:name="_Toc372899830"/>
      <w:bookmarkStart w:id="303" w:name="_Toc321925390"/>
      <w:bookmarkStart w:id="304" w:name="_Toc283976504"/>
      <w:bookmarkStart w:id="305" w:name="_Toc237768797"/>
      <w:bookmarkStart w:id="306" w:name="_Toc237769261"/>
      <w:r>
        <w:rPr>
          <w:rFonts w:cs="Times New Roman"/>
          <w:color w:val="auto"/>
          <w:highlight w:val="none"/>
        </w:rPr>
        <w:t xml:space="preserve">3.2 </w:t>
      </w:r>
      <w:r>
        <w:rPr>
          <w:rFonts w:hint="eastAsia" w:cs="Times New Roman"/>
          <w:color w:val="auto"/>
          <w:highlight w:val="none"/>
        </w:rPr>
        <w:t>投标报价</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spacing w:line="400" w:lineRule="exact"/>
        <w:ind w:firstLine="420" w:firstLineChars="200"/>
        <w:rPr>
          <w:color w:val="auto"/>
          <w:highlight w:val="none"/>
        </w:rPr>
      </w:pPr>
      <w:r>
        <w:rPr>
          <w:color w:val="auto"/>
          <w:highlight w:val="none"/>
        </w:rPr>
        <w:t>3.2.1</w:t>
      </w:r>
      <w:r>
        <w:rPr>
          <w:rFonts w:hint="eastAsia"/>
          <w:color w:val="auto"/>
          <w:highlight w:val="none"/>
        </w:rPr>
        <w:t>投标报价要求：见投标人须知前附表。</w:t>
      </w:r>
    </w:p>
    <w:p>
      <w:pPr>
        <w:spacing w:line="400" w:lineRule="exact"/>
        <w:ind w:firstLine="420" w:firstLineChars="200"/>
        <w:rPr>
          <w:color w:val="auto"/>
          <w:highlight w:val="none"/>
        </w:rPr>
      </w:pPr>
      <w:r>
        <w:rPr>
          <w:color w:val="auto"/>
          <w:highlight w:val="none"/>
        </w:rPr>
        <w:t xml:space="preserve">3.2.2 </w:t>
      </w:r>
      <w:r>
        <w:rPr>
          <w:rFonts w:hint="eastAsia"/>
          <w:color w:val="auto"/>
          <w:highlight w:val="none"/>
        </w:rPr>
        <w:t>投标人在投标截止时间前修改投标函中的投标总报价，应先撤回已上传的电子投标文件，修改后重新生成电子投标文件并上传。此修改须符合本章第</w:t>
      </w:r>
      <w:r>
        <w:rPr>
          <w:color w:val="auto"/>
          <w:highlight w:val="none"/>
        </w:rPr>
        <w:t>4.2</w:t>
      </w:r>
      <w:r>
        <w:rPr>
          <w:rFonts w:hint="eastAsia"/>
          <w:color w:val="auto"/>
          <w:highlight w:val="none"/>
        </w:rPr>
        <w:t>款的有关要求。</w:t>
      </w:r>
    </w:p>
    <w:p>
      <w:pPr>
        <w:pStyle w:val="133"/>
        <w:rPr>
          <w:rFonts w:cs="Times New Roman"/>
          <w:color w:val="auto"/>
          <w:highlight w:val="none"/>
        </w:rPr>
      </w:pPr>
      <w:bookmarkStart w:id="307" w:name="_Toc372899708"/>
      <w:bookmarkStart w:id="308" w:name="_Toc288556256"/>
      <w:bookmarkStart w:id="309" w:name="_Toc372899831"/>
      <w:bookmarkStart w:id="310" w:name="_Toc179632567"/>
      <w:bookmarkStart w:id="311" w:name="_Toc321925391"/>
      <w:bookmarkStart w:id="312" w:name="_Toc237769262"/>
      <w:bookmarkStart w:id="313" w:name="_Toc283886214"/>
      <w:bookmarkStart w:id="314" w:name="_Toc152042325"/>
      <w:bookmarkStart w:id="315" w:name="_Toc283976505"/>
      <w:bookmarkStart w:id="316" w:name="_Toc394573902"/>
      <w:bookmarkStart w:id="317" w:name="_Toc531161990"/>
      <w:bookmarkStart w:id="318" w:name="_Toc282596269"/>
      <w:bookmarkStart w:id="319" w:name="_Toc152045549"/>
      <w:bookmarkStart w:id="320" w:name="_Toc237768798"/>
      <w:bookmarkStart w:id="321" w:name="_Toc144974517"/>
      <w:bookmarkStart w:id="322" w:name="_Toc30728"/>
      <w:r>
        <w:rPr>
          <w:rFonts w:cs="Times New Roman"/>
          <w:color w:val="auto"/>
          <w:highlight w:val="none"/>
        </w:rPr>
        <w:t xml:space="preserve">3.3 </w:t>
      </w:r>
      <w:r>
        <w:rPr>
          <w:rFonts w:hint="eastAsia" w:cs="Times New Roman"/>
          <w:color w:val="auto"/>
          <w:highlight w:val="none"/>
        </w:rPr>
        <w:t>投标有效期</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spacing w:line="400" w:lineRule="exact"/>
        <w:ind w:firstLine="420" w:firstLineChars="200"/>
        <w:rPr>
          <w:color w:val="auto"/>
          <w:highlight w:val="none"/>
        </w:rPr>
      </w:pPr>
      <w:r>
        <w:rPr>
          <w:color w:val="auto"/>
          <w:highlight w:val="none"/>
        </w:rPr>
        <w:t xml:space="preserve">3.3.1 </w:t>
      </w:r>
      <w:r>
        <w:rPr>
          <w:rFonts w:hint="eastAsia"/>
          <w:color w:val="auto"/>
          <w:highlight w:val="none"/>
        </w:rPr>
        <w:t>在投标人须知前附表规定的投标有效期内，投标人不得要求撤销或修改其投标文件。</w:t>
      </w:r>
    </w:p>
    <w:p>
      <w:pPr>
        <w:spacing w:line="400" w:lineRule="exact"/>
        <w:ind w:firstLine="420" w:firstLineChars="200"/>
        <w:rPr>
          <w:color w:val="auto"/>
          <w:highlight w:val="none"/>
        </w:rPr>
      </w:pPr>
      <w:r>
        <w:rPr>
          <w:color w:val="auto"/>
          <w:highlight w:val="none"/>
        </w:rPr>
        <w:t>3.3.2</w:t>
      </w:r>
      <w:r>
        <w:rPr>
          <w:rFonts w:hint="eastAsia"/>
          <w:color w:val="auto"/>
          <w:highlight w:val="none"/>
        </w:rPr>
        <w:t>出现特殊情况需要延长投标有效期的，招标人以书面形式通知所有投标人延长投标有效期。投标人拒绝延长的，其投标失效，但投标人有权收回其投标担保。投标人同意延长的，应相应延长其投标担保的有效期，但不得要求或被允许修改或撤销其投标文件。在延长的投标有效期内，本须知</w:t>
      </w:r>
      <w:r>
        <w:rPr>
          <w:color w:val="auto"/>
          <w:highlight w:val="none"/>
        </w:rPr>
        <w:t>3.4.3</w:t>
      </w:r>
      <w:r>
        <w:rPr>
          <w:rFonts w:hint="eastAsia"/>
          <w:color w:val="auto"/>
          <w:highlight w:val="none"/>
        </w:rPr>
        <w:t>款</w:t>
      </w:r>
      <w:r>
        <w:rPr>
          <w:color w:val="auto"/>
          <w:highlight w:val="none"/>
        </w:rPr>
        <w:t xml:space="preserve"> </w:t>
      </w:r>
      <w:r>
        <w:rPr>
          <w:rFonts w:hint="eastAsia"/>
          <w:color w:val="auto"/>
          <w:highlight w:val="none"/>
        </w:rPr>
        <w:t>和</w:t>
      </w:r>
      <w:r>
        <w:rPr>
          <w:color w:val="auto"/>
          <w:highlight w:val="none"/>
        </w:rPr>
        <w:t>3.4.4</w:t>
      </w:r>
      <w:r>
        <w:rPr>
          <w:rFonts w:hint="eastAsia"/>
          <w:color w:val="auto"/>
          <w:highlight w:val="none"/>
        </w:rPr>
        <w:t>款仍然适用。</w:t>
      </w:r>
    </w:p>
    <w:p>
      <w:pPr>
        <w:pStyle w:val="133"/>
        <w:rPr>
          <w:rFonts w:cs="Times New Roman"/>
          <w:color w:val="auto"/>
          <w:highlight w:val="none"/>
        </w:rPr>
      </w:pPr>
      <w:bookmarkStart w:id="323" w:name="_Toc179632568"/>
      <w:bookmarkStart w:id="324" w:name="_Toc283886215"/>
      <w:bookmarkStart w:id="325" w:name="_Toc283976506"/>
      <w:bookmarkStart w:id="326" w:name="_Toc237768799"/>
      <w:bookmarkStart w:id="327" w:name="_Toc144974518"/>
      <w:bookmarkStart w:id="328" w:name="_Toc152042326"/>
      <w:bookmarkStart w:id="329" w:name="_Toc282596270"/>
      <w:bookmarkStart w:id="330" w:name="_Toc152045550"/>
      <w:bookmarkStart w:id="331" w:name="_Toc237769263"/>
      <w:bookmarkStart w:id="332" w:name="_Toc372899709"/>
      <w:bookmarkStart w:id="333" w:name="_Toc19202"/>
      <w:bookmarkStart w:id="334" w:name="_Toc321925392"/>
      <w:bookmarkStart w:id="335" w:name="_Toc394573903"/>
      <w:bookmarkStart w:id="336" w:name="_Toc372899832"/>
      <w:bookmarkStart w:id="337" w:name="_Toc531161991"/>
      <w:bookmarkStart w:id="338" w:name="_Toc288556257"/>
      <w:r>
        <w:rPr>
          <w:rFonts w:cs="Times New Roman"/>
          <w:color w:val="auto"/>
          <w:highlight w:val="none"/>
        </w:rPr>
        <w:t xml:space="preserve">3.4 </w:t>
      </w:r>
      <w:r>
        <w:rPr>
          <w:rFonts w:hint="eastAsia" w:cs="Times New Roman"/>
          <w:color w:val="auto"/>
          <w:highlight w:val="none"/>
        </w:rPr>
        <w:t>投标</w:t>
      </w:r>
      <w:bookmarkEnd w:id="323"/>
      <w:bookmarkEnd w:id="324"/>
      <w:bookmarkEnd w:id="325"/>
      <w:bookmarkEnd w:id="326"/>
      <w:bookmarkEnd w:id="327"/>
      <w:bookmarkEnd w:id="328"/>
      <w:bookmarkEnd w:id="329"/>
      <w:bookmarkEnd w:id="330"/>
      <w:bookmarkEnd w:id="331"/>
      <w:r>
        <w:rPr>
          <w:rFonts w:hint="eastAsia" w:cs="Times New Roman"/>
          <w:color w:val="auto"/>
          <w:highlight w:val="none"/>
        </w:rPr>
        <w:t>担保</w:t>
      </w:r>
      <w:bookmarkEnd w:id="332"/>
      <w:bookmarkEnd w:id="333"/>
      <w:bookmarkEnd w:id="334"/>
      <w:bookmarkEnd w:id="335"/>
      <w:bookmarkEnd w:id="336"/>
      <w:bookmarkEnd w:id="337"/>
      <w:bookmarkEnd w:id="338"/>
    </w:p>
    <w:p>
      <w:pPr>
        <w:spacing w:line="400" w:lineRule="exact"/>
        <w:ind w:firstLine="420" w:firstLineChars="200"/>
        <w:rPr>
          <w:color w:val="auto"/>
          <w:highlight w:val="none"/>
        </w:rPr>
      </w:pPr>
      <w:r>
        <w:rPr>
          <w:color w:val="auto"/>
          <w:highlight w:val="none"/>
        </w:rPr>
        <w:t xml:space="preserve">3.4.1 </w:t>
      </w:r>
      <w:r>
        <w:rPr>
          <w:rFonts w:hint="eastAsia"/>
          <w:color w:val="auto"/>
          <w:highlight w:val="none"/>
        </w:rPr>
        <w:t>投标人在递交投标文件的同时，应按投标人须知前附表规定递交投标担保。</w:t>
      </w:r>
    </w:p>
    <w:p>
      <w:pPr>
        <w:spacing w:line="400" w:lineRule="exact"/>
        <w:ind w:firstLine="420" w:firstLineChars="200"/>
        <w:rPr>
          <w:color w:val="auto"/>
          <w:highlight w:val="none"/>
        </w:rPr>
      </w:pPr>
      <w:r>
        <w:rPr>
          <w:color w:val="auto"/>
          <w:highlight w:val="none"/>
        </w:rPr>
        <w:t xml:space="preserve">3.4.2 </w:t>
      </w:r>
      <w:r>
        <w:rPr>
          <w:rFonts w:hint="eastAsia"/>
          <w:color w:val="auto"/>
          <w:highlight w:val="none"/>
        </w:rPr>
        <w:t>投标人不按本章第</w:t>
      </w:r>
      <w:r>
        <w:rPr>
          <w:color w:val="auto"/>
          <w:highlight w:val="none"/>
        </w:rPr>
        <w:t>3.4.1</w:t>
      </w:r>
      <w:r>
        <w:rPr>
          <w:rFonts w:hint="eastAsia"/>
          <w:color w:val="auto"/>
          <w:highlight w:val="none"/>
        </w:rPr>
        <w:t>项要求提交投标担保的，招标人将视为不响应投标而予以拒绝。</w:t>
      </w:r>
    </w:p>
    <w:p>
      <w:pPr>
        <w:spacing w:line="400" w:lineRule="exact"/>
        <w:ind w:firstLine="420" w:firstLineChars="200"/>
        <w:rPr>
          <w:color w:val="auto"/>
          <w:highlight w:val="none"/>
        </w:rPr>
      </w:pPr>
      <w:r>
        <w:rPr>
          <w:color w:val="auto"/>
          <w:highlight w:val="none"/>
        </w:rPr>
        <w:t>3.4.3</w:t>
      </w:r>
      <w:r>
        <w:rPr>
          <w:rFonts w:hint="eastAsia"/>
          <w:color w:val="auto"/>
          <w:highlight w:val="none"/>
        </w:rPr>
        <w:t>投标担保按以下方式退还：</w:t>
      </w:r>
    </w:p>
    <w:p>
      <w:pPr>
        <w:spacing w:line="4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）中标人在合同签订后退还；</w:t>
      </w:r>
    </w:p>
    <w:p>
      <w:pPr>
        <w:spacing w:line="40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）其余投标人（含无效标的）待项目公示期结束后退还；</w:t>
      </w:r>
    </w:p>
    <w:p>
      <w:pPr>
        <w:adjustRightInd w:val="0"/>
        <w:snapToGrid w:val="0"/>
        <w:spacing w:line="400" w:lineRule="exact"/>
        <w:ind w:firstLine="420" w:firstLineChars="200"/>
        <w:rPr>
          <w:rFonts w:hint="eastAsia"/>
          <w:color w:val="auto"/>
          <w:szCs w:val="21"/>
          <w:highlight w:val="none"/>
        </w:rPr>
      </w:pPr>
      <w:r>
        <w:rPr>
          <w:color w:val="auto"/>
          <w:szCs w:val="21"/>
          <w:highlight w:val="none"/>
        </w:rPr>
        <w:t>3.4.4</w:t>
      </w:r>
      <w:r>
        <w:rPr>
          <w:rFonts w:hint="eastAsia"/>
          <w:color w:val="auto"/>
          <w:szCs w:val="21"/>
          <w:highlight w:val="none"/>
        </w:rPr>
        <w:t>投标人有下列情形的，投标担保将全部不予退还：</w:t>
      </w:r>
    </w:p>
    <w:p>
      <w:pPr>
        <w:adjustRightInd w:val="0"/>
        <w:snapToGrid w:val="0"/>
        <w:spacing w:line="400" w:lineRule="exact"/>
        <w:ind w:firstLine="200"/>
        <w:rPr>
          <w:color w:val="auto"/>
          <w:szCs w:val="21"/>
          <w:highlight w:val="none"/>
        </w:rPr>
      </w:pPr>
      <w:r>
        <w:rPr>
          <w:rFonts w:hint="eastAsia"/>
          <w:color w:val="auto"/>
          <w:szCs w:val="21"/>
          <w:highlight w:val="none"/>
        </w:rPr>
        <w:t xml:space="preserve">  （1）投标人违反《台州市建设工程诚信投标承诺书》承诺内容进行虚假瞒报的；</w:t>
      </w:r>
    </w:p>
    <w:p>
      <w:pPr>
        <w:adjustRightInd w:val="0"/>
        <w:snapToGrid w:val="0"/>
        <w:spacing w:line="400" w:lineRule="exact"/>
        <w:ind w:firstLine="420" w:firstLineChars="200"/>
        <w:rPr>
          <w:rFonts w:hint="eastAsia"/>
          <w:color w:val="auto"/>
          <w:szCs w:val="21"/>
          <w:highlight w:val="none"/>
        </w:rPr>
      </w:pPr>
      <w:r>
        <w:rPr>
          <w:rFonts w:hint="eastAsia"/>
          <w:color w:val="auto"/>
          <w:szCs w:val="21"/>
          <w:highlight w:val="none"/>
        </w:rPr>
        <w:t>（2）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pPr>
        <w:spacing w:line="400" w:lineRule="exact"/>
        <w:ind w:firstLine="420" w:firstLineChars="200"/>
        <w:rPr>
          <w:color w:val="auto"/>
          <w:highlight w:val="none"/>
        </w:rPr>
      </w:pPr>
      <w:r>
        <w:rPr>
          <w:color w:val="auto"/>
          <w:szCs w:val="21"/>
          <w:highlight w:val="none"/>
        </w:rPr>
        <w:t xml:space="preserve">3.4.5 </w:t>
      </w:r>
      <w:r>
        <w:rPr>
          <w:rFonts w:hint="eastAsia"/>
          <w:color w:val="auto"/>
          <w:szCs w:val="21"/>
          <w:highlight w:val="none"/>
        </w:rPr>
        <w:t>项目存在异议或投诉情形的，在调查处理期间，其投标担保暂不退还，待调查处理结果明确后，按有关规定办理。</w:t>
      </w:r>
    </w:p>
    <w:p>
      <w:pPr>
        <w:pStyle w:val="133"/>
        <w:rPr>
          <w:rFonts w:cs="Times New Roman"/>
          <w:color w:val="auto"/>
          <w:highlight w:val="none"/>
        </w:rPr>
      </w:pPr>
      <w:bookmarkStart w:id="339" w:name="_Toc179632571"/>
      <w:bookmarkStart w:id="340" w:name="_Toc144974521"/>
      <w:bookmarkStart w:id="341" w:name="_Toc372899710"/>
      <w:bookmarkStart w:id="342" w:name="_Toc321925393"/>
      <w:bookmarkStart w:id="343" w:name="_Toc531161992"/>
      <w:bookmarkStart w:id="344" w:name="_Toc283886216"/>
      <w:bookmarkStart w:id="345" w:name="_Toc152045553"/>
      <w:bookmarkStart w:id="346" w:name="_Toc394573904"/>
      <w:bookmarkStart w:id="347" w:name="_Toc237769265"/>
      <w:bookmarkStart w:id="348" w:name="_Toc282596271"/>
      <w:bookmarkStart w:id="349" w:name="_Toc372899833"/>
      <w:bookmarkStart w:id="350" w:name="_Toc3182"/>
      <w:bookmarkStart w:id="351" w:name="_Toc283976507"/>
      <w:bookmarkStart w:id="352" w:name="_Toc152042329"/>
      <w:bookmarkStart w:id="353" w:name="_Toc288556258"/>
      <w:bookmarkStart w:id="354" w:name="_Toc237768801"/>
      <w:r>
        <w:rPr>
          <w:rFonts w:cs="Times New Roman"/>
          <w:color w:val="auto"/>
          <w:highlight w:val="none"/>
        </w:rPr>
        <w:t xml:space="preserve">3.5 </w:t>
      </w:r>
      <w:r>
        <w:rPr>
          <w:rFonts w:hint="eastAsia" w:cs="Times New Roman"/>
          <w:color w:val="auto"/>
          <w:highlight w:val="none"/>
        </w:rPr>
        <w:t>备选投标方案</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spacing w:line="400" w:lineRule="exact"/>
        <w:ind w:firstLine="420" w:firstLineChars="200"/>
        <w:rPr>
          <w:color w:val="auto"/>
          <w:highlight w:val="none"/>
        </w:rPr>
      </w:pPr>
      <w:r>
        <w:rPr>
          <w:rFonts w:hint="eastAsia"/>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33"/>
        <w:rPr>
          <w:rFonts w:cs="Times New Roman"/>
          <w:color w:val="auto"/>
          <w:highlight w:val="none"/>
        </w:rPr>
      </w:pPr>
      <w:bookmarkStart w:id="355" w:name="_Toc152045554"/>
      <w:bookmarkStart w:id="356" w:name="_Toc237768802"/>
      <w:bookmarkStart w:id="357" w:name="_Toc288556259"/>
      <w:bookmarkStart w:id="358" w:name="_Toc282596272"/>
      <w:bookmarkStart w:id="359" w:name="_Toc531161993"/>
      <w:bookmarkStart w:id="360" w:name="_Toc179632572"/>
      <w:bookmarkStart w:id="361" w:name="_Toc237769266"/>
      <w:bookmarkStart w:id="362" w:name="_Toc321925394"/>
      <w:bookmarkStart w:id="363" w:name="_Toc144974522"/>
      <w:bookmarkStart w:id="364" w:name="_Toc372899834"/>
      <w:bookmarkStart w:id="365" w:name="_Toc394573905"/>
      <w:bookmarkStart w:id="366" w:name="_Toc25680"/>
      <w:bookmarkStart w:id="367" w:name="_Toc283886217"/>
      <w:bookmarkStart w:id="368" w:name="_Toc372899711"/>
      <w:bookmarkStart w:id="369" w:name="_Toc152042330"/>
      <w:bookmarkStart w:id="370" w:name="_Toc283976508"/>
      <w:r>
        <w:rPr>
          <w:rFonts w:cs="Times New Roman"/>
          <w:color w:val="auto"/>
          <w:highlight w:val="none"/>
        </w:rPr>
        <w:t xml:space="preserve">3.6 </w:t>
      </w:r>
      <w:r>
        <w:rPr>
          <w:rFonts w:hint="eastAsia" w:cs="Times New Roman"/>
          <w:color w:val="auto"/>
          <w:highlight w:val="none"/>
        </w:rPr>
        <w:t>投标文件的编制</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spacing w:line="400" w:lineRule="exact"/>
        <w:ind w:firstLine="420" w:firstLineChars="200"/>
        <w:rPr>
          <w:color w:val="auto"/>
          <w:spacing w:val="-6"/>
          <w:highlight w:val="none"/>
        </w:rPr>
      </w:pPr>
      <w:r>
        <w:rPr>
          <w:color w:val="auto"/>
          <w:highlight w:val="none"/>
        </w:rPr>
        <w:t>3.6.1</w:t>
      </w:r>
      <w:r>
        <w:rPr>
          <w:rFonts w:hint="eastAsia"/>
          <w:color w:val="auto"/>
          <w:spacing w:val="-6"/>
          <w:highlight w:val="none"/>
        </w:rPr>
        <w:t>投标文件应按招标文件提供的格式进行编写。投标文件其它格式要求见投标人须知前附表。</w:t>
      </w:r>
    </w:p>
    <w:p>
      <w:pPr>
        <w:spacing w:line="400" w:lineRule="exact"/>
        <w:ind w:firstLine="420" w:firstLineChars="200"/>
        <w:rPr>
          <w:rFonts w:eastAsia="黑体"/>
          <w:b/>
          <w:color w:val="auto"/>
          <w:highlight w:val="none"/>
        </w:rPr>
      </w:pPr>
      <w:r>
        <w:rPr>
          <w:color w:val="auto"/>
          <w:highlight w:val="none"/>
        </w:rPr>
        <w:t>3.6.2</w:t>
      </w:r>
      <w:r>
        <w:rPr>
          <w:rFonts w:hint="eastAsia" w:ascii="宋体" w:hAnsi="宋体" w:cs="宋体"/>
          <w:color w:val="auto"/>
          <w:szCs w:val="21"/>
          <w:highlight w:val="none"/>
        </w:rPr>
        <w:t>投标文件格式中注明盖章的，均应按要求使用</w:t>
      </w:r>
      <w:r>
        <w:rPr>
          <w:rFonts w:ascii="宋体" w:hAnsi="宋体" w:cs="宋体"/>
          <w:color w:val="auto"/>
          <w:szCs w:val="21"/>
          <w:highlight w:val="none"/>
        </w:rPr>
        <w:t>CA锁加盖公章和法定代表人章</w:t>
      </w:r>
      <w:r>
        <w:rPr>
          <w:rFonts w:hint="eastAsia" w:eastAsia="黑体"/>
          <w:b/>
          <w:color w:val="auto"/>
          <w:highlight w:val="none"/>
        </w:rPr>
        <w:t>。</w:t>
      </w:r>
    </w:p>
    <w:p>
      <w:pPr>
        <w:pStyle w:val="113"/>
        <w:rPr>
          <w:rFonts w:cs="Times New Roman"/>
          <w:color w:val="auto"/>
          <w:highlight w:val="none"/>
        </w:rPr>
      </w:pPr>
      <w:bookmarkStart w:id="371" w:name="_Toc531161994"/>
      <w:bookmarkStart w:id="372" w:name="_Toc144974523"/>
      <w:bookmarkStart w:id="373" w:name="_Toc152045555"/>
      <w:bookmarkStart w:id="374" w:name="_Toc26284"/>
      <w:bookmarkStart w:id="375" w:name="_Toc152042331"/>
      <w:r>
        <w:rPr>
          <w:rFonts w:cs="Times New Roman"/>
          <w:color w:val="auto"/>
          <w:highlight w:val="none"/>
        </w:rPr>
        <w:t xml:space="preserve">4. </w:t>
      </w:r>
      <w:r>
        <w:rPr>
          <w:rFonts w:hint="eastAsia" w:cs="Times New Roman"/>
          <w:color w:val="auto"/>
          <w:highlight w:val="none"/>
        </w:rPr>
        <w:t>投标</w:t>
      </w:r>
      <w:bookmarkEnd w:id="371"/>
      <w:bookmarkEnd w:id="372"/>
      <w:bookmarkEnd w:id="373"/>
      <w:bookmarkEnd w:id="374"/>
      <w:bookmarkEnd w:id="375"/>
    </w:p>
    <w:p>
      <w:pPr>
        <w:pStyle w:val="133"/>
        <w:rPr>
          <w:rFonts w:cs="Times New Roman"/>
          <w:color w:val="auto"/>
          <w:highlight w:val="none"/>
        </w:rPr>
      </w:pPr>
      <w:bookmarkStart w:id="376" w:name="_Toc283886219"/>
      <w:bookmarkStart w:id="377" w:name="_Toc179632574"/>
      <w:bookmarkStart w:id="378" w:name="_Toc152042332"/>
      <w:bookmarkStart w:id="379" w:name="_Toc321925396"/>
      <w:bookmarkStart w:id="380" w:name="_Toc372899713"/>
      <w:bookmarkStart w:id="381" w:name="_Toc152045556"/>
      <w:bookmarkStart w:id="382" w:name="_Toc288556261"/>
      <w:bookmarkStart w:id="383" w:name="_Toc283976510"/>
      <w:bookmarkStart w:id="384" w:name="_Toc372899836"/>
      <w:bookmarkStart w:id="385" w:name="_Toc237768804"/>
      <w:bookmarkStart w:id="386" w:name="_Toc237769268"/>
      <w:bookmarkStart w:id="387" w:name="_Toc144974524"/>
      <w:bookmarkStart w:id="388" w:name="_Toc282596274"/>
      <w:bookmarkStart w:id="389" w:name="_Toc394573907"/>
      <w:bookmarkStart w:id="390" w:name="_Toc531161995"/>
      <w:bookmarkStart w:id="391" w:name="_Toc26180"/>
      <w:r>
        <w:rPr>
          <w:rFonts w:cs="Times New Roman"/>
          <w:color w:val="auto"/>
          <w:highlight w:val="none"/>
        </w:rPr>
        <w:t xml:space="preserve">4.1 </w:t>
      </w:r>
      <w:r>
        <w:rPr>
          <w:rFonts w:hint="eastAsia" w:cs="Times New Roman"/>
          <w:color w:val="auto"/>
          <w:highlight w:val="none"/>
        </w:rPr>
        <w:t>投标文件的</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hint="eastAsia" w:cs="Times New Roman"/>
          <w:color w:val="auto"/>
          <w:highlight w:val="none"/>
        </w:rPr>
        <w:t>递交</w:t>
      </w:r>
      <w:bookmarkEnd w:id="390"/>
      <w:bookmarkEnd w:id="391"/>
    </w:p>
    <w:p>
      <w:pPr>
        <w:spacing w:line="400" w:lineRule="exact"/>
        <w:ind w:firstLine="420" w:firstLineChars="200"/>
        <w:rPr>
          <w:color w:val="auto"/>
          <w:highlight w:val="none"/>
        </w:rPr>
      </w:pPr>
      <w:r>
        <w:rPr>
          <w:color w:val="auto"/>
          <w:highlight w:val="none"/>
        </w:rPr>
        <w:t xml:space="preserve">4.1.1 </w:t>
      </w:r>
      <w:r>
        <w:rPr>
          <w:rFonts w:hint="eastAsia"/>
          <w:color w:val="auto"/>
          <w:highlight w:val="none"/>
        </w:rPr>
        <w:t>投标人应在本章第</w:t>
      </w:r>
      <w:r>
        <w:rPr>
          <w:color w:val="auto"/>
          <w:highlight w:val="none"/>
        </w:rPr>
        <w:t>4.2.1</w:t>
      </w:r>
      <w:r>
        <w:rPr>
          <w:rFonts w:hint="eastAsia"/>
          <w:color w:val="auto"/>
          <w:highlight w:val="none"/>
        </w:rPr>
        <w:t>项规定的投标截止时间前上传投标文件。</w:t>
      </w:r>
    </w:p>
    <w:p>
      <w:pPr>
        <w:spacing w:line="400" w:lineRule="exact"/>
        <w:ind w:firstLine="420" w:firstLineChars="200"/>
        <w:rPr>
          <w:color w:val="auto"/>
          <w:highlight w:val="none"/>
        </w:rPr>
      </w:pPr>
      <w:r>
        <w:rPr>
          <w:color w:val="auto"/>
          <w:highlight w:val="none"/>
        </w:rPr>
        <w:t xml:space="preserve">4.1.2 </w:t>
      </w:r>
      <w:r>
        <w:rPr>
          <w:rFonts w:hint="eastAsia"/>
          <w:color w:val="auto"/>
          <w:highlight w:val="none"/>
        </w:rPr>
        <w:t>投标人递交投标文件的地点：见投标人须知前附表。</w:t>
      </w:r>
    </w:p>
    <w:p>
      <w:pPr>
        <w:spacing w:line="400" w:lineRule="exact"/>
        <w:ind w:firstLine="420" w:firstLineChars="200"/>
        <w:rPr>
          <w:color w:val="auto"/>
          <w:highlight w:val="none"/>
        </w:rPr>
      </w:pPr>
      <w:r>
        <w:rPr>
          <w:color w:val="auto"/>
          <w:highlight w:val="none"/>
        </w:rPr>
        <w:t xml:space="preserve">4.1.3 </w:t>
      </w:r>
      <w:r>
        <w:rPr>
          <w:rFonts w:hint="eastAsia"/>
          <w:color w:val="auto"/>
          <w:highlight w:val="none"/>
        </w:rPr>
        <w:t>除投标人须知前附表另有规定外，投标人所递交的投标文件不予退还。</w:t>
      </w:r>
    </w:p>
    <w:p>
      <w:pPr>
        <w:spacing w:line="400" w:lineRule="exact"/>
        <w:ind w:firstLine="420" w:firstLineChars="200"/>
        <w:rPr>
          <w:color w:val="auto"/>
          <w:highlight w:val="none"/>
        </w:rPr>
      </w:pPr>
      <w:r>
        <w:rPr>
          <w:color w:val="auto"/>
          <w:highlight w:val="none"/>
        </w:rPr>
        <w:t xml:space="preserve">4.1.4 </w:t>
      </w:r>
      <w:r>
        <w:rPr>
          <w:rFonts w:hint="eastAsia"/>
          <w:color w:val="auto"/>
          <w:highlight w:val="none"/>
        </w:rPr>
        <w:t>招标人（台州湾新区小额工程交易中心</w:t>
      </w:r>
      <w:r>
        <w:rPr>
          <w:rFonts w:ascii="宋体" w:hAnsi="宋体" w:cs="宋体"/>
          <w:color w:val="auto"/>
          <w:szCs w:val="21"/>
          <w:highlight w:val="none"/>
        </w:rPr>
        <w:t>平台</w:t>
      </w:r>
      <w:r>
        <w:rPr>
          <w:rFonts w:hint="eastAsia"/>
          <w:color w:val="auto"/>
          <w:highlight w:val="none"/>
        </w:rPr>
        <w:t>）收到投标文件后，向投标人发出确认投标成功的提示。</w:t>
      </w:r>
    </w:p>
    <w:p>
      <w:pPr>
        <w:spacing w:line="400" w:lineRule="exact"/>
        <w:ind w:firstLine="420" w:firstLineChars="200"/>
        <w:rPr>
          <w:color w:val="auto"/>
          <w:highlight w:val="none"/>
        </w:rPr>
      </w:pPr>
      <w:r>
        <w:rPr>
          <w:color w:val="auto"/>
          <w:highlight w:val="none"/>
        </w:rPr>
        <w:t>4.1.5</w:t>
      </w:r>
      <w:r>
        <w:rPr>
          <w:rFonts w:hint="eastAsia"/>
          <w:color w:val="auto"/>
          <w:highlight w:val="none"/>
        </w:rPr>
        <w:t>逾期上传的或者未上传指定系统的，视为投标文件未送达。</w:t>
      </w:r>
    </w:p>
    <w:p>
      <w:pPr>
        <w:pStyle w:val="133"/>
        <w:rPr>
          <w:rFonts w:cs="Times New Roman"/>
          <w:color w:val="auto"/>
          <w:highlight w:val="none"/>
        </w:rPr>
      </w:pPr>
      <w:bookmarkStart w:id="392" w:name="_Toc9576"/>
      <w:r>
        <w:rPr>
          <w:rFonts w:cs="Times New Roman"/>
          <w:color w:val="auto"/>
          <w:highlight w:val="none"/>
        </w:rPr>
        <w:t>4.2</w:t>
      </w:r>
      <w:r>
        <w:rPr>
          <w:rFonts w:hint="eastAsia" w:cs="Times New Roman"/>
          <w:color w:val="auto"/>
          <w:highlight w:val="none"/>
        </w:rPr>
        <w:t>投标截止期</w:t>
      </w:r>
      <w:bookmarkEnd w:id="392"/>
    </w:p>
    <w:p>
      <w:pPr>
        <w:spacing w:line="400" w:lineRule="exact"/>
        <w:ind w:firstLine="420" w:firstLineChars="200"/>
        <w:rPr>
          <w:color w:val="auto"/>
          <w:highlight w:val="none"/>
        </w:rPr>
      </w:pPr>
      <w:r>
        <w:rPr>
          <w:color w:val="auto"/>
          <w:highlight w:val="none"/>
        </w:rPr>
        <w:t>4.2.1</w:t>
      </w:r>
      <w:r>
        <w:rPr>
          <w:rFonts w:hint="eastAsia"/>
          <w:color w:val="auto"/>
          <w:highlight w:val="none"/>
        </w:rPr>
        <w:t>投标截止时间：见投标人须知前附表。</w:t>
      </w:r>
    </w:p>
    <w:p>
      <w:pPr>
        <w:spacing w:line="400" w:lineRule="exact"/>
        <w:ind w:firstLine="420" w:firstLineChars="200"/>
        <w:rPr>
          <w:rFonts w:hint="eastAsia"/>
          <w:color w:val="auto"/>
          <w:highlight w:val="none"/>
        </w:rPr>
      </w:pPr>
      <w:r>
        <w:rPr>
          <w:color w:val="auto"/>
          <w:highlight w:val="none"/>
        </w:rPr>
        <w:t>4.2.2</w:t>
      </w:r>
      <w:r>
        <w:rPr>
          <w:rFonts w:hint="eastAsia"/>
          <w:color w:val="auto"/>
          <w:highlight w:val="none"/>
        </w:rPr>
        <w:t>招标人可以补充通知的方式，酌情延长提交投标文件的截止时间。在此情况下，投标人的所有权利和义务以及投标人受制约的截止时间，均以延长后新的投标截止时间为准。</w:t>
      </w:r>
    </w:p>
    <w:p>
      <w:pPr>
        <w:spacing w:line="400" w:lineRule="exact"/>
        <w:ind w:firstLine="420" w:firstLineChars="200"/>
        <w:rPr>
          <w:color w:val="auto"/>
          <w:highlight w:val="none"/>
        </w:rPr>
      </w:pPr>
      <w:r>
        <w:rPr>
          <w:rFonts w:hint="eastAsia"/>
          <w:color w:val="auto"/>
          <w:highlight w:val="none"/>
        </w:rPr>
        <w:t>4.2.3投标文件递交要求：见投标人须知前附表。</w:t>
      </w:r>
    </w:p>
    <w:p>
      <w:pPr>
        <w:pStyle w:val="133"/>
        <w:rPr>
          <w:rFonts w:cs="Times New Roman"/>
          <w:color w:val="auto"/>
          <w:highlight w:val="none"/>
        </w:rPr>
      </w:pPr>
      <w:bookmarkStart w:id="393" w:name="_Toc288556262"/>
      <w:bookmarkStart w:id="394" w:name="_Toc237769269"/>
      <w:bookmarkStart w:id="395" w:name="_Toc237768805"/>
      <w:bookmarkStart w:id="396" w:name="_Toc372899837"/>
      <w:bookmarkStart w:id="397" w:name="_Toc372899714"/>
      <w:bookmarkStart w:id="398" w:name="_Toc283886220"/>
      <w:bookmarkStart w:id="399" w:name="_Toc152045557"/>
      <w:bookmarkStart w:id="400" w:name="_Toc179632575"/>
      <w:bookmarkStart w:id="401" w:name="_Toc152042333"/>
      <w:bookmarkStart w:id="402" w:name="_Toc282596275"/>
      <w:bookmarkStart w:id="403" w:name="_Toc321925397"/>
      <w:bookmarkStart w:id="404" w:name="_Toc394573908"/>
      <w:bookmarkStart w:id="405" w:name="_Toc144974525"/>
      <w:bookmarkStart w:id="406" w:name="_Toc283976511"/>
      <w:bookmarkStart w:id="407" w:name="_Toc30820"/>
      <w:bookmarkStart w:id="408" w:name="_Toc531161996"/>
      <w:r>
        <w:rPr>
          <w:rFonts w:cs="Times New Roman"/>
          <w:color w:val="auto"/>
          <w:highlight w:val="none"/>
        </w:rPr>
        <w:t xml:space="preserve">4.3 </w:t>
      </w:r>
      <w:r>
        <w:rPr>
          <w:rFonts w:hint="eastAsia" w:cs="Times New Roman"/>
          <w:color w:val="auto"/>
          <w:highlight w:val="none"/>
        </w:rPr>
        <w:t>投标文件的</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hint="eastAsia" w:cs="Times New Roman"/>
          <w:color w:val="auto"/>
          <w:highlight w:val="none"/>
        </w:rPr>
        <w:t>修改与撤回</w:t>
      </w:r>
      <w:bookmarkEnd w:id="407"/>
      <w:bookmarkEnd w:id="408"/>
    </w:p>
    <w:p>
      <w:pPr>
        <w:spacing w:line="400" w:lineRule="exact"/>
        <w:ind w:firstLine="420" w:firstLineChars="200"/>
        <w:rPr>
          <w:color w:val="auto"/>
          <w:highlight w:val="none"/>
        </w:rPr>
      </w:pPr>
      <w:r>
        <w:rPr>
          <w:color w:val="auto"/>
          <w:highlight w:val="none"/>
        </w:rPr>
        <w:t xml:space="preserve">4.3.1 </w:t>
      </w:r>
      <w:r>
        <w:rPr>
          <w:rFonts w:hint="eastAsia"/>
          <w:color w:val="auto"/>
          <w:highlight w:val="none"/>
        </w:rPr>
        <w:t>在本章第</w:t>
      </w:r>
      <w:r>
        <w:rPr>
          <w:color w:val="auto"/>
          <w:highlight w:val="none"/>
        </w:rPr>
        <w:t>4.2.1</w:t>
      </w:r>
      <w:r>
        <w:rPr>
          <w:rFonts w:hint="eastAsia"/>
          <w:color w:val="auto"/>
          <w:highlight w:val="none"/>
        </w:rPr>
        <w:t>项规定的投标截止时间前，投标人可以修改或撤回已递交的电子投标文件。</w:t>
      </w:r>
    </w:p>
    <w:p>
      <w:pPr>
        <w:spacing w:line="400" w:lineRule="exact"/>
        <w:ind w:firstLine="420" w:firstLineChars="200"/>
        <w:rPr>
          <w:color w:val="auto"/>
          <w:highlight w:val="none"/>
        </w:rPr>
      </w:pPr>
      <w:r>
        <w:rPr>
          <w:color w:val="auto"/>
          <w:highlight w:val="none"/>
        </w:rPr>
        <w:t>4.3.2</w:t>
      </w:r>
      <w:r>
        <w:rPr>
          <w:rFonts w:hint="eastAsia"/>
          <w:color w:val="auto"/>
          <w:highlight w:val="none"/>
        </w:rPr>
        <w:t>在投标截止时间至投标有效期满之前，投标人不得撤回其投标文件，否则其投标担保将被没收。投标人已现场签到但未解密的，等同于撤回。</w:t>
      </w:r>
    </w:p>
    <w:p>
      <w:pPr>
        <w:spacing w:line="400" w:lineRule="exact"/>
        <w:ind w:firstLine="420" w:firstLineChars="200"/>
        <w:rPr>
          <w:color w:val="auto"/>
          <w:highlight w:val="none"/>
        </w:rPr>
      </w:pPr>
      <w:r>
        <w:rPr>
          <w:color w:val="auto"/>
          <w:highlight w:val="none"/>
        </w:rPr>
        <w:t>4.3.3</w:t>
      </w:r>
      <w:r>
        <w:rPr>
          <w:rFonts w:hint="eastAsia"/>
          <w:color w:val="auto"/>
          <w:highlight w:val="none"/>
        </w:rPr>
        <w:t>投标单位撤回投标文件后需重新登录投标文件编制工具进行投标文件编制，投标文件重新编制好后重新生成、重新上传加密的电子投标文件。</w:t>
      </w:r>
    </w:p>
    <w:p>
      <w:pPr>
        <w:pStyle w:val="113"/>
        <w:rPr>
          <w:rFonts w:cs="Times New Roman"/>
          <w:color w:val="auto"/>
          <w:highlight w:val="none"/>
        </w:rPr>
      </w:pPr>
      <w:bookmarkStart w:id="409" w:name="_Toc531161997"/>
      <w:bookmarkStart w:id="410" w:name="_Toc12195"/>
      <w:bookmarkStart w:id="411" w:name="_Toc152042335"/>
      <w:bookmarkStart w:id="412" w:name="_Toc152045559"/>
      <w:bookmarkStart w:id="413" w:name="_Toc144974527"/>
      <w:r>
        <w:rPr>
          <w:rFonts w:cs="Times New Roman"/>
          <w:color w:val="auto"/>
          <w:highlight w:val="none"/>
        </w:rPr>
        <w:t xml:space="preserve">5. </w:t>
      </w:r>
      <w:r>
        <w:rPr>
          <w:rFonts w:hint="eastAsia" w:cs="Times New Roman"/>
          <w:color w:val="auto"/>
          <w:highlight w:val="none"/>
        </w:rPr>
        <w:t>开标</w:t>
      </w:r>
      <w:bookmarkEnd w:id="409"/>
      <w:bookmarkEnd w:id="410"/>
      <w:bookmarkEnd w:id="411"/>
      <w:bookmarkEnd w:id="412"/>
      <w:bookmarkEnd w:id="413"/>
    </w:p>
    <w:p>
      <w:pPr>
        <w:pStyle w:val="133"/>
        <w:rPr>
          <w:rFonts w:cs="Times New Roman"/>
          <w:color w:val="auto"/>
          <w:highlight w:val="none"/>
        </w:rPr>
      </w:pPr>
      <w:bookmarkStart w:id="414" w:name="_Toc237769272"/>
      <w:bookmarkStart w:id="415" w:name="_Toc288556265"/>
      <w:bookmarkStart w:id="416" w:name="_Toc372899717"/>
      <w:bookmarkStart w:id="417" w:name="_Toc144974528"/>
      <w:bookmarkStart w:id="418" w:name="_Toc283886223"/>
      <w:bookmarkStart w:id="419" w:name="_Toc152042336"/>
      <w:bookmarkStart w:id="420" w:name="_Toc283976514"/>
      <w:bookmarkStart w:id="421" w:name="_Toc179632578"/>
      <w:bookmarkStart w:id="422" w:name="_Toc531161998"/>
      <w:bookmarkStart w:id="423" w:name="_Toc282596278"/>
      <w:bookmarkStart w:id="424" w:name="_Toc394573911"/>
      <w:bookmarkStart w:id="425" w:name="_Toc5374"/>
      <w:bookmarkStart w:id="426" w:name="_Toc152045560"/>
      <w:bookmarkStart w:id="427" w:name="_Toc237768808"/>
      <w:bookmarkStart w:id="428" w:name="_Toc321925400"/>
      <w:bookmarkStart w:id="429" w:name="_Toc372899840"/>
      <w:r>
        <w:rPr>
          <w:rFonts w:cs="Times New Roman"/>
          <w:color w:val="auto"/>
          <w:highlight w:val="none"/>
        </w:rPr>
        <w:t xml:space="preserve">5.1 </w:t>
      </w:r>
      <w:r>
        <w:rPr>
          <w:rFonts w:hint="eastAsia" w:cs="Times New Roman"/>
          <w:color w:val="auto"/>
          <w:highlight w:val="none"/>
        </w:rPr>
        <w:t>开标时间和地点</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pPr>
        <w:spacing w:line="400" w:lineRule="exact"/>
        <w:ind w:firstLine="420" w:firstLineChars="200"/>
        <w:rPr>
          <w:color w:val="auto"/>
          <w:highlight w:val="none"/>
        </w:rPr>
      </w:pPr>
      <w:bookmarkStart w:id="430" w:name="_Toc152042337"/>
      <w:bookmarkStart w:id="431" w:name="_Toc152045561"/>
      <w:bookmarkStart w:id="432" w:name="_Toc321925401"/>
      <w:bookmarkStart w:id="433" w:name="_Toc237768809"/>
      <w:bookmarkStart w:id="434" w:name="_Toc531161999"/>
      <w:bookmarkStart w:id="435" w:name="_Toc288556266"/>
      <w:bookmarkStart w:id="436" w:name="_Toc283976515"/>
      <w:bookmarkStart w:id="437" w:name="_Toc372899841"/>
      <w:bookmarkStart w:id="438" w:name="_Toc237769273"/>
      <w:bookmarkStart w:id="439" w:name="_Toc283886224"/>
      <w:bookmarkStart w:id="440" w:name="_Toc179632579"/>
      <w:bookmarkStart w:id="441" w:name="_Toc282596279"/>
      <w:bookmarkStart w:id="442" w:name="_Toc144974529"/>
      <w:bookmarkStart w:id="443" w:name="_Toc372899718"/>
      <w:bookmarkStart w:id="444" w:name="_Toc394573912"/>
      <w:r>
        <w:rPr>
          <w:rFonts w:hint="eastAsia"/>
          <w:color w:val="auto"/>
          <w:highlight w:val="none"/>
        </w:rPr>
        <w:t>招标人在本章前附表第</w:t>
      </w:r>
      <w:r>
        <w:rPr>
          <w:color w:val="auto"/>
          <w:highlight w:val="none"/>
        </w:rPr>
        <w:t>4.2.1</w:t>
      </w:r>
      <w:r>
        <w:rPr>
          <w:rFonts w:hint="eastAsia"/>
          <w:color w:val="auto"/>
          <w:highlight w:val="none"/>
        </w:rPr>
        <w:t>项规定的投标截止时间（开标时间）和投标人须知前附表规定的地点公开开标，并邀请所有投标人准时参加，</w:t>
      </w:r>
      <w:r>
        <w:rPr>
          <w:rFonts w:hint="eastAsia"/>
          <w:color w:val="auto"/>
          <w:szCs w:val="21"/>
          <w:highlight w:val="none"/>
        </w:rPr>
        <w:t>投标人、招标人可通过在线直播参与监督开标过程</w:t>
      </w:r>
      <w:r>
        <w:rPr>
          <w:rFonts w:hint="eastAsia"/>
          <w:color w:val="auto"/>
          <w:highlight w:val="none"/>
        </w:rPr>
        <w:t>。</w:t>
      </w:r>
    </w:p>
    <w:p>
      <w:pPr>
        <w:pStyle w:val="133"/>
        <w:rPr>
          <w:rFonts w:cs="Times New Roman"/>
          <w:color w:val="auto"/>
          <w:highlight w:val="none"/>
        </w:rPr>
      </w:pPr>
      <w:bookmarkStart w:id="445" w:name="_Toc12441"/>
      <w:r>
        <w:rPr>
          <w:rFonts w:cs="Times New Roman"/>
          <w:color w:val="auto"/>
          <w:highlight w:val="none"/>
        </w:rPr>
        <w:t xml:space="preserve">5.2 </w:t>
      </w:r>
      <w:r>
        <w:rPr>
          <w:rFonts w:hint="eastAsia" w:cs="Times New Roman"/>
          <w:color w:val="auto"/>
          <w:highlight w:val="none"/>
        </w:rPr>
        <w:t>开标程序</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spacing w:line="400" w:lineRule="exact"/>
        <w:ind w:firstLine="420" w:firstLineChars="200"/>
        <w:rPr>
          <w:color w:val="auto"/>
          <w:highlight w:val="none"/>
        </w:rPr>
      </w:pPr>
      <w:r>
        <w:rPr>
          <w:rFonts w:hint="eastAsia"/>
          <w:color w:val="auto"/>
          <w:highlight w:val="none"/>
        </w:rPr>
        <w:t>按前附表</w:t>
      </w:r>
      <w:r>
        <w:rPr>
          <w:color w:val="auto"/>
          <w:highlight w:val="none"/>
        </w:rPr>
        <w:t>5.2</w:t>
      </w:r>
      <w:r>
        <w:rPr>
          <w:rFonts w:hint="eastAsia"/>
          <w:color w:val="auto"/>
          <w:highlight w:val="none"/>
        </w:rPr>
        <w:t>要求。</w:t>
      </w:r>
    </w:p>
    <w:p>
      <w:pPr>
        <w:pStyle w:val="113"/>
        <w:rPr>
          <w:rFonts w:cs="Times New Roman"/>
          <w:color w:val="auto"/>
          <w:highlight w:val="none"/>
        </w:rPr>
      </w:pPr>
      <w:bookmarkStart w:id="446" w:name="_Toc152042338"/>
      <w:bookmarkStart w:id="447" w:name="_Toc29681"/>
      <w:bookmarkStart w:id="448" w:name="_Toc531162000"/>
      <w:bookmarkStart w:id="449" w:name="_Toc152045562"/>
      <w:bookmarkStart w:id="450" w:name="_Toc144974530"/>
      <w:r>
        <w:rPr>
          <w:rFonts w:cs="Times New Roman"/>
          <w:color w:val="auto"/>
          <w:highlight w:val="none"/>
        </w:rPr>
        <w:t xml:space="preserve">6. </w:t>
      </w:r>
      <w:r>
        <w:rPr>
          <w:rFonts w:hint="eastAsia" w:cs="Times New Roman"/>
          <w:color w:val="auto"/>
          <w:highlight w:val="none"/>
        </w:rPr>
        <w:t>评标</w:t>
      </w:r>
      <w:bookmarkEnd w:id="446"/>
      <w:bookmarkEnd w:id="447"/>
      <w:bookmarkEnd w:id="448"/>
      <w:bookmarkEnd w:id="449"/>
      <w:bookmarkEnd w:id="450"/>
    </w:p>
    <w:p>
      <w:pPr>
        <w:pStyle w:val="133"/>
        <w:rPr>
          <w:rFonts w:cs="Times New Roman"/>
          <w:color w:val="auto"/>
          <w:highlight w:val="none"/>
        </w:rPr>
      </w:pPr>
      <w:bookmarkStart w:id="451" w:name="_Toc144974531"/>
      <w:bookmarkStart w:id="452" w:name="_Toc372899843"/>
      <w:bookmarkStart w:id="453" w:name="_Toc394573914"/>
      <w:bookmarkStart w:id="454" w:name="_Toc283976517"/>
      <w:bookmarkStart w:id="455" w:name="_Toc152042339"/>
      <w:bookmarkStart w:id="456" w:name="_Toc152045563"/>
      <w:bookmarkStart w:id="457" w:name="_Toc282596281"/>
      <w:bookmarkStart w:id="458" w:name="_Toc321925403"/>
      <w:bookmarkStart w:id="459" w:name="_Toc15322"/>
      <w:bookmarkStart w:id="460" w:name="_Toc237768811"/>
      <w:bookmarkStart w:id="461" w:name="_Toc283886226"/>
      <w:bookmarkStart w:id="462" w:name="_Toc237769275"/>
      <w:bookmarkStart w:id="463" w:name="_Toc179632581"/>
      <w:bookmarkStart w:id="464" w:name="_Toc288556268"/>
      <w:bookmarkStart w:id="465" w:name="_Toc531162001"/>
      <w:bookmarkStart w:id="466" w:name="_Toc372899720"/>
      <w:r>
        <w:rPr>
          <w:rFonts w:cs="Times New Roman"/>
          <w:color w:val="auto"/>
          <w:highlight w:val="none"/>
        </w:rPr>
        <w:t xml:space="preserve">6.1 </w:t>
      </w:r>
      <w:r>
        <w:rPr>
          <w:rFonts w:hint="eastAsia" w:cs="Times New Roman"/>
          <w:color w:val="auto"/>
          <w:highlight w:val="none"/>
        </w:rPr>
        <w:t>评标委员会</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spacing w:line="400" w:lineRule="exact"/>
        <w:ind w:firstLine="420" w:firstLineChars="200"/>
        <w:rPr>
          <w:color w:val="auto"/>
          <w:highlight w:val="none"/>
        </w:rPr>
      </w:pPr>
      <w:bookmarkStart w:id="467" w:name="_Toc152042340"/>
      <w:bookmarkStart w:id="468" w:name="_Toc144974532"/>
      <w:bookmarkStart w:id="469" w:name="_Toc179632582"/>
      <w:bookmarkStart w:id="470" w:name="_Toc152045564"/>
      <w:r>
        <w:rPr>
          <w:color w:val="auto"/>
          <w:highlight w:val="none"/>
        </w:rPr>
        <w:t>6.1.1</w:t>
      </w:r>
      <w:r>
        <w:rPr>
          <w:rFonts w:hint="eastAsia"/>
          <w:color w:val="auto"/>
          <w:highlight w:val="none"/>
        </w:rPr>
        <w:t>评标由招标人依法组建的评标委员会负责。评标委员会由招标人或其委托的招标代理机构熟悉相关业务的代表，以及有关技术、经济等方面的专家组成。</w:t>
      </w:r>
    </w:p>
    <w:p>
      <w:pPr>
        <w:spacing w:line="400" w:lineRule="exact"/>
        <w:ind w:firstLine="420" w:firstLineChars="200"/>
        <w:rPr>
          <w:color w:val="auto"/>
          <w:highlight w:val="none"/>
        </w:rPr>
      </w:pPr>
      <w:r>
        <w:rPr>
          <w:color w:val="auto"/>
          <w:highlight w:val="none"/>
        </w:rPr>
        <w:t>6.1.2</w:t>
      </w:r>
      <w:r>
        <w:rPr>
          <w:rFonts w:hint="eastAsia"/>
          <w:color w:val="auto"/>
          <w:highlight w:val="none"/>
        </w:rPr>
        <w:t>评标委员会成员在评标前须签订《建设工程公正评标承诺书》。</w:t>
      </w:r>
    </w:p>
    <w:p>
      <w:pPr>
        <w:pStyle w:val="133"/>
        <w:tabs>
          <w:tab w:val="left" w:pos="2620"/>
        </w:tabs>
        <w:rPr>
          <w:rFonts w:cs="Times New Roman"/>
          <w:color w:val="auto"/>
          <w:highlight w:val="none"/>
        </w:rPr>
      </w:pPr>
      <w:bookmarkStart w:id="471" w:name="_Toc372899844"/>
      <w:bookmarkStart w:id="472" w:name="_Toc372899721"/>
      <w:bookmarkStart w:id="473" w:name="_Toc394573915"/>
      <w:bookmarkStart w:id="474" w:name="_Toc531162002"/>
      <w:bookmarkStart w:id="475" w:name="_Toc237768812"/>
      <w:bookmarkStart w:id="476" w:name="_Toc321925404"/>
      <w:bookmarkStart w:id="477" w:name="_Toc282596282"/>
      <w:bookmarkStart w:id="478" w:name="_Toc283976518"/>
      <w:bookmarkStart w:id="479" w:name="_Toc237769276"/>
      <w:bookmarkStart w:id="480" w:name="_Toc28925"/>
      <w:bookmarkStart w:id="481" w:name="_Toc288556269"/>
      <w:bookmarkStart w:id="482" w:name="_Toc283886227"/>
      <w:r>
        <w:rPr>
          <w:rFonts w:cs="Times New Roman"/>
          <w:color w:val="auto"/>
          <w:highlight w:val="none"/>
        </w:rPr>
        <w:t xml:space="preserve">6.2 </w:t>
      </w:r>
      <w:r>
        <w:rPr>
          <w:rFonts w:hint="eastAsia" w:cs="Times New Roman"/>
          <w:color w:val="auto"/>
          <w:highlight w:val="none"/>
        </w:rPr>
        <w:t>评标原则</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cs="Times New Roman"/>
          <w:color w:val="auto"/>
          <w:highlight w:val="none"/>
        </w:rPr>
        <w:tab/>
      </w:r>
    </w:p>
    <w:p>
      <w:pPr>
        <w:spacing w:line="400" w:lineRule="exact"/>
        <w:ind w:firstLine="420" w:firstLineChars="200"/>
        <w:rPr>
          <w:color w:val="auto"/>
          <w:highlight w:val="none"/>
        </w:rPr>
      </w:pPr>
      <w:r>
        <w:rPr>
          <w:rFonts w:hint="eastAsia"/>
          <w:color w:val="auto"/>
          <w:highlight w:val="none"/>
        </w:rPr>
        <w:t>评标活动遵循公平、公正、科学和择优的原则。</w:t>
      </w:r>
    </w:p>
    <w:p>
      <w:pPr>
        <w:pStyle w:val="133"/>
        <w:rPr>
          <w:rFonts w:cs="Times New Roman"/>
          <w:color w:val="auto"/>
          <w:highlight w:val="none"/>
        </w:rPr>
      </w:pPr>
      <w:bookmarkStart w:id="483" w:name="_Toc144974533"/>
      <w:bookmarkStart w:id="484" w:name="_Toc394573916"/>
      <w:bookmarkStart w:id="485" w:name="_Toc179632583"/>
      <w:bookmarkStart w:id="486" w:name="_Toc152042341"/>
      <w:bookmarkStart w:id="487" w:name="_Toc372899845"/>
      <w:bookmarkStart w:id="488" w:name="_Toc237768813"/>
      <w:bookmarkStart w:id="489" w:name="_Toc288556270"/>
      <w:bookmarkStart w:id="490" w:name="_Toc531162003"/>
      <w:bookmarkStart w:id="491" w:name="_Toc283976519"/>
      <w:bookmarkStart w:id="492" w:name="_Toc372899722"/>
      <w:bookmarkStart w:id="493" w:name="_Toc283886228"/>
      <w:bookmarkStart w:id="494" w:name="_Toc282596283"/>
      <w:bookmarkStart w:id="495" w:name="_Toc152045565"/>
      <w:bookmarkStart w:id="496" w:name="_Toc8940"/>
      <w:bookmarkStart w:id="497" w:name="_Toc237769277"/>
      <w:bookmarkStart w:id="498" w:name="_Toc321925405"/>
      <w:r>
        <w:rPr>
          <w:rFonts w:cs="Times New Roman"/>
          <w:color w:val="auto"/>
          <w:highlight w:val="none"/>
        </w:rPr>
        <w:t xml:space="preserve">6.3 </w:t>
      </w:r>
      <w:r>
        <w:rPr>
          <w:rFonts w:hint="eastAsia" w:cs="Times New Roman"/>
          <w:color w:val="auto"/>
          <w:highlight w:val="none"/>
        </w:rPr>
        <w:t>评标</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spacing w:line="400" w:lineRule="exact"/>
        <w:ind w:firstLine="420" w:firstLineChars="200"/>
        <w:rPr>
          <w:rFonts w:hint="eastAsia"/>
          <w:color w:val="auto"/>
          <w:highlight w:val="none"/>
        </w:rPr>
      </w:pPr>
      <w:r>
        <w:rPr>
          <w:rFonts w:hint="eastAsia"/>
          <w:color w:val="auto"/>
          <w:highlight w:val="none"/>
        </w:rPr>
        <w:t>开标结束后，开始评标。评标委员会按照第三章</w:t>
      </w:r>
      <w:r>
        <w:rPr>
          <w:color w:val="auto"/>
          <w:highlight w:val="none"/>
        </w:rPr>
        <w:t>“</w:t>
      </w:r>
      <w:r>
        <w:rPr>
          <w:rFonts w:hint="eastAsia"/>
          <w:color w:val="auto"/>
          <w:highlight w:val="none"/>
        </w:rPr>
        <w:t>评标办法</w:t>
      </w:r>
      <w:r>
        <w:rPr>
          <w:color w:val="auto"/>
          <w:highlight w:val="none"/>
        </w:rPr>
        <w:t>”</w:t>
      </w:r>
      <w:r>
        <w:rPr>
          <w:rFonts w:hint="eastAsia"/>
          <w:color w:val="auto"/>
          <w:highlight w:val="none"/>
        </w:rPr>
        <w:t>规定的方法、评审因素、标准和程序对投标文件进行评审。第三章</w:t>
      </w:r>
      <w:r>
        <w:rPr>
          <w:color w:val="auto"/>
          <w:highlight w:val="none"/>
        </w:rPr>
        <w:t>“</w:t>
      </w:r>
      <w:r>
        <w:rPr>
          <w:rFonts w:hint="eastAsia"/>
          <w:color w:val="auto"/>
          <w:highlight w:val="none"/>
        </w:rPr>
        <w:t>评标办法</w:t>
      </w:r>
      <w:r>
        <w:rPr>
          <w:color w:val="auto"/>
          <w:highlight w:val="none"/>
        </w:rPr>
        <w:t>”</w:t>
      </w:r>
      <w:r>
        <w:rPr>
          <w:rFonts w:hint="eastAsia"/>
          <w:color w:val="auto"/>
          <w:highlight w:val="none"/>
        </w:rPr>
        <w:t>没有规定的方法、评审因素和标准，不作为评标依据。</w:t>
      </w:r>
    </w:p>
    <w:p>
      <w:pPr>
        <w:pStyle w:val="113"/>
        <w:rPr>
          <w:rFonts w:cs="Times New Roman"/>
          <w:color w:val="auto"/>
          <w:highlight w:val="none"/>
        </w:rPr>
      </w:pPr>
      <w:bookmarkStart w:id="499" w:name="_Toc144974534"/>
      <w:bookmarkStart w:id="500" w:name="_Toc152045566"/>
      <w:bookmarkStart w:id="501" w:name="_Toc28998"/>
      <w:bookmarkStart w:id="502" w:name="_Toc152042342"/>
      <w:bookmarkStart w:id="503" w:name="_Toc531162004"/>
      <w:r>
        <w:rPr>
          <w:rFonts w:cs="Times New Roman"/>
          <w:color w:val="auto"/>
          <w:highlight w:val="none"/>
        </w:rPr>
        <w:t xml:space="preserve">7. </w:t>
      </w:r>
      <w:r>
        <w:rPr>
          <w:rFonts w:hint="eastAsia" w:cs="Times New Roman"/>
          <w:color w:val="auto"/>
          <w:highlight w:val="none"/>
        </w:rPr>
        <w:t>合同授予</w:t>
      </w:r>
      <w:bookmarkEnd w:id="499"/>
      <w:bookmarkEnd w:id="500"/>
      <w:bookmarkEnd w:id="501"/>
      <w:bookmarkEnd w:id="502"/>
      <w:bookmarkEnd w:id="503"/>
    </w:p>
    <w:p>
      <w:pPr>
        <w:pStyle w:val="133"/>
        <w:rPr>
          <w:rFonts w:cs="Times New Roman"/>
          <w:color w:val="auto"/>
          <w:highlight w:val="none"/>
        </w:rPr>
      </w:pPr>
      <w:bookmarkStart w:id="504" w:name="_Toc283886230"/>
      <w:bookmarkStart w:id="505" w:name="_Toc288556272"/>
      <w:bookmarkStart w:id="506" w:name="_Toc531162005"/>
      <w:bookmarkStart w:id="507" w:name="_Toc372899724"/>
      <w:bookmarkStart w:id="508" w:name="_Toc283976521"/>
      <w:bookmarkStart w:id="509" w:name="_Toc372899847"/>
      <w:bookmarkStart w:id="510" w:name="_Toc4405"/>
      <w:bookmarkStart w:id="511" w:name="_Toc237769279"/>
      <w:bookmarkStart w:id="512" w:name="_Toc394573918"/>
      <w:bookmarkStart w:id="513" w:name="_Toc237768815"/>
      <w:bookmarkStart w:id="514" w:name="_Toc321925407"/>
      <w:bookmarkStart w:id="515" w:name="_Toc282596285"/>
      <w:bookmarkStart w:id="516" w:name="_Toc152042343"/>
      <w:bookmarkStart w:id="517" w:name="_Toc144974535"/>
      <w:bookmarkStart w:id="518" w:name="_Toc179632585"/>
      <w:bookmarkStart w:id="519" w:name="_Toc152045567"/>
      <w:r>
        <w:rPr>
          <w:rFonts w:cs="Times New Roman"/>
          <w:color w:val="auto"/>
          <w:highlight w:val="none"/>
        </w:rPr>
        <w:t>7.1</w:t>
      </w:r>
      <w:bookmarkStart w:id="520" w:name="_Toc169487814"/>
      <w:bookmarkStart w:id="521" w:name="_Toc155342567"/>
      <w:r>
        <w:rPr>
          <w:rFonts w:hint="eastAsia" w:cs="Times New Roman"/>
          <w:color w:val="auto"/>
          <w:highlight w:val="none"/>
        </w:rPr>
        <w:t>中标候选人公示</w:t>
      </w:r>
      <w:bookmarkEnd w:id="504"/>
      <w:bookmarkEnd w:id="505"/>
      <w:bookmarkEnd w:id="506"/>
      <w:bookmarkEnd w:id="507"/>
      <w:bookmarkEnd w:id="508"/>
      <w:bookmarkEnd w:id="509"/>
      <w:bookmarkEnd w:id="510"/>
      <w:bookmarkEnd w:id="511"/>
      <w:bookmarkEnd w:id="512"/>
      <w:bookmarkEnd w:id="513"/>
      <w:bookmarkEnd w:id="514"/>
      <w:bookmarkEnd w:id="515"/>
      <w:bookmarkEnd w:id="520"/>
      <w:bookmarkEnd w:id="521"/>
    </w:p>
    <w:p>
      <w:pPr>
        <w:spacing w:line="400" w:lineRule="exact"/>
        <w:ind w:firstLine="315" w:firstLineChars="150"/>
        <w:rPr>
          <w:i/>
          <w:color w:val="auto"/>
          <w:highlight w:val="none"/>
        </w:rPr>
      </w:pPr>
      <w:r>
        <w:rPr>
          <w:color w:val="auto"/>
          <w:highlight w:val="none"/>
        </w:rPr>
        <w:t>7.1.1</w:t>
      </w:r>
      <w:r>
        <w:rPr>
          <w:rFonts w:hint="eastAsia"/>
          <w:color w:val="auto"/>
          <w:highlight w:val="none"/>
        </w:rPr>
        <w:t>招标人应当自收到评标报告</w:t>
      </w:r>
      <w:r>
        <w:rPr>
          <w:color w:val="auto"/>
          <w:highlight w:val="none"/>
        </w:rPr>
        <w:t>3</w:t>
      </w:r>
      <w:r>
        <w:rPr>
          <w:rFonts w:hint="eastAsia"/>
          <w:color w:val="auto"/>
          <w:highlight w:val="none"/>
        </w:rPr>
        <w:t>日内将评标委员会推荐的中标候选人在发布招标公告的媒体上进行公示，公示期不得少于</w:t>
      </w:r>
      <w:r>
        <w:rPr>
          <w:color w:val="auto"/>
          <w:highlight w:val="none"/>
        </w:rPr>
        <w:t>3</w:t>
      </w:r>
      <w:r>
        <w:rPr>
          <w:rFonts w:hint="eastAsia"/>
          <w:color w:val="auto"/>
          <w:highlight w:val="none"/>
        </w:rPr>
        <w:t>日（最后一日为工作日）。</w:t>
      </w:r>
    </w:p>
    <w:p>
      <w:pPr>
        <w:pStyle w:val="13"/>
        <w:spacing w:line="400" w:lineRule="exact"/>
        <w:rPr>
          <w:color w:val="auto"/>
          <w:highlight w:val="none"/>
        </w:rPr>
      </w:pPr>
      <w:r>
        <w:rPr>
          <w:color w:val="auto"/>
          <w:highlight w:val="none"/>
        </w:rPr>
        <w:t>7.1.2</w:t>
      </w:r>
      <w:r>
        <w:rPr>
          <w:rFonts w:hint="eastAsia"/>
          <w:b/>
          <w:color w:val="auto"/>
          <w:highlight w:val="none"/>
        </w:rPr>
        <w:t>属于《中华人民共和国招标投标法实施条例》第二十二条、第四十四条、第五十四条规定事项投诉的，</w:t>
      </w:r>
      <w:r>
        <w:rPr>
          <w:rFonts w:hint="eastAsia"/>
          <w:color w:val="auto"/>
          <w:highlight w:val="none"/>
        </w:rPr>
        <w:t>应当向招标人（招标代理机构）提出（附相关有效证明材料），招标人（招标代理机构）应给予答复。</w:t>
      </w:r>
    </w:p>
    <w:p>
      <w:pPr>
        <w:spacing w:line="400" w:lineRule="exact"/>
        <w:ind w:firstLine="420" w:firstLineChars="200"/>
        <w:rPr>
          <w:color w:val="auto"/>
          <w:highlight w:val="none"/>
        </w:rPr>
      </w:pPr>
      <w:r>
        <w:rPr>
          <w:color w:val="auto"/>
          <w:highlight w:val="none"/>
        </w:rPr>
        <w:t xml:space="preserve">7.1.3 </w:t>
      </w:r>
      <w:r>
        <w:rPr>
          <w:rFonts w:hint="eastAsia"/>
          <w:color w:val="auto"/>
          <w:highlight w:val="none"/>
        </w:rPr>
        <w:t>涉及中标候选人投标资格等情形的，招标人（招标代理机构）可以书面形式要求其进行澄清或说明。中标候选人应自收到书面通知之日起</w:t>
      </w:r>
      <w:r>
        <w:rPr>
          <w:color w:val="auto"/>
          <w:highlight w:val="none"/>
        </w:rPr>
        <w:t>3</w:t>
      </w:r>
      <w:r>
        <w:rPr>
          <w:rFonts w:hint="eastAsia"/>
          <w:color w:val="auto"/>
          <w:highlight w:val="none"/>
        </w:rPr>
        <w:t>日内进行澄清或说明。</w:t>
      </w:r>
    </w:p>
    <w:p>
      <w:pPr>
        <w:spacing w:line="400" w:lineRule="exact"/>
        <w:ind w:firstLine="420" w:firstLineChars="200"/>
        <w:rPr>
          <w:color w:val="auto"/>
          <w:highlight w:val="none"/>
        </w:rPr>
      </w:pPr>
      <w:r>
        <w:rPr>
          <w:color w:val="auto"/>
          <w:highlight w:val="none"/>
        </w:rPr>
        <w:t>7.1.4</w:t>
      </w:r>
      <w:r>
        <w:rPr>
          <w:rFonts w:hint="eastAsia"/>
          <w:color w:val="auto"/>
          <w:highlight w:val="none"/>
        </w:rPr>
        <w:t>中标候选人有以下情形之一的，其资格无效：</w:t>
      </w:r>
    </w:p>
    <w:p>
      <w:pPr>
        <w:spacing w:line="4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）投标资格不符合本章第</w:t>
      </w:r>
      <w:r>
        <w:rPr>
          <w:color w:val="auto"/>
          <w:highlight w:val="none"/>
        </w:rPr>
        <w:t>1.4</w:t>
      </w:r>
      <w:r>
        <w:rPr>
          <w:rFonts w:hint="eastAsia"/>
          <w:color w:val="auto"/>
          <w:highlight w:val="none"/>
        </w:rPr>
        <w:t>项规定的；</w:t>
      </w:r>
    </w:p>
    <w:p>
      <w:pPr>
        <w:spacing w:line="40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）投标人提供虚假材料骗取投标资格的；</w:t>
      </w:r>
    </w:p>
    <w:p>
      <w:pPr>
        <w:spacing w:line="400" w:lineRule="exac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）按第三章</w:t>
      </w:r>
      <w:r>
        <w:rPr>
          <w:color w:val="auto"/>
          <w:highlight w:val="none"/>
        </w:rPr>
        <w:t>“</w:t>
      </w:r>
      <w:r>
        <w:rPr>
          <w:rFonts w:hint="eastAsia"/>
          <w:color w:val="auto"/>
          <w:highlight w:val="none"/>
        </w:rPr>
        <w:t>评标办法</w:t>
      </w:r>
      <w:r>
        <w:rPr>
          <w:color w:val="auto"/>
          <w:highlight w:val="none"/>
        </w:rPr>
        <w:t>”</w:t>
      </w:r>
      <w:r>
        <w:rPr>
          <w:rFonts w:hint="eastAsia"/>
          <w:color w:val="auto"/>
          <w:highlight w:val="none"/>
        </w:rPr>
        <w:t>规定应作无效标处理的；</w:t>
      </w:r>
    </w:p>
    <w:p>
      <w:pPr>
        <w:spacing w:line="400" w:lineRule="exact"/>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）拒绝按本章第</w:t>
      </w:r>
      <w:r>
        <w:rPr>
          <w:color w:val="auto"/>
          <w:highlight w:val="none"/>
        </w:rPr>
        <w:t>7.1.3</w:t>
      </w:r>
      <w:r>
        <w:rPr>
          <w:rFonts w:hint="eastAsia"/>
          <w:color w:val="auto"/>
          <w:highlight w:val="none"/>
        </w:rPr>
        <w:t>款规定进行说明或不能合理说明理由的；</w:t>
      </w:r>
    </w:p>
    <w:p>
      <w:pPr>
        <w:spacing w:line="400" w:lineRule="exact"/>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）法律法规规定作无效标处理的其它情形。</w:t>
      </w:r>
    </w:p>
    <w:p>
      <w:pPr>
        <w:pStyle w:val="133"/>
        <w:rPr>
          <w:rFonts w:cs="Times New Roman"/>
          <w:color w:val="auto"/>
          <w:highlight w:val="none"/>
        </w:rPr>
      </w:pPr>
      <w:bookmarkStart w:id="522" w:name="_Toc531162006"/>
      <w:bookmarkStart w:id="523" w:name="_Toc10792"/>
      <w:bookmarkStart w:id="524" w:name="_Toc282596287"/>
      <w:bookmarkStart w:id="525" w:name="_Toc394573920"/>
      <w:bookmarkStart w:id="526" w:name="_Toc321925409"/>
      <w:bookmarkStart w:id="527" w:name="_Toc372899849"/>
      <w:bookmarkStart w:id="528" w:name="_Toc237769281"/>
      <w:bookmarkStart w:id="529" w:name="_Toc372899726"/>
      <w:bookmarkStart w:id="530" w:name="_Toc283976523"/>
      <w:bookmarkStart w:id="531" w:name="_Toc283886232"/>
      <w:bookmarkStart w:id="532" w:name="_Toc288556274"/>
      <w:bookmarkStart w:id="533" w:name="_Toc237768817"/>
      <w:r>
        <w:rPr>
          <w:rFonts w:cs="Times New Roman"/>
          <w:color w:val="auto"/>
          <w:highlight w:val="none"/>
        </w:rPr>
        <w:t>7.2</w:t>
      </w:r>
      <w:r>
        <w:rPr>
          <w:rFonts w:hint="eastAsia" w:cs="Times New Roman"/>
          <w:color w:val="auto"/>
          <w:highlight w:val="none"/>
        </w:rPr>
        <w:t>中标通知书</w:t>
      </w:r>
      <w:bookmarkEnd w:id="522"/>
      <w:bookmarkEnd w:id="523"/>
      <w:bookmarkEnd w:id="524"/>
      <w:bookmarkEnd w:id="525"/>
      <w:bookmarkEnd w:id="526"/>
      <w:bookmarkEnd w:id="527"/>
      <w:bookmarkEnd w:id="528"/>
      <w:bookmarkEnd w:id="529"/>
      <w:bookmarkEnd w:id="530"/>
      <w:bookmarkEnd w:id="531"/>
      <w:bookmarkEnd w:id="532"/>
      <w:bookmarkEnd w:id="533"/>
    </w:p>
    <w:p>
      <w:pPr>
        <w:spacing w:line="400" w:lineRule="exact"/>
        <w:ind w:firstLine="420" w:firstLineChars="200"/>
        <w:rPr>
          <w:color w:val="auto"/>
          <w:highlight w:val="none"/>
        </w:rPr>
      </w:pPr>
      <w:r>
        <w:rPr>
          <w:color w:val="auto"/>
          <w:szCs w:val="32"/>
          <w:highlight w:val="none"/>
        </w:rPr>
        <w:t>7.2.1</w:t>
      </w:r>
      <w:r>
        <w:rPr>
          <w:color w:val="auto"/>
          <w:highlight w:val="none"/>
        </w:rPr>
        <w:t>招标人应当确定第一中标候选人为中标人。如涉及第二中标候选人和其他投标人资格无效的，评标结果不作调整。</w:t>
      </w:r>
    </w:p>
    <w:p>
      <w:pPr>
        <w:spacing w:line="400" w:lineRule="exact"/>
        <w:ind w:firstLine="420" w:firstLineChars="200"/>
        <w:rPr>
          <w:color w:val="auto"/>
          <w:highlight w:val="none"/>
        </w:rPr>
      </w:pPr>
      <w:r>
        <w:rPr>
          <w:color w:val="auto"/>
          <w:highlight w:val="none"/>
        </w:rPr>
        <w:t>第一中标候选人放弃中标，或者因不可抗力提出不能履行合同，或者因违反本章第7.1.4项规定造成其资格无效的，招标人可以确定第二中标候选人为中标人。如涉及其他投标人资格无效的，评标结果不作调整。如第二中标候选人存在上述同样情形的，本次招标失败，重新组织招标。</w:t>
      </w:r>
    </w:p>
    <w:p>
      <w:pPr>
        <w:pStyle w:val="18"/>
        <w:tabs>
          <w:tab w:val="left" w:pos="574"/>
        </w:tabs>
        <w:spacing w:after="0" w:line="400" w:lineRule="exact"/>
        <w:ind w:firstLine="420" w:firstLineChars="200"/>
        <w:rPr>
          <w:color w:val="auto"/>
          <w:highlight w:val="none"/>
        </w:rPr>
      </w:pPr>
      <w:r>
        <w:rPr>
          <w:color w:val="auto"/>
          <w:szCs w:val="32"/>
          <w:highlight w:val="none"/>
        </w:rPr>
        <w:t>7.2.2</w:t>
      </w:r>
      <w:r>
        <w:rPr>
          <w:rFonts w:hint="eastAsia"/>
          <w:color w:val="auto"/>
          <w:szCs w:val="32"/>
          <w:highlight w:val="none"/>
        </w:rPr>
        <w:t>中标人确定后，招标人应当向中标人发出《建设工程中标通知书》。</w:t>
      </w:r>
    </w:p>
    <w:p>
      <w:pPr>
        <w:pStyle w:val="18"/>
        <w:tabs>
          <w:tab w:val="left" w:pos="574"/>
        </w:tabs>
        <w:spacing w:after="0" w:line="400" w:lineRule="exact"/>
        <w:ind w:firstLine="420" w:firstLineChars="200"/>
        <w:rPr>
          <w:color w:val="auto"/>
          <w:szCs w:val="32"/>
          <w:highlight w:val="none"/>
        </w:rPr>
      </w:pPr>
      <w:r>
        <w:rPr>
          <w:color w:val="auto"/>
          <w:szCs w:val="32"/>
          <w:highlight w:val="none"/>
        </w:rPr>
        <w:t>7.2.3</w:t>
      </w:r>
      <w:r>
        <w:rPr>
          <w:rFonts w:hint="eastAsia"/>
          <w:color w:val="auto"/>
          <w:szCs w:val="32"/>
          <w:highlight w:val="none"/>
        </w:rPr>
        <w:t>招标人在发出《建设工程中标通知书》的同时，应当将中标结果以电子文件形式通知所有未中标的投标人。</w:t>
      </w:r>
    </w:p>
    <w:p>
      <w:pPr>
        <w:pStyle w:val="18"/>
        <w:tabs>
          <w:tab w:val="left" w:pos="574"/>
        </w:tabs>
        <w:spacing w:after="0" w:line="400" w:lineRule="exact"/>
        <w:ind w:firstLine="420" w:firstLineChars="200"/>
        <w:rPr>
          <w:color w:val="auto"/>
          <w:szCs w:val="32"/>
          <w:highlight w:val="none"/>
        </w:rPr>
      </w:pPr>
      <w:r>
        <w:rPr>
          <w:color w:val="auto"/>
          <w:szCs w:val="32"/>
          <w:highlight w:val="none"/>
        </w:rPr>
        <w:t>7.2.4</w:t>
      </w:r>
      <w:r>
        <w:rPr>
          <w:rFonts w:hint="eastAsia"/>
          <w:color w:val="auto"/>
          <w:szCs w:val="32"/>
          <w:highlight w:val="none"/>
        </w:rPr>
        <w:t>《建设工程中标通知书》对招标人和中标人具有法律约束力。《建设工程中标通知书》发出后，如中标人违反法律法规规定而中标无效的，应承担相应的法律责任。</w:t>
      </w:r>
    </w:p>
    <w:p>
      <w:pPr>
        <w:pStyle w:val="133"/>
        <w:rPr>
          <w:rFonts w:cs="Times New Roman"/>
          <w:color w:val="auto"/>
          <w:highlight w:val="none"/>
        </w:rPr>
      </w:pPr>
      <w:bookmarkStart w:id="534" w:name="_Toc372899850"/>
      <w:bookmarkStart w:id="535" w:name="_Toc372899727"/>
      <w:bookmarkStart w:id="536" w:name="_Toc283976524"/>
      <w:bookmarkStart w:id="537" w:name="_Toc283886233"/>
      <w:bookmarkStart w:id="538" w:name="_Toc394573921"/>
      <w:bookmarkStart w:id="539" w:name="_Toc26622"/>
      <w:bookmarkStart w:id="540" w:name="_Toc282596288"/>
      <w:bookmarkStart w:id="541" w:name="_Toc531162007"/>
      <w:bookmarkStart w:id="542" w:name="_Toc288556275"/>
      <w:bookmarkStart w:id="543" w:name="_Toc321925410"/>
      <w:bookmarkStart w:id="544" w:name="_Toc237769282"/>
      <w:bookmarkStart w:id="545" w:name="_Toc237768818"/>
      <w:r>
        <w:rPr>
          <w:rFonts w:cs="Times New Roman"/>
          <w:color w:val="auto"/>
          <w:highlight w:val="none"/>
        </w:rPr>
        <w:t>7.3</w:t>
      </w:r>
      <w:r>
        <w:rPr>
          <w:rFonts w:hint="eastAsia" w:cs="Times New Roman"/>
          <w:color w:val="auto"/>
          <w:highlight w:val="none"/>
        </w:rPr>
        <w:t>合同签订</w:t>
      </w:r>
      <w:bookmarkEnd w:id="534"/>
      <w:bookmarkEnd w:id="535"/>
      <w:bookmarkEnd w:id="536"/>
      <w:bookmarkEnd w:id="537"/>
      <w:bookmarkEnd w:id="538"/>
      <w:bookmarkEnd w:id="539"/>
      <w:bookmarkEnd w:id="540"/>
      <w:bookmarkEnd w:id="541"/>
      <w:bookmarkEnd w:id="542"/>
      <w:bookmarkEnd w:id="543"/>
      <w:bookmarkEnd w:id="544"/>
      <w:bookmarkEnd w:id="545"/>
    </w:p>
    <w:bookmarkEnd w:id="516"/>
    <w:bookmarkEnd w:id="517"/>
    <w:bookmarkEnd w:id="518"/>
    <w:bookmarkEnd w:id="519"/>
    <w:p>
      <w:pPr>
        <w:spacing w:line="400" w:lineRule="exact"/>
        <w:ind w:firstLine="420" w:firstLineChars="200"/>
        <w:rPr>
          <w:color w:val="auto"/>
          <w:highlight w:val="none"/>
        </w:rPr>
      </w:pPr>
      <w:bookmarkStart w:id="546" w:name="_Toc152042347"/>
      <w:bookmarkStart w:id="547" w:name="_Toc531162008"/>
      <w:bookmarkStart w:id="548" w:name="_Toc152045571"/>
      <w:bookmarkStart w:id="549" w:name="_Toc31645"/>
      <w:bookmarkStart w:id="550" w:name="_Toc144974539"/>
      <w:r>
        <w:rPr>
          <w:color w:val="auto"/>
          <w:highlight w:val="none"/>
        </w:rPr>
        <w:t>7.3.1</w:t>
      </w:r>
      <w:r>
        <w:rPr>
          <w:rFonts w:hint="eastAsia"/>
          <w:color w:val="auto"/>
          <w:highlight w:val="none"/>
        </w:rPr>
        <w:t>中标人应在签订合同前向招标人提交履约担保，未提交履约担保的，不授予合同。履约担保额度详见投标人须知前附表，履约担保应采用银行保函或专业担保公司保证方式。如不能办理担保采用现金的，履约担保必须解入招标文件前附表规定的招标人帐户。</w:t>
      </w:r>
    </w:p>
    <w:p>
      <w:pPr>
        <w:spacing w:line="400" w:lineRule="exact"/>
        <w:ind w:firstLine="420" w:firstLineChars="200"/>
        <w:rPr>
          <w:rFonts w:hint="eastAsia"/>
          <w:color w:val="auto"/>
          <w:szCs w:val="32"/>
          <w:highlight w:val="none"/>
        </w:rPr>
      </w:pPr>
      <w:r>
        <w:rPr>
          <w:color w:val="auto"/>
          <w:highlight w:val="none"/>
        </w:rPr>
        <w:t>7.3.2</w:t>
      </w:r>
      <w:r>
        <w:rPr>
          <w:rFonts w:hint="eastAsia"/>
          <w:color w:val="auto"/>
          <w:szCs w:val="32"/>
          <w:highlight w:val="none"/>
        </w:rPr>
        <w:t>自《中标通知书》发出之日起30日内，招标人和中标人应当按照本招标文件和中标人的投标文件订立书面合同。招标人与中标人不得再行订立背离合同实质性内容的其他协议。</w:t>
      </w:r>
    </w:p>
    <w:p>
      <w:pPr>
        <w:spacing w:line="400" w:lineRule="exact"/>
        <w:ind w:firstLine="420" w:firstLineChars="200"/>
        <w:rPr>
          <w:color w:val="auto"/>
          <w:highlight w:val="none"/>
        </w:rPr>
      </w:pPr>
      <w:r>
        <w:rPr>
          <w:color w:val="auto"/>
          <w:szCs w:val="32"/>
          <w:highlight w:val="none"/>
        </w:rPr>
        <w:t>7.3.3</w:t>
      </w:r>
      <w:r>
        <w:rPr>
          <w:rFonts w:hint="eastAsia"/>
          <w:color w:val="auto"/>
          <w:szCs w:val="32"/>
          <w:highlight w:val="none"/>
        </w:rPr>
        <w:t>招标人与中标人应当</w:t>
      </w:r>
      <w:r>
        <w:rPr>
          <w:rFonts w:hint="eastAsia"/>
          <w:color w:val="auto"/>
          <w:highlight w:val="none"/>
        </w:rPr>
        <w:t>按照《关于在我市工程建设领域推行廉政合同的通知》（台纪</w:t>
      </w:r>
      <w:r>
        <w:rPr>
          <w:color w:val="auto"/>
          <w:highlight w:val="none"/>
        </w:rPr>
        <w:t>[2001]19</w:t>
      </w:r>
      <w:r>
        <w:rPr>
          <w:rFonts w:hint="eastAsia"/>
          <w:color w:val="auto"/>
          <w:highlight w:val="none"/>
        </w:rPr>
        <w:t>号）的要求签订《廉政合同》。</w:t>
      </w:r>
    </w:p>
    <w:p>
      <w:pPr>
        <w:pStyle w:val="113"/>
        <w:rPr>
          <w:rFonts w:cs="Times New Roman"/>
          <w:color w:val="auto"/>
          <w:highlight w:val="none"/>
        </w:rPr>
      </w:pPr>
      <w:r>
        <w:rPr>
          <w:rFonts w:cs="Times New Roman"/>
          <w:color w:val="auto"/>
          <w:highlight w:val="none"/>
        </w:rPr>
        <w:t>8.</w:t>
      </w:r>
      <w:r>
        <w:rPr>
          <w:rFonts w:hint="eastAsia" w:cs="Times New Roman"/>
          <w:color w:val="auto"/>
          <w:highlight w:val="none"/>
        </w:rPr>
        <w:t>重新招标和不再招标</w:t>
      </w:r>
      <w:bookmarkEnd w:id="546"/>
      <w:bookmarkEnd w:id="547"/>
      <w:bookmarkEnd w:id="548"/>
      <w:bookmarkEnd w:id="549"/>
      <w:bookmarkEnd w:id="550"/>
    </w:p>
    <w:p>
      <w:pPr>
        <w:pStyle w:val="133"/>
        <w:rPr>
          <w:rFonts w:cs="Times New Roman"/>
          <w:color w:val="auto"/>
          <w:highlight w:val="none"/>
        </w:rPr>
      </w:pPr>
      <w:bookmarkStart w:id="551" w:name="_Toc152042348"/>
      <w:bookmarkStart w:id="552" w:name="_Toc394573923"/>
      <w:bookmarkStart w:id="553" w:name="_Toc237769284"/>
      <w:bookmarkStart w:id="554" w:name="_Toc25553"/>
      <w:bookmarkStart w:id="555" w:name="_Toc372899852"/>
      <w:bookmarkStart w:id="556" w:name="_Toc321925412"/>
      <w:bookmarkStart w:id="557" w:name="_Toc288556277"/>
      <w:bookmarkStart w:id="558" w:name="_Toc283976526"/>
      <w:bookmarkStart w:id="559" w:name="_Toc237768820"/>
      <w:bookmarkStart w:id="560" w:name="_Toc283886235"/>
      <w:bookmarkStart w:id="561" w:name="_Toc144974540"/>
      <w:bookmarkStart w:id="562" w:name="_Toc179632590"/>
      <w:bookmarkStart w:id="563" w:name="_Toc282596290"/>
      <w:bookmarkStart w:id="564" w:name="_Toc372899729"/>
      <w:bookmarkStart w:id="565" w:name="_Toc152045572"/>
      <w:bookmarkStart w:id="566" w:name="_Toc531162009"/>
      <w:r>
        <w:rPr>
          <w:rFonts w:cs="Times New Roman"/>
          <w:color w:val="auto"/>
          <w:highlight w:val="none"/>
        </w:rPr>
        <w:t>8.1</w:t>
      </w:r>
      <w:r>
        <w:rPr>
          <w:rFonts w:hint="eastAsia" w:cs="Times New Roman"/>
          <w:color w:val="auto"/>
          <w:highlight w:val="none"/>
        </w:rPr>
        <w:t>重新招标</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spacing w:line="400" w:lineRule="exact"/>
        <w:ind w:firstLine="420" w:firstLineChars="200"/>
        <w:rPr>
          <w:color w:val="auto"/>
          <w:highlight w:val="none"/>
        </w:rPr>
      </w:pPr>
      <w:r>
        <w:rPr>
          <w:rFonts w:hint="eastAsia"/>
          <w:color w:val="auto"/>
          <w:highlight w:val="none"/>
        </w:rPr>
        <w:t>有下列情形之一的，招标人将重新招标：</w:t>
      </w:r>
    </w:p>
    <w:p>
      <w:pPr>
        <w:spacing w:line="400" w:lineRule="exact"/>
        <w:ind w:firstLine="359" w:firstLineChars="171"/>
        <w:rPr>
          <w:color w:val="auto"/>
          <w:highlight w:val="none"/>
        </w:rPr>
      </w:pPr>
      <w:r>
        <w:rPr>
          <w:rFonts w:hint="eastAsia"/>
          <w:color w:val="auto"/>
          <w:highlight w:val="none"/>
        </w:rPr>
        <w:t>（</w:t>
      </w:r>
      <w:r>
        <w:rPr>
          <w:color w:val="auto"/>
          <w:highlight w:val="none"/>
        </w:rPr>
        <w:t>1</w:t>
      </w:r>
      <w:r>
        <w:rPr>
          <w:rFonts w:hint="eastAsia"/>
          <w:color w:val="auto"/>
          <w:highlight w:val="none"/>
        </w:rPr>
        <w:t>）投标截止时间止，投标人少于</w:t>
      </w:r>
      <w:r>
        <w:rPr>
          <w:color w:val="auto"/>
          <w:highlight w:val="none"/>
        </w:rPr>
        <w:t>3</w:t>
      </w:r>
      <w:r>
        <w:rPr>
          <w:rFonts w:hint="eastAsia"/>
          <w:color w:val="auto"/>
          <w:highlight w:val="none"/>
        </w:rPr>
        <w:t>个的；</w:t>
      </w:r>
    </w:p>
    <w:p>
      <w:pPr>
        <w:spacing w:line="400" w:lineRule="exact"/>
        <w:ind w:firstLine="359" w:firstLineChars="171"/>
        <w:rPr>
          <w:color w:val="auto"/>
          <w:highlight w:val="none"/>
        </w:rPr>
      </w:pPr>
      <w:r>
        <w:rPr>
          <w:rFonts w:hint="eastAsia"/>
          <w:color w:val="auto"/>
          <w:highlight w:val="none"/>
        </w:rPr>
        <w:t>（</w:t>
      </w:r>
      <w:r>
        <w:rPr>
          <w:color w:val="auto"/>
          <w:highlight w:val="none"/>
        </w:rPr>
        <w:t>2</w:t>
      </w:r>
      <w:r>
        <w:rPr>
          <w:rFonts w:hint="eastAsia"/>
          <w:color w:val="auto"/>
          <w:highlight w:val="none"/>
        </w:rPr>
        <w:t>）有效投标少于</w:t>
      </w:r>
      <w:r>
        <w:rPr>
          <w:color w:val="auto"/>
          <w:highlight w:val="none"/>
        </w:rPr>
        <w:t>3</w:t>
      </w:r>
      <w:r>
        <w:rPr>
          <w:rFonts w:hint="eastAsia"/>
          <w:color w:val="auto"/>
          <w:highlight w:val="none"/>
        </w:rPr>
        <w:t>个，使得投标明显缺乏竞争，经评标委员会评审后否决所有投标的。</w:t>
      </w:r>
    </w:p>
    <w:p>
      <w:pPr>
        <w:pStyle w:val="133"/>
        <w:rPr>
          <w:rFonts w:cs="Times New Roman"/>
          <w:color w:val="auto"/>
          <w:highlight w:val="none"/>
        </w:rPr>
      </w:pPr>
      <w:bookmarkStart w:id="567" w:name="_Toc144974541"/>
      <w:bookmarkStart w:id="568" w:name="_Toc321925413"/>
      <w:bookmarkStart w:id="569" w:name="_Toc152042349"/>
      <w:bookmarkStart w:id="570" w:name="_Toc372899730"/>
      <w:bookmarkStart w:id="571" w:name="_Toc283886236"/>
      <w:bookmarkStart w:id="572" w:name="_Toc372899853"/>
      <w:bookmarkStart w:id="573" w:name="_Toc531162010"/>
      <w:bookmarkStart w:id="574" w:name="_Toc25267"/>
      <w:bookmarkStart w:id="575" w:name="_Toc288556278"/>
      <w:bookmarkStart w:id="576" w:name="_Toc237769285"/>
      <w:bookmarkStart w:id="577" w:name="_Toc237768821"/>
      <w:bookmarkStart w:id="578" w:name="_Toc179632591"/>
      <w:bookmarkStart w:id="579" w:name="_Toc394573924"/>
      <w:bookmarkStart w:id="580" w:name="_Toc152045573"/>
      <w:bookmarkStart w:id="581" w:name="_Toc283976527"/>
      <w:bookmarkStart w:id="582" w:name="_Toc282596291"/>
      <w:r>
        <w:rPr>
          <w:rFonts w:cs="Times New Roman"/>
          <w:color w:val="auto"/>
          <w:highlight w:val="none"/>
        </w:rPr>
        <w:t xml:space="preserve">8.2 </w:t>
      </w:r>
      <w:r>
        <w:rPr>
          <w:rFonts w:hint="eastAsia" w:cs="Times New Roman"/>
          <w:color w:val="auto"/>
          <w:highlight w:val="none"/>
        </w:rPr>
        <w:t>不再招标</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pPr>
        <w:spacing w:line="400" w:lineRule="exact"/>
        <w:ind w:firstLine="420" w:firstLineChars="200"/>
        <w:rPr>
          <w:color w:val="auto"/>
          <w:highlight w:val="none"/>
        </w:rPr>
      </w:pPr>
      <w:r>
        <w:rPr>
          <w:rFonts w:hint="eastAsia"/>
          <w:color w:val="auto"/>
          <w:highlight w:val="none"/>
        </w:rPr>
        <w:t>重新招标后投标人仍少于</w:t>
      </w:r>
      <w:r>
        <w:rPr>
          <w:color w:val="auto"/>
          <w:highlight w:val="none"/>
        </w:rPr>
        <w:t>3</w:t>
      </w:r>
      <w:r>
        <w:rPr>
          <w:rFonts w:hint="eastAsia"/>
          <w:color w:val="auto"/>
          <w:highlight w:val="none"/>
        </w:rPr>
        <w:t>个的，可以向行业主管部门提出申请，经行业招投标管理领导小组批准后可以不再进行招标。</w:t>
      </w:r>
    </w:p>
    <w:p>
      <w:pPr>
        <w:pStyle w:val="113"/>
        <w:rPr>
          <w:rFonts w:cs="Times New Roman"/>
          <w:color w:val="auto"/>
          <w:highlight w:val="none"/>
        </w:rPr>
      </w:pPr>
      <w:bookmarkStart w:id="583" w:name="_Toc144974542"/>
      <w:bookmarkStart w:id="584" w:name="_Toc152045574"/>
      <w:bookmarkStart w:id="585" w:name="_Toc7551"/>
      <w:bookmarkStart w:id="586" w:name="_Toc531162011"/>
      <w:bookmarkStart w:id="587" w:name="_Toc152042350"/>
      <w:r>
        <w:rPr>
          <w:rFonts w:cs="Times New Roman"/>
          <w:color w:val="auto"/>
          <w:highlight w:val="none"/>
        </w:rPr>
        <w:t xml:space="preserve">9. </w:t>
      </w:r>
      <w:r>
        <w:rPr>
          <w:rFonts w:hint="eastAsia" w:cs="Times New Roman"/>
          <w:color w:val="auto"/>
          <w:highlight w:val="none"/>
        </w:rPr>
        <w:t>纪律和监督</w:t>
      </w:r>
      <w:bookmarkEnd w:id="583"/>
      <w:bookmarkEnd w:id="584"/>
      <w:bookmarkEnd w:id="585"/>
      <w:bookmarkEnd w:id="586"/>
      <w:bookmarkEnd w:id="587"/>
    </w:p>
    <w:p>
      <w:pPr>
        <w:pStyle w:val="133"/>
        <w:rPr>
          <w:rFonts w:cs="Times New Roman"/>
          <w:color w:val="auto"/>
          <w:highlight w:val="none"/>
        </w:rPr>
      </w:pPr>
      <w:bookmarkStart w:id="588" w:name="_Toc288556280"/>
      <w:bookmarkStart w:id="589" w:name="_Toc179632593"/>
      <w:bookmarkStart w:id="590" w:name="_Toc282596293"/>
      <w:bookmarkStart w:id="591" w:name="_Toc144974543"/>
      <w:bookmarkStart w:id="592" w:name="_Toc152042351"/>
      <w:bookmarkStart w:id="593" w:name="_Toc394573926"/>
      <w:bookmarkStart w:id="594" w:name="_Toc283976529"/>
      <w:bookmarkStart w:id="595" w:name="_Toc27889"/>
      <w:bookmarkStart w:id="596" w:name="_Toc283886238"/>
      <w:bookmarkStart w:id="597" w:name="_Toc372899855"/>
      <w:bookmarkStart w:id="598" w:name="_Toc152045575"/>
      <w:bookmarkStart w:id="599" w:name="_Toc321925415"/>
      <w:bookmarkStart w:id="600" w:name="_Toc237769287"/>
      <w:bookmarkStart w:id="601" w:name="_Toc531162012"/>
      <w:bookmarkStart w:id="602" w:name="_Toc237768823"/>
      <w:bookmarkStart w:id="603" w:name="_Toc372899732"/>
      <w:r>
        <w:rPr>
          <w:rFonts w:cs="Times New Roman"/>
          <w:color w:val="auto"/>
          <w:highlight w:val="none"/>
        </w:rPr>
        <w:t xml:space="preserve">9.1 </w:t>
      </w:r>
      <w:r>
        <w:rPr>
          <w:rFonts w:hint="eastAsia" w:cs="Times New Roman"/>
          <w:color w:val="auto"/>
          <w:highlight w:val="none"/>
        </w:rPr>
        <w:t>对招标人的纪律要求</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pPr>
        <w:spacing w:line="400" w:lineRule="exact"/>
        <w:ind w:firstLine="420" w:firstLineChars="200"/>
        <w:rPr>
          <w:color w:val="auto"/>
          <w:highlight w:val="none"/>
        </w:rPr>
      </w:pPr>
      <w:r>
        <w:rPr>
          <w:rFonts w:hint="eastAsia"/>
          <w:color w:val="auto"/>
          <w:highlight w:val="none"/>
        </w:rPr>
        <w:t>招标人不得泄漏招标投标活动中应当保密的情况和资料，不得与投标人串通损害国家利益、社会公共利益或者他人合法权益。</w:t>
      </w:r>
    </w:p>
    <w:p>
      <w:pPr>
        <w:pStyle w:val="133"/>
        <w:rPr>
          <w:rFonts w:cs="Times New Roman"/>
          <w:color w:val="auto"/>
          <w:highlight w:val="none"/>
        </w:rPr>
      </w:pPr>
      <w:bookmarkStart w:id="604" w:name="_Toc283886239"/>
      <w:bookmarkStart w:id="605" w:name="_Toc288556281"/>
      <w:bookmarkStart w:id="606" w:name="_Toc179632594"/>
      <w:bookmarkStart w:id="607" w:name="_Toc282596294"/>
      <w:bookmarkStart w:id="608" w:name="_Toc237769288"/>
      <w:bookmarkStart w:id="609" w:name="_Toc283976530"/>
      <w:bookmarkStart w:id="610" w:name="_Toc144974544"/>
      <w:bookmarkStart w:id="611" w:name="_Toc321925416"/>
      <w:bookmarkStart w:id="612" w:name="_Toc372899856"/>
      <w:bookmarkStart w:id="613" w:name="_Toc394573927"/>
      <w:bookmarkStart w:id="614" w:name="_Toc531162013"/>
      <w:bookmarkStart w:id="615" w:name="_Toc372899733"/>
      <w:bookmarkStart w:id="616" w:name="_Toc152045576"/>
      <w:bookmarkStart w:id="617" w:name="_Toc237768824"/>
      <w:bookmarkStart w:id="618" w:name="_Toc19596"/>
      <w:bookmarkStart w:id="619" w:name="_Toc152042352"/>
      <w:r>
        <w:rPr>
          <w:rFonts w:cs="Times New Roman"/>
          <w:color w:val="auto"/>
          <w:highlight w:val="none"/>
        </w:rPr>
        <w:t xml:space="preserve">9.2 </w:t>
      </w:r>
      <w:r>
        <w:rPr>
          <w:rFonts w:hint="eastAsia" w:cs="Times New Roman"/>
          <w:color w:val="auto"/>
          <w:highlight w:val="none"/>
        </w:rPr>
        <w:t>对投标人的纪律要求</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pPr>
        <w:spacing w:line="400" w:lineRule="exact"/>
        <w:ind w:firstLine="420" w:firstLineChars="200"/>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33"/>
        <w:rPr>
          <w:rFonts w:cs="Times New Roman"/>
          <w:color w:val="auto"/>
          <w:highlight w:val="none"/>
        </w:rPr>
      </w:pPr>
      <w:bookmarkStart w:id="620" w:name="_Toc394573928"/>
      <w:bookmarkStart w:id="621" w:name="_Toc531162014"/>
      <w:bookmarkStart w:id="622" w:name="_Toc179632595"/>
      <w:bookmarkStart w:id="623" w:name="_Toc283886240"/>
      <w:bookmarkStart w:id="624" w:name="_Toc372899857"/>
      <w:bookmarkStart w:id="625" w:name="_Toc152042353"/>
      <w:bookmarkStart w:id="626" w:name="_Toc144974545"/>
      <w:bookmarkStart w:id="627" w:name="_Toc282596295"/>
      <w:bookmarkStart w:id="628" w:name="_Toc237768825"/>
      <w:bookmarkStart w:id="629" w:name="_Toc237769289"/>
      <w:bookmarkStart w:id="630" w:name="_Toc288556282"/>
      <w:bookmarkStart w:id="631" w:name="_Toc152045577"/>
      <w:bookmarkStart w:id="632" w:name="_Toc321925417"/>
      <w:bookmarkStart w:id="633" w:name="_Toc283976531"/>
      <w:bookmarkStart w:id="634" w:name="_Toc7062"/>
      <w:bookmarkStart w:id="635" w:name="_Toc372899734"/>
      <w:r>
        <w:rPr>
          <w:rFonts w:cs="Times New Roman"/>
          <w:color w:val="auto"/>
          <w:highlight w:val="none"/>
        </w:rPr>
        <w:t xml:space="preserve">9.3 </w:t>
      </w:r>
      <w:r>
        <w:rPr>
          <w:rFonts w:hint="eastAsia" w:cs="Times New Roman"/>
          <w:color w:val="auto"/>
          <w:highlight w:val="none"/>
        </w:rPr>
        <w:t>对评标委员会成员的纪律要求</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pPr>
        <w:spacing w:line="400" w:lineRule="exact"/>
        <w:ind w:firstLine="420" w:firstLineChars="200"/>
        <w:rPr>
          <w:color w:val="auto"/>
          <w:highlight w:val="none"/>
        </w:rPr>
      </w:pPr>
      <w:r>
        <w:rPr>
          <w:rFonts w:hint="eastAsia"/>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color w:val="auto"/>
          <w:highlight w:val="none"/>
        </w:rPr>
        <w:t>“</w:t>
      </w:r>
      <w:r>
        <w:rPr>
          <w:rFonts w:hint="eastAsia"/>
          <w:color w:val="auto"/>
          <w:highlight w:val="none"/>
        </w:rPr>
        <w:t>评标办法</w:t>
      </w:r>
      <w:r>
        <w:rPr>
          <w:color w:val="auto"/>
          <w:highlight w:val="none"/>
        </w:rPr>
        <w:t>”</w:t>
      </w:r>
      <w:r>
        <w:rPr>
          <w:rFonts w:hint="eastAsia"/>
          <w:color w:val="auto"/>
          <w:highlight w:val="none"/>
        </w:rPr>
        <w:t>没有规定的评审因素和标准进行评标。</w:t>
      </w:r>
    </w:p>
    <w:p>
      <w:pPr>
        <w:pStyle w:val="133"/>
        <w:rPr>
          <w:rFonts w:cs="Times New Roman"/>
          <w:color w:val="auto"/>
          <w:highlight w:val="none"/>
        </w:rPr>
      </w:pPr>
      <w:bookmarkStart w:id="636" w:name="_Toc152045578"/>
      <w:bookmarkStart w:id="637" w:name="_Toc283976532"/>
      <w:bookmarkStart w:id="638" w:name="_Toc237769290"/>
      <w:bookmarkStart w:id="639" w:name="_Toc531162015"/>
      <w:bookmarkStart w:id="640" w:name="_Toc321925418"/>
      <w:bookmarkStart w:id="641" w:name="_Toc372899858"/>
      <w:bookmarkStart w:id="642" w:name="_Toc152042354"/>
      <w:bookmarkStart w:id="643" w:name="_Toc179632596"/>
      <w:bookmarkStart w:id="644" w:name="_Toc288556283"/>
      <w:bookmarkStart w:id="645" w:name="_Toc372899735"/>
      <w:bookmarkStart w:id="646" w:name="_Toc283886241"/>
      <w:bookmarkStart w:id="647" w:name="_Toc394573929"/>
      <w:bookmarkStart w:id="648" w:name="_Toc237768826"/>
      <w:bookmarkStart w:id="649" w:name="_Toc282596296"/>
      <w:bookmarkStart w:id="650" w:name="_Toc7642"/>
      <w:bookmarkStart w:id="651" w:name="_Toc144974546"/>
      <w:r>
        <w:rPr>
          <w:rFonts w:cs="Times New Roman"/>
          <w:color w:val="auto"/>
          <w:highlight w:val="none"/>
        </w:rPr>
        <w:t xml:space="preserve">9.4 </w:t>
      </w:r>
      <w:r>
        <w:rPr>
          <w:rFonts w:hint="eastAsia" w:cs="Times New Roman"/>
          <w:color w:val="auto"/>
          <w:highlight w:val="none"/>
        </w:rPr>
        <w:t>对与评标活动有关的工作人员的纪律要求</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pPr>
        <w:spacing w:line="400" w:lineRule="exact"/>
        <w:ind w:firstLine="420" w:firstLineChars="200"/>
        <w:rPr>
          <w:color w:val="auto"/>
          <w:highlight w:val="none"/>
        </w:rPr>
      </w:pPr>
      <w:bookmarkStart w:id="652" w:name="_Toc152042355"/>
      <w:r>
        <w:rPr>
          <w:rFonts w:hint="eastAsia"/>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52"/>
    </w:p>
    <w:p>
      <w:pPr>
        <w:pStyle w:val="133"/>
        <w:rPr>
          <w:rFonts w:cs="Times New Roman"/>
          <w:color w:val="auto"/>
          <w:highlight w:val="none"/>
        </w:rPr>
      </w:pPr>
      <w:bookmarkStart w:id="653" w:name="_Toc152042356"/>
      <w:bookmarkStart w:id="654" w:name="_Toc283976533"/>
      <w:bookmarkStart w:id="655" w:name="_Toc372899736"/>
      <w:bookmarkStart w:id="656" w:name="_Toc531162016"/>
      <w:bookmarkStart w:id="657" w:name="_Toc237768827"/>
      <w:bookmarkStart w:id="658" w:name="_Toc394573930"/>
      <w:bookmarkStart w:id="659" w:name="_Toc321925419"/>
      <w:bookmarkStart w:id="660" w:name="_Toc237769291"/>
      <w:bookmarkStart w:id="661" w:name="_Toc179632597"/>
      <w:bookmarkStart w:id="662" w:name="_Toc283886242"/>
      <w:bookmarkStart w:id="663" w:name="_Toc288556284"/>
      <w:bookmarkStart w:id="664" w:name="_Toc152045579"/>
      <w:bookmarkStart w:id="665" w:name="_Toc372899859"/>
      <w:bookmarkStart w:id="666" w:name="_Toc282596297"/>
      <w:bookmarkStart w:id="667" w:name="_Toc24084"/>
      <w:r>
        <w:rPr>
          <w:rFonts w:cs="Times New Roman"/>
          <w:color w:val="auto"/>
          <w:highlight w:val="none"/>
        </w:rPr>
        <w:t xml:space="preserve">9.5 </w:t>
      </w:r>
      <w:r>
        <w:rPr>
          <w:rFonts w:hint="eastAsia" w:cs="Times New Roman"/>
          <w:color w:val="auto"/>
          <w:highlight w:val="none"/>
        </w:rPr>
        <w:t>投诉</w:t>
      </w:r>
      <w:bookmarkEnd w:id="651"/>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pPr>
        <w:spacing w:line="400" w:lineRule="exact"/>
        <w:ind w:firstLine="420" w:firstLineChars="200"/>
        <w:rPr>
          <w:color w:val="auto"/>
          <w:highlight w:val="none"/>
        </w:rPr>
      </w:pPr>
      <w:r>
        <w:rPr>
          <w:rFonts w:hint="eastAsia"/>
          <w:color w:val="auto"/>
          <w:highlight w:val="none"/>
        </w:rPr>
        <w:t>投标人和其他利害关系人认为本次招标活动违反法律、法规和规章规定的，有权向有关行政监督部门投诉。任何单位和个人发现本次招标活动违反法律、法规和规章规定的，有权向有关行政监督部门举报。</w:t>
      </w:r>
      <w:bookmarkStart w:id="668" w:name="_Toc152045580"/>
      <w:bookmarkStart w:id="669" w:name="_Toc144974547"/>
      <w:bookmarkStart w:id="670" w:name="_Toc531162017"/>
      <w:bookmarkStart w:id="671" w:name="_Toc152042357"/>
    </w:p>
    <w:p>
      <w:pPr>
        <w:pStyle w:val="113"/>
        <w:rPr>
          <w:rFonts w:cs="Times New Roman"/>
          <w:color w:val="auto"/>
          <w:highlight w:val="none"/>
        </w:rPr>
      </w:pPr>
      <w:bookmarkStart w:id="672" w:name="_Toc18631"/>
      <w:r>
        <w:rPr>
          <w:rFonts w:cs="Times New Roman"/>
          <w:color w:val="auto"/>
          <w:highlight w:val="none"/>
        </w:rPr>
        <w:t xml:space="preserve">10. </w:t>
      </w:r>
      <w:r>
        <w:rPr>
          <w:rFonts w:hint="eastAsia" w:cs="Times New Roman"/>
          <w:color w:val="auto"/>
          <w:highlight w:val="none"/>
        </w:rPr>
        <w:t>需要补充的其他内容</w:t>
      </w:r>
      <w:bookmarkEnd w:id="668"/>
      <w:bookmarkEnd w:id="669"/>
      <w:bookmarkEnd w:id="670"/>
      <w:bookmarkEnd w:id="671"/>
      <w:bookmarkEnd w:id="672"/>
    </w:p>
    <w:p>
      <w:pPr>
        <w:spacing w:line="400" w:lineRule="exact"/>
        <w:ind w:firstLine="420" w:firstLineChars="200"/>
        <w:jc w:val="left"/>
        <w:rPr>
          <w:color w:val="auto"/>
          <w:highlight w:val="none"/>
        </w:rPr>
      </w:pPr>
      <w:r>
        <w:rPr>
          <w:rFonts w:hint="eastAsia"/>
          <w:color w:val="auto"/>
          <w:highlight w:val="none"/>
        </w:rPr>
        <w:t>需要补充的其他内容：见投标人须知前附表。</w:t>
      </w:r>
      <w:bookmarkStart w:id="673" w:name="_Toc152045587"/>
      <w:bookmarkStart w:id="674" w:name="_Toc152042364"/>
      <w:bookmarkStart w:id="675" w:name="_Toc144974554"/>
    </w:p>
    <w:p>
      <w:pPr>
        <w:widowControl/>
        <w:jc w:val="center"/>
        <w:outlineLvl w:val="0"/>
        <w:rPr>
          <w:rFonts w:eastAsia="黑体"/>
          <w:b/>
          <w:bCs/>
          <w:color w:val="auto"/>
          <w:sz w:val="32"/>
          <w:highlight w:val="none"/>
        </w:rPr>
      </w:pPr>
      <w:r>
        <w:rPr>
          <w:color w:val="auto"/>
          <w:highlight w:val="none"/>
        </w:rPr>
        <w:br w:type="page"/>
      </w:r>
      <w:bookmarkStart w:id="676" w:name="_Toc17726"/>
      <w:bookmarkStart w:id="677" w:name="_Toc531162018"/>
      <w:r>
        <w:rPr>
          <w:rFonts w:hint="eastAsia" w:eastAsia="黑体"/>
          <w:b/>
          <w:bCs/>
          <w:color w:val="auto"/>
          <w:sz w:val="32"/>
          <w:highlight w:val="none"/>
        </w:rPr>
        <w:t>第三章</w:t>
      </w:r>
      <w:r>
        <w:rPr>
          <w:rFonts w:eastAsia="黑体"/>
          <w:b/>
          <w:bCs/>
          <w:color w:val="auto"/>
          <w:sz w:val="32"/>
          <w:highlight w:val="none"/>
        </w:rPr>
        <w:t xml:space="preserve"> </w:t>
      </w:r>
      <w:r>
        <w:rPr>
          <w:rFonts w:hint="eastAsia" w:eastAsia="黑体"/>
          <w:b/>
          <w:bCs/>
          <w:color w:val="auto"/>
          <w:sz w:val="32"/>
          <w:highlight w:val="none"/>
        </w:rPr>
        <w:t>评标办法</w:t>
      </w:r>
      <w:bookmarkEnd w:id="673"/>
      <w:bookmarkEnd w:id="674"/>
      <w:bookmarkEnd w:id="675"/>
      <w:bookmarkEnd w:id="676"/>
      <w:bookmarkEnd w:id="677"/>
    </w:p>
    <w:p>
      <w:pPr>
        <w:pStyle w:val="113"/>
        <w:rPr>
          <w:rFonts w:cs="Times New Roman"/>
          <w:color w:val="auto"/>
          <w:highlight w:val="none"/>
        </w:rPr>
      </w:pPr>
      <w:bookmarkStart w:id="678" w:name="_Toc152042365"/>
      <w:bookmarkStart w:id="679" w:name="_Toc394573933"/>
      <w:bookmarkStart w:id="680" w:name="_Toc144974555"/>
      <w:bookmarkStart w:id="681" w:name="_Toc152045588"/>
      <w:bookmarkStart w:id="682" w:name="_Toc7704"/>
      <w:bookmarkStart w:id="683" w:name="_Toc531162019"/>
      <w:r>
        <w:rPr>
          <w:rFonts w:hint="eastAsia" w:cs="Times New Roman"/>
          <w:color w:val="auto"/>
          <w:highlight w:val="none"/>
        </w:rPr>
        <w:t>评标办法前附表</w:t>
      </w:r>
      <w:bookmarkEnd w:id="678"/>
      <w:bookmarkEnd w:id="679"/>
      <w:bookmarkEnd w:id="680"/>
      <w:bookmarkEnd w:id="681"/>
      <w:bookmarkEnd w:id="682"/>
      <w:bookmarkEnd w:id="683"/>
    </w:p>
    <w:p>
      <w:pPr>
        <w:spacing w:line="400" w:lineRule="exact"/>
        <w:rPr>
          <w:color w:val="auto"/>
          <w:highlight w:val="none"/>
        </w:rPr>
      </w:pPr>
      <w:r>
        <w:rPr>
          <w:color w:val="auto"/>
          <w:highlight w:val="none"/>
        </w:rPr>
        <w:t xml:space="preserve">  </w:t>
      </w:r>
    </w:p>
    <w:p>
      <w:pPr>
        <w:spacing w:line="400" w:lineRule="exact"/>
        <w:rPr>
          <w:color w:val="auto"/>
          <w:highlight w:val="none"/>
        </w:rPr>
      </w:pPr>
    </w:p>
    <w:tbl>
      <w:tblPr>
        <w:tblStyle w:val="4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40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noWrap w:val="0"/>
            <w:vAlign w:val="center"/>
          </w:tcPr>
          <w:p>
            <w:pPr>
              <w:jc w:val="center"/>
              <w:rPr>
                <w:b/>
                <w:color w:val="auto"/>
                <w:szCs w:val="21"/>
                <w:highlight w:val="none"/>
              </w:rPr>
            </w:pPr>
            <w:r>
              <w:rPr>
                <w:rFonts w:hint="eastAsia"/>
                <w:b/>
                <w:color w:val="auto"/>
                <w:szCs w:val="21"/>
                <w:highlight w:val="none"/>
              </w:rPr>
              <w:t>条款号</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szCs w:val="21"/>
                <w:highlight w:val="none"/>
              </w:rPr>
            </w:pPr>
            <w:r>
              <w:rPr>
                <w:rFonts w:hint="eastAsia"/>
                <w:b/>
                <w:color w:val="auto"/>
                <w:szCs w:val="21"/>
                <w:highlight w:val="none"/>
              </w:rPr>
              <w:t>评审因素</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szCs w:val="21"/>
                <w:highlight w:val="none"/>
              </w:rPr>
            </w:pPr>
            <w:r>
              <w:rPr>
                <w:rFonts w:hint="eastAsia"/>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2.1.1</w:t>
            </w:r>
          </w:p>
        </w:tc>
        <w:tc>
          <w:tcPr>
            <w:tcW w:w="1123" w:type="dxa"/>
            <w:vMerge w:val="restart"/>
            <w:tcBorders>
              <w:top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形式评审标准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投标文件组成</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rPr>
              <w:t>第</w:t>
            </w:r>
            <w:r>
              <w:rPr>
                <w:color w:val="auto"/>
                <w:szCs w:val="21"/>
                <w:highlight w:val="none"/>
              </w:rPr>
              <w:t>3.1</w:t>
            </w:r>
            <w:r>
              <w:rPr>
                <w:rFonts w:hint="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color w:val="auto"/>
                <w:szCs w:val="21"/>
                <w:highlight w:val="none"/>
              </w:rPr>
            </w:pPr>
          </w:p>
        </w:tc>
        <w:tc>
          <w:tcPr>
            <w:tcW w:w="1123" w:type="dxa"/>
            <w:vMerge w:val="continue"/>
            <w:tcBorders>
              <w:right w:val="single" w:color="auto" w:sz="4" w:space="0"/>
            </w:tcBorders>
            <w:noWrap w:val="0"/>
            <w:vAlign w:val="center"/>
          </w:tcPr>
          <w:p>
            <w:pPr>
              <w:jc w:val="center"/>
              <w:rPr>
                <w:rFonts w:hint="eastAsia"/>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投标文件格式</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rPr>
              <w:t>第</w:t>
            </w:r>
            <w:r>
              <w:rPr>
                <w:color w:val="auto"/>
                <w:szCs w:val="21"/>
                <w:highlight w:val="none"/>
              </w:rPr>
              <w:t>3.6.</w:t>
            </w:r>
            <w:r>
              <w:rPr>
                <w:rFonts w:hint="eastAsia"/>
                <w:color w:val="auto"/>
                <w:szCs w:val="21"/>
                <w:highlight w:val="none"/>
              </w:rPr>
              <w:t>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keepLines/>
              <w:spacing w:before="340" w:after="120" w:line="480" w:lineRule="auto"/>
              <w:jc w:val="center"/>
              <w:outlineLvl w:val="0"/>
              <w:rPr>
                <w:color w:val="auto"/>
                <w:szCs w:val="21"/>
                <w:highlight w:val="none"/>
              </w:rPr>
            </w:pPr>
          </w:p>
        </w:tc>
        <w:tc>
          <w:tcPr>
            <w:tcW w:w="1123" w:type="dxa"/>
            <w:vMerge w:val="continue"/>
            <w:tcBorders>
              <w:right w:val="single" w:color="auto" w:sz="4" w:space="0"/>
            </w:tcBorders>
            <w:noWrap w:val="0"/>
            <w:vAlign w:val="center"/>
          </w:tcPr>
          <w:p>
            <w:pPr>
              <w:keepNext/>
              <w:keepLines/>
              <w:spacing w:before="340" w:after="120" w:line="480" w:lineRule="auto"/>
              <w:jc w:val="center"/>
              <w:outlineLvl w:val="0"/>
              <w:rPr>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投标文件签字盖章</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rPr>
              <w:t>第</w:t>
            </w:r>
            <w:r>
              <w:rPr>
                <w:color w:val="auto"/>
                <w:szCs w:val="21"/>
                <w:highlight w:val="none"/>
              </w:rPr>
              <w:t>3.6.2</w:t>
            </w:r>
            <w:r>
              <w:rPr>
                <w:rFonts w:hint="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keepLines/>
              <w:spacing w:before="340" w:after="120" w:line="480" w:lineRule="auto"/>
              <w:jc w:val="center"/>
              <w:outlineLvl w:val="0"/>
              <w:rPr>
                <w:color w:val="auto"/>
                <w:szCs w:val="21"/>
                <w:highlight w:val="none"/>
              </w:rPr>
            </w:pPr>
          </w:p>
        </w:tc>
        <w:tc>
          <w:tcPr>
            <w:tcW w:w="1123" w:type="dxa"/>
            <w:vMerge w:val="continue"/>
            <w:tcBorders>
              <w:right w:val="single" w:color="auto" w:sz="4" w:space="0"/>
            </w:tcBorders>
            <w:noWrap w:val="0"/>
            <w:vAlign w:val="center"/>
          </w:tcPr>
          <w:p>
            <w:pPr>
              <w:keepNext/>
              <w:keepLines/>
              <w:spacing w:before="340" w:after="120" w:line="480" w:lineRule="auto"/>
              <w:jc w:val="center"/>
              <w:outlineLvl w:val="0"/>
              <w:rPr>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投标保证金</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rPr>
              <w:t>第</w:t>
            </w:r>
            <w:r>
              <w:rPr>
                <w:color w:val="auto"/>
                <w:szCs w:val="21"/>
                <w:highlight w:val="none"/>
              </w:rPr>
              <w:t>3.4.1</w:t>
            </w:r>
            <w:r>
              <w:rPr>
                <w:rFonts w:hint="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keepLines/>
              <w:spacing w:before="340" w:after="120" w:line="480" w:lineRule="auto"/>
              <w:jc w:val="center"/>
              <w:outlineLvl w:val="0"/>
              <w:rPr>
                <w:color w:val="auto"/>
                <w:szCs w:val="21"/>
                <w:highlight w:val="none"/>
              </w:rPr>
            </w:pPr>
          </w:p>
        </w:tc>
        <w:tc>
          <w:tcPr>
            <w:tcW w:w="1123" w:type="dxa"/>
            <w:vMerge w:val="continue"/>
            <w:tcBorders>
              <w:right w:val="single" w:color="auto" w:sz="4" w:space="0"/>
            </w:tcBorders>
            <w:noWrap w:val="0"/>
            <w:vAlign w:val="center"/>
          </w:tcPr>
          <w:p>
            <w:pPr>
              <w:keepNext/>
              <w:keepLines/>
              <w:spacing w:before="340" w:after="120" w:line="480" w:lineRule="auto"/>
              <w:jc w:val="center"/>
              <w:outlineLvl w:val="0"/>
              <w:rPr>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报价唯一</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2.1.2</w:t>
            </w:r>
          </w:p>
        </w:tc>
        <w:tc>
          <w:tcPr>
            <w:tcW w:w="1123" w:type="dxa"/>
            <w:tcBorders>
              <w:top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资格评审标准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投标人资格</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rPr>
              <w:t>第</w:t>
            </w:r>
            <w:r>
              <w:rPr>
                <w:color w:val="auto"/>
                <w:szCs w:val="21"/>
                <w:highlight w:val="none"/>
              </w:rPr>
              <w:t>1.4</w:t>
            </w:r>
            <w:r>
              <w:rPr>
                <w:rFonts w:hint="eastAsia"/>
                <w:color w:val="auto"/>
                <w:szCs w:val="21"/>
                <w:highlight w:val="none"/>
              </w:rPr>
              <w:t>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jc w:val="center"/>
              <w:rPr>
                <w:color w:val="auto"/>
                <w:szCs w:val="21"/>
                <w:highlight w:val="none"/>
              </w:rPr>
            </w:pPr>
          </w:p>
          <w:p>
            <w:pPr>
              <w:jc w:val="center"/>
              <w:rPr>
                <w:color w:val="auto"/>
                <w:szCs w:val="21"/>
                <w:highlight w:val="none"/>
              </w:rPr>
            </w:pPr>
          </w:p>
          <w:p>
            <w:pPr>
              <w:jc w:val="center"/>
              <w:rPr>
                <w:color w:val="auto"/>
                <w:szCs w:val="21"/>
                <w:highlight w:val="none"/>
              </w:rPr>
            </w:pPr>
            <w:r>
              <w:rPr>
                <w:color w:val="auto"/>
                <w:szCs w:val="21"/>
                <w:highlight w:val="none"/>
              </w:rPr>
              <w:t>2.1.3</w:t>
            </w:r>
          </w:p>
          <w:p>
            <w:pPr>
              <w:jc w:val="center"/>
              <w:rPr>
                <w:color w:val="auto"/>
                <w:szCs w:val="21"/>
                <w:highlight w:val="none"/>
              </w:rPr>
            </w:pPr>
          </w:p>
          <w:p>
            <w:pPr>
              <w:jc w:val="center"/>
              <w:rPr>
                <w:color w:val="auto"/>
                <w:szCs w:val="21"/>
                <w:highlight w:val="none"/>
              </w:rPr>
            </w:pPr>
          </w:p>
          <w:p>
            <w:pPr>
              <w:jc w:val="center"/>
              <w:rPr>
                <w:color w:val="auto"/>
                <w:szCs w:val="21"/>
                <w:highlight w:val="none"/>
              </w:rPr>
            </w:pPr>
          </w:p>
          <w:p>
            <w:pPr>
              <w:jc w:val="center"/>
              <w:rPr>
                <w:color w:val="auto"/>
                <w:szCs w:val="21"/>
                <w:highlight w:val="none"/>
              </w:rPr>
            </w:pPr>
          </w:p>
        </w:tc>
        <w:tc>
          <w:tcPr>
            <w:tcW w:w="1123" w:type="dxa"/>
            <w:vMerge w:val="restart"/>
            <w:tcBorders>
              <w:top w:val="single" w:color="auto" w:sz="4" w:space="0"/>
              <w:right w:val="single" w:color="auto" w:sz="4" w:space="0"/>
            </w:tcBorders>
            <w:noWrap w:val="0"/>
            <w:vAlign w:val="center"/>
          </w:tcPr>
          <w:p>
            <w:pPr>
              <w:jc w:val="center"/>
              <w:rPr>
                <w:color w:val="auto"/>
                <w:szCs w:val="21"/>
                <w:highlight w:val="none"/>
              </w:rPr>
            </w:pPr>
          </w:p>
          <w:p>
            <w:pPr>
              <w:jc w:val="center"/>
              <w:rPr>
                <w:color w:val="auto"/>
                <w:szCs w:val="21"/>
                <w:highlight w:val="none"/>
              </w:rPr>
            </w:pPr>
          </w:p>
          <w:p>
            <w:pPr>
              <w:jc w:val="center"/>
              <w:rPr>
                <w:color w:val="auto"/>
                <w:szCs w:val="21"/>
                <w:highlight w:val="none"/>
              </w:rPr>
            </w:pPr>
            <w:r>
              <w:rPr>
                <w:rFonts w:hint="eastAsia"/>
                <w:color w:val="auto"/>
                <w:szCs w:val="21"/>
                <w:highlight w:val="none"/>
              </w:rPr>
              <w:t>响应性评审标准</w:t>
            </w:r>
          </w:p>
          <w:p>
            <w:pPr>
              <w:jc w:val="center"/>
              <w:rPr>
                <w:color w:val="auto"/>
                <w:szCs w:val="21"/>
                <w:highlight w:val="none"/>
              </w:rPr>
            </w:pPr>
          </w:p>
          <w:p>
            <w:pPr>
              <w:jc w:val="center"/>
              <w:rPr>
                <w:color w:val="auto"/>
                <w:szCs w:val="21"/>
                <w:highlight w:val="none"/>
              </w:rPr>
            </w:pPr>
          </w:p>
          <w:p>
            <w:pPr>
              <w:jc w:val="center"/>
              <w:rPr>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工期</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rPr>
              <w:t>第</w:t>
            </w:r>
            <w:r>
              <w:rPr>
                <w:color w:val="auto"/>
                <w:szCs w:val="21"/>
                <w:highlight w:val="none"/>
              </w:rPr>
              <w:t>1.3.2</w:t>
            </w:r>
            <w:r>
              <w:rPr>
                <w:rFonts w:hint="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color w:val="auto"/>
                <w:szCs w:val="21"/>
                <w:highlight w:val="none"/>
              </w:rPr>
            </w:pPr>
          </w:p>
        </w:tc>
        <w:tc>
          <w:tcPr>
            <w:tcW w:w="1123" w:type="dxa"/>
            <w:vMerge w:val="continue"/>
            <w:tcBorders>
              <w:right w:val="single" w:color="auto" w:sz="4" w:space="0"/>
            </w:tcBorders>
            <w:noWrap w:val="0"/>
            <w:vAlign w:val="center"/>
          </w:tcPr>
          <w:p>
            <w:pPr>
              <w:jc w:val="center"/>
              <w:rPr>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工程质量</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符合第二章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rPr>
              <w:t>第</w:t>
            </w:r>
            <w:r>
              <w:rPr>
                <w:color w:val="auto"/>
                <w:szCs w:val="21"/>
                <w:highlight w:val="none"/>
              </w:rPr>
              <w:t>1.3.3</w:t>
            </w:r>
            <w:r>
              <w:rPr>
                <w:rFonts w:hint="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bottom w:val="single" w:color="auto" w:sz="4" w:space="0"/>
              <w:right w:val="single" w:color="auto" w:sz="4" w:space="0"/>
            </w:tcBorders>
            <w:noWrap w:val="0"/>
            <w:vAlign w:val="center"/>
          </w:tcPr>
          <w:p>
            <w:pPr>
              <w:jc w:val="center"/>
              <w:rPr>
                <w:color w:val="auto"/>
                <w:szCs w:val="21"/>
                <w:highlight w:val="none"/>
              </w:rPr>
            </w:pPr>
          </w:p>
        </w:tc>
        <w:tc>
          <w:tcPr>
            <w:tcW w:w="1123" w:type="dxa"/>
            <w:vMerge w:val="continue"/>
            <w:tcBorders>
              <w:bottom w:val="single" w:color="auto" w:sz="4" w:space="0"/>
              <w:right w:val="single" w:color="auto" w:sz="4" w:space="0"/>
            </w:tcBorders>
            <w:noWrap w:val="0"/>
            <w:vAlign w:val="center"/>
          </w:tcPr>
          <w:p>
            <w:pPr>
              <w:jc w:val="center"/>
              <w:rPr>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投标报价</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不高于本项目上限价，且符合附件报价表（如有）中的具体要求。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2.1.4</w:t>
            </w:r>
          </w:p>
        </w:tc>
        <w:tc>
          <w:tcPr>
            <w:tcW w:w="1123" w:type="dxa"/>
            <w:tcBorders>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串通投标评审标准</w:t>
            </w:r>
          </w:p>
        </w:tc>
        <w:tc>
          <w:tcPr>
            <w:tcW w:w="6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存在本章</w:t>
            </w:r>
            <w:r>
              <w:rPr>
                <w:color w:val="auto"/>
                <w:szCs w:val="21"/>
                <w:highlight w:val="none"/>
              </w:rPr>
              <w:t>3.1.2</w:t>
            </w:r>
            <w:r>
              <w:rPr>
                <w:rFonts w:hint="eastAsia"/>
                <w:color w:val="auto"/>
                <w:szCs w:val="21"/>
                <w:highlight w:val="none"/>
              </w:rPr>
              <w:t>、3.1.3项规定情形之一的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3.2</w:t>
            </w:r>
          </w:p>
        </w:tc>
        <w:tc>
          <w:tcPr>
            <w:tcW w:w="1123" w:type="dxa"/>
            <w:tcBorders>
              <w:top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详细评审标准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评审和评分</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详见</w:t>
            </w:r>
            <w:r>
              <w:rPr>
                <w:color w:val="auto"/>
                <w:highlight w:val="none"/>
              </w:rPr>
              <w:t>“</w:t>
            </w:r>
            <w:r>
              <w:rPr>
                <w:rFonts w:hint="eastAsia"/>
                <w:color w:val="auto"/>
                <w:highlight w:val="none"/>
              </w:rPr>
              <w:t>评标办法附件</w:t>
            </w:r>
            <w:r>
              <w:rPr>
                <w:color w:val="auto"/>
                <w:highlight w:val="none"/>
              </w:rPr>
              <w:t>”</w:t>
            </w:r>
          </w:p>
        </w:tc>
      </w:tr>
    </w:tbl>
    <w:p>
      <w:pPr>
        <w:spacing w:line="400" w:lineRule="exact"/>
        <w:rPr>
          <w:color w:val="auto"/>
          <w:highlight w:val="none"/>
        </w:rPr>
      </w:pPr>
    </w:p>
    <w:p>
      <w:pPr>
        <w:spacing w:line="400" w:lineRule="exact"/>
        <w:rPr>
          <w:color w:val="auto"/>
          <w:highlight w:val="none"/>
        </w:rPr>
      </w:pPr>
    </w:p>
    <w:p>
      <w:pPr>
        <w:pStyle w:val="39"/>
        <w:outlineLvl w:val="9"/>
        <w:rPr>
          <w:color w:val="auto"/>
          <w:highlight w:val="none"/>
        </w:rPr>
      </w:pPr>
    </w:p>
    <w:p>
      <w:pPr>
        <w:rPr>
          <w:color w:val="auto"/>
          <w:highlight w:val="none"/>
        </w:rPr>
      </w:pPr>
    </w:p>
    <w:p>
      <w:pPr>
        <w:pStyle w:val="39"/>
        <w:outlineLvl w:val="9"/>
        <w:rPr>
          <w:color w:val="auto"/>
          <w:highlight w:val="none"/>
        </w:rPr>
      </w:pPr>
    </w:p>
    <w:p>
      <w:pPr>
        <w:rPr>
          <w:color w:val="auto"/>
          <w:highlight w:val="none"/>
        </w:rPr>
      </w:pPr>
    </w:p>
    <w:p>
      <w:pPr>
        <w:pStyle w:val="113"/>
        <w:outlineLvl w:val="1"/>
        <w:rPr>
          <w:rFonts w:cs="Times New Roman"/>
          <w:color w:val="auto"/>
          <w:highlight w:val="none"/>
        </w:rPr>
      </w:pPr>
      <w:bookmarkStart w:id="684" w:name="_Toc23804"/>
      <w:bookmarkStart w:id="685" w:name="_Toc394573934"/>
      <w:bookmarkStart w:id="686" w:name="_Toc228163240"/>
      <w:bookmarkStart w:id="687" w:name="_Toc531162020"/>
      <w:r>
        <w:rPr>
          <w:rFonts w:cs="Times New Roman"/>
          <w:color w:val="auto"/>
          <w:highlight w:val="none"/>
        </w:rPr>
        <w:t xml:space="preserve">1. </w:t>
      </w:r>
      <w:r>
        <w:rPr>
          <w:rFonts w:hint="eastAsia" w:cs="Times New Roman"/>
          <w:color w:val="auto"/>
          <w:highlight w:val="none"/>
        </w:rPr>
        <w:t>评标方法</w:t>
      </w:r>
      <w:bookmarkEnd w:id="684"/>
      <w:bookmarkEnd w:id="685"/>
      <w:bookmarkEnd w:id="686"/>
      <w:bookmarkEnd w:id="687"/>
    </w:p>
    <w:p>
      <w:pPr>
        <w:spacing w:line="400" w:lineRule="exact"/>
        <w:ind w:firstLine="420" w:firstLineChars="200"/>
        <w:rPr>
          <w:color w:val="auto"/>
          <w:highlight w:val="none"/>
        </w:rPr>
      </w:pPr>
      <w:r>
        <w:rPr>
          <w:rFonts w:hint="eastAsia"/>
          <w:color w:val="auto"/>
          <w:highlight w:val="none"/>
        </w:rPr>
        <w:t>本次评标办法见评标办法附件。评标委员会对满足招标文件实质性要求的投标文件，按照本章第</w:t>
      </w:r>
      <w:r>
        <w:rPr>
          <w:color w:val="auto"/>
          <w:highlight w:val="none"/>
        </w:rPr>
        <w:t>2.2</w:t>
      </w:r>
      <w:r>
        <w:rPr>
          <w:rFonts w:hint="eastAsia"/>
          <w:color w:val="auto"/>
          <w:highlight w:val="none"/>
        </w:rPr>
        <w:t>款规定的评分标准进行评审和评分，并推荐中标候选人。</w:t>
      </w:r>
    </w:p>
    <w:p>
      <w:pPr>
        <w:pStyle w:val="113"/>
        <w:rPr>
          <w:rFonts w:cs="Times New Roman"/>
          <w:color w:val="auto"/>
          <w:highlight w:val="none"/>
        </w:rPr>
      </w:pPr>
      <w:bookmarkStart w:id="688" w:name="_Toc26474"/>
      <w:bookmarkStart w:id="689" w:name="_Toc394573935"/>
      <w:bookmarkStart w:id="690" w:name="_Toc531162021"/>
      <w:bookmarkStart w:id="691" w:name="_Toc228163241"/>
      <w:r>
        <w:rPr>
          <w:rFonts w:cs="Times New Roman"/>
          <w:color w:val="auto"/>
          <w:highlight w:val="none"/>
        </w:rPr>
        <w:t xml:space="preserve">2. </w:t>
      </w:r>
      <w:r>
        <w:rPr>
          <w:rFonts w:hint="eastAsia" w:cs="Times New Roman"/>
          <w:color w:val="auto"/>
          <w:highlight w:val="none"/>
        </w:rPr>
        <w:t>评审标准</w:t>
      </w:r>
      <w:bookmarkEnd w:id="688"/>
      <w:bookmarkEnd w:id="689"/>
      <w:bookmarkEnd w:id="690"/>
      <w:bookmarkEnd w:id="691"/>
    </w:p>
    <w:p>
      <w:pPr>
        <w:pStyle w:val="133"/>
        <w:rPr>
          <w:rFonts w:cs="Times New Roman"/>
          <w:color w:val="auto"/>
          <w:highlight w:val="none"/>
        </w:rPr>
      </w:pPr>
      <w:bookmarkStart w:id="692" w:name="_Toc283976539"/>
      <w:bookmarkStart w:id="693" w:name="_Toc18562"/>
      <w:bookmarkStart w:id="694" w:name="_Toc237769297"/>
      <w:bookmarkStart w:id="695" w:name="_Toc531162022"/>
      <w:bookmarkStart w:id="696" w:name="_Toc372899742"/>
      <w:bookmarkStart w:id="697" w:name="_Toc372899865"/>
      <w:bookmarkStart w:id="698" w:name="_Toc282596303"/>
      <w:bookmarkStart w:id="699" w:name="_Toc394573936"/>
      <w:bookmarkStart w:id="700" w:name="_Toc283886248"/>
      <w:bookmarkStart w:id="701" w:name="_Toc321925425"/>
      <w:bookmarkStart w:id="702" w:name="_Toc288556290"/>
      <w:bookmarkStart w:id="703" w:name="_Toc237768833"/>
      <w:r>
        <w:rPr>
          <w:rFonts w:cs="Times New Roman"/>
          <w:color w:val="auto"/>
          <w:highlight w:val="none"/>
        </w:rPr>
        <w:t xml:space="preserve">2.1 </w:t>
      </w:r>
      <w:r>
        <w:rPr>
          <w:rFonts w:hint="eastAsia" w:cs="Times New Roman"/>
          <w:color w:val="auto"/>
          <w:highlight w:val="none"/>
        </w:rPr>
        <w:t>初步评审标准</w:t>
      </w:r>
      <w:bookmarkEnd w:id="692"/>
      <w:bookmarkEnd w:id="693"/>
      <w:bookmarkEnd w:id="694"/>
      <w:bookmarkEnd w:id="695"/>
      <w:bookmarkEnd w:id="696"/>
      <w:bookmarkEnd w:id="697"/>
      <w:bookmarkEnd w:id="698"/>
      <w:bookmarkEnd w:id="699"/>
      <w:bookmarkEnd w:id="700"/>
      <w:bookmarkEnd w:id="701"/>
      <w:bookmarkEnd w:id="702"/>
      <w:bookmarkEnd w:id="703"/>
    </w:p>
    <w:p>
      <w:pPr>
        <w:spacing w:line="400" w:lineRule="exact"/>
        <w:ind w:firstLine="420" w:firstLineChars="200"/>
        <w:rPr>
          <w:color w:val="auto"/>
          <w:highlight w:val="none"/>
        </w:rPr>
      </w:pPr>
      <w:r>
        <w:rPr>
          <w:color w:val="auto"/>
          <w:highlight w:val="none"/>
        </w:rPr>
        <w:t xml:space="preserve">2.1.1 </w:t>
      </w:r>
      <w:r>
        <w:rPr>
          <w:rFonts w:hint="eastAsia"/>
          <w:color w:val="auto"/>
          <w:highlight w:val="none"/>
        </w:rPr>
        <w:t>形式评审标准：见评标办法前附表。</w:t>
      </w:r>
    </w:p>
    <w:p>
      <w:pPr>
        <w:spacing w:line="400" w:lineRule="exact"/>
        <w:ind w:firstLine="420" w:firstLineChars="200"/>
        <w:rPr>
          <w:color w:val="auto"/>
          <w:highlight w:val="none"/>
        </w:rPr>
      </w:pPr>
      <w:r>
        <w:rPr>
          <w:color w:val="auto"/>
          <w:highlight w:val="none"/>
        </w:rPr>
        <w:t xml:space="preserve">2.1.2 </w:t>
      </w:r>
      <w:r>
        <w:rPr>
          <w:rFonts w:hint="eastAsia"/>
          <w:color w:val="auto"/>
          <w:highlight w:val="none"/>
        </w:rPr>
        <w:t>资格评审标准：见评标办法前附表。</w:t>
      </w:r>
    </w:p>
    <w:p>
      <w:pPr>
        <w:spacing w:line="400" w:lineRule="exact"/>
        <w:ind w:firstLine="420" w:firstLineChars="200"/>
        <w:rPr>
          <w:color w:val="auto"/>
          <w:highlight w:val="none"/>
        </w:rPr>
      </w:pPr>
      <w:r>
        <w:rPr>
          <w:color w:val="auto"/>
          <w:highlight w:val="none"/>
        </w:rPr>
        <w:t xml:space="preserve">2.1.3 </w:t>
      </w:r>
      <w:r>
        <w:rPr>
          <w:rFonts w:hint="eastAsia"/>
          <w:color w:val="auto"/>
          <w:highlight w:val="none"/>
        </w:rPr>
        <w:t>响应性评审标准：见评标办法前附表。</w:t>
      </w:r>
    </w:p>
    <w:p>
      <w:pPr>
        <w:spacing w:line="400" w:lineRule="exact"/>
        <w:ind w:firstLine="420" w:firstLineChars="200"/>
        <w:rPr>
          <w:color w:val="auto"/>
          <w:highlight w:val="none"/>
        </w:rPr>
      </w:pPr>
      <w:r>
        <w:rPr>
          <w:color w:val="auto"/>
          <w:highlight w:val="none"/>
        </w:rPr>
        <w:t>2.1.4</w:t>
      </w:r>
      <w:r>
        <w:rPr>
          <w:rFonts w:hint="eastAsia"/>
          <w:color w:val="auto"/>
          <w:highlight w:val="none"/>
        </w:rPr>
        <w:t>串通投标评审标准：见评标办法前附表。</w:t>
      </w:r>
    </w:p>
    <w:p>
      <w:pPr>
        <w:pStyle w:val="133"/>
        <w:rPr>
          <w:rFonts w:cs="Times New Roman"/>
          <w:color w:val="auto"/>
          <w:highlight w:val="none"/>
        </w:rPr>
      </w:pPr>
      <w:bookmarkStart w:id="704" w:name="_Toc283976540"/>
      <w:bookmarkStart w:id="705" w:name="_Toc237768834"/>
      <w:bookmarkStart w:id="706" w:name="_Toc321925426"/>
      <w:bookmarkStart w:id="707" w:name="_Toc237769298"/>
      <w:bookmarkStart w:id="708" w:name="_Toc394573937"/>
      <w:bookmarkStart w:id="709" w:name="_Toc288556291"/>
      <w:bookmarkStart w:id="710" w:name="_Toc372899743"/>
      <w:bookmarkStart w:id="711" w:name="_Toc25345"/>
      <w:bookmarkStart w:id="712" w:name="_Toc283886249"/>
      <w:bookmarkStart w:id="713" w:name="_Toc531162023"/>
      <w:bookmarkStart w:id="714" w:name="_Toc372899866"/>
      <w:bookmarkStart w:id="715" w:name="_Toc282596304"/>
      <w:r>
        <w:rPr>
          <w:rFonts w:cs="Times New Roman"/>
          <w:color w:val="auto"/>
          <w:highlight w:val="none"/>
        </w:rPr>
        <w:t xml:space="preserve">2.2 </w:t>
      </w:r>
      <w:r>
        <w:rPr>
          <w:rFonts w:hint="eastAsia" w:cs="Times New Roman"/>
          <w:color w:val="auto"/>
          <w:highlight w:val="none"/>
        </w:rPr>
        <w:t>分值构成与评分标准</w:t>
      </w:r>
      <w:bookmarkEnd w:id="704"/>
      <w:bookmarkEnd w:id="705"/>
      <w:bookmarkEnd w:id="706"/>
      <w:bookmarkEnd w:id="707"/>
      <w:bookmarkEnd w:id="708"/>
      <w:bookmarkEnd w:id="709"/>
      <w:bookmarkEnd w:id="710"/>
      <w:bookmarkEnd w:id="711"/>
      <w:bookmarkEnd w:id="712"/>
      <w:bookmarkEnd w:id="713"/>
      <w:bookmarkEnd w:id="714"/>
      <w:bookmarkEnd w:id="715"/>
    </w:p>
    <w:p>
      <w:pPr>
        <w:spacing w:line="400" w:lineRule="exact"/>
        <w:ind w:firstLine="718" w:firstLineChars="342"/>
        <w:rPr>
          <w:color w:val="auto"/>
          <w:highlight w:val="none"/>
        </w:rPr>
      </w:pPr>
      <w:r>
        <w:rPr>
          <w:rFonts w:hint="eastAsia"/>
          <w:color w:val="auto"/>
          <w:highlight w:val="none"/>
        </w:rPr>
        <w:t>分值构成与评分标准：见评标办法附件。</w:t>
      </w:r>
    </w:p>
    <w:p>
      <w:pPr>
        <w:pStyle w:val="113"/>
        <w:rPr>
          <w:rFonts w:cs="Times New Roman"/>
          <w:color w:val="auto"/>
          <w:highlight w:val="none"/>
        </w:rPr>
      </w:pPr>
      <w:bookmarkStart w:id="716" w:name="_Toc228163242"/>
      <w:bookmarkStart w:id="717" w:name="_Toc531162024"/>
      <w:bookmarkStart w:id="718" w:name="_Toc394573938"/>
      <w:bookmarkStart w:id="719" w:name="_Toc23901"/>
      <w:r>
        <w:rPr>
          <w:rFonts w:cs="Times New Roman"/>
          <w:color w:val="auto"/>
          <w:highlight w:val="none"/>
        </w:rPr>
        <w:t xml:space="preserve">3. </w:t>
      </w:r>
      <w:r>
        <w:rPr>
          <w:rFonts w:hint="eastAsia" w:cs="Times New Roman"/>
          <w:color w:val="auto"/>
          <w:highlight w:val="none"/>
        </w:rPr>
        <w:t>评标程序</w:t>
      </w:r>
      <w:bookmarkEnd w:id="716"/>
      <w:bookmarkEnd w:id="717"/>
      <w:bookmarkEnd w:id="718"/>
      <w:bookmarkEnd w:id="719"/>
    </w:p>
    <w:p>
      <w:pPr>
        <w:pStyle w:val="133"/>
        <w:rPr>
          <w:rFonts w:cs="Times New Roman"/>
          <w:color w:val="auto"/>
          <w:highlight w:val="none"/>
        </w:rPr>
      </w:pPr>
      <w:bookmarkStart w:id="720" w:name="_Toc18217"/>
      <w:bookmarkStart w:id="721" w:name="_Toc283976542"/>
      <w:bookmarkStart w:id="722" w:name="_Toc372899745"/>
      <w:bookmarkStart w:id="723" w:name="_Toc321925428"/>
      <w:bookmarkStart w:id="724" w:name="_Toc282596306"/>
      <w:bookmarkStart w:id="725" w:name="_Toc288556293"/>
      <w:bookmarkStart w:id="726" w:name="_Toc372899868"/>
      <w:bookmarkStart w:id="727" w:name="_Toc394573939"/>
      <w:bookmarkStart w:id="728" w:name="_Toc237769300"/>
      <w:bookmarkStart w:id="729" w:name="_Toc237768836"/>
      <w:bookmarkStart w:id="730" w:name="_Toc283886251"/>
      <w:bookmarkStart w:id="731" w:name="_Toc531162025"/>
      <w:r>
        <w:rPr>
          <w:rFonts w:cs="Times New Roman"/>
          <w:color w:val="auto"/>
          <w:highlight w:val="none"/>
        </w:rPr>
        <w:t xml:space="preserve">3.1 </w:t>
      </w:r>
      <w:r>
        <w:rPr>
          <w:rFonts w:hint="eastAsia" w:cs="Times New Roman"/>
          <w:color w:val="auto"/>
          <w:highlight w:val="none"/>
        </w:rPr>
        <w:t>初步评审</w:t>
      </w:r>
      <w:bookmarkEnd w:id="720"/>
      <w:bookmarkEnd w:id="721"/>
      <w:bookmarkEnd w:id="722"/>
      <w:bookmarkEnd w:id="723"/>
      <w:bookmarkEnd w:id="724"/>
      <w:bookmarkEnd w:id="725"/>
      <w:bookmarkEnd w:id="726"/>
      <w:bookmarkEnd w:id="727"/>
      <w:bookmarkEnd w:id="728"/>
      <w:bookmarkEnd w:id="729"/>
      <w:bookmarkEnd w:id="730"/>
      <w:bookmarkEnd w:id="731"/>
    </w:p>
    <w:p>
      <w:pPr>
        <w:spacing w:line="400" w:lineRule="exact"/>
        <w:ind w:firstLine="420" w:firstLineChars="200"/>
        <w:rPr>
          <w:color w:val="auto"/>
          <w:highlight w:val="none"/>
        </w:rPr>
      </w:pPr>
      <w:r>
        <w:rPr>
          <w:color w:val="auto"/>
          <w:highlight w:val="none"/>
        </w:rPr>
        <w:t xml:space="preserve">3.1.1 </w:t>
      </w:r>
      <w:r>
        <w:rPr>
          <w:rFonts w:hint="eastAsia"/>
          <w:color w:val="auto"/>
          <w:highlight w:val="none"/>
        </w:rPr>
        <w:t>评标委员会依据本章第</w:t>
      </w:r>
      <w:r>
        <w:rPr>
          <w:color w:val="auto"/>
          <w:highlight w:val="none"/>
        </w:rPr>
        <w:t>2.1.1</w:t>
      </w:r>
      <w:r>
        <w:rPr>
          <w:rFonts w:hint="eastAsia"/>
          <w:color w:val="auto"/>
          <w:highlight w:val="none"/>
        </w:rPr>
        <w:t>项、第</w:t>
      </w:r>
      <w:r>
        <w:rPr>
          <w:color w:val="auto"/>
          <w:highlight w:val="none"/>
        </w:rPr>
        <w:t>2.1.2</w:t>
      </w:r>
      <w:r>
        <w:rPr>
          <w:rFonts w:hint="eastAsia"/>
          <w:color w:val="auto"/>
          <w:highlight w:val="none"/>
        </w:rPr>
        <w:t>项、第</w:t>
      </w:r>
      <w:r>
        <w:rPr>
          <w:color w:val="auto"/>
          <w:highlight w:val="none"/>
        </w:rPr>
        <w:t>2.1.3</w:t>
      </w:r>
      <w:r>
        <w:rPr>
          <w:rFonts w:hint="eastAsia"/>
          <w:color w:val="auto"/>
          <w:highlight w:val="none"/>
        </w:rPr>
        <w:t>项规定的评审标准对投标文件进行初步评审。有一项不符合评审标准的，作无效标处理。</w:t>
      </w:r>
    </w:p>
    <w:p>
      <w:pPr>
        <w:spacing w:line="400" w:lineRule="exact"/>
        <w:ind w:firstLine="420" w:firstLineChars="200"/>
        <w:rPr>
          <w:color w:val="auto"/>
          <w:highlight w:val="none"/>
        </w:rPr>
      </w:pPr>
      <w:r>
        <w:rPr>
          <w:color w:val="auto"/>
          <w:highlight w:val="none"/>
        </w:rPr>
        <w:t>3.1.2</w:t>
      </w:r>
      <w:r>
        <w:rPr>
          <w:rFonts w:hint="eastAsia"/>
          <w:color w:val="auto"/>
          <w:highlight w:val="none"/>
        </w:rPr>
        <w:t>评标委员会在评审过程中发现投标人的投标文件存在以下情形之一的，应认定为串通投标行为，</w:t>
      </w:r>
      <w:r>
        <w:rPr>
          <w:rFonts w:hint="eastAsia"/>
          <w:color w:val="auto"/>
          <w:szCs w:val="21"/>
          <w:highlight w:val="none"/>
        </w:rPr>
        <w:t>经询标后其投标作无效标处理</w:t>
      </w:r>
      <w:r>
        <w:rPr>
          <w:rFonts w:hint="eastAsia"/>
          <w:color w:val="auto"/>
          <w:highlight w:val="none"/>
        </w:rPr>
        <w:t>：</w:t>
      </w:r>
    </w:p>
    <w:p>
      <w:pPr>
        <w:spacing w:line="4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）不同投标人的投标文件由同一单位或者个人编制（包括使用同一台电脑、同一套投标工具、同一套计价软件）或不同投标单位上传投标文件的ip地址（或工程清单锁地址）相同；</w:t>
      </w:r>
    </w:p>
    <w:p>
      <w:pPr>
        <w:spacing w:line="40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）不同投标人委托同一单位或者个人办理投标事宜；</w:t>
      </w:r>
    </w:p>
    <w:p>
      <w:pPr>
        <w:spacing w:line="400" w:lineRule="exac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）不同投标人的投标文件载明的项目管理成员为同一人；</w:t>
      </w:r>
    </w:p>
    <w:p>
      <w:pPr>
        <w:spacing w:line="400" w:lineRule="exact"/>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）不同投标人的投标文件异常一致或者投标报价呈规律性差异；</w:t>
      </w:r>
    </w:p>
    <w:p>
      <w:pPr>
        <w:spacing w:line="400" w:lineRule="exact"/>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）不同投标人的投标文件相互混装；</w:t>
      </w:r>
    </w:p>
    <w:p>
      <w:pPr>
        <w:spacing w:line="400" w:lineRule="exact"/>
        <w:ind w:firstLine="420" w:firstLineChars="200"/>
        <w:rPr>
          <w:color w:val="auto"/>
          <w:highlight w:val="none"/>
        </w:rPr>
      </w:pPr>
      <w:r>
        <w:rPr>
          <w:rFonts w:hint="eastAsia"/>
          <w:color w:val="auto"/>
          <w:highlight w:val="none"/>
        </w:rPr>
        <w:t>（</w:t>
      </w:r>
      <w:r>
        <w:rPr>
          <w:color w:val="auto"/>
          <w:highlight w:val="none"/>
        </w:rPr>
        <w:t>6</w:t>
      </w:r>
      <w:r>
        <w:rPr>
          <w:rFonts w:hint="eastAsia"/>
          <w:color w:val="auto"/>
          <w:highlight w:val="none"/>
        </w:rPr>
        <w:t>）不同投标人的投标保证金从同一单位或者个人的账户转出</w:t>
      </w:r>
      <w:r>
        <w:rPr>
          <w:rFonts w:hint="eastAsia" w:ascii="宋体" w:hAnsi="宋体" w:cs="宋体"/>
          <w:color w:val="auto"/>
          <w:szCs w:val="21"/>
          <w:highlight w:val="none"/>
        </w:rPr>
        <w:t>或不同投标单位保证金汇入同一虚拟子账户</w:t>
      </w:r>
      <w:r>
        <w:rPr>
          <w:rFonts w:hint="eastAsia"/>
          <w:color w:val="auto"/>
          <w:highlight w:val="none"/>
        </w:rPr>
        <w:t>。</w:t>
      </w:r>
    </w:p>
    <w:p>
      <w:pPr>
        <w:spacing w:line="400" w:lineRule="exact"/>
        <w:ind w:firstLine="420" w:firstLineChars="200"/>
        <w:rPr>
          <w:color w:val="auto"/>
          <w:highlight w:val="none"/>
        </w:rPr>
      </w:pPr>
      <w:r>
        <w:rPr>
          <w:color w:val="auto"/>
          <w:highlight w:val="none"/>
        </w:rPr>
        <w:t>3.1.3</w:t>
      </w:r>
      <w:r>
        <w:rPr>
          <w:rFonts w:hint="eastAsia"/>
          <w:color w:val="auto"/>
          <w:highlight w:val="none"/>
        </w:rPr>
        <w:t>评标委员会在评审过程中发现投标人的投标文件存在以下情形之一的，应当向投标人质询，如投标人拒绝说明或不能合理说明理由的，应认定为串通投标行为，其投标作无效标处理：</w:t>
      </w:r>
    </w:p>
    <w:p>
      <w:pPr>
        <w:spacing w:line="4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）投标人之间协商投标报价等投标文件的实质性内容；</w:t>
      </w:r>
    </w:p>
    <w:p>
      <w:pPr>
        <w:spacing w:line="40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）投标人之间约定中标人；</w:t>
      </w:r>
    </w:p>
    <w:p>
      <w:pPr>
        <w:spacing w:line="400" w:lineRule="exac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）投标人之间约定部分投标人放弃投标或者中标；</w:t>
      </w:r>
    </w:p>
    <w:p>
      <w:pPr>
        <w:spacing w:line="400" w:lineRule="exact"/>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）属于同一集团、协会、商会等组织成员的投标人按照该组织要求协同投标；</w:t>
      </w:r>
    </w:p>
    <w:p>
      <w:pPr>
        <w:spacing w:line="400" w:lineRule="exact"/>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）投标人之间为谋取中标或者排斥特定投标人而采取的其他联合行动。</w:t>
      </w:r>
    </w:p>
    <w:p>
      <w:pPr>
        <w:snapToGrid w:val="0"/>
        <w:spacing w:line="400" w:lineRule="exact"/>
        <w:ind w:firstLine="420" w:firstLineChars="200"/>
        <w:rPr>
          <w:rFonts w:hint="eastAsia"/>
          <w:color w:val="auto"/>
          <w:szCs w:val="21"/>
          <w:highlight w:val="none"/>
        </w:rPr>
      </w:pPr>
      <w:r>
        <w:rPr>
          <w:rFonts w:hint="eastAsia"/>
          <w:color w:val="auto"/>
          <w:szCs w:val="21"/>
          <w:highlight w:val="none"/>
        </w:rPr>
        <w:t>3.1.4 投标文件有下列情形之一的，由评标委员会进行投标文件实质性内容要求响应性审查，经询标后按无效标处理：</w:t>
      </w:r>
    </w:p>
    <w:p>
      <w:pPr>
        <w:snapToGrid w:val="0"/>
        <w:spacing w:line="400" w:lineRule="exact"/>
        <w:ind w:firstLine="420" w:firstLineChars="200"/>
        <w:rPr>
          <w:rFonts w:hint="eastAsia"/>
          <w:color w:val="auto"/>
          <w:szCs w:val="21"/>
          <w:highlight w:val="none"/>
        </w:rPr>
      </w:pPr>
      <w:r>
        <w:rPr>
          <w:rFonts w:hint="eastAsia"/>
          <w:color w:val="auto"/>
          <w:szCs w:val="21"/>
          <w:highlight w:val="none"/>
        </w:rPr>
        <w:t>（1）在一份电子投标文件中对同一招标项目报有两个或多个报价，且未声明哪一个有效的；</w:t>
      </w:r>
    </w:p>
    <w:p>
      <w:pPr>
        <w:snapToGrid w:val="0"/>
        <w:spacing w:line="400" w:lineRule="exact"/>
        <w:ind w:firstLine="420" w:firstLineChars="200"/>
        <w:rPr>
          <w:rFonts w:hint="eastAsia"/>
          <w:color w:val="auto"/>
          <w:szCs w:val="21"/>
          <w:highlight w:val="none"/>
        </w:rPr>
      </w:pPr>
      <w:r>
        <w:rPr>
          <w:rFonts w:hint="eastAsia"/>
          <w:color w:val="auto"/>
          <w:szCs w:val="21"/>
          <w:highlight w:val="none"/>
        </w:rPr>
        <w:t>（2）投标报价涉嫌故意拉高或压低投标报价；</w:t>
      </w:r>
    </w:p>
    <w:p>
      <w:pPr>
        <w:snapToGrid w:val="0"/>
        <w:spacing w:line="400" w:lineRule="exact"/>
        <w:ind w:firstLine="420" w:firstLineChars="200"/>
        <w:rPr>
          <w:rFonts w:hint="eastAsia"/>
          <w:color w:val="auto"/>
          <w:szCs w:val="21"/>
          <w:highlight w:val="none"/>
        </w:rPr>
      </w:pPr>
      <w:r>
        <w:rPr>
          <w:rFonts w:hint="eastAsia"/>
          <w:color w:val="auto"/>
          <w:szCs w:val="21"/>
          <w:highlight w:val="none"/>
        </w:rPr>
        <w:t>（3）投标报价涉嫌低于成本价的；</w:t>
      </w:r>
    </w:p>
    <w:p>
      <w:pPr>
        <w:snapToGrid w:val="0"/>
        <w:spacing w:line="400" w:lineRule="exact"/>
        <w:ind w:firstLine="420" w:firstLineChars="200"/>
        <w:rPr>
          <w:rFonts w:hint="eastAsia"/>
          <w:color w:val="auto"/>
          <w:szCs w:val="21"/>
          <w:highlight w:val="none"/>
        </w:rPr>
      </w:pPr>
      <w:r>
        <w:rPr>
          <w:rFonts w:hint="eastAsia"/>
          <w:color w:val="auto"/>
          <w:szCs w:val="21"/>
          <w:highlight w:val="none"/>
        </w:rPr>
        <w:t>（4）违反招标文件其他实质性条款规定的。</w:t>
      </w:r>
    </w:p>
    <w:p>
      <w:pPr>
        <w:snapToGrid w:val="0"/>
        <w:spacing w:line="400" w:lineRule="exact"/>
        <w:ind w:firstLine="420" w:firstLineChars="200"/>
        <w:rPr>
          <w:rFonts w:hint="eastAsia"/>
          <w:color w:val="auto"/>
          <w:szCs w:val="21"/>
          <w:highlight w:val="none"/>
        </w:rPr>
      </w:pPr>
      <w:r>
        <w:rPr>
          <w:rFonts w:hint="eastAsia"/>
          <w:color w:val="auto"/>
          <w:szCs w:val="21"/>
          <w:highlight w:val="none"/>
        </w:rPr>
        <w:t>（5）法律法规规定属无效标情形的。</w:t>
      </w:r>
    </w:p>
    <w:p>
      <w:pPr>
        <w:snapToGrid w:val="0"/>
        <w:spacing w:line="400" w:lineRule="exact"/>
        <w:ind w:firstLine="420" w:firstLineChars="200"/>
        <w:rPr>
          <w:rFonts w:hint="eastAsia"/>
          <w:color w:val="auto"/>
          <w:szCs w:val="21"/>
          <w:highlight w:val="none"/>
        </w:rPr>
      </w:pPr>
      <w:r>
        <w:rPr>
          <w:rFonts w:hint="eastAsia"/>
          <w:color w:val="auto"/>
          <w:szCs w:val="21"/>
          <w:highlight w:val="none"/>
        </w:rPr>
        <w:t>3.1.5商务标修正。</w:t>
      </w:r>
    </w:p>
    <w:p>
      <w:pPr>
        <w:snapToGrid w:val="0"/>
        <w:spacing w:line="400" w:lineRule="exact"/>
        <w:ind w:firstLine="420" w:firstLineChars="200"/>
        <w:rPr>
          <w:rFonts w:hint="eastAsia"/>
          <w:color w:val="auto"/>
          <w:szCs w:val="21"/>
          <w:highlight w:val="none"/>
        </w:rPr>
      </w:pPr>
      <w:bookmarkStart w:id="732" w:name="_Toc282596307"/>
      <w:bookmarkStart w:id="733" w:name="_Toc372899746"/>
      <w:bookmarkStart w:id="734" w:name="_Toc283976543"/>
      <w:bookmarkStart w:id="735" w:name="_Toc394573940"/>
      <w:bookmarkStart w:id="736" w:name="_Toc237769301"/>
      <w:bookmarkStart w:id="737" w:name="_Toc321925429"/>
      <w:bookmarkStart w:id="738" w:name="_Toc288556294"/>
      <w:bookmarkStart w:id="739" w:name="_Toc237768837"/>
      <w:bookmarkStart w:id="740" w:name="_Toc372899869"/>
      <w:bookmarkStart w:id="741" w:name="_Toc531162026"/>
      <w:bookmarkStart w:id="742" w:name="_Toc283886252"/>
      <w:r>
        <w:rPr>
          <w:rFonts w:hint="eastAsia"/>
          <w:color w:val="auto"/>
          <w:szCs w:val="21"/>
          <w:highlight w:val="none"/>
        </w:rPr>
        <w:t>评标委员会对确定为实质上响应招标文件要求的投标文件进行复核, 看其是否有表达上的错误。修正错误的顺序和原则如下：</w:t>
      </w:r>
    </w:p>
    <w:p>
      <w:pPr>
        <w:snapToGrid w:val="0"/>
        <w:spacing w:line="400" w:lineRule="exact"/>
        <w:ind w:firstLine="420" w:firstLineChars="200"/>
        <w:rPr>
          <w:rFonts w:hint="eastAsia"/>
          <w:color w:val="auto"/>
          <w:szCs w:val="21"/>
          <w:highlight w:val="none"/>
        </w:rPr>
      </w:pPr>
      <w:r>
        <w:rPr>
          <w:rFonts w:hint="eastAsia"/>
          <w:color w:val="auto"/>
          <w:szCs w:val="21"/>
          <w:highlight w:val="none"/>
        </w:rPr>
        <w:t>“台州湾新区小额工程电子交易平台”上开启的投标报价与电子投标文件中开标一览表（报价表）内容不一致的，以电子投标文件中开标一览表（报价表）为准；</w:t>
      </w:r>
    </w:p>
    <w:p>
      <w:pPr>
        <w:snapToGrid w:val="0"/>
        <w:spacing w:line="400" w:lineRule="exact"/>
        <w:ind w:firstLine="420" w:firstLineChars="200"/>
        <w:rPr>
          <w:rFonts w:hint="eastAsia"/>
          <w:color w:val="auto"/>
          <w:szCs w:val="21"/>
          <w:highlight w:val="none"/>
        </w:rPr>
      </w:pPr>
      <w:r>
        <w:rPr>
          <w:rFonts w:hint="eastAsia"/>
          <w:color w:val="auto"/>
          <w:szCs w:val="21"/>
          <w:highlight w:val="none"/>
        </w:rPr>
        <w:t>投标文件中开标一览表（报价表）内容与投标文件中相应内容不一致的，以开标一览表（报价表）为准；</w:t>
      </w:r>
    </w:p>
    <w:p>
      <w:pPr>
        <w:snapToGrid w:val="0"/>
        <w:spacing w:line="400" w:lineRule="exact"/>
        <w:ind w:firstLine="420" w:firstLineChars="200"/>
        <w:rPr>
          <w:rFonts w:hint="eastAsia"/>
          <w:color w:val="auto"/>
          <w:szCs w:val="21"/>
          <w:highlight w:val="none"/>
        </w:rPr>
      </w:pPr>
      <w:r>
        <w:rPr>
          <w:rFonts w:hint="eastAsia"/>
          <w:color w:val="auto"/>
          <w:szCs w:val="21"/>
          <w:highlight w:val="none"/>
        </w:rPr>
        <w:t>投标文件中的大写金额和小写金额不一致的，以大写金额为准；对不同文字文本投标文件的解释发生异议的，以中文文本为准。</w:t>
      </w:r>
    </w:p>
    <w:p>
      <w:pPr>
        <w:snapToGrid w:val="0"/>
        <w:spacing w:line="400" w:lineRule="exact"/>
        <w:ind w:firstLine="420" w:firstLineChars="200"/>
        <w:rPr>
          <w:color w:val="auto"/>
          <w:highlight w:val="none"/>
        </w:rPr>
      </w:pPr>
      <w:r>
        <w:rPr>
          <w:rFonts w:hint="eastAsia"/>
          <w:color w:val="auto"/>
          <w:szCs w:val="21"/>
          <w:highlight w:val="none"/>
        </w:rPr>
        <w:t>同时出现两种以上不一致的，按</w:t>
      </w:r>
      <w:r>
        <w:rPr>
          <w:rFonts w:hint="eastAsia"/>
          <w:color w:val="auto"/>
          <w:highlight w:val="none"/>
        </w:rPr>
        <w:t>照前款规定的顺序修正，修正应当采用询标的形式进行。</w:t>
      </w:r>
      <w:r>
        <w:rPr>
          <w:rFonts w:hint="eastAsia"/>
          <w:color w:val="auto"/>
          <w:szCs w:val="21"/>
          <w:highlight w:val="none"/>
        </w:rPr>
        <w:t>按上述修正错误的原则，调整或修正投标文件的投标报价，经投标人确认后，调整后的投标组价对投标人起约束作用</w:t>
      </w:r>
      <w:r>
        <w:rPr>
          <w:color w:val="auto"/>
          <w:szCs w:val="21"/>
          <w:highlight w:val="none"/>
        </w:rPr>
        <w:t>。</w:t>
      </w:r>
      <w:r>
        <w:rPr>
          <w:rFonts w:hint="eastAsia"/>
          <w:color w:val="auto"/>
          <w:szCs w:val="21"/>
          <w:highlight w:val="none"/>
        </w:rPr>
        <w:t>如果投标人不接受或者投标人在评标结束之前无法确认的，评标委员会将把调整或修正后的投标组价作为该投标人的投标组价，进入商务标详细评审，但不接受修正的投标人最终将丧失其中标资格。</w:t>
      </w:r>
    </w:p>
    <w:p>
      <w:pPr>
        <w:pStyle w:val="133"/>
        <w:rPr>
          <w:rFonts w:cs="Times New Roman"/>
          <w:color w:val="auto"/>
          <w:highlight w:val="none"/>
        </w:rPr>
      </w:pPr>
      <w:bookmarkStart w:id="743" w:name="_Toc7128"/>
      <w:r>
        <w:rPr>
          <w:rFonts w:cs="Times New Roman"/>
          <w:color w:val="auto"/>
          <w:highlight w:val="none"/>
        </w:rPr>
        <w:t xml:space="preserve">3.2 </w:t>
      </w:r>
      <w:r>
        <w:rPr>
          <w:rFonts w:hint="eastAsia" w:cs="Times New Roman"/>
          <w:color w:val="auto"/>
          <w:highlight w:val="none"/>
        </w:rPr>
        <w:t>详细评审</w:t>
      </w:r>
      <w:bookmarkEnd w:id="732"/>
      <w:bookmarkEnd w:id="733"/>
      <w:bookmarkEnd w:id="734"/>
      <w:bookmarkEnd w:id="735"/>
      <w:bookmarkEnd w:id="736"/>
      <w:bookmarkEnd w:id="737"/>
      <w:bookmarkEnd w:id="738"/>
      <w:bookmarkEnd w:id="739"/>
      <w:bookmarkEnd w:id="740"/>
      <w:bookmarkEnd w:id="741"/>
      <w:bookmarkEnd w:id="742"/>
      <w:bookmarkEnd w:id="743"/>
    </w:p>
    <w:p>
      <w:pPr>
        <w:spacing w:line="400" w:lineRule="exact"/>
        <w:ind w:firstLine="420" w:firstLineChars="200"/>
        <w:rPr>
          <w:color w:val="auto"/>
          <w:highlight w:val="none"/>
        </w:rPr>
      </w:pPr>
      <w:r>
        <w:rPr>
          <w:rFonts w:hint="eastAsia"/>
          <w:color w:val="auto"/>
          <w:highlight w:val="none"/>
        </w:rPr>
        <w:t>评标委员会按本章第</w:t>
      </w:r>
      <w:r>
        <w:rPr>
          <w:color w:val="auto"/>
          <w:highlight w:val="none"/>
        </w:rPr>
        <w:t>2.2</w:t>
      </w:r>
      <w:r>
        <w:rPr>
          <w:rFonts w:hint="eastAsia"/>
          <w:color w:val="auto"/>
          <w:highlight w:val="none"/>
        </w:rPr>
        <w:t>款规定进行评审和评分。</w:t>
      </w:r>
    </w:p>
    <w:p>
      <w:pPr>
        <w:pStyle w:val="133"/>
        <w:rPr>
          <w:rFonts w:cs="Times New Roman"/>
          <w:color w:val="auto"/>
          <w:highlight w:val="none"/>
        </w:rPr>
      </w:pPr>
      <w:bookmarkStart w:id="744" w:name="_Toc288556295"/>
      <w:bookmarkStart w:id="745" w:name="_Toc531162027"/>
      <w:bookmarkStart w:id="746" w:name="_Toc282596308"/>
      <w:bookmarkStart w:id="747" w:name="_Toc20869"/>
      <w:bookmarkStart w:id="748" w:name="_Toc372899870"/>
      <w:bookmarkStart w:id="749" w:name="_Toc372899747"/>
      <w:bookmarkStart w:id="750" w:name="_Toc283886253"/>
      <w:bookmarkStart w:id="751" w:name="_Toc321925430"/>
      <w:bookmarkStart w:id="752" w:name="_Toc283976544"/>
      <w:bookmarkStart w:id="753" w:name="_Toc237769302"/>
      <w:bookmarkStart w:id="754" w:name="_Toc394573941"/>
      <w:bookmarkStart w:id="755" w:name="_Toc237768838"/>
      <w:r>
        <w:rPr>
          <w:rFonts w:cs="Times New Roman"/>
          <w:color w:val="auto"/>
          <w:highlight w:val="none"/>
        </w:rPr>
        <w:t xml:space="preserve">3.3 </w:t>
      </w:r>
      <w:r>
        <w:rPr>
          <w:rFonts w:hint="eastAsia" w:cs="Times New Roman"/>
          <w:color w:val="auto"/>
          <w:highlight w:val="none"/>
        </w:rPr>
        <w:t>投标文件的澄清和补正</w:t>
      </w:r>
      <w:bookmarkEnd w:id="744"/>
      <w:bookmarkEnd w:id="745"/>
      <w:bookmarkEnd w:id="746"/>
      <w:bookmarkEnd w:id="747"/>
      <w:bookmarkEnd w:id="748"/>
      <w:bookmarkEnd w:id="749"/>
      <w:bookmarkEnd w:id="750"/>
      <w:bookmarkEnd w:id="751"/>
      <w:bookmarkEnd w:id="752"/>
      <w:bookmarkEnd w:id="753"/>
      <w:bookmarkEnd w:id="754"/>
      <w:bookmarkEnd w:id="755"/>
    </w:p>
    <w:p>
      <w:pPr>
        <w:spacing w:line="400" w:lineRule="exact"/>
        <w:ind w:firstLine="420" w:firstLineChars="200"/>
        <w:rPr>
          <w:color w:val="auto"/>
          <w:highlight w:val="none"/>
        </w:rPr>
      </w:pPr>
      <w:bookmarkStart w:id="756" w:name="_Toc321925431"/>
      <w:bookmarkStart w:id="757" w:name="_Toc283886254"/>
      <w:bookmarkStart w:id="758" w:name="_Toc372899748"/>
      <w:bookmarkStart w:id="759" w:name="_Toc394573942"/>
      <w:bookmarkStart w:id="760" w:name="_Toc283976545"/>
      <w:bookmarkStart w:id="761" w:name="_Toc282596309"/>
      <w:bookmarkStart w:id="762" w:name="_Toc372899871"/>
      <w:bookmarkStart w:id="763" w:name="_Toc288556296"/>
      <w:bookmarkStart w:id="764" w:name="_Toc237768839"/>
      <w:bookmarkStart w:id="765" w:name="_Toc237769303"/>
      <w:bookmarkStart w:id="766" w:name="_Toc531162028"/>
      <w:r>
        <w:rPr>
          <w:color w:val="auto"/>
          <w:highlight w:val="none"/>
        </w:rPr>
        <w:t>3.3.1</w:t>
      </w:r>
      <w:r>
        <w:rPr>
          <w:rFonts w:hint="eastAsia"/>
          <w:color w:val="auto"/>
          <w:highlight w:val="none"/>
        </w:rPr>
        <w:t>在评标过程中，评标委员会可以通过电子招标投标业务系统要求投标人对所提交投标文件中不明确的内容进行澄清或说明，或者对细微偏差进行补正，投标人在电子招标投标业务系统进行回复。评标委员会不接受投标人主动提出的澄清、说明或补正。</w:t>
      </w:r>
    </w:p>
    <w:p>
      <w:pPr>
        <w:spacing w:line="400" w:lineRule="exact"/>
        <w:ind w:firstLine="420" w:firstLineChars="200"/>
        <w:rPr>
          <w:color w:val="auto"/>
          <w:highlight w:val="none"/>
        </w:rPr>
      </w:pPr>
      <w:r>
        <w:rPr>
          <w:color w:val="auto"/>
          <w:highlight w:val="none"/>
        </w:rPr>
        <w:t xml:space="preserve">3.3.2 </w:t>
      </w:r>
      <w:r>
        <w:rPr>
          <w:rFonts w:hint="eastAsia"/>
          <w:color w:val="auto"/>
          <w:highlight w:val="none"/>
        </w:rPr>
        <w:t>澄清、说明和补正不得改变投标文件的实质性内容（算术性错误修正的除外）。投标人的书面（电子招标投标业务系统中）澄清、说明和补正属于投标文件的组成部分。投标文件的实质性内容包括投标函是否按招标文件要求编制，总报价、质量、工期、投标资格的承诺是否响应招标文件的要求。</w:t>
      </w:r>
    </w:p>
    <w:p>
      <w:pPr>
        <w:spacing w:line="400" w:lineRule="exact"/>
        <w:ind w:firstLine="420" w:firstLineChars="200"/>
        <w:rPr>
          <w:color w:val="auto"/>
          <w:szCs w:val="21"/>
          <w:highlight w:val="none"/>
        </w:rPr>
      </w:pPr>
      <w:r>
        <w:rPr>
          <w:color w:val="auto"/>
          <w:highlight w:val="none"/>
        </w:rPr>
        <w:t xml:space="preserve">3.3.3 </w:t>
      </w:r>
      <w:r>
        <w:rPr>
          <w:rFonts w:hint="eastAsia"/>
          <w:color w:val="auto"/>
          <w:highlight w:val="none"/>
        </w:rPr>
        <w:t>评标委员会对投标人提交的澄清、说明或补正有疑问的，可以要求投标人进一步澄清、说明或补正，直至满足评标委员会的要求。</w:t>
      </w:r>
      <w:r>
        <w:rPr>
          <w:rFonts w:hint="eastAsia"/>
          <w:color w:val="auto"/>
          <w:szCs w:val="21"/>
          <w:highlight w:val="none"/>
        </w:rPr>
        <w:t>如果投标人不按评标委员会要求进行澄清、说明或补正的，投标人的投标报价进入详细评审，但投标人最终将丧失其中标资格。</w:t>
      </w:r>
    </w:p>
    <w:p>
      <w:pPr>
        <w:spacing w:line="400" w:lineRule="exact"/>
        <w:ind w:firstLine="420" w:firstLineChars="200"/>
        <w:rPr>
          <w:color w:val="auto"/>
          <w:highlight w:val="none"/>
        </w:rPr>
      </w:pPr>
      <w:r>
        <w:rPr>
          <w:color w:val="auto"/>
          <w:szCs w:val="21"/>
          <w:highlight w:val="none"/>
        </w:rPr>
        <w:t>3.3.4</w:t>
      </w:r>
      <w:r>
        <w:rPr>
          <w:rFonts w:hint="eastAsia"/>
          <w:color w:val="auto"/>
          <w:szCs w:val="21"/>
          <w:highlight w:val="none"/>
        </w:rPr>
        <w:t>评标委员会要求投标人进行澄清或说明的，其投标文件无法联系或在</w:t>
      </w:r>
      <w:r>
        <w:rPr>
          <w:color w:val="auto"/>
          <w:szCs w:val="21"/>
          <w:highlight w:val="none"/>
        </w:rPr>
        <w:t>30</w:t>
      </w:r>
      <w:r>
        <w:rPr>
          <w:rFonts w:hint="eastAsia"/>
          <w:color w:val="auto"/>
          <w:szCs w:val="21"/>
          <w:highlight w:val="none"/>
        </w:rPr>
        <w:t>分钟内未能回复的，可视作拒绝或放弃澄清或说明。</w:t>
      </w:r>
    </w:p>
    <w:p>
      <w:pPr>
        <w:pStyle w:val="133"/>
        <w:rPr>
          <w:rFonts w:cs="Times New Roman"/>
          <w:color w:val="auto"/>
          <w:highlight w:val="none"/>
        </w:rPr>
      </w:pPr>
      <w:bookmarkStart w:id="767" w:name="_Toc6014"/>
      <w:r>
        <w:rPr>
          <w:rFonts w:cs="Times New Roman"/>
          <w:color w:val="auto"/>
          <w:highlight w:val="none"/>
        </w:rPr>
        <w:t xml:space="preserve">3.4 </w:t>
      </w:r>
      <w:r>
        <w:rPr>
          <w:rFonts w:hint="eastAsia" w:cs="Times New Roman"/>
          <w:color w:val="auto"/>
          <w:highlight w:val="none"/>
        </w:rPr>
        <w:t>评标结果</w:t>
      </w:r>
      <w:bookmarkEnd w:id="756"/>
      <w:bookmarkEnd w:id="757"/>
      <w:bookmarkEnd w:id="758"/>
      <w:bookmarkEnd w:id="759"/>
      <w:bookmarkEnd w:id="760"/>
      <w:bookmarkEnd w:id="761"/>
      <w:bookmarkEnd w:id="762"/>
      <w:bookmarkEnd w:id="763"/>
      <w:bookmarkEnd w:id="764"/>
      <w:bookmarkEnd w:id="765"/>
      <w:bookmarkEnd w:id="766"/>
      <w:bookmarkEnd w:id="767"/>
    </w:p>
    <w:p>
      <w:pPr>
        <w:spacing w:line="400" w:lineRule="exact"/>
        <w:ind w:firstLine="420" w:firstLineChars="200"/>
        <w:rPr>
          <w:color w:val="auto"/>
          <w:highlight w:val="none"/>
        </w:rPr>
      </w:pPr>
      <w:r>
        <w:rPr>
          <w:color w:val="auto"/>
          <w:highlight w:val="none"/>
        </w:rPr>
        <w:t>3.4.1</w:t>
      </w:r>
      <w:r>
        <w:rPr>
          <w:rFonts w:hint="eastAsia"/>
          <w:color w:val="auto"/>
          <w:highlight w:val="none"/>
        </w:rPr>
        <w:t>评标委员会按照</w:t>
      </w:r>
      <w:r>
        <w:rPr>
          <w:color w:val="auto"/>
          <w:highlight w:val="none"/>
        </w:rPr>
        <w:t>“</w:t>
      </w:r>
      <w:r>
        <w:rPr>
          <w:rFonts w:hint="eastAsia"/>
          <w:color w:val="auto"/>
          <w:highlight w:val="none"/>
        </w:rPr>
        <w:t>评标办法附件</w:t>
      </w:r>
      <w:r>
        <w:rPr>
          <w:color w:val="auto"/>
          <w:highlight w:val="none"/>
        </w:rPr>
        <w:t>”</w:t>
      </w:r>
      <w:r>
        <w:rPr>
          <w:rFonts w:hint="eastAsia"/>
          <w:color w:val="auto"/>
          <w:highlight w:val="none"/>
        </w:rPr>
        <w:t>规定推荐中标候选人。</w:t>
      </w:r>
    </w:p>
    <w:p>
      <w:pPr>
        <w:spacing w:line="400" w:lineRule="exact"/>
        <w:ind w:firstLine="420" w:firstLineChars="200"/>
        <w:rPr>
          <w:color w:val="auto"/>
          <w:highlight w:val="none"/>
        </w:rPr>
        <w:sectPr>
          <w:pgSz w:w="11907" w:h="16840"/>
          <w:pgMar w:top="1417" w:right="1418" w:bottom="1417" w:left="1531" w:header="851" w:footer="992" w:gutter="0"/>
          <w:cols w:space="720" w:num="1"/>
          <w:docGrid w:type="lines" w:linePitch="312" w:charSpace="0"/>
        </w:sectPr>
      </w:pPr>
      <w:r>
        <w:rPr>
          <w:color w:val="auto"/>
          <w:highlight w:val="none"/>
        </w:rPr>
        <w:t xml:space="preserve">3.4.2 </w:t>
      </w:r>
      <w:r>
        <w:rPr>
          <w:rFonts w:hint="eastAsia"/>
          <w:color w:val="auto"/>
          <w:highlight w:val="none"/>
        </w:rPr>
        <w:t>评标委员会完成评标后，应当向招标人提交书面评标报告。</w:t>
      </w:r>
    </w:p>
    <w:p>
      <w:pPr>
        <w:pStyle w:val="113"/>
        <w:spacing w:before="0"/>
        <w:outlineLvl w:val="9"/>
        <w:rPr>
          <w:rFonts w:cs="Times New Roman"/>
          <w:color w:val="auto"/>
          <w:highlight w:val="none"/>
        </w:rPr>
      </w:pPr>
      <w:bookmarkStart w:id="768" w:name="_Toc394573943"/>
      <w:bookmarkStart w:id="769" w:name="_Toc228163243"/>
      <w:bookmarkStart w:id="770" w:name="_Toc531162029"/>
      <w:bookmarkStart w:id="771" w:name="_Toc18950"/>
      <w:r>
        <w:rPr>
          <w:rFonts w:hint="eastAsia" w:cs="Times New Roman"/>
          <w:color w:val="auto"/>
          <w:highlight w:val="none"/>
        </w:rPr>
        <w:t>评标办法附件</w:t>
      </w:r>
      <w:bookmarkEnd w:id="768"/>
      <w:bookmarkEnd w:id="769"/>
      <w:bookmarkEnd w:id="770"/>
      <w:bookmarkEnd w:id="771"/>
    </w:p>
    <w:p>
      <w:pPr>
        <w:adjustRightInd w:val="0"/>
        <w:snapToGrid w:val="0"/>
        <w:spacing w:line="400" w:lineRule="exact"/>
        <w:ind w:firstLine="560" w:firstLineChars="200"/>
        <w:jc w:val="center"/>
        <w:outlineLvl w:val="9"/>
        <w:rPr>
          <w:rFonts w:hint="eastAsia" w:ascii="黑体" w:hAnsi="宋体" w:eastAsia="黑体" w:cs="宋体"/>
          <w:color w:val="auto"/>
          <w:sz w:val="28"/>
          <w:szCs w:val="28"/>
          <w:highlight w:val="none"/>
        </w:rPr>
      </w:pPr>
      <w:bookmarkStart w:id="772" w:name="_Toc29452"/>
      <w:bookmarkStart w:id="773" w:name="_Toc27242"/>
      <w:bookmarkStart w:id="774" w:name="_Toc26275"/>
      <w:bookmarkStart w:id="775" w:name="_Toc7817_WPSOffice_Level2"/>
      <w:bookmarkStart w:id="776" w:name="_Toc8305379"/>
      <w:bookmarkStart w:id="777" w:name="_Toc4936"/>
      <w:bookmarkStart w:id="778" w:name="OLE_LINK2"/>
      <w:bookmarkStart w:id="779" w:name="OLE_LINK1"/>
      <w:r>
        <w:rPr>
          <w:rFonts w:hint="eastAsia" w:ascii="黑体" w:hAnsi="宋体" w:eastAsia="黑体" w:cs="宋体"/>
          <w:color w:val="auto"/>
          <w:sz w:val="28"/>
          <w:szCs w:val="28"/>
          <w:highlight w:val="none"/>
        </w:rPr>
        <w:t>简易评标法</w:t>
      </w:r>
    </w:p>
    <w:p>
      <w:pPr>
        <w:adjustRightInd w:val="0"/>
        <w:snapToGrid w:val="0"/>
        <w:spacing w:line="400" w:lineRule="exact"/>
        <w:ind w:firstLine="420" w:firstLineChars="200"/>
        <w:outlineLvl w:val="9"/>
        <w:rPr>
          <w:color w:val="auto"/>
          <w:szCs w:val="21"/>
          <w:highlight w:val="none"/>
        </w:rPr>
      </w:pPr>
      <w:r>
        <w:rPr>
          <w:color w:val="auto"/>
          <w:szCs w:val="21"/>
          <w:highlight w:val="none"/>
        </w:rPr>
        <w:t>一、资格审查</w:t>
      </w:r>
      <w:bookmarkEnd w:id="772"/>
      <w:bookmarkEnd w:id="773"/>
    </w:p>
    <w:p>
      <w:pPr>
        <w:adjustRightInd w:val="0"/>
        <w:snapToGrid w:val="0"/>
        <w:spacing w:line="400" w:lineRule="exact"/>
        <w:ind w:firstLine="420" w:firstLineChars="200"/>
        <w:rPr>
          <w:color w:val="auto"/>
          <w:szCs w:val="21"/>
          <w:highlight w:val="none"/>
        </w:rPr>
      </w:pPr>
      <w:r>
        <w:rPr>
          <w:color w:val="auto"/>
          <w:szCs w:val="21"/>
          <w:highlight w:val="none"/>
        </w:rPr>
        <w:t>评标委员会按照招标文件载明的资格后审条款，对投标人的企业资质、项目负责人</w:t>
      </w:r>
      <w:r>
        <w:rPr>
          <w:rFonts w:hint="eastAsia"/>
          <w:color w:val="auto"/>
          <w:szCs w:val="21"/>
          <w:highlight w:val="none"/>
        </w:rPr>
        <w:t>资格</w:t>
      </w:r>
      <w:r>
        <w:rPr>
          <w:color w:val="auto"/>
          <w:szCs w:val="21"/>
          <w:highlight w:val="none"/>
        </w:rPr>
        <w:t>等进行审查，凡不符合资格后审要求的，以无效标处理，不再进入下一阶段评审。</w:t>
      </w:r>
    </w:p>
    <w:p>
      <w:pPr>
        <w:spacing w:line="400" w:lineRule="exact"/>
        <w:ind w:firstLine="420" w:firstLineChars="200"/>
        <w:rPr>
          <w:color w:val="auto"/>
          <w:highlight w:val="none"/>
        </w:rPr>
      </w:pPr>
      <w:r>
        <w:rPr>
          <w:rFonts w:hint="eastAsia"/>
          <w:color w:val="auto"/>
          <w:highlight w:val="none"/>
        </w:rPr>
        <w:t>二、报价评审（</w:t>
      </w:r>
      <w:r>
        <w:rPr>
          <w:color w:val="auto"/>
          <w:highlight w:val="none"/>
        </w:rPr>
        <w:t>100</w:t>
      </w:r>
      <w:r>
        <w:rPr>
          <w:rFonts w:hint="eastAsia"/>
          <w:color w:val="auto"/>
          <w:highlight w:val="none"/>
        </w:rPr>
        <w:t>分）</w:t>
      </w:r>
    </w:p>
    <w:p>
      <w:pPr>
        <w:spacing w:line="400" w:lineRule="exact"/>
        <w:ind w:firstLine="420" w:firstLineChars="200"/>
        <w:rPr>
          <w:color w:val="auto"/>
          <w:highlight w:val="none"/>
        </w:rPr>
      </w:pPr>
      <w:r>
        <w:rPr>
          <w:rFonts w:hint="eastAsia"/>
          <w:color w:val="auto"/>
          <w:highlight w:val="none"/>
        </w:rPr>
        <w:t>在进入本阶段评审的投标文件中，按以下规则确定评标标底价和报价得分：</w:t>
      </w:r>
    </w:p>
    <w:p>
      <w:pPr>
        <w:spacing w:line="400" w:lineRule="exact"/>
        <w:ind w:firstLine="420" w:firstLineChars="200"/>
        <w:jc w:val="left"/>
        <w:rPr>
          <w:color w:val="auto"/>
          <w:highlight w:val="none"/>
        </w:rPr>
      </w:pPr>
      <w:r>
        <w:rPr>
          <w:rFonts w:hint="eastAsia"/>
          <w:color w:val="auto"/>
          <w:highlight w:val="none"/>
        </w:rPr>
        <w:t>（一）评标标底价</w:t>
      </w:r>
    </w:p>
    <w:p>
      <w:pPr>
        <w:adjustRightInd w:val="0"/>
        <w:snapToGrid w:val="0"/>
        <w:spacing w:line="400" w:lineRule="exact"/>
        <w:ind w:firstLine="420" w:firstLineChars="200"/>
        <w:jc w:val="left"/>
        <w:rPr>
          <w:color w:val="auto"/>
          <w:szCs w:val="21"/>
          <w:highlight w:val="none"/>
        </w:rPr>
      </w:pPr>
      <w:r>
        <w:rPr>
          <w:rFonts w:hint="eastAsia"/>
          <w:color w:val="auto"/>
          <w:highlight w:val="none"/>
        </w:rPr>
        <w:t>在所有经评审的有效报价中，取所有有效报价的算术平均值作为</w:t>
      </w:r>
      <w:r>
        <w:rPr>
          <w:rFonts w:hint="eastAsia"/>
          <w:color w:val="auto"/>
          <w:szCs w:val="21"/>
          <w:highlight w:val="none"/>
        </w:rPr>
        <w:t>评标标底价</w:t>
      </w:r>
      <w:r>
        <w:rPr>
          <w:rFonts w:hint="eastAsia"/>
          <w:color w:val="auto"/>
          <w:highlight w:val="none"/>
        </w:rPr>
        <w:t>（计算结果以元为单位，小数点后一位四舍五入）；</w:t>
      </w:r>
    </w:p>
    <w:p>
      <w:pPr>
        <w:spacing w:line="400" w:lineRule="exact"/>
        <w:ind w:firstLine="420" w:firstLineChars="200"/>
        <w:rPr>
          <w:color w:val="auto"/>
          <w:highlight w:val="none"/>
        </w:rPr>
      </w:pPr>
      <w:r>
        <w:rPr>
          <w:rFonts w:hint="eastAsia"/>
          <w:color w:val="auto"/>
          <w:highlight w:val="none"/>
        </w:rPr>
        <w:t>（二）报价得分</w:t>
      </w:r>
    </w:p>
    <w:p>
      <w:pPr>
        <w:spacing w:line="400" w:lineRule="exact"/>
        <w:ind w:firstLine="420" w:firstLineChars="200"/>
        <w:rPr>
          <w:color w:val="auto"/>
          <w:highlight w:val="none"/>
        </w:rPr>
      </w:pPr>
      <w:r>
        <w:rPr>
          <w:rFonts w:hint="eastAsia"/>
          <w:color w:val="auto"/>
          <w:highlight w:val="none"/>
        </w:rPr>
        <w:t>投标人的投标报价等于评标标底价的得</w:t>
      </w:r>
      <w:r>
        <w:rPr>
          <w:color w:val="auto"/>
          <w:highlight w:val="none"/>
        </w:rPr>
        <w:t>100</w:t>
      </w:r>
      <w:r>
        <w:rPr>
          <w:rFonts w:hint="eastAsia"/>
          <w:color w:val="auto"/>
          <w:highlight w:val="none"/>
        </w:rPr>
        <w:t>分。偏离评标标底价的按直线插入法，每高于或每低于评标标底价</w:t>
      </w:r>
      <w:r>
        <w:rPr>
          <w:color w:val="auto"/>
          <w:highlight w:val="none"/>
        </w:rPr>
        <w:t>1</w:t>
      </w:r>
      <w:r>
        <w:rPr>
          <w:rFonts w:hint="eastAsia"/>
          <w:color w:val="auto"/>
          <w:highlight w:val="none"/>
        </w:rPr>
        <w:t>个百分点的均扣</w:t>
      </w:r>
      <w:r>
        <w:rPr>
          <w:color w:val="auto"/>
          <w:highlight w:val="none"/>
        </w:rPr>
        <w:t>1</w:t>
      </w:r>
      <w:r>
        <w:rPr>
          <w:rFonts w:hint="eastAsia"/>
          <w:color w:val="auto"/>
          <w:highlight w:val="none"/>
        </w:rPr>
        <w:t>分，即商务标得分</w:t>
      </w:r>
      <w:r>
        <w:rPr>
          <w:color w:val="auto"/>
          <w:highlight w:val="none"/>
        </w:rPr>
        <w:t>=100-</w:t>
      </w:r>
      <w:r>
        <w:rPr>
          <w:rFonts w:hint="eastAsia"/>
          <w:color w:val="auto"/>
          <w:szCs w:val="21"/>
          <w:highlight w:val="none"/>
        </w:rPr>
        <w:t>│（</w:t>
      </w:r>
      <w:r>
        <w:rPr>
          <w:rFonts w:hint="eastAsia"/>
          <w:color w:val="auto"/>
          <w:highlight w:val="none"/>
        </w:rPr>
        <w:t>投标报价</w:t>
      </w:r>
      <w:r>
        <w:rPr>
          <w:color w:val="auto"/>
          <w:highlight w:val="none"/>
        </w:rPr>
        <w:t>-</w:t>
      </w:r>
      <w:r>
        <w:rPr>
          <w:rFonts w:hint="eastAsia"/>
          <w:color w:val="auto"/>
          <w:highlight w:val="none"/>
        </w:rPr>
        <w:t>评标标底价）</w:t>
      </w:r>
      <w:r>
        <w:rPr>
          <w:rFonts w:hint="eastAsia"/>
          <w:color w:val="auto"/>
          <w:szCs w:val="21"/>
          <w:highlight w:val="none"/>
        </w:rPr>
        <w:t>│</w:t>
      </w:r>
      <w:r>
        <w:rPr>
          <w:color w:val="auto"/>
          <w:highlight w:val="none"/>
        </w:rPr>
        <w:t>/</w:t>
      </w:r>
      <w:r>
        <w:rPr>
          <w:rFonts w:hint="eastAsia"/>
          <w:color w:val="auto"/>
          <w:highlight w:val="none"/>
        </w:rPr>
        <w:t>评标标底价</w:t>
      </w:r>
      <w:r>
        <w:rPr>
          <w:rFonts w:ascii="Arial" w:hAnsi="Arial" w:cs="Arial"/>
          <w:color w:val="auto"/>
          <w:highlight w:val="none"/>
        </w:rPr>
        <w:t>×100×1</w:t>
      </w:r>
      <w:r>
        <w:rPr>
          <w:rFonts w:hint="eastAsia"/>
          <w:color w:val="auto"/>
          <w:highlight w:val="none"/>
        </w:rPr>
        <w:t>（商务标得分计算结果小数点后保留</w:t>
      </w:r>
      <w:r>
        <w:rPr>
          <w:color w:val="auto"/>
          <w:highlight w:val="none"/>
        </w:rPr>
        <w:t>2</w:t>
      </w:r>
      <w:r>
        <w:rPr>
          <w:rFonts w:hint="eastAsia"/>
          <w:color w:val="auto"/>
          <w:highlight w:val="none"/>
        </w:rPr>
        <w:t>位，小数点后第</w:t>
      </w:r>
      <w:r>
        <w:rPr>
          <w:color w:val="auto"/>
          <w:highlight w:val="none"/>
        </w:rPr>
        <w:t>3</w:t>
      </w:r>
      <w:r>
        <w:rPr>
          <w:rFonts w:hint="eastAsia"/>
          <w:color w:val="auto"/>
          <w:highlight w:val="none"/>
        </w:rPr>
        <w:t>位四舍五入）。</w:t>
      </w:r>
    </w:p>
    <w:p>
      <w:pPr>
        <w:spacing w:line="400" w:lineRule="exact"/>
        <w:ind w:firstLine="420" w:firstLineChars="200"/>
        <w:rPr>
          <w:color w:val="auto"/>
          <w:highlight w:val="none"/>
        </w:rPr>
      </w:pPr>
      <w:r>
        <w:rPr>
          <w:rFonts w:hint="eastAsia"/>
          <w:color w:val="auto"/>
          <w:highlight w:val="none"/>
        </w:rPr>
        <w:t>三、评标总得分的确定</w:t>
      </w:r>
    </w:p>
    <w:p>
      <w:pPr>
        <w:spacing w:line="400" w:lineRule="exact"/>
        <w:ind w:firstLine="420" w:firstLineChars="200"/>
        <w:rPr>
          <w:color w:val="auto"/>
          <w:highlight w:val="none"/>
        </w:rPr>
      </w:pPr>
      <w:r>
        <w:rPr>
          <w:rFonts w:hint="eastAsia"/>
          <w:color w:val="auto"/>
          <w:highlight w:val="none"/>
        </w:rPr>
        <w:t>投标人的评标总得分＝报价得分。</w:t>
      </w:r>
    </w:p>
    <w:p>
      <w:pPr>
        <w:spacing w:line="400" w:lineRule="exact"/>
        <w:ind w:firstLine="420" w:firstLineChars="200"/>
        <w:rPr>
          <w:color w:val="auto"/>
          <w:highlight w:val="none"/>
        </w:rPr>
      </w:pPr>
      <w:r>
        <w:rPr>
          <w:rFonts w:hint="eastAsia"/>
          <w:color w:val="auto"/>
          <w:highlight w:val="none"/>
        </w:rPr>
        <w:t>四、中标候选人的确定</w:t>
      </w:r>
    </w:p>
    <w:p>
      <w:pPr>
        <w:pStyle w:val="39"/>
        <w:adjustRightInd/>
        <w:spacing w:before="0" w:after="0" w:line="400" w:lineRule="exact"/>
        <w:ind w:firstLine="420" w:firstLineChars="200"/>
        <w:jc w:val="left"/>
        <w:textAlignment w:val="auto"/>
        <w:outlineLvl w:val="9"/>
        <w:rPr>
          <w:rFonts w:hint="eastAsia" w:ascii="Times New Roman" w:hAnsi="Times New Roman"/>
          <w:b w:val="0"/>
          <w:color w:val="auto"/>
          <w:kern w:val="2"/>
          <w:sz w:val="21"/>
          <w:szCs w:val="24"/>
          <w:highlight w:val="none"/>
        </w:rPr>
      </w:pPr>
      <w:r>
        <w:rPr>
          <w:rFonts w:hint="eastAsia" w:ascii="Times New Roman" w:hAnsi="Times New Roman"/>
          <w:b w:val="0"/>
          <w:color w:val="auto"/>
          <w:kern w:val="2"/>
          <w:sz w:val="21"/>
          <w:szCs w:val="24"/>
          <w:highlight w:val="none"/>
        </w:rPr>
        <w:t>评标委员会按评标总得分确定中标候选人，即总得分最高者为第一中标候选人，总得分次高者为第二中标候选人。如出现总得分相同的，按以下优先顺序确定中标候选人推荐次序：</w:t>
      </w:r>
    </w:p>
    <w:p>
      <w:pPr>
        <w:spacing w:line="400" w:lineRule="exact"/>
        <w:ind w:firstLine="420"/>
        <w:rPr>
          <w:color w:val="auto"/>
          <w:highlight w:val="none"/>
        </w:rPr>
      </w:pPr>
      <w:r>
        <w:rPr>
          <w:rFonts w:hint="eastAsia"/>
          <w:color w:val="auto"/>
          <w:highlight w:val="none"/>
        </w:rPr>
        <w:t>（</w:t>
      </w:r>
      <w:r>
        <w:rPr>
          <w:color w:val="auto"/>
          <w:highlight w:val="none"/>
        </w:rPr>
        <w:t>1</w:t>
      </w:r>
      <w:r>
        <w:rPr>
          <w:rFonts w:hint="eastAsia"/>
          <w:color w:val="auto"/>
          <w:highlight w:val="none"/>
        </w:rPr>
        <w:t>）投标报价低者；</w:t>
      </w:r>
    </w:p>
    <w:p>
      <w:pPr>
        <w:ind w:firstLine="420"/>
        <w:rPr>
          <w:color w:val="auto"/>
          <w:highlight w:val="none"/>
        </w:rPr>
      </w:pPr>
      <w:r>
        <w:rPr>
          <w:rFonts w:hint="eastAsia"/>
          <w:color w:val="auto"/>
          <w:highlight w:val="none"/>
        </w:rPr>
        <w:t>（</w:t>
      </w:r>
      <w:r>
        <w:rPr>
          <w:color w:val="auto"/>
          <w:highlight w:val="none"/>
        </w:rPr>
        <w:t>2</w:t>
      </w:r>
      <w:r>
        <w:rPr>
          <w:rFonts w:hint="eastAsia"/>
          <w:color w:val="auto"/>
          <w:highlight w:val="none"/>
        </w:rPr>
        <w:t>）抽签确定。</w:t>
      </w:r>
    </w:p>
    <w:p>
      <w:pPr>
        <w:spacing w:before="120" w:after="120" w:line="440" w:lineRule="exact"/>
        <w:jc w:val="center"/>
        <w:outlineLvl w:val="9"/>
        <w:rPr>
          <w:rFonts w:eastAsia="黑体"/>
          <w:b/>
          <w:bCs/>
          <w:color w:val="auto"/>
          <w:sz w:val="32"/>
          <w:highlight w:val="none"/>
        </w:rPr>
      </w:pPr>
    </w:p>
    <w:p>
      <w:pPr>
        <w:spacing w:before="120" w:after="120" w:line="440" w:lineRule="exact"/>
        <w:jc w:val="center"/>
        <w:outlineLvl w:val="9"/>
        <w:rPr>
          <w:rFonts w:eastAsia="黑体"/>
          <w:b/>
          <w:bCs/>
          <w:color w:val="auto"/>
          <w:sz w:val="32"/>
          <w:highlight w:val="none"/>
        </w:rPr>
      </w:pPr>
    </w:p>
    <w:p>
      <w:pPr>
        <w:spacing w:before="120" w:after="120" w:line="440" w:lineRule="exact"/>
        <w:jc w:val="center"/>
        <w:outlineLvl w:val="9"/>
        <w:rPr>
          <w:rFonts w:eastAsia="黑体"/>
          <w:b/>
          <w:bCs/>
          <w:color w:val="auto"/>
          <w:sz w:val="32"/>
          <w:highlight w:val="none"/>
        </w:rPr>
      </w:pPr>
    </w:p>
    <w:p>
      <w:pPr>
        <w:spacing w:before="120" w:after="120" w:line="440" w:lineRule="exact"/>
        <w:jc w:val="center"/>
        <w:outlineLvl w:val="9"/>
        <w:rPr>
          <w:rFonts w:eastAsia="黑体"/>
          <w:b/>
          <w:bCs/>
          <w:color w:val="auto"/>
          <w:sz w:val="32"/>
          <w:highlight w:val="none"/>
        </w:rPr>
      </w:pPr>
    </w:p>
    <w:p>
      <w:pPr>
        <w:spacing w:before="120" w:after="120" w:line="440" w:lineRule="exact"/>
        <w:jc w:val="center"/>
        <w:outlineLvl w:val="9"/>
        <w:rPr>
          <w:rFonts w:eastAsia="黑体"/>
          <w:b/>
          <w:bCs/>
          <w:color w:val="auto"/>
          <w:sz w:val="32"/>
          <w:highlight w:val="none"/>
        </w:rPr>
      </w:pPr>
    </w:p>
    <w:p>
      <w:pPr>
        <w:pStyle w:val="19"/>
        <w:ind w:firstLine="321"/>
        <w:rPr>
          <w:rFonts w:eastAsia="黑体"/>
          <w:b/>
          <w:bCs/>
          <w:color w:val="auto"/>
          <w:sz w:val="32"/>
          <w:highlight w:val="none"/>
        </w:rPr>
      </w:pPr>
    </w:p>
    <w:p>
      <w:pPr>
        <w:pStyle w:val="33"/>
        <w:rPr>
          <w:rFonts w:eastAsia="黑体"/>
          <w:b/>
          <w:bCs/>
          <w:color w:val="auto"/>
          <w:sz w:val="32"/>
          <w:highlight w:val="none"/>
        </w:rPr>
      </w:pPr>
    </w:p>
    <w:p>
      <w:pPr>
        <w:rPr>
          <w:rFonts w:eastAsia="黑体"/>
          <w:b/>
          <w:bCs/>
          <w:color w:val="auto"/>
          <w:sz w:val="32"/>
          <w:highlight w:val="none"/>
        </w:rPr>
      </w:pPr>
    </w:p>
    <w:p>
      <w:pPr>
        <w:pStyle w:val="19"/>
        <w:ind w:firstLine="321"/>
        <w:rPr>
          <w:rFonts w:eastAsia="黑体"/>
          <w:b/>
          <w:bCs/>
          <w:color w:val="auto"/>
          <w:sz w:val="32"/>
          <w:highlight w:val="none"/>
        </w:rPr>
      </w:pPr>
    </w:p>
    <w:p>
      <w:pPr>
        <w:pStyle w:val="33"/>
        <w:rPr>
          <w:rFonts w:eastAsia="黑体"/>
          <w:b/>
          <w:bCs/>
          <w:color w:val="auto"/>
          <w:sz w:val="32"/>
          <w:highlight w:val="none"/>
        </w:rPr>
      </w:pPr>
    </w:p>
    <w:p>
      <w:pPr>
        <w:rPr>
          <w:rFonts w:eastAsia="黑体"/>
          <w:b/>
          <w:bCs/>
          <w:color w:val="auto"/>
          <w:sz w:val="32"/>
          <w:highlight w:val="none"/>
        </w:rPr>
      </w:pPr>
    </w:p>
    <w:p>
      <w:pPr>
        <w:pStyle w:val="19"/>
        <w:ind w:firstLine="210"/>
        <w:rPr>
          <w:color w:val="auto"/>
          <w:highlight w:val="none"/>
        </w:rPr>
      </w:pPr>
    </w:p>
    <w:p>
      <w:pPr>
        <w:spacing w:before="120" w:after="120" w:line="440" w:lineRule="exact"/>
        <w:jc w:val="center"/>
        <w:outlineLvl w:val="1"/>
        <w:rPr>
          <w:rFonts w:eastAsia="黑体"/>
          <w:b/>
          <w:bCs/>
          <w:color w:val="auto"/>
          <w:sz w:val="32"/>
          <w:highlight w:val="none"/>
        </w:rPr>
      </w:pPr>
      <w:r>
        <w:rPr>
          <w:rFonts w:eastAsia="黑体"/>
          <w:b/>
          <w:bCs/>
          <w:color w:val="auto"/>
          <w:sz w:val="32"/>
          <w:highlight w:val="none"/>
        </w:rPr>
        <w:t>第四章 合同条款及格式</w:t>
      </w:r>
      <w:bookmarkEnd w:id="774"/>
      <w:bookmarkEnd w:id="775"/>
      <w:bookmarkEnd w:id="776"/>
    </w:p>
    <w:p>
      <w:pPr>
        <w:spacing w:line="360" w:lineRule="exact"/>
        <w:ind w:firstLine="420" w:firstLineChars="200"/>
        <w:rPr>
          <w:color w:val="auto"/>
          <w:highlight w:val="none"/>
        </w:rPr>
      </w:pPr>
      <w:bookmarkStart w:id="780" w:name="_Toc351203652"/>
      <w:r>
        <w:rPr>
          <w:color w:val="auto"/>
          <w:highlight w:val="none"/>
        </w:rPr>
        <w:t>合同文本采用《建设工程施工合同（示范文本）》（GF-201</w:t>
      </w:r>
      <w:r>
        <w:rPr>
          <w:rFonts w:hint="eastAsia"/>
          <w:color w:val="auto"/>
          <w:highlight w:val="none"/>
        </w:rPr>
        <w:t>7</w:t>
      </w:r>
      <w:r>
        <w:rPr>
          <w:color w:val="auto"/>
          <w:highlight w:val="none"/>
        </w:rPr>
        <w:t>-0201）。</w:t>
      </w:r>
    </w:p>
    <w:p>
      <w:pPr>
        <w:spacing w:line="360" w:lineRule="exact"/>
        <w:ind w:firstLine="420" w:firstLineChars="200"/>
        <w:rPr>
          <w:color w:val="auto"/>
          <w:highlight w:val="none"/>
        </w:rPr>
      </w:pPr>
      <w:r>
        <w:rPr>
          <w:color w:val="auto"/>
          <w:highlight w:val="none"/>
        </w:rPr>
        <w:t>合同通用条款采用《建设工程施工合同（示范文本）》的通用条款（GF-201</w:t>
      </w:r>
      <w:r>
        <w:rPr>
          <w:rFonts w:hint="eastAsia"/>
          <w:color w:val="auto"/>
          <w:highlight w:val="none"/>
        </w:rPr>
        <w:t>7</w:t>
      </w:r>
      <w:r>
        <w:rPr>
          <w:color w:val="auto"/>
          <w:highlight w:val="none"/>
        </w:rPr>
        <w:t>-0201）。</w:t>
      </w:r>
    </w:p>
    <w:p>
      <w:pPr>
        <w:spacing w:line="360" w:lineRule="exact"/>
        <w:ind w:firstLine="420" w:firstLineChars="200"/>
        <w:rPr>
          <w:rFonts w:hint="eastAsia"/>
          <w:color w:val="auto"/>
          <w:highlight w:val="none"/>
        </w:rPr>
        <w:sectPr>
          <w:footerReference r:id="rId8" w:type="first"/>
          <w:footerReference r:id="rId7" w:type="default"/>
          <w:footnotePr>
            <w:numRestart w:val="eachPage"/>
          </w:footnotePr>
          <w:endnotePr>
            <w:numRestart w:val="eachSect"/>
          </w:endnotePr>
          <w:pgSz w:w="11907" w:h="16840"/>
          <w:pgMar w:top="1247" w:right="1361" w:bottom="1247" w:left="1361" w:header="851" w:footer="839" w:gutter="0"/>
          <w:cols w:space="720" w:num="1"/>
          <w:docGrid w:linePitch="435" w:charSpace="-6554"/>
        </w:sectPr>
      </w:pPr>
      <w:r>
        <w:rPr>
          <w:color w:val="auto"/>
          <w:highlight w:val="none"/>
        </w:rPr>
        <w:t>合同专用条款中的主要条款将由招标人(发包人)与中标人(</w:t>
      </w:r>
      <w:r>
        <w:rPr>
          <w:rFonts w:hint="eastAsia"/>
          <w:color w:val="auto"/>
          <w:highlight w:val="none"/>
        </w:rPr>
        <w:t>承包人</w:t>
      </w:r>
      <w:r>
        <w:rPr>
          <w:color w:val="auto"/>
          <w:highlight w:val="none"/>
        </w:rPr>
        <w:t>)根据投标文件</w:t>
      </w:r>
      <w:r>
        <w:rPr>
          <w:rFonts w:hint="eastAsia"/>
          <w:color w:val="auto"/>
          <w:highlight w:val="none"/>
        </w:rPr>
        <w:t>签订。</w:t>
      </w:r>
    </w:p>
    <w:p>
      <w:pPr>
        <w:snapToGrid w:val="0"/>
        <w:spacing w:before="293" w:beforeLines="50" w:after="293" w:afterLines="50"/>
        <w:jc w:val="center"/>
        <w:outlineLvl w:val="1"/>
        <w:rPr>
          <w:color w:val="auto"/>
          <w:szCs w:val="21"/>
          <w:highlight w:val="none"/>
        </w:rPr>
      </w:pPr>
      <w:r>
        <w:rPr>
          <w:rFonts w:hint="eastAsia" w:ascii="宋体" w:hAnsi="宋体" w:cs="宋体"/>
          <w:b/>
          <w:bCs/>
          <w:color w:val="auto"/>
          <w:sz w:val="32"/>
          <w:szCs w:val="32"/>
          <w:highlight w:val="none"/>
        </w:rPr>
        <w:t>第一部分    合同协议书</w:t>
      </w:r>
    </w:p>
    <w:p>
      <w:pPr>
        <w:spacing w:line="360" w:lineRule="exact"/>
        <w:rPr>
          <w:rFonts w:ascii="宋体" w:hAnsi="宋体" w:cs="宋体"/>
          <w:b/>
          <w:color w:val="auto"/>
          <w:szCs w:val="21"/>
          <w:highlight w:val="none"/>
          <w:u w:val="singl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台州市公安局台州湾新区（高新区）分局</w:t>
      </w:r>
    </w:p>
    <w:p>
      <w:pPr>
        <w:spacing w:line="360" w:lineRule="exact"/>
        <w:rPr>
          <w:rFonts w:ascii="宋体" w:hAnsi="宋体" w:cs="宋体"/>
          <w:b/>
          <w:color w:val="auto"/>
          <w:szCs w:val="21"/>
          <w:highlight w:val="none"/>
          <w:u w:val="singl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工程施工及有关事项协商一致，共同达成如下协议：</w:t>
      </w:r>
    </w:p>
    <w:p>
      <w:pPr>
        <w:spacing w:before="0" w:after="0" w:line="360" w:lineRule="exact"/>
        <w:outlineLvl w:val="9"/>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781" w:name="_Toc351203481"/>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一、工程概况</w:t>
      </w:r>
      <w:bookmarkEnd w:id="781"/>
    </w:p>
    <w:p>
      <w:pPr>
        <w:spacing w:line="360" w:lineRule="exact"/>
        <w:ind w:firstLine="404" w:firstLineChars="196"/>
        <w:rPr>
          <w:rFonts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r>
        <w:rPr>
          <w:rFonts w:hint="eastAsia" w:ascii="宋体" w:hAnsi="宋体" w:cs="宋体"/>
          <w:color w:val="auto"/>
          <w:szCs w:val="21"/>
          <w:highlight w:val="none"/>
          <w:u w:val="single"/>
        </w:rPr>
        <w:t>月湖派出所综合指挥室改造工程</w:t>
      </w:r>
      <w:r>
        <w:rPr>
          <w:rFonts w:hint="eastAsia" w:ascii="宋体" w:hAnsi="宋体" w:cs="宋体"/>
          <w:color w:val="auto"/>
          <w:szCs w:val="21"/>
          <w:highlight w:val="none"/>
        </w:rPr>
        <w:t>。</w:t>
      </w:r>
    </w:p>
    <w:p>
      <w:pPr>
        <w:spacing w:line="360" w:lineRule="exact"/>
        <w:ind w:firstLine="404" w:firstLineChars="196"/>
        <w:rPr>
          <w:rFonts w:ascii="宋体" w:hAnsi="宋体" w:cs="宋体"/>
          <w:bCs/>
          <w:color w:val="auto"/>
          <w:szCs w:val="21"/>
          <w:highlight w:val="none"/>
        </w:rPr>
      </w:pPr>
      <w:r>
        <w:rPr>
          <w:rFonts w:hint="eastAsia" w:ascii="宋体" w:hAnsi="宋体" w:cs="宋体"/>
          <w:bCs/>
          <w:color w:val="auto"/>
          <w:szCs w:val="21"/>
          <w:highlight w:val="none"/>
        </w:rPr>
        <w:t>2．工程地点：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台州市公安局台州湾新区分局大园内</w:t>
      </w:r>
      <w:r>
        <w:rPr>
          <w:rFonts w:hint="eastAsia" w:ascii="宋体" w:hAnsi="宋体" w:cs="宋体"/>
          <w:color w:val="auto"/>
          <w:szCs w:val="21"/>
          <w:highlight w:val="none"/>
        </w:rPr>
        <w:t>。</w:t>
      </w:r>
    </w:p>
    <w:p>
      <w:pPr>
        <w:spacing w:line="360" w:lineRule="exact"/>
        <w:ind w:firstLine="404" w:firstLineChars="196"/>
        <w:rPr>
          <w:rFonts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w:t>
      </w:r>
    </w:p>
    <w:p>
      <w:pPr>
        <w:spacing w:line="360" w:lineRule="exact"/>
        <w:ind w:firstLine="404" w:firstLineChars="196"/>
        <w:rPr>
          <w:rFonts w:ascii="宋体" w:hAnsi="宋体" w:cs="宋体"/>
          <w:bCs/>
          <w:color w:val="auto"/>
          <w:szCs w:val="21"/>
          <w:highlight w:val="none"/>
        </w:rPr>
      </w:pPr>
      <w:r>
        <w:rPr>
          <w:rFonts w:hint="eastAsia" w:ascii="宋体" w:hAnsi="宋体" w:cs="宋体"/>
          <w:bCs/>
          <w:color w:val="auto"/>
          <w:szCs w:val="21"/>
          <w:highlight w:val="none"/>
        </w:rPr>
        <w:t>4．资金来源：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自筹100%</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w:t>
      </w:r>
    </w:p>
    <w:p>
      <w:pPr>
        <w:spacing w:line="360" w:lineRule="exact"/>
        <w:ind w:firstLine="404" w:firstLineChars="196"/>
        <w:rPr>
          <w:rFonts w:ascii="宋体" w:hAnsi="宋体" w:cs="宋体"/>
          <w:bCs/>
          <w:color w:val="auto"/>
          <w:szCs w:val="21"/>
          <w:highlight w:val="none"/>
        </w:rPr>
      </w:pPr>
      <w:r>
        <w:rPr>
          <w:rFonts w:hint="eastAsia" w:ascii="宋体" w:hAnsi="宋体" w:cs="宋体"/>
          <w:bCs/>
          <w:color w:val="auto"/>
          <w:szCs w:val="21"/>
          <w:highlight w:val="none"/>
        </w:rPr>
        <w:t>5．工程内容：</w:t>
      </w:r>
      <w:r>
        <w:rPr>
          <w:rFonts w:hint="eastAsia" w:ascii="宋体" w:hAnsi="宋体" w:cs="宋体"/>
          <w:color w:val="auto"/>
          <w:szCs w:val="21"/>
          <w:highlight w:val="none"/>
          <w:u w:val="single"/>
        </w:rPr>
        <w:t xml:space="preserve">施工图纸所包含的全部工程 </w:t>
      </w:r>
      <w:r>
        <w:rPr>
          <w:rFonts w:hint="eastAsia" w:ascii="宋体" w:hAnsi="宋体" w:cs="宋体"/>
          <w:bCs/>
          <w:color w:val="auto"/>
          <w:szCs w:val="21"/>
          <w:highlight w:val="none"/>
        </w:rPr>
        <w:t>。</w:t>
      </w:r>
    </w:p>
    <w:p>
      <w:pPr>
        <w:spacing w:line="360" w:lineRule="exact"/>
        <w:ind w:firstLine="404" w:firstLineChars="196"/>
        <w:rPr>
          <w:rFonts w:ascii="宋体" w:hAnsi="宋体" w:cs="宋体"/>
          <w:bCs/>
          <w:color w:val="auto"/>
          <w:szCs w:val="21"/>
          <w:highlight w:val="none"/>
        </w:rPr>
      </w:pPr>
      <w:r>
        <w:rPr>
          <w:rFonts w:hint="eastAsia" w:ascii="宋体" w:hAnsi="宋体" w:cs="宋体"/>
          <w:color w:val="auto"/>
          <w:szCs w:val="21"/>
          <w:highlight w:val="none"/>
        </w:rPr>
        <w:t>群体工程应附《承包人承揽工程项目一览表》（附件1）。</w:t>
      </w:r>
    </w:p>
    <w:p>
      <w:pPr>
        <w:spacing w:line="360" w:lineRule="exact"/>
        <w:ind w:firstLine="412" w:firstLineChars="200"/>
        <w:rPr>
          <w:rFonts w:ascii="宋体" w:hAnsi="宋体" w:cs="宋体"/>
          <w:color w:val="auto"/>
          <w:szCs w:val="21"/>
          <w:highlight w:val="none"/>
        </w:rPr>
      </w:pPr>
      <w:r>
        <w:rPr>
          <w:rFonts w:hint="eastAsia" w:ascii="宋体" w:hAnsi="宋体" w:cs="宋体"/>
          <w:bCs/>
          <w:color w:val="auto"/>
          <w:szCs w:val="21"/>
          <w:highlight w:val="none"/>
        </w:rPr>
        <w:t>6．工程承包范围：</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w:t>
      </w:r>
    </w:p>
    <w:p>
      <w:pPr>
        <w:spacing w:before="0" w:after="0" w:line="360" w:lineRule="exact"/>
        <w:outlineLvl w:val="9"/>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782" w:name="_Toc351203482"/>
      <w:r>
        <w:rPr>
          <w:rFonts w:hint="eastAsia" w:ascii="宋体" w:hAnsi="宋体" w:eastAsia="宋体" w:cs="宋体"/>
          <w:b w:val="0"/>
          <w:color w:val="auto"/>
          <w:sz w:val="21"/>
          <w:szCs w:val="21"/>
          <w:highlight w:val="none"/>
        </w:rPr>
        <w:t xml:space="preserve"> 二、合同工期</w:t>
      </w:r>
      <w:bookmarkEnd w:id="782"/>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天。工期总日历天数与根据前述计划开、竣工日期计算的工期天数不一致的，以工期总日历天数为准。</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中间形象进度工期要求：  </w:t>
      </w:r>
      <w:r>
        <w:rPr>
          <w:rFonts w:hint="eastAsia" w:ascii="宋体" w:hAnsi="宋体" w:cs="宋体"/>
          <w:color w:val="auto"/>
          <w:szCs w:val="21"/>
          <w:highlight w:val="none"/>
          <w:u w:val="single"/>
        </w:rPr>
        <w:t xml:space="preserve">                                      。</w:t>
      </w:r>
    </w:p>
    <w:p>
      <w:pPr>
        <w:spacing w:before="0" w:after="0" w:line="360" w:lineRule="exact"/>
        <w:outlineLvl w:val="9"/>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783" w:name="_Toc351203483"/>
      <w:r>
        <w:rPr>
          <w:rFonts w:hint="eastAsia" w:ascii="宋体" w:hAnsi="宋体" w:eastAsia="宋体" w:cs="宋体"/>
          <w:b w:val="0"/>
          <w:color w:val="auto"/>
          <w:sz w:val="21"/>
          <w:szCs w:val="21"/>
          <w:highlight w:val="none"/>
        </w:rPr>
        <w:t>三、质量标准</w:t>
      </w:r>
      <w:bookmarkEnd w:id="783"/>
    </w:p>
    <w:p>
      <w:pPr>
        <w:spacing w:line="360" w:lineRule="exact"/>
        <w:ind w:firstLine="459"/>
        <w:rPr>
          <w:rFonts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标准。</w:t>
      </w:r>
    </w:p>
    <w:p>
      <w:pPr>
        <w:spacing w:before="0" w:after="0" w:line="360" w:lineRule="exact"/>
        <w:outlineLvl w:val="9"/>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784" w:name="_Toc351203484"/>
      <w:r>
        <w:rPr>
          <w:rFonts w:hint="eastAsia" w:ascii="宋体" w:hAnsi="宋体" w:eastAsia="宋体" w:cs="宋体"/>
          <w:b w:val="0"/>
          <w:color w:val="auto"/>
          <w:sz w:val="21"/>
          <w:szCs w:val="21"/>
          <w:highlight w:val="none"/>
        </w:rPr>
        <w:t>四、签约合同价与合同价格形式</w:t>
      </w:r>
      <w:bookmarkEnd w:id="784"/>
      <w:r>
        <w:rPr>
          <w:rFonts w:hint="eastAsia" w:ascii="宋体" w:hAnsi="宋体" w:eastAsia="宋体" w:cs="宋体"/>
          <w:b w:val="0"/>
          <w:color w:val="auto"/>
          <w:sz w:val="21"/>
          <w:szCs w:val="21"/>
          <w:highlight w:val="none"/>
        </w:rPr>
        <w:tab/>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1．签约合同价为：</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color w:val="auto"/>
          <w:szCs w:val="21"/>
          <w:highlight w:val="none"/>
          <w:u w:val="single"/>
        </w:rPr>
        <w:t xml:space="preserve"> 单价合同</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3．发包人向承包人支付工程价款及其他应当支付的款项均须汇入承包人合同协议书中的银行账户，并开具增值税发票。</w:t>
      </w:r>
    </w:p>
    <w:p>
      <w:pPr>
        <w:spacing w:line="360" w:lineRule="exact"/>
        <w:ind w:firstLine="346" w:firstLineChars="168"/>
        <w:rPr>
          <w:rFonts w:ascii="宋体" w:hAnsi="宋体" w:cs="宋体"/>
          <w:color w:val="auto"/>
          <w:szCs w:val="21"/>
          <w:highlight w:val="none"/>
        </w:rPr>
      </w:pPr>
      <w:r>
        <w:rPr>
          <w:rFonts w:hint="eastAsia" w:ascii="宋体" w:hAnsi="宋体" w:cs="宋体"/>
          <w:color w:val="auto"/>
          <w:szCs w:val="21"/>
          <w:highlight w:val="none"/>
        </w:rPr>
        <w:t>根据《关于全面推开营业税改征增值税试点的通知》（</w:t>
      </w:r>
      <w:r>
        <w:rPr>
          <w:rFonts w:hint="eastAsia" w:ascii="宋体" w:hAnsi="宋体" w:cs="宋体"/>
          <w:bCs/>
          <w:color w:val="auto"/>
          <w:szCs w:val="21"/>
          <w:highlight w:val="none"/>
          <w:shd w:val="clear" w:color="auto" w:fill="FFFFFF"/>
        </w:rPr>
        <w:t>财税〔2016〕36号</w:t>
      </w:r>
      <w:r>
        <w:rPr>
          <w:rFonts w:hint="eastAsia" w:ascii="宋体" w:hAnsi="宋体" w:cs="宋体"/>
          <w:color w:val="auto"/>
          <w:szCs w:val="21"/>
          <w:highlight w:val="none"/>
          <w:shd w:val="clear" w:color="auto" w:fill="FFFFFF"/>
        </w:rPr>
        <w:t>）等有关规定，承包人完成本合同项下应税行为的计税方式按</w:t>
      </w:r>
      <w:r>
        <w:rPr>
          <w:rFonts w:hint="eastAsia" w:ascii="宋体" w:hAnsi="宋体" w:cs="宋体"/>
          <w:color w:val="auto"/>
          <w:szCs w:val="21"/>
          <w:highlight w:val="none"/>
        </w:rPr>
        <w:t>以下第</w:t>
      </w:r>
      <w:r>
        <w:rPr>
          <w:rFonts w:hint="eastAsia" w:ascii="宋体" w:hAnsi="宋体" w:cs="宋体"/>
          <w:color w:val="auto"/>
          <w:szCs w:val="21"/>
          <w:highlight w:val="none"/>
          <w:u w:val="single"/>
          <w:shd w:val="clear" w:color="auto" w:fill="FFFFFF"/>
        </w:rPr>
        <w:t>（</w:t>
      </w:r>
      <w:r>
        <w:rPr>
          <w:rFonts w:hint="eastAsia" w:ascii="宋体" w:hAnsi="宋体" w:cs="宋体"/>
          <w:color w:val="auto"/>
          <w:szCs w:val="21"/>
          <w:highlight w:val="none"/>
          <w:u w:val="single"/>
          <w:shd w:val="clear" w:color="auto" w:fill="FFFFFF"/>
          <w:lang w:val="en-US" w:eastAsia="zh-CN"/>
        </w:rPr>
        <w:t>1</w:t>
      </w:r>
      <w:r>
        <w:rPr>
          <w:rFonts w:hint="eastAsia" w:ascii="宋体" w:hAnsi="宋体" w:cs="宋体"/>
          <w:color w:val="auto"/>
          <w:szCs w:val="21"/>
          <w:highlight w:val="none"/>
          <w:u w:val="single"/>
          <w:shd w:val="clear" w:color="auto" w:fill="FFFFFF"/>
        </w:rPr>
        <w:t>）</w:t>
      </w:r>
      <w:r>
        <w:rPr>
          <w:rFonts w:hint="eastAsia" w:ascii="宋体" w:hAnsi="宋体" w:cs="宋体"/>
          <w:color w:val="auto"/>
          <w:szCs w:val="21"/>
          <w:highlight w:val="none"/>
          <w:shd w:val="clear" w:color="auto" w:fill="FFFFFF"/>
        </w:rPr>
        <w:t>种方法，并与</w:t>
      </w:r>
      <w:r>
        <w:rPr>
          <w:rFonts w:hint="eastAsia" w:ascii="宋体" w:hAnsi="宋体" w:cs="宋体"/>
          <w:color w:val="auto"/>
          <w:szCs w:val="21"/>
          <w:highlight w:val="none"/>
        </w:rPr>
        <w:t>工程计价时采用的计税方法一致。</w:t>
      </w:r>
    </w:p>
    <w:p>
      <w:pPr>
        <w:spacing w:line="360" w:lineRule="exact"/>
        <w:ind w:firstLine="346" w:firstLineChars="168"/>
        <w:rPr>
          <w:rFonts w:ascii="宋体" w:hAnsi="宋体" w:cs="宋体"/>
          <w:color w:val="auto"/>
          <w:szCs w:val="21"/>
          <w:highlight w:val="none"/>
        </w:rPr>
      </w:pPr>
      <w:r>
        <w:rPr>
          <w:rFonts w:hint="eastAsia" w:ascii="宋体" w:hAnsi="宋体" w:cs="宋体"/>
          <w:color w:val="auto"/>
          <w:szCs w:val="21"/>
          <w:highlight w:val="none"/>
          <w:shd w:val="clear" w:color="auto" w:fill="FFFFFF"/>
        </w:rPr>
        <w:t>（1）一般计税方法。</w:t>
      </w:r>
    </w:p>
    <w:p>
      <w:pPr>
        <w:spacing w:line="360" w:lineRule="exact"/>
        <w:ind w:firstLine="346" w:firstLineChars="168"/>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shd w:val="clear" w:color="auto" w:fill="FFFFFF"/>
        </w:rPr>
        <w:t>按简易计税方法。</w:t>
      </w:r>
    </w:p>
    <w:p>
      <w:pPr>
        <w:spacing w:before="0" w:after="0" w:line="360" w:lineRule="exact"/>
        <w:outlineLvl w:val="9"/>
        <w:rPr>
          <w:rFonts w:ascii="宋体" w:hAnsi="宋体" w:eastAsia="宋体" w:cs="宋体"/>
          <w:b w:val="0"/>
          <w:color w:val="auto"/>
          <w:sz w:val="21"/>
          <w:szCs w:val="21"/>
          <w:highlight w:val="none"/>
        </w:rPr>
      </w:pPr>
      <w:r>
        <w:rPr>
          <w:rFonts w:hint="eastAsia" w:ascii="宋体" w:hAnsi="宋体" w:eastAsia="宋体" w:cs="宋体"/>
          <w:bCs w:val="0"/>
          <w:color w:val="auto"/>
          <w:sz w:val="21"/>
          <w:szCs w:val="21"/>
          <w:highlight w:val="none"/>
        </w:rPr>
        <w:t xml:space="preserve">    </w:t>
      </w:r>
      <w:bookmarkStart w:id="785" w:name="_Toc351203485"/>
      <w:r>
        <w:rPr>
          <w:rFonts w:hint="eastAsia" w:ascii="宋体" w:hAnsi="宋体" w:eastAsia="宋体" w:cs="宋体"/>
          <w:b w:val="0"/>
          <w:color w:val="auto"/>
          <w:sz w:val="21"/>
          <w:szCs w:val="21"/>
          <w:highlight w:val="none"/>
        </w:rPr>
        <w:t>五、</w:t>
      </w:r>
      <w:bookmarkEnd w:id="785"/>
      <w:r>
        <w:rPr>
          <w:rFonts w:hint="eastAsia" w:ascii="宋体" w:hAnsi="宋体" w:eastAsia="宋体" w:cs="宋体"/>
          <w:b w:val="0"/>
          <w:color w:val="auto"/>
          <w:sz w:val="21"/>
          <w:szCs w:val="21"/>
          <w:highlight w:val="none"/>
        </w:rPr>
        <w:t>项目经理</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before="0" w:after="0" w:line="360" w:lineRule="exact"/>
        <w:outlineLvl w:val="9"/>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786" w:name="_Toc351203486"/>
      <w:r>
        <w:rPr>
          <w:rFonts w:hint="eastAsia" w:ascii="宋体" w:hAnsi="宋体" w:eastAsia="宋体" w:cs="宋体"/>
          <w:b w:val="0"/>
          <w:color w:val="auto"/>
          <w:sz w:val="21"/>
          <w:szCs w:val="21"/>
          <w:highlight w:val="none"/>
        </w:rPr>
        <w:t>六、合同文件构成</w:t>
      </w:r>
      <w:bookmarkEnd w:id="786"/>
    </w:p>
    <w:p>
      <w:pPr>
        <w:spacing w:line="360" w:lineRule="exact"/>
        <w:ind w:firstLine="412" w:firstLineChars="200"/>
        <w:rPr>
          <w:rFonts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pPr>
        <w:autoSpaceDE w:val="0"/>
        <w:autoSpaceDN w:val="0"/>
        <w:adjustRightInd w:val="0"/>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（1）中标通知书（如果有）；</w:t>
      </w:r>
    </w:p>
    <w:p>
      <w:pPr>
        <w:autoSpaceDE w:val="0"/>
        <w:autoSpaceDN w:val="0"/>
        <w:adjustRightInd w:val="0"/>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（2）投标函及其附录（如果有）；</w:t>
      </w:r>
    </w:p>
    <w:p>
      <w:pPr>
        <w:autoSpaceDE w:val="0"/>
        <w:autoSpaceDN w:val="0"/>
        <w:adjustRightInd w:val="0"/>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（3）专用合同条款及其附件；</w:t>
      </w:r>
    </w:p>
    <w:p>
      <w:pPr>
        <w:autoSpaceDE w:val="0"/>
        <w:autoSpaceDN w:val="0"/>
        <w:adjustRightInd w:val="0"/>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（4）通用合同条款；</w:t>
      </w:r>
    </w:p>
    <w:p>
      <w:pPr>
        <w:autoSpaceDE w:val="0"/>
        <w:autoSpaceDN w:val="0"/>
        <w:adjustRightInd w:val="0"/>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（5）技术标准和要求；</w:t>
      </w:r>
    </w:p>
    <w:p>
      <w:pPr>
        <w:autoSpaceDE w:val="0"/>
        <w:autoSpaceDN w:val="0"/>
        <w:adjustRightInd w:val="0"/>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（6）图纸；</w:t>
      </w:r>
    </w:p>
    <w:p>
      <w:pPr>
        <w:autoSpaceDE w:val="0"/>
        <w:autoSpaceDN w:val="0"/>
        <w:adjustRightInd w:val="0"/>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（7）已标价工程量清单或预算书；</w:t>
      </w:r>
    </w:p>
    <w:p>
      <w:pPr>
        <w:autoSpaceDE w:val="0"/>
        <w:autoSpaceDN w:val="0"/>
        <w:adjustRightInd w:val="0"/>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（8）其他合同文件。</w:t>
      </w:r>
    </w:p>
    <w:p>
      <w:pPr>
        <w:autoSpaceDE w:val="0"/>
        <w:autoSpaceDN w:val="0"/>
        <w:adjustRightInd w:val="0"/>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pPr>
        <w:autoSpaceDE w:val="0"/>
        <w:autoSpaceDN w:val="0"/>
        <w:adjustRightInd w:val="0"/>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spacing w:before="0" w:after="0" w:line="360" w:lineRule="exact"/>
        <w:ind w:firstLine="309" w:firstLineChars="150"/>
        <w:outlineLvl w:val="9"/>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七、创优目标</w:t>
      </w:r>
    </w:p>
    <w:p>
      <w:pPr>
        <w:autoSpaceDE w:val="0"/>
        <w:autoSpaceDN w:val="0"/>
        <w:adjustRightInd w:val="0"/>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工程质量创</w:t>
      </w:r>
      <w:r>
        <w:rPr>
          <w:rFonts w:hint="eastAsia" w:ascii="宋体" w:hAnsi="宋体" w:cs="宋体"/>
          <w:color w:val="auto"/>
          <w:szCs w:val="21"/>
          <w:highlight w:val="none"/>
          <w:u w:val="single"/>
        </w:rPr>
        <w:t xml:space="preserve">    /     。</w:t>
      </w:r>
    </w:p>
    <w:p>
      <w:pPr>
        <w:autoSpaceDE w:val="0"/>
        <w:autoSpaceDN w:val="0"/>
        <w:adjustRightInd w:val="0"/>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安全文明施工创</w:t>
      </w:r>
      <w:r>
        <w:rPr>
          <w:rFonts w:hint="eastAsia" w:ascii="宋体" w:hAnsi="宋体" w:cs="宋体"/>
          <w:color w:val="auto"/>
          <w:szCs w:val="21"/>
          <w:highlight w:val="none"/>
          <w:u w:val="single"/>
        </w:rPr>
        <w:t xml:space="preserve">     /  。</w:t>
      </w:r>
    </w:p>
    <w:p>
      <w:pPr>
        <w:spacing w:before="0" w:after="0" w:line="360" w:lineRule="exact"/>
        <w:outlineLvl w:val="9"/>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787" w:name="_Toc351203487"/>
      <w:r>
        <w:rPr>
          <w:rFonts w:hint="eastAsia" w:ascii="宋体" w:hAnsi="宋体" w:eastAsia="宋体" w:cs="宋体"/>
          <w:b w:val="0"/>
          <w:color w:val="auto"/>
          <w:sz w:val="21"/>
          <w:szCs w:val="21"/>
          <w:highlight w:val="none"/>
        </w:rPr>
        <w:t>八、承诺</w:t>
      </w:r>
      <w:bookmarkEnd w:id="787"/>
    </w:p>
    <w:p>
      <w:pPr>
        <w:spacing w:line="360" w:lineRule="exact"/>
        <w:ind w:firstLine="412" w:firstLineChars="200"/>
        <w:rPr>
          <w:rFonts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pPr>
        <w:spacing w:line="360" w:lineRule="exact"/>
        <w:ind w:firstLine="412" w:firstLineChars="200"/>
        <w:rPr>
          <w:rFonts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tabs>
          <w:tab w:val="left" w:pos="0"/>
        </w:tabs>
        <w:spacing w:line="360" w:lineRule="exact"/>
        <w:ind w:firstLine="412" w:firstLineChars="200"/>
        <w:rPr>
          <w:rFonts w:ascii="宋体" w:hAnsi="宋体" w:cs="宋体"/>
          <w:color w:val="auto"/>
          <w:kern w:val="0"/>
          <w:szCs w:val="21"/>
          <w:highlight w:val="none"/>
        </w:rPr>
      </w:pPr>
      <w:r>
        <w:rPr>
          <w:rFonts w:hint="eastAsia" w:ascii="宋体" w:hAnsi="宋体" w:cs="宋体"/>
          <w:bCs/>
          <w:color w:val="auto"/>
          <w:szCs w:val="21"/>
          <w:highlight w:val="none"/>
        </w:rPr>
        <w:t xml:space="preserve">3. </w:t>
      </w:r>
      <w:r>
        <w:rPr>
          <w:rFonts w:hint="eastAsia" w:ascii="宋体" w:hAnsi="宋体" w:cs="宋体"/>
          <w:color w:val="auto"/>
          <w:kern w:val="0"/>
          <w:szCs w:val="21"/>
          <w:highlight w:val="none"/>
        </w:rPr>
        <w:t>承包人</w:t>
      </w:r>
      <w:r>
        <w:rPr>
          <w:rFonts w:hint="eastAsia" w:ascii="宋体" w:hAnsi="宋体" w:cs="宋体"/>
          <w:bCs/>
          <w:color w:val="auto"/>
          <w:szCs w:val="21"/>
          <w:highlight w:val="none"/>
        </w:rPr>
        <w:t>承诺</w:t>
      </w:r>
      <w:r>
        <w:rPr>
          <w:rFonts w:hint="eastAsia" w:ascii="宋体" w:hAnsi="宋体" w:cs="宋体"/>
          <w:color w:val="auto"/>
          <w:kern w:val="0"/>
          <w:szCs w:val="21"/>
          <w:highlight w:val="none"/>
        </w:rPr>
        <w:t>不拖欠工人工资，因拖欠工资造成的一切后果，均由承包人承担，发包人有权将应拔付的工程款，先代付工资。</w:t>
      </w:r>
    </w:p>
    <w:p>
      <w:pPr>
        <w:spacing w:line="360" w:lineRule="exact"/>
        <w:ind w:firstLine="412" w:firstLineChars="200"/>
        <w:rPr>
          <w:rFonts w:ascii="宋体" w:hAnsi="宋体" w:cs="宋体"/>
          <w:bCs/>
          <w:color w:val="auto"/>
          <w:szCs w:val="21"/>
          <w:highlight w:val="none"/>
        </w:rPr>
      </w:pPr>
      <w:r>
        <w:rPr>
          <w:rFonts w:hint="eastAsia" w:ascii="宋体" w:hAnsi="宋体" w:cs="宋体"/>
          <w:bCs/>
          <w:color w:val="auto"/>
          <w:szCs w:val="21"/>
          <w:highlight w:val="none"/>
        </w:rPr>
        <w:t>4．发包人和承包人通过招投标形式签订合同的，双方理解并承诺不再就同一工程另行签订与合同实质性内容相背离的协议。另行签订的协议不能作为结算依据。</w:t>
      </w:r>
    </w:p>
    <w:p>
      <w:pPr>
        <w:spacing w:line="360" w:lineRule="exact"/>
        <w:rPr>
          <w:rFonts w:ascii="宋体" w:hAnsi="宋体" w:cs="宋体"/>
          <w:bCs/>
          <w:color w:val="auto"/>
          <w:szCs w:val="21"/>
          <w:highlight w:val="none"/>
        </w:rPr>
      </w:pPr>
      <w:bookmarkStart w:id="788" w:name="_Toc351203488"/>
      <w:r>
        <w:rPr>
          <w:rFonts w:hint="eastAsia" w:ascii="宋体" w:hAnsi="宋体" w:cs="宋体"/>
          <w:color w:val="auto"/>
          <w:szCs w:val="21"/>
          <w:highlight w:val="none"/>
        </w:rPr>
        <w:t xml:space="preserve">    九、词语含义</w:t>
      </w:r>
      <w:bookmarkEnd w:id="788"/>
    </w:p>
    <w:p>
      <w:pPr>
        <w:spacing w:line="360" w:lineRule="exact"/>
        <w:ind w:firstLine="412" w:firstLineChars="200"/>
        <w:rPr>
          <w:rFonts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pPr>
        <w:spacing w:before="0" w:after="0" w:line="360" w:lineRule="exact"/>
        <w:outlineLvl w:val="9"/>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789" w:name="_Toc351203489"/>
      <w:r>
        <w:rPr>
          <w:rFonts w:hint="eastAsia" w:ascii="宋体" w:hAnsi="宋体" w:eastAsia="宋体" w:cs="宋体"/>
          <w:b w:val="0"/>
          <w:color w:val="auto"/>
          <w:sz w:val="21"/>
          <w:szCs w:val="21"/>
          <w:highlight w:val="none"/>
        </w:rPr>
        <w:t>十、签订时间</w:t>
      </w:r>
      <w:bookmarkEnd w:id="789"/>
    </w:p>
    <w:p>
      <w:pPr>
        <w:spacing w:line="360" w:lineRule="exact"/>
        <w:ind w:firstLine="412" w:firstLineChars="200"/>
        <w:rPr>
          <w:rFonts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pPr>
        <w:spacing w:before="0" w:after="0" w:line="360" w:lineRule="exact"/>
        <w:outlineLvl w:val="9"/>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790" w:name="_Toc351203490"/>
      <w:r>
        <w:rPr>
          <w:rFonts w:hint="eastAsia" w:ascii="宋体" w:hAnsi="宋体" w:eastAsia="宋体" w:cs="宋体"/>
          <w:b w:val="0"/>
          <w:color w:val="auto"/>
          <w:sz w:val="21"/>
          <w:szCs w:val="21"/>
          <w:highlight w:val="none"/>
        </w:rPr>
        <w:t>十一、签订地点</w:t>
      </w:r>
      <w:bookmarkEnd w:id="790"/>
    </w:p>
    <w:p>
      <w:pPr>
        <w:spacing w:line="360" w:lineRule="exact"/>
        <w:ind w:firstLine="412" w:firstLineChars="200"/>
        <w:rPr>
          <w:rFonts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pPr>
        <w:spacing w:before="0" w:after="0" w:line="360" w:lineRule="exact"/>
        <w:outlineLvl w:val="9"/>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791" w:name="_Toc351203491"/>
      <w:r>
        <w:rPr>
          <w:rFonts w:hint="eastAsia" w:ascii="宋体" w:hAnsi="宋体" w:eastAsia="宋体" w:cs="宋体"/>
          <w:b w:val="0"/>
          <w:color w:val="auto"/>
          <w:sz w:val="21"/>
          <w:szCs w:val="21"/>
          <w:highlight w:val="none"/>
        </w:rPr>
        <w:t>十二、补充协议</w:t>
      </w:r>
      <w:bookmarkEnd w:id="791"/>
    </w:p>
    <w:p>
      <w:pPr>
        <w:spacing w:line="360" w:lineRule="exact"/>
        <w:ind w:firstLine="412" w:firstLineChars="200"/>
        <w:rPr>
          <w:rFonts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pPr>
        <w:spacing w:before="0" w:after="0" w:line="360" w:lineRule="exact"/>
        <w:outlineLvl w:val="9"/>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792" w:name="_Toc351203492"/>
      <w:r>
        <w:rPr>
          <w:rFonts w:hint="eastAsia" w:ascii="宋体" w:hAnsi="宋体" w:eastAsia="宋体" w:cs="宋体"/>
          <w:b w:val="0"/>
          <w:color w:val="auto"/>
          <w:sz w:val="21"/>
          <w:szCs w:val="21"/>
          <w:highlight w:val="none"/>
        </w:rPr>
        <w:t>十三、合同生效</w:t>
      </w:r>
      <w:bookmarkEnd w:id="792"/>
    </w:p>
    <w:p>
      <w:pPr>
        <w:spacing w:line="360" w:lineRule="exact"/>
        <w:ind w:firstLine="412" w:firstLineChars="200"/>
        <w:rPr>
          <w:rFonts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双方法定代表人或委托代理人签字并加盖公章后生效。</w:t>
      </w:r>
    </w:p>
    <w:p>
      <w:pPr>
        <w:spacing w:before="0" w:after="0" w:line="360" w:lineRule="exact"/>
        <w:outlineLvl w:val="9"/>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793" w:name="_Toc351203493"/>
      <w:r>
        <w:rPr>
          <w:rFonts w:hint="eastAsia" w:ascii="宋体" w:hAnsi="宋体" w:eastAsia="宋体" w:cs="宋体"/>
          <w:b w:val="0"/>
          <w:color w:val="auto"/>
          <w:sz w:val="21"/>
          <w:szCs w:val="21"/>
          <w:highlight w:val="none"/>
        </w:rPr>
        <w:t>十四、合同份数</w:t>
      </w:r>
      <w:bookmarkEnd w:id="793"/>
    </w:p>
    <w:p>
      <w:pPr>
        <w:spacing w:line="360" w:lineRule="exact"/>
        <w:ind w:firstLine="412" w:firstLineChars="200"/>
        <w:rPr>
          <w:rFonts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份,招标代理机构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pPr>
        <w:spacing w:line="360" w:lineRule="exact"/>
        <w:rPr>
          <w:rFonts w:ascii="宋体" w:hAnsi="宋体" w:cs="宋体"/>
          <w:bCs/>
          <w:color w:val="auto"/>
          <w:szCs w:val="21"/>
          <w:highlight w:val="none"/>
        </w:rPr>
      </w:pPr>
    </w:p>
    <w:p>
      <w:pPr>
        <w:spacing w:line="360" w:lineRule="exact"/>
        <w:rPr>
          <w:rFonts w:ascii="宋体" w:hAnsi="宋体" w:cs="宋体"/>
          <w:color w:val="auto"/>
          <w:szCs w:val="21"/>
          <w:highlight w:val="none"/>
          <w:u w:val="single"/>
        </w:rPr>
      </w:pPr>
      <w:r>
        <w:rPr>
          <w:rFonts w:hint="eastAsia" w:ascii="宋体" w:hAnsi="宋体" w:cs="宋体"/>
          <w:color w:val="auto"/>
          <w:szCs w:val="21"/>
          <w:highlight w:val="none"/>
        </w:rPr>
        <w:t>发包人：  （公章）                     承包人：  （公章）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（签字）                              （签字）</w:t>
      </w:r>
    </w:p>
    <w:p>
      <w:pPr>
        <w:tabs>
          <w:tab w:val="left" w:pos="4410"/>
        </w:tabs>
        <w:spacing w:line="360" w:lineRule="exact"/>
        <w:rPr>
          <w:rFonts w:ascii="宋体" w:hAnsi="宋体" w:cs="宋体"/>
          <w:color w:val="auto"/>
          <w:szCs w:val="21"/>
          <w:highlight w:val="none"/>
        </w:rPr>
      </w:pPr>
      <w:r>
        <w:rPr>
          <w:rFonts w:hint="eastAsia" w:ascii="宋体" w:hAnsi="宋体" w:cs="宋体"/>
          <w:color w:val="auto"/>
          <w:szCs w:val="21"/>
          <w:highlight w:val="none"/>
        </w:rPr>
        <w:t>统一社会信用代码：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统一社会信用代码：</w:t>
      </w:r>
      <w:r>
        <w:rPr>
          <w:rFonts w:hint="eastAsia" w:ascii="宋体" w:hAnsi="宋体" w:cs="宋体"/>
          <w:color w:val="auto"/>
          <w:szCs w:val="21"/>
          <w:highlight w:val="none"/>
          <w:u w:val="single"/>
        </w:rPr>
        <w:t xml:space="preserve">  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                                 </w:t>
      </w:r>
    </w:p>
    <w:p>
      <w:pPr>
        <w:spacing w:line="360" w:lineRule="exact"/>
        <w:rPr>
          <w:rFonts w:ascii="宋体" w:hAnsi="宋体" w:cs="宋体"/>
          <w:b/>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                                   </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13"/>
        <w:jc w:val="center"/>
        <w:rPr>
          <w:rFonts w:hint="eastAsia" w:ascii="宋体" w:hAnsi="宋体" w:eastAsia="宋体"/>
          <w:b/>
          <w:bCs/>
          <w:color w:val="auto"/>
          <w:sz w:val="32"/>
          <w:szCs w:val="32"/>
          <w:highlight w:val="none"/>
          <w:lang w:eastAsia="zh-CN"/>
        </w:rPr>
      </w:pPr>
      <w:bookmarkStart w:id="794" w:name="_Toc15472"/>
      <w:bookmarkStart w:id="795" w:name="_Toc9327"/>
      <w:r>
        <w:rPr>
          <w:rFonts w:hint="eastAsia" w:ascii="宋体" w:hAnsi="宋体" w:eastAsia="宋体"/>
          <w:b/>
          <w:bCs/>
          <w:color w:val="auto"/>
          <w:sz w:val="32"/>
          <w:szCs w:val="32"/>
          <w:highlight w:val="none"/>
        </w:rPr>
        <w:t>第二部分   通用合同条款</w:t>
      </w:r>
      <w:bookmarkEnd w:id="794"/>
      <w:bookmarkEnd w:id="795"/>
      <w:r>
        <w:rPr>
          <w:rFonts w:hint="eastAsia" w:ascii="宋体" w:hAnsi="宋体" w:eastAsia="宋体"/>
          <w:b/>
          <w:bCs/>
          <w:color w:val="auto"/>
          <w:sz w:val="32"/>
          <w:szCs w:val="32"/>
          <w:highlight w:val="none"/>
          <w:lang w:eastAsia="zh-CN"/>
        </w:rPr>
        <w:t>（</w:t>
      </w:r>
      <w:r>
        <w:rPr>
          <w:rFonts w:hint="eastAsia" w:ascii="宋体" w:hAnsi="宋体" w:eastAsia="宋体"/>
          <w:b/>
          <w:bCs/>
          <w:color w:val="auto"/>
          <w:sz w:val="32"/>
          <w:szCs w:val="32"/>
          <w:highlight w:val="none"/>
          <w:lang w:val="en-US" w:eastAsia="zh-CN"/>
        </w:rPr>
        <w:t>略</w:t>
      </w:r>
      <w:r>
        <w:rPr>
          <w:rFonts w:hint="eastAsia" w:ascii="宋体" w:hAnsi="宋体" w:eastAsia="宋体"/>
          <w:b/>
          <w:bCs/>
          <w:color w:val="auto"/>
          <w:sz w:val="32"/>
          <w:szCs w:val="32"/>
          <w:highlight w:val="none"/>
          <w:lang w:eastAsia="zh-CN"/>
        </w:rPr>
        <w:t>）</w:t>
      </w:r>
    </w:p>
    <w:p>
      <w:pPr>
        <w:spacing w:line="360" w:lineRule="exact"/>
        <w:ind w:firstLine="412" w:firstLineChars="200"/>
        <w:rPr>
          <w:rFonts w:ascii="宋体" w:hAnsi="宋体"/>
          <w:color w:val="auto"/>
          <w:highlight w:val="none"/>
        </w:rPr>
      </w:pPr>
      <w:r>
        <w:rPr>
          <w:rFonts w:ascii="宋体" w:hAnsi="宋体"/>
          <w:color w:val="auto"/>
          <w:highlight w:val="none"/>
        </w:rPr>
        <w:t>合同通用条款采用《建设工程施工合同（示范文本）》的通用条款（GF-201</w:t>
      </w:r>
      <w:r>
        <w:rPr>
          <w:rFonts w:hint="eastAsia" w:ascii="宋体" w:hAnsi="宋体"/>
          <w:color w:val="auto"/>
          <w:highlight w:val="none"/>
        </w:rPr>
        <w:t>7</w:t>
      </w:r>
      <w:r>
        <w:rPr>
          <w:rFonts w:ascii="宋体" w:hAnsi="宋体"/>
          <w:color w:val="auto"/>
          <w:highlight w:val="none"/>
        </w:rPr>
        <w:t>-0201）。</w:t>
      </w:r>
    </w:p>
    <w:p>
      <w:pPr>
        <w:rPr>
          <w:rFonts w:ascii="宋体" w:hAnsi="宋体"/>
          <w:color w:val="auto"/>
          <w:highlight w:val="none"/>
        </w:rPr>
      </w:pPr>
      <w:r>
        <w:rPr>
          <w:rFonts w:ascii="宋体" w:hAnsi="宋体"/>
          <w:color w:val="auto"/>
          <w:highlight w:val="none"/>
        </w:rPr>
        <w:br w:type="page"/>
      </w:r>
    </w:p>
    <w:p>
      <w:pPr>
        <w:pStyle w:val="4"/>
        <w:spacing w:before="0" w:after="0" w:line="400" w:lineRule="exact"/>
        <w:jc w:val="center"/>
        <w:rPr>
          <w:rFonts w:ascii="宋体" w:hAnsi="宋体" w:eastAsia="宋体" w:cs="宋体"/>
          <w:color w:val="auto"/>
          <w:highlight w:val="none"/>
        </w:rPr>
      </w:pPr>
      <w:bookmarkStart w:id="796" w:name="_Toc14026"/>
      <w:bookmarkStart w:id="797" w:name="_Toc278377207"/>
      <w:bookmarkStart w:id="798" w:name="_Toc20068"/>
      <w:bookmarkStart w:id="799" w:name="_Toc394573947"/>
      <w:bookmarkStart w:id="800" w:name="_Toc267919286"/>
      <w:r>
        <w:rPr>
          <w:rFonts w:hint="eastAsia" w:ascii="宋体" w:hAnsi="宋体" w:eastAsia="宋体" w:cs="宋体"/>
          <w:color w:val="auto"/>
          <w:highlight w:val="none"/>
        </w:rPr>
        <w:t>第三部分    专用合同条款</w:t>
      </w:r>
      <w:bookmarkEnd w:id="796"/>
      <w:bookmarkEnd w:id="797"/>
      <w:bookmarkEnd w:id="798"/>
      <w:bookmarkEnd w:id="799"/>
      <w:bookmarkEnd w:id="800"/>
    </w:p>
    <w:p>
      <w:pPr>
        <w:pStyle w:val="6"/>
        <w:spacing w:before="0" w:after="0" w:line="360" w:lineRule="exact"/>
        <w:rPr>
          <w:rFonts w:ascii="宋体" w:hAnsi="宋体" w:eastAsia="宋体" w:cs="宋体"/>
          <w:b w:val="0"/>
          <w:color w:val="auto"/>
          <w:sz w:val="21"/>
          <w:szCs w:val="21"/>
          <w:highlight w:val="none"/>
        </w:rPr>
      </w:pPr>
      <w:bookmarkStart w:id="801" w:name="_Toc351203633"/>
      <w:r>
        <w:rPr>
          <w:rFonts w:hint="eastAsia" w:ascii="宋体" w:hAnsi="宋体" w:eastAsia="宋体" w:cs="宋体"/>
          <w:b w:val="0"/>
          <w:color w:val="auto"/>
          <w:sz w:val="21"/>
          <w:szCs w:val="21"/>
          <w:highlight w:val="none"/>
        </w:rPr>
        <w:t>1</w:t>
      </w:r>
      <w:bookmarkStart w:id="802" w:name="_Toc296944495"/>
      <w:bookmarkStart w:id="803" w:name="_Toc296346657"/>
      <w:bookmarkStart w:id="804" w:name="_Toc296890984"/>
      <w:bookmarkStart w:id="805" w:name="_Toc296503156"/>
      <w:bookmarkStart w:id="806" w:name="_Toc292559866"/>
      <w:bookmarkStart w:id="807" w:name="_Toc296347155"/>
      <w:bookmarkStart w:id="808" w:name="_Toc292559361"/>
      <w:bookmarkStart w:id="809" w:name="_Toc296891196"/>
      <w:bookmarkStart w:id="810" w:name="_Toc297048342"/>
      <w:bookmarkStart w:id="811" w:name="_Toc297120456"/>
      <w:r>
        <w:rPr>
          <w:rFonts w:hint="eastAsia" w:ascii="宋体" w:hAnsi="宋体" w:eastAsia="宋体" w:cs="宋体"/>
          <w:b w:val="0"/>
          <w:color w:val="auto"/>
          <w:sz w:val="21"/>
          <w:szCs w:val="21"/>
          <w:highlight w:val="none"/>
        </w:rPr>
        <w:t>. 一般约定</w:t>
      </w:r>
      <w:bookmarkEnd w:id="801"/>
    </w:p>
    <w:bookmarkEnd w:id="802"/>
    <w:bookmarkEnd w:id="803"/>
    <w:bookmarkEnd w:id="804"/>
    <w:bookmarkEnd w:id="805"/>
    <w:bookmarkEnd w:id="806"/>
    <w:bookmarkEnd w:id="807"/>
    <w:bookmarkEnd w:id="808"/>
    <w:bookmarkEnd w:id="809"/>
    <w:bookmarkEnd w:id="810"/>
    <w:bookmarkEnd w:id="811"/>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1.1 词语定义</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1.1.1合同</w:t>
      </w:r>
    </w:p>
    <w:p>
      <w:pPr>
        <w:spacing w:line="360" w:lineRule="exact"/>
        <w:ind w:firstLine="412"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1.1.1.10其他合同文件包括：</w:t>
      </w:r>
      <w:r>
        <w:rPr>
          <w:rFonts w:hint="eastAsia" w:ascii="宋体" w:hAnsi="宋体" w:cs="宋体"/>
          <w:color w:val="auto"/>
          <w:kern w:val="0"/>
          <w:szCs w:val="21"/>
          <w:highlight w:val="none"/>
          <w:u w:val="single"/>
        </w:rPr>
        <w:t>工程招标文件、除投标函及其附录和已标价工程量清单或预算书外的其它投标文件。</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1.1.2 合同当事人及其他相关方</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1.1.2.4监理人：</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1.1.2.5 设计人：</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1.1.3.9 永久占地包括：</w:t>
      </w:r>
      <w:r>
        <w:rPr>
          <w:rFonts w:hint="eastAsia" w:ascii="宋体" w:hAnsi="宋体" w:cs="宋体"/>
          <w:color w:val="auto"/>
          <w:szCs w:val="21"/>
          <w:highlight w:val="none"/>
          <w:u w:val="single"/>
        </w:rPr>
        <w:t xml:space="preserve">                       </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1.1.3.10 临时占地包括：</w:t>
      </w:r>
      <w:r>
        <w:rPr>
          <w:rFonts w:hint="eastAsia" w:ascii="宋体" w:hAnsi="宋体" w:cs="宋体"/>
          <w:color w:val="auto"/>
          <w:szCs w:val="21"/>
          <w:highlight w:val="none"/>
          <w:u w:val="single"/>
        </w:rPr>
        <w:t xml:space="preserve">                          </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1.3法律</w:t>
      </w:r>
    </w:p>
    <w:p>
      <w:pPr>
        <w:autoSpaceDE w:val="0"/>
        <w:autoSpaceDN w:val="0"/>
        <w:adjustRightInd w:val="0"/>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《浙江省房屋建筑与装饰工程预算定额》（</w:t>
      </w:r>
      <w:r>
        <w:rPr>
          <w:rFonts w:ascii="宋体" w:hAnsi="宋体" w:cs="宋体"/>
          <w:color w:val="auto"/>
          <w:szCs w:val="21"/>
          <w:highlight w:val="none"/>
          <w:u w:val="single"/>
        </w:rPr>
        <w:t>20</w:t>
      </w:r>
      <w:r>
        <w:rPr>
          <w:rFonts w:hint="eastAsia" w:ascii="宋体" w:hAnsi="宋体" w:cs="宋体"/>
          <w:color w:val="auto"/>
          <w:szCs w:val="21"/>
          <w:highlight w:val="none"/>
          <w:u w:val="single"/>
        </w:rPr>
        <w:t>18版）、《浙江省通用安装工程预算定额》（</w:t>
      </w:r>
      <w:r>
        <w:rPr>
          <w:rFonts w:ascii="宋体" w:hAnsi="宋体" w:cs="宋体"/>
          <w:color w:val="auto"/>
          <w:szCs w:val="21"/>
          <w:highlight w:val="none"/>
          <w:u w:val="single"/>
        </w:rPr>
        <w:t>20</w:t>
      </w:r>
      <w:r>
        <w:rPr>
          <w:rFonts w:hint="eastAsia" w:ascii="宋体" w:hAnsi="宋体" w:cs="宋体"/>
          <w:color w:val="auto"/>
          <w:szCs w:val="21"/>
          <w:highlight w:val="none"/>
          <w:u w:val="single"/>
        </w:rPr>
        <w:t>18版）、《浙江省建设工程计价规则》（2018版）、《浙江省建设工程施工费用定额》（2018版）、《浙江省市政工程预算定额》(2018版)</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《浙江省施工机械台班费用定额》（2018版）、浙建建发〔2019〕92号关于增值税调整以及其它工程造价补充规定和技术规范、工程所在地现行的有关工程造价方面规定。</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1.4 标准和规范</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1.4.1适用于工程的标准规范包括：</w:t>
      </w:r>
      <w:r>
        <w:rPr>
          <w:rFonts w:hint="eastAsia" w:ascii="宋体" w:hAnsi="宋体" w:cs="宋体"/>
          <w:color w:val="auto"/>
          <w:szCs w:val="21"/>
          <w:highlight w:val="none"/>
          <w:u w:val="single"/>
        </w:rPr>
        <w:t>按现行的国家、省、市施工验收规范、质量评定标准及有关规定。合同工期内的标准、规范，招标文件中的技术要求等</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1.4.2 发包人提供国外标准、规范的名称：</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发包人提供国外标准、规范的份数：</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kern w:val="0"/>
          <w:szCs w:val="21"/>
          <w:highlight w:val="none"/>
        </w:rPr>
        <w:t>发包人提供国外标准、规范的名称：</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1.4.3发包人对工程的技术标准和功能要求的特殊要求：</w:t>
      </w:r>
      <w:r>
        <w:rPr>
          <w:rFonts w:hint="eastAsia" w:ascii="宋体" w:hAnsi="宋体" w:cs="宋体"/>
          <w:color w:val="auto"/>
          <w:szCs w:val="21"/>
          <w:highlight w:val="none"/>
          <w:u w:val="single"/>
        </w:rPr>
        <w:t>国家没有相应标准、规范且不使用国外标准、规范时，按发包人和承包人商定的方案施工</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1.5 合同文件的优先顺序</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合同文件组成及优先顺序为：</w:t>
      </w:r>
      <w:r>
        <w:rPr>
          <w:rFonts w:hint="eastAsia" w:ascii="宋体" w:hAnsi="宋体" w:cs="宋体"/>
          <w:color w:val="auto"/>
          <w:szCs w:val="21"/>
          <w:highlight w:val="none"/>
          <w:u w:val="single"/>
        </w:rPr>
        <w:t>按合同通用条款。</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开工日期14天前</w:t>
      </w:r>
      <w:r>
        <w:rPr>
          <w:rFonts w:hint="eastAsia" w:ascii="宋体" w:hAnsi="宋体" w:cs="宋体"/>
          <w:color w:val="auto"/>
          <w:szCs w:val="21"/>
          <w:highlight w:val="none"/>
        </w:rPr>
        <w:t>；</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纸质施工图3套并附目录清单及与其一致的电子版施工图。</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（须载明施工图纸名称、工程号、版本、出图日期、目录、已有的变更联系单编号等）</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施工组织设计、专项施工方案(含危大工程,下同)、工程总进度计划、工程月进度计划表等；承包人提交修正后的施工组织设计、专项施工方案等的技术标准不低于投标承诺或原承诺标准，且修改或优化后的施工组织设计、专项施工方案须报监理人、发包人批准。</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 xml:space="preserve">纸质及电子版本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收到相应文件后7天内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由监理人在现场保管一套完整施工图，供发包人、监理人及有关人员进行工程检查等活动时使用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1.7 联络</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 xml:space="preserve">7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（2人以上及联系电话）</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（2人以上及联系电话）</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（2人以上及联系电话）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1.10 交通运输</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w:t>
      </w:r>
      <w:bookmarkStart w:id="812" w:name="_Toc303539100"/>
      <w:bookmarkStart w:id="813" w:name="_Toc318581155"/>
      <w:bookmarkStart w:id="814" w:name="_Toc312677986"/>
      <w:bookmarkStart w:id="815" w:name="_Toc304295521"/>
      <w:bookmarkStart w:id="816" w:name="_Toc300934943"/>
      <w:r>
        <w:rPr>
          <w:rFonts w:hint="eastAsia" w:ascii="宋体" w:hAnsi="宋体" w:cs="宋体"/>
          <w:color w:val="auto"/>
          <w:szCs w:val="21"/>
          <w:highlight w:val="none"/>
        </w:rPr>
        <w:t>.10.1 出入现场的权利</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按合同通用条款，可视工程实际双方再补充约定</w:t>
      </w:r>
      <w:r>
        <w:rPr>
          <w:rFonts w:hint="eastAsia" w:ascii="宋体" w:hAnsi="宋体" w:cs="宋体"/>
          <w:color w:val="auto"/>
          <w:szCs w:val="21"/>
          <w:highlight w:val="none"/>
        </w:rPr>
        <w:t>。</w:t>
      </w:r>
    </w:p>
    <w:bookmarkEnd w:id="812"/>
    <w:bookmarkEnd w:id="813"/>
    <w:bookmarkEnd w:id="814"/>
    <w:bookmarkEnd w:id="815"/>
    <w:bookmarkEnd w:id="816"/>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w:t>
      </w:r>
      <w:bookmarkStart w:id="817" w:name="_Toc300934944"/>
      <w:bookmarkStart w:id="818" w:name="_Toc312677987"/>
      <w:bookmarkStart w:id="819" w:name="_Toc304295522"/>
      <w:bookmarkStart w:id="820" w:name="_Toc303539101"/>
      <w:bookmarkStart w:id="821" w:name="_Toc318581156"/>
      <w:r>
        <w:rPr>
          <w:rFonts w:hint="eastAsia" w:ascii="宋体" w:hAnsi="宋体" w:cs="宋体"/>
          <w:color w:val="auto"/>
          <w:szCs w:val="21"/>
          <w:highlight w:val="none"/>
        </w:rPr>
        <w:t>.10.3 场内交通</w:t>
      </w:r>
    </w:p>
    <w:p>
      <w:pPr>
        <w:spacing w:line="360" w:lineRule="exact"/>
        <w:ind w:firstLine="412" w:firstLineChars="200"/>
        <w:rPr>
          <w:rFonts w:ascii="宋体" w:hAnsi="宋体" w:cs="宋体"/>
          <w:color w:val="auto"/>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i/>
          <w:color w:val="auto"/>
          <w:kern w:val="0"/>
          <w:szCs w:val="21"/>
          <w:highlight w:val="none"/>
          <w:u w:val="single"/>
        </w:rPr>
        <w:t xml:space="preserve">           /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w:t>
      </w:r>
      <w:r>
        <w:rPr>
          <w:rFonts w:hint="eastAsia" w:ascii="宋体" w:hAnsi="宋体" w:cs="宋体"/>
          <w:color w:val="auto"/>
          <w:kern w:val="0"/>
          <w:szCs w:val="21"/>
          <w:highlight w:val="none"/>
          <w:u w:val="single"/>
        </w:rPr>
        <w:t>发包人提供的场内交通条件为现状，承包人自行组织现场踏勘</w:t>
      </w:r>
      <w:r>
        <w:rPr>
          <w:rFonts w:hint="eastAsia"/>
          <w:b/>
          <w:bCs/>
          <w:color w:val="auto"/>
          <w:szCs w:val="21"/>
          <w:highlight w:val="none"/>
          <w:u w:val="single"/>
        </w:rPr>
        <w:t>，由承包人自行在投标报价中综合考虑，结算时不另行计取费用</w:t>
      </w:r>
      <w:r>
        <w:rPr>
          <w:rFonts w:hint="eastAsia" w:ascii="宋体" w:hAnsi="宋体" w:cs="宋体"/>
          <w:color w:val="auto"/>
          <w:szCs w:val="21"/>
          <w:highlight w:val="none"/>
        </w:rPr>
        <w:t>。</w:t>
      </w:r>
      <w:bookmarkEnd w:id="817"/>
      <w:bookmarkEnd w:id="818"/>
      <w:bookmarkEnd w:id="819"/>
      <w:bookmarkEnd w:id="820"/>
      <w:bookmarkEnd w:id="821"/>
      <w:bookmarkStart w:id="822" w:name="_Toc318581157"/>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1.10.4超大件和超重件的运输</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w:t>
      </w:r>
      <w:r>
        <w:rPr>
          <w:rFonts w:hint="eastAsia" w:ascii="宋体" w:hAnsi="宋体" w:cs="宋体"/>
          <w:color w:val="auto"/>
          <w:szCs w:val="21"/>
          <w:highlight w:val="none"/>
          <w:u w:val="single"/>
        </w:rPr>
        <w:t>由承包人在报价中综合考虑并承担相关费用。</w:t>
      </w:r>
    </w:p>
    <w:bookmarkEnd w:id="822"/>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1.11 知识产权</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 xml:space="preserve">按合同通用条款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按合同通用条款</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发包人</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按合同通用条款</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包含在签约合同价内</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 。</w:t>
      </w:r>
    </w:p>
    <w:p>
      <w:pPr>
        <w:pStyle w:val="6"/>
        <w:spacing w:before="0" w:after="0" w:line="360" w:lineRule="exact"/>
        <w:rPr>
          <w:rFonts w:ascii="宋体" w:hAnsi="宋体" w:eastAsia="宋体" w:cs="宋体"/>
          <w:b w:val="0"/>
          <w:color w:val="auto"/>
          <w:sz w:val="21"/>
          <w:szCs w:val="21"/>
          <w:highlight w:val="none"/>
        </w:rPr>
      </w:pPr>
      <w:bookmarkStart w:id="823" w:name="_Toc351203634"/>
      <w:r>
        <w:rPr>
          <w:rFonts w:hint="eastAsia" w:ascii="宋体" w:hAnsi="宋体" w:eastAsia="宋体" w:cs="宋体"/>
          <w:b w:val="0"/>
          <w:color w:val="auto"/>
          <w:sz w:val="21"/>
          <w:szCs w:val="21"/>
          <w:highlight w:val="none"/>
        </w:rPr>
        <w:t>2</w:t>
      </w:r>
      <w:bookmarkStart w:id="824" w:name="_Toc296890985"/>
      <w:bookmarkStart w:id="825" w:name="_Toc292559867"/>
      <w:bookmarkStart w:id="826" w:name="_Toc296891197"/>
      <w:bookmarkStart w:id="827" w:name="_Toc297048343"/>
      <w:bookmarkStart w:id="828" w:name="_Toc296944496"/>
      <w:bookmarkStart w:id="829" w:name="_Toc296503157"/>
      <w:bookmarkStart w:id="830" w:name="_Toc296347156"/>
      <w:bookmarkStart w:id="831" w:name="_Toc296346658"/>
      <w:bookmarkStart w:id="832" w:name="_Toc292559362"/>
      <w:bookmarkStart w:id="833" w:name="_Toc297120457"/>
      <w:r>
        <w:rPr>
          <w:rFonts w:hint="eastAsia" w:ascii="宋体" w:hAnsi="宋体" w:eastAsia="宋体" w:cs="宋体"/>
          <w:b w:val="0"/>
          <w:color w:val="auto"/>
          <w:sz w:val="21"/>
          <w:szCs w:val="21"/>
          <w:highlight w:val="none"/>
        </w:rPr>
        <w:t>. 发包人</w:t>
      </w:r>
      <w:bookmarkEnd w:id="823"/>
    </w:p>
    <w:bookmarkEnd w:id="824"/>
    <w:bookmarkEnd w:id="825"/>
    <w:bookmarkEnd w:id="826"/>
    <w:bookmarkEnd w:id="827"/>
    <w:bookmarkEnd w:id="828"/>
    <w:bookmarkEnd w:id="829"/>
    <w:bookmarkEnd w:id="830"/>
    <w:bookmarkEnd w:id="831"/>
    <w:bookmarkEnd w:id="832"/>
    <w:bookmarkEnd w:id="833"/>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2.2 发包人代表</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发包人代表：</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rPr>
          <w:rFonts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 xml:space="preserve">开工日期14天前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6"/>
        <w:spacing w:before="0" w:after="0" w:line="360" w:lineRule="exact"/>
        <w:rPr>
          <w:rFonts w:ascii="宋体" w:hAnsi="宋体" w:eastAsia="宋体" w:cs="宋体"/>
          <w:b w:val="0"/>
          <w:color w:val="auto"/>
          <w:sz w:val="21"/>
          <w:szCs w:val="21"/>
          <w:highlight w:val="none"/>
        </w:rPr>
      </w:pPr>
      <w:bookmarkStart w:id="834" w:name="_Toc351203635"/>
      <w:r>
        <w:rPr>
          <w:rFonts w:hint="eastAsia" w:ascii="宋体" w:hAnsi="宋体" w:eastAsia="宋体" w:cs="宋体"/>
          <w:b w:val="0"/>
          <w:color w:val="auto"/>
          <w:sz w:val="21"/>
          <w:szCs w:val="21"/>
          <w:highlight w:val="none"/>
        </w:rPr>
        <w:t>3</w:t>
      </w:r>
      <w:bookmarkStart w:id="835" w:name="_Toc296503158"/>
      <w:bookmarkStart w:id="836" w:name="_Toc296346659"/>
      <w:bookmarkStart w:id="837" w:name="_Toc292559868"/>
      <w:bookmarkStart w:id="838" w:name="_Toc297048344"/>
      <w:bookmarkStart w:id="839" w:name="_Toc296890986"/>
      <w:bookmarkStart w:id="840" w:name="_Toc296944497"/>
      <w:bookmarkStart w:id="841" w:name="_Toc297120458"/>
      <w:bookmarkStart w:id="842" w:name="_Toc292559363"/>
      <w:bookmarkStart w:id="843" w:name="_Toc296891198"/>
      <w:bookmarkStart w:id="844" w:name="_Toc296347157"/>
      <w:r>
        <w:rPr>
          <w:rFonts w:hint="eastAsia" w:ascii="宋体" w:hAnsi="宋体" w:eastAsia="宋体" w:cs="宋体"/>
          <w:b w:val="0"/>
          <w:color w:val="auto"/>
          <w:sz w:val="21"/>
          <w:szCs w:val="21"/>
          <w:highlight w:val="none"/>
        </w:rPr>
        <w:t>. 承包人</w:t>
      </w:r>
      <w:bookmarkEnd w:id="834"/>
    </w:p>
    <w:bookmarkEnd w:id="835"/>
    <w:bookmarkEnd w:id="836"/>
    <w:bookmarkEnd w:id="837"/>
    <w:bookmarkEnd w:id="838"/>
    <w:bookmarkEnd w:id="839"/>
    <w:bookmarkEnd w:id="840"/>
    <w:bookmarkEnd w:id="841"/>
    <w:bookmarkEnd w:id="842"/>
    <w:bookmarkEnd w:id="843"/>
    <w:bookmarkEnd w:id="844"/>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pPr>
        <w:spacing w:line="360" w:lineRule="exact"/>
        <w:ind w:firstLine="412" w:firstLineChars="200"/>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color w:val="auto"/>
          <w:szCs w:val="21"/>
          <w:highlight w:val="none"/>
          <w:u w:val="single"/>
        </w:rPr>
        <w:t>向发包人提交按规范规定应由承包人编制部分的竣工资料并符合建设工程资料存档要求</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两套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由承包人承担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工程竣工验收合格后7天内</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纸质及相关电子数据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kern w:val="0"/>
          <w:szCs w:val="21"/>
          <w:highlight w:val="none"/>
        </w:rPr>
        <w:t>（10）承包人应履行的其他义务：</w:t>
      </w:r>
    </w:p>
    <w:p>
      <w:pPr>
        <w:spacing w:line="360" w:lineRule="exact"/>
        <w:ind w:firstLine="515" w:firstLineChars="250"/>
        <w:rPr>
          <w:rFonts w:ascii="宋体" w:hAnsi="宋体" w:cs="宋体"/>
          <w:color w:val="auto"/>
          <w:szCs w:val="21"/>
          <w:highlight w:val="none"/>
          <w:u w:val="single"/>
        </w:rPr>
      </w:pPr>
      <w:r>
        <w:rPr>
          <w:rFonts w:hint="eastAsia" w:ascii="宋体" w:hAnsi="宋体" w:cs="宋体"/>
          <w:color w:val="auto"/>
          <w:szCs w:val="21"/>
          <w:highlight w:val="none"/>
          <w:u w:val="single"/>
        </w:rPr>
        <w:t xml:space="preserve">a.向发包人、监理人提供施工现场办公室各1间免费使用。 </w:t>
      </w:r>
    </w:p>
    <w:p>
      <w:pPr>
        <w:spacing w:line="360" w:lineRule="exact"/>
        <w:ind w:firstLine="515" w:firstLineChars="250"/>
        <w:rPr>
          <w:rFonts w:ascii="宋体" w:hAnsi="宋体" w:cs="宋体"/>
          <w:color w:val="auto"/>
          <w:szCs w:val="21"/>
          <w:highlight w:val="none"/>
          <w:u w:val="single"/>
        </w:rPr>
      </w:pPr>
      <w:r>
        <w:rPr>
          <w:rFonts w:hint="eastAsia" w:ascii="宋体" w:hAnsi="宋体" w:cs="宋体"/>
          <w:color w:val="auto"/>
          <w:szCs w:val="21"/>
          <w:highlight w:val="none"/>
          <w:u w:val="single"/>
        </w:rPr>
        <w:t>b.在施工中必须严格按照规范操作，并针对邻近建筑物实际情况，采取相应防护措施，对不按规范要求施工或未采取防护措施的，造成的损失由承包人承担。</w:t>
      </w:r>
    </w:p>
    <w:p>
      <w:pPr>
        <w:spacing w:line="360" w:lineRule="exact"/>
        <w:ind w:firstLine="515" w:firstLineChars="250"/>
        <w:rPr>
          <w:rFonts w:ascii="宋体" w:hAnsi="宋体" w:cs="宋体"/>
          <w:color w:val="auto"/>
          <w:szCs w:val="21"/>
          <w:highlight w:val="none"/>
          <w:u w:val="single"/>
        </w:rPr>
      </w:pPr>
      <w:r>
        <w:rPr>
          <w:rFonts w:hint="eastAsia" w:ascii="宋体" w:hAnsi="宋体" w:cs="宋体"/>
          <w:color w:val="auto"/>
          <w:szCs w:val="21"/>
          <w:highlight w:val="none"/>
          <w:u w:val="single"/>
        </w:rPr>
        <w:t>c.本项目施工安全由承包人负总责。</w:t>
      </w:r>
    </w:p>
    <w:p>
      <w:pPr>
        <w:spacing w:line="360" w:lineRule="exact"/>
        <w:ind w:firstLine="521" w:firstLineChars="253"/>
        <w:rPr>
          <w:rFonts w:ascii="宋体" w:hAnsi="宋体" w:cs="宋体"/>
          <w:color w:val="auto"/>
          <w:kern w:val="0"/>
          <w:szCs w:val="21"/>
          <w:highlight w:val="none"/>
          <w:u w:val="single"/>
        </w:rPr>
      </w:pPr>
      <w:r>
        <w:rPr>
          <w:rFonts w:hint="eastAsia" w:ascii="宋体" w:hAnsi="宋体" w:cs="宋体"/>
          <w:color w:val="auto"/>
          <w:szCs w:val="21"/>
          <w:highlight w:val="none"/>
          <w:u w:val="single"/>
        </w:rPr>
        <w:t>d.按当地有关部门要求，</w:t>
      </w:r>
      <w:r>
        <w:rPr>
          <w:rFonts w:hint="eastAsia" w:ascii="宋体" w:hAnsi="宋体" w:cs="宋体"/>
          <w:color w:val="auto"/>
          <w:kern w:val="0"/>
          <w:szCs w:val="21"/>
          <w:highlight w:val="none"/>
          <w:u w:val="single"/>
        </w:rPr>
        <w:t>由承包人办理的有关施工场地交通、环卫和施工噪音管理等手续。</w:t>
      </w:r>
    </w:p>
    <w:p>
      <w:pPr>
        <w:spacing w:line="360" w:lineRule="exact"/>
        <w:ind w:firstLine="521" w:firstLineChars="253"/>
        <w:rPr>
          <w:rFonts w:ascii="宋体" w:hAnsi="宋体" w:cs="宋体"/>
          <w:color w:val="auto"/>
          <w:kern w:val="0"/>
          <w:szCs w:val="21"/>
          <w:highlight w:val="none"/>
          <w:u w:val="single"/>
        </w:rPr>
      </w:pPr>
      <w:r>
        <w:rPr>
          <w:rFonts w:hint="eastAsia" w:ascii="宋体" w:hAnsi="宋体" w:cs="宋体"/>
          <w:color w:val="auto"/>
          <w:kern w:val="0"/>
          <w:szCs w:val="21"/>
          <w:highlight w:val="none"/>
        </w:rPr>
        <w:t>（11）承包人诚实信用的承诺：</w:t>
      </w:r>
      <w:r>
        <w:rPr>
          <w:rFonts w:hint="eastAsia" w:ascii="宋体" w:hAnsi="宋体" w:cs="宋体"/>
          <w:color w:val="auto"/>
          <w:kern w:val="0"/>
          <w:szCs w:val="21"/>
          <w:highlight w:val="none"/>
          <w:u w:val="single"/>
        </w:rPr>
        <w:t xml:space="preserve">                                       。</w:t>
      </w:r>
    </w:p>
    <w:p>
      <w:pPr>
        <w:spacing w:line="360" w:lineRule="exact"/>
        <w:ind w:firstLine="521" w:firstLineChars="253"/>
        <w:rPr>
          <w:rFonts w:ascii="宋体" w:hAnsi="宋体" w:cs="宋体"/>
          <w:color w:val="auto"/>
          <w:szCs w:val="21"/>
          <w:highlight w:val="none"/>
          <w:u w:val="single"/>
        </w:rPr>
      </w:pPr>
      <w:r>
        <w:rPr>
          <w:rFonts w:hint="eastAsia" w:ascii="宋体" w:hAnsi="宋体" w:cs="宋体"/>
          <w:color w:val="auto"/>
          <w:kern w:val="0"/>
          <w:szCs w:val="21"/>
          <w:highlight w:val="none"/>
        </w:rPr>
        <w:t>（12）承包人使用新技术、工法、工艺的承诺</w:t>
      </w:r>
      <w:r>
        <w:rPr>
          <w:rFonts w:hint="eastAsia" w:ascii="宋体" w:hAnsi="宋体" w:cs="宋体"/>
          <w:color w:val="auto"/>
          <w:kern w:val="0"/>
          <w:szCs w:val="21"/>
          <w:highlight w:val="none"/>
          <w:u w:val="single"/>
        </w:rPr>
        <w:t>：                                 。</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3.2 项目经理</w:t>
      </w:r>
    </w:p>
    <w:p>
      <w:pPr>
        <w:spacing w:line="360" w:lineRule="exact"/>
        <w:ind w:firstLine="412"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 xml:space="preserve">承包人对项目经理的授权范围如下：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月到岗率须达到24天</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kern w:val="0"/>
          <w:szCs w:val="21"/>
          <w:highlight w:val="none"/>
          <w:u w:val="single"/>
        </w:rPr>
        <w:t>发包人有权要求更换项目经理，由此增加的费用和（或）延误的工期由承包人承担，并承担违约责任</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szCs w:val="21"/>
          <w:highlight w:val="none"/>
          <w:u w:val="single"/>
        </w:rPr>
        <w:t>月到岗须达到24天，不足天数，每天扣除履约担保金额的0.1%，每月结算，在当期工程款支付时扣除；连续三个月达不到要求且项目经理不能到岗的，一次性扣除履约担保金的15%（含前三个月已扣除的履约担保金），且发包人有权要求承包人更换项目经理，（发包人有权终止合同，没收全部履约担保金），同时由承包人赔偿发包人由此造成的损失。另遇有工程检查、验收或参观等活动时，无特殊原因不得</w:t>
      </w:r>
      <w:r>
        <w:rPr>
          <w:rFonts w:hint="eastAsia" w:ascii="宋体" w:hAnsi="宋体" w:cs="宋体"/>
          <w:color w:val="auto"/>
          <w:kern w:val="0"/>
          <w:szCs w:val="21"/>
          <w:highlight w:val="none"/>
          <w:u w:val="single"/>
        </w:rPr>
        <w:t>离开施工现场。</w:t>
      </w:r>
    </w:p>
    <w:p>
      <w:pPr>
        <w:autoSpaceDE w:val="0"/>
        <w:autoSpaceDN w:val="0"/>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3.2.3 承包人擅自更换项目经理的违约责任：</w:t>
      </w:r>
      <w:r>
        <w:rPr>
          <w:rFonts w:hint="eastAsia" w:ascii="宋体" w:hAnsi="宋体" w:cs="宋体"/>
          <w:color w:val="auto"/>
          <w:szCs w:val="21"/>
          <w:highlight w:val="none"/>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履约担保金额的20%；及至发包人可通知承包人全部解除合同，所有履约担保金归发包人，并赔偿发包人损失。</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color w:val="auto"/>
          <w:szCs w:val="21"/>
          <w:highlight w:val="none"/>
          <w:u w:val="single"/>
        </w:rPr>
        <w:t>发包人可通知承包人全部解除合同，所有履约担保金归发包人，同时赔偿发包人损失。</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3.3 承包人人员</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szCs w:val="21"/>
          <w:highlight w:val="none"/>
          <w:u w:val="single"/>
        </w:rPr>
        <w:t xml:space="preserve"> 接到开工通知（或确定开工日期）后7天内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发包人可通知承包人全部解除合同，所有履约担保金归发包人，同时赔偿发包人损失。</w:t>
      </w:r>
    </w:p>
    <w:p>
      <w:pPr>
        <w:spacing w:line="360" w:lineRule="exact"/>
        <w:ind w:firstLine="351" w:firstLineChars="170"/>
        <w:rPr>
          <w:rFonts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color w:val="auto"/>
          <w:szCs w:val="21"/>
          <w:highlight w:val="none"/>
          <w:u w:val="single"/>
        </w:rPr>
        <w:t>按通用条款执行；另遇有工程检查、验收或参观等活动时，无特殊原因不得请假</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color w:val="auto"/>
          <w:szCs w:val="21"/>
          <w:highlight w:val="none"/>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履约担保金的10%；其他关键岗位人员每更换一人次扣除履约担保金额的5%。</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szCs w:val="21"/>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8%（含前三个月已扣除的履约担保金），且发包人有权要求承包人更换该关键岗位人员。</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w:t>
      </w:r>
      <w:bookmarkStart w:id="845" w:name="_Toc292559364"/>
      <w:bookmarkStart w:id="846" w:name="_Toc296890987"/>
      <w:bookmarkStart w:id="847" w:name="_Toc296891199"/>
      <w:bookmarkStart w:id="848" w:name="_Toc300934945"/>
      <w:bookmarkStart w:id="849" w:name="_Toc292559869"/>
      <w:bookmarkStart w:id="850" w:name="_Toc312677988"/>
      <w:bookmarkStart w:id="851" w:name="_Toc296346660"/>
      <w:bookmarkStart w:id="852" w:name="_Toc297120459"/>
      <w:bookmarkStart w:id="853" w:name="_Toc297123492"/>
      <w:bookmarkStart w:id="854" w:name="_Toc297048345"/>
      <w:bookmarkStart w:id="855" w:name="_Toc297216151"/>
      <w:bookmarkStart w:id="856" w:name="_Toc296503159"/>
      <w:bookmarkStart w:id="857" w:name="_Toc303539102"/>
      <w:bookmarkStart w:id="858" w:name="_Toc296347158"/>
      <w:bookmarkStart w:id="859" w:name="_Toc296944498"/>
      <w:bookmarkStart w:id="860" w:name="_Toc304295523"/>
      <w:r>
        <w:rPr>
          <w:rFonts w:hint="eastAsia" w:ascii="宋体" w:hAnsi="宋体" w:cs="宋体"/>
          <w:color w:val="auto"/>
          <w:szCs w:val="21"/>
          <w:highlight w:val="none"/>
        </w:rPr>
        <w:t>.5 分包</w:t>
      </w:r>
    </w:p>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w:t>
      </w:r>
      <w:bookmarkStart w:id="861" w:name="_Toc304295524"/>
      <w:bookmarkStart w:id="862" w:name="_Toc296891200"/>
      <w:bookmarkStart w:id="863" w:name="_Toc296346661"/>
      <w:bookmarkStart w:id="864" w:name="_Toc300934946"/>
      <w:bookmarkStart w:id="865" w:name="_Toc292559365"/>
      <w:bookmarkStart w:id="866" w:name="_Toc296944499"/>
      <w:bookmarkStart w:id="867" w:name="_Toc297123493"/>
      <w:bookmarkStart w:id="868" w:name="_Toc297120460"/>
      <w:bookmarkStart w:id="869" w:name="_Toc296890988"/>
      <w:bookmarkStart w:id="870" w:name="_Toc297216152"/>
      <w:bookmarkStart w:id="871" w:name="_Toc292559870"/>
      <w:bookmarkStart w:id="872" w:name="_Toc296347159"/>
      <w:bookmarkStart w:id="873" w:name="_Toc303539103"/>
      <w:bookmarkStart w:id="874" w:name="_Toc297048346"/>
      <w:bookmarkStart w:id="875" w:name="_Toc296503160"/>
      <w:bookmarkStart w:id="876" w:name="_Toc318581158"/>
      <w:bookmarkStart w:id="877" w:name="_Toc312677989"/>
      <w:r>
        <w:rPr>
          <w:rFonts w:hint="eastAsia" w:ascii="宋体" w:hAnsi="宋体" w:cs="宋体"/>
          <w:color w:val="auto"/>
          <w:szCs w:val="21"/>
          <w:highlight w:val="none"/>
        </w:rPr>
        <w:t>.5.1 分包的一般约定</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Start w:id="878" w:name="_Toc297120461"/>
      <w:bookmarkStart w:id="879" w:name="_Toc296347160"/>
      <w:bookmarkStart w:id="880" w:name="_Toc296890989"/>
      <w:bookmarkStart w:id="881" w:name="_Toc296891201"/>
      <w:bookmarkStart w:id="882" w:name="_Toc297216153"/>
      <w:bookmarkStart w:id="883" w:name="_Toc297123494"/>
      <w:bookmarkStart w:id="884" w:name="_Toc297048347"/>
      <w:bookmarkStart w:id="885" w:name="_Toc304295525"/>
      <w:bookmarkStart w:id="886" w:name="_Toc303539104"/>
      <w:bookmarkStart w:id="887" w:name="_Toc296944500"/>
      <w:bookmarkStart w:id="888" w:name="_Toc296346662"/>
      <w:bookmarkStart w:id="889" w:name="_Toc300934947"/>
      <w:bookmarkStart w:id="890" w:name="_Toc296503161"/>
    </w:p>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3</w:t>
      </w:r>
      <w:bookmarkStart w:id="891" w:name="_Toc312677990"/>
      <w:bookmarkStart w:id="892" w:name="_Toc318581159"/>
      <w:r>
        <w:rPr>
          <w:rFonts w:hint="eastAsia" w:ascii="宋体" w:hAnsi="宋体" w:cs="宋体"/>
          <w:color w:val="auto"/>
          <w:szCs w:val="21"/>
          <w:highlight w:val="none"/>
        </w:rPr>
        <w:t>.5.2分包的确定</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891"/>
    <w:bookmarkEnd w:id="892"/>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pPr>
        <w:spacing w:line="360" w:lineRule="exact"/>
        <w:ind w:firstLine="412"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kern w:val="0"/>
          <w:szCs w:val="21"/>
          <w:highlight w:val="none"/>
          <w:u w:val="single"/>
        </w:rPr>
        <w:t>按合同通用条款执行</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3.7 履约担保</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履约担保为       元，从提供履约担保之日起至本工程竣工验收合格交付之日止。承包人可在担保有效期满后28天内，凭工程竣工验收报告，将此担保金取回。</w:t>
      </w:r>
    </w:p>
    <w:p>
      <w:pPr>
        <w:pStyle w:val="6"/>
        <w:spacing w:before="0" w:after="0" w:line="360" w:lineRule="exact"/>
        <w:rPr>
          <w:rFonts w:ascii="宋体" w:hAnsi="宋体" w:eastAsia="宋体" w:cs="宋体"/>
          <w:b w:val="0"/>
          <w:color w:val="auto"/>
          <w:sz w:val="21"/>
          <w:szCs w:val="21"/>
          <w:highlight w:val="none"/>
        </w:rPr>
      </w:pPr>
      <w:bookmarkStart w:id="893" w:name="_Toc351203636"/>
      <w:r>
        <w:rPr>
          <w:rFonts w:hint="eastAsia" w:ascii="宋体" w:hAnsi="宋体" w:eastAsia="宋体" w:cs="宋体"/>
          <w:b w:val="0"/>
          <w:color w:val="auto"/>
          <w:sz w:val="21"/>
          <w:szCs w:val="21"/>
          <w:highlight w:val="none"/>
        </w:rPr>
        <w:t>4</w:t>
      </w:r>
      <w:bookmarkStart w:id="894" w:name="_Toc267251413"/>
      <w:bookmarkStart w:id="895" w:name="_Toc297120462"/>
      <w:bookmarkStart w:id="896" w:name="_Toc297048348"/>
      <w:bookmarkStart w:id="897" w:name="_Toc296346663"/>
      <w:bookmarkStart w:id="898" w:name="_Toc296891202"/>
      <w:bookmarkStart w:id="899" w:name="_Toc296347161"/>
      <w:bookmarkStart w:id="900" w:name="_Toc296503162"/>
      <w:bookmarkStart w:id="901" w:name="_Toc292559871"/>
      <w:bookmarkStart w:id="902" w:name="_Toc296944501"/>
      <w:bookmarkStart w:id="903" w:name="_Toc292559366"/>
      <w:bookmarkStart w:id="904" w:name="_Toc296890990"/>
      <w:r>
        <w:rPr>
          <w:rFonts w:hint="eastAsia" w:ascii="宋体" w:hAnsi="宋体" w:eastAsia="宋体" w:cs="宋体"/>
          <w:b w:val="0"/>
          <w:color w:val="auto"/>
          <w:sz w:val="21"/>
          <w:szCs w:val="21"/>
          <w:highlight w:val="none"/>
        </w:rPr>
        <w:t>. 监</w:t>
      </w:r>
      <w:bookmarkEnd w:id="894"/>
      <w:bookmarkEnd w:id="895"/>
      <w:bookmarkEnd w:id="896"/>
      <w:bookmarkEnd w:id="897"/>
      <w:bookmarkEnd w:id="898"/>
      <w:bookmarkEnd w:id="899"/>
      <w:bookmarkEnd w:id="900"/>
      <w:bookmarkEnd w:id="901"/>
      <w:bookmarkEnd w:id="902"/>
      <w:bookmarkEnd w:id="903"/>
      <w:bookmarkEnd w:id="904"/>
      <w:r>
        <w:rPr>
          <w:rFonts w:hint="eastAsia" w:ascii="宋体" w:hAnsi="宋体" w:eastAsia="宋体" w:cs="宋体"/>
          <w:b w:val="0"/>
          <w:color w:val="auto"/>
          <w:sz w:val="21"/>
          <w:szCs w:val="21"/>
          <w:highlight w:val="none"/>
        </w:rPr>
        <w:t>理人</w:t>
      </w:r>
      <w:bookmarkEnd w:id="893"/>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按本工程监理合同约定内容</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按本工程监理合同约定内容，涉及工程变更（含设计变更等参建各方变更）均需报发包人审批后生效</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由承包人免费提供办公室1间使用。</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4.2 监理人员</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（1）监理人授权超出合同约定，承包人有权提出异议，如监理人对于承包人合理的异议不予接受，则承包人可要求发包人就该事项作出处理决定；</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（2）对于监理人更换其委派的监理人员的，监理人在征得发包人同意后应当提前48小时书面通知承包人；</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u w:val="single"/>
        </w:rPr>
        <w:t>（3）监理人对其监理人员的任何授权，承包人均应当要求监理人提供书面的授权，否则，承包人有权拒绝接受监理人员的指示。</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pPr>
        <w:spacing w:line="360" w:lineRule="exact"/>
        <w:ind w:firstLine="412" w:firstLineChars="200"/>
        <w:rPr>
          <w:rFonts w:ascii="宋体" w:hAnsi="宋体" w:cs="宋体"/>
          <w:color w:val="auto"/>
          <w:szCs w:val="21"/>
          <w:highlight w:val="none"/>
        </w:rPr>
      </w:pPr>
      <w:bookmarkStart w:id="905" w:name="_Toc267251418"/>
      <w:r>
        <w:rPr>
          <w:rFonts w:hint="eastAsia" w:ascii="宋体" w:hAnsi="宋体" w:cs="宋体"/>
          <w:color w:val="auto"/>
          <w:szCs w:val="21"/>
          <w:highlight w:val="none"/>
        </w:rPr>
        <w:t>在发包人和承包人不能通过协商达成一致意见时，发包人授权监理人对以下事项进行确定：</w:t>
      </w:r>
    </w:p>
    <w:p>
      <w:pPr>
        <w:autoSpaceDE w:val="0"/>
        <w:autoSpaceDN w:val="0"/>
        <w:adjustRightInd w:val="0"/>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utoSpaceDE w:val="0"/>
        <w:autoSpaceDN w:val="0"/>
        <w:adjustRightInd w:val="0"/>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utoSpaceDE w:val="0"/>
        <w:autoSpaceDN w:val="0"/>
        <w:adjustRightInd w:val="0"/>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6"/>
        <w:spacing w:before="0" w:after="0" w:line="360" w:lineRule="exact"/>
        <w:rPr>
          <w:rFonts w:ascii="宋体" w:hAnsi="宋体" w:eastAsia="宋体" w:cs="宋体"/>
          <w:b w:val="0"/>
          <w:color w:val="auto"/>
          <w:sz w:val="21"/>
          <w:szCs w:val="21"/>
          <w:highlight w:val="none"/>
        </w:rPr>
      </w:pPr>
      <w:bookmarkStart w:id="906" w:name="_Toc351203637"/>
      <w:r>
        <w:rPr>
          <w:rFonts w:hint="eastAsia" w:ascii="宋体" w:hAnsi="宋体" w:eastAsia="宋体" w:cs="宋体"/>
          <w:b w:val="0"/>
          <w:color w:val="auto"/>
          <w:sz w:val="21"/>
          <w:szCs w:val="21"/>
          <w:highlight w:val="none"/>
        </w:rPr>
        <w:t>5</w:t>
      </w:r>
      <w:bookmarkEnd w:id="905"/>
      <w:bookmarkStart w:id="907" w:name="_Toc296347162"/>
      <w:bookmarkStart w:id="908" w:name="_Toc292559367"/>
      <w:bookmarkStart w:id="909" w:name="_Toc297120463"/>
      <w:bookmarkStart w:id="910" w:name="_Toc297048349"/>
      <w:bookmarkStart w:id="911" w:name="_Toc296944502"/>
      <w:bookmarkStart w:id="912" w:name="_Toc296890991"/>
      <w:bookmarkStart w:id="913" w:name="_Toc292559872"/>
      <w:bookmarkStart w:id="914" w:name="_Toc296503163"/>
      <w:bookmarkStart w:id="915" w:name="_Toc296346664"/>
      <w:bookmarkStart w:id="916" w:name="_Toc296891203"/>
      <w:r>
        <w:rPr>
          <w:rFonts w:hint="eastAsia" w:ascii="宋体" w:hAnsi="宋体" w:eastAsia="宋体" w:cs="宋体"/>
          <w:b w:val="0"/>
          <w:color w:val="auto"/>
          <w:sz w:val="21"/>
          <w:szCs w:val="21"/>
          <w:highlight w:val="none"/>
        </w:rPr>
        <w:t>. 工程质量</w:t>
      </w:r>
      <w:bookmarkEnd w:id="906"/>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5.1 质量要求</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5</w:t>
      </w:r>
      <w:bookmarkStart w:id="917" w:name="_Toc297123496"/>
      <w:bookmarkStart w:id="918" w:name="_Toc304295527"/>
      <w:bookmarkStart w:id="919" w:name="_Toc300934949"/>
      <w:bookmarkStart w:id="920" w:name="_Toc297216155"/>
      <w:bookmarkStart w:id="921" w:name="_Toc303539106"/>
      <w:bookmarkStart w:id="922" w:name="_Toc318581164"/>
      <w:bookmarkStart w:id="923" w:name="_Toc312677997"/>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5.3 隐蔽工程检查</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color w:val="auto"/>
          <w:szCs w:val="21"/>
          <w:highlight w:val="none"/>
          <w:u w:val="single"/>
        </w:rPr>
        <w:t xml:space="preserve"> 按合同通用条款执行。</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小时，由此导致工期延误的，工期予以顺延。</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隐蔽工程验收过程、验收部位除办理纸质验收记录，还应留置验收部位、验收过程、主要验收人员相片、影像等资料。</w:t>
      </w:r>
    </w:p>
    <w:p>
      <w:pPr>
        <w:pStyle w:val="6"/>
        <w:spacing w:before="0" w:after="0" w:line="360" w:lineRule="exact"/>
        <w:rPr>
          <w:rFonts w:ascii="宋体" w:hAnsi="宋体" w:eastAsia="宋体" w:cs="宋体"/>
          <w:b w:val="0"/>
          <w:color w:val="auto"/>
          <w:sz w:val="21"/>
          <w:szCs w:val="21"/>
          <w:highlight w:val="none"/>
        </w:rPr>
      </w:pPr>
      <w:bookmarkStart w:id="924" w:name="_Toc351203638"/>
      <w:r>
        <w:rPr>
          <w:rFonts w:hint="eastAsia" w:ascii="宋体" w:hAnsi="宋体" w:eastAsia="宋体" w:cs="宋体"/>
          <w:b w:val="0"/>
          <w:color w:val="auto"/>
          <w:sz w:val="21"/>
          <w:szCs w:val="21"/>
          <w:highlight w:val="none"/>
        </w:rPr>
        <w:t>6. 安全文明施工与环境保护</w:t>
      </w:r>
      <w:bookmarkEnd w:id="924"/>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6.1安全文明施工</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按《浙江省建筑施工安全标准化管理规定》（浙建建〔2012〕54号）及省、市建筑业、安全监督等相关主管部门发布的有关管理规定执行</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按合同通用条款</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按合同通用条款</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6.1.5 文明施工</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合同当事人对文明施工的要求：</w:t>
      </w:r>
      <w:r>
        <w:rPr>
          <w:rFonts w:hint="eastAsia" w:ascii="宋体" w:hAnsi="宋体" w:cs="宋体"/>
          <w:color w:val="auto"/>
          <w:szCs w:val="21"/>
          <w:highlight w:val="none"/>
          <w:u w:val="single"/>
        </w:rPr>
        <w:t>按省、市发有关文明施工管理规定执行</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6.1.6 关于安全文明施工费支付比例和支付期限的约定：安</w:t>
      </w:r>
      <w:r>
        <w:rPr>
          <w:rFonts w:hint="eastAsia" w:ascii="宋体" w:hAnsi="宋体" w:cs="宋体"/>
          <w:color w:val="auto"/>
          <w:szCs w:val="21"/>
          <w:highlight w:val="none"/>
          <w:u w:val="single"/>
        </w:rPr>
        <w:t>全文明施工费预付费用包含在工程预付款内，与工程预付款一并支付，支付比例为安全文明施工费（不含创标化工地增加费）总额的（50）% ，其余部分与进度款同期支付。安全文明施工费承包人应专款专用，在财务账目中应单独列项备查，不得挪作他用</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安全文明施工费包含在签约合同价内。承包人经发包人同意采取合同以外的安全措施所产生的费用，由发、承包人协商处理；未经发包人同意，发包人可不承担由此增加费用；</w:t>
      </w:r>
    </w:p>
    <w:bookmarkEnd w:id="917"/>
    <w:bookmarkEnd w:id="918"/>
    <w:bookmarkEnd w:id="919"/>
    <w:bookmarkEnd w:id="920"/>
    <w:bookmarkEnd w:id="921"/>
    <w:bookmarkEnd w:id="922"/>
    <w:bookmarkEnd w:id="923"/>
    <w:p>
      <w:pPr>
        <w:pStyle w:val="6"/>
        <w:spacing w:before="0" w:after="0" w:line="360" w:lineRule="exact"/>
        <w:rPr>
          <w:rFonts w:ascii="宋体" w:hAnsi="宋体" w:eastAsia="宋体" w:cs="宋体"/>
          <w:b w:val="0"/>
          <w:color w:val="auto"/>
          <w:sz w:val="21"/>
          <w:szCs w:val="21"/>
          <w:highlight w:val="none"/>
        </w:rPr>
      </w:pPr>
      <w:bookmarkStart w:id="925" w:name="_Toc351203639"/>
      <w:r>
        <w:rPr>
          <w:rFonts w:hint="eastAsia" w:ascii="宋体" w:hAnsi="宋体" w:eastAsia="宋体" w:cs="宋体"/>
          <w:b w:val="0"/>
          <w:color w:val="auto"/>
          <w:sz w:val="21"/>
          <w:szCs w:val="21"/>
          <w:highlight w:val="none"/>
        </w:rPr>
        <w:t>7. 工期和进度</w:t>
      </w:r>
      <w:bookmarkEnd w:id="925"/>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7.1 施工组织设计</w:t>
      </w:r>
    </w:p>
    <w:p>
      <w:pPr>
        <w:autoSpaceDE w:val="0"/>
        <w:autoSpaceDN w:val="0"/>
        <w:adjustRightInd w:val="0"/>
        <w:spacing w:line="360" w:lineRule="exact"/>
        <w:ind w:firstLine="412" w:firstLineChars="200"/>
        <w:rPr>
          <w:rFonts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szCs w:val="21"/>
          <w:highlight w:val="none"/>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pPr>
        <w:autoSpaceDE w:val="0"/>
        <w:autoSpaceDN w:val="0"/>
        <w:adjustRightInd w:val="0"/>
        <w:spacing w:line="360" w:lineRule="exact"/>
        <w:ind w:firstLine="412" w:firstLineChars="200"/>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pPr>
        <w:autoSpaceDE w:val="0"/>
        <w:autoSpaceDN w:val="0"/>
        <w:adjustRightInd w:val="0"/>
        <w:spacing w:line="360" w:lineRule="exact"/>
        <w:ind w:firstLine="412" w:firstLineChars="200"/>
        <w:rPr>
          <w:rFonts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rPr>
        <w:t>收到相应文件后7天内</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7</w:t>
      </w:r>
      <w:bookmarkStart w:id="926" w:name="_Toc297123514"/>
      <w:bookmarkStart w:id="927" w:name="_Toc312677479"/>
      <w:bookmarkStart w:id="928" w:name="_Toc303539123"/>
      <w:bookmarkStart w:id="929" w:name="_Toc312678005"/>
      <w:bookmarkStart w:id="930" w:name="_Toc297216173"/>
      <w:bookmarkStart w:id="931" w:name="_Toc300934966"/>
      <w:bookmarkStart w:id="932" w:name="_Toc304295541"/>
      <w:r>
        <w:rPr>
          <w:rFonts w:hint="eastAsia" w:ascii="宋体" w:hAnsi="宋体" w:cs="宋体"/>
          <w:color w:val="auto"/>
          <w:szCs w:val="21"/>
          <w:highlight w:val="none"/>
        </w:rPr>
        <w:t>.2 施工进度计划</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7.2.2 施工进度计划的修订</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rPr>
        <w:t xml:space="preserve"> 收到相应文件后7天内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7.3 开工</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7.3.1 开工准备</w:t>
      </w:r>
    </w:p>
    <w:p>
      <w:pPr>
        <w:spacing w:line="360" w:lineRule="exact"/>
        <w:ind w:firstLine="645"/>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rPr>
        <w:t xml:space="preserve">接到开工通知（或确定开工日期）后7天内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开工前7天</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开工前。</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7.3.2开工通知</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发包人（或监理人）在计划开工日期前7天向承包人发出开工通知，工期自开工通知中载明的开工日期起算。</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天内发出开工通知的，承包人有权提出价格调整要求，或者解除合同。发包人应当承担由此增加的费用或赔偿承包人的损失。</w:t>
      </w:r>
    </w:p>
    <w:bookmarkEnd w:id="926"/>
    <w:bookmarkEnd w:id="927"/>
    <w:bookmarkEnd w:id="928"/>
    <w:bookmarkEnd w:id="929"/>
    <w:bookmarkEnd w:id="930"/>
    <w:bookmarkEnd w:id="931"/>
    <w:bookmarkEnd w:id="932"/>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7.4 测量放线</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 xml:space="preserve"> 按合同通用条款执行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7</w:t>
      </w:r>
      <w:bookmarkStart w:id="933" w:name="_Toc312677484"/>
      <w:bookmarkStart w:id="934" w:name="_Toc312678010"/>
      <w:bookmarkStart w:id="935" w:name="_Toc300934968"/>
      <w:bookmarkStart w:id="936" w:name="_Toc303539125"/>
      <w:bookmarkStart w:id="937" w:name="_Toc297123516"/>
      <w:bookmarkStart w:id="938" w:name="_Toc304295546"/>
      <w:bookmarkStart w:id="939" w:name="_Toc297216175"/>
      <w:r>
        <w:rPr>
          <w:rFonts w:hint="eastAsia" w:ascii="宋体" w:hAnsi="宋体" w:cs="宋体"/>
          <w:color w:val="auto"/>
          <w:szCs w:val="21"/>
          <w:highlight w:val="none"/>
        </w:rPr>
        <w:t>.5 工期延误</w:t>
      </w:r>
    </w:p>
    <w:bookmarkEnd w:id="933"/>
    <w:bookmarkEnd w:id="934"/>
    <w:bookmarkEnd w:id="935"/>
    <w:bookmarkEnd w:id="936"/>
    <w:bookmarkEnd w:id="937"/>
    <w:bookmarkEnd w:id="938"/>
    <w:bookmarkEnd w:id="939"/>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pPr>
        <w:spacing w:line="360" w:lineRule="exact"/>
        <w:ind w:firstLine="309" w:firstLineChars="150"/>
        <w:rPr>
          <w:rFonts w:ascii="宋体" w:hAnsi="宋体" w:cs="宋体"/>
          <w:color w:val="auto"/>
          <w:szCs w:val="21"/>
          <w:highlight w:val="none"/>
          <w:u w:val="singl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7</w:t>
      </w:r>
      <w:bookmarkStart w:id="940" w:name="_Toc312678012"/>
      <w:bookmarkStart w:id="941" w:name="_Toc312677486"/>
      <w:bookmarkStart w:id="942" w:name="_Toc318581169"/>
      <w:bookmarkStart w:id="943" w:name="_Toc300934970"/>
      <w:bookmarkStart w:id="944" w:name="_Toc297123518"/>
      <w:bookmarkStart w:id="945" w:name="_Toc304295548"/>
      <w:bookmarkStart w:id="946" w:name="_Toc303539127"/>
      <w:bookmarkStart w:id="947" w:name="_Toc297216177"/>
      <w:r>
        <w:rPr>
          <w:rFonts w:hint="eastAsia" w:ascii="宋体" w:hAnsi="宋体" w:cs="宋体"/>
          <w:color w:val="auto"/>
          <w:szCs w:val="21"/>
          <w:highlight w:val="none"/>
        </w:rPr>
        <w:t>.5.2 因承包人原因导致工期延误</w:t>
      </w:r>
    </w:p>
    <w:bookmarkEnd w:id="940"/>
    <w:bookmarkEnd w:id="941"/>
    <w:bookmarkEnd w:id="942"/>
    <w:p>
      <w:pPr>
        <w:spacing w:line="360" w:lineRule="exact"/>
        <w:ind w:firstLine="412" w:firstLineChars="200"/>
        <w:rPr>
          <w:rFonts w:ascii="宋体" w:hAnsi="宋体" w:cs="宋体"/>
          <w:i/>
          <w:color w:val="auto"/>
          <w:szCs w:val="21"/>
          <w:highlight w:val="none"/>
          <w:u w:val="single"/>
        </w:rPr>
      </w:pPr>
      <w:r>
        <w:rPr>
          <w:rFonts w:hint="eastAsia" w:ascii="宋体" w:hAnsi="宋体" w:cs="宋体"/>
          <w:color w:val="auto"/>
          <w:szCs w:val="21"/>
          <w:highlight w:val="none"/>
        </w:rPr>
        <w:t>因</w:t>
      </w:r>
      <w:bookmarkStart w:id="948" w:name="_Toc312678013"/>
      <w:bookmarkStart w:id="949" w:name="_Toc312677487"/>
      <w:bookmarkStart w:id="950" w:name="_Toc318581170"/>
      <w:r>
        <w:rPr>
          <w:rFonts w:hint="eastAsia" w:ascii="宋体" w:hAnsi="宋体" w:cs="宋体"/>
          <w:color w:val="auto"/>
          <w:szCs w:val="21"/>
          <w:highlight w:val="none"/>
        </w:rPr>
        <w:t>承包人原因造成工期延误，逾期竣工违约金的计算方法为：</w:t>
      </w:r>
      <w:r>
        <w:rPr>
          <w:rFonts w:hint="eastAsia" w:ascii="宋体" w:hAnsi="宋体" w:cs="宋体"/>
          <w:color w:val="auto"/>
          <w:szCs w:val="21"/>
          <w:highlight w:val="none"/>
          <w:u w:val="single"/>
        </w:rPr>
        <w:t>每天500元</w:t>
      </w:r>
      <w:bookmarkEnd w:id="943"/>
      <w:bookmarkEnd w:id="944"/>
      <w:bookmarkEnd w:id="945"/>
      <w:bookmarkEnd w:id="946"/>
      <w:bookmarkEnd w:id="947"/>
      <w:bookmarkEnd w:id="948"/>
      <w:bookmarkEnd w:id="949"/>
      <w:r>
        <w:rPr>
          <w:rFonts w:hint="eastAsia" w:ascii="宋体" w:hAnsi="宋体" w:cs="宋体"/>
          <w:i/>
          <w:color w:val="auto"/>
          <w:szCs w:val="21"/>
          <w:highlight w:val="none"/>
          <w:u w:val="single"/>
        </w:rPr>
        <w:t>。</w:t>
      </w:r>
    </w:p>
    <w:bookmarkEnd w:id="950"/>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951" w:name="_Toc318581171"/>
      <w:bookmarkStart w:id="952" w:name="_Toc312678014"/>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rPr>
        <w:t>履约保证金额度,对发包人造成损失超过违约金的，除承担违约金外同时赔偿发包人损失</w:t>
      </w:r>
      <w:r>
        <w:rPr>
          <w:rFonts w:hint="eastAsia" w:ascii="宋体" w:hAnsi="宋体" w:cs="宋体"/>
          <w:color w:val="auto"/>
          <w:szCs w:val="21"/>
          <w:highlight w:val="none"/>
        </w:rPr>
        <w:t>。</w:t>
      </w:r>
    </w:p>
    <w:bookmarkEnd w:id="951"/>
    <w:bookmarkEnd w:id="952"/>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7</w:t>
      </w:r>
      <w:bookmarkStart w:id="953" w:name="_Toc297123519"/>
      <w:bookmarkStart w:id="954" w:name="_Toc300934971"/>
      <w:bookmarkStart w:id="955" w:name="_Toc297216178"/>
      <w:bookmarkStart w:id="956" w:name="_Toc304295549"/>
      <w:bookmarkStart w:id="957" w:name="_Toc303539128"/>
      <w:bookmarkStart w:id="958" w:name="_Toc312678015"/>
      <w:r>
        <w:rPr>
          <w:rFonts w:hint="eastAsia" w:ascii="宋体" w:hAnsi="宋体" w:cs="宋体"/>
          <w:color w:val="auto"/>
          <w:szCs w:val="21"/>
          <w:highlight w:val="none"/>
        </w:rPr>
        <w:t>.6 不</w:t>
      </w:r>
      <w:bookmarkEnd w:id="953"/>
      <w:bookmarkEnd w:id="954"/>
      <w:bookmarkEnd w:id="955"/>
      <w:bookmarkEnd w:id="956"/>
      <w:bookmarkEnd w:id="957"/>
      <w:bookmarkEnd w:id="958"/>
      <w:r>
        <w:rPr>
          <w:rFonts w:hint="eastAsia" w:ascii="宋体" w:hAnsi="宋体" w:cs="宋体"/>
          <w:color w:val="auto"/>
          <w:szCs w:val="21"/>
          <w:highlight w:val="none"/>
        </w:rPr>
        <w:t>利物质条件</w:t>
      </w:r>
    </w:p>
    <w:p>
      <w:pPr>
        <w:spacing w:line="360" w:lineRule="exact"/>
        <w:ind w:firstLine="412" w:firstLineChars="200"/>
        <w:rPr>
          <w:rFonts w:ascii="宋体" w:hAnsi="宋体" w:cs="宋体"/>
          <w:color w:val="auto"/>
          <w:szCs w:val="21"/>
          <w:highlight w:val="none"/>
        </w:rPr>
      </w:pPr>
      <w:bookmarkStart w:id="959" w:name="_Toc312678016"/>
      <w:bookmarkStart w:id="960" w:name="_Toc318581172"/>
      <w:bookmarkStart w:id="961" w:name="_Toc297123520"/>
      <w:bookmarkStart w:id="962" w:name="_Toc300934972"/>
      <w:bookmarkStart w:id="963" w:name="_Toc303539129"/>
      <w:bookmarkStart w:id="964" w:name="_Toc304295550"/>
      <w:bookmarkStart w:id="965" w:name="_Toc297216179"/>
      <w:r>
        <w:rPr>
          <w:rFonts w:hint="eastAsia" w:ascii="宋体" w:hAnsi="宋体" w:cs="宋体"/>
          <w:color w:val="auto"/>
          <w:szCs w:val="21"/>
          <w:highlight w:val="none"/>
        </w:rPr>
        <w:t>不利物质条件的其他情形和有关约定：</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每天连续停水、停电超过8小时以上。</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因政府行政命令（因承包人原因的除外）。</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（3）</w:t>
      </w:r>
      <w:r>
        <w:rPr>
          <w:rFonts w:hint="eastAsia" w:ascii="宋体" w:hAnsi="宋体" w:cs="宋体"/>
          <w:color w:val="auto"/>
          <w:szCs w:val="21"/>
          <w:highlight w:val="none"/>
          <w:u w:val="single"/>
        </w:rPr>
        <w:t>非因双方原因而无法控制的爆炸、火灾等事件。</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（4）</w:t>
      </w:r>
      <w:r>
        <w:rPr>
          <w:rFonts w:hint="eastAsia" w:ascii="宋体" w:hAnsi="宋体" w:cs="宋体"/>
          <w:color w:val="auto"/>
          <w:szCs w:val="21"/>
          <w:highlight w:val="none"/>
          <w:u w:val="single"/>
        </w:rPr>
        <w:t>施工场地周围地下管线保护，地下障碍物和污染物排除，邻近建筑物、构筑物的保护要求。</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u w:val="single"/>
        </w:rPr>
        <w:t>地质勘探资料未涉及的地下管道、暗沟、岩层等。</w:t>
      </w:r>
    </w:p>
    <w:bookmarkEnd w:id="959"/>
    <w:bookmarkEnd w:id="960"/>
    <w:bookmarkEnd w:id="961"/>
    <w:bookmarkEnd w:id="962"/>
    <w:bookmarkEnd w:id="963"/>
    <w:bookmarkEnd w:id="964"/>
    <w:bookmarkEnd w:id="965"/>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7</w:t>
      </w:r>
      <w:bookmarkStart w:id="966" w:name="_Toc297123521"/>
      <w:bookmarkStart w:id="967" w:name="_Toc303539130"/>
      <w:bookmarkStart w:id="968" w:name="_Toc300934973"/>
      <w:bookmarkStart w:id="969" w:name="_Toc312678017"/>
      <w:bookmarkStart w:id="970" w:name="_Toc304295551"/>
      <w:bookmarkStart w:id="971" w:name="_Toc297216180"/>
      <w:r>
        <w:rPr>
          <w:rFonts w:hint="eastAsia" w:ascii="宋体" w:hAnsi="宋体" w:cs="宋体"/>
          <w:color w:val="auto"/>
          <w:szCs w:val="21"/>
          <w:highlight w:val="none"/>
        </w:rPr>
        <w:t>.7异常恶劣的气候条件</w:t>
      </w:r>
    </w:p>
    <w:bookmarkEnd w:id="966"/>
    <w:bookmarkEnd w:id="967"/>
    <w:bookmarkEnd w:id="968"/>
    <w:bookmarkEnd w:id="969"/>
    <w:bookmarkEnd w:id="970"/>
    <w:bookmarkEnd w:id="971"/>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（1）</w:t>
      </w:r>
      <w:r>
        <w:rPr>
          <w:rFonts w:hint="eastAsia" w:ascii="宋体" w:hAnsi="宋体" w:cs="宋体"/>
          <w:color w:val="auto"/>
          <w:szCs w:val="21"/>
          <w:highlight w:val="none"/>
          <w:u w:val="single"/>
        </w:rPr>
        <w:t>8级以上持续24小时的大风（台风）；</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24小时内持续降雨且降水量为200mm以上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40摄氏度及以上且持续2天以上的高温天气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7.9 提前竣工的奖励</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pStyle w:val="6"/>
        <w:spacing w:before="0" w:after="0" w:line="360" w:lineRule="exact"/>
        <w:rPr>
          <w:rFonts w:ascii="宋体" w:hAnsi="宋体" w:eastAsia="宋体" w:cs="宋体"/>
          <w:b w:val="0"/>
          <w:color w:val="auto"/>
          <w:sz w:val="21"/>
          <w:szCs w:val="21"/>
          <w:highlight w:val="none"/>
        </w:rPr>
      </w:pPr>
      <w:bookmarkStart w:id="972" w:name="_Toc351203640"/>
      <w:r>
        <w:rPr>
          <w:rFonts w:hint="eastAsia" w:ascii="宋体" w:hAnsi="宋体" w:eastAsia="宋体" w:cs="宋体"/>
          <w:b w:val="0"/>
          <w:color w:val="auto"/>
          <w:sz w:val="21"/>
          <w:szCs w:val="21"/>
          <w:highlight w:val="none"/>
        </w:rPr>
        <w:t>8. 材料与设备</w:t>
      </w:r>
      <w:bookmarkEnd w:id="972"/>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8.2 承包人采购材料与工程设备</w:t>
      </w:r>
    </w:p>
    <w:p>
      <w:pPr>
        <w:snapToGrid w:val="0"/>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（1）材料品牌、规格和使用要求：按招标文件（相应）技术标准和要求执行。</w:t>
      </w:r>
    </w:p>
    <w:p>
      <w:pPr>
        <w:autoSpaceDE w:val="0"/>
        <w:autoSpaceDN w:val="0"/>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（2）本工程已确定承包价的建筑材料均由承包人自行询价、采购、运输和保管。新型墙体材料的使用须符合相关规定，否则相关押金由承包人承担。</w:t>
      </w:r>
    </w:p>
    <w:p>
      <w:pPr>
        <w:autoSpaceDE w:val="0"/>
        <w:autoSpaceDN w:val="0"/>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（3）本工程要求使用材料要求（如商品砼、保温节能材料等）。</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（4）所有材料必须有质保书或合格证，符合施工图纸和规范要求，且品牌、产地需报发包人备案，否则，因此产生的后果均由承包人负责。</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（7）根据工程需要，发包人有权对承包人投标时确认的品牌进行更换，更换后的材料价格由发包人签证进行结算。</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（8）合同中原暂定价材料或由工程变更产生的无价材料（按有关规定可不组织招标采购的）由承包人采购时，应由发包人签证确定价格后采购，发包人收到承包人价格确定申请后，7日内审批完毕。</w:t>
      </w:r>
    </w:p>
    <w:bookmarkEnd w:id="907"/>
    <w:bookmarkEnd w:id="908"/>
    <w:bookmarkEnd w:id="909"/>
    <w:bookmarkEnd w:id="910"/>
    <w:bookmarkEnd w:id="911"/>
    <w:bookmarkEnd w:id="912"/>
    <w:bookmarkEnd w:id="913"/>
    <w:bookmarkEnd w:id="914"/>
    <w:bookmarkEnd w:id="915"/>
    <w:bookmarkEnd w:id="916"/>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8</w:t>
      </w:r>
      <w:bookmarkStart w:id="973" w:name="_Toc296346668"/>
      <w:bookmarkStart w:id="974" w:name="_Toc296347166"/>
      <w:bookmarkStart w:id="975" w:name="_Toc304295556"/>
      <w:bookmarkStart w:id="976" w:name="_Toc297216186"/>
      <w:bookmarkStart w:id="977" w:name="_Toc312678019"/>
      <w:bookmarkStart w:id="978" w:name="_Toc280868654"/>
      <w:bookmarkStart w:id="979" w:name="_Toc303539136"/>
      <w:bookmarkStart w:id="980" w:name="_Toc292559877"/>
      <w:bookmarkStart w:id="981" w:name="_Toc292559372"/>
      <w:bookmarkStart w:id="982" w:name="_Toc300934979"/>
      <w:bookmarkStart w:id="983" w:name="_Toc296891207"/>
      <w:bookmarkStart w:id="984" w:name="_Toc296944506"/>
      <w:bookmarkStart w:id="985" w:name="_Toc297120467"/>
      <w:bookmarkStart w:id="986" w:name="_Toc296503167"/>
      <w:bookmarkStart w:id="987" w:name="_Toc296890995"/>
      <w:bookmarkStart w:id="988" w:name="_Toc312677493"/>
      <w:bookmarkStart w:id="989" w:name="_Toc297048353"/>
      <w:bookmarkStart w:id="990" w:name="_Toc297123527"/>
      <w:bookmarkStart w:id="991" w:name="_Toc267251424"/>
      <w:bookmarkStart w:id="992" w:name="_Toc280868655"/>
      <w:bookmarkStart w:id="993" w:name="_Toc280868656"/>
      <w:r>
        <w:rPr>
          <w:rFonts w:hint="eastAsia" w:ascii="宋体" w:hAnsi="宋体" w:cs="宋体"/>
          <w:color w:val="auto"/>
          <w:szCs w:val="21"/>
          <w:highlight w:val="none"/>
        </w:rPr>
        <w:t>.4材料与工程设备的保管与使用</w:t>
      </w:r>
    </w:p>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8</w:t>
      </w:r>
      <w:bookmarkStart w:id="994" w:name="_Toc292559373"/>
      <w:bookmarkStart w:id="995" w:name="_Toc292559878"/>
      <w:bookmarkStart w:id="996" w:name="_Toc296346669"/>
      <w:bookmarkStart w:id="997" w:name="_Toc296944507"/>
      <w:bookmarkStart w:id="998" w:name="_Toc296890996"/>
      <w:bookmarkStart w:id="999" w:name="_Toc318581173"/>
      <w:bookmarkStart w:id="1000" w:name="_Toc296503168"/>
      <w:bookmarkStart w:id="1001" w:name="_Toc296891208"/>
      <w:bookmarkStart w:id="1002" w:name="_Toc300934980"/>
      <w:bookmarkStart w:id="1003" w:name="_Toc297048354"/>
      <w:bookmarkStart w:id="1004" w:name="_Toc297216187"/>
      <w:bookmarkStart w:id="1005" w:name="_Toc297120468"/>
      <w:bookmarkStart w:id="1006" w:name="_Toc312678020"/>
      <w:bookmarkStart w:id="1007" w:name="_Toc297123528"/>
      <w:bookmarkStart w:id="1008" w:name="_Toc303539137"/>
      <w:bookmarkStart w:id="1009" w:name="_Toc304295557"/>
      <w:bookmarkStart w:id="1010" w:name="_Toc296347167"/>
      <w:bookmarkStart w:id="1011" w:name="_Toc312677494"/>
      <w:r>
        <w:rPr>
          <w:rFonts w:hint="eastAsia" w:ascii="宋体" w:hAnsi="宋体" w:cs="宋体"/>
          <w:color w:val="auto"/>
          <w:szCs w:val="21"/>
          <w:highlight w:val="none"/>
        </w:rPr>
        <w:t>.4.1发包人供应的材料设备的保管费用的承担：</w:t>
      </w:r>
      <w:bookmarkEnd w:id="994"/>
      <w:bookmarkEnd w:id="995"/>
      <w:r>
        <w:rPr>
          <w:rFonts w:hint="eastAsia"/>
          <w:color w:val="auto"/>
          <w:szCs w:val="21"/>
          <w:highlight w:val="none"/>
          <w:u w:val="single"/>
        </w:rPr>
        <w:t>不再计取</w:t>
      </w:r>
      <w:r>
        <w:rPr>
          <w:rFonts w:hint="eastAsia" w:ascii="宋体" w:hAnsi="宋体" w:cs="宋体"/>
          <w:color w:val="auto"/>
          <w:szCs w:val="21"/>
          <w:highlight w:val="none"/>
          <w:u w:val="singl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8.6 样品</w:t>
      </w:r>
    </w:p>
    <w:p>
      <w:pPr>
        <w:autoSpaceDE w:val="0"/>
        <w:autoSpaceDN w:val="0"/>
        <w:adjustRightInd w:val="0"/>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8.6.1 样品的报送与封存</w:t>
      </w:r>
    </w:p>
    <w:p>
      <w:pPr>
        <w:autoSpaceDE w:val="0"/>
        <w:autoSpaceDN w:val="0"/>
        <w:adjustRightInd w:val="0"/>
        <w:spacing w:line="360" w:lineRule="exact"/>
        <w:ind w:firstLine="412" w:firstLineChars="200"/>
        <w:rPr>
          <w:rFonts w:ascii="宋体" w:hAnsi="宋体" w:cs="宋体"/>
          <w:color w:val="auto"/>
          <w:szCs w:val="21"/>
          <w:highlight w:val="non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szCs w:val="21"/>
          <w:highlight w:val="none"/>
          <w:u w:val="single"/>
        </w:rPr>
        <w:t xml:space="preserve"> （如有要封存样品，明确具体样品名称）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8.8 施工设备和临时设施</w:t>
      </w:r>
    </w:p>
    <w:p>
      <w:pPr>
        <w:autoSpaceDE w:val="0"/>
        <w:autoSpaceDN w:val="0"/>
        <w:adjustRightInd w:val="0"/>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pPr>
        <w:autoSpaceDE w:val="0"/>
        <w:autoSpaceDN w:val="0"/>
        <w:adjustRightInd w:val="0"/>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color w:val="auto"/>
          <w:szCs w:val="21"/>
          <w:highlight w:val="none"/>
          <w:u w:val="single"/>
        </w:rPr>
        <w:t xml:space="preserve"> 由承包人承担  </w:t>
      </w:r>
      <w:r>
        <w:rPr>
          <w:rFonts w:hint="eastAsia" w:ascii="宋体" w:hAnsi="宋体" w:cs="宋体"/>
          <w:color w:val="auto"/>
          <w:szCs w:val="21"/>
          <w:highlight w:val="none"/>
        </w:rPr>
        <w:t>。</w:t>
      </w:r>
    </w:p>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Pr>
        <w:pStyle w:val="6"/>
        <w:spacing w:before="0" w:after="0" w:line="360" w:lineRule="exact"/>
        <w:rPr>
          <w:rFonts w:ascii="宋体" w:hAnsi="宋体" w:eastAsia="宋体" w:cs="宋体"/>
          <w:b w:val="0"/>
          <w:color w:val="auto"/>
          <w:sz w:val="21"/>
          <w:szCs w:val="21"/>
          <w:highlight w:val="none"/>
        </w:rPr>
      </w:pPr>
      <w:bookmarkStart w:id="1012" w:name="_Toc351203641"/>
      <w:r>
        <w:rPr>
          <w:rFonts w:hint="eastAsia" w:ascii="宋体" w:hAnsi="宋体" w:eastAsia="宋体" w:cs="宋体"/>
          <w:b w:val="0"/>
          <w:color w:val="auto"/>
          <w:sz w:val="21"/>
          <w:szCs w:val="21"/>
          <w:highlight w:val="none"/>
        </w:rPr>
        <w:t>9</w:t>
      </w:r>
      <w:bookmarkEnd w:id="991"/>
      <w:bookmarkEnd w:id="992"/>
      <w:bookmarkEnd w:id="993"/>
      <w:bookmarkStart w:id="1013" w:name="_Toc303539139"/>
      <w:bookmarkStart w:id="1014" w:name="_Toc300934982"/>
      <w:bookmarkStart w:id="1015" w:name="_Toc297123533"/>
      <w:bookmarkStart w:id="1016" w:name="_Toc297216192"/>
      <w:bookmarkStart w:id="1017" w:name="_Toc312678021"/>
      <w:bookmarkStart w:id="1018" w:name="_Toc312677495"/>
      <w:bookmarkStart w:id="1019" w:name="_Toc304295559"/>
      <w:bookmarkStart w:id="1020" w:name="_Toc297120473"/>
      <w:bookmarkStart w:id="1021" w:name="_Toc296503173"/>
      <w:bookmarkStart w:id="1022" w:name="_Toc292559883"/>
      <w:bookmarkStart w:id="1023" w:name="_Toc296347172"/>
      <w:bookmarkStart w:id="1024" w:name="_Toc296891213"/>
      <w:bookmarkStart w:id="1025" w:name="_Toc267251428"/>
      <w:bookmarkStart w:id="1026" w:name="_Toc292559378"/>
      <w:bookmarkStart w:id="1027" w:name="_Toc296944512"/>
      <w:bookmarkStart w:id="1028" w:name="_Toc296891001"/>
      <w:bookmarkStart w:id="1029" w:name="_Toc267251427"/>
      <w:bookmarkStart w:id="1030" w:name="_Toc297048359"/>
      <w:bookmarkStart w:id="1031" w:name="_Toc296346674"/>
      <w:r>
        <w:rPr>
          <w:rFonts w:hint="eastAsia" w:ascii="宋体" w:hAnsi="宋体" w:eastAsia="宋体" w:cs="宋体"/>
          <w:b w:val="0"/>
          <w:color w:val="auto"/>
          <w:sz w:val="21"/>
          <w:szCs w:val="21"/>
          <w:highlight w:val="none"/>
        </w:rPr>
        <w:t>. 试验与检验</w:t>
      </w:r>
      <w:bookmarkEnd w:id="1012"/>
    </w:p>
    <w:bookmarkEnd w:id="1013"/>
    <w:bookmarkEnd w:id="1014"/>
    <w:bookmarkEnd w:id="1015"/>
    <w:bookmarkEnd w:id="1016"/>
    <w:bookmarkEnd w:id="1017"/>
    <w:bookmarkEnd w:id="1018"/>
    <w:bookmarkEnd w:id="1019"/>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9</w:t>
      </w:r>
      <w:bookmarkStart w:id="1032" w:name="_Toc312677496"/>
      <w:bookmarkStart w:id="1033" w:name="_Toc300934983"/>
      <w:bookmarkStart w:id="1034" w:name="_Toc304295560"/>
      <w:bookmarkStart w:id="1035" w:name="_Toc297216193"/>
      <w:bookmarkStart w:id="1036" w:name="_Toc312678022"/>
      <w:bookmarkStart w:id="1037" w:name="_Toc303539140"/>
      <w:bookmarkStart w:id="1038" w:name="_Toc297123534"/>
      <w:r>
        <w:rPr>
          <w:rFonts w:hint="eastAsia" w:ascii="宋体" w:hAnsi="宋体" w:cs="宋体"/>
          <w:color w:val="auto"/>
          <w:szCs w:val="21"/>
          <w:highlight w:val="none"/>
        </w:rPr>
        <w:t>.1试验设备与试验人员</w:t>
      </w:r>
    </w:p>
    <w:bookmarkEnd w:id="1032"/>
    <w:bookmarkEnd w:id="1033"/>
    <w:bookmarkEnd w:id="1034"/>
    <w:bookmarkEnd w:id="1035"/>
    <w:bookmarkEnd w:id="1036"/>
    <w:bookmarkEnd w:id="1037"/>
    <w:bookmarkEnd w:id="1038"/>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9</w:t>
      </w:r>
      <w:bookmarkStart w:id="1039" w:name="_Toc312677497"/>
      <w:bookmarkStart w:id="1040" w:name="_Toc297216194"/>
      <w:bookmarkStart w:id="1041" w:name="_Toc304295561"/>
      <w:bookmarkStart w:id="1042" w:name="_Toc300934984"/>
      <w:bookmarkStart w:id="1043" w:name="_Toc297123535"/>
      <w:bookmarkStart w:id="1044" w:name="_Toc303539141"/>
      <w:bookmarkStart w:id="1045" w:name="_Toc312678023"/>
      <w:bookmarkStart w:id="1046" w:name="_Toc318581174"/>
      <w:r>
        <w:rPr>
          <w:rFonts w:hint="eastAsia" w:ascii="宋体" w:hAnsi="宋体" w:cs="宋体"/>
          <w:color w:val="auto"/>
          <w:szCs w:val="21"/>
          <w:highlight w:val="none"/>
        </w:rPr>
        <w:t>.1.2 试验设备</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1039"/>
      <w:bookmarkEnd w:id="1040"/>
      <w:bookmarkEnd w:id="1041"/>
      <w:bookmarkEnd w:id="1042"/>
      <w:bookmarkEnd w:id="1043"/>
      <w:bookmarkEnd w:id="1044"/>
      <w:bookmarkEnd w:id="1045"/>
      <w:bookmarkStart w:id="1047" w:name="_Toc312678024"/>
      <w:bookmarkStart w:id="1048" w:name="_Toc304295562"/>
      <w:bookmarkStart w:id="1049" w:name="_Toc303539142"/>
      <w:bookmarkStart w:id="1050" w:name="_Toc297216195"/>
      <w:bookmarkStart w:id="1051" w:name="_Toc312677498"/>
      <w:bookmarkStart w:id="1052" w:name="_Toc297123536"/>
      <w:bookmarkStart w:id="1053" w:name="_Toc300934985"/>
      <w:r>
        <w:rPr>
          <w:rFonts w:hint="eastAsia" w:ascii="宋体" w:hAnsi="宋体" w:cs="宋体"/>
          <w:color w:val="auto"/>
          <w:szCs w:val="21"/>
          <w:highlight w:val="none"/>
          <w:u w:val="single"/>
        </w:rPr>
        <w:t xml:space="preserve"> 按规范及（当地）建设行政主管部门要求配置</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按规范及（当地）建设行政主管部门要求配置</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按规范及（当地）建设行政主管部门要求配置</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9.3 材料、工程设备和工程的试验和检验</w:t>
      </w:r>
    </w:p>
    <w:p>
      <w:pPr>
        <w:spacing w:line="360" w:lineRule="exact"/>
        <w:ind w:firstLine="309" w:firstLineChars="150"/>
        <w:rPr>
          <w:rFonts w:ascii="宋体" w:hAnsi="宋体" w:cs="宋体"/>
          <w:color w:val="auto"/>
          <w:szCs w:val="21"/>
          <w:highlight w:val="none"/>
          <w:u w:val="single"/>
        </w:rPr>
      </w:pPr>
      <w:r>
        <w:rPr>
          <w:rFonts w:hint="eastAsia" w:ascii="宋体" w:hAnsi="宋体" w:cs="宋体"/>
          <w:color w:val="auto"/>
          <w:szCs w:val="21"/>
          <w:highlight w:val="none"/>
        </w:rPr>
        <w:t>材料、设备和工程的试验和检验的费用：</w:t>
      </w:r>
      <w:r>
        <w:rPr>
          <w:rFonts w:hint="eastAsia" w:ascii="宋体" w:hAnsi="宋体" w:cs="宋体"/>
          <w:color w:val="auto"/>
          <w:szCs w:val="21"/>
          <w:highlight w:val="none"/>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60" w:lineRule="exact"/>
        <w:ind w:firstLine="309" w:firstLineChars="150"/>
        <w:rPr>
          <w:rFonts w:ascii="宋体" w:hAnsi="宋体" w:cs="宋体"/>
          <w:color w:val="auto"/>
          <w:szCs w:val="21"/>
          <w:highlight w:val="none"/>
          <w:u w:val="single"/>
        </w:rPr>
      </w:pPr>
      <w:r>
        <w:rPr>
          <w:rFonts w:hint="eastAsia" w:ascii="宋体" w:hAnsi="宋体" w:cs="宋体"/>
          <w:color w:val="auto"/>
          <w:szCs w:val="21"/>
          <w:highlight w:val="none"/>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60" w:lineRule="exact"/>
        <w:ind w:firstLine="309" w:firstLineChars="150"/>
        <w:rPr>
          <w:rFonts w:ascii="宋体" w:hAnsi="宋体" w:cs="宋体"/>
          <w:color w:val="auto"/>
          <w:szCs w:val="21"/>
          <w:highlight w:val="none"/>
          <w:u w:val="single"/>
        </w:rPr>
      </w:pPr>
      <w:r>
        <w:rPr>
          <w:rFonts w:hint="eastAsia" w:ascii="宋体" w:hAnsi="宋体" w:cs="宋体"/>
          <w:color w:val="auto"/>
          <w:szCs w:val="21"/>
          <w:highlight w:val="none"/>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9.4 现场工艺试验</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046"/>
    <w:bookmarkEnd w:id="1047"/>
    <w:bookmarkEnd w:id="1048"/>
    <w:bookmarkEnd w:id="1049"/>
    <w:bookmarkEnd w:id="1050"/>
    <w:bookmarkEnd w:id="1051"/>
    <w:bookmarkEnd w:id="1052"/>
    <w:bookmarkEnd w:id="1053"/>
    <w:p>
      <w:pPr>
        <w:pStyle w:val="6"/>
        <w:spacing w:before="0" w:after="0" w:line="360" w:lineRule="exact"/>
        <w:rPr>
          <w:rFonts w:ascii="宋体" w:hAnsi="宋体" w:eastAsia="宋体" w:cs="宋体"/>
          <w:b w:val="0"/>
          <w:color w:val="auto"/>
          <w:sz w:val="21"/>
          <w:szCs w:val="21"/>
          <w:highlight w:val="none"/>
        </w:rPr>
      </w:pPr>
      <w:bookmarkStart w:id="1054" w:name="_Toc351203642"/>
      <w:r>
        <w:rPr>
          <w:rFonts w:hint="eastAsia" w:ascii="宋体" w:hAnsi="宋体" w:eastAsia="宋体" w:cs="宋体"/>
          <w:b w:val="0"/>
          <w:color w:val="auto"/>
          <w:sz w:val="21"/>
          <w:szCs w:val="21"/>
          <w:highlight w:val="none"/>
        </w:rPr>
        <w:t>1</w:t>
      </w:r>
      <w:bookmarkEnd w:id="1020"/>
      <w:bookmarkEnd w:id="1021"/>
      <w:bookmarkEnd w:id="1022"/>
      <w:bookmarkEnd w:id="1023"/>
      <w:bookmarkEnd w:id="1024"/>
      <w:bookmarkEnd w:id="1025"/>
      <w:bookmarkEnd w:id="1026"/>
      <w:bookmarkEnd w:id="1027"/>
      <w:bookmarkEnd w:id="1028"/>
      <w:bookmarkEnd w:id="1029"/>
      <w:bookmarkEnd w:id="1030"/>
      <w:bookmarkEnd w:id="1031"/>
      <w:bookmarkStart w:id="1055" w:name="_Toc292559398"/>
      <w:bookmarkStart w:id="1056" w:name="_Toc303539146"/>
      <w:bookmarkStart w:id="1057" w:name="_Toc296944532"/>
      <w:bookmarkStart w:id="1058" w:name="_Toc297216199"/>
      <w:bookmarkStart w:id="1059" w:name="_Toc297123540"/>
      <w:bookmarkStart w:id="1060" w:name="_Toc296891021"/>
      <w:bookmarkStart w:id="1061" w:name="_Toc297048379"/>
      <w:bookmarkStart w:id="1062" w:name="_Toc292559903"/>
      <w:bookmarkStart w:id="1063" w:name="_Toc297120493"/>
      <w:bookmarkStart w:id="1064" w:name="_Toc300934989"/>
      <w:bookmarkStart w:id="1065" w:name="_Toc296503193"/>
      <w:bookmarkStart w:id="1066" w:name="_Toc304295566"/>
      <w:bookmarkStart w:id="1067" w:name="_Toc296346694"/>
      <w:bookmarkStart w:id="1068" w:name="_Toc296891233"/>
      <w:bookmarkStart w:id="1069" w:name="_Toc296347192"/>
      <w:bookmarkStart w:id="1070" w:name="_Toc312678025"/>
      <w:bookmarkStart w:id="1071" w:name="_Toc312677499"/>
      <w:bookmarkStart w:id="1072" w:name="_Toc267251437"/>
      <w:bookmarkStart w:id="1073" w:name="_Toc267251433"/>
      <w:bookmarkStart w:id="1074" w:name="_Toc267251439"/>
      <w:bookmarkStart w:id="1075" w:name="_Toc267251441"/>
      <w:bookmarkStart w:id="1076" w:name="_Toc267251440"/>
      <w:bookmarkStart w:id="1077" w:name="_Toc267251435"/>
      <w:bookmarkStart w:id="1078" w:name="_Toc267251442"/>
      <w:r>
        <w:rPr>
          <w:rFonts w:hint="eastAsia" w:ascii="宋体" w:hAnsi="宋体" w:eastAsia="宋体" w:cs="宋体"/>
          <w:b w:val="0"/>
          <w:color w:val="auto"/>
          <w:sz w:val="21"/>
          <w:szCs w:val="21"/>
          <w:highlight w:val="none"/>
        </w:rPr>
        <w:t>0. 变更</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bookmarkEnd w:id="1070"/>
    <w:bookmarkEnd w:id="1071"/>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w:t>
      </w:r>
      <w:bookmarkStart w:id="1079" w:name="_Toc296944533"/>
      <w:bookmarkStart w:id="1080" w:name="_Toc312678026"/>
      <w:bookmarkStart w:id="1081" w:name="_Toc312677500"/>
      <w:bookmarkStart w:id="1082" w:name="_Toc296891022"/>
      <w:bookmarkStart w:id="1083" w:name="_Toc297120494"/>
      <w:bookmarkStart w:id="1084" w:name="_Toc292559904"/>
      <w:bookmarkStart w:id="1085" w:name="_Toc296503194"/>
      <w:bookmarkStart w:id="1086" w:name="_Toc296346695"/>
      <w:bookmarkStart w:id="1087" w:name="_Toc300934990"/>
      <w:bookmarkStart w:id="1088" w:name="_Toc296347193"/>
      <w:bookmarkStart w:id="1089" w:name="_Toc297216200"/>
      <w:bookmarkStart w:id="1090" w:name="_Toc304295567"/>
      <w:bookmarkStart w:id="1091" w:name="_Toc297123541"/>
      <w:bookmarkStart w:id="1092" w:name="_Toc303539147"/>
      <w:bookmarkStart w:id="1093" w:name="_Toc297048380"/>
      <w:bookmarkStart w:id="1094" w:name="_Toc296891234"/>
      <w:bookmarkStart w:id="1095" w:name="_Toc292559399"/>
      <w:r>
        <w:rPr>
          <w:rFonts w:hint="eastAsia" w:ascii="宋体" w:hAnsi="宋体" w:cs="宋体"/>
          <w:color w:val="auto"/>
          <w:szCs w:val="21"/>
          <w:highlight w:val="none"/>
        </w:rPr>
        <w:t>0.1变更的范围</w:t>
      </w:r>
    </w:p>
    <w:p>
      <w:pPr>
        <w:spacing w:line="360" w:lineRule="exact"/>
        <w:ind w:firstLine="309" w:firstLineChars="150"/>
        <w:rPr>
          <w:rFonts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按合同通用条款。工程变更引起工程量的减少或增加，承包人不得因此拒绝施工。</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10.4 变更估价</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10.4.1 变更估价原则</w:t>
      </w:r>
    </w:p>
    <w:p>
      <w:pPr>
        <w:spacing w:line="360" w:lineRule="exact"/>
        <w:ind w:firstLine="309" w:firstLineChars="150"/>
        <w:rPr>
          <w:rFonts w:ascii="宋体" w:hAnsi="宋体" w:cs="宋体"/>
          <w:color w:val="auto"/>
          <w:szCs w:val="21"/>
          <w:highlight w:val="none"/>
        </w:rPr>
      </w:pPr>
      <w:r>
        <w:rPr>
          <w:rFonts w:hint="eastAsia" w:ascii="宋体" w:hAnsi="宋体" w:cs="宋体"/>
          <w:color w:val="auto"/>
          <w:szCs w:val="21"/>
          <w:highlight w:val="none"/>
        </w:rPr>
        <w:t xml:space="preserve">关于变更估价的约定: </w:t>
      </w:r>
    </w:p>
    <w:p>
      <w:pPr>
        <w:spacing w:line="360" w:lineRule="exact"/>
        <w:ind w:firstLine="309" w:firstLineChars="150"/>
        <w:rPr>
          <w:rFonts w:ascii="宋体" w:hAnsi="宋体" w:cs="宋体"/>
          <w:color w:val="auto"/>
          <w:szCs w:val="21"/>
          <w:highlight w:val="none"/>
        </w:rPr>
      </w:pPr>
      <w:r>
        <w:rPr>
          <w:rFonts w:hint="eastAsia" w:ascii="宋体" w:hAnsi="宋体" w:cs="宋体"/>
          <w:color w:val="auto"/>
          <w:szCs w:val="21"/>
          <w:highlight w:val="none"/>
          <w:u w:val="single"/>
        </w:rPr>
        <w:t>变更项目的计价口径同合同约定计价方法，按施工合同约定的工程预算定额计价，预算定额中无合适定额子目的由发包人签证确定。</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10.4.2 变更估价程序</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承包人收到发包人、监理人、设计单位的变更指示后14天内向发包人提交变更估价申请。</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承包人提出工程变更、施工方案调整等变更应同时提交变更估价申请。</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u w:val="single"/>
        </w:rPr>
        <w:t>承包人提交的变更估价申请，发包人应予以签收，并在14天内审批完毕。</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Start w:id="1096" w:name="_Toc296346698"/>
      <w:bookmarkStart w:id="1097" w:name="_Toc292559402"/>
      <w:bookmarkStart w:id="1098" w:name="_Toc297120497"/>
      <w:bookmarkStart w:id="1099" w:name="_Toc296503197"/>
      <w:bookmarkStart w:id="1100" w:name="_Toc292559907"/>
      <w:bookmarkStart w:id="1101" w:name="_Toc303539150"/>
      <w:bookmarkStart w:id="1102" w:name="_Toc296944536"/>
      <w:bookmarkStart w:id="1103" w:name="_Toc297123544"/>
      <w:bookmarkStart w:id="1104" w:name="_Toc297048383"/>
      <w:bookmarkStart w:id="1105" w:name="_Toc296891237"/>
      <w:bookmarkStart w:id="1106" w:name="_Toc297216203"/>
      <w:bookmarkStart w:id="1107" w:name="_Toc300934993"/>
      <w:bookmarkStart w:id="1108" w:name="_Toc296891025"/>
      <w:bookmarkStart w:id="1109" w:name="_Toc296347196"/>
      <w:bookmarkStart w:id="1110" w:name="_Toc304295570"/>
      <w:bookmarkStart w:id="1111" w:name="_Toc312678029"/>
      <w:bookmarkStart w:id="1112" w:name="_Toc312677503"/>
      <w:r>
        <w:rPr>
          <w:rFonts w:hint="eastAsia" w:ascii="宋体" w:hAnsi="宋体" w:cs="宋体"/>
          <w:color w:val="auto"/>
          <w:szCs w:val="21"/>
          <w:highlight w:val="none"/>
        </w:rPr>
        <w:t>0.5承</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Start w:id="1113" w:name="_Toc296891243"/>
      <w:bookmarkStart w:id="1114" w:name="_Toc296503203"/>
      <w:bookmarkStart w:id="1115" w:name="_Toc303539151"/>
      <w:bookmarkStart w:id="1116" w:name="_Toc297048389"/>
      <w:bookmarkStart w:id="1117" w:name="_Toc296347202"/>
      <w:bookmarkStart w:id="1118" w:name="_Toc297123545"/>
      <w:bookmarkStart w:id="1119" w:name="_Toc296346704"/>
      <w:bookmarkStart w:id="1120" w:name="_Toc297120503"/>
      <w:bookmarkStart w:id="1121" w:name="_Toc292559913"/>
      <w:bookmarkStart w:id="1122" w:name="_Toc292559408"/>
      <w:bookmarkStart w:id="1123" w:name="_Toc296944542"/>
      <w:bookmarkStart w:id="1124" w:name="_Toc300934994"/>
      <w:bookmarkStart w:id="1125" w:name="_Toc296891031"/>
      <w:bookmarkStart w:id="1126" w:name="_Toc297216204"/>
      <w:r>
        <w:rPr>
          <w:rFonts w:hint="eastAsia" w:ascii="宋体" w:hAnsi="宋体" w:cs="宋体"/>
          <w:color w:val="auto"/>
          <w:szCs w:val="21"/>
          <w:highlight w:val="none"/>
        </w:rPr>
        <w:t>包人的合理化建议</w:t>
      </w:r>
    </w:p>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按通用条款执行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承</w:t>
      </w:r>
      <w:bookmarkStart w:id="1127" w:name="_Toc296503204"/>
      <w:bookmarkStart w:id="1128" w:name="_Toc297120504"/>
      <w:bookmarkStart w:id="1129" w:name="_Toc303539152"/>
      <w:bookmarkStart w:id="1130" w:name="_Toc296346705"/>
      <w:bookmarkStart w:id="1131" w:name="_Toc312678030"/>
      <w:bookmarkStart w:id="1132" w:name="_Toc296944543"/>
      <w:bookmarkStart w:id="1133" w:name="_Toc304295571"/>
      <w:bookmarkStart w:id="1134" w:name="_Toc297216205"/>
      <w:bookmarkStart w:id="1135" w:name="_Toc297123546"/>
      <w:bookmarkStart w:id="1136" w:name="_Toc296347203"/>
      <w:bookmarkStart w:id="1137" w:name="_Toc312677504"/>
      <w:bookmarkStart w:id="1138" w:name="_Toc297048390"/>
      <w:bookmarkStart w:id="1139" w:name="_Toc296891244"/>
      <w:bookmarkStart w:id="1140" w:name="_Toc292559409"/>
      <w:bookmarkStart w:id="1141" w:name="_Toc292559914"/>
      <w:bookmarkStart w:id="1142" w:name="_Toc296891032"/>
      <w:bookmarkStart w:id="1143" w:name="_Toc318581175"/>
      <w:bookmarkStart w:id="1144" w:name="_Toc300934995"/>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w:t>
      </w:r>
      <w:bookmarkStart w:id="1145" w:name="_Toc297216207"/>
      <w:bookmarkStart w:id="1146" w:name="_Toc297048385"/>
      <w:bookmarkStart w:id="1147" w:name="_Toc297120499"/>
      <w:bookmarkStart w:id="1148" w:name="_Toc297123548"/>
      <w:bookmarkStart w:id="1149" w:name="_Toc312677507"/>
      <w:bookmarkStart w:id="1150" w:name="_Toc296891239"/>
      <w:bookmarkStart w:id="1151" w:name="_Toc303539154"/>
      <w:bookmarkStart w:id="1152" w:name="_Toc292559909"/>
      <w:bookmarkStart w:id="1153" w:name="_Toc296347198"/>
      <w:bookmarkStart w:id="1154" w:name="_Toc312678033"/>
      <w:bookmarkStart w:id="1155" w:name="_Toc296503199"/>
      <w:bookmarkStart w:id="1156" w:name="_Toc304295574"/>
      <w:bookmarkStart w:id="1157" w:name="_Toc296346700"/>
      <w:bookmarkStart w:id="1158" w:name="_Toc296891027"/>
      <w:bookmarkStart w:id="1159" w:name="_Toc300934997"/>
      <w:bookmarkStart w:id="1160" w:name="_Toc292559404"/>
      <w:bookmarkStart w:id="1161" w:name="_Toc296944538"/>
      <w:r>
        <w:rPr>
          <w:rFonts w:hint="eastAsia" w:ascii="宋体" w:hAnsi="宋体" w:cs="宋体"/>
          <w:color w:val="auto"/>
          <w:szCs w:val="21"/>
          <w:highlight w:val="none"/>
        </w:rPr>
        <w:t>0.7 暂估价</w:t>
      </w:r>
    </w:p>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Pr>
        <w:spacing w:line="360" w:lineRule="exact"/>
        <w:ind w:firstLine="412" w:firstLineChars="200"/>
        <w:rPr>
          <w:rFonts w:ascii="宋体" w:hAnsi="宋体" w:cs="宋体"/>
          <w:color w:val="auto"/>
          <w:szCs w:val="21"/>
          <w:highlight w:val="none"/>
        </w:rPr>
      </w:pPr>
      <w:r>
        <w:rPr>
          <w:rFonts w:hint="eastAsia" w:ascii="宋体" w:hAnsi="宋体" w:cs="宋体"/>
          <w:color w:val="auto"/>
          <w:kern w:val="0"/>
          <w:szCs w:val="21"/>
          <w:highlight w:val="none"/>
        </w:rPr>
        <w:t>暂</w:t>
      </w:r>
      <w:bookmarkStart w:id="1162" w:name="_Toc312678034"/>
      <w:bookmarkStart w:id="1163" w:name="_Toc318581176"/>
      <w:bookmarkStart w:id="1164" w:name="_Toc312677508"/>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1162"/>
    <w:bookmarkEnd w:id="1163"/>
    <w:bookmarkEnd w:id="1164"/>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w:t>
      </w:r>
      <w:bookmarkStart w:id="1165" w:name="_Toc318581177"/>
      <w:bookmarkStart w:id="1166" w:name="_Toc312678035"/>
      <w:bookmarkStart w:id="1167" w:name="_Toc312677509"/>
      <w:r>
        <w:rPr>
          <w:rFonts w:hint="eastAsia" w:ascii="宋体" w:hAnsi="宋体" w:cs="宋体"/>
          <w:color w:val="auto"/>
          <w:szCs w:val="21"/>
          <w:highlight w:val="none"/>
        </w:rPr>
        <w:t>0.7.1 依法必须招标的暂估价项目</w:t>
      </w:r>
    </w:p>
    <w:bookmarkEnd w:id="1165"/>
    <w:bookmarkEnd w:id="1166"/>
    <w:bookmarkEnd w:id="1167"/>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r>
        <w:rPr>
          <w:rFonts w:hint="eastAsia" w:ascii="宋体" w:hAnsi="宋体" w:cs="宋体"/>
          <w:color w:val="auto"/>
          <w:szCs w:val="21"/>
          <w:highlight w:val="none"/>
          <w:u w:val="single"/>
        </w:rPr>
        <w:t>按合同通用条款。</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10.8 暂列金额</w:t>
      </w:r>
    </w:p>
    <w:p>
      <w:pPr>
        <w:autoSpaceDE w:val="0"/>
        <w:autoSpaceDN w:val="0"/>
        <w:adjustRightInd w:val="0"/>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autoSpaceDE w:val="0"/>
        <w:autoSpaceDN w:val="0"/>
        <w:adjustRightInd w:val="0"/>
        <w:spacing w:line="360" w:lineRule="exact"/>
        <w:ind w:firstLine="412"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创标化工地增加费</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autoSpaceDE w:val="0"/>
        <w:autoSpaceDN w:val="0"/>
        <w:adjustRightInd w:val="0"/>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创优质工程增加费</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pStyle w:val="6"/>
        <w:spacing w:before="0" w:after="0" w:line="360" w:lineRule="exact"/>
        <w:rPr>
          <w:rFonts w:ascii="宋体" w:hAnsi="宋体" w:eastAsia="宋体" w:cs="宋体"/>
          <w:b w:val="0"/>
          <w:color w:val="auto"/>
          <w:sz w:val="21"/>
          <w:szCs w:val="21"/>
          <w:highlight w:val="none"/>
        </w:rPr>
      </w:pPr>
      <w:bookmarkStart w:id="1168" w:name="_Toc351203643"/>
      <w:r>
        <w:rPr>
          <w:rFonts w:hint="eastAsia" w:ascii="宋体" w:hAnsi="宋体" w:eastAsia="宋体" w:cs="宋体"/>
          <w:b w:val="0"/>
          <w:color w:val="auto"/>
          <w:sz w:val="21"/>
          <w:szCs w:val="21"/>
          <w:highlight w:val="none"/>
        </w:rPr>
        <w:t>11. 价格调整</w:t>
      </w:r>
      <w:bookmarkEnd w:id="1168"/>
    </w:p>
    <w:p>
      <w:pPr>
        <w:spacing w:line="360" w:lineRule="exact"/>
        <w:ind w:firstLine="412" w:firstLineChars="200"/>
        <w:rPr>
          <w:rFonts w:ascii="宋体" w:hAnsi="宋体" w:cs="宋体"/>
          <w:color w:val="auto"/>
          <w:szCs w:val="21"/>
          <w:highlight w:val="none"/>
        </w:rPr>
      </w:pPr>
      <w:bookmarkStart w:id="1169" w:name="_Toc304295577"/>
      <w:bookmarkStart w:id="1170" w:name="_Toc296346702"/>
      <w:bookmarkStart w:id="1171" w:name="_Toc296891029"/>
      <w:bookmarkStart w:id="1172" w:name="_Toc297120501"/>
      <w:bookmarkStart w:id="1173" w:name="_Toc312678039"/>
      <w:bookmarkStart w:id="1174" w:name="_Toc296503201"/>
      <w:bookmarkStart w:id="1175" w:name="_Toc296944540"/>
      <w:bookmarkStart w:id="1176" w:name="_Toc297123550"/>
      <w:bookmarkStart w:id="1177" w:name="_Toc296347200"/>
      <w:bookmarkStart w:id="1178" w:name="_Toc297048387"/>
      <w:bookmarkStart w:id="1179" w:name="_Toc303539157"/>
      <w:bookmarkStart w:id="1180" w:name="_Toc296891241"/>
      <w:bookmarkStart w:id="1181" w:name="_Toc292559911"/>
      <w:bookmarkStart w:id="1182" w:name="_Toc297216209"/>
      <w:bookmarkStart w:id="1183" w:name="_Toc292559406"/>
      <w:bookmarkStart w:id="1184" w:name="_Toc300935000"/>
      <w:r>
        <w:rPr>
          <w:rFonts w:hint="eastAsia" w:ascii="宋体" w:hAnsi="宋体" w:cs="宋体"/>
          <w:color w:val="auto"/>
          <w:szCs w:val="21"/>
          <w:highlight w:val="none"/>
        </w:rPr>
        <w:t>11.1 市场价格波动引起的调整</w:t>
      </w:r>
    </w:p>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Pr>
        <w:spacing w:line="360" w:lineRule="exact"/>
        <w:ind w:firstLine="381" w:firstLineChars="185"/>
        <w:rPr>
          <w:rFonts w:ascii="宋体" w:hAnsi="宋体" w:cs="宋体"/>
          <w:color w:val="auto"/>
          <w:szCs w:val="21"/>
          <w:highlight w:val="none"/>
          <w:u w:val="singl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不予调整。</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11.2  法律变化引起的调整 ：</w:t>
      </w:r>
      <w:r>
        <w:rPr>
          <w:rFonts w:hint="eastAsia" w:ascii="宋体" w:hAnsi="宋体" w:cs="宋体"/>
          <w:color w:val="auto"/>
          <w:szCs w:val="21"/>
          <w:highlight w:val="none"/>
          <w:u w:val="single"/>
        </w:rPr>
        <w:t xml:space="preserve">  按省级或行业建设主管部门或其授权的工程造价管理机构发布的规定执行。</w:t>
      </w:r>
      <w:r>
        <w:rPr>
          <w:rFonts w:hint="eastAsia" w:ascii="宋体" w:hAnsi="宋体" w:cs="宋体"/>
          <w:color w:val="auto"/>
          <w:szCs w:val="21"/>
          <w:highlight w:val="none"/>
        </w:rPr>
        <w:t xml:space="preserve"> </w:t>
      </w:r>
    </w:p>
    <w:bookmarkEnd w:id="1072"/>
    <w:bookmarkEnd w:id="1073"/>
    <w:bookmarkEnd w:id="1074"/>
    <w:bookmarkEnd w:id="1075"/>
    <w:bookmarkEnd w:id="1076"/>
    <w:bookmarkEnd w:id="1077"/>
    <w:p>
      <w:pPr>
        <w:pStyle w:val="6"/>
        <w:spacing w:before="0" w:after="0" w:line="360" w:lineRule="exact"/>
        <w:rPr>
          <w:rFonts w:ascii="宋体" w:hAnsi="宋体" w:eastAsia="宋体" w:cs="宋体"/>
          <w:b w:val="0"/>
          <w:color w:val="auto"/>
          <w:sz w:val="21"/>
          <w:szCs w:val="21"/>
          <w:highlight w:val="none"/>
        </w:rPr>
      </w:pPr>
      <w:bookmarkStart w:id="1185" w:name="_Toc296891033"/>
      <w:bookmarkStart w:id="1186" w:name="_Toc297120505"/>
      <w:bookmarkStart w:id="1187" w:name="_Toc296891245"/>
      <w:bookmarkStart w:id="1188" w:name="_Toc297048391"/>
      <w:bookmarkStart w:id="1189" w:name="_Toc296944544"/>
      <w:bookmarkStart w:id="1190" w:name="_Toc296503205"/>
      <w:bookmarkStart w:id="1191" w:name="_Toc296347204"/>
      <w:bookmarkStart w:id="1192" w:name="_Toc296346706"/>
      <w:bookmarkStart w:id="1193" w:name="_Toc292559915"/>
      <w:bookmarkStart w:id="1194" w:name="_Toc292559410"/>
      <w:bookmarkStart w:id="1195" w:name="_Toc351203644"/>
      <w:bookmarkStart w:id="1196" w:name="_Toc304295579"/>
      <w:bookmarkStart w:id="1197" w:name="_Toc312678040"/>
      <w:bookmarkStart w:id="1198" w:name="_Toc300935002"/>
      <w:bookmarkStart w:id="1199" w:name="_Toc297216211"/>
      <w:bookmarkStart w:id="1200" w:name="_Toc297123552"/>
      <w:bookmarkStart w:id="1201" w:name="_Toc303539159"/>
      <w:r>
        <w:rPr>
          <w:rFonts w:hint="eastAsia" w:ascii="宋体" w:hAnsi="宋体" w:eastAsia="宋体" w:cs="宋体"/>
          <w:b w:val="0"/>
          <w:color w:val="auto"/>
          <w:sz w:val="21"/>
          <w:szCs w:val="21"/>
          <w:highlight w:val="none"/>
        </w:rPr>
        <w:t xml:space="preserve">12. </w:t>
      </w:r>
      <w:bookmarkEnd w:id="1185"/>
      <w:bookmarkEnd w:id="1186"/>
      <w:bookmarkEnd w:id="1187"/>
      <w:bookmarkEnd w:id="1188"/>
      <w:bookmarkEnd w:id="1189"/>
      <w:bookmarkEnd w:id="1190"/>
      <w:bookmarkEnd w:id="1191"/>
      <w:bookmarkEnd w:id="1192"/>
      <w:bookmarkEnd w:id="1193"/>
      <w:bookmarkEnd w:id="1194"/>
      <w:r>
        <w:rPr>
          <w:rFonts w:hint="eastAsia" w:ascii="宋体" w:hAnsi="宋体" w:eastAsia="宋体" w:cs="宋体"/>
          <w:b w:val="0"/>
          <w:color w:val="auto"/>
          <w:sz w:val="21"/>
          <w:szCs w:val="21"/>
          <w:highlight w:val="none"/>
        </w:rPr>
        <w:t>合同价格、计量与支付</w:t>
      </w:r>
      <w:bookmarkEnd w:id="1195"/>
    </w:p>
    <w:bookmarkEnd w:id="1196"/>
    <w:bookmarkEnd w:id="1197"/>
    <w:bookmarkEnd w:id="1198"/>
    <w:bookmarkEnd w:id="1199"/>
    <w:bookmarkEnd w:id="1200"/>
    <w:bookmarkEnd w:id="1201"/>
    <w:p>
      <w:pPr>
        <w:spacing w:line="360" w:lineRule="exact"/>
        <w:ind w:firstLine="412" w:firstLineChars="200"/>
        <w:rPr>
          <w:rFonts w:ascii="宋体" w:hAnsi="宋体" w:cs="宋体"/>
          <w:color w:val="auto"/>
          <w:szCs w:val="21"/>
          <w:highlight w:val="none"/>
        </w:rPr>
      </w:pPr>
      <w:bookmarkStart w:id="1202" w:name="_Toc292559916"/>
      <w:bookmarkStart w:id="1203" w:name="_Toc292559411"/>
      <w:bookmarkStart w:id="1204" w:name="_Toc267251461"/>
      <w:bookmarkStart w:id="1205" w:name="_Toc297048392"/>
      <w:bookmarkStart w:id="1206" w:name="_Toc296346707"/>
      <w:bookmarkStart w:id="1207" w:name="_Toc297120506"/>
      <w:bookmarkStart w:id="1208" w:name="_Toc296891246"/>
      <w:bookmarkStart w:id="1209" w:name="_Toc296944545"/>
      <w:bookmarkStart w:id="1210" w:name="_Toc296503206"/>
      <w:bookmarkStart w:id="1211" w:name="_Toc296891034"/>
      <w:bookmarkStart w:id="1212" w:name="_Toc296347205"/>
      <w:bookmarkStart w:id="1213" w:name="_Toc297123553"/>
      <w:bookmarkStart w:id="1214" w:name="_Toc297216212"/>
      <w:bookmarkStart w:id="1215" w:name="_Toc303539160"/>
      <w:bookmarkStart w:id="1216" w:name="_Toc300935003"/>
      <w:bookmarkStart w:id="1217" w:name="_Toc312678041"/>
      <w:bookmarkStart w:id="1218" w:name="_Toc304295580"/>
      <w:r>
        <w:rPr>
          <w:rFonts w:hint="eastAsia" w:ascii="宋体" w:hAnsi="宋体" w:cs="宋体"/>
          <w:color w:val="auto"/>
          <w:szCs w:val="21"/>
          <w:highlight w:val="none"/>
        </w:rPr>
        <w:t>12.1 合</w:t>
      </w:r>
      <w:bookmarkEnd w:id="1202"/>
      <w:bookmarkEnd w:id="1203"/>
      <w:bookmarkEnd w:id="1204"/>
      <w:r>
        <w:rPr>
          <w:rFonts w:hint="eastAsia" w:ascii="宋体" w:hAnsi="宋体" w:cs="宋体"/>
          <w:color w:val="auto"/>
          <w:szCs w:val="21"/>
          <w:highlight w:val="none"/>
        </w:rPr>
        <w:t>同价</w:t>
      </w:r>
      <w:bookmarkEnd w:id="1205"/>
      <w:bookmarkEnd w:id="1206"/>
      <w:bookmarkEnd w:id="1207"/>
      <w:bookmarkEnd w:id="1208"/>
      <w:bookmarkEnd w:id="1209"/>
      <w:bookmarkEnd w:id="1210"/>
      <w:bookmarkEnd w:id="1211"/>
      <w:bookmarkEnd w:id="1212"/>
      <w:r>
        <w:rPr>
          <w:rFonts w:hint="eastAsia" w:ascii="宋体" w:hAnsi="宋体" w:cs="宋体"/>
          <w:color w:val="auto"/>
          <w:szCs w:val="21"/>
          <w:highlight w:val="none"/>
        </w:rPr>
        <w:t>格形式</w:t>
      </w:r>
    </w:p>
    <w:p>
      <w:pPr>
        <w:pStyle w:val="23"/>
        <w:widowControl/>
        <w:adjustRightInd w:val="0"/>
        <w:spacing w:line="360" w:lineRule="exact"/>
        <w:ind w:firstLine="412" w:firstLineChars="200"/>
        <w:rPr>
          <w:rFonts w:hAnsi="宋体" w:cs="宋体"/>
          <w:color w:val="auto"/>
          <w:kern w:val="0"/>
          <w:szCs w:val="21"/>
          <w:highlight w:val="none"/>
        </w:rPr>
      </w:pPr>
      <w:r>
        <w:rPr>
          <w:rFonts w:hint="eastAsia" w:hAnsi="宋体" w:cs="宋体"/>
          <w:color w:val="auto"/>
          <w:kern w:val="0"/>
          <w:szCs w:val="21"/>
          <w:highlight w:val="none"/>
        </w:rPr>
        <w:t>本合同价款采用第</w:t>
      </w:r>
      <w:r>
        <w:rPr>
          <w:rFonts w:hint="eastAsia" w:hAnsi="宋体" w:cs="宋体"/>
          <w:color w:val="auto"/>
          <w:kern w:val="0"/>
          <w:szCs w:val="21"/>
          <w:highlight w:val="none"/>
          <w:u w:val="single"/>
        </w:rPr>
        <w:t xml:space="preserve">  1  </w:t>
      </w:r>
      <w:r>
        <w:rPr>
          <w:rFonts w:hint="eastAsia" w:hAnsi="宋体" w:cs="宋体"/>
          <w:color w:val="auto"/>
          <w:kern w:val="0"/>
          <w:szCs w:val="21"/>
          <w:highlight w:val="none"/>
        </w:rPr>
        <w:t>种方式</w:t>
      </w:r>
      <w:r>
        <w:rPr>
          <w:rFonts w:hint="eastAsia" w:hAnsi="宋体" w:cs="宋体"/>
          <w:color w:val="auto"/>
          <w:kern w:val="0"/>
          <w:szCs w:val="21"/>
          <w:highlight w:val="none"/>
          <w:u w:val="single"/>
        </w:rPr>
        <w:t xml:space="preserve">  </w:t>
      </w:r>
      <w:r>
        <w:rPr>
          <w:rFonts w:hint="eastAsia" w:hAnsi="宋体" w:cs="宋体"/>
          <w:color w:val="auto"/>
          <w:szCs w:val="21"/>
          <w:highlight w:val="none"/>
          <w:u w:val="single"/>
        </w:rPr>
        <w:t>单价合同</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确定。</w:t>
      </w:r>
    </w:p>
    <w:bookmarkEnd w:id="1213"/>
    <w:bookmarkEnd w:id="1214"/>
    <w:bookmarkEnd w:id="1215"/>
    <w:bookmarkEnd w:id="1216"/>
    <w:bookmarkEnd w:id="1217"/>
    <w:bookmarkEnd w:id="1218"/>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1．单价合同。</w:t>
      </w:r>
    </w:p>
    <w:p>
      <w:pPr>
        <w:autoSpaceDE w:val="0"/>
        <w:autoSpaceDN w:val="0"/>
        <w:spacing w:line="360" w:lineRule="exact"/>
        <w:ind w:firstLine="412" w:firstLineChars="200"/>
        <w:rPr>
          <w:rFonts w:ascii="宋体" w:hAnsi="宋体"/>
          <w:color w:val="auto"/>
          <w:szCs w:val="21"/>
          <w:highlight w:val="none"/>
          <w:u w:val="single"/>
        </w:rPr>
      </w:pPr>
      <w:r>
        <w:rPr>
          <w:rFonts w:hint="eastAsia" w:ascii="仿宋_GB2312" w:hAnsi="宋体"/>
          <w:color w:val="auto"/>
          <w:szCs w:val="21"/>
          <w:highlight w:val="none"/>
          <w:u w:val="single"/>
        </w:rPr>
        <w:t>本工程结算价的计算方</w:t>
      </w:r>
      <w:r>
        <w:rPr>
          <w:rFonts w:hint="eastAsia" w:ascii="宋体" w:hAnsi="宋体"/>
          <w:color w:val="auto"/>
          <w:szCs w:val="21"/>
          <w:highlight w:val="none"/>
          <w:u w:val="single"/>
        </w:rPr>
        <w:t>式同投标价。除风险范围以外约定的调整外，以下内容按承包人的投标承诺不作调整：</w:t>
      </w:r>
    </w:p>
    <w:p>
      <w:pPr>
        <w:pStyle w:val="23"/>
        <w:widowControl/>
        <w:adjustRightInd w:val="0"/>
        <w:spacing w:line="360" w:lineRule="exact"/>
        <w:ind w:firstLine="412" w:firstLineChars="200"/>
        <w:rPr>
          <w:rFonts w:hAnsi="宋体" w:cs="宋体"/>
          <w:color w:val="auto"/>
          <w:kern w:val="0"/>
          <w:szCs w:val="21"/>
          <w:highlight w:val="none"/>
          <w:u w:val="single"/>
        </w:rPr>
      </w:pPr>
      <w:r>
        <w:rPr>
          <w:rFonts w:hint="eastAsia" w:hAnsi="宋体" w:cs="宋体"/>
          <w:color w:val="auto"/>
          <w:kern w:val="0"/>
          <w:szCs w:val="21"/>
          <w:highlight w:val="none"/>
          <w:u w:val="single"/>
        </w:rPr>
        <w:t>（1）本工程结算率一次性包死，工程结算率=（中标价-不可预计费）/（招标控制价-不可预计费）×100%。工程最终造价</w:t>
      </w:r>
      <w:r>
        <w:rPr>
          <w:rFonts w:hAnsi="宋体" w:cs="宋体"/>
          <w:color w:val="auto"/>
          <w:kern w:val="0"/>
          <w:szCs w:val="21"/>
          <w:highlight w:val="none"/>
          <w:u w:val="single"/>
        </w:rPr>
        <w:t>=</w:t>
      </w:r>
      <w:r>
        <w:rPr>
          <w:rFonts w:hint="eastAsia" w:hAnsi="宋体" w:cs="宋体"/>
          <w:color w:val="auto"/>
          <w:kern w:val="0"/>
          <w:szCs w:val="21"/>
          <w:highlight w:val="none"/>
          <w:u w:val="single"/>
        </w:rPr>
        <w:t>根据招标控制价的计算方式计算的工程造价×结算率。</w:t>
      </w:r>
    </w:p>
    <w:p>
      <w:pPr>
        <w:pStyle w:val="23"/>
        <w:widowControl/>
        <w:adjustRightInd w:val="0"/>
        <w:spacing w:line="360" w:lineRule="exact"/>
        <w:ind w:firstLine="412" w:firstLineChars="200"/>
        <w:rPr>
          <w:rFonts w:hAnsi="宋体" w:cs="宋体"/>
          <w:color w:val="auto"/>
          <w:kern w:val="0"/>
          <w:szCs w:val="21"/>
          <w:highlight w:val="none"/>
          <w:u w:val="single"/>
        </w:rPr>
      </w:pPr>
      <w:r>
        <w:rPr>
          <w:rFonts w:hint="eastAsia" w:hAnsi="宋体" w:cs="宋体"/>
          <w:color w:val="auto"/>
          <w:kern w:val="0"/>
          <w:szCs w:val="21"/>
          <w:highlight w:val="none"/>
          <w:u w:val="single"/>
        </w:rPr>
        <w:t>（2）本工程按发包人提供的招标控制价结合固定结算率方式结算，结算时应按照招标控制价的计量依据、组价方式、取费标准、工料机单价办法等进行结算，不得调整。</w:t>
      </w:r>
    </w:p>
    <w:p>
      <w:pPr>
        <w:pStyle w:val="23"/>
        <w:widowControl/>
        <w:adjustRightInd w:val="0"/>
        <w:spacing w:line="360" w:lineRule="exact"/>
        <w:ind w:firstLine="412" w:firstLineChars="200"/>
        <w:rPr>
          <w:rFonts w:hAnsi="宋体" w:cs="宋体"/>
          <w:color w:val="auto"/>
          <w:kern w:val="0"/>
          <w:szCs w:val="21"/>
          <w:highlight w:val="none"/>
          <w:u w:val="single"/>
        </w:rPr>
      </w:pPr>
      <w:r>
        <w:rPr>
          <w:rFonts w:hint="eastAsia" w:hAnsi="宋体" w:cs="宋体"/>
          <w:color w:val="auto"/>
          <w:kern w:val="0"/>
          <w:szCs w:val="21"/>
          <w:highlight w:val="none"/>
          <w:u w:val="single"/>
        </w:rPr>
        <w:t>（3）计日工综合单价</w:t>
      </w:r>
      <w:r>
        <w:rPr>
          <w:rFonts w:hAnsi="宋体" w:cs="宋体"/>
          <w:color w:val="auto"/>
          <w:kern w:val="0"/>
          <w:szCs w:val="21"/>
          <w:highlight w:val="none"/>
          <w:u w:val="single"/>
        </w:rPr>
        <w:t>[</w:t>
      </w:r>
      <w:r>
        <w:rPr>
          <w:rFonts w:hint="eastAsia" w:hAnsi="宋体" w:cs="宋体"/>
          <w:color w:val="auto"/>
          <w:kern w:val="0"/>
          <w:szCs w:val="21"/>
          <w:highlight w:val="none"/>
          <w:u w:val="single"/>
        </w:rPr>
        <w:t>工数经发包人签证，综合结算单价（含税金、规费等其他费用）</w:t>
      </w:r>
      <w:r>
        <w:rPr>
          <w:rFonts w:hAnsi="宋体" w:cs="宋体"/>
          <w:color w:val="auto"/>
          <w:kern w:val="0"/>
          <w:szCs w:val="21"/>
          <w:highlight w:val="none"/>
          <w:u w:val="single"/>
        </w:rPr>
        <w:t xml:space="preserve">] </w:t>
      </w:r>
      <w:r>
        <w:rPr>
          <w:rFonts w:hint="eastAsia" w:hAnsi="宋体" w:cs="宋体"/>
          <w:color w:val="auto"/>
          <w:kern w:val="0"/>
          <w:szCs w:val="21"/>
          <w:highlight w:val="none"/>
          <w:u w:val="single"/>
        </w:rPr>
        <w:t>技术工按260元</w:t>
      </w:r>
      <w:r>
        <w:rPr>
          <w:rFonts w:hAnsi="宋体" w:cs="宋体"/>
          <w:color w:val="auto"/>
          <w:kern w:val="0"/>
          <w:szCs w:val="21"/>
          <w:highlight w:val="none"/>
          <w:u w:val="single"/>
        </w:rPr>
        <w:t>/</w:t>
      </w:r>
      <w:r>
        <w:rPr>
          <w:rFonts w:hint="eastAsia" w:hAnsi="宋体" w:cs="宋体"/>
          <w:color w:val="auto"/>
          <w:kern w:val="0"/>
          <w:szCs w:val="21"/>
          <w:highlight w:val="none"/>
          <w:u w:val="single"/>
        </w:rPr>
        <w:t>工日，普工按180元</w:t>
      </w:r>
      <w:r>
        <w:rPr>
          <w:rFonts w:hAnsi="宋体" w:cs="宋体"/>
          <w:color w:val="auto"/>
          <w:kern w:val="0"/>
          <w:szCs w:val="21"/>
          <w:highlight w:val="none"/>
          <w:u w:val="single"/>
        </w:rPr>
        <w:t>/</w:t>
      </w:r>
      <w:r>
        <w:rPr>
          <w:rFonts w:hint="eastAsia" w:hAnsi="宋体" w:cs="宋体"/>
          <w:color w:val="auto"/>
          <w:kern w:val="0"/>
          <w:szCs w:val="21"/>
          <w:highlight w:val="none"/>
          <w:u w:val="single"/>
        </w:rPr>
        <w:t>工日计取。</w:t>
      </w:r>
    </w:p>
    <w:p>
      <w:pPr>
        <w:pStyle w:val="23"/>
        <w:widowControl/>
        <w:adjustRightInd w:val="0"/>
        <w:spacing w:line="360" w:lineRule="exact"/>
        <w:ind w:firstLine="412" w:firstLineChars="200"/>
        <w:rPr>
          <w:rFonts w:hAnsi="宋体" w:cs="宋体"/>
          <w:color w:val="auto"/>
          <w:kern w:val="0"/>
          <w:szCs w:val="21"/>
          <w:highlight w:val="none"/>
          <w:u w:val="single"/>
        </w:rPr>
      </w:pPr>
      <w:r>
        <w:rPr>
          <w:rFonts w:hint="eastAsia" w:hAnsi="宋体" w:cs="宋体"/>
          <w:color w:val="auto"/>
          <w:kern w:val="0"/>
          <w:szCs w:val="21"/>
          <w:highlight w:val="none"/>
          <w:u w:val="single"/>
        </w:rPr>
        <w:t>（</w:t>
      </w:r>
      <w:r>
        <w:rPr>
          <w:rFonts w:hAnsi="宋体" w:cs="宋体"/>
          <w:color w:val="auto"/>
          <w:kern w:val="0"/>
          <w:szCs w:val="21"/>
          <w:highlight w:val="none"/>
          <w:u w:val="single"/>
        </w:rPr>
        <w:t>4</w:t>
      </w:r>
      <w:r>
        <w:rPr>
          <w:rFonts w:hint="eastAsia" w:hAnsi="宋体" w:cs="宋体"/>
          <w:color w:val="auto"/>
          <w:kern w:val="0"/>
          <w:szCs w:val="21"/>
          <w:highlight w:val="none"/>
          <w:u w:val="single"/>
        </w:rPr>
        <w:t>）如实际施工机械种类、台数与招标控制价不同，不予调整（具体以招标控制价为准）。</w:t>
      </w:r>
    </w:p>
    <w:p>
      <w:pPr>
        <w:autoSpaceDE w:val="0"/>
        <w:autoSpaceDN w:val="0"/>
        <w:spacing w:line="360" w:lineRule="exact"/>
        <w:rPr>
          <w:rFonts w:ascii="宋体" w:hAnsi="宋体"/>
          <w:color w:val="auto"/>
          <w:szCs w:val="21"/>
          <w:highlight w:val="none"/>
          <w:u w:val="single"/>
        </w:rPr>
      </w:pPr>
      <w:r>
        <w:rPr>
          <w:rFonts w:hint="eastAsia" w:ascii="宋体" w:hAnsi="宋体"/>
          <w:color w:val="auto"/>
          <w:szCs w:val="21"/>
          <w:highlight w:val="none"/>
        </w:rPr>
        <w:t xml:space="preserve">    </w:t>
      </w:r>
      <w:r>
        <w:rPr>
          <w:rFonts w:ascii="宋体" w:hAnsi="宋体"/>
          <w:color w:val="auto"/>
          <w:szCs w:val="21"/>
          <w:highlight w:val="none"/>
          <w:u w:val="single"/>
        </w:rPr>
        <w:t>（</w:t>
      </w:r>
      <w:r>
        <w:rPr>
          <w:rFonts w:hint="eastAsia" w:ascii="宋体" w:hAnsi="宋体"/>
          <w:color w:val="auto"/>
          <w:szCs w:val="21"/>
          <w:highlight w:val="none"/>
          <w:u w:val="single"/>
        </w:rPr>
        <w:t>5</w:t>
      </w:r>
      <w:r>
        <w:rPr>
          <w:rFonts w:ascii="宋体" w:hAnsi="宋体"/>
          <w:color w:val="auto"/>
          <w:szCs w:val="21"/>
          <w:highlight w:val="none"/>
          <w:u w:val="single"/>
        </w:rPr>
        <w:t>）其他可能发生的费用：</w:t>
      </w:r>
    </w:p>
    <w:p>
      <w:pPr>
        <w:pStyle w:val="23"/>
        <w:widowControl/>
        <w:adjustRightInd w:val="0"/>
        <w:spacing w:line="360" w:lineRule="exact"/>
        <w:ind w:firstLine="412" w:firstLineChars="200"/>
        <w:rPr>
          <w:rFonts w:hint="eastAsia" w:hAnsi="宋体" w:cs="宋体"/>
          <w:color w:val="auto"/>
          <w:kern w:val="0"/>
          <w:szCs w:val="21"/>
          <w:highlight w:val="none"/>
          <w:u w:val="single"/>
        </w:rPr>
      </w:pPr>
      <w:r>
        <w:rPr>
          <w:rFonts w:hint="eastAsia" w:hAnsi="宋体" w:cs="宋体"/>
          <w:color w:val="auto"/>
          <w:kern w:val="0"/>
          <w:szCs w:val="21"/>
          <w:highlight w:val="none"/>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pStyle w:val="23"/>
        <w:widowControl/>
        <w:adjustRightInd w:val="0"/>
        <w:spacing w:line="360" w:lineRule="exact"/>
        <w:ind w:firstLine="412" w:firstLineChars="200"/>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b.实际施工中可能发生街道管理费、干扰费、环保费、占道押金等其它管理费。</w:t>
      </w:r>
    </w:p>
    <w:p>
      <w:pPr>
        <w:pStyle w:val="23"/>
        <w:widowControl/>
        <w:adjustRightInd w:val="0"/>
        <w:spacing w:line="360" w:lineRule="exact"/>
        <w:ind w:firstLine="412" w:firstLineChars="200"/>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val="en-US" w:eastAsia="zh-CN" w:bidi="ar"/>
        </w:rPr>
        <w:t>C.</w:t>
      </w:r>
      <w:r>
        <w:rPr>
          <w:rFonts w:hint="eastAsia" w:ascii="宋体" w:hAnsi="宋体" w:eastAsia="宋体" w:cs="宋体"/>
          <w:color w:val="auto"/>
          <w:szCs w:val="21"/>
          <w:highlight w:val="none"/>
          <w:u w:val="single"/>
          <w:lang w:bidi="ar"/>
        </w:rPr>
        <w:t>施工过程中涉及各阶段验收;及各个部门相关人员到工地检查等，承包人必须无条件按照相关规定及发包人要求，做好施工现场的卫生清理;门窗、楼地面保洁等相关配合工作，由承包人在报价时综合考虑，不再另行计取。风险费用的计算方法：承包人在投标报价时综合考虑，不再另行计取。</w:t>
      </w:r>
    </w:p>
    <w:p>
      <w:pPr>
        <w:pStyle w:val="23"/>
        <w:widowControl/>
        <w:adjustRightInd w:val="0"/>
        <w:spacing w:line="360" w:lineRule="exact"/>
        <w:ind w:firstLine="412" w:firstLineChars="200"/>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c.本工程建筑废料运距暂按20km考虑，</w:t>
      </w:r>
      <w:r>
        <w:rPr>
          <w:rFonts w:hint="eastAsia" w:ascii="宋体" w:hAnsi="宋体" w:eastAsia="宋体" w:cs="宋体"/>
          <w:color w:val="auto"/>
          <w:szCs w:val="21"/>
          <w:highlight w:val="none"/>
          <w:u w:val="single"/>
          <w:lang w:val="en-US" w:eastAsia="zh-CN" w:bidi="ar"/>
        </w:rPr>
        <w:t>投标人在投标报价是综合考虑，结算不作调整</w:t>
      </w:r>
      <w:r>
        <w:rPr>
          <w:rFonts w:hint="eastAsia" w:ascii="宋体" w:hAnsi="宋体" w:eastAsia="宋体" w:cs="宋体"/>
          <w:color w:val="auto"/>
          <w:szCs w:val="21"/>
          <w:highlight w:val="none"/>
          <w:u w:val="single"/>
          <w:lang w:bidi="ar"/>
        </w:rPr>
        <w:t>。</w:t>
      </w:r>
    </w:p>
    <w:p>
      <w:pPr>
        <w:pStyle w:val="23"/>
        <w:widowControl/>
        <w:adjustRightInd w:val="0"/>
        <w:spacing w:line="360" w:lineRule="exact"/>
        <w:ind w:firstLine="412" w:firstLineChars="200"/>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风险费用的计算方法：已包含在合同价内。</w:t>
      </w:r>
    </w:p>
    <w:p>
      <w:pPr>
        <w:pStyle w:val="23"/>
        <w:widowControl/>
        <w:adjustRightInd w:val="0"/>
        <w:spacing w:line="360" w:lineRule="exact"/>
        <w:ind w:firstLine="412" w:firstLineChars="200"/>
        <w:rPr>
          <w:rFonts w:hint="eastAsia" w:hAnsi="宋体" w:cs="宋体"/>
          <w:color w:val="auto"/>
          <w:kern w:val="0"/>
          <w:szCs w:val="21"/>
          <w:highlight w:val="none"/>
          <w:u w:val="single"/>
        </w:rPr>
      </w:pPr>
      <w:r>
        <w:rPr>
          <w:rFonts w:hint="eastAsia" w:hAnsi="宋体" w:cs="宋体"/>
          <w:color w:val="auto"/>
          <w:kern w:val="0"/>
          <w:szCs w:val="21"/>
          <w:highlight w:val="none"/>
          <w:u w:val="single"/>
        </w:rPr>
        <w:t>风险范围以外合同价格的调整方法：</w:t>
      </w:r>
    </w:p>
    <w:p>
      <w:pPr>
        <w:pStyle w:val="23"/>
        <w:widowControl/>
        <w:adjustRightInd w:val="0"/>
        <w:spacing w:line="360" w:lineRule="exact"/>
        <w:ind w:firstLine="412" w:firstLineChars="200"/>
        <w:rPr>
          <w:rFonts w:hint="eastAsia" w:hAnsi="宋体" w:cs="宋体"/>
          <w:color w:val="auto"/>
          <w:kern w:val="0"/>
          <w:szCs w:val="21"/>
          <w:highlight w:val="none"/>
          <w:u w:val="single"/>
        </w:rPr>
      </w:pPr>
      <w:r>
        <w:rPr>
          <w:rFonts w:hint="eastAsia" w:hAnsi="宋体" w:cs="宋体"/>
          <w:color w:val="auto"/>
          <w:kern w:val="0"/>
          <w:szCs w:val="21"/>
          <w:highlight w:val="none"/>
          <w:u w:val="single"/>
        </w:rPr>
        <w:t>①工程量按照招标文件规定的相关定额与规定计算，由承包人计量、发包人及有关部门核准，按实结算。</w:t>
      </w:r>
    </w:p>
    <w:p>
      <w:pPr>
        <w:pStyle w:val="23"/>
        <w:widowControl/>
        <w:adjustRightInd w:val="0"/>
        <w:spacing w:line="360" w:lineRule="exact"/>
        <w:ind w:firstLine="412" w:firstLineChars="200"/>
        <w:rPr>
          <w:rFonts w:hAnsi="宋体" w:cs="宋体"/>
          <w:color w:val="auto"/>
          <w:szCs w:val="21"/>
          <w:highlight w:val="none"/>
          <w:u w:val="single"/>
        </w:rPr>
      </w:pPr>
      <w:r>
        <w:rPr>
          <w:rFonts w:hint="eastAsia" w:hAnsi="宋体" w:cs="宋体"/>
          <w:color w:val="auto"/>
          <w:kern w:val="0"/>
          <w:szCs w:val="21"/>
          <w:highlight w:val="none"/>
          <w:u w:val="single"/>
        </w:rPr>
        <w:t>②发包人提供的直接工程费如发现计</w:t>
      </w:r>
      <w:r>
        <w:rPr>
          <w:rFonts w:hint="eastAsia" w:hAnsi="宋体" w:cs="宋体"/>
          <w:color w:val="auto"/>
          <w:szCs w:val="21"/>
          <w:highlight w:val="none"/>
          <w:u w:val="single"/>
        </w:rPr>
        <w:t>算错误、定额子目套用错误，招标控制价出现漏项、新增项目，均可按实调整；</w:t>
      </w:r>
    </w:p>
    <w:p>
      <w:pPr>
        <w:pStyle w:val="23"/>
        <w:widowControl/>
        <w:adjustRightInd w:val="0"/>
        <w:spacing w:line="360" w:lineRule="exact"/>
        <w:ind w:firstLine="412" w:firstLineChars="200"/>
        <w:rPr>
          <w:rFonts w:hAnsi="宋体" w:cs="宋体"/>
          <w:color w:val="auto"/>
          <w:szCs w:val="21"/>
          <w:highlight w:val="none"/>
          <w:u w:val="single"/>
        </w:rPr>
      </w:pPr>
      <w:r>
        <w:rPr>
          <w:rFonts w:hint="eastAsia" w:hAnsi="宋体" w:cs="宋体"/>
          <w:color w:val="auto"/>
          <w:szCs w:val="21"/>
          <w:highlight w:val="none"/>
          <w:u w:val="single"/>
        </w:rPr>
        <w:t>③合同内的新增材料按发包人预算的当期信息价（正刊）计算。暂定价材料及变更引起的无价材料按采购前发包人的签证结算。经核定的无价材料仍执行结算率；</w:t>
      </w:r>
    </w:p>
    <w:p>
      <w:pPr>
        <w:pStyle w:val="23"/>
        <w:widowControl/>
        <w:adjustRightInd w:val="0"/>
        <w:spacing w:line="360" w:lineRule="exact"/>
        <w:ind w:firstLine="412" w:firstLineChars="200"/>
        <w:rPr>
          <w:rFonts w:hAnsi="宋体" w:cs="宋体"/>
          <w:color w:val="auto"/>
          <w:szCs w:val="21"/>
          <w:highlight w:val="none"/>
          <w:u w:val="single"/>
        </w:rPr>
      </w:pPr>
      <w:r>
        <w:rPr>
          <w:rFonts w:hint="eastAsia" w:hAnsi="宋体" w:cs="宋体"/>
          <w:color w:val="auto"/>
          <w:szCs w:val="21"/>
          <w:highlight w:val="none"/>
          <w:u w:val="single"/>
        </w:rPr>
        <w:t>④实际施工时，未达到施工安全文明有关规定或因此被相关建设（建筑业）主管部门通报处罚的，在结算时扣减施工组织措施费中的相应费用。</w:t>
      </w:r>
    </w:p>
    <w:p>
      <w:pPr>
        <w:autoSpaceDE w:val="0"/>
        <w:autoSpaceDN w:val="0"/>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⑤由于承包人未按设计要求和现行有关规范、标准施工，造成工程量增减或返工等，其责任由承包人自负。</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2．总价合同。</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bookmarkStart w:id="1219" w:name="_Toc300935004"/>
      <w:bookmarkStart w:id="1220" w:name="_Toc297123554"/>
      <w:bookmarkStart w:id="1221" w:name="_Toc297216213"/>
      <w:bookmarkStart w:id="1222" w:name="_Toc312678042"/>
      <w:bookmarkStart w:id="1223" w:name="_Toc304295581"/>
      <w:bookmarkStart w:id="1224" w:name="_Toc303539161"/>
      <w:bookmarkStart w:id="1225" w:name="_Toc296944546"/>
      <w:bookmarkStart w:id="1226" w:name="_Toc296503207"/>
      <w:bookmarkStart w:id="1227" w:name="_Toc296346708"/>
      <w:bookmarkStart w:id="1228" w:name="_Toc292559917"/>
      <w:bookmarkStart w:id="1229" w:name="_Toc296891247"/>
      <w:bookmarkStart w:id="1230" w:name="_Toc296347206"/>
      <w:bookmarkStart w:id="1231" w:name="_Toc297048393"/>
      <w:bookmarkStart w:id="1232" w:name="_Toc297120507"/>
      <w:bookmarkStart w:id="1233" w:name="_Toc292559412"/>
      <w:bookmarkStart w:id="1234" w:name="_Toc296891035"/>
      <w:r>
        <w:rPr>
          <w:rFonts w:hint="eastAsia" w:ascii="宋体" w:hAnsi="宋体" w:cs="宋体"/>
          <w:color w:val="auto"/>
          <w:szCs w:val="21"/>
          <w:highlight w:val="none"/>
        </w:rPr>
        <w:t>12.2 预付款</w:t>
      </w:r>
    </w:p>
    <w:bookmarkEnd w:id="1219"/>
    <w:bookmarkEnd w:id="1220"/>
    <w:bookmarkEnd w:id="1221"/>
    <w:bookmarkEnd w:id="1222"/>
    <w:bookmarkEnd w:id="1223"/>
    <w:bookmarkEnd w:id="1224"/>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12.2.1 预付款的支付</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合同价的10%。</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 xml:space="preserve"> 按投标承诺的人员、机械设备进场后7天内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不扣回，作为工程款</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12.2.2 预付款担保</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 xml:space="preserve">承包人提交预付款担保的期限：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225"/>
    <w:bookmarkEnd w:id="1226"/>
    <w:bookmarkEnd w:id="1227"/>
    <w:bookmarkEnd w:id="1228"/>
    <w:bookmarkEnd w:id="1229"/>
    <w:bookmarkEnd w:id="1230"/>
    <w:bookmarkEnd w:id="1231"/>
    <w:bookmarkEnd w:id="1232"/>
    <w:bookmarkEnd w:id="1233"/>
    <w:bookmarkEnd w:id="1234"/>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12.3 计量</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12.3.1 计量原则</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工程量计算按照实际完成施工图纸范围内和经发包人同意增加的施工内容按实计算，工程量计算规则按照《浙江省房屋建筑与装饰工程预算定额》（</w:t>
      </w:r>
      <w:r>
        <w:rPr>
          <w:rFonts w:ascii="宋体" w:hAnsi="宋体" w:cs="宋体"/>
          <w:color w:val="auto"/>
          <w:szCs w:val="21"/>
          <w:highlight w:val="none"/>
          <w:u w:val="single"/>
        </w:rPr>
        <w:t>20</w:t>
      </w:r>
      <w:r>
        <w:rPr>
          <w:rFonts w:hint="eastAsia" w:ascii="宋体" w:hAnsi="宋体" w:cs="宋体"/>
          <w:color w:val="auto"/>
          <w:szCs w:val="21"/>
          <w:highlight w:val="none"/>
          <w:u w:val="single"/>
        </w:rPr>
        <w:t>18版）、《浙江省通用安装工程预算定额》（</w:t>
      </w:r>
      <w:r>
        <w:rPr>
          <w:rFonts w:ascii="宋体" w:hAnsi="宋体" w:cs="宋体"/>
          <w:color w:val="auto"/>
          <w:szCs w:val="21"/>
          <w:highlight w:val="none"/>
          <w:u w:val="single"/>
        </w:rPr>
        <w:t>20</w:t>
      </w:r>
      <w:r>
        <w:rPr>
          <w:rFonts w:hint="eastAsia" w:ascii="宋体" w:hAnsi="宋体" w:cs="宋体"/>
          <w:color w:val="auto"/>
          <w:szCs w:val="21"/>
          <w:highlight w:val="none"/>
          <w:u w:val="single"/>
        </w:rPr>
        <w:t>18版）、《浙江省建设工程计价规则》（2018版）、《浙江省建设工程施工费用定额》（2018版）、《浙江省施工机械台班费用定额》（2018版）、浙建建发〔2019〕92号关于增值税调整以及其他工程造价补充规定和技术规范。及发包人提供的工程量清单中说明的工程量计算规则计量。</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12.3.2 计量周期：</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color w:val="auto"/>
          <w:szCs w:val="21"/>
          <w:highlight w:val="none"/>
          <w:u w:val="single"/>
        </w:rPr>
        <w:t>按月计量</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12.3.3 单价合同的计量</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rPr>
        <w:t>按合同通用条款执行。</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12.3.4 总价合同的计量</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     。</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 xml:space="preserve"> 12.4 工程进度款支付</w:t>
      </w:r>
    </w:p>
    <w:p>
      <w:pPr>
        <w:spacing w:line="360" w:lineRule="exact"/>
        <w:ind w:firstLine="412" w:firstLineChars="200"/>
        <w:rPr>
          <w:rFonts w:ascii="宋体" w:hAnsi="宋体" w:cs="宋体"/>
          <w:color w:val="auto"/>
          <w:szCs w:val="21"/>
          <w:highlight w:val="none"/>
        </w:rPr>
      </w:pPr>
      <w:bookmarkStart w:id="1235" w:name="_Toc296944550"/>
      <w:bookmarkStart w:id="1236" w:name="_Toc296503211"/>
      <w:bookmarkStart w:id="1237" w:name="_Toc292559416"/>
      <w:bookmarkStart w:id="1238" w:name="_Toc296891039"/>
      <w:bookmarkStart w:id="1239" w:name="_Toc296346712"/>
      <w:bookmarkStart w:id="1240" w:name="_Toc296347210"/>
      <w:bookmarkStart w:id="1241" w:name="_Toc292559921"/>
      <w:bookmarkStart w:id="1242" w:name="_Toc297216215"/>
      <w:bookmarkStart w:id="1243" w:name="_Toc303539163"/>
      <w:bookmarkStart w:id="1244" w:name="_Toc297048397"/>
      <w:bookmarkStart w:id="1245" w:name="_Toc297120511"/>
      <w:bookmarkStart w:id="1246" w:name="_Toc300935006"/>
      <w:bookmarkStart w:id="1247" w:name="_Toc297123556"/>
      <w:bookmarkStart w:id="1248" w:name="_Toc296891251"/>
      <w:r>
        <w:rPr>
          <w:rFonts w:hint="eastAsia" w:ascii="宋体" w:hAnsi="宋体" w:cs="宋体"/>
          <w:color w:val="auto"/>
          <w:szCs w:val="21"/>
          <w:highlight w:val="none"/>
        </w:rPr>
        <w:t>12.4.1 付款周期</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关于付款周期的约定：</w:t>
      </w:r>
      <w:r>
        <w:rPr>
          <w:rFonts w:hint="eastAsia"/>
          <w:color w:val="auto"/>
          <w:szCs w:val="21"/>
          <w:highlight w:val="none"/>
          <w:u w:val="single"/>
        </w:rPr>
        <w:t>按月支付。</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12.4.2 进度付款申请单的编制</w:t>
      </w:r>
    </w:p>
    <w:p>
      <w:pPr>
        <w:spacing w:line="360" w:lineRule="exact"/>
        <w:ind w:firstLine="412" w:firstLineChars="200"/>
        <w:rPr>
          <w:color w:val="auto"/>
          <w:szCs w:val="21"/>
          <w:highlight w:val="none"/>
        </w:rPr>
      </w:pPr>
      <w:r>
        <w:rPr>
          <w:rFonts w:hint="eastAsia" w:ascii="宋体" w:hAnsi="宋体" w:cs="宋体"/>
          <w:color w:val="auto"/>
          <w:szCs w:val="21"/>
          <w:highlight w:val="none"/>
        </w:rPr>
        <w:t>关于进度付款申请单编制的约定：</w:t>
      </w:r>
      <w:r>
        <w:rPr>
          <w:rFonts w:hint="eastAsia" w:ascii="仿宋_GB2312"/>
          <w:color w:val="auto"/>
          <w:szCs w:val="21"/>
          <w:highlight w:val="none"/>
          <w:u w:val="single"/>
        </w:rPr>
        <w:t>发包人向承包人支付当期按</w:t>
      </w:r>
      <w:r>
        <w:rPr>
          <w:color w:val="auto"/>
          <w:szCs w:val="21"/>
          <w:highlight w:val="none"/>
          <w:u w:val="single"/>
        </w:rPr>
        <w:t>12.1、12.3款计量工程量价款</w:t>
      </w:r>
      <w:r>
        <w:rPr>
          <w:rFonts w:hint="eastAsia"/>
          <w:color w:val="auto"/>
          <w:szCs w:val="21"/>
          <w:highlight w:val="none"/>
          <w:u w:val="single"/>
        </w:rPr>
        <w:t>的70%支付工程价款，完工验收合格后支付至合同价的85%（含预付款），待有关部门审核后由发包人向承包人支付至审定价的98.5%</w:t>
      </w:r>
      <w:r>
        <w:rPr>
          <w:rFonts w:hint="eastAsia" w:ascii="宋体" w:hAnsi="宋体" w:cs="宋体"/>
          <w:color w:val="auto"/>
          <w:szCs w:val="21"/>
          <w:highlight w:val="none"/>
          <w:u w:val="single"/>
        </w:rPr>
        <w:t>，余1.5%作为质量保修金</w:t>
      </w:r>
      <w:r>
        <w:rPr>
          <w:rFonts w:hint="eastAsia"/>
          <w:color w:val="auto"/>
          <w:szCs w:val="21"/>
          <w:highlight w:val="none"/>
          <w:u w:val="singl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rPr>
          <w:rFonts w:hint="eastAsia" w:ascii="宋体" w:hAnsi="宋体" w:cs="宋体"/>
          <w:color w:val="auto"/>
          <w:szCs w:val="21"/>
          <w:highlight w:val="none"/>
        </w:rPr>
        <w:t>2.4.3 进度付款申请单的提交</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rPr>
        <w:t>按合同通用条款</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12.4.4 进度款审核和支付</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 xml:space="preserve">按合同通用条款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按合同通用条款</w:t>
      </w:r>
      <w:r>
        <w:rPr>
          <w:rFonts w:hint="eastAsia" w:ascii="宋体" w:hAnsi="宋体" w:cs="宋体"/>
          <w:color w:val="auto"/>
          <w:szCs w:val="21"/>
          <w:highlight w:val="none"/>
        </w:rPr>
        <w:t>。</w:t>
      </w:r>
    </w:p>
    <w:p>
      <w:pPr>
        <w:numPr>
          <w:ilvl w:val="0"/>
          <w:numId w:val="2"/>
        </w:num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发包人支付进度款的期限：</w:t>
      </w:r>
      <w:r>
        <w:rPr>
          <w:rFonts w:hint="eastAsia" w:ascii="宋体" w:hAnsi="宋体" w:cs="宋体"/>
          <w:color w:val="auto"/>
          <w:szCs w:val="21"/>
          <w:highlight w:val="none"/>
          <w:u w:val="single"/>
        </w:rPr>
        <w:t>在发包人确认计量结果后14天内完成支付。</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支付应付工程进度（备料）款的利息，利率按全国银行间同业拆借中心公布的贷款报价利率（LPR），时间为从约定应付之日起至支付之日止计算利息</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360" w:lineRule="exact"/>
        <w:ind w:firstLine="404" w:firstLineChars="196"/>
        <w:rPr>
          <w:rFonts w:ascii="宋体" w:hAnsi="宋体" w:cs="宋体"/>
          <w:b/>
          <w:color w:val="auto"/>
          <w:szCs w:val="21"/>
          <w:highlight w:val="none"/>
        </w:rPr>
      </w:pPr>
      <w:r>
        <w:rPr>
          <w:rFonts w:hint="eastAsia" w:ascii="宋体" w:hAnsi="宋体" w:cs="宋体"/>
          <w:bCs/>
          <w:color w:val="auto"/>
          <w:szCs w:val="21"/>
          <w:highlight w:val="none"/>
        </w:rPr>
        <w:t>12.4.6 支付分解表的编制</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 xml:space="preserve">2、总价合同支付分解表的编制与审批：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078"/>
    <w:p>
      <w:pPr>
        <w:pStyle w:val="6"/>
        <w:spacing w:before="0" w:after="0" w:line="360" w:lineRule="exact"/>
        <w:rPr>
          <w:rFonts w:ascii="宋体" w:hAnsi="宋体" w:eastAsia="宋体" w:cs="宋体"/>
          <w:b w:val="0"/>
          <w:color w:val="auto"/>
          <w:sz w:val="21"/>
          <w:szCs w:val="21"/>
          <w:highlight w:val="none"/>
        </w:rPr>
      </w:pPr>
      <w:bookmarkStart w:id="1249" w:name="_Toc351203645"/>
      <w:bookmarkStart w:id="1250" w:name="_Toc296944558"/>
      <w:bookmarkStart w:id="1251" w:name="_Toc304295593"/>
      <w:bookmarkStart w:id="1252" w:name="_Toc312678053"/>
      <w:bookmarkStart w:id="1253" w:name="_Toc296891047"/>
      <w:bookmarkStart w:id="1254" w:name="_Toc303539172"/>
      <w:bookmarkStart w:id="1255" w:name="_Toc292559929"/>
      <w:bookmarkStart w:id="1256" w:name="_Toc300935015"/>
      <w:bookmarkStart w:id="1257" w:name="_Toc296346720"/>
      <w:bookmarkStart w:id="1258" w:name="_Toc296503219"/>
      <w:bookmarkStart w:id="1259" w:name="_Toc296891259"/>
      <w:bookmarkStart w:id="1260" w:name="_Toc297123564"/>
      <w:bookmarkStart w:id="1261" w:name="_Toc296347218"/>
      <w:bookmarkStart w:id="1262" w:name="_Toc292559424"/>
      <w:bookmarkStart w:id="1263" w:name="_Toc297048405"/>
      <w:bookmarkStart w:id="1264" w:name="_Toc297120519"/>
      <w:bookmarkStart w:id="1265" w:name="_Toc297216223"/>
      <w:r>
        <w:rPr>
          <w:rFonts w:hint="eastAsia" w:ascii="宋体" w:hAnsi="宋体" w:eastAsia="宋体" w:cs="宋体"/>
          <w:b w:val="0"/>
          <w:color w:val="auto"/>
          <w:sz w:val="21"/>
          <w:szCs w:val="21"/>
          <w:highlight w:val="none"/>
        </w:rPr>
        <w:t>13. 验收和工程试车</w:t>
      </w:r>
      <w:bookmarkEnd w:id="1249"/>
    </w:p>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13.1 分部分项工程验收</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w:t>
      </w:r>
    </w:p>
    <w:p>
      <w:pPr>
        <w:spacing w:line="360" w:lineRule="exact"/>
        <w:ind w:firstLine="412" w:firstLineChars="200"/>
        <w:rPr>
          <w:rFonts w:ascii="宋体" w:hAnsi="宋体" w:cs="宋体"/>
          <w:b/>
          <w:color w:val="auto"/>
          <w:szCs w:val="21"/>
          <w:highlight w:val="none"/>
          <w:u w:val="single"/>
        </w:rPr>
      </w:pPr>
      <w:r>
        <w:rPr>
          <w:rFonts w:hint="eastAsia" w:ascii="宋体" w:hAnsi="宋体" w:cs="宋体"/>
          <w:color w:val="auto"/>
          <w:szCs w:val="21"/>
          <w:highlight w:val="none"/>
          <w:u w:val="single"/>
        </w:rPr>
        <w:t>工程验收过程、验收部位除办理纸质验收记录，还应留置验收部位、验收过程、主要验收人员相片、影像等资料。</w:t>
      </w:r>
    </w:p>
    <w:p>
      <w:pPr>
        <w:spacing w:line="360" w:lineRule="exact"/>
        <w:ind w:firstLine="412" w:firstLineChars="200"/>
        <w:rPr>
          <w:rFonts w:ascii="宋体" w:hAnsi="宋体" w:cs="宋体"/>
          <w:color w:val="auto"/>
          <w:szCs w:val="21"/>
          <w:highlight w:val="none"/>
        </w:rPr>
      </w:pPr>
      <w:bookmarkStart w:id="1266" w:name="_Toc300935016"/>
      <w:bookmarkStart w:id="1267" w:name="_Toc292559428"/>
      <w:bookmarkStart w:id="1268" w:name="_Toc312678056"/>
      <w:bookmarkStart w:id="1269" w:name="_Toc292559933"/>
      <w:bookmarkStart w:id="1270" w:name="_Toc296347222"/>
      <w:bookmarkStart w:id="1271" w:name="_Toc297120523"/>
      <w:bookmarkStart w:id="1272" w:name="_Toc297123565"/>
      <w:bookmarkStart w:id="1273" w:name="_Toc297048409"/>
      <w:bookmarkStart w:id="1274" w:name="_Toc304295596"/>
      <w:bookmarkStart w:id="1275" w:name="_Toc296891051"/>
      <w:bookmarkStart w:id="1276" w:name="_Toc296891263"/>
      <w:bookmarkStart w:id="1277" w:name="_Toc296346724"/>
      <w:bookmarkStart w:id="1278" w:name="_Toc297216224"/>
      <w:bookmarkStart w:id="1279" w:name="_Toc303539173"/>
      <w:bookmarkStart w:id="1280" w:name="_Toc296944562"/>
      <w:bookmarkStart w:id="1281" w:name="_Toc296503223"/>
      <w:bookmarkStart w:id="1282" w:name="_Toc267251476"/>
      <w:bookmarkStart w:id="1283" w:name="_Toc267251475"/>
      <w:bookmarkStart w:id="1284" w:name="_Toc267251470"/>
      <w:bookmarkStart w:id="1285" w:name="_Toc267251474"/>
      <w:bookmarkStart w:id="1286" w:name="_Toc267251473"/>
      <w:bookmarkStart w:id="1287" w:name="_Toc267251471"/>
      <w:bookmarkStart w:id="1288" w:name="_Toc267251472"/>
      <w:r>
        <w:rPr>
          <w:rFonts w:hint="eastAsia" w:ascii="宋体" w:hAnsi="宋体" w:cs="宋体"/>
          <w:color w:val="auto"/>
          <w:szCs w:val="21"/>
          <w:highlight w:val="none"/>
        </w:rPr>
        <w:t>13.2 竣工验收</w:t>
      </w:r>
    </w:p>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Pr>
        <w:spacing w:line="360" w:lineRule="exact"/>
        <w:ind w:firstLine="412" w:firstLineChars="200"/>
        <w:rPr>
          <w:rFonts w:ascii="宋体" w:hAnsi="宋体" w:cs="宋体"/>
          <w:color w:val="auto"/>
          <w:szCs w:val="21"/>
          <w:highlight w:val="none"/>
        </w:rPr>
      </w:pPr>
      <w:bookmarkStart w:id="1289" w:name="_Toc280868704"/>
      <w:bookmarkStart w:id="1290" w:name="_Toc280868705"/>
      <w:bookmarkStart w:id="1291" w:name="_Toc280868706"/>
      <w:bookmarkStart w:id="1292" w:name="_Toc280868707"/>
      <w:bookmarkStart w:id="1293" w:name="_Toc280868708"/>
      <w:bookmarkStart w:id="1294" w:name="_Toc280868709"/>
      <w:r>
        <w:rPr>
          <w:rFonts w:hint="eastAsia" w:ascii="宋体" w:hAnsi="宋体" w:cs="宋体"/>
          <w:color w:val="auto"/>
          <w:szCs w:val="21"/>
          <w:highlight w:val="none"/>
        </w:rPr>
        <w:t>13.2.2竣工验收程序</w:t>
      </w:r>
    </w:p>
    <w:bookmarkEnd w:id="1289"/>
    <w:p>
      <w:pPr>
        <w:spacing w:line="360" w:lineRule="exact"/>
        <w:ind w:left="3675" w:leftChars="188" w:hanging="3288" w:hangingChars="1596"/>
        <w:rPr>
          <w:rFonts w:ascii="宋体" w:hAnsi="宋体" w:cs="宋体"/>
          <w:color w:val="auto"/>
          <w:szCs w:val="21"/>
          <w:highlight w:val="none"/>
          <w:u w:val="singl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rPr>
        <w:t xml:space="preserve"> 按通用条款    。</w:t>
      </w:r>
    </w:p>
    <w:p>
      <w:pPr>
        <w:pStyle w:val="39"/>
        <w:spacing w:before="0" w:after="0" w:line="360" w:lineRule="exact"/>
        <w:ind w:firstLine="412" w:firstLineChars="200"/>
        <w:jc w:val="left"/>
        <w:outlineLvl w:val="9"/>
        <w:rPr>
          <w:rFonts w:ascii="宋体" w:hAnsi="宋体" w:cs="宋体"/>
          <w:color w:val="auto"/>
          <w:highlight w:val="none"/>
        </w:rPr>
      </w:pPr>
      <w:r>
        <w:rPr>
          <w:rFonts w:hint="eastAsia" w:ascii="宋体" w:hAnsi="宋体" w:cs="宋体"/>
          <w:b w:val="0"/>
          <w:color w:val="auto"/>
          <w:sz w:val="21"/>
          <w:szCs w:val="21"/>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r>
        <w:rPr>
          <w:rFonts w:hint="eastAsia" w:ascii="宋体" w:hAnsi="宋体" w:cs="宋体"/>
          <w:b w:val="0"/>
          <w:color w:val="auto"/>
          <w:sz w:val="21"/>
          <w:szCs w:val="21"/>
          <w:highlight w:val="none"/>
        </w:rPr>
        <w:t>。</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不计违约金。</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cs="宋体"/>
          <w:color w:val="auto"/>
          <w:szCs w:val="21"/>
          <w:highlight w:val="none"/>
        </w:rPr>
        <w:t>。</w:t>
      </w:r>
    </w:p>
    <w:bookmarkEnd w:id="1290"/>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1291"/>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292"/>
    <w:p>
      <w:pPr>
        <w:spacing w:line="360" w:lineRule="exact"/>
        <w:ind w:left="391" w:leftChars="189" w:hanging="2" w:hangingChars="1"/>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13.3 工程试车</w:t>
      </w:r>
    </w:p>
    <w:bookmarkEnd w:id="1293"/>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13.6 竣工退场</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颁发工程接收证书后7天内</w:t>
      </w:r>
      <w:r>
        <w:rPr>
          <w:rFonts w:hint="eastAsia" w:ascii="宋体" w:hAnsi="宋体" w:cs="宋体"/>
          <w:color w:val="auto"/>
          <w:kern w:val="0"/>
          <w:szCs w:val="21"/>
          <w:highlight w:val="none"/>
        </w:rPr>
        <w:t>。</w:t>
      </w:r>
    </w:p>
    <w:p>
      <w:pPr>
        <w:pStyle w:val="6"/>
        <w:spacing w:before="0" w:after="0" w:line="360" w:lineRule="exact"/>
        <w:rPr>
          <w:rFonts w:ascii="宋体" w:hAnsi="宋体" w:eastAsia="宋体" w:cs="宋体"/>
          <w:b w:val="0"/>
          <w:color w:val="auto"/>
          <w:sz w:val="21"/>
          <w:szCs w:val="21"/>
          <w:highlight w:val="none"/>
        </w:rPr>
      </w:pPr>
      <w:bookmarkStart w:id="1295" w:name="_Toc351203646"/>
      <w:r>
        <w:rPr>
          <w:rFonts w:hint="eastAsia" w:ascii="宋体" w:hAnsi="宋体" w:eastAsia="宋体" w:cs="宋体"/>
          <w:b w:val="0"/>
          <w:color w:val="auto"/>
          <w:sz w:val="21"/>
          <w:szCs w:val="21"/>
          <w:highlight w:val="none"/>
        </w:rPr>
        <w:t>14. 竣工结算</w:t>
      </w:r>
      <w:bookmarkEnd w:id="1295"/>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14.1 竣工结算申请</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承包人应在完成合同范围内施工内容，参建各方（建设、监理、施工、勘察、设计单位等）对工程验收并签署工程质量合格文件后90天内向发包人和监理人提交竣工结算申请单，并提交完整的工程结算资料一套。</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承包人超过90天未提交竣工结算资料，经发包人催告后28天，承包人还不提交竣工结算资料的，发包人可根据自己资料办理竣工结算，且视为承包人认可竣工结算结果。</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14.2 竣工结算审核</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（1）发包人结算审核时间：</w:t>
      </w:r>
      <w:r>
        <w:rPr>
          <w:rFonts w:hint="eastAsia" w:ascii="宋体" w:hAnsi="宋体" w:cs="宋体"/>
          <w:color w:val="auto"/>
          <w:szCs w:val="21"/>
          <w:highlight w:val="none"/>
          <w:u w:val="single"/>
        </w:rPr>
        <w:t>发包人收到承包人递交的竣工结算报告及结算资料后，在6个月内审核完毕，并签发竣工结算证书。</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由发包人原因逾期审核责任：向承包人支付违约金，违约金为工程结算后应付工程款的利息，利率按</w:t>
      </w:r>
      <w:r>
        <w:rPr>
          <w:rFonts w:hint="eastAsia" w:ascii="宋体" w:hAnsi="宋体"/>
          <w:color w:val="auto"/>
          <w:szCs w:val="21"/>
          <w:highlight w:val="none"/>
          <w:u w:val="single"/>
        </w:rPr>
        <w:t>全国银行间同业拆借中心公布的贷款报价利率（LPR）计算</w:t>
      </w:r>
      <w:r>
        <w:rPr>
          <w:rFonts w:hint="eastAsia" w:ascii="宋体" w:hAnsi="宋体" w:cs="宋体"/>
          <w:color w:val="auto"/>
          <w:szCs w:val="21"/>
          <w:highlight w:val="none"/>
          <w:u w:val="single"/>
        </w:rPr>
        <w:t>，利息计算时间为应付工程款日至支付工程款日止。</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2）发包人在签发竣工结算证书后14天内，扣留工程质量保证金后完成对承包人的竣工付款。逾期支付按全国银行间同业拆借中心公布的贷款报价利率（LPR）支付违约金；逾期超过56天，按全国银行间同业拆借中心公布的贷款报价利率（LPR）的两倍支付违约金。</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（3）承包人对发包人签认的结算价有异议的，发包人可先支付承包人无异议部分结算款。异议部分重新进行复核或按照第20条处理。</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（4）结算特殊要求：工程结算按政府有关管理规定，由相关部门审核，结算核减率超过5%时，则超过部分的审核费（基数为超过送审造价5％的幅度以外的核减额）由承包人负责。</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14.4 最终结清</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14.4.2 最终结清证书和支付</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 xml:space="preserve">  按通用条款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按通用条款</w:t>
      </w:r>
      <w:r>
        <w:rPr>
          <w:rFonts w:hint="eastAsia" w:ascii="宋体" w:hAnsi="宋体" w:cs="宋体"/>
          <w:color w:val="auto"/>
          <w:szCs w:val="21"/>
          <w:highlight w:val="none"/>
        </w:rPr>
        <w:t>。</w:t>
      </w:r>
    </w:p>
    <w:bookmarkEnd w:id="1282"/>
    <w:bookmarkEnd w:id="1283"/>
    <w:bookmarkEnd w:id="1284"/>
    <w:bookmarkEnd w:id="1285"/>
    <w:bookmarkEnd w:id="1286"/>
    <w:bookmarkEnd w:id="1287"/>
    <w:bookmarkEnd w:id="1288"/>
    <w:bookmarkEnd w:id="1294"/>
    <w:p>
      <w:pPr>
        <w:pStyle w:val="6"/>
        <w:spacing w:before="0" w:after="0" w:line="360" w:lineRule="exact"/>
        <w:rPr>
          <w:rFonts w:ascii="宋体" w:hAnsi="宋体" w:eastAsia="宋体" w:cs="宋体"/>
          <w:b w:val="0"/>
          <w:color w:val="auto"/>
          <w:sz w:val="21"/>
          <w:szCs w:val="21"/>
          <w:highlight w:val="none"/>
        </w:rPr>
      </w:pPr>
      <w:bookmarkStart w:id="1296" w:name="_Toc351203647"/>
      <w:bookmarkStart w:id="1297" w:name="_Toc267251483"/>
      <w:bookmarkStart w:id="1298" w:name="_Toc267251484"/>
      <w:bookmarkStart w:id="1299" w:name="_Toc267251482"/>
      <w:bookmarkStart w:id="1300" w:name="_Toc267251485"/>
      <w:bookmarkStart w:id="1301" w:name="_Toc267251488"/>
      <w:bookmarkStart w:id="1302" w:name="_Toc267251486"/>
      <w:bookmarkStart w:id="1303" w:name="_Toc267251489"/>
      <w:bookmarkStart w:id="1304" w:name="_Toc267251490"/>
      <w:bookmarkStart w:id="1305" w:name="_Toc267251497"/>
      <w:bookmarkStart w:id="1306" w:name="_Toc267251495"/>
      <w:bookmarkStart w:id="1307" w:name="_Toc267251501"/>
      <w:bookmarkStart w:id="1308" w:name="_Toc267251503"/>
      <w:bookmarkStart w:id="1309" w:name="_Toc267251491"/>
      <w:bookmarkStart w:id="1310" w:name="_Toc267251493"/>
      <w:bookmarkStart w:id="1311" w:name="_Toc267251499"/>
      <w:bookmarkStart w:id="1312" w:name="_Toc267251496"/>
      <w:bookmarkStart w:id="1313" w:name="_Toc267251502"/>
      <w:bookmarkStart w:id="1314" w:name="_Toc267251494"/>
      <w:bookmarkStart w:id="1315" w:name="_Toc267251498"/>
      <w:bookmarkStart w:id="1316" w:name="_Toc267251492"/>
      <w:bookmarkStart w:id="1317" w:name="_Toc267251506"/>
      <w:bookmarkStart w:id="1318" w:name="_Toc267251504"/>
      <w:bookmarkStart w:id="1319" w:name="_Toc267251507"/>
      <w:bookmarkStart w:id="1320" w:name="_Toc267251508"/>
      <w:bookmarkStart w:id="1321" w:name="_Toc267251510"/>
      <w:bookmarkStart w:id="1322" w:name="_Toc267251509"/>
      <w:bookmarkStart w:id="1323" w:name="_Toc267251513"/>
      <w:bookmarkStart w:id="1324" w:name="_Toc267251515"/>
      <w:bookmarkStart w:id="1325" w:name="_Toc267251511"/>
      <w:bookmarkStart w:id="1326" w:name="_Toc267251514"/>
      <w:r>
        <w:rPr>
          <w:rFonts w:hint="eastAsia" w:ascii="宋体" w:hAnsi="宋体" w:eastAsia="宋体" w:cs="宋体"/>
          <w:b w:val="0"/>
          <w:color w:val="auto"/>
          <w:sz w:val="21"/>
          <w:szCs w:val="21"/>
          <w:highlight w:val="none"/>
        </w:rPr>
        <w:t>15. 缺陷责任期与保修</w:t>
      </w:r>
      <w:bookmarkEnd w:id="1296"/>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15.2缺陷责任期</w:t>
      </w:r>
      <w:bookmarkEnd w:id="1297"/>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 xml:space="preserve"> 缺陷责任期24个月，其余按通用条款执行</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15.3 质量保证金</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扣留质量保证金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pPr>
        <w:autoSpaceDE w:val="0"/>
        <w:autoSpaceDN w:val="0"/>
        <w:adjustRightInd w:val="0"/>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 xml:space="preserve">.5 %的工程结算价款； </w:t>
      </w:r>
    </w:p>
    <w:p>
      <w:pPr>
        <w:autoSpaceDE w:val="0"/>
        <w:autoSpaceDN w:val="0"/>
        <w:adjustRightInd w:val="0"/>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u w:val="single"/>
        </w:rPr>
        <w:t>1.5%</w:t>
      </w:r>
      <w:r>
        <w:rPr>
          <w:rFonts w:hint="eastAsia" w:ascii="宋体" w:hAnsi="宋体" w:cs="宋体"/>
          <w:color w:val="auto"/>
          <w:kern w:val="0"/>
          <w:szCs w:val="21"/>
          <w:highlight w:val="none"/>
        </w:rPr>
        <w:t>的工程结算价款；</w:t>
      </w:r>
    </w:p>
    <w:p>
      <w:pPr>
        <w:autoSpaceDE w:val="0"/>
        <w:autoSpaceDN w:val="0"/>
        <w:adjustRightInd w:val="0"/>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pPr>
        <w:autoSpaceDE w:val="0"/>
        <w:autoSpaceDN w:val="0"/>
        <w:adjustRightInd w:val="0"/>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pPr>
        <w:autoSpaceDE w:val="0"/>
        <w:autoSpaceDN w:val="0"/>
        <w:adjustRightInd w:val="0"/>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pPr>
        <w:autoSpaceDE w:val="0"/>
        <w:autoSpaceDN w:val="0"/>
        <w:adjustRightInd w:val="0"/>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15.3.3 质量保证金的退还</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质量保证金按以下第</w:t>
      </w:r>
      <w:r>
        <w:rPr>
          <w:rFonts w:hint="eastAsia" w:ascii="宋体" w:hAnsi="宋体" w:cs="宋体"/>
          <w:color w:val="auto"/>
          <w:szCs w:val="21"/>
          <w:highlight w:val="none"/>
          <w:u w:val="single"/>
        </w:rPr>
        <w:t xml:space="preserve"> 4</w:t>
      </w:r>
      <w:r>
        <w:rPr>
          <w:rFonts w:hint="eastAsia" w:ascii="宋体" w:hAnsi="宋体" w:cs="宋体"/>
          <w:color w:val="auto"/>
          <w:szCs w:val="21"/>
          <w:highlight w:val="none"/>
        </w:rPr>
        <w:t>方式退回：</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（1）缺陷责任期终止后，发包人退还剩余的质量保证金（是否计息）。</w:t>
      </w:r>
    </w:p>
    <w:p>
      <w:pPr>
        <w:adjustRightInd w:val="0"/>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（2）建筑工程：工程实际竣工验收合格后满一年返还质量保证金的30%，质量缺陷保修期后返还全部预留的质量保证金。</w:t>
      </w:r>
    </w:p>
    <w:p>
      <w:pPr>
        <w:adjustRightInd w:val="0"/>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（3）市政工程：工程实际竣工验收合格后满一年可返还全部质量保证金。</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（4）其它：</w:t>
      </w:r>
      <w:bookmarkEnd w:id="1298"/>
      <w:bookmarkEnd w:id="1299"/>
      <w:r>
        <w:rPr>
          <w:rFonts w:hint="eastAsia" w:ascii="宋体" w:hAnsi="宋体" w:cs="宋体"/>
          <w:bCs/>
          <w:color w:val="auto"/>
          <w:szCs w:val="21"/>
          <w:highlight w:val="none"/>
          <w:u w:val="single"/>
        </w:rPr>
        <w:t>工程实际竣工验收合格后满二年可返还全部质量保证金</w:t>
      </w:r>
    </w:p>
    <w:bookmarkEnd w:id="1300"/>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15.4.1 保修责任</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kern w:val="0"/>
          <w:szCs w:val="21"/>
          <w:highlight w:val="none"/>
          <w:u w:val="single"/>
        </w:rPr>
        <w:t xml:space="preserve"> 按本合同附件3《工程质量保修书》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15.4.3 修复通知</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1301"/>
    <w:bookmarkEnd w:id="1302"/>
    <w:bookmarkEnd w:id="1303"/>
    <w:bookmarkEnd w:id="1304"/>
    <w:p>
      <w:pPr>
        <w:pStyle w:val="6"/>
        <w:spacing w:before="0" w:after="0" w:line="360" w:lineRule="exact"/>
        <w:rPr>
          <w:rFonts w:ascii="宋体" w:hAnsi="宋体" w:eastAsia="宋体" w:cs="宋体"/>
          <w:b w:val="0"/>
          <w:color w:val="auto"/>
          <w:sz w:val="21"/>
          <w:szCs w:val="21"/>
          <w:highlight w:val="none"/>
        </w:rPr>
      </w:pPr>
      <w:bookmarkStart w:id="1327" w:name="_Toc351203648"/>
      <w:bookmarkStart w:id="1328" w:name="_Toc280868717"/>
      <w:bookmarkStart w:id="1329" w:name="_Toc280868718"/>
      <w:r>
        <w:rPr>
          <w:rFonts w:hint="eastAsia" w:ascii="宋体" w:hAnsi="宋体" w:eastAsia="宋体" w:cs="宋体"/>
          <w:b w:val="0"/>
          <w:color w:val="auto"/>
          <w:sz w:val="21"/>
          <w:szCs w:val="21"/>
          <w:highlight w:val="none"/>
        </w:rPr>
        <w:t>16. 违约</w:t>
      </w:r>
      <w:bookmarkEnd w:id="1327"/>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16.1 发包人违约</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16.1.1发包人违约的情形</w:t>
      </w:r>
    </w:p>
    <w:p>
      <w:pPr>
        <w:spacing w:line="360" w:lineRule="exact"/>
        <w:ind w:left="799" w:leftChars="188" w:hanging="412" w:hangingChars="200"/>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360" w:lineRule="exact"/>
        <w:ind w:left="997" w:leftChars="188" w:hanging="610" w:hangingChars="296"/>
        <w:rPr>
          <w:rFonts w:ascii="宋体" w:hAnsi="宋体" w:cs="宋体"/>
          <w:color w:val="auto"/>
          <w:kern w:val="0"/>
          <w:szCs w:val="21"/>
          <w:highlight w:val="none"/>
        </w:rPr>
      </w:pPr>
      <w:r>
        <w:rPr>
          <w:rFonts w:hint="eastAsia" w:ascii="宋体" w:hAnsi="宋体" w:cs="宋体"/>
          <w:color w:val="auto"/>
          <w:kern w:val="0"/>
          <w:szCs w:val="21"/>
          <w:highlight w:val="none"/>
        </w:rPr>
        <w:t>16.1.2 发包人违约的责任</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pPr>
        <w:spacing w:line="360" w:lineRule="exact"/>
        <w:ind w:firstLine="412"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kern w:val="0"/>
          <w:szCs w:val="21"/>
          <w:highlight w:val="none"/>
          <w:u w:val="single"/>
        </w:rPr>
        <w:t xml:space="preserve"> 开始计算第7天后承包人已进场施工设备租赁费及施工人员窝工费。</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支付违约金，违约金为应付工程款的利息，利率按全国银行间同业拆借中心公布的贷款报价利率（LPR），利息计算时间为应付工程款日至支付工程款日止。</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16.1.3 因发包人违约解除合同</w:t>
      </w:r>
    </w:p>
    <w:p>
      <w:pPr>
        <w:autoSpaceDE w:val="0"/>
        <w:autoSpaceDN w:val="0"/>
        <w:adjustRightInd w:val="0"/>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天后发包人仍不纠正其违约行为并致使合同目的不能实现的，承包人有权解除合同。</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16.2 承包人违约</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pPr>
        <w:spacing w:line="360" w:lineRule="exact"/>
        <w:ind w:firstLine="412"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承包人违约的其他情形：</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机械设备、施工项目班子未按投标承诺及时到位；</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）本工程在实施过程中，如承包人的施工队伍素质、力量、现场管理班子、现场安全文明施工不符合投标书的承诺，造成现场管理混乱、工程质量和进度达不到投标所承诺的要求；</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）承包人允许其他人挂靠经营、私自转包</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u w:val="single"/>
        </w:rPr>
        <w:t>）承包人未达到投标时所承诺的诚信与技术标准。</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承包人违约责任的承担方式和计算方法：</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机械设备未按投标承诺到位，每项扣除履约担保金的2%；</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现场安全文明施工不符合投标书承诺，扣减相应安全文明施工费用；</w:t>
      </w:r>
      <w:r>
        <w:rPr>
          <w:rFonts w:hint="eastAsia" w:ascii="宋体" w:hAnsi="宋体" w:cs="宋体"/>
          <w:color w:val="auto"/>
          <w:kern w:val="0"/>
          <w:szCs w:val="21"/>
          <w:highlight w:val="none"/>
          <w:u w:val="single"/>
        </w:rPr>
        <w:t>承包人原因造成现场管理混乱、</w:t>
      </w:r>
      <w:r>
        <w:rPr>
          <w:rFonts w:hint="eastAsia" w:ascii="宋体" w:hAnsi="宋体" w:cs="宋体"/>
          <w:color w:val="auto"/>
          <w:szCs w:val="21"/>
          <w:highlight w:val="none"/>
          <w:u w:val="single"/>
        </w:rPr>
        <w:t>工程质量和进度达不到投标承诺的要求，发包人有权要求承包人调整充实施工力量、更换项目班子，及至解除施工合同，所有履约担保金归发包人，并赔偿发包人损失。</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发现承包人允许其他人挂靠经营、私自转包，所有履约担保归发包人，同时赔偿发包人损失，并责令退出工地。</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u w:val="single"/>
        </w:rPr>
        <w:t>未达到投标所承诺的诚信与技术标准，按每一项扣减履约担保金的10%。</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（5）</w:t>
      </w:r>
      <w:r>
        <w:rPr>
          <w:rFonts w:hint="eastAsia" w:ascii="宋体" w:hAnsi="宋体" w:cs="宋体"/>
          <w:color w:val="auto"/>
          <w:szCs w:val="21"/>
          <w:highlight w:val="none"/>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50%以上时，可解除施工合同。</w:t>
      </w:r>
    </w:p>
    <w:p>
      <w:pPr>
        <w:spacing w:line="360" w:lineRule="exact"/>
        <w:ind w:firstLine="412" w:firstLineChars="200"/>
        <w:rPr>
          <w:rFonts w:ascii="宋体" w:hAnsi="宋体" w:cs="宋体"/>
          <w:color w:val="auto"/>
          <w:kern w:val="0"/>
          <w:szCs w:val="21"/>
          <w:highlight w:val="none"/>
          <w:u w:val="single"/>
        </w:rPr>
      </w:pPr>
      <w:r>
        <w:rPr>
          <w:rFonts w:hint="eastAsia" w:ascii="宋体" w:hAnsi="宋体" w:cs="宋体"/>
          <w:color w:val="auto"/>
          <w:szCs w:val="21"/>
          <w:highlight w:val="none"/>
        </w:rPr>
        <w:t>（6）</w:t>
      </w:r>
      <w:r>
        <w:rPr>
          <w:rFonts w:hint="eastAsia" w:ascii="宋体" w:hAnsi="宋体" w:cs="宋体"/>
          <w:color w:val="auto"/>
          <w:szCs w:val="21"/>
          <w:highlight w:val="none"/>
          <w:u w:val="single"/>
        </w:rPr>
        <w:t>承包人无法继续履行、明确表示不履行或实质上已停止履行合同，发包人可通知承包人全部解除合同，所有履约担保归发包人，同时赔偿发包人损失。</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16.2.3 因承包人违约解除合同</w:t>
      </w:r>
    </w:p>
    <w:p>
      <w:pPr>
        <w:autoSpaceDE w:val="0"/>
        <w:autoSpaceDN w:val="0"/>
        <w:spacing w:line="360" w:lineRule="exact"/>
        <w:ind w:firstLine="412"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 xml:space="preserve">                  。</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16.2.4 因承包人违约解除合同后的处理</w:t>
      </w:r>
    </w:p>
    <w:p>
      <w:pPr>
        <w:pStyle w:val="6"/>
        <w:spacing w:before="0" w:after="0" w:line="360" w:lineRule="exact"/>
        <w:rPr>
          <w:rFonts w:ascii="宋体" w:hAnsi="宋体" w:eastAsia="宋体" w:cs="宋体"/>
          <w:b w:val="0"/>
          <w:color w:val="auto"/>
          <w:sz w:val="21"/>
          <w:szCs w:val="21"/>
          <w:highlight w:val="none"/>
        </w:rPr>
      </w:pPr>
      <w:bookmarkStart w:id="1330" w:name="_Toc351203649"/>
      <w:r>
        <w:rPr>
          <w:rFonts w:hint="eastAsia" w:ascii="宋体" w:hAnsi="宋体" w:eastAsia="宋体" w:cs="宋体"/>
          <w:b w:val="0"/>
          <w:color w:val="auto"/>
          <w:sz w:val="21"/>
          <w:szCs w:val="21"/>
          <w:highlight w:val="none"/>
        </w:rPr>
        <w:t>17. 不可抗力</w:t>
      </w:r>
      <w:bookmarkEnd w:id="1330"/>
      <w:r>
        <w:rPr>
          <w:rFonts w:hint="eastAsia" w:ascii="宋体" w:hAnsi="宋体" w:eastAsia="宋体" w:cs="宋体"/>
          <w:b w:val="0"/>
          <w:color w:val="auto"/>
          <w:sz w:val="21"/>
          <w:szCs w:val="21"/>
          <w:highlight w:val="none"/>
        </w:rPr>
        <w:t xml:space="preserve"> </w:t>
      </w:r>
      <w:bookmarkEnd w:id="1328"/>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17.1 不可抗力的确认</w:t>
      </w:r>
    </w:p>
    <w:p>
      <w:pPr>
        <w:spacing w:line="360" w:lineRule="exact"/>
        <w:ind w:firstLine="412" w:firstLineChars="200"/>
        <w:rPr>
          <w:rFonts w:ascii="宋体" w:hAnsi="宋体" w:cs="宋体"/>
          <w:color w:val="auto"/>
          <w:kern w:val="0"/>
          <w:szCs w:val="21"/>
          <w:highlight w:val="none"/>
          <w:u w:val="single"/>
        </w:rPr>
      </w:pPr>
      <w:r>
        <w:rPr>
          <w:rFonts w:hint="eastAsia" w:ascii="宋体" w:hAnsi="宋体" w:cs="宋体"/>
          <w:color w:val="auto"/>
          <w:szCs w:val="21"/>
          <w:highlight w:val="none"/>
        </w:rPr>
        <w:t>除通用合同条款约定的不可抗力事件之外，视为不可抗力的其他情形：</w:t>
      </w:r>
      <w:r>
        <w:rPr>
          <w:rFonts w:hint="eastAsia" w:ascii="宋体" w:hAnsi="宋体" w:cs="宋体"/>
          <w:color w:val="auto"/>
          <w:kern w:val="0"/>
          <w:szCs w:val="21"/>
          <w:highlight w:val="none"/>
          <w:u w:val="single"/>
        </w:rPr>
        <w:t xml:space="preserve"> 10年一遇洪水、暴风雪、干旱， 罢工、政府禁令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17.4 因不可抗力解除合同</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天内完成款项的支付。</w:t>
      </w:r>
    </w:p>
    <w:p>
      <w:pPr>
        <w:pStyle w:val="6"/>
        <w:spacing w:before="0" w:after="0" w:line="360" w:lineRule="exact"/>
        <w:rPr>
          <w:rFonts w:ascii="宋体" w:hAnsi="宋体" w:eastAsia="宋体" w:cs="宋体"/>
          <w:b w:val="0"/>
          <w:color w:val="auto"/>
          <w:sz w:val="21"/>
          <w:szCs w:val="21"/>
          <w:highlight w:val="none"/>
        </w:rPr>
      </w:pPr>
      <w:bookmarkStart w:id="1331" w:name="_Toc351203650"/>
      <w:r>
        <w:rPr>
          <w:rFonts w:hint="eastAsia" w:ascii="宋体" w:hAnsi="宋体" w:eastAsia="宋体" w:cs="宋体"/>
          <w:b w:val="0"/>
          <w:color w:val="auto"/>
          <w:sz w:val="21"/>
          <w:szCs w:val="21"/>
          <w:highlight w:val="none"/>
        </w:rPr>
        <w:t>18. 保险</w:t>
      </w:r>
      <w:bookmarkEnd w:id="1331"/>
    </w:p>
    <w:bookmarkEnd w:id="1329"/>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18.1 工程保险</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18.3 其他保险</w:t>
      </w:r>
    </w:p>
    <w:p>
      <w:pPr>
        <w:spacing w:line="360" w:lineRule="exact"/>
        <w:ind w:firstLine="412" w:firstLineChars="200"/>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18.7 通知义务</w:t>
      </w:r>
    </w:p>
    <w:p>
      <w:pPr>
        <w:spacing w:line="360" w:lineRule="exact"/>
        <w:ind w:firstLine="412" w:firstLineChars="200"/>
        <w:rPr>
          <w:rFonts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305"/>
    <w:bookmarkEnd w:id="1306"/>
    <w:bookmarkEnd w:id="1307"/>
    <w:bookmarkEnd w:id="1308"/>
    <w:bookmarkEnd w:id="1309"/>
    <w:bookmarkEnd w:id="1310"/>
    <w:bookmarkEnd w:id="1311"/>
    <w:bookmarkEnd w:id="1312"/>
    <w:bookmarkEnd w:id="1313"/>
    <w:bookmarkEnd w:id="1314"/>
    <w:bookmarkEnd w:id="1315"/>
    <w:bookmarkEnd w:id="1316"/>
    <w:p>
      <w:pPr>
        <w:pStyle w:val="6"/>
        <w:spacing w:before="0" w:after="0" w:line="360" w:lineRule="exact"/>
        <w:rPr>
          <w:rFonts w:ascii="宋体" w:hAnsi="宋体" w:eastAsia="宋体" w:cs="宋体"/>
          <w:b w:val="0"/>
          <w:color w:val="auto"/>
          <w:sz w:val="21"/>
          <w:szCs w:val="21"/>
          <w:highlight w:val="none"/>
        </w:rPr>
      </w:pPr>
      <w:bookmarkStart w:id="1332" w:name="_Toc351203651"/>
      <w:r>
        <w:rPr>
          <w:rFonts w:hint="eastAsia" w:ascii="宋体" w:hAnsi="宋体" w:eastAsia="宋体" w:cs="宋体"/>
          <w:b w:val="0"/>
          <w:color w:val="auto"/>
          <w:sz w:val="21"/>
          <w:szCs w:val="21"/>
          <w:highlight w:val="none"/>
        </w:rPr>
        <w:t>20. 争议解决</w:t>
      </w:r>
      <w:bookmarkEnd w:id="1332"/>
    </w:p>
    <w:bookmarkEnd w:id="1317"/>
    <w:bookmarkEnd w:id="1318"/>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20.3 争</w:t>
      </w:r>
      <w:bookmarkEnd w:id="1319"/>
      <w:r>
        <w:rPr>
          <w:rFonts w:hint="eastAsia" w:ascii="宋体" w:hAnsi="宋体" w:cs="宋体"/>
          <w:color w:val="auto"/>
          <w:szCs w:val="21"/>
          <w:highlight w:val="none"/>
        </w:rPr>
        <w:t>议评审</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20.3.1 争议评审小组的确定</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提交争议评审时再选定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utoSpaceDE w:val="0"/>
        <w:autoSpaceDN w:val="0"/>
        <w:adjustRightInd w:val="0"/>
        <w:spacing w:line="360" w:lineRule="exact"/>
        <w:ind w:firstLine="412" w:firstLineChars="200"/>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按通用条款。</w:t>
      </w:r>
    </w:p>
    <w:p>
      <w:pPr>
        <w:spacing w:line="360" w:lineRule="exact"/>
        <w:ind w:firstLine="412" w:firstLineChars="200"/>
        <w:rPr>
          <w:rFonts w:ascii="宋体" w:hAnsi="宋体" w:cs="宋体"/>
          <w:color w:val="auto"/>
          <w:szCs w:val="21"/>
          <w:highlight w:val="none"/>
          <w:u w:val="single"/>
        </w:rPr>
      </w:pPr>
      <w:r>
        <w:rPr>
          <w:rFonts w:hint="eastAsia" w:ascii="宋体" w:hAnsi="宋体" w:cs="宋体"/>
          <w:color w:val="auto"/>
          <w:szCs w:val="21"/>
          <w:highlight w:val="none"/>
          <w:u w:val="single"/>
        </w:rPr>
        <w:t>20.3.3 争议评审小组决定的效力：按通用条款执行。</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20.4仲裁或诉讼</w:t>
      </w:r>
      <w:bookmarkEnd w:id="1320"/>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w:t>
      </w:r>
      <w:r>
        <w:rPr>
          <w:rFonts w:hint="eastAsia" w:ascii="宋体" w:hAnsi="宋体" w:cs="宋体"/>
          <w:color w:val="auto"/>
          <w:szCs w:val="21"/>
          <w:highlight w:val="none"/>
        </w:rPr>
        <w:t>种方式解决：</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台州</w:t>
      </w:r>
      <w:r>
        <w:rPr>
          <w:rFonts w:hint="eastAsia" w:ascii="宋体" w:hAnsi="宋体" w:cs="宋体"/>
          <w:color w:val="auto"/>
          <w:szCs w:val="21"/>
          <w:highlight w:val="none"/>
        </w:rPr>
        <w:t>仲裁委员会申请仲裁；</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工程所在地</w:t>
      </w:r>
      <w:r>
        <w:rPr>
          <w:rFonts w:hint="eastAsia" w:ascii="宋体" w:hAnsi="宋体" w:cs="宋体"/>
          <w:color w:val="auto"/>
          <w:szCs w:val="21"/>
          <w:highlight w:val="none"/>
        </w:rPr>
        <w:t>人民法院起诉。</w:t>
      </w:r>
      <w:bookmarkEnd w:id="1321"/>
      <w:bookmarkEnd w:id="1322"/>
      <w:bookmarkEnd w:id="1323"/>
      <w:bookmarkEnd w:id="1324"/>
      <w:bookmarkEnd w:id="1325"/>
      <w:bookmarkEnd w:id="1326"/>
    </w:p>
    <w:p>
      <w:pPr>
        <w:spacing w:line="360" w:lineRule="exact"/>
        <w:rPr>
          <w:rFonts w:ascii="宋体" w:hAnsi="宋体" w:cs="宋体"/>
          <w:color w:val="auto"/>
          <w:szCs w:val="21"/>
          <w:highlight w:val="none"/>
        </w:rPr>
      </w:pPr>
    </w:p>
    <w:p>
      <w:pPr>
        <w:spacing w:line="360" w:lineRule="exact"/>
        <w:rPr>
          <w:rFonts w:ascii="宋体" w:hAnsi="宋体" w:cs="宋体"/>
          <w:color w:val="auto"/>
          <w:szCs w:val="21"/>
          <w:highlight w:val="non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pPr>
        <w:spacing w:line="360" w:lineRule="exact"/>
        <w:rPr>
          <w:rFonts w:ascii="宋体" w:hAnsi="宋体" w:cs="宋体"/>
          <w:b/>
          <w:bCs/>
          <w:color w:val="auto"/>
          <w:sz w:val="28"/>
          <w:szCs w:val="28"/>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bookmarkStart w:id="1333" w:name="_Toc525555805"/>
      <w:bookmarkStart w:id="1334" w:name="_Toc525555743"/>
    </w:p>
    <w:bookmarkEnd w:id="1333"/>
    <w:bookmarkEnd w:id="1334"/>
    <w:p>
      <w:pPr>
        <w:spacing w:line="360" w:lineRule="exact"/>
        <w:jc w:val="center"/>
        <w:rPr>
          <w:rFonts w:ascii="宋体" w:hAnsi="宋体" w:cs="宋体"/>
          <w:b/>
          <w:bCs/>
          <w:color w:val="auto"/>
          <w:sz w:val="28"/>
          <w:szCs w:val="28"/>
          <w:highlight w:val="none"/>
        </w:rPr>
      </w:pPr>
      <w:bookmarkStart w:id="1335" w:name="_Toc228163249"/>
    </w:p>
    <w:p>
      <w:pPr>
        <w:rPr>
          <w:color w:val="auto"/>
          <w:highlight w:val="none"/>
        </w:rPr>
      </w:pPr>
    </w:p>
    <w:p>
      <w:pPr>
        <w:spacing w:line="360" w:lineRule="exact"/>
        <w:outlineLvl w:val="9"/>
        <w:rPr>
          <w:rFonts w:hint="eastAsia" w:ascii="宋体" w:hAnsi="宋体" w:cs="宋体"/>
          <w:b/>
          <w:bCs/>
          <w:color w:val="auto"/>
          <w:sz w:val="28"/>
          <w:szCs w:val="28"/>
          <w:highlight w:val="none"/>
        </w:rPr>
      </w:pPr>
      <w:bookmarkStart w:id="1336" w:name="_Toc472"/>
    </w:p>
    <w:p>
      <w:pPr>
        <w:spacing w:line="360" w:lineRule="exact"/>
        <w:ind w:firstLine="2484" w:firstLineChars="900"/>
        <w:outlineLvl w:val="9"/>
        <w:rPr>
          <w:rFonts w:hint="eastAsia" w:ascii="宋体" w:hAnsi="宋体" w:cs="宋体"/>
          <w:b/>
          <w:bCs/>
          <w:color w:val="auto"/>
          <w:sz w:val="28"/>
          <w:szCs w:val="28"/>
          <w:highlight w:val="none"/>
        </w:rPr>
      </w:pPr>
    </w:p>
    <w:p>
      <w:pPr>
        <w:spacing w:line="360" w:lineRule="exact"/>
        <w:ind w:firstLine="2484" w:firstLineChars="900"/>
        <w:outlineLvl w:val="9"/>
        <w:rPr>
          <w:rFonts w:hint="eastAsia" w:ascii="宋体" w:hAnsi="宋体" w:cs="宋体"/>
          <w:b/>
          <w:bCs/>
          <w:color w:val="auto"/>
          <w:sz w:val="28"/>
          <w:szCs w:val="28"/>
          <w:highlight w:val="none"/>
        </w:rPr>
      </w:pPr>
    </w:p>
    <w:p>
      <w:pPr>
        <w:spacing w:line="360" w:lineRule="exact"/>
        <w:ind w:firstLine="2484" w:firstLineChars="900"/>
        <w:outlineLvl w:val="9"/>
        <w:rPr>
          <w:rFonts w:hint="eastAsia" w:ascii="宋体" w:hAnsi="宋体" w:cs="宋体"/>
          <w:b/>
          <w:bCs/>
          <w:color w:val="auto"/>
          <w:sz w:val="28"/>
          <w:szCs w:val="28"/>
          <w:highlight w:val="none"/>
        </w:rPr>
      </w:pPr>
    </w:p>
    <w:p>
      <w:pPr>
        <w:spacing w:line="360" w:lineRule="exact"/>
        <w:ind w:firstLine="2484" w:firstLineChars="900"/>
        <w:outlineLvl w:val="9"/>
        <w:rPr>
          <w:rFonts w:hint="eastAsia" w:ascii="宋体" w:hAnsi="宋体" w:cs="宋体"/>
          <w:b/>
          <w:bCs/>
          <w:color w:val="auto"/>
          <w:sz w:val="28"/>
          <w:szCs w:val="28"/>
          <w:highlight w:val="none"/>
        </w:rPr>
      </w:pPr>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spacing w:line="360" w:lineRule="exact"/>
        <w:ind w:firstLine="2484" w:firstLineChars="900"/>
        <w:outlineLvl w:val="1"/>
        <w:rPr>
          <w:rFonts w:ascii="宋体" w:hAnsi="宋体"/>
          <w:color w:val="auto"/>
          <w:szCs w:val="21"/>
          <w:highlight w:val="none"/>
        </w:rPr>
      </w:pPr>
      <w:r>
        <w:rPr>
          <w:rFonts w:hint="eastAsia" w:ascii="宋体" w:hAnsi="宋体" w:cs="宋体"/>
          <w:b/>
          <w:bCs/>
          <w:color w:val="auto"/>
          <w:sz w:val="28"/>
          <w:szCs w:val="28"/>
          <w:highlight w:val="none"/>
        </w:rPr>
        <w:t>第四部分     工程质量保修书</w:t>
      </w:r>
      <w:bookmarkEnd w:id="1336"/>
    </w:p>
    <w:p>
      <w:pPr>
        <w:spacing w:line="586" w:lineRule="exact"/>
        <w:rPr>
          <w:rFonts w:hAnsi="仿宋"/>
          <w:color w:val="auto"/>
          <w:sz w:val="28"/>
          <w:szCs w:val="28"/>
          <w:highlight w:val="none"/>
        </w:rPr>
      </w:pPr>
    </w:p>
    <w:p>
      <w:pPr>
        <w:spacing w:line="360" w:lineRule="exac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exact"/>
        <w:rPr>
          <w:rFonts w:ascii="宋体" w:hAnsi="宋体" w:cs="宋体"/>
          <w:color w:val="auto"/>
          <w:szCs w:val="21"/>
          <w:highlight w:val="none"/>
        </w:rPr>
      </w:pP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lang w:eastAsia="zh-CN"/>
        </w:rPr>
        <w:t>月湖派出所综合指挥室改造工程</w:t>
      </w:r>
      <w:r>
        <w:rPr>
          <w:rFonts w:hint="eastAsia" w:ascii="宋体" w:hAnsi="宋体" w:cs="宋体"/>
          <w:color w:val="auto"/>
          <w:szCs w:val="21"/>
          <w:highlight w:val="none"/>
        </w:rPr>
        <w:t>（工程全称）签订工程质量保修书。</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一、工程质量保修范围和内容</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Cs w:val="21"/>
          <w:highlight w:val="none"/>
          <w:u w:val="single"/>
        </w:rPr>
        <w:t>合同范围内的所有内容</w:t>
      </w:r>
      <w:r>
        <w:rPr>
          <w:rFonts w:hint="eastAsia" w:ascii="宋体" w:hAnsi="宋体" w:cs="宋体"/>
          <w:color w:val="auto"/>
          <w:szCs w:val="21"/>
          <w:highlight w:val="none"/>
        </w:rPr>
        <w:t>。</w:t>
      </w:r>
    </w:p>
    <w:p>
      <w:pPr>
        <w:spacing w:line="360" w:lineRule="exact"/>
        <w:ind w:firstLine="404" w:firstLineChars="196"/>
        <w:rPr>
          <w:rFonts w:ascii="宋体" w:hAnsi="宋体" w:cs="宋体"/>
          <w:color w:val="auto"/>
          <w:szCs w:val="21"/>
          <w:highlight w:val="none"/>
        </w:rPr>
      </w:pPr>
      <w:r>
        <w:rPr>
          <w:rFonts w:hint="eastAsia" w:ascii="宋体" w:hAnsi="宋体" w:cs="宋体"/>
          <w:color w:val="auto"/>
          <w:szCs w:val="21"/>
          <w:highlight w:val="none"/>
        </w:rPr>
        <w:t>二、质量保修期</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2．屋面防水工程、有防水要求的卫生间、房间和外墙面的防渗为</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年；</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年；</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年；</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个采暖期、供冷期；</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年；</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7．其他项目保修期限约定如下：</w:t>
      </w:r>
      <w:r>
        <w:rPr>
          <w:rFonts w:hint="eastAsia" w:ascii="宋体" w:hAnsi="宋体" w:cs="宋体"/>
          <w:color w:val="auto"/>
          <w:szCs w:val="21"/>
          <w:highlight w:val="none"/>
          <w:u w:val="single"/>
        </w:rPr>
        <w:t xml:space="preserve">        2年          </w:t>
      </w:r>
      <w:r>
        <w:rPr>
          <w:rFonts w:hint="eastAsia" w:ascii="宋体" w:hAnsi="宋体" w:cs="宋体"/>
          <w:color w:val="auto"/>
          <w:szCs w:val="21"/>
          <w:highlight w:val="none"/>
        </w:rPr>
        <w:t>。</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质量保修期自工程竣工验收合格之日起计算。</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三、缺陷责任期</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24</w:t>
      </w:r>
      <w:r>
        <w:rPr>
          <w:rFonts w:hint="eastAsia" w:ascii="宋体" w:hAnsi="宋体" w:cs="宋体"/>
          <w:color w:val="auto"/>
          <w:szCs w:val="21"/>
          <w:highlight w:val="none"/>
        </w:rPr>
        <w:t>个月，缺陷责任期自工程竣工验收合格之日起计算。单位工程先于全部工程进行验收，单位工程缺陷责任期自单位工程验收合格之日起算。</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四、质量保修责任</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1．属于保修范围、内容的项目，承包人应当在接到保修通知之日起7天内派人保修。承包人不在约定期限内派人保修的，发包人可以委托他人修理。</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4．质量保修完成后，由发包人组织验收。</w:t>
      </w:r>
    </w:p>
    <w:p>
      <w:pPr>
        <w:spacing w:line="360" w:lineRule="exact"/>
        <w:ind w:firstLine="412" w:firstLineChars="200"/>
        <w:rPr>
          <w:rFonts w:ascii="宋体" w:hAnsi="宋体" w:cs="宋体"/>
          <w:color w:val="auto"/>
          <w:szCs w:val="21"/>
          <w:highlight w:val="none"/>
        </w:rPr>
      </w:pPr>
      <w:r>
        <w:rPr>
          <w:rFonts w:hint="eastAsia" w:ascii="宋体" w:hAnsi="宋体" w:cs="宋体"/>
          <w:color w:val="auto"/>
          <w:szCs w:val="21"/>
          <w:highlight w:val="none"/>
        </w:rPr>
        <w:t>五、保修费用</w:t>
      </w:r>
    </w:p>
    <w:p>
      <w:pPr>
        <w:spacing w:line="360" w:lineRule="exact"/>
        <w:ind w:firstLine="600"/>
        <w:rPr>
          <w:rFonts w:ascii="宋体" w:hAnsi="宋体" w:cs="宋体"/>
          <w:color w:val="auto"/>
          <w:szCs w:val="21"/>
          <w:highlight w:val="none"/>
        </w:rPr>
      </w:pPr>
      <w:r>
        <w:rPr>
          <w:rFonts w:hint="eastAsia" w:ascii="宋体" w:hAnsi="宋体" w:cs="宋体"/>
          <w:color w:val="auto"/>
          <w:szCs w:val="21"/>
          <w:highlight w:val="none"/>
        </w:rPr>
        <w:t>保修费用由造成质量缺陷的责任方承担。</w:t>
      </w:r>
    </w:p>
    <w:p>
      <w:pPr>
        <w:spacing w:line="360" w:lineRule="exact"/>
        <w:ind w:firstLine="600"/>
        <w:rPr>
          <w:rFonts w:ascii="宋体" w:hAnsi="宋体" w:cs="宋体"/>
          <w:color w:val="auto"/>
          <w:szCs w:val="21"/>
          <w:highlight w:val="none"/>
        </w:rPr>
      </w:pPr>
      <w:r>
        <w:rPr>
          <w:rFonts w:hint="eastAsia" w:ascii="宋体" w:hAnsi="宋体" w:cs="宋体"/>
          <w:color w:val="auto"/>
          <w:szCs w:val="21"/>
          <w:highlight w:val="none"/>
        </w:rPr>
        <w:t>六、双方约定的其他工程质量保修事项：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392" w:firstLineChars="190"/>
        <w:rPr>
          <w:rFonts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pPr>
        <w:spacing w:line="360" w:lineRule="exact"/>
        <w:rPr>
          <w:rFonts w:ascii="宋体" w:hAnsi="宋体" w:cs="宋体"/>
          <w:color w:val="auto"/>
          <w:szCs w:val="21"/>
          <w:highlight w:val="none"/>
        </w:rPr>
      </w:pPr>
    </w:p>
    <w:p>
      <w:pPr>
        <w:spacing w:line="360" w:lineRule="exact"/>
        <w:rPr>
          <w:rFonts w:ascii="宋体" w:hAnsi="宋体" w:cs="宋体"/>
          <w:color w:val="auto"/>
          <w:szCs w:val="21"/>
          <w:highlight w:val="non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pPr>
        <w:spacing w:line="360" w:lineRule="exact"/>
        <w:rPr>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r>
        <w:rPr>
          <w:rFonts w:hAnsi="仿宋"/>
          <w:color w:val="auto"/>
          <w:sz w:val="28"/>
          <w:szCs w:val="28"/>
          <w:highlight w:val="none"/>
          <w:u w:val="single"/>
        </w:rPr>
        <w:t xml:space="preserve"> </w:t>
      </w:r>
    </w:p>
    <w:p>
      <w:pPr>
        <w:spacing w:line="360" w:lineRule="exact"/>
        <w:ind w:firstLine="412" w:firstLineChars="200"/>
        <w:rPr>
          <w:color w:val="auto"/>
          <w:szCs w:val="21"/>
          <w:highlight w:val="none"/>
          <w:u w:val="single"/>
        </w:rPr>
      </w:pPr>
    </w:p>
    <w:p>
      <w:pPr>
        <w:spacing w:line="360" w:lineRule="exact"/>
        <w:ind w:firstLine="412" w:firstLineChars="200"/>
        <w:rPr>
          <w:color w:val="auto"/>
          <w:szCs w:val="21"/>
          <w:highlight w:val="none"/>
          <w:u w:val="single"/>
        </w:rPr>
      </w:pPr>
    </w:p>
    <w:p>
      <w:pPr>
        <w:spacing w:line="360" w:lineRule="exact"/>
        <w:ind w:firstLine="412" w:firstLineChars="200"/>
        <w:rPr>
          <w:color w:val="auto"/>
          <w:szCs w:val="21"/>
          <w:highlight w:val="none"/>
          <w:u w:val="single"/>
        </w:rPr>
      </w:pPr>
    </w:p>
    <w:bookmarkEnd w:id="1335"/>
    <w:p>
      <w:pPr>
        <w:adjustRightInd w:val="0"/>
        <w:spacing w:line="360" w:lineRule="exact"/>
        <w:rPr>
          <w:rFonts w:ascii="黑体" w:hAnsi="黑体" w:eastAsia="黑体"/>
          <w:color w:val="auto"/>
          <w:sz w:val="30"/>
          <w:szCs w:val="30"/>
          <w:highlight w:val="none"/>
        </w:rPr>
      </w:pPr>
      <w:bookmarkStart w:id="1337" w:name="_Toc283886261"/>
      <w:bookmarkStart w:id="1338" w:name="_Toc394573948"/>
      <w:bookmarkStart w:id="1339" w:name="_Toc283976552"/>
      <w:bookmarkStart w:id="1340" w:name="_Toc282596316"/>
    </w:p>
    <w:p>
      <w:pPr>
        <w:pStyle w:val="39"/>
        <w:outlineLvl w:val="9"/>
        <w:rPr>
          <w:rFonts w:ascii="黑体" w:hAnsi="黑体" w:eastAsia="黑体"/>
          <w:color w:val="auto"/>
          <w:sz w:val="30"/>
          <w:szCs w:val="30"/>
          <w:highlight w:val="none"/>
        </w:rPr>
      </w:pPr>
    </w:p>
    <w:p>
      <w:pPr>
        <w:pStyle w:val="39"/>
        <w:jc w:val="both"/>
        <w:outlineLvl w:val="9"/>
        <w:rPr>
          <w:color w:val="auto"/>
          <w:highlight w:val="none"/>
        </w:rPr>
      </w:pPr>
    </w:p>
    <w:p>
      <w:pPr>
        <w:adjustRightInd w:val="0"/>
        <w:spacing w:line="360" w:lineRule="exact"/>
        <w:ind w:firstLine="592" w:firstLineChars="200"/>
        <w:jc w:val="center"/>
        <w:outlineLvl w:val="9"/>
        <w:rPr>
          <w:rFonts w:ascii="黑体" w:hAnsi="黑体" w:eastAsia="黑体"/>
          <w:color w:val="auto"/>
          <w:sz w:val="30"/>
          <w:szCs w:val="30"/>
          <w:highlight w:val="none"/>
        </w:rPr>
      </w:pPr>
      <w:bookmarkStart w:id="1341" w:name="_Toc31098"/>
    </w:p>
    <w:p>
      <w:pPr>
        <w:adjustRightInd w:val="0"/>
        <w:spacing w:line="360" w:lineRule="exact"/>
        <w:ind w:firstLine="592" w:firstLineChars="200"/>
        <w:jc w:val="center"/>
        <w:outlineLvl w:val="9"/>
        <w:rPr>
          <w:rFonts w:ascii="黑体" w:hAnsi="黑体" w:eastAsia="黑体"/>
          <w:color w:val="auto"/>
          <w:sz w:val="30"/>
          <w:szCs w:val="30"/>
          <w:highlight w:val="none"/>
        </w:rPr>
      </w:pPr>
    </w:p>
    <w:p>
      <w:pPr>
        <w:adjustRightInd w:val="0"/>
        <w:spacing w:line="360" w:lineRule="exact"/>
        <w:ind w:firstLine="592" w:firstLineChars="200"/>
        <w:jc w:val="center"/>
        <w:outlineLvl w:val="9"/>
        <w:rPr>
          <w:rFonts w:ascii="黑体" w:hAnsi="黑体" w:eastAsia="黑体"/>
          <w:color w:val="auto"/>
          <w:sz w:val="30"/>
          <w:szCs w:val="30"/>
          <w:highlight w:val="none"/>
        </w:rPr>
      </w:pPr>
    </w:p>
    <w:p>
      <w:pPr>
        <w:adjustRightInd w:val="0"/>
        <w:spacing w:line="360" w:lineRule="exact"/>
        <w:ind w:firstLine="592" w:firstLineChars="200"/>
        <w:jc w:val="center"/>
        <w:outlineLvl w:val="9"/>
        <w:rPr>
          <w:rFonts w:ascii="黑体" w:hAnsi="黑体" w:eastAsia="黑体"/>
          <w:color w:val="auto"/>
          <w:sz w:val="30"/>
          <w:szCs w:val="30"/>
          <w:highlight w:val="none"/>
        </w:rPr>
      </w:pPr>
    </w:p>
    <w:p>
      <w:pPr>
        <w:pStyle w:val="39"/>
        <w:outlineLvl w:val="9"/>
        <w:rPr>
          <w:rFonts w:ascii="黑体" w:hAnsi="黑体" w:eastAsia="黑体"/>
          <w:color w:val="auto"/>
          <w:sz w:val="30"/>
          <w:szCs w:val="30"/>
          <w:highlight w:val="none"/>
        </w:rPr>
      </w:pPr>
    </w:p>
    <w:p>
      <w:pPr>
        <w:outlineLvl w:val="9"/>
        <w:rPr>
          <w:color w:val="auto"/>
          <w:highlight w:val="none"/>
        </w:rPr>
      </w:pPr>
    </w:p>
    <w:p>
      <w:pPr>
        <w:adjustRightInd w:val="0"/>
        <w:spacing w:line="360" w:lineRule="exact"/>
        <w:ind w:firstLine="592" w:firstLineChars="200"/>
        <w:jc w:val="center"/>
        <w:outlineLvl w:val="9"/>
        <w:rPr>
          <w:rFonts w:ascii="黑体" w:hAnsi="黑体" w:eastAsia="黑体"/>
          <w:color w:val="auto"/>
          <w:sz w:val="30"/>
          <w:szCs w:val="30"/>
          <w:highlight w:val="none"/>
        </w:rPr>
      </w:pPr>
    </w:p>
    <w:p>
      <w:pPr>
        <w:adjustRightInd w:val="0"/>
        <w:spacing w:line="360" w:lineRule="exact"/>
        <w:ind w:firstLine="592" w:firstLineChars="200"/>
        <w:jc w:val="center"/>
        <w:outlineLvl w:val="9"/>
        <w:rPr>
          <w:rFonts w:ascii="黑体" w:hAnsi="黑体" w:eastAsia="黑体"/>
          <w:color w:val="auto"/>
          <w:sz w:val="30"/>
          <w:szCs w:val="30"/>
          <w:highlight w:val="none"/>
        </w:rPr>
      </w:pPr>
    </w:p>
    <w:p>
      <w:pPr>
        <w:adjustRightInd w:val="0"/>
        <w:spacing w:line="360" w:lineRule="exact"/>
        <w:outlineLvl w:val="9"/>
        <w:rPr>
          <w:rFonts w:ascii="黑体" w:hAnsi="黑体" w:eastAsia="黑体"/>
          <w:color w:val="auto"/>
          <w:sz w:val="30"/>
          <w:szCs w:val="30"/>
          <w:highlight w:val="none"/>
        </w:rPr>
      </w:pPr>
    </w:p>
    <w:p>
      <w:pPr>
        <w:adjustRightInd w:val="0"/>
        <w:spacing w:line="360" w:lineRule="exact"/>
        <w:ind w:firstLine="592" w:firstLineChars="200"/>
        <w:jc w:val="center"/>
        <w:outlineLvl w:val="9"/>
        <w:rPr>
          <w:rFonts w:hint="eastAsia" w:ascii="黑体" w:hAnsi="黑体" w:eastAsia="黑体"/>
          <w:color w:val="auto"/>
          <w:sz w:val="30"/>
          <w:szCs w:val="30"/>
          <w:highlight w:val="none"/>
        </w:rPr>
      </w:pPr>
    </w:p>
    <w:p>
      <w:pPr>
        <w:adjustRightInd w:val="0"/>
        <w:spacing w:line="360" w:lineRule="exact"/>
        <w:ind w:firstLine="592" w:firstLineChars="200"/>
        <w:jc w:val="center"/>
        <w:outlineLvl w:val="9"/>
        <w:rPr>
          <w:rFonts w:hint="eastAsia" w:ascii="黑体" w:hAnsi="黑体" w:eastAsia="黑体"/>
          <w:color w:val="auto"/>
          <w:sz w:val="30"/>
          <w:szCs w:val="30"/>
          <w:highlight w:val="none"/>
        </w:rPr>
      </w:pPr>
    </w:p>
    <w:p>
      <w:pPr>
        <w:adjustRightInd w:val="0"/>
        <w:spacing w:line="360" w:lineRule="exact"/>
        <w:ind w:firstLine="592" w:firstLineChars="200"/>
        <w:jc w:val="center"/>
        <w:outlineLvl w:val="9"/>
        <w:rPr>
          <w:rFonts w:hint="eastAsia" w:ascii="黑体" w:hAnsi="黑体" w:eastAsia="黑体"/>
          <w:color w:val="auto"/>
          <w:sz w:val="30"/>
          <w:szCs w:val="30"/>
          <w:highlight w:val="none"/>
        </w:rPr>
      </w:pPr>
    </w:p>
    <w:p>
      <w:pPr>
        <w:rPr>
          <w:rFonts w:hint="eastAsia" w:ascii="黑体" w:hAnsi="黑体" w:eastAsia="黑体"/>
          <w:color w:val="auto"/>
          <w:sz w:val="30"/>
          <w:szCs w:val="30"/>
          <w:highlight w:val="none"/>
        </w:rPr>
      </w:pPr>
      <w:r>
        <w:rPr>
          <w:rFonts w:hint="eastAsia" w:ascii="黑体" w:hAnsi="黑体" w:eastAsia="黑体"/>
          <w:color w:val="auto"/>
          <w:sz w:val="30"/>
          <w:szCs w:val="30"/>
          <w:highlight w:val="none"/>
        </w:rPr>
        <w:br w:type="page"/>
      </w:r>
    </w:p>
    <w:p>
      <w:pPr>
        <w:adjustRightInd w:val="0"/>
        <w:spacing w:line="360" w:lineRule="exact"/>
        <w:ind w:firstLine="592" w:firstLineChars="200"/>
        <w:jc w:val="center"/>
        <w:outlineLvl w:val="1"/>
        <w:rPr>
          <w:rFonts w:ascii="黑体" w:hAnsi="黑体" w:eastAsia="黑体"/>
          <w:color w:val="auto"/>
          <w:sz w:val="28"/>
          <w:szCs w:val="28"/>
          <w:highlight w:val="none"/>
        </w:rPr>
      </w:pPr>
      <w:r>
        <w:rPr>
          <w:rFonts w:hint="eastAsia" w:ascii="黑体" w:hAnsi="黑体" w:eastAsia="黑体"/>
          <w:color w:val="auto"/>
          <w:sz w:val="30"/>
          <w:szCs w:val="30"/>
          <w:highlight w:val="none"/>
        </w:rPr>
        <w:t>第五部分    工程建设项目廉政责任书</w:t>
      </w:r>
      <w:bookmarkEnd w:id="1337"/>
      <w:bookmarkEnd w:id="1338"/>
      <w:bookmarkEnd w:id="1339"/>
      <w:bookmarkEnd w:id="1340"/>
      <w:bookmarkEnd w:id="1341"/>
    </w:p>
    <w:p>
      <w:pPr>
        <w:autoSpaceDE w:val="0"/>
        <w:autoSpaceDN w:val="0"/>
        <w:spacing w:line="360" w:lineRule="exact"/>
        <w:ind w:firstLine="482"/>
        <w:rPr>
          <w:color w:val="auto"/>
          <w:szCs w:val="21"/>
          <w:highlight w:val="none"/>
        </w:rPr>
      </w:pPr>
    </w:p>
    <w:p>
      <w:pPr>
        <w:autoSpaceDE w:val="0"/>
        <w:autoSpaceDN w:val="0"/>
        <w:spacing w:line="360" w:lineRule="exact"/>
        <w:ind w:firstLine="482"/>
        <w:rPr>
          <w:color w:val="auto"/>
          <w:szCs w:val="21"/>
          <w:highlight w:val="none"/>
        </w:rPr>
      </w:pPr>
      <w:r>
        <w:rPr>
          <w:rFonts w:hint="eastAsia"/>
          <w:color w:val="auto"/>
          <w:szCs w:val="21"/>
          <w:highlight w:val="none"/>
        </w:rPr>
        <w:t>工程项目名称：</w:t>
      </w:r>
      <w:r>
        <w:rPr>
          <w:rFonts w:hint="eastAsia"/>
          <w:color w:val="auto"/>
          <w:szCs w:val="21"/>
          <w:highlight w:val="none"/>
          <w:u w:val="single"/>
        </w:rPr>
        <w:t xml:space="preserve">                                 </w:t>
      </w:r>
    </w:p>
    <w:p>
      <w:pPr>
        <w:autoSpaceDE w:val="0"/>
        <w:autoSpaceDN w:val="0"/>
        <w:spacing w:line="360" w:lineRule="exact"/>
        <w:ind w:firstLine="482"/>
        <w:rPr>
          <w:color w:val="auto"/>
          <w:szCs w:val="21"/>
          <w:highlight w:val="none"/>
        </w:rPr>
      </w:pPr>
      <w:r>
        <w:rPr>
          <w:rFonts w:hint="eastAsia"/>
          <w:color w:val="auto"/>
          <w:szCs w:val="21"/>
          <w:highlight w:val="none"/>
        </w:rPr>
        <w:t>工程项目地址：</w:t>
      </w:r>
      <w:r>
        <w:rPr>
          <w:rFonts w:hint="eastAsia"/>
          <w:color w:val="auto"/>
          <w:szCs w:val="21"/>
          <w:highlight w:val="none"/>
          <w:u w:val="single"/>
        </w:rPr>
        <w:t xml:space="preserve">                                 </w:t>
      </w:r>
    </w:p>
    <w:p>
      <w:pPr>
        <w:autoSpaceDE w:val="0"/>
        <w:autoSpaceDN w:val="0"/>
        <w:spacing w:line="360" w:lineRule="exact"/>
        <w:ind w:firstLine="482"/>
        <w:rPr>
          <w:color w:val="auto"/>
          <w:szCs w:val="21"/>
          <w:highlight w:val="none"/>
        </w:rPr>
      </w:pPr>
      <w:r>
        <w:rPr>
          <w:rFonts w:hint="eastAsia"/>
          <w:color w:val="auto"/>
          <w:szCs w:val="21"/>
          <w:highlight w:val="none"/>
        </w:rPr>
        <w:t>建设单位（甲方）：</w:t>
      </w:r>
      <w:r>
        <w:rPr>
          <w:rFonts w:hint="eastAsia"/>
          <w:color w:val="auto"/>
          <w:szCs w:val="21"/>
          <w:highlight w:val="none"/>
          <w:u w:val="single"/>
        </w:rPr>
        <w:t xml:space="preserve">                              </w:t>
      </w:r>
    </w:p>
    <w:p>
      <w:pPr>
        <w:autoSpaceDE w:val="0"/>
        <w:autoSpaceDN w:val="0"/>
        <w:spacing w:line="360" w:lineRule="exact"/>
        <w:ind w:firstLine="482"/>
        <w:rPr>
          <w:color w:val="auto"/>
          <w:szCs w:val="21"/>
          <w:highlight w:val="none"/>
          <w:u w:val="single"/>
        </w:rPr>
      </w:pPr>
      <w:r>
        <w:rPr>
          <w:rFonts w:hint="eastAsia"/>
          <w:color w:val="auto"/>
          <w:szCs w:val="21"/>
          <w:highlight w:val="none"/>
        </w:rPr>
        <w:t>施工单位（乙方）：</w:t>
      </w:r>
      <w:r>
        <w:rPr>
          <w:rFonts w:hint="eastAsia"/>
          <w:color w:val="auto"/>
          <w:szCs w:val="21"/>
          <w:highlight w:val="none"/>
          <w:u w:val="single"/>
        </w:rPr>
        <w:t xml:space="preserve">                              </w:t>
      </w:r>
    </w:p>
    <w:p>
      <w:pPr>
        <w:autoSpaceDE w:val="0"/>
        <w:autoSpaceDN w:val="0"/>
        <w:spacing w:line="360" w:lineRule="exact"/>
        <w:ind w:firstLine="482"/>
        <w:rPr>
          <w:color w:val="auto"/>
          <w:szCs w:val="21"/>
          <w:highlight w:val="none"/>
        </w:rPr>
      </w:pPr>
      <w:r>
        <w:rPr>
          <w:rFonts w:hint="eastAsia"/>
          <w:color w:val="auto"/>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color w:val="auto"/>
          <w:szCs w:val="21"/>
          <w:highlight w:val="none"/>
        </w:rPr>
      </w:pPr>
      <w:r>
        <w:rPr>
          <w:rFonts w:hint="eastAsia"/>
          <w:color w:val="auto"/>
          <w:szCs w:val="21"/>
          <w:highlight w:val="none"/>
        </w:rPr>
        <w:t xml:space="preserve">    第一条 甲乙双方的责任</w:t>
      </w:r>
    </w:p>
    <w:p>
      <w:pPr>
        <w:pStyle w:val="17"/>
        <w:spacing w:line="360" w:lineRule="exact"/>
        <w:jc w:val="left"/>
        <w:rPr>
          <w:rFonts w:ascii="Times New Roman"/>
          <w:color w:val="auto"/>
          <w:sz w:val="21"/>
          <w:szCs w:val="21"/>
          <w:highlight w:val="none"/>
        </w:rPr>
      </w:pPr>
      <w:r>
        <w:rPr>
          <w:rFonts w:hint="eastAsia" w:ascii="Times New Roman"/>
          <w:color w:val="auto"/>
          <w:sz w:val="21"/>
          <w:szCs w:val="21"/>
          <w:highlight w:val="none"/>
        </w:rPr>
        <w:t xml:space="preserve">    （一）应严格遵守国家关于市场准入、项目招标投标、工程建设、施工安装和市场活动等有关法律、法规，相关政策，以及廉政建设的各项规定。</w:t>
      </w:r>
    </w:p>
    <w:p>
      <w:pPr>
        <w:autoSpaceDE w:val="0"/>
        <w:autoSpaceDN w:val="0"/>
        <w:spacing w:line="360" w:lineRule="exact"/>
        <w:rPr>
          <w:color w:val="auto"/>
          <w:szCs w:val="21"/>
          <w:highlight w:val="none"/>
        </w:rPr>
      </w:pPr>
      <w:r>
        <w:rPr>
          <w:rFonts w:hint="eastAsia"/>
          <w:color w:val="auto"/>
          <w:szCs w:val="21"/>
          <w:highlight w:val="none"/>
        </w:rPr>
        <w:t xml:space="preserve">    （二）严格执行建设工程项目承发包合同文件，自觉按合同办事。</w:t>
      </w:r>
    </w:p>
    <w:p>
      <w:pPr>
        <w:pStyle w:val="17"/>
        <w:spacing w:line="360" w:lineRule="exact"/>
        <w:rPr>
          <w:rFonts w:ascii="Times New Roman"/>
          <w:color w:val="auto"/>
          <w:sz w:val="21"/>
          <w:szCs w:val="21"/>
          <w:highlight w:val="none"/>
        </w:rPr>
      </w:pPr>
      <w:r>
        <w:rPr>
          <w:rFonts w:hint="eastAsia" w:ascii="Times New Roman"/>
          <w:color w:val="auto"/>
          <w:sz w:val="21"/>
          <w:szCs w:val="21"/>
          <w:highlight w:val="none"/>
        </w:rPr>
        <w:t xml:space="preserve">    （三）业务活动必须坚持公开、公平、公正、诚信、透明的原则（除法律法规另有规定者外），不得为获取不正当的利益，损害国家、集体和对方利益，不得违反工程建设管理、施工安装的规章制度。</w:t>
      </w:r>
    </w:p>
    <w:p>
      <w:pPr>
        <w:pStyle w:val="17"/>
        <w:spacing w:line="360" w:lineRule="exact"/>
        <w:jc w:val="left"/>
        <w:rPr>
          <w:rFonts w:ascii="Times New Roman"/>
          <w:color w:val="auto"/>
          <w:sz w:val="21"/>
          <w:szCs w:val="21"/>
          <w:highlight w:val="none"/>
        </w:rPr>
      </w:pPr>
      <w:r>
        <w:rPr>
          <w:rFonts w:hint="eastAsia" w:ascii="Times New Roman"/>
          <w:color w:val="auto"/>
          <w:sz w:val="21"/>
          <w:szCs w:val="21"/>
          <w:highlight w:val="none"/>
        </w:rPr>
        <w:t xml:space="preserve">    （四）发现对方在业务活动中有违规、违纪、违法行为的，应及时提醒对方，情节严重的，应向其上级主管部门或纪检监察、司法等有关机关举报。</w:t>
      </w:r>
    </w:p>
    <w:p>
      <w:pPr>
        <w:autoSpaceDE w:val="0"/>
        <w:autoSpaceDN w:val="0"/>
        <w:spacing w:line="360" w:lineRule="exact"/>
        <w:rPr>
          <w:color w:val="auto"/>
          <w:szCs w:val="21"/>
          <w:highlight w:val="none"/>
        </w:rPr>
      </w:pPr>
      <w:r>
        <w:rPr>
          <w:rFonts w:hint="eastAsia"/>
          <w:color w:val="auto"/>
          <w:szCs w:val="21"/>
          <w:highlight w:val="none"/>
        </w:rPr>
        <w:t xml:space="preserve">    第二条 甲方的责任</w:t>
      </w:r>
    </w:p>
    <w:p>
      <w:pPr>
        <w:autoSpaceDE w:val="0"/>
        <w:autoSpaceDN w:val="0"/>
        <w:spacing w:line="360" w:lineRule="exact"/>
        <w:rPr>
          <w:color w:val="auto"/>
          <w:szCs w:val="21"/>
          <w:highlight w:val="none"/>
        </w:rPr>
      </w:pPr>
      <w:r>
        <w:rPr>
          <w:rFonts w:hint="eastAsia"/>
          <w:color w:val="auto"/>
          <w:szCs w:val="21"/>
          <w:highlight w:val="none"/>
        </w:rPr>
        <w:t xml:space="preserve">    甲方的领导和从事该建设工程项目的工作人员，在工程建设的事前、事中、事后应遵守以下规定：</w:t>
      </w:r>
    </w:p>
    <w:p>
      <w:pPr>
        <w:autoSpaceDE w:val="0"/>
        <w:autoSpaceDN w:val="0"/>
        <w:spacing w:line="360" w:lineRule="exact"/>
        <w:rPr>
          <w:color w:val="auto"/>
          <w:szCs w:val="21"/>
          <w:highlight w:val="none"/>
        </w:rPr>
      </w:pPr>
      <w:r>
        <w:rPr>
          <w:rFonts w:hint="eastAsia"/>
          <w:color w:val="auto"/>
          <w:szCs w:val="21"/>
          <w:highlight w:val="none"/>
        </w:rPr>
        <w:t xml:space="preserve">    （一）不准向乙方和相关单位索要或接受回扣、礼金、有价证券、贵重物品和好处费、感谢费等。</w:t>
      </w:r>
    </w:p>
    <w:p>
      <w:pPr>
        <w:autoSpaceDE w:val="0"/>
        <w:autoSpaceDN w:val="0"/>
        <w:spacing w:line="360" w:lineRule="exact"/>
        <w:rPr>
          <w:color w:val="auto"/>
          <w:szCs w:val="21"/>
          <w:highlight w:val="none"/>
        </w:rPr>
      </w:pPr>
      <w:r>
        <w:rPr>
          <w:rFonts w:hint="eastAsia"/>
          <w:color w:val="auto"/>
          <w:szCs w:val="21"/>
          <w:highlight w:val="none"/>
        </w:rPr>
        <w:t xml:space="preserve">    （二）不准在乙方和相关单位报销任何应由甲方或个人支付的费用。</w:t>
      </w:r>
    </w:p>
    <w:p>
      <w:pPr>
        <w:pStyle w:val="17"/>
        <w:spacing w:line="360" w:lineRule="exact"/>
        <w:jc w:val="left"/>
        <w:rPr>
          <w:rFonts w:ascii="Times New Roman"/>
          <w:color w:val="auto"/>
          <w:sz w:val="21"/>
          <w:szCs w:val="21"/>
          <w:highlight w:val="none"/>
        </w:rPr>
      </w:pPr>
      <w:r>
        <w:rPr>
          <w:rFonts w:hint="eastAsia" w:ascii="Times New Roman"/>
          <w:color w:val="auto"/>
          <w:sz w:val="21"/>
          <w:szCs w:val="21"/>
          <w:highlight w:val="none"/>
        </w:rPr>
        <w:t xml:space="preserve">    （三）不准要求、暗示和接受乙方和相关单位为个人装修住房、婚丧嫁娶、配偶子女的工作安排以及出国（境）、旅游等提供方便。</w:t>
      </w:r>
    </w:p>
    <w:p>
      <w:pPr>
        <w:autoSpaceDE w:val="0"/>
        <w:autoSpaceDN w:val="0"/>
        <w:spacing w:line="360" w:lineRule="exact"/>
        <w:rPr>
          <w:color w:val="auto"/>
          <w:szCs w:val="21"/>
          <w:highlight w:val="none"/>
        </w:rPr>
      </w:pPr>
      <w:r>
        <w:rPr>
          <w:rFonts w:hint="eastAsia"/>
          <w:color w:val="auto"/>
          <w:szCs w:val="21"/>
          <w:highlight w:val="none"/>
        </w:rPr>
        <w:t xml:space="preserve">    （四）不准参加有可能影响公正执行公务的乙方和相关单位的宴请和健身、娱乐等活动。</w:t>
      </w:r>
    </w:p>
    <w:p>
      <w:pPr>
        <w:pStyle w:val="17"/>
        <w:spacing w:line="360" w:lineRule="exact"/>
        <w:jc w:val="left"/>
        <w:rPr>
          <w:rFonts w:ascii="Times New Roman"/>
          <w:color w:val="auto"/>
          <w:sz w:val="21"/>
          <w:szCs w:val="21"/>
          <w:highlight w:val="none"/>
        </w:rPr>
      </w:pPr>
      <w:r>
        <w:rPr>
          <w:rFonts w:hint="eastAsia" w:ascii="Times New Roman"/>
          <w:color w:val="auto"/>
          <w:sz w:val="21"/>
          <w:szCs w:val="21"/>
          <w:highlight w:val="none"/>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color w:val="auto"/>
          <w:szCs w:val="21"/>
          <w:highlight w:val="none"/>
        </w:rPr>
      </w:pPr>
      <w:r>
        <w:rPr>
          <w:rFonts w:hint="eastAsia"/>
          <w:color w:val="auto"/>
          <w:szCs w:val="21"/>
          <w:highlight w:val="none"/>
        </w:rPr>
        <w:t xml:space="preserve">    第三条 乙方的责任</w:t>
      </w:r>
    </w:p>
    <w:p>
      <w:pPr>
        <w:pStyle w:val="17"/>
        <w:spacing w:line="360" w:lineRule="exact"/>
        <w:jc w:val="left"/>
        <w:rPr>
          <w:rFonts w:ascii="Times New Roman"/>
          <w:color w:val="auto"/>
          <w:sz w:val="21"/>
          <w:szCs w:val="21"/>
          <w:highlight w:val="none"/>
        </w:rPr>
      </w:pPr>
      <w:r>
        <w:rPr>
          <w:rFonts w:hint="eastAsia" w:ascii="Times New Roman"/>
          <w:color w:val="auto"/>
          <w:sz w:val="21"/>
          <w:szCs w:val="21"/>
          <w:highlight w:val="none"/>
        </w:rPr>
        <w:t xml:space="preserve">    应与甲方保持正常的业务交往，按照有关法律法规和程序开展业务工作，严格执行工程建设的有关方针、政策，尤其是有关建筑施工安装的强制性标准和规范，并遵守以下规定：</w:t>
      </w:r>
    </w:p>
    <w:p>
      <w:pPr>
        <w:pStyle w:val="17"/>
        <w:spacing w:line="360" w:lineRule="exact"/>
        <w:jc w:val="left"/>
        <w:rPr>
          <w:rFonts w:ascii="Times New Roman"/>
          <w:color w:val="auto"/>
          <w:sz w:val="21"/>
          <w:szCs w:val="21"/>
          <w:highlight w:val="none"/>
        </w:rPr>
      </w:pPr>
      <w:r>
        <w:rPr>
          <w:rFonts w:hint="eastAsia" w:ascii="Times New Roman"/>
          <w:color w:val="auto"/>
          <w:sz w:val="21"/>
          <w:szCs w:val="21"/>
          <w:highlight w:val="none"/>
        </w:rPr>
        <w:t xml:space="preserve">    （一）不准以任何理由向甲方、相关单位及其工作人员索要、接受或赠送礼金、有价证券、贵重物品和回扣、好处费、感谢费等。</w:t>
      </w:r>
    </w:p>
    <w:p>
      <w:pPr>
        <w:autoSpaceDE w:val="0"/>
        <w:autoSpaceDN w:val="0"/>
        <w:spacing w:line="360" w:lineRule="exact"/>
        <w:rPr>
          <w:color w:val="auto"/>
          <w:szCs w:val="21"/>
          <w:highlight w:val="none"/>
        </w:rPr>
      </w:pPr>
      <w:r>
        <w:rPr>
          <w:rFonts w:hint="eastAsia"/>
          <w:color w:val="auto"/>
          <w:szCs w:val="21"/>
          <w:highlight w:val="none"/>
        </w:rPr>
        <w:t xml:space="preserve">    （二）不准以任何理由为甲方和相关单位报销应由对方或个人支付的费用。</w:t>
      </w:r>
    </w:p>
    <w:p>
      <w:pPr>
        <w:pStyle w:val="17"/>
        <w:spacing w:line="360" w:lineRule="exact"/>
        <w:jc w:val="left"/>
        <w:rPr>
          <w:rFonts w:ascii="Times New Roman"/>
          <w:color w:val="auto"/>
          <w:sz w:val="21"/>
          <w:szCs w:val="21"/>
          <w:highlight w:val="none"/>
        </w:rPr>
      </w:pPr>
      <w:r>
        <w:rPr>
          <w:rFonts w:hint="eastAsia" w:ascii="Times New Roman"/>
          <w:color w:val="auto"/>
          <w:sz w:val="21"/>
          <w:szCs w:val="21"/>
          <w:highlight w:val="none"/>
        </w:rPr>
        <w:t xml:space="preserve">    （三）不准接受或暗示为甲方、相关单位或个人装修住房、婚丧嫁娶、配偶子女的工作安排以及出国（境）、旅游等提供方便。</w:t>
      </w:r>
    </w:p>
    <w:p>
      <w:pPr>
        <w:pStyle w:val="17"/>
        <w:spacing w:line="360" w:lineRule="exact"/>
        <w:jc w:val="left"/>
        <w:rPr>
          <w:rFonts w:ascii="Times New Roman"/>
          <w:color w:val="auto"/>
          <w:sz w:val="21"/>
          <w:szCs w:val="21"/>
          <w:highlight w:val="none"/>
        </w:rPr>
      </w:pPr>
      <w:r>
        <w:rPr>
          <w:rFonts w:hint="eastAsia" w:ascii="Times New Roman"/>
          <w:color w:val="auto"/>
          <w:sz w:val="21"/>
          <w:szCs w:val="21"/>
          <w:highlight w:val="none"/>
        </w:rPr>
        <w:t xml:space="preserve">    （四）不准以任何理由为甲方、相关单位或个人组织有可能影响公正执行公务的宴请、健身、娱乐等活动。</w:t>
      </w:r>
    </w:p>
    <w:p>
      <w:pPr>
        <w:autoSpaceDE w:val="0"/>
        <w:autoSpaceDN w:val="0"/>
        <w:spacing w:line="360" w:lineRule="exact"/>
        <w:rPr>
          <w:color w:val="auto"/>
          <w:szCs w:val="21"/>
          <w:highlight w:val="none"/>
        </w:rPr>
      </w:pPr>
      <w:r>
        <w:rPr>
          <w:rFonts w:hint="eastAsia"/>
          <w:color w:val="auto"/>
          <w:szCs w:val="21"/>
          <w:highlight w:val="none"/>
        </w:rPr>
        <w:t xml:space="preserve">    第四条 违约责任</w:t>
      </w:r>
    </w:p>
    <w:p>
      <w:pPr>
        <w:pStyle w:val="17"/>
        <w:spacing w:line="360" w:lineRule="exact"/>
        <w:jc w:val="left"/>
        <w:rPr>
          <w:rFonts w:ascii="Times New Roman"/>
          <w:color w:val="auto"/>
          <w:sz w:val="21"/>
          <w:szCs w:val="21"/>
          <w:highlight w:val="none"/>
        </w:rPr>
      </w:pPr>
      <w:r>
        <w:rPr>
          <w:rFonts w:hint="eastAsia" w:ascii="Times New Roman"/>
          <w:color w:val="auto"/>
          <w:sz w:val="21"/>
          <w:szCs w:val="21"/>
          <w:highlight w:val="none"/>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7"/>
        <w:spacing w:line="360" w:lineRule="exact"/>
        <w:jc w:val="left"/>
        <w:rPr>
          <w:rFonts w:ascii="Times New Roman"/>
          <w:color w:val="auto"/>
          <w:sz w:val="21"/>
          <w:szCs w:val="21"/>
          <w:highlight w:val="none"/>
        </w:rPr>
      </w:pPr>
      <w:r>
        <w:rPr>
          <w:rFonts w:hint="eastAsia" w:ascii="Times New Roman"/>
          <w:color w:val="auto"/>
          <w:sz w:val="21"/>
          <w:szCs w:val="21"/>
          <w:highlight w:val="none"/>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color w:val="auto"/>
          <w:szCs w:val="21"/>
          <w:highlight w:val="none"/>
        </w:rPr>
      </w:pPr>
      <w:r>
        <w:rPr>
          <w:rFonts w:hint="eastAsia"/>
          <w:color w:val="auto"/>
          <w:szCs w:val="21"/>
          <w:highlight w:val="none"/>
        </w:rPr>
        <w:t xml:space="preserve">    第五条 本责任书作为工程施工合同的附件，与工程施工合同具有同等法律效力。经双方签署后立即生效。</w:t>
      </w:r>
    </w:p>
    <w:p>
      <w:pPr>
        <w:autoSpaceDE w:val="0"/>
        <w:autoSpaceDN w:val="0"/>
        <w:spacing w:line="360" w:lineRule="exact"/>
        <w:rPr>
          <w:color w:val="auto"/>
          <w:szCs w:val="21"/>
          <w:highlight w:val="none"/>
        </w:rPr>
      </w:pPr>
      <w:r>
        <w:rPr>
          <w:rFonts w:hint="eastAsia"/>
          <w:color w:val="auto"/>
          <w:szCs w:val="21"/>
          <w:highlight w:val="none"/>
        </w:rPr>
        <w:t xml:space="preserve">    第六条 本责任书的有效期为双方签署之日起至该工程项目竣工验收合格时止。</w:t>
      </w:r>
    </w:p>
    <w:p>
      <w:pPr>
        <w:autoSpaceDE w:val="0"/>
        <w:autoSpaceDN w:val="0"/>
        <w:spacing w:line="360" w:lineRule="exact"/>
        <w:rPr>
          <w:color w:val="auto"/>
          <w:szCs w:val="21"/>
          <w:highlight w:val="none"/>
        </w:rPr>
      </w:pPr>
      <w:r>
        <w:rPr>
          <w:rFonts w:hint="eastAsia"/>
          <w:color w:val="auto"/>
          <w:szCs w:val="21"/>
          <w:highlight w:val="none"/>
        </w:rPr>
        <w:t xml:space="preserve">    第七条 本责任书一式陆份，由甲乙双方各执叁份。</w:t>
      </w:r>
    </w:p>
    <w:p>
      <w:pPr>
        <w:autoSpaceDE w:val="0"/>
        <w:autoSpaceDN w:val="0"/>
        <w:spacing w:line="360" w:lineRule="exact"/>
        <w:ind w:firstLine="482"/>
        <w:rPr>
          <w:color w:val="auto"/>
          <w:szCs w:val="21"/>
          <w:highlight w:val="none"/>
        </w:rPr>
      </w:pPr>
    </w:p>
    <w:p>
      <w:pPr>
        <w:autoSpaceDE w:val="0"/>
        <w:autoSpaceDN w:val="0"/>
        <w:spacing w:line="360" w:lineRule="exact"/>
        <w:ind w:firstLine="482"/>
        <w:rPr>
          <w:color w:val="auto"/>
          <w:szCs w:val="21"/>
          <w:highlight w:val="none"/>
        </w:rPr>
      </w:pPr>
    </w:p>
    <w:p>
      <w:pPr>
        <w:autoSpaceDE w:val="0"/>
        <w:autoSpaceDN w:val="0"/>
        <w:spacing w:line="360" w:lineRule="exact"/>
        <w:ind w:firstLine="482"/>
        <w:rPr>
          <w:color w:val="auto"/>
          <w:szCs w:val="21"/>
          <w:highlight w:val="none"/>
        </w:rPr>
      </w:pPr>
      <w:r>
        <w:rPr>
          <w:rFonts w:hint="eastAsia"/>
          <w:color w:val="auto"/>
          <w:szCs w:val="21"/>
          <w:highlight w:val="none"/>
        </w:rPr>
        <w:t>甲方单位：（盖章）                                    　乙方单位：（盖章）</w:t>
      </w:r>
    </w:p>
    <w:p>
      <w:pPr>
        <w:autoSpaceDE w:val="0"/>
        <w:autoSpaceDN w:val="0"/>
        <w:spacing w:line="360" w:lineRule="exact"/>
        <w:ind w:firstLine="482"/>
        <w:rPr>
          <w:color w:val="auto"/>
          <w:szCs w:val="21"/>
          <w:highlight w:val="none"/>
        </w:rPr>
      </w:pPr>
      <w:r>
        <w:rPr>
          <w:rFonts w:hint="eastAsia"/>
          <w:color w:val="auto"/>
          <w:szCs w:val="21"/>
          <w:highlight w:val="none"/>
        </w:rPr>
        <w:t>法定代表人：                　                       　法定代表人：</w:t>
      </w:r>
    </w:p>
    <w:p>
      <w:pPr>
        <w:autoSpaceDE w:val="0"/>
        <w:autoSpaceDN w:val="0"/>
        <w:spacing w:line="360" w:lineRule="exact"/>
        <w:ind w:firstLine="482"/>
        <w:rPr>
          <w:color w:val="auto"/>
          <w:szCs w:val="21"/>
          <w:highlight w:val="none"/>
        </w:rPr>
      </w:pPr>
      <w:r>
        <w:rPr>
          <w:rFonts w:hint="eastAsia"/>
          <w:color w:val="auto"/>
          <w:szCs w:val="21"/>
          <w:highlight w:val="none"/>
        </w:rPr>
        <w:t>地址：                        　                       地址：</w:t>
      </w:r>
    </w:p>
    <w:p>
      <w:pPr>
        <w:autoSpaceDE w:val="0"/>
        <w:autoSpaceDN w:val="0"/>
        <w:spacing w:line="360" w:lineRule="exact"/>
        <w:ind w:firstLine="482"/>
        <w:rPr>
          <w:color w:val="auto"/>
          <w:szCs w:val="21"/>
          <w:highlight w:val="none"/>
        </w:rPr>
      </w:pPr>
      <w:r>
        <w:rPr>
          <w:rFonts w:hint="eastAsia"/>
          <w:color w:val="auto"/>
          <w:szCs w:val="21"/>
          <w:highlight w:val="none"/>
        </w:rPr>
        <w:t>电话：                            　                   电话：</w:t>
      </w:r>
    </w:p>
    <w:p>
      <w:pPr>
        <w:autoSpaceDE w:val="0"/>
        <w:autoSpaceDN w:val="0"/>
        <w:spacing w:line="360" w:lineRule="exact"/>
        <w:ind w:firstLine="482"/>
        <w:rPr>
          <w:color w:val="auto"/>
          <w:szCs w:val="21"/>
          <w:highlight w:val="none"/>
        </w:rPr>
      </w:pPr>
      <w:r>
        <w:rPr>
          <w:rFonts w:hint="eastAsia"/>
          <w:color w:val="auto"/>
          <w:szCs w:val="21"/>
          <w:highlight w:val="none"/>
        </w:rPr>
        <w:t>年　月　日                        　                   年　月　日</w:t>
      </w:r>
    </w:p>
    <w:p>
      <w:pPr>
        <w:autoSpaceDE w:val="0"/>
        <w:autoSpaceDN w:val="0"/>
        <w:spacing w:line="360" w:lineRule="exact"/>
        <w:ind w:firstLine="482"/>
        <w:rPr>
          <w:color w:val="auto"/>
          <w:szCs w:val="21"/>
          <w:highlight w:val="none"/>
        </w:rPr>
      </w:pPr>
      <w:r>
        <w:rPr>
          <w:rFonts w:hint="eastAsia"/>
          <w:color w:val="auto"/>
          <w:szCs w:val="21"/>
          <w:highlight w:val="none"/>
        </w:rPr>
        <w:t>甲方监督单位（盖章）                　               　乙方监督单位（盖章）</w:t>
      </w:r>
    </w:p>
    <w:p>
      <w:pPr>
        <w:spacing w:line="360" w:lineRule="auto"/>
        <w:jc w:val="left"/>
        <w:rPr>
          <w:rFonts w:ascii="宋体" w:hAnsi="宋体" w:cs="宋体"/>
          <w:bCs/>
          <w:color w:val="auto"/>
          <w:szCs w:val="21"/>
          <w:highlight w:val="none"/>
        </w:rPr>
      </w:pPr>
      <w:r>
        <w:rPr>
          <w:rFonts w:hint="eastAsia"/>
          <w:color w:val="auto"/>
          <w:szCs w:val="21"/>
          <w:highlight w:val="none"/>
        </w:rPr>
        <w:t>年　月　日                                           　年　月　日</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sectPr>
          <w:headerReference r:id="rId9" w:type="default"/>
          <w:footerReference r:id="rId10" w:type="default"/>
          <w:pgSz w:w="11907" w:h="16840"/>
          <w:pgMar w:top="1247" w:right="1361" w:bottom="1247" w:left="1361" w:header="851" w:footer="1559" w:gutter="0"/>
          <w:cols w:space="720" w:num="1"/>
          <w:docGrid w:type="linesAndChars" w:linePitch="586" w:charSpace="-842"/>
        </w:sectPr>
      </w:pPr>
    </w:p>
    <w:bookmarkEnd w:id="777"/>
    <w:bookmarkEnd w:id="780"/>
    <w:p>
      <w:pPr>
        <w:spacing w:line="400" w:lineRule="exact"/>
        <w:jc w:val="center"/>
        <w:rPr>
          <w:color w:val="auto"/>
          <w:highlight w:val="none"/>
        </w:rPr>
      </w:pPr>
      <w:r>
        <w:rPr>
          <w:rFonts w:hint="eastAsia" w:eastAsia="黑体"/>
          <w:b/>
          <w:bCs/>
          <w:color w:val="auto"/>
          <w:sz w:val="32"/>
          <w:highlight w:val="none"/>
        </w:rPr>
        <w:t xml:space="preserve">第五章  </w:t>
      </w:r>
      <w:bookmarkStart w:id="1342" w:name="_Toc152045785"/>
      <w:bookmarkStart w:id="1343" w:name="_Toc152042574"/>
      <w:bookmarkStart w:id="1344" w:name="_Toc144974854"/>
      <w:r>
        <w:rPr>
          <w:rFonts w:eastAsia="黑体"/>
          <w:bCs/>
          <w:color w:val="auto"/>
          <w:sz w:val="32"/>
          <w:highlight w:val="none"/>
        </w:rPr>
        <w:t xml:space="preserve">  技术标准和要求</w:t>
      </w:r>
      <w:bookmarkEnd w:id="1342"/>
      <w:bookmarkEnd w:id="1343"/>
      <w:bookmarkEnd w:id="1344"/>
    </w:p>
    <w:p>
      <w:pPr>
        <w:rPr>
          <w:color w:val="auto"/>
          <w:highlight w:val="none"/>
        </w:rPr>
      </w:pPr>
    </w:p>
    <w:p>
      <w:pPr>
        <w:pStyle w:val="113"/>
        <w:jc w:val="center"/>
        <w:rPr>
          <w:rFonts w:hint="eastAsia"/>
          <w:color w:val="auto"/>
          <w:highlight w:val="none"/>
        </w:rPr>
      </w:pPr>
      <w:bookmarkStart w:id="1345" w:name="_Toc1442"/>
      <w:bookmarkStart w:id="1346" w:name="_Toc531162037"/>
      <w:bookmarkStart w:id="1347" w:name="_Toc7973"/>
      <w:bookmarkStart w:id="1348" w:name="_Toc394573957"/>
      <w:bookmarkStart w:id="1349" w:name="_Toc282596326"/>
      <w:bookmarkStart w:id="1350" w:name="_Toc283976561"/>
      <w:bookmarkStart w:id="1351" w:name="_Toc283886271"/>
      <w:bookmarkStart w:id="1352" w:name="_Toc288556313"/>
      <w:bookmarkStart w:id="1353" w:name="_Toc372899887"/>
      <w:r>
        <w:rPr>
          <w:rFonts w:hint="eastAsia"/>
          <w:color w:val="auto"/>
          <w:highlight w:val="none"/>
        </w:rPr>
        <w:t>1. 工程概况</w:t>
      </w:r>
      <w:bookmarkEnd w:id="1345"/>
      <w:bookmarkEnd w:id="1346"/>
      <w:bookmarkEnd w:id="1347"/>
    </w:p>
    <w:p>
      <w:pPr>
        <w:pStyle w:val="132"/>
        <w:rPr>
          <w:rFonts w:hint="eastAsia" w:ascii="Times New Roman" w:hAnsi="Times New Roman"/>
          <w:color w:val="auto"/>
          <w:highlight w:val="none"/>
        </w:rPr>
      </w:pPr>
      <w:r>
        <w:rPr>
          <w:rFonts w:hint="eastAsia" w:ascii="Times New Roman" w:hAnsi="Times New Roman"/>
          <w:color w:val="auto"/>
          <w:highlight w:val="none"/>
        </w:rPr>
        <w:t>1.1招标工程：</w:t>
      </w:r>
      <w:r>
        <w:rPr>
          <w:rFonts w:hint="eastAsia" w:ascii="Times New Roman" w:hAnsi="Times New Roman"/>
          <w:color w:val="auto"/>
          <w:highlight w:val="none"/>
          <w:lang w:eastAsia="zh-CN"/>
        </w:rPr>
        <w:t>月湖派出所综合指挥室改造工程</w:t>
      </w:r>
      <w:r>
        <w:rPr>
          <w:rFonts w:hint="eastAsia" w:ascii="Times New Roman" w:hAnsi="Times New Roman"/>
          <w:color w:val="auto"/>
          <w:highlight w:val="none"/>
        </w:rPr>
        <w:t xml:space="preserve"> </w:t>
      </w:r>
    </w:p>
    <w:p>
      <w:pPr>
        <w:pStyle w:val="132"/>
        <w:rPr>
          <w:rFonts w:hint="eastAsia" w:ascii="Times New Roman" w:hAnsi="Times New Roman"/>
          <w:color w:val="auto"/>
          <w:highlight w:val="none"/>
        </w:rPr>
      </w:pPr>
      <w:r>
        <w:rPr>
          <w:rFonts w:hint="eastAsia" w:ascii="Times New Roman" w:hAnsi="Times New Roman"/>
          <w:color w:val="auto"/>
          <w:highlight w:val="none"/>
        </w:rPr>
        <w:t>1.2 建设地点：位于</w:t>
      </w:r>
      <w:r>
        <w:rPr>
          <w:rFonts w:hint="eastAsia" w:ascii="Times New Roman" w:hAnsi="Times New Roman"/>
          <w:color w:val="auto"/>
          <w:highlight w:val="none"/>
          <w:lang w:eastAsia="zh-CN"/>
        </w:rPr>
        <w:t>台州市公安局台州湾新区分局</w:t>
      </w:r>
      <w:r>
        <w:rPr>
          <w:rFonts w:hint="eastAsia" w:ascii="Times New Roman" w:hAnsi="Times New Roman"/>
          <w:color w:val="auto"/>
          <w:highlight w:val="none"/>
          <w:lang w:val="en-US" w:eastAsia="zh-CN"/>
        </w:rPr>
        <w:t>大院内</w:t>
      </w:r>
      <w:r>
        <w:rPr>
          <w:rFonts w:hint="eastAsia" w:ascii="Times New Roman" w:hAnsi="Times New Roman"/>
          <w:color w:val="auto"/>
          <w:highlight w:val="none"/>
        </w:rPr>
        <w:t xml:space="preserve"> </w:t>
      </w:r>
    </w:p>
    <w:p>
      <w:pPr>
        <w:pStyle w:val="113"/>
        <w:jc w:val="center"/>
        <w:rPr>
          <w:rFonts w:hint="eastAsia"/>
          <w:color w:val="auto"/>
          <w:highlight w:val="none"/>
        </w:rPr>
      </w:pPr>
      <w:bookmarkStart w:id="1354" w:name="_Toc531162038"/>
      <w:bookmarkStart w:id="1355" w:name="_Toc8424"/>
      <w:bookmarkStart w:id="1356" w:name="_Toc13646"/>
      <w:r>
        <w:rPr>
          <w:rFonts w:hint="eastAsia"/>
          <w:color w:val="auto"/>
          <w:highlight w:val="none"/>
        </w:rPr>
        <w:t>2. 技术规范及标准</w:t>
      </w:r>
      <w:bookmarkEnd w:id="1354"/>
      <w:bookmarkEnd w:id="1355"/>
      <w:bookmarkEnd w:id="1356"/>
    </w:p>
    <w:p>
      <w:pPr>
        <w:spacing w:line="400" w:lineRule="exact"/>
        <w:ind w:firstLine="420" w:firstLineChars="200"/>
        <w:rPr>
          <w:rFonts w:hint="eastAsia"/>
          <w:color w:val="auto"/>
          <w:highlight w:val="none"/>
        </w:rPr>
      </w:pPr>
      <w:r>
        <w:rPr>
          <w:rFonts w:hint="eastAsia"/>
          <w:color w:val="auto"/>
          <w:highlight w:val="none"/>
        </w:rPr>
        <w:t xml:space="preserve">2.1 </w:t>
      </w:r>
      <w:r>
        <w:rPr>
          <w:color w:val="auto"/>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pPr>
        <w:pStyle w:val="132"/>
        <w:rPr>
          <w:rFonts w:ascii="Times New Roman" w:hAnsi="Times New Roman"/>
          <w:color w:val="auto"/>
          <w:szCs w:val="21"/>
          <w:highlight w:val="none"/>
        </w:rPr>
      </w:pPr>
      <w:r>
        <w:rPr>
          <w:rFonts w:ascii="Times New Roman" w:hAnsi="Times New Roman"/>
          <w:color w:val="auto"/>
          <w:highlight w:val="none"/>
        </w:rPr>
        <w:t>《工程测量规范》</w:t>
      </w:r>
      <w:r>
        <w:rPr>
          <w:rFonts w:ascii="Times New Roman" w:hAnsi="Times New Roman"/>
          <w:color w:val="auto"/>
          <w:szCs w:val="21"/>
          <w:highlight w:val="none"/>
        </w:rPr>
        <w:t>GB50026-</w:t>
      </w:r>
      <w:r>
        <w:rPr>
          <w:rFonts w:hint="eastAsia" w:ascii="Times New Roman" w:hAnsi="Times New Roman"/>
          <w:color w:val="auto"/>
          <w:szCs w:val="21"/>
          <w:highlight w:val="none"/>
        </w:rPr>
        <w:t>2016</w:t>
      </w:r>
    </w:p>
    <w:p>
      <w:pPr>
        <w:pStyle w:val="132"/>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城镇</w:t>
      </w:r>
      <w:r>
        <w:rPr>
          <w:rFonts w:hint="eastAsia" w:ascii="Times New Roman" w:hAnsi="Times New Roman"/>
          <w:color w:val="auto"/>
          <w:highlight w:val="none"/>
        </w:rPr>
        <w:fldChar w:fldCharType="begin"/>
      </w:r>
      <w:r>
        <w:rPr>
          <w:rFonts w:hint="eastAsia" w:ascii="Times New Roman" w:hAnsi="Times New Roman"/>
          <w:color w:val="auto"/>
          <w:highlight w:val="none"/>
        </w:rPr>
        <w:instrText xml:space="preserve"> HYPERLINK "http://www.so.com/s?q=%E9%81%93%E8%B7%AF%E5%B7%A5%E7%A8%8B%E6%96%BD%E5%B7%A5&amp;ie=utf-8&amp;src=wenda_link" \t "http://wenda.so.com/q/_blank" </w:instrText>
      </w:r>
      <w:r>
        <w:rPr>
          <w:rFonts w:hint="eastAsia" w:ascii="Times New Roman" w:hAnsi="Times New Roman"/>
          <w:color w:val="auto"/>
          <w:highlight w:val="none"/>
        </w:rPr>
        <w:fldChar w:fldCharType="separate"/>
      </w:r>
      <w:r>
        <w:rPr>
          <w:rFonts w:hint="eastAsia" w:ascii="Times New Roman" w:hAnsi="Times New Roman"/>
          <w:color w:val="auto"/>
          <w:highlight w:val="none"/>
        </w:rPr>
        <w:t>道路工程施工</w:t>
      </w:r>
      <w:r>
        <w:rPr>
          <w:rFonts w:hint="eastAsia" w:ascii="Times New Roman" w:hAnsi="Times New Roman"/>
          <w:color w:val="auto"/>
          <w:highlight w:val="none"/>
        </w:rPr>
        <w:fldChar w:fldCharType="end"/>
      </w:r>
      <w:r>
        <w:rPr>
          <w:rFonts w:hint="eastAsia" w:ascii="Times New Roman" w:hAnsi="Times New Roman"/>
          <w:color w:val="auto"/>
          <w:highlight w:val="none"/>
        </w:rPr>
        <w:t>与质量验收规范》CJJ1-2008</w:t>
      </w:r>
    </w:p>
    <w:p>
      <w:pPr>
        <w:pStyle w:val="132"/>
        <w:rPr>
          <w:rFonts w:ascii="Times New Roman" w:hAnsi="Times New Roman"/>
          <w:color w:val="auto"/>
          <w:szCs w:val="21"/>
          <w:highlight w:val="none"/>
        </w:rPr>
      </w:pPr>
      <w:r>
        <w:rPr>
          <w:rFonts w:hint="eastAsia" w:ascii="Times New Roman" w:hAnsi="Times New Roman"/>
          <w:color w:val="auto"/>
          <w:highlight w:val="none"/>
        </w:rPr>
        <w:t>《</w:t>
      </w:r>
      <w:r>
        <w:rPr>
          <w:rFonts w:ascii="Times New Roman" w:hAnsi="Times New Roman"/>
          <w:color w:val="auto"/>
          <w:highlight w:val="none"/>
        </w:rPr>
        <w:t>给水排水管道工程施工及</w:t>
      </w:r>
      <w:r>
        <w:rPr>
          <w:rFonts w:hint="eastAsia" w:ascii="Times New Roman" w:hAnsi="Times New Roman"/>
          <w:color w:val="auto"/>
          <w:highlight w:val="none"/>
        </w:rPr>
        <w:fldChar w:fldCharType="begin"/>
      </w:r>
      <w:r>
        <w:rPr>
          <w:rFonts w:hint="eastAsia" w:ascii="Times New Roman" w:hAnsi="Times New Roman"/>
          <w:color w:val="auto"/>
          <w:highlight w:val="none"/>
        </w:rPr>
        <w:instrText xml:space="preserve"> HYPERLINK "http://www.so.com/s?q=%E9%AA%8C%E6%94%B6%E8%A7%84%E8%8C%83&amp;ie=utf-8&amp;src=wenda_link" \t "http://wenda.so.com/q/_blank" </w:instrText>
      </w:r>
      <w:r>
        <w:rPr>
          <w:rFonts w:hint="eastAsia" w:ascii="Times New Roman" w:hAnsi="Times New Roman"/>
          <w:color w:val="auto"/>
          <w:highlight w:val="none"/>
        </w:rPr>
        <w:fldChar w:fldCharType="separate"/>
      </w:r>
      <w:r>
        <w:rPr>
          <w:rFonts w:hint="eastAsia" w:ascii="Times New Roman" w:hAnsi="Times New Roman"/>
          <w:color w:val="auto"/>
          <w:highlight w:val="none"/>
        </w:rPr>
        <w:t>验收规范</w:t>
      </w:r>
      <w:r>
        <w:rPr>
          <w:rFonts w:hint="eastAsia" w:ascii="Times New Roman" w:hAnsi="Times New Roman"/>
          <w:color w:val="auto"/>
          <w:highlight w:val="none"/>
        </w:rPr>
        <w:fldChar w:fldCharType="end"/>
      </w:r>
      <w:r>
        <w:rPr>
          <w:rFonts w:hint="eastAsia" w:ascii="Times New Roman" w:hAnsi="Times New Roman"/>
          <w:color w:val="auto"/>
          <w:highlight w:val="none"/>
        </w:rPr>
        <w:t>》GB50268-2008</w:t>
      </w:r>
    </w:p>
    <w:p>
      <w:pPr>
        <w:pStyle w:val="132"/>
        <w:rPr>
          <w:rFonts w:ascii="Times New Roman" w:hAnsi="Times New Roman"/>
          <w:color w:val="auto"/>
          <w:highlight w:val="none"/>
        </w:rPr>
      </w:pPr>
      <w:r>
        <w:rPr>
          <w:rFonts w:ascii="Times New Roman" w:hAnsi="Times New Roman"/>
          <w:color w:val="auto"/>
          <w:highlight w:val="none"/>
        </w:rPr>
        <w:t>《地基与基础工程施工及验收规范》GB50209-2002</w:t>
      </w:r>
    </w:p>
    <w:p>
      <w:pPr>
        <w:pStyle w:val="132"/>
        <w:rPr>
          <w:rFonts w:ascii="Times New Roman" w:hAnsi="Times New Roman"/>
          <w:color w:val="auto"/>
          <w:highlight w:val="none"/>
        </w:rPr>
      </w:pPr>
      <w:r>
        <w:rPr>
          <w:rFonts w:ascii="Times New Roman" w:hAnsi="Times New Roman"/>
          <w:color w:val="auto"/>
          <w:highlight w:val="none"/>
        </w:rPr>
        <w:t>《建筑基坑支护技术规范》JGJ120-</w:t>
      </w:r>
      <w:r>
        <w:rPr>
          <w:rFonts w:hint="eastAsia" w:ascii="Times New Roman" w:hAnsi="Times New Roman"/>
          <w:color w:val="auto"/>
          <w:highlight w:val="none"/>
        </w:rPr>
        <w:t>2012</w:t>
      </w:r>
    </w:p>
    <w:p>
      <w:pPr>
        <w:pStyle w:val="132"/>
        <w:rPr>
          <w:rFonts w:ascii="Times New Roman" w:hAnsi="Times New Roman"/>
          <w:color w:val="auto"/>
          <w:highlight w:val="none"/>
        </w:rPr>
      </w:pPr>
      <w:r>
        <w:rPr>
          <w:rFonts w:ascii="Times New Roman" w:hAnsi="Times New Roman"/>
          <w:color w:val="auto"/>
          <w:highlight w:val="none"/>
        </w:rPr>
        <w:t>《建筑地基处理技术规范》JGJ79-</w:t>
      </w:r>
      <w:r>
        <w:rPr>
          <w:rFonts w:hint="eastAsia" w:ascii="Times New Roman" w:hAnsi="Times New Roman"/>
          <w:color w:val="auto"/>
          <w:highlight w:val="none"/>
        </w:rPr>
        <w:t>2012</w:t>
      </w:r>
      <w:r>
        <w:rPr>
          <w:rFonts w:ascii="Times New Roman" w:hAnsi="Times New Roman"/>
          <w:color w:val="auto"/>
          <w:highlight w:val="none"/>
        </w:rPr>
        <w:t>、J220-</w:t>
      </w:r>
      <w:r>
        <w:rPr>
          <w:rFonts w:hint="eastAsia" w:ascii="Times New Roman" w:hAnsi="Times New Roman"/>
          <w:color w:val="auto"/>
          <w:highlight w:val="none"/>
        </w:rPr>
        <w:t>2012</w:t>
      </w:r>
    </w:p>
    <w:p>
      <w:pPr>
        <w:pStyle w:val="132"/>
        <w:rPr>
          <w:rFonts w:ascii="Times New Roman" w:hAnsi="Times New Roman"/>
          <w:color w:val="auto"/>
          <w:highlight w:val="none"/>
        </w:rPr>
      </w:pPr>
      <w:r>
        <w:rPr>
          <w:rFonts w:ascii="Times New Roman" w:hAnsi="Times New Roman"/>
          <w:color w:val="auto"/>
          <w:highlight w:val="none"/>
        </w:rPr>
        <w:t>《混凝土结构工程施工及验收规范》GB50204-</w:t>
      </w:r>
      <w:r>
        <w:rPr>
          <w:rFonts w:hint="eastAsia" w:ascii="Times New Roman" w:hAnsi="Times New Roman"/>
          <w:color w:val="auto"/>
          <w:highlight w:val="none"/>
        </w:rPr>
        <w:t>2015</w:t>
      </w:r>
    </w:p>
    <w:p>
      <w:pPr>
        <w:pStyle w:val="132"/>
        <w:rPr>
          <w:rFonts w:ascii="Times New Roman" w:hAnsi="Times New Roman"/>
          <w:color w:val="auto"/>
          <w:highlight w:val="none"/>
        </w:rPr>
      </w:pPr>
      <w:r>
        <w:rPr>
          <w:rFonts w:ascii="Times New Roman" w:hAnsi="Times New Roman"/>
          <w:color w:val="auto"/>
          <w:highlight w:val="none"/>
        </w:rPr>
        <w:t>《混凝土质量控制标准》GB50164-</w:t>
      </w:r>
      <w:r>
        <w:rPr>
          <w:rFonts w:hint="eastAsia" w:ascii="Times New Roman" w:hAnsi="Times New Roman"/>
          <w:color w:val="auto"/>
          <w:highlight w:val="none"/>
        </w:rPr>
        <w:t>2011</w:t>
      </w:r>
    </w:p>
    <w:p>
      <w:pPr>
        <w:pStyle w:val="132"/>
        <w:rPr>
          <w:rFonts w:ascii="Times New Roman" w:hAnsi="Times New Roman"/>
          <w:color w:val="auto"/>
          <w:highlight w:val="none"/>
        </w:rPr>
      </w:pPr>
      <w:r>
        <w:rPr>
          <w:rFonts w:ascii="Times New Roman" w:hAnsi="Times New Roman"/>
          <w:color w:val="auto"/>
          <w:highlight w:val="none"/>
        </w:rPr>
        <w:t>《普通混凝土用砂、石质量标准及检验方法》</w:t>
      </w:r>
      <w:r>
        <w:rPr>
          <w:rFonts w:ascii="Times New Roman" w:hAnsi="Times New Roman"/>
          <w:color w:val="auto"/>
          <w:szCs w:val="21"/>
          <w:highlight w:val="none"/>
        </w:rPr>
        <w:t>JGJ52-2006</w:t>
      </w:r>
    </w:p>
    <w:p>
      <w:pPr>
        <w:pStyle w:val="132"/>
        <w:rPr>
          <w:rFonts w:ascii="Times New Roman" w:hAnsi="Times New Roman"/>
          <w:color w:val="auto"/>
          <w:highlight w:val="none"/>
        </w:rPr>
      </w:pPr>
      <w:r>
        <w:rPr>
          <w:rFonts w:ascii="Times New Roman" w:hAnsi="Times New Roman"/>
          <w:color w:val="auto"/>
          <w:highlight w:val="none"/>
        </w:rPr>
        <w:t>《普通混凝土用碎石和卵石质量标准及检验方法》JGJ53-92</w:t>
      </w:r>
    </w:p>
    <w:p>
      <w:pPr>
        <w:pStyle w:val="132"/>
        <w:rPr>
          <w:rFonts w:hint="eastAsia" w:ascii="Times New Roman" w:hAnsi="Times New Roman"/>
          <w:color w:val="auto"/>
          <w:highlight w:val="none"/>
        </w:rPr>
      </w:pPr>
      <w:r>
        <w:rPr>
          <w:rFonts w:ascii="Times New Roman" w:hAnsi="Times New Roman"/>
          <w:color w:val="auto"/>
          <w:highlight w:val="none"/>
        </w:rPr>
        <w:t>《混凝土外加剂应用技术规范》 GB50119-</w:t>
      </w:r>
      <w:r>
        <w:rPr>
          <w:rFonts w:hint="eastAsia" w:ascii="Times New Roman" w:hAnsi="Times New Roman"/>
          <w:color w:val="auto"/>
          <w:highlight w:val="none"/>
        </w:rPr>
        <w:t>2013</w:t>
      </w:r>
    </w:p>
    <w:p>
      <w:pPr>
        <w:pStyle w:val="132"/>
        <w:rPr>
          <w:rFonts w:hint="eastAsia" w:ascii="Times New Roman" w:hAnsi="Times New Roman"/>
          <w:color w:val="auto"/>
          <w:highlight w:val="none"/>
        </w:rPr>
      </w:pPr>
      <w:r>
        <w:rPr>
          <w:rFonts w:ascii="Times New Roman" w:hAnsi="Times New Roman"/>
          <w:color w:val="auto"/>
          <w:highlight w:val="none"/>
        </w:rPr>
        <w:t>《钢筋机械连接通用技术规程》</w:t>
      </w:r>
      <w:r>
        <w:rPr>
          <w:rFonts w:hint="eastAsia" w:ascii="Times New Roman" w:hAnsi="Times New Roman"/>
          <w:color w:val="auto"/>
          <w:highlight w:val="none"/>
        </w:rPr>
        <w:t>J</w:t>
      </w:r>
      <w:r>
        <w:rPr>
          <w:rFonts w:ascii="Times New Roman" w:hAnsi="Times New Roman"/>
          <w:color w:val="auto"/>
          <w:highlight w:val="none"/>
        </w:rPr>
        <w:t>BJ107-</w:t>
      </w:r>
      <w:r>
        <w:rPr>
          <w:rFonts w:hint="eastAsia" w:ascii="Times New Roman" w:hAnsi="Times New Roman"/>
          <w:color w:val="auto"/>
          <w:highlight w:val="none"/>
        </w:rPr>
        <w:t>2010</w:t>
      </w:r>
    </w:p>
    <w:p>
      <w:pPr>
        <w:pStyle w:val="132"/>
        <w:rPr>
          <w:rFonts w:hint="eastAsia" w:ascii="Times New Roman" w:hAnsi="Times New Roman"/>
          <w:color w:val="auto"/>
          <w:highlight w:val="none"/>
        </w:rPr>
      </w:pPr>
      <w:r>
        <w:rPr>
          <w:rFonts w:hint="eastAsia" w:ascii="Times New Roman" w:hAnsi="Times New Roman"/>
          <w:color w:val="auto"/>
          <w:highlight w:val="none"/>
        </w:rPr>
        <w:t>《砌体结构工程施工质量验收规范》GB50203-2011</w:t>
      </w:r>
    </w:p>
    <w:p>
      <w:pPr>
        <w:pStyle w:val="132"/>
        <w:rPr>
          <w:rFonts w:hint="eastAsia" w:ascii="Times New Roman" w:hAnsi="Times New Roman"/>
          <w:color w:val="auto"/>
          <w:highlight w:val="none"/>
        </w:rPr>
      </w:pPr>
      <w:r>
        <w:rPr>
          <w:rFonts w:ascii="Times New Roman" w:hAnsi="Times New Roman"/>
          <w:color w:val="auto"/>
          <w:highlight w:val="none"/>
        </w:rPr>
        <w:t>《屋面工程技术规范》GB</w:t>
      </w:r>
      <w:r>
        <w:rPr>
          <w:rFonts w:hint="eastAsia" w:ascii="Times New Roman" w:hAnsi="Times New Roman"/>
          <w:color w:val="auto"/>
          <w:highlight w:val="none"/>
        </w:rPr>
        <w:t>50345-2012</w:t>
      </w:r>
    </w:p>
    <w:p>
      <w:pPr>
        <w:pStyle w:val="132"/>
        <w:rPr>
          <w:rFonts w:hint="eastAsia" w:ascii="Times New Roman" w:hAnsi="Times New Roman"/>
          <w:color w:val="auto"/>
          <w:highlight w:val="none"/>
        </w:rPr>
      </w:pPr>
      <w:r>
        <w:rPr>
          <w:rFonts w:hint="eastAsia" w:ascii="Times New Roman" w:hAnsi="Times New Roman"/>
          <w:color w:val="auto"/>
          <w:highlight w:val="none"/>
        </w:rPr>
        <w:t xml:space="preserve">《钢结构焊接及验收规程》JGJ81-2003     </w:t>
      </w:r>
    </w:p>
    <w:p>
      <w:pPr>
        <w:pStyle w:val="132"/>
        <w:rPr>
          <w:rFonts w:hint="eastAsia" w:ascii="Times New Roman" w:hAnsi="Times New Roman"/>
          <w:color w:val="auto"/>
          <w:highlight w:val="none"/>
        </w:rPr>
      </w:pPr>
      <w:r>
        <w:rPr>
          <w:rFonts w:hint="eastAsia" w:ascii="Times New Roman" w:hAnsi="Times New Roman"/>
          <w:color w:val="auto"/>
          <w:highlight w:val="none"/>
        </w:rPr>
        <w:t>《冷弯薄壁型钢结构技术规范》GB50018-2016</w:t>
      </w:r>
    </w:p>
    <w:p>
      <w:pPr>
        <w:pStyle w:val="132"/>
        <w:rPr>
          <w:rFonts w:hint="eastAsia" w:ascii="Times New Roman" w:hAnsi="Times New Roman"/>
          <w:color w:val="auto"/>
          <w:highlight w:val="none"/>
        </w:rPr>
      </w:pPr>
      <w:r>
        <w:rPr>
          <w:rFonts w:hint="eastAsia" w:ascii="Times New Roman" w:hAnsi="Times New Roman"/>
          <w:color w:val="auto"/>
          <w:highlight w:val="none"/>
        </w:rPr>
        <w:t xml:space="preserve">《混凝土结构设计规范》GB50010-2010    </w:t>
      </w:r>
    </w:p>
    <w:p>
      <w:pPr>
        <w:pStyle w:val="132"/>
        <w:rPr>
          <w:rFonts w:hint="eastAsia" w:ascii="Times New Roman" w:hAnsi="Times New Roman"/>
          <w:color w:val="auto"/>
          <w:highlight w:val="none"/>
        </w:rPr>
      </w:pPr>
      <w:r>
        <w:rPr>
          <w:rFonts w:hint="eastAsia" w:ascii="Times New Roman" w:hAnsi="Times New Roman"/>
          <w:color w:val="auto"/>
          <w:highlight w:val="none"/>
        </w:rPr>
        <w:t>《钢结构施工及验收规范》GB50205-2002</w:t>
      </w:r>
    </w:p>
    <w:p>
      <w:pPr>
        <w:pStyle w:val="132"/>
        <w:rPr>
          <w:rFonts w:hint="eastAsia" w:ascii="Times New Roman" w:hAnsi="Times New Roman"/>
          <w:color w:val="auto"/>
          <w:highlight w:val="none"/>
        </w:rPr>
      </w:pPr>
      <w:r>
        <w:rPr>
          <w:rFonts w:hint="eastAsia" w:ascii="Times New Roman" w:hAnsi="Times New Roman"/>
          <w:color w:val="auto"/>
          <w:highlight w:val="none"/>
        </w:rPr>
        <w:t xml:space="preserve">《钢结构防火涂料应用技术规范》CECS 24  </w:t>
      </w:r>
    </w:p>
    <w:p>
      <w:pPr>
        <w:pStyle w:val="132"/>
        <w:rPr>
          <w:rFonts w:hint="eastAsia"/>
          <w:b/>
          <w:bCs/>
          <w:color w:val="auto"/>
          <w:highlight w:val="none"/>
        </w:rPr>
      </w:pPr>
      <w:r>
        <w:rPr>
          <w:rFonts w:hint="eastAsia" w:ascii="Times New Roman" w:hAnsi="Times New Roman"/>
          <w:color w:val="auto"/>
          <w:highlight w:val="none"/>
        </w:rPr>
        <w:t>《门式刚架轻型房屋钢结构技术规程》</w:t>
      </w:r>
      <w:r>
        <w:rPr>
          <w:rFonts w:ascii="Times New Roman" w:hAnsi="Times New Roman"/>
          <w:color w:val="auto"/>
          <w:highlight w:val="none"/>
        </w:rPr>
        <w:t>GB51022-2015</w:t>
      </w:r>
      <w:r>
        <w:rPr>
          <w:rFonts w:hint="eastAsia" w:ascii="Times New Roman" w:hAnsi="Times New Roman"/>
          <w:color w:val="auto"/>
          <w:highlight w:val="none"/>
        </w:rPr>
        <w:t xml:space="preserve">  </w:t>
      </w:r>
    </w:p>
    <w:p>
      <w:pPr>
        <w:pStyle w:val="132"/>
        <w:rPr>
          <w:rFonts w:hint="eastAsia" w:ascii="Times New Roman" w:hAnsi="Times New Roman"/>
          <w:color w:val="auto"/>
          <w:highlight w:val="none"/>
        </w:rPr>
      </w:pPr>
      <w:r>
        <w:rPr>
          <w:rFonts w:hint="eastAsia" w:ascii="Times New Roman" w:hAnsi="Times New Roman"/>
          <w:color w:val="auto"/>
          <w:highlight w:val="none"/>
        </w:rPr>
        <w:t xml:space="preserve">《钢结构高强度螺栓连接的设施工及验收规程》JGJ82-91  </w:t>
      </w:r>
    </w:p>
    <w:p>
      <w:pPr>
        <w:pStyle w:val="132"/>
        <w:rPr>
          <w:rFonts w:ascii="Times New Roman" w:hAnsi="Times New Roman"/>
          <w:color w:val="auto"/>
          <w:highlight w:val="none"/>
        </w:rPr>
      </w:pPr>
      <w:r>
        <w:rPr>
          <w:rFonts w:hint="eastAsia" w:ascii="Times New Roman" w:hAnsi="Times New Roman"/>
          <w:color w:val="auto"/>
          <w:highlight w:val="none"/>
        </w:rPr>
        <w:t xml:space="preserve">《涂装前钢材表面锈蚀等级和除锈等级》GB8923  </w:t>
      </w:r>
    </w:p>
    <w:p>
      <w:pPr>
        <w:pStyle w:val="132"/>
        <w:rPr>
          <w:rFonts w:ascii="Times New Roman" w:hAnsi="Times New Roman"/>
          <w:color w:val="auto"/>
          <w:highlight w:val="none"/>
        </w:rPr>
      </w:pPr>
      <w:r>
        <w:rPr>
          <w:rFonts w:ascii="Times New Roman" w:hAnsi="Times New Roman"/>
          <w:color w:val="auto"/>
          <w:highlight w:val="none"/>
        </w:rPr>
        <w:t>《施工现场临时用电安全技术规范》JGJ46-2005</w:t>
      </w:r>
    </w:p>
    <w:p>
      <w:pPr>
        <w:pStyle w:val="132"/>
        <w:rPr>
          <w:rFonts w:ascii="Times New Roman" w:hAnsi="Times New Roman"/>
          <w:color w:val="auto"/>
          <w:highlight w:val="none"/>
        </w:rPr>
      </w:pPr>
      <w:r>
        <w:rPr>
          <w:rFonts w:ascii="Times New Roman" w:hAnsi="Times New Roman"/>
          <w:color w:val="auto"/>
          <w:highlight w:val="none"/>
        </w:rPr>
        <w:t>《建筑施工高处作业安全技术规范》JGJ80-</w:t>
      </w:r>
      <w:r>
        <w:rPr>
          <w:rFonts w:hint="eastAsia" w:ascii="Times New Roman" w:hAnsi="Times New Roman"/>
          <w:color w:val="auto"/>
          <w:highlight w:val="none"/>
        </w:rPr>
        <w:t>2016</w:t>
      </w:r>
    </w:p>
    <w:p>
      <w:pPr>
        <w:pStyle w:val="132"/>
        <w:rPr>
          <w:rFonts w:ascii="Times New Roman" w:hAnsi="Times New Roman"/>
          <w:color w:val="auto"/>
          <w:highlight w:val="none"/>
        </w:rPr>
      </w:pPr>
      <w:r>
        <w:rPr>
          <w:rFonts w:ascii="Times New Roman" w:hAnsi="Times New Roman"/>
          <w:color w:val="auto"/>
          <w:highlight w:val="none"/>
        </w:rPr>
        <w:t>《建筑机械使用安全技术规范》JGJ33-</w:t>
      </w:r>
      <w:r>
        <w:rPr>
          <w:rFonts w:hint="eastAsia" w:ascii="Times New Roman" w:hAnsi="Times New Roman"/>
          <w:color w:val="auto"/>
          <w:highlight w:val="none"/>
        </w:rPr>
        <w:t>2012</w:t>
      </w:r>
    </w:p>
    <w:p>
      <w:pPr>
        <w:pStyle w:val="132"/>
        <w:rPr>
          <w:rFonts w:ascii="Times New Roman" w:hAnsi="Times New Roman"/>
          <w:color w:val="auto"/>
          <w:highlight w:val="none"/>
        </w:rPr>
      </w:pPr>
      <w:r>
        <w:rPr>
          <w:rFonts w:ascii="Times New Roman" w:hAnsi="Times New Roman"/>
          <w:color w:val="auto"/>
          <w:highlight w:val="none"/>
        </w:rPr>
        <w:t>《建筑内部装修设计防火规范》</w:t>
      </w:r>
      <w:r>
        <w:rPr>
          <w:rFonts w:hint="eastAsia" w:ascii="Times New Roman" w:hAnsi="Times New Roman"/>
          <w:color w:val="auto"/>
          <w:highlight w:val="none"/>
        </w:rPr>
        <w:t>GB50222-2017</w:t>
      </w:r>
    </w:p>
    <w:p>
      <w:pPr>
        <w:pStyle w:val="132"/>
        <w:rPr>
          <w:rFonts w:ascii="Times New Roman" w:hAnsi="Times New Roman"/>
          <w:color w:val="auto"/>
          <w:highlight w:val="none"/>
        </w:rPr>
      </w:pPr>
      <w:r>
        <w:rPr>
          <w:rFonts w:ascii="Times New Roman" w:hAnsi="Times New Roman"/>
          <w:color w:val="auto"/>
          <w:highlight w:val="none"/>
        </w:rPr>
        <w:t>《建筑装修工程质量验收规范》GB 50210-</w:t>
      </w:r>
      <w:r>
        <w:rPr>
          <w:rFonts w:hint="eastAsia" w:ascii="Times New Roman" w:hAnsi="Times New Roman"/>
          <w:color w:val="auto"/>
          <w:highlight w:val="none"/>
        </w:rPr>
        <w:t>2001</w:t>
      </w:r>
    </w:p>
    <w:p>
      <w:pPr>
        <w:pStyle w:val="132"/>
        <w:rPr>
          <w:rFonts w:hint="eastAsia" w:ascii="Times New Roman" w:hAnsi="Times New Roman"/>
          <w:color w:val="auto"/>
          <w:highlight w:val="none"/>
        </w:rPr>
      </w:pPr>
      <w:r>
        <w:rPr>
          <w:rFonts w:ascii="Times New Roman" w:hAnsi="Times New Roman"/>
          <w:color w:val="auto"/>
          <w:highlight w:val="none"/>
        </w:rPr>
        <w:t>《民用建筑工程室内环境污染控制规范》GB 50325－2</w:t>
      </w:r>
      <w:r>
        <w:rPr>
          <w:rFonts w:hint="eastAsia" w:ascii="Times New Roman" w:hAnsi="Times New Roman"/>
          <w:color w:val="auto"/>
          <w:highlight w:val="none"/>
        </w:rPr>
        <w:t>010</w:t>
      </w:r>
    </w:p>
    <w:p>
      <w:pPr>
        <w:pStyle w:val="132"/>
        <w:rPr>
          <w:rFonts w:ascii="Times New Roman" w:hAnsi="Times New Roman"/>
          <w:color w:val="auto"/>
          <w:highlight w:val="none"/>
        </w:rPr>
      </w:pPr>
      <w:r>
        <w:rPr>
          <w:rFonts w:ascii="Times New Roman" w:hAnsi="Times New Roman"/>
          <w:color w:val="auto"/>
          <w:highlight w:val="none"/>
        </w:rPr>
        <w:t>《采暖通风与空气调节设计规范》GBJ19－</w:t>
      </w:r>
      <w:r>
        <w:rPr>
          <w:rFonts w:hint="eastAsia" w:ascii="Times New Roman" w:hAnsi="Times New Roman"/>
          <w:color w:val="auto"/>
          <w:highlight w:val="none"/>
        </w:rPr>
        <w:t>2003</w:t>
      </w:r>
    </w:p>
    <w:p>
      <w:pPr>
        <w:pStyle w:val="132"/>
        <w:rPr>
          <w:rFonts w:hint="eastAsia" w:ascii="Times New Roman" w:hAnsi="Times New Roman"/>
          <w:color w:val="auto"/>
          <w:highlight w:val="none"/>
        </w:rPr>
      </w:pPr>
      <w:r>
        <w:rPr>
          <w:rFonts w:ascii="Times New Roman" w:hAnsi="Times New Roman"/>
          <w:color w:val="auto"/>
          <w:highlight w:val="none"/>
        </w:rPr>
        <w:t>《建筑电气工程施工质量验收规范》GB50303-</w:t>
      </w:r>
      <w:r>
        <w:rPr>
          <w:rFonts w:hint="eastAsia" w:ascii="Times New Roman" w:hAnsi="Times New Roman"/>
          <w:color w:val="auto"/>
          <w:highlight w:val="none"/>
        </w:rPr>
        <w:t>2015</w:t>
      </w:r>
    </w:p>
    <w:p>
      <w:pPr>
        <w:pStyle w:val="132"/>
        <w:rPr>
          <w:rFonts w:ascii="Times New Roman" w:hAnsi="Times New Roman"/>
          <w:color w:val="auto"/>
          <w:highlight w:val="none"/>
        </w:rPr>
      </w:pPr>
      <w:r>
        <w:rPr>
          <w:rFonts w:ascii="Times New Roman" w:hAnsi="Times New Roman"/>
          <w:color w:val="auto"/>
          <w:highlight w:val="none"/>
        </w:rPr>
        <w:t>《建筑给水排水及采暖施工质量验收规范》GB50242-2002</w:t>
      </w:r>
    </w:p>
    <w:p>
      <w:pPr>
        <w:pStyle w:val="132"/>
        <w:rPr>
          <w:rFonts w:hint="eastAsia" w:ascii="Times New Roman" w:hAnsi="Times New Roman"/>
          <w:color w:val="auto"/>
          <w:highlight w:val="none"/>
        </w:rPr>
      </w:pPr>
      <w:r>
        <w:rPr>
          <w:rFonts w:ascii="Times New Roman" w:hAnsi="Times New Roman"/>
          <w:color w:val="auto"/>
          <w:highlight w:val="none"/>
        </w:rPr>
        <w:t>《通风与空调工程施工质量验收规范》GB50243-</w:t>
      </w:r>
      <w:r>
        <w:rPr>
          <w:rFonts w:hint="eastAsia" w:ascii="Times New Roman" w:hAnsi="Times New Roman"/>
          <w:color w:val="auto"/>
          <w:highlight w:val="none"/>
        </w:rPr>
        <w:t>2016</w:t>
      </w:r>
    </w:p>
    <w:p>
      <w:pPr>
        <w:pStyle w:val="132"/>
        <w:rPr>
          <w:rFonts w:hint="eastAsia" w:ascii="Times New Roman" w:hAnsi="Times New Roman"/>
          <w:color w:val="auto"/>
          <w:highlight w:val="none"/>
        </w:rPr>
      </w:pPr>
      <w:r>
        <w:rPr>
          <w:rFonts w:ascii="Times New Roman" w:hAnsi="Times New Roman"/>
          <w:color w:val="auto"/>
          <w:highlight w:val="none"/>
        </w:rPr>
        <w:t>《火灾自动报警系统设计规范》GB50116-</w:t>
      </w:r>
      <w:r>
        <w:rPr>
          <w:rFonts w:hint="eastAsia" w:ascii="Times New Roman" w:hAnsi="Times New Roman"/>
          <w:color w:val="auto"/>
          <w:highlight w:val="none"/>
        </w:rPr>
        <w:t>2013</w:t>
      </w:r>
    </w:p>
    <w:p>
      <w:pPr>
        <w:pStyle w:val="132"/>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火灾自动报警系统施工及验收规范</w:t>
      </w:r>
      <w:r>
        <w:rPr>
          <w:rFonts w:ascii="Times New Roman" w:hAnsi="Times New Roman"/>
          <w:color w:val="auto"/>
          <w:highlight w:val="none"/>
        </w:rPr>
        <w:t>》</w:t>
      </w:r>
      <w:r>
        <w:rPr>
          <w:rFonts w:hint="eastAsia" w:ascii="Times New Roman" w:hAnsi="Times New Roman"/>
          <w:color w:val="auto"/>
          <w:highlight w:val="none"/>
        </w:rPr>
        <w:t>GB 50166</w:t>
      </w:r>
      <w:r>
        <w:rPr>
          <w:rFonts w:ascii="Times New Roman" w:hAnsi="Times New Roman"/>
          <w:color w:val="auto"/>
          <w:highlight w:val="none"/>
        </w:rPr>
        <w:t>-</w:t>
      </w:r>
      <w:r>
        <w:rPr>
          <w:rFonts w:hint="eastAsia" w:ascii="Times New Roman" w:hAnsi="Times New Roman"/>
          <w:color w:val="auto"/>
          <w:highlight w:val="none"/>
        </w:rPr>
        <w:t>2007</w:t>
      </w:r>
    </w:p>
    <w:p>
      <w:pPr>
        <w:pStyle w:val="132"/>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自动喷水灭火系统施工及验收规范</w:t>
      </w:r>
      <w:r>
        <w:rPr>
          <w:rFonts w:ascii="Times New Roman" w:hAnsi="Times New Roman"/>
          <w:color w:val="auto"/>
          <w:highlight w:val="none"/>
        </w:rPr>
        <w:t>》</w:t>
      </w:r>
      <w:r>
        <w:rPr>
          <w:rFonts w:hint="eastAsia" w:ascii="Times New Roman" w:hAnsi="Times New Roman"/>
          <w:color w:val="auto"/>
          <w:highlight w:val="none"/>
        </w:rPr>
        <w:t>GB 50261-2017</w:t>
      </w:r>
    </w:p>
    <w:p>
      <w:pPr>
        <w:pStyle w:val="132"/>
        <w:rPr>
          <w:rFonts w:ascii="Times New Roman" w:hAnsi="Times New Roman"/>
          <w:color w:val="auto"/>
          <w:highlight w:val="none"/>
        </w:rPr>
      </w:pPr>
      <w:r>
        <w:rPr>
          <w:rFonts w:ascii="Times New Roman" w:hAnsi="Times New Roman"/>
          <w:color w:val="auto"/>
          <w:highlight w:val="none"/>
        </w:rPr>
        <w:t>……</w:t>
      </w:r>
    </w:p>
    <w:p>
      <w:pPr>
        <w:pStyle w:val="132"/>
        <w:rPr>
          <w:rFonts w:hint="eastAsia" w:ascii="Times New Roman" w:hAnsi="Times New Roman"/>
          <w:color w:val="auto"/>
          <w:highlight w:val="none"/>
        </w:rPr>
      </w:pPr>
      <w:r>
        <w:rPr>
          <w:rFonts w:hint="eastAsia" w:ascii="Times New Roman" w:hAnsi="Times New Roman"/>
          <w:color w:val="auto"/>
          <w:highlight w:val="none"/>
        </w:rPr>
        <w:t>2.2</w:t>
      </w:r>
      <w:r>
        <w:rPr>
          <w:rFonts w:ascii="Times New Roman" w:hAnsi="Times New Roman"/>
          <w:color w:val="auto"/>
          <w:highlight w:val="none"/>
        </w:rPr>
        <w:t>以上技术规范由</w:t>
      </w:r>
      <w:r>
        <w:rPr>
          <w:rFonts w:hint="eastAsia" w:ascii="Times New Roman" w:hAnsi="Times New Roman"/>
          <w:color w:val="auto"/>
          <w:highlight w:val="none"/>
        </w:rPr>
        <w:t>承包人</w:t>
      </w:r>
      <w:r>
        <w:rPr>
          <w:rFonts w:ascii="Times New Roman" w:hAnsi="Times New Roman"/>
          <w:color w:val="auto"/>
          <w:highlight w:val="none"/>
        </w:rPr>
        <w:t>自备，如有不足之处或未能达到国家最新标准时，</w:t>
      </w:r>
      <w:r>
        <w:rPr>
          <w:rFonts w:hint="eastAsia" w:ascii="Times New Roman" w:hAnsi="Times New Roman"/>
          <w:color w:val="auto"/>
          <w:highlight w:val="none"/>
        </w:rPr>
        <w:t>承包人</w:t>
      </w:r>
      <w:r>
        <w:rPr>
          <w:rFonts w:ascii="Times New Roman" w:hAnsi="Times New Roman"/>
          <w:color w:val="auto"/>
          <w:highlight w:val="none"/>
        </w:rPr>
        <w:t>应使施工及选用的设备和材料符合最新版本的国家标准、规范。</w:t>
      </w:r>
    </w:p>
    <w:p>
      <w:pPr>
        <w:pStyle w:val="113"/>
        <w:jc w:val="center"/>
        <w:rPr>
          <w:color w:val="auto"/>
          <w:highlight w:val="none"/>
        </w:rPr>
      </w:pPr>
      <w:bookmarkStart w:id="1357" w:name="_Toc20005"/>
      <w:bookmarkStart w:id="1358" w:name="_Toc531162039"/>
      <w:bookmarkStart w:id="1359" w:name="_Toc3475"/>
      <w:r>
        <w:rPr>
          <w:rFonts w:hint="eastAsia"/>
          <w:color w:val="auto"/>
          <w:highlight w:val="none"/>
        </w:rPr>
        <w:t>3</w:t>
      </w:r>
      <w:r>
        <w:rPr>
          <w:color w:val="auto"/>
          <w:highlight w:val="none"/>
        </w:rPr>
        <w:t>．材料质量要求</w:t>
      </w:r>
      <w:bookmarkEnd w:id="1357"/>
      <w:bookmarkEnd w:id="1358"/>
      <w:bookmarkEnd w:id="1359"/>
    </w:p>
    <w:p>
      <w:pPr>
        <w:pStyle w:val="132"/>
        <w:rPr>
          <w:rFonts w:ascii="Times New Roman" w:hAnsi="Times New Roman"/>
          <w:color w:val="auto"/>
          <w:highlight w:val="none"/>
        </w:rPr>
      </w:pPr>
      <w:r>
        <w:rPr>
          <w:rFonts w:hint="eastAsia" w:ascii="Times New Roman" w:hAnsi="Times New Roman"/>
          <w:color w:val="auto"/>
          <w:highlight w:val="none"/>
        </w:rPr>
        <w:t xml:space="preserve">3.1 </w:t>
      </w:r>
      <w:r>
        <w:rPr>
          <w:rFonts w:ascii="Times New Roman" w:hAnsi="Times New Roman"/>
          <w:color w:val="auto"/>
          <w:highlight w:val="none"/>
        </w:rPr>
        <w:t>材料选择</w:t>
      </w:r>
    </w:p>
    <w:p>
      <w:pPr>
        <w:pStyle w:val="132"/>
        <w:rPr>
          <w:rFonts w:ascii="Times New Roman" w:hAnsi="Times New Roman" w:cs="Arial"/>
          <w:color w:val="auto"/>
          <w:highlight w:val="none"/>
        </w:rPr>
      </w:pPr>
      <w:r>
        <w:rPr>
          <w:rFonts w:hint="eastAsia" w:ascii="Times New Roman" w:hAnsi="Times New Roman"/>
          <w:color w:val="auto"/>
          <w:highlight w:val="none"/>
        </w:rPr>
        <w:t>（1）</w:t>
      </w:r>
      <w:r>
        <w:rPr>
          <w:rFonts w:ascii="Times New Roman" w:hAnsi="Times New Roman" w:cs="Arial"/>
          <w:color w:val="auto"/>
          <w:highlight w:val="none"/>
        </w:rPr>
        <w:t>本章节附件为</w:t>
      </w:r>
      <w:r>
        <w:rPr>
          <w:rFonts w:hint="eastAsia" w:ascii="Times New Roman" w:hAnsi="Times New Roman" w:cs="Arial"/>
          <w:color w:val="auto"/>
          <w:highlight w:val="none"/>
        </w:rPr>
        <w:t>“</w:t>
      </w:r>
      <w:r>
        <w:rPr>
          <w:rFonts w:ascii="Times New Roman" w:hAnsi="Times New Roman" w:cs="Arial"/>
          <w:color w:val="auto"/>
          <w:highlight w:val="none"/>
        </w:rPr>
        <w:t>主要设备材料备选品牌一览表”， 投标人在投标时必须按表中所列的备选品牌之一进行报价。</w:t>
      </w:r>
    </w:p>
    <w:p>
      <w:pPr>
        <w:pStyle w:val="132"/>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132"/>
        <w:rPr>
          <w:rFonts w:ascii="Times New Roman" w:hAnsi="Times New Roman"/>
          <w:color w:val="auto"/>
          <w:highlight w:val="none"/>
        </w:rPr>
      </w:pPr>
      <w:r>
        <w:rPr>
          <w:rFonts w:hint="eastAsia" w:ascii="Times New Roman" w:hAnsi="Times New Roman"/>
          <w:color w:val="auto"/>
          <w:highlight w:val="none"/>
        </w:rPr>
        <w:t xml:space="preserve">3.2 </w:t>
      </w:r>
      <w:r>
        <w:rPr>
          <w:rFonts w:ascii="Times New Roman" w:hAnsi="Times New Roman"/>
          <w:color w:val="auto"/>
          <w:highlight w:val="none"/>
        </w:rPr>
        <w:t>材料的质量保证</w:t>
      </w:r>
    </w:p>
    <w:p>
      <w:pPr>
        <w:pStyle w:val="132"/>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在免费保修期内，</w:t>
      </w:r>
      <w:r>
        <w:rPr>
          <w:rFonts w:hint="eastAsia" w:ascii="Times New Roman" w:hAnsi="Times New Roman"/>
          <w:color w:val="auto"/>
          <w:highlight w:val="none"/>
        </w:rPr>
        <w:t>承包人</w:t>
      </w:r>
      <w:r>
        <w:rPr>
          <w:rFonts w:ascii="Times New Roman" w:hAnsi="Times New Roman"/>
          <w:color w:val="auto"/>
          <w:highlight w:val="none"/>
        </w:rPr>
        <w:t>对有缺陷的部位必须无偿地给予修理与更换，并承担一切由此引起的对</w:t>
      </w:r>
      <w:r>
        <w:rPr>
          <w:rFonts w:hint="eastAsia" w:ascii="Times New Roman" w:hAnsi="Times New Roman"/>
          <w:color w:val="auto"/>
          <w:highlight w:val="none"/>
        </w:rPr>
        <w:t>发包人</w:t>
      </w:r>
      <w:r>
        <w:rPr>
          <w:rFonts w:ascii="Times New Roman" w:hAnsi="Times New Roman"/>
          <w:color w:val="auto"/>
          <w:highlight w:val="none"/>
        </w:rPr>
        <w:t>或第三者的直接损失，除非该缺陷是由于人为破坏或合同规定的不可抗因素造成的损坏。</w:t>
      </w:r>
    </w:p>
    <w:p>
      <w:pPr>
        <w:pStyle w:val="132"/>
        <w:rPr>
          <w:rFonts w:ascii="Times New Roman" w:hAnsi="Times New Roman"/>
          <w:color w:val="auto"/>
          <w:highlight w:val="none"/>
        </w:rPr>
      </w:pPr>
      <w:r>
        <w:rPr>
          <w:rFonts w:hint="eastAsia" w:ascii="Times New Roman" w:hAnsi="Times New Roman"/>
          <w:color w:val="auto"/>
          <w:highlight w:val="none"/>
        </w:rPr>
        <w:t>（2）承包人</w:t>
      </w:r>
      <w:r>
        <w:rPr>
          <w:rFonts w:ascii="Times New Roman" w:hAnsi="Times New Roman"/>
          <w:color w:val="auto"/>
          <w:highlight w:val="none"/>
        </w:rPr>
        <w:t>必须对所承包的工程的质量负全部责任，其责任不因其他材料生产商提供的保证书而减轻或更改。</w:t>
      </w:r>
    </w:p>
    <w:p>
      <w:pPr>
        <w:pStyle w:val="132"/>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材料检验结果证明其有害物质含量指标超标的产品不得在工程上使用。</w:t>
      </w:r>
    </w:p>
    <w:p>
      <w:pPr>
        <w:pStyle w:val="132"/>
        <w:rPr>
          <w:rFonts w:ascii="Times New Roman" w:hAnsi="Times New Roman"/>
          <w:color w:val="auto"/>
          <w:highlight w:val="none"/>
        </w:rPr>
      </w:pPr>
      <w:r>
        <w:rPr>
          <w:rFonts w:hint="eastAsia" w:ascii="Times New Roman" w:hAnsi="Times New Roman"/>
          <w:color w:val="auto"/>
          <w:highlight w:val="none"/>
        </w:rPr>
        <w:t xml:space="preserve">3.3 </w:t>
      </w:r>
      <w:r>
        <w:rPr>
          <w:rFonts w:ascii="Times New Roman" w:hAnsi="Times New Roman"/>
          <w:color w:val="auto"/>
          <w:highlight w:val="none"/>
        </w:rPr>
        <w:t>供应要求</w:t>
      </w:r>
    </w:p>
    <w:p>
      <w:pPr>
        <w:pStyle w:val="132"/>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本次招标承包范围内的建筑施工材料均由</w:t>
      </w:r>
      <w:r>
        <w:rPr>
          <w:rFonts w:hint="eastAsia" w:ascii="Times New Roman" w:hAnsi="Times New Roman"/>
          <w:color w:val="auto"/>
          <w:highlight w:val="none"/>
        </w:rPr>
        <w:t>承包人</w:t>
      </w:r>
      <w:r>
        <w:rPr>
          <w:rFonts w:ascii="Times New Roman" w:hAnsi="Times New Roman"/>
          <w:color w:val="auto"/>
          <w:highlight w:val="none"/>
        </w:rPr>
        <w:t>根据本招标文件、设计图纸和国家有关规定的具体要求进行采购、运输、检验、保管，但</w:t>
      </w:r>
      <w:r>
        <w:rPr>
          <w:rFonts w:hint="eastAsia" w:ascii="Times New Roman" w:hAnsi="Times New Roman"/>
          <w:color w:val="auto"/>
          <w:highlight w:val="none"/>
        </w:rPr>
        <w:t>发包</w:t>
      </w:r>
      <w:r>
        <w:rPr>
          <w:rFonts w:ascii="Times New Roman" w:hAnsi="Times New Roman"/>
          <w:color w:val="auto"/>
          <w:highlight w:val="none"/>
        </w:rPr>
        <w:t>人保留变更和指定材料的权利；所有建筑材料须有产品合格证和质量保证书，应先送样品，样品经设计方、监理方、</w:t>
      </w:r>
      <w:r>
        <w:rPr>
          <w:rFonts w:hint="eastAsia" w:ascii="Times New Roman" w:hAnsi="Times New Roman"/>
          <w:color w:val="auto"/>
          <w:highlight w:val="none"/>
        </w:rPr>
        <w:t>发包</w:t>
      </w:r>
      <w:r>
        <w:rPr>
          <w:rFonts w:ascii="Times New Roman" w:hAnsi="Times New Roman"/>
          <w:color w:val="auto"/>
          <w:highlight w:val="none"/>
        </w:rPr>
        <w:t>人确认与招标要求一致后封存，批量供应时应与样品一致，并经相关部门检验合格后方可使用。</w:t>
      </w:r>
    </w:p>
    <w:p>
      <w:pPr>
        <w:pStyle w:val="132"/>
        <w:rPr>
          <w:rFonts w:hint="eastAsia" w:ascii="Times New Roman" w:hAnsi="Times New Roman"/>
          <w:color w:val="auto"/>
          <w:szCs w:val="28"/>
          <w:highlight w:val="none"/>
        </w:rPr>
      </w:pPr>
      <w:r>
        <w:rPr>
          <w:rFonts w:hint="eastAsia" w:ascii="Times New Roman" w:hAnsi="Times New Roman"/>
          <w:color w:val="auto"/>
          <w:highlight w:val="none"/>
        </w:rPr>
        <w:t>（2）</w:t>
      </w:r>
      <w:r>
        <w:rPr>
          <w:rFonts w:ascii="Times New Roman" w:hAnsi="Times New Roman"/>
          <w:color w:val="auto"/>
          <w:highlight w:val="none"/>
        </w:rPr>
        <w:t>由</w:t>
      </w:r>
      <w:r>
        <w:rPr>
          <w:rFonts w:hint="eastAsia" w:ascii="Times New Roman" w:hAnsi="Times New Roman"/>
          <w:color w:val="auto"/>
          <w:highlight w:val="none"/>
        </w:rPr>
        <w:t>承包人</w:t>
      </w:r>
      <w:r>
        <w:rPr>
          <w:rFonts w:ascii="Times New Roman" w:hAnsi="Times New Roman"/>
          <w:color w:val="auto"/>
          <w:highlight w:val="none"/>
        </w:rPr>
        <w:t>采购的主要建筑材料，当</w:t>
      </w:r>
      <w:r>
        <w:rPr>
          <w:rFonts w:hint="eastAsia" w:ascii="Times New Roman" w:hAnsi="Times New Roman"/>
          <w:color w:val="auto"/>
          <w:highlight w:val="none"/>
        </w:rPr>
        <w:t>承包人</w:t>
      </w:r>
      <w:r>
        <w:rPr>
          <w:rFonts w:ascii="Times New Roman" w:hAnsi="Times New Roman"/>
          <w:color w:val="auto"/>
          <w:highlight w:val="none"/>
        </w:rPr>
        <w:t>选定的产品质量达不到设计要求和预期质量目标时，</w:t>
      </w:r>
      <w:r>
        <w:rPr>
          <w:rFonts w:hint="eastAsia" w:ascii="Times New Roman" w:hAnsi="Times New Roman"/>
          <w:color w:val="auto"/>
          <w:highlight w:val="none"/>
        </w:rPr>
        <w:t>发包</w:t>
      </w:r>
      <w:r>
        <w:rPr>
          <w:rFonts w:ascii="Times New Roman" w:hAnsi="Times New Roman"/>
          <w:color w:val="auto"/>
          <w:highlight w:val="none"/>
        </w:rPr>
        <w:t>人保留更换的权利，且中标价不予调整。</w:t>
      </w:r>
    </w:p>
    <w:p>
      <w:pPr>
        <w:pStyle w:val="113"/>
        <w:jc w:val="center"/>
        <w:rPr>
          <w:color w:val="auto"/>
          <w:highlight w:val="none"/>
        </w:rPr>
      </w:pPr>
      <w:bookmarkStart w:id="1360" w:name="_Toc7050"/>
      <w:bookmarkStart w:id="1361" w:name="_Toc16090"/>
      <w:bookmarkStart w:id="1362" w:name="_Toc531162040"/>
      <w:r>
        <w:rPr>
          <w:rFonts w:hint="eastAsia"/>
          <w:color w:val="auto"/>
          <w:highlight w:val="none"/>
        </w:rPr>
        <w:t>4</w:t>
      </w:r>
      <w:r>
        <w:rPr>
          <w:color w:val="auto"/>
          <w:highlight w:val="none"/>
        </w:rPr>
        <w:t>．工程管理的要求</w:t>
      </w:r>
      <w:bookmarkEnd w:id="1360"/>
      <w:bookmarkEnd w:id="1361"/>
      <w:bookmarkEnd w:id="1362"/>
    </w:p>
    <w:p>
      <w:pPr>
        <w:pStyle w:val="132"/>
        <w:rPr>
          <w:rFonts w:ascii="Times New Roman" w:hAnsi="Times New Roman"/>
          <w:color w:val="auto"/>
          <w:highlight w:val="none"/>
        </w:rPr>
      </w:pPr>
      <w:r>
        <w:rPr>
          <w:rFonts w:hint="eastAsia" w:ascii="Times New Roman" w:hAnsi="Times New Roman"/>
          <w:color w:val="auto"/>
          <w:highlight w:val="none"/>
        </w:rPr>
        <w:t xml:space="preserve">4.1 </w:t>
      </w:r>
      <w:r>
        <w:rPr>
          <w:rFonts w:ascii="Times New Roman" w:hAnsi="Times New Roman"/>
          <w:color w:val="auto"/>
          <w:highlight w:val="none"/>
        </w:rPr>
        <w:t>本工程发包范围内的工程项目，未经发包人同意一律不得分包。一经发现立即取消承包资格，作违约处理，并承担由此引起的一切经济损失。</w:t>
      </w:r>
    </w:p>
    <w:p>
      <w:pPr>
        <w:pStyle w:val="132"/>
        <w:rPr>
          <w:rFonts w:hint="eastAsia" w:ascii="Times New Roman" w:hAnsi="Times New Roman"/>
          <w:color w:val="auto"/>
          <w:highlight w:val="none"/>
        </w:rPr>
      </w:pPr>
      <w:r>
        <w:rPr>
          <w:rFonts w:hint="eastAsia" w:ascii="Times New Roman" w:hAnsi="Times New Roman"/>
          <w:color w:val="auto"/>
          <w:highlight w:val="none"/>
        </w:rPr>
        <w:t>4.2 承包人</w:t>
      </w:r>
      <w:r>
        <w:rPr>
          <w:rFonts w:ascii="Times New Roman" w:hAnsi="Times New Roman"/>
          <w:color w:val="auto"/>
          <w:highlight w:val="none"/>
        </w:rPr>
        <w:t>应严格按已确认设计图纸和施工技术方案组织施工，并无条件地接受发包人委托的监理单位对施工质量的监督和管理。</w:t>
      </w:r>
    </w:p>
    <w:bookmarkEnd w:id="1348"/>
    <w:bookmarkEnd w:id="1349"/>
    <w:bookmarkEnd w:id="1350"/>
    <w:bookmarkEnd w:id="1351"/>
    <w:bookmarkEnd w:id="1352"/>
    <w:bookmarkEnd w:id="1353"/>
    <w:p>
      <w:pPr>
        <w:pStyle w:val="113"/>
        <w:jc w:val="center"/>
        <w:rPr>
          <w:rFonts w:hint="eastAsia"/>
          <w:color w:val="auto"/>
          <w:highlight w:val="none"/>
        </w:rPr>
      </w:pPr>
      <w:bookmarkStart w:id="1363" w:name="_Toc4986"/>
      <w:bookmarkStart w:id="1364" w:name="_Toc1901"/>
      <w:bookmarkStart w:id="1365" w:name="_Toc372899891"/>
      <w:bookmarkStart w:id="1366" w:name="_Toc283886274"/>
      <w:bookmarkStart w:id="1367" w:name="_Toc283976564"/>
      <w:bookmarkStart w:id="1368" w:name="_Toc288556317"/>
      <w:bookmarkStart w:id="1369" w:name="_Toc531162041"/>
      <w:bookmarkStart w:id="1370" w:name="_Toc282596329"/>
      <w:bookmarkStart w:id="1371" w:name="_Toc394573961"/>
      <w:bookmarkStart w:id="1372" w:name="_Toc229990374"/>
      <w:r>
        <w:rPr>
          <w:rFonts w:hint="eastAsia"/>
          <w:color w:val="auto"/>
          <w:highlight w:val="none"/>
        </w:rPr>
        <w:t>5．其他</w:t>
      </w:r>
      <w:bookmarkEnd w:id="1363"/>
      <w:bookmarkEnd w:id="1364"/>
      <w:bookmarkEnd w:id="1365"/>
      <w:bookmarkEnd w:id="1366"/>
      <w:bookmarkEnd w:id="1367"/>
      <w:bookmarkEnd w:id="1368"/>
      <w:bookmarkEnd w:id="1369"/>
      <w:bookmarkEnd w:id="1370"/>
      <w:bookmarkEnd w:id="1371"/>
      <w:bookmarkEnd w:id="1372"/>
    </w:p>
    <w:p>
      <w:pPr>
        <w:pStyle w:val="121"/>
        <w:spacing w:before="240"/>
        <w:rPr>
          <w:rFonts w:ascii="Times New Roman" w:hAnsi="Times New Roman" w:eastAsia="黑体"/>
          <w:color w:val="auto"/>
          <w:szCs w:val="21"/>
          <w:highlight w:val="none"/>
        </w:rPr>
      </w:pPr>
      <w:bookmarkStart w:id="1373" w:name="_Toc8305391"/>
      <w:bookmarkStart w:id="1374" w:name="_Toc4130"/>
      <w:bookmarkStart w:id="1375" w:name="_Toc229990375"/>
      <w:bookmarkStart w:id="1376" w:name="_Toc283976565"/>
      <w:bookmarkStart w:id="1377" w:name="_Toc16521987"/>
      <w:bookmarkStart w:id="1378" w:name="_Toc372899892"/>
      <w:bookmarkStart w:id="1379" w:name="_Toc288556318"/>
      <w:bookmarkStart w:id="1380" w:name="_Toc283886275"/>
      <w:bookmarkStart w:id="1381" w:name="_Toc394573962"/>
      <w:bookmarkStart w:id="1382" w:name="_Toc282596330"/>
      <w:r>
        <w:rPr>
          <w:rFonts w:ascii="Times New Roman" w:hAnsi="Times New Roman"/>
          <w:color w:val="auto"/>
          <w:szCs w:val="21"/>
          <w:highlight w:val="none"/>
        </w:rPr>
        <w:t>附件</w:t>
      </w:r>
      <w:r>
        <w:rPr>
          <w:rFonts w:ascii="Times New Roman" w:hAnsi="Times New Roman" w:eastAsia="黑体"/>
          <w:color w:val="auto"/>
          <w:szCs w:val="21"/>
          <w:highlight w:val="none"/>
        </w:rPr>
        <w:t>：</w:t>
      </w:r>
      <w:r>
        <w:rPr>
          <w:rFonts w:ascii="Times New Roman" w:hAnsi="Times New Roman"/>
          <w:color w:val="auto"/>
          <w:szCs w:val="21"/>
          <w:highlight w:val="none"/>
        </w:rPr>
        <w:t>主要设备材料备选品牌一览表</w:t>
      </w:r>
      <w:bookmarkEnd w:id="1373"/>
      <w:bookmarkEnd w:id="1374"/>
      <w:bookmarkEnd w:id="1375"/>
      <w:bookmarkEnd w:id="1376"/>
      <w:bookmarkEnd w:id="1377"/>
      <w:bookmarkEnd w:id="1378"/>
      <w:bookmarkEnd w:id="1379"/>
      <w:bookmarkEnd w:id="1380"/>
      <w:bookmarkEnd w:id="1381"/>
      <w:bookmarkEnd w:id="1382"/>
    </w:p>
    <w:tbl>
      <w:tblPr>
        <w:tblStyle w:val="4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030"/>
        <w:gridCol w:w="557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58" w:type="dxa"/>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序号</w:t>
            </w:r>
          </w:p>
        </w:tc>
        <w:tc>
          <w:tcPr>
            <w:tcW w:w="2030" w:type="dxa"/>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材料名称</w:t>
            </w:r>
          </w:p>
        </w:tc>
        <w:tc>
          <w:tcPr>
            <w:tcW w:w="5574" w:type="dxa"/>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备选品牌或厂家</w:t>
            </w:r>
          </w:p>
        </w:tc>
        <w:tc>
          <w:tcPr>
            <w:tcW w:w="1178" w:type="dxa"/>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3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地砖、瓷砖</w:t>
            </w:r>
          </w:p>
        </w:tc>
        <w:tc>
          <w:tcPr>
            <w:tcW w:w="5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鹰牌、东鹏、冠珠、特地、诺贝儿或相当于</w:t>
            </w:r>
          </w:p>
        </w:tc>
        <w:tc>
          <w:tcPr>
            <w:tcW w:w="1178" w:type="dxa"/>
            <w:noWrap w:val="0"/>
            <w:vAlign w:val="center"/>
          </w:tcPr>
          <w:p>
            <w:pPr>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03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板材</w:t>
            </w:r>
          </w:p>
        </w:tc>
        <w:tc>
          <w:tcPr>
            <w:tcW w:w="5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兔宝宝、千年舟、莫干山、雪宝、大王椰或相当于</w:t>
            </w:r>
          </w:p>
        </w:tc>
        <w:tc>
          <w:tcPr>
            <w:tcW w:w="1178" w:type="dxa"/>
            <w:noWrap w:val="0"/>
            <w:vAlign w:val="center"/>
          </w:tcPr>
          <w:p>
            <w:pPr>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03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防水涂料</w:t>
            </w:r>
          </w:p>
        </w:tc>
        <w:tc>
          <w:tcPr>
            <w:tcW w:w="5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中油佳汇、江苏凯伦、西牛皮、北新月皇、浙江中誉或相当于</w:t>
            </w:r>
          </w:p>
        </w:tc>
        <w:tc>
          <w:tcPr>
            <w:tcW w:w="1178" w:type="dxa"/>
            <w:noWrap w:val="0"/>
            <w:vAlign w:val="center"/>
          </w:tcPr>
          <w:p>
            <w:pPr>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03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乳胶漆</w:t>
            </w:r>
          </w:p>
        </w:tc>
        <w:tc>
          <w:tcPr>
            <w:tcW w:w="5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嘉宝莉、立邦、紫荆花、多乐士、三棵树或相当于</w:t>
            </w:r>
          </w:p>
        </w:tc>
        <w:tc>
          <w:tcPr>
            <w:tcW w:w="1178" w:type="dxa"/>
            <w:noWrap w:val="0"/>
            <w:vAlign w:val="center"/>
          </w:tcPr>
          <w:p>
            <w:pPr>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03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轻钢龙骨</w:t>
            </w:r>
          </w:p>
        </w:tc>
        <w:tc>
          <w:tcPr>
            <w:tcW w:w="5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拜尔、顶诺、可耐福、龙牌、泰山或相当于</w:t>
            </w:r>
          </w:p>
        </w:tc>
        <w:tc>
          <w:tcPr>
            <w:tcW w:w="1178" w:type="dxa"/>
            <w:noWrap w:val="0"/>
            <w:vAlign w:val="center"/>
          </w:tcPr>
          <w:p>
            <w:pPr>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03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石膏板</w:t>
            </w:r>
          </w:p>
        </w:tc>
        <w:tc>
          <w:tcPr>
            <w:tcW w:w="5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可耐福、安氏大地、龙牌、泰山、千年舟或相当于</w:t>
            </w:r>
          </w:p>
        </w:tc>
        <w:tc>
          <w:tcPr>
            <w:tcW w:w="1178" w:type="dxa"/>
            <w:noWrap w:val="0"/>
            <w:vAlign w:val="center"/>
          </w:tcPr>
          <w:p>
            <w:pPr>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03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成品木门</w:t>
            </w:r>
          </w:p>
        </w:tc>
        <w:tc>
          <w:tcPr>
            <w:tcW w:w="5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木老大、豪临、万鑫门业、门师傅或相当于</w:t>
            </w:r>
          </w:p>
        </w:tc>
        <w:tc>
          <w:tcPr>
            <w:tcW w:w="1178" w:type="dxa"/>
            <w:noWrap w:val="0"/>
            <w:vAlign w:val="center"/>
          </w:tcPr>
          <w:p>
            <w:pPr>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03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照明灯具</w:t>
            </w:r>
          </w:p>
        </w:tc>
        <w:tc>
          <w:tcPr>
            <w:tcW w:w="5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西顿、飞利浦、三雄极光、松下、企一或相当于</w:t>
            </w:r>
          </w:p>
        </w:tc>
        <w:tc>
          <w:tcPr>
            <w:tcW w:w="1178" w:type="dxa"/>
            <w:noWrap w:val="0"/>
            <w:vAlign w:val="center"/>
          </w:tcPr>
          <w:p>
            <w:pPr>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03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开关、插座</w:t>
            </w:r>
          </w:p>
        </w:tc>
        <w:tc>
          <w:tcPr>
            <w:tcW w:w="5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西门子、德力西、罗格朗、ABB、公牛或相当于</w:t>
            </w:r>
          </w:p>
        </w:tc>
        <w:tc>
          <w:tcPr>
            <w:tcW w:w="1178" w:type="dxa"/>
            <w:noWrap w:val="0"/>
            <w:vAlign w:val="center"/>
          </w:tcPr>
          <w:p>
            <w:pPr>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03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卫生洁具</w:t>
            </w:r>
          </w:p>
        </w:tc>
        <w:tc>
          <w:tcPr>
            <w:tcW w:w="5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箭牌、恒洁、惠达、欧路莎、九牧或相当于</w:t>
            </w:r>
          </w:p>
        </w:tc>
        <w:tc>
          <w:tcPr>
            <w:tcW w:w="1178" w:type="dxa"/>
            <w:noWrap w:val="0"/>
            <w:vAlign w:val="center"/>
          </w:tcPr>
          <w:p>
            <w:pPr>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03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地漏</w:t>
            </w:r>
          </w:p>
        </w:tc>
        <w:tc>
          <w:tcPr>
            <w:tcW w:w="5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潜水艇、箭牌、恒洁、惠达、欧路莎或相当于</w:t>
            </w:r>
          </w:p>
        </w:tc>
        <w:tc>
          <w:tcPr>
            <w:tcW w:w="1178" w:type="dxa"/>
            <w:noWrap w:val="0"/>
            <w:vAlign w:val="center"/>
          </w:tcPr>
          <w:p>
            <w:pPr>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03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电线、电缆</w:t>
            </w:r>
          </w:p>
        </w:tc>
        <w:tc>
          <w:tcPr>
            <w:tcW w:w="5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中策、临海亘古、飞洲、珠江电缆、开开或相当于</w:t>
            </w:r>
          </w:p>
        </w:tc>
        <w:tc>
          <w:tcPr>
            <w:tcW w:w="1178" w:type="dxa"/>
            <w:noWrap w:val="0"/>
            <w:vAlign w:val="center"/>
          </w:tcPr>
          <w:p>
            <w:pPr>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203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配电箱及元器件</w:t>
            </w:r>
          </w:p>
        </w:tc>
        <w:tc>
          <w:tcPr>
            <w:tcW w:w="5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德力西、正泰、罗格朗、鸿雁、TCL或相当于</w:t>
            </w:r>
          </w:p>
        </w:tc>
        <w:tc>
          <w:tcPr>
            <w:tcW w:w="1178" w:type="dxa"/>
            <w:noWrap w:val="0"/>
            <w:vAlign w:val="center"/>
          </w:tcPr>
          <w:p>
            <w:pPr>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203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PPR、PVC管材</w:t>
            </w:r>
          </w:p>
        </w:tc>
        <w:tc>
          <w:tcPr>
            <w:tcW w:w="5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伟星、金洲、保利、联塑、公牛或相当于</w:t>
            </w:r>
          </w:p>
        </w:tc>
        <w:tc>
          <w:tcPr>
            <w:tcW w:w="1178" w:type="dxa"/>
            <w:noWrap w:val="0"/>
            <w:vAlign w:val="center"/>
          </w:tcPr>
          <w:p>
            <w:pPr>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203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玻璃</w:t>
            </w:r>
          </w:p>
        </w:tc>
        <w:tc>
          <w:tcPr>
            <w:tcW w:w="5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耀皮、台玻、南玻、格兰特、洛玻或相当于</w:t>
            </w:r>
          </w:p>
        </w:tc>
        <w:tc>
          <w:tcPr>
            <w:tcW w:w="1178" w:type="dxa"/>
            <w:noWrap w:val="0"/>
            <w:vAlign w:val="center"/>
          </w:tcPr>
          <w:p>
            <w:pPr>
              <w:jc w:val="center"/>
              <w:rPr>
                <w:rFonts w:hint="eastAsia" w:ascii="Times New Roman" w:hAnsi="Times New Roman" w:eastAsia="宋体" w:cs="Times New Roman"/>
                <w:color w:val="auto"/>
                <w:sz w:val="21"/>
                <w:szCs w:val="21"/>
                <w:highlight w:val="none"/>
                <w:lang w:val="en-US" w:eastAsia="zh-CN"/>
              </w:rPr>
            </w:pPr>
          </w:p>
        </w:tc>
      </w:tr>
    </w:tbl>
    <w:p>
      <w:pPr>
        <w:rPr>
          <w:rFonts w:hint="eastAsia"/>
          <w:color w:val="auto"/>
          <w:highlight w:val="none"/>
        </w:rPr>
      </w:pPr>
      <w:r>
        <w:rPr>
          <w:rFonts w:hint="eastAsia"/>
          <w:color w:val="auto"/>
          <w:highlight w:val="none"/>
        </w:rPr>
        <w:t>注：若某设备材料的品牌与厂家存在同名时，以品牌为先。</w:t>
      </w:r>
    </w:p>
    <w:p>
      <w:pPr>
        <w:pStyle w:val="78"/>
        <w:rPr>
          <w:rFonts w:hint="eastAsia"/>
          <w:color w:val="auto"/>
          <w:highlight w:val="none"/>
        </w:rPr>
        <w:sectPr>
          <w:footerReference r:id="rId11" w:type="default"/>
          <w:footnotePr>
            <w:numRestart w:val="eachPage"/>
          </w:footnotePr>
          <w:endnotePr>
            <w:numRestart w:val="eachSect"/>
          </w:endnotePr>
          <w:pgSz w:w="11907" w:h="16840"/>
          <w:pgMar w:top="1304" w:right="1247" w:bottom="1247" w:left="1304" w:header="851" w:footer="992" w:gutter="0"/>
          <w:cols w:space="720" w:num="1"/>
          <w:docGrid w:linePitch="435" w:charSpace="-6554"/>
        </w:sectPr>
      </w:pPr>
    </w:p>
    <w:p>
      <w:pPr>
        <w:pStyle w:val="3"/>
        <w:spacing w:after="120" w:line="288" w:lineRule="auto"/>
        <w:jc w:val="center"/>
        <w:rPr>
          <w:rFonts w:hint="eastAsia"/>
          <w:b w:val="0"/>
          <w:color w:val="auto"/>
          <w:sz w:val="36"/>
          <w:szCs w:val="36"/>
          <w:highlight w:val="none"/>
        </w:rPr>
      </w:pPr>
      <w:bookmarkStart w:id="1383" w:name="_Toc3426"/>
      <w:r>
        <w:rPr>
          <w:rFonts w:hint="eastAsia"/>
          <w:b w:val="0"/>
          <w:color w:val="auto"/>
          <w:sz w:val="36"/>
          <w:szCs w:val="36"/>
          <w:highlight w:val="none"/>
        </w:rPr>
        <w:t xml:space="preserve">第六章  </w:t>
      </w:r>
      <w:bookmarkStart w:id="1384" w:name="_Toc25671531"/>
      <w:r>
        <w:rPr>
          <w:rFonts w:hint="eastAsia"/>
          <w:b w:val="0"/>
          <w:color w:val="auto"/>
          <w:sz w:val="36"/>
          <w:szCs w:val="36"/>
          <w:highlight w:val="none"/>
        </w:rPr>
        <w:t>投标文件格式</w:t>
      </w:r>
      <w:bookmarkEnd w:id="1383"/>
      <w:bookmarkEnd w:id="1384"/>
    </w:p>
    <w:p>
      <w:pPr>
        <w:pStyle w:val="3"/>
        <w:numPr>
          <w:ilvl w:val="0"/>
          <w:numId w:val="3"/>
        </w:numPr>
        <w:spacing w:after="120" w:line="288" w:lineRule="auto"/>
        <w:rPr>
          <w:rFonts w:hint="eastAsia"/>
          <w:b w:val="0"/>
          <w:color w:val="auto"/>
          <w:highlight w:val="none"/>
        </w:rPr>
        <w:sectPr>
          <w:footnotePr>
            <w:numRestart w:val="eachPage"/>
          </w:footnotePr>
          <w:endnotePr>
            <w:numRestart w:val="eachSect"/>
          </w:endnotePr>
          <w:pgSz w:w="11907" w:h="16840"/>
          <w:pgMar w:top="1304" w:right="1247" w:bottom="1247" w:left="1304" w:header="851" w:footer="992" w:gutter="0"/>
          <w:cols w:space="720" w:num="1"/>
          <w:docGrid w:linePitch="435" w:charSpace="-6554"/>
        </w:sectPr>
      </w:pPr>
    </w:p>
    <w:p>
      <w:pPr>
        <w:spacing w:line="400" w:lineRule="exact"/>
        <w:jc w:val="center"/>
        <w:outlineLvl w:val="1"/>
        <w:rPr>
          <w:rFonts w:hint="eastAsia" w:ascii="黑体" w:hAnsi="黑体" w:eastAsia="黑体"/>
          <w:color w:val="auto"/>
          <w:sz w:val="28"/>
          <w:szCs w:val="28"/>
          <w:highlight w:val="none"/>
        </w:rPr>
      </w:pPr>
      <w:bookmarkStart w:id="1385" w:name="_Toc25285_WPSOffice_Level1"/>
      <w:bookmarkStart w:id="1386" w:name="_Toc283886278"/>
      <w:bookmarkStart w:id="1387" w:name="_Toc152042576"/>
      <w:bookmarkStart w:id="1388" w:name="_Toc237769323"/>
      <w:bookmarkStart w:id="1389" w:name="_Toc152045787"/>
      <w:bookmarkStart w:id="1390" w:name="_Toc144974856"/>
      <w:bookmarkStart w:id="1391" w:name="_Toc283976568"/>
      <w:bookmarkStart w:id="1392" w:name="_Toc282596333"/>
      <w:r>
        <w:rPr>
          <w:rFonts w:hint="eastAsia" w:ascii="黑体" w:hAnsi="黑体" w:eastAsia="黑体"/>
          <w:color w:val="auto"/>
          <w:sz w:val="28"/>
          <w:szCs w:val="28"/>
          <w:highlight w:val="none"/>
        </w:rPr>
        <w:t>目    录</w:t>
      </w:r>
      <w:bookmarkEnd w:id="1385"/>
      <w:bookmarkEnd w:id="1386"/>
      <w:bookmarkEnd w:id="1387"/>
      <w:bookmarkEnd w:id="1388"/>
      <w:bookmarkEnd w:id="1389"/>
      <w:bookmarkEnd w:id="1390"/>
      <w:bookmarkEnd w:id="1391"/>
      <w:bookmarkEnd w:id="1392"/>
    </w:p>
    <w:p>
      <w:pPr>
        <w:spacing w:line="540" w:lineRule="exact"/>
        <w:rPr>
          <w:color w:val="auto"/>
          <w:highlight w:val="none"/>
        </w:rPr>
      </w:pPr>
    </w:p>
    <w:p>
      <w:pPr>
        <w:spacing w:line="540" w:lineRule="exact"/>
        <w:rPr>
          <w:rFonts w:hint="eastAsia"/>
          <w:color w:val="auto"/>
          <w:highlight w:val="none"/>
        </w:rPr>
      </w:pPr>
      <w:bookmarkStart w:id="1393" w:name="_Toc15082_WPSOffice_Level1"/>
      <w:r>
        <w:rPr>
          <w:rFonts w:hint="eastAsia"/>
          <w:color w:val="auto"/>
          <w:highlight w:val="none"/>
        </w:rPr>
        <w:t>一、投标函</w:t>
      </w:r>
    </w:p>
    <w:p>
      <w:pPr>
        <w:spacing w:line="540" w:lineRule="exact"/>
        <w:rPr>
          <w:rFonts w:hint="eastAsia"/>
          <w:color w:val="auto"/>
          <w:highlight w:val="none"/>
        </w:rPr>
      </w:pPr>
      <w:r>
        <w:rPr>
          <w:rFonts w:hint="eastAsia"/>
          <w:color w:val="auto"/>
          <w:highlight w:val="none"/>
        </w:rPr>
        <w:t>二、项目负责人简历表</w:t>
      </w:r>
      <w:bookmarkEnd w:id="1393"/>
    </w:p>
    <w:p>
      <w:pPr>
        <w:spacing w:line="540" w:lineRule="exact"/>
        <w:rPr>
          <w:rFonts w:hint="eastAsia"/>
          <w:color w:val="auto"/>
          <w:highlight w:val="none"/>
        </w:rPr>
      </w:pPr>
      <w:bookmarkStart w:id="1394" w:name="_Toc8610_WPSOffice_Level1"/>
      <w:r>
        <w:rPr>
          <w:rFonts w:hint="eastAsia"/>
          <w:color w:val="auto"/>
          <w:highlight w:val="none"/>
        </w:rPr>
        <w:t>三、技术负责人简历表</w:t>
      </w:r>
      <w:bookmarkEnd w:id="1394"/>
    </w:p>
    <w:p>
      <w:pPr>
        <w:spacing w:line="540" w:lineRule="exact"/>
        <w:rPr>
          <w:rFonts w:hint="eastAsia"/>
          <w:color w:val="auto"/>
          <w:highlight w:val="none"/>
        </w:rPr>
      </w:pPr>
      <w:bookmarkStart w:id="1395" w:name="_Toc5682_WPSOffice_Level1"/>
      <w:r>
        <w:rPr>
          <w:rFonts w:hint="eastAsia"/>
          <w:color w:val="auto"/>
          <w:highlight w:val="none"/>
        </w:rPr>
        <w:t>四、主要施工机械设备表</w:t>
      </w:r>
      <w:bookmarkEnd w:id="1395"/>
    </w:p>
    <w:p>
      <w:pPr>
        <w:spacing w:line="540" w:lineRule="exact"/>
        <w:rPr>
          <w:rFonts w:hint="eastAsia"/>
          <w:color w:val="auto"/>
          <w:highlight w:val="none"/>
        </w:rPr>
      </w:pPr>
      <w:bookmarkStart w:id="1396" w:name="_Toc28665_WPSOffice_Level1"/>
      <w:r>
        <w:rPr>
          <w:rFonts w:hint="eastAsia"/>
          <w:color w:val="auto"/>
          <w:highlight w:val="none"/>
        </w:rPr>
        <w:t>五、台州市建设工程诚信投标承诺书</w:t>
      </w:r>
      <w:bookmarkEnd w:id="1396"/>
    </w:p>
    <w:p>
      <w:pPr>
        <w:spacing w:line="540" w:lineRule="exact"/>
        <w:rPr>
          <w:rFonts w:hint="eastAsia"/>
          <w:color w:val="auto"/>
          <w:highlight w:val="none"/>
        </w:rPr>
      </w:pPr>
      <w:bookmarkStart w:id="1397" w:name="_Toc25136_WPSOffice_Level1"/>
      <w:bookmarkStart w:id="1398" w:name="_Toc32199_WPSOffice_Level1"/>
      <w:r>
        <w:rPr>
          <w:rFonts w:hint="eastAsia"/>
          <w:color w:val="auto"/>
          <w:highlight w:val="none"/>
        </w:rPr>
        <w:t>六、台州市建设工程安全生产任职资格承诺书</w:t>
      </w:r>
      <w:bookmarkEnd w:id="1397"/>
    </w:p>
    <w:bookmarkEnd w:id="1398"/>
    <w:p>
      <w:pPr>
        <w:pStyle w:val="19"/>
        <w:ind w:firstLine="210"/>
        <w:rPr>
          <w:color w:val="auto"/>
          <w:highlight w:val="none"/>
        </w:rPr>
      </w:pPr>
      <w:bookmarkStart w:id="1399" w:name="_Toc228163259"/>
    </w:p>
    <w:p>
      <w:pPr>
        <w:rPr>
          <w:color w:val="auto"/>
          <w:highlight w:val="none"/>
        </w:rPr>
      </w:pPr>
    </w:p>
    <w:p>
      <w:pPr>
        <w:pStyle w:val="33"/>
        <w:rPr>
          <w:color w:val="auto"/>
          <w:highlight w:val="none"/>
        </w:rPr>
      </w:pPr>
    </w:p>
    <w:p>
      <w:pPr>
        <w:spacing w:line="540" w:lineRule="exact"/>
        <w:rPr>
          <w:rFonts w:hint="eastAsia"/>
          <w:color w:val="auto"/>
          <w:highlight w:val="none"/>
        </w:rPr>
      </w:pPr>
    </w:p>
    <w:p>
      <w:pPr>
        <w:spacing w:line="540" w:lineRule="exact"/>
        <w:rPr>
          <w:rFonts w:hint="eastAsia"/>
          <w:color w:val="auto"/>
          <w:highlight w:val="none"/>
        </w:rPr>
      </w:pPr>
    </w:p>
    <w:p>
      <w:pPr>
        <w:spacing w:line="540" w:lineRule="exact"/>
        <w:rPr>
          <w:rFonts w:hint="eastAsia"/>
          <w:color w:val="auto"/>
          <w:highlight w:val="none"/>
        </w:rPr>
      </w:pPr>
    </w:p>
    <w:p>
      <w:pPr>
        <w:spacing w:line="540" w:lineRule="exact"/>
        <w:rPr>
          <w:rFonts w:hint="eastAsia"/>
          <w:color w:val="auto"/>
          <w:highlight w:val="none"/>
        </w:rPr>
      </w:pPr>
    </w:p>
    <w:p>
      <w:pPr>
        <w:spacing w:line="540" w:lineRule="exact"/>
        <w:rPr>
          <w:rFonts w:hint="eastAsia"/>
          <w:color w:val="auto"/>
          <w:highlight w:val="none"/>
        </w:rPr>
      </w:pPr>
    </w:p>
    <w:p>
      <w:pPr>
        <w:spacing w:line="540" w:lineRule="exact"/>
        <w:rPr>
          <w:rFonts w:hint="eastAsia"/>
          <w:color w:val="auto"/>
          <w:highlight w:val="none"/>
        </w:rPr>
      </w:pPr>
    </w:p>
    <w:p>
      <w:pPr>
        <w:spacing w:line="540" w:lineRule="exact"/>
        <w:rPr>
          <w:rFonts w:hint="eastAsia"/>
          <w:color w:val="auto"/>
          <w:highlight w:val="none"/>
        </w:rPr>
      </w:pPr>
    </w:p>
    <w:p>
      <w:pPr>
        <w:spacing w:line="540" w:lineRule="exact"/>
        <w:rPr>
          <w:rFonts w:hint="eastAsia"/>
          <w:color w:val="auto"/>
          <w:highlight w:val="none"/>
        </w:rPr>
      </w:pPr>
    </w:p>
    <w:p>
      <w:pPr>
        <w:spacing w:line="540" w:lineRule="exact"/>
        <w:rPr>
          <w:rFonts w:hint="eastAsia"/>
          <w:color w:val="auto"/>
          <w:highlight w:val="none"/>
        </w:rPr>
        <w:sectPr>
          <w:pgSz w:w="11906" w:h="16838"/>
          <w:pgMar w:top="1440" w:right="1797" w:bottom="1440" w:left="1797" w:header="851" w:footer="992" w:gutter="0"/>
          <w:cols w:space="720" w:num="1"/>
          <w:docGrid w:linePitch="312" w:charSpace="0"/>
        </w:sectPr>
      </w:pPr>
    </w:p>
    <w:p>
      <w:pPr>
        <w:pStyle w:val="113"/>
        <w:rPr>
          <w:rFonts w:hint="eastAsia"/>
          <w:color w:val="auto"/>
          <w:szCs w:val="28"/>
          <w:highlight w:val="none"/>
        </w:rPr>
      </w:pPr>
      <w:bookmarkStart w:id="1400" w:name="_Toc24059"/>
      <w:bookmarkStart w:id="1401" w:name="_Toc22303_WPSOffice_Level1"/>
      <w:bookmarkStart w:id="1402" w:name="_Toc16521988"/>
      <w:r>
        <w:rPr>
          <w:rFonts w:hint="eastAsia"/>
          <w:color w:val="auto"/>
          <w:szCs w:val="28"/>
          <w:highlight w:val="none"/>
        </w:rPr>
        <w:t>一、投标函</w:t>
      </w:r>
    </w:p>
    <w:p>
      <w:pPr>
        <w:adjustRightInd w:val="0"/>
        <w:snapToGrid w:val="0"/>
        <w:jc w:val="center"/>
        <w:rPr>
          <w:rFonts w:hint="eastAsia"/>
          <w:b/>
          <w:color w:val="auto"/>
          <w:sz w:val="32"/>
          <w:szCs w:val="32"/>
          <w:highlight w:val="none"/>
        </w:rPr>
      </w:pPr>
    </w:p>
    <w:p>
      <w:pPr>
        <w:adjustRightInd w:val="0"/>
        <w:snapToGrid w:val="0"/>
        <w:jc w:val="center"/>
        <w:rPr>
          <w:rFonts w:hint="eastAsia"/>
          <w:b/>
          <w:color w:val="auto"/>
          <w:sz w:val="32"/>
          <w:szCs w:val="32"/>
          <w:highlight w:val="none"/>
        </w:rPr>
      </w:pPr>
      <w:bookmarkStart w:id="1403" w:name="_Toc414541437"/>
      <w:bookmarkStart w:id="1404" w:name="_Toc1871"/>
      <w:bookmarkStart w:id="1405" w:name="_Toc13633"/>
      <w:bookmarkStart w:id="1406" w:name="_Toc413938873"/>
      <w:bookmarkStart w:id="1407" w:name="_Toc13488"/>
      <w:bookmarkStart w:id="1408" w:name="_Toc23694"/>
      <w:bookmarkStart w:id="1409" w:name="_Toc413939391"/>
      <w:bookmarkStart w:id="1410" w:name="_Toc355877113"/>
      <w:bookmarkStart w:id="1411" w:name="_Toc18406"/>
      <w:bookmarkStart w:id="1412" w:name="_Toc22952"/>
      <w:bookmarkStart w:id="1413" w:name="_Toc413966570"/>
      <w:bookmarkStart w:id="1414" w:name="_Toc413943308"/>
      <w:r>
        <w:rPr>
          <w:rFonts w:hint="eastAsia"/>
          <w:b/>
          <w:color w:val="auto"/>
          <w:sz w:val="32"/>
          <w:szCs w:val="32"/>
          <w:highlight w:val="none"/>
          <w:lang w:eastAsia="zh-CN"/>
        </w:rPr>
        <w:t>月湖派出所综合指挥室改造工程</w:t>
      </w:r>
      <w:r>
        <w:rPr>
          <w:rFonts w:hint="eastAsia"/>
          <w:b/>
          <w:color w:val="auto"/>
          <w:sz w:val="32"/>
          <w:szCs w:val="32"/>
          <w:highlight w:val="none"/>
        </w:rPr>
        <w:t>投 标 函</w:t>
      </w:r>
      <w:bookmarkEnd w:id="1403"/>
      <w:bookmarkEnd w:id="1404"/>
      <w:bookmarkEnd w:id="1405"/>
      <w:bookmarkEnd w:id="1406"/>
      <w:bookmarkEnd w:id="1407"/>
      <w:bookmarkEnd w:id="1408"/>
      <w:bookmarkEnd w:id="1409"/>
      <w:bookmarkEnd w:id="1410"/>
      <w:bookmarkEnd w:id="1411"/>
      <w:bookmarkEnd w:id="1412"/>
      <w:bookmarkEnd w:id="1413"/>
      <w:bookmarkEnd w:id="1414"/>
      <w:r>
        <w:rPr>
          <w:rFonts w:hint="eastAsia"/>
          <w:b/>
          <w:color w:val="auto"/>
          <w:sz w:val="32"/>
          <w:szCs w:val="32"/>
          <w:highlight w:val="none"/>
        </w:rPr>
        <w:t>(报价表）</w:t>
      </w:r>
    </w:p>
    <w:p>
      <w:pPr>
        <w:rPr>
          <w:rFonts w:cs="Arial"/>
          <w:color w:val="auto"/>
          <w:szCs w:val="21"/>
          <w:highlight w:val="none"/>
        </w:rPr>
      </w:pPr>
    </w:p>
    <w:p>
      <w:pPr>
        <w:spacing w:line="360" w:lineRule="auto"/>
        <w:rPr>
          <w:rFonts w:cs="Arial"/>
          <w:color w:val="auto"/>
          <w:sz w:val="24"/>
          <w:highlight w:val="none"/>
        </w:rPr>
      </w:pPr>
      <w:r>
        <w:rPr>
          <w:rFonts w:cs="Arial"/>
          <w:color w:val="auto"/>
          <w:sz w:val="24"/>
          <w:highlight w:val="none"/>
        </w:rPr>
        <w:t>致：</w:t>
      </w:r>
      <w:r>
        <w:rPr>
          <w:rFonts w:cs="Arial"/>
          <w:color w:val="auto"/>
          <w:sz w:val="24"/>
          <w:highlight w:val="none"/>
          <w:u w:val="single"/>
        </w:rPr>
        <w:t xml:space="preserve">（招  标  人  名  称）    </w:t>
      </w:r>
      <w:r>
        <w:rPr>
          <w:rFonts w:cs="Arial"/>
          <w:color w:val="auto"/>
          <w:sz w:val="24"/>
          <w:highlight w:val="none"/>
        </w:rPr>
        <w:t xml:space="preserve">   </w:t>
      </w:r>
    </w:p>
    <w:p>
      <w:pPr>
        <w:spacing w:line="360" w:lineRule="auto"/>
        <w:ind w:firstLine="480" w:firstLineChars="200"/>
        <w:rPr>
          <w:color w:val="auto"/>
          <w:sz w:val="24"/>
          <w:highlight w:val="none"/>
        </w:rPr>
      </w:pPr>
      <w:r>
        <w:rPr>
          <w:rFonts w:cs="Arial"/>
          <w:color w:val="auto"/>
          <w:sz w:val="24"/>
          <w:highlight w:val="none"/>
        </w:rPr>
        <w:t>我方已全面阅读和研究贵方的</w:t>
      </w:r>
      <w:r>
        <w:rPr>
          <w:rFonts w:cs="Arial"/>
          <w:color w:val="auto"/>
          <w:sz w:val="24"/>
          <w:highlight w:val="none"/>
          <w:u w:val="single"/>
        </w:rPr>
        <w:t xml:space="preserve"> </w:t>
      </w:r>
      <w:r>
        <w:rPr>
          <w:rFonts w:hint="eastAsia" w:cs="Arial"/>
          <w:color w:val="auto"/>
          <w:sz w:val="24"/>
          <w:highlight w:val="none"/>
          <w:u w:val="single"/>
          <w:lang w:eastAsia="zh-CN"/>
        </w:rPr>
        <w:t>月湖派出所综合指挥室改造工程</w:t>
      </w:r>
      <w:r>
        <w:rPr>
          <w:rFonts w:cs="Arial"/>
          <w:color w:val="auto"/>
          <w:sz w:val="24"/>
          <w:highlight w:val="none"/>
          <w:u w:val="single"/>
        </w:rPr>
        <w:t xml:space="preserve"> </w:t>
      </w:r>
      <w:r>
        <w:rPr>
          <w:rFonts w:cs="Arial"/>
          <w:color w:val="auto"/>
          <w:sz w:val="24"/>
          <w:highlight w:val="none"/>
        </w:rPr>
        <w:t>招标文件和招标补充文件，并经过对现场的踏勘，澄清疑问，已充分理解并掌握了本项目招标的全部有关情况。同意接受招标文件的全部内容和条件，并按此确定本次投标的全部内容，以本投标文件向你方发包的全部内容进行投标。</w:t>
      </w:r>
    </w:p>
    <w:p>
      <w:pPr>
        <w:numPr>
          <w:ilvl w:val="0"/>
          <w:numId w:val="4"/>
        </w:numPr>
        <w:spacing w:line="360" w:lineRule="auto"/>
        <w:rPr>
          <w:rFonts w:hint="eastAsia" w:hAnsi="宋体" w:cs="宋体"/>
          <w:snapToGrid w:val="0"/>
          <w:color w:val="auto"/>
          <w:kern w:val="0"/>
          <w:sz w:val="24"/>
          <w:highlight w:val="none"/>
        </w:rPr>
      </w:pPr>
      <w:r>
        <w:rPr>
          <w:rFonts w:hint="eastAsia" w:hAnsi="宋体"/>
          <w:snapToGrid w:val="0"/>
          <w:color w:val="auto"/>
          <w:kern w:val="0"/>
          <w:sz w:val="24"/>
          <w:highlight w:val="none"/>
        </w:rPr>
        <w:t>我方愿以</w:t>
      </w:r>
      <w:r>
        <w:rPr>
          <w:rFonts w:hint="eastAsia" w:hAnsi="宋体" w:cs="宋体"/>
          <w:snapToGrid w:val="0"/>
          <w:color w:val="auto"/>
          <w:kern w:val="0"/>
          <w:sz w:val="24"/>
          <w:highlight w:val="none"/>
        </w:rPr>
        <w:t>即总报价大写金额人民币</w:t>
      </w:r>
      <w:r>
        <w:rPr>
          <w:rFonts w:hint="eastAsia" w:hAnsi="宋体" w:cs="宋体"/>
          <w:snapToGrid w:val="0"/>
          <w:color w:val="auto"/>
          <w:kern w:val="0"/>
          <w:sz w:val="24"/>
          <w:highlight w:val="none"/>
          <w:u w:val="single"/>
        </w:rPr>
        <w:t xml:space="preserve">    </w:t>
      </w:r>
      <w:r>
        <w:rPr>
          <w:rFonts w:hint="eastAsia" w:hAnsi="宋体" w:cs="宋体"/>
          <w:snapToGrid w:val="0"/>
          <w:color w:val="auto"/>
          <w:w w:val="107"/>
          <w:kern w:val="0"/>
          <w:sz w:val="24"/>
          <w:highlight w:val="none"/>
        </w:rPr>
        <w:t>拾</w:t>
      </w:r>
      <w:r>
        <w:rPr>
          <w:rFonts w:hint="eastAsia" w:hAnsi="宋体" w:cs="宋体"/>
          <w:snapToGrid w:val="0"/>
          <w:color w:val="auto"/>
          <w:w w:val="107"/>
          <w:kern w:val="0"/>
          <w:sz w:val="24"/>
          <w:highlight w:val="none"/>
          <w:u w:val="single"/>
        </w:rPr>
        <w:t xml:space="preserve">    </w:t>
      </w:r>
      <w:r>
        <w:rPr>
          <w:rFonts w:hint="eastAsia" w:hAnsi="宋体" w:cs="宋体"/>
          <w:snapToGrid w:val="0"/>
          <w:color w:val="auto"/>
          <w:kern w:val="0"/>
          <w:sz w:val="24"/>
          <w:highlight w:val="none"/>
        </w:rPr>
        <w:t>万</w:t>
      </w:r>
      <w:r>
        <w:rPr>
          <w:rFonts w:hint="eastAsia" w:hAnsi="宋体" w:cs="宋体"/>
          <w:snapToGrid w:val="0"/>
          <w:color w:val="auto"/>
          <w:kern w:val="0"/>
          <w:sz w:val="24"/>
          <w:highlight w:val="none"/>
          <w:u w:val="single"/>
        </w:rPr>
        <w:t xml:space="preserve">    </w:t>
      </w:r>
      <w:r>
        <w:rPr>
          <w:rFonts w:hint="eastAsia" w:hAnsi="宋体" w:cs="宋体"/>
          <w:snapToGrid w:val="0"/>
          <w:color w:val="auto"/>
          <w:kern w:val="0"/>
          <w:sz w:val="24"/>
          <w:highlight w:val="none"/>
        </w:rPr>
        <w:t>仟</w:t>
      </w:r>
      <w:r>
        <w:rPr>
          <w:rFonts w:hint="eastAsia" w:hAnsi="宋体" w:cs="宋体"/>
          <w:snapToGrid w:val="0"/>
          <w:color w:val="auto"/>
          <w:kern w:val="0"/>
          <w:sz w:val="24"/>
          <w:highlight w:val="none"/>
          <w:u w:val="single"/>
        </w:rPr>
        <w:t xml:space="preserve">    </w:t>
      </w:r>
      <w:r>
        <w:rPr>
          <w:rFonts w:hint="eastAsia" w:hAnsi="宋体" w:cs="宋体"/>
          <w:snapToGrid w:val="0"/>
          <w:color w:val="auto"/>
          <w:kern w:val="0"/>
          <w:sz w:val="24"/>
          <w:highlight w:val="none"/>
        </w:rPr>
        <w:t>佰</w:t>
      </w:r>
      <w:r>
        <w:rPr>
          <w:rFonts w:hint="eastAsia" w:hAnsi="宋体" w:cs="宋体"/>
          <w:snapToGrid w:val="0"/>
          <w:color w:val="auto"/>
          <w:w w:val="107"/>
          <w:kern w:val="0"/>
          <w:sz w:val="24"/>
          <w:highlight w:val="none"/>
          <w:u w:val="single"/>
        </w:rPr>
        <w:t xml:space="preserve">    </w:t>
      </w:r>
      <w:r>
        <w:rPr>
          <w:rFonts w:hint="eastAsia" w:hAnsi="宋体" w:cs="宋体"/>
          <w:snapToGrid w:val="0"/>
          <w:color w:val="auto"/>
          <w:w w:val="107"/>
          <w:kern w:val="0"/>
          <w:sz w:val="24"/>
          <w:highlight w:val="none"/>
        </w:rPr>
        <w:t>拾</w:t>
      </w:r>
      <w:r>
        <w:rPr>
          <w:rFonts w:hint="eastAsia" w:hAnsi="宋体" w:cs="宋体"/>
          <w:snapToGrid w:val="0"/>
          <w:color w:val="auto"/>
          <w:w w:val="107"/>
          <w:kern w:val="0"/>
          <w:sz w:val="24"/>
          <w:highlight w:val="none"/>
          <w:u w:val="single"/>
        </w:rPr>
        <w:t xml:space="preserve">   </w:t>
      </w:r>
      <w:r>
        <w:rPr>
          <w:rFonts w:hint="eastAsia" w:hAnsi="宋体" w:cs="宋体"/>
          <w:snapToGrid w:val="0"/>
          <w:color w:val="auto"/>
          <w:kern w:val="0"/>
          <w:sz w:val="24"/>
          <w:highlight w:val="none"/>
        </w:rPr>
        <w:t>元</w:t>
      </w:r>
      <w:r>
        <w:rPr>
          <w:rFonts w:hint="eastAsia" w:ascii="宋体" w:hAnsi="宋体"/>
          <w:color w:val="auto"/>
          <w:sz w:val="24"/>
          <w:highlight w:val="none"/>
        </w:rPr>
        <w:t>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s="宋体"/>
          <w:color w:val="auto"/>
          <w:sz w:val="24"/>
          <w:highlight w:val="none"/>
          <w:lang w:val="zh-TW" w:eastAsia="zh-TW"/>
        </w:rPr>
        <w:t>（保留整数）</w:t>
      </w:r>
      <w:r>
        <w:rPr>
          <w:rFonts w:hint="eastAsia" w:hAnsi="宋体" w:cs="宋体"/>
          <w:snapToGrid w:val="0"/>
          <w:color w:val="auto"/>
          <w:kern w:val="0"/>
          <w:sz w:val="24"/>
          <w:highlight w:val="none"/>
        </w:rPr>
        <w:t>，承包上述工程的所有任务。</w:t>
      </w:r>
    </w:p>
    <w:p>
      <w:pPr>
        <w:pStyle w:val="13"/>
        <w:spacing w:line="360" w:lineRule="auto"/>
        <w:ind w:firstLine="0" w:firstLineChars="0"/>
        <w:rPr>
          <w:rFonts w:hint="eastAsia" w:ascii="Calibri" w:hAnsi="Calibri" w:cs="Arial"/>
          <w:color w:val="auto"/>
          <w:sz w:val="24"/>
          <w:highlight w:val="none"/>
        </w:rPr>
      </w:pPr>
      <w:r>
        <w:rPr>
          <w:rFonts w:hint="eastAsia" w:ascii="Calibri" w:hAnsi="宋体" w:cs="宋体"/>
          <w:snapToGrid w:val="0"/>
          <w:color w:val="auto"/>
          <w:kern w:val="0"/>
          <w:sz w:val="24"/>
          <w:highlight w:val="none"/>
        </w:rPr>
        <w:t>2、</w:t>
      </w:r>
      <w:r>
        <w:rPr>
          <w:rFonts w:hint="eastAsia" w:ascii="Calibri" w:hAnsi="Calibri" w:cs="Arial"/>
          <w:color w:val="auto"/>
          <w:sz w:val="24"/>
          <w:highlight w:val="none"/>
        </w:rPr>
        <w:t>工期：</w:t>
      </w:r>
      <w:r>
        <w:rPr>
          <w:rFonts w:hint="eastAsia" w:ascii="Calibri" w:hAnsi="Calibri" w:cs="Arial"/>
          <w:color w:val="auto"/>
          <w:sz w:val="24"/>
          <w:highlight w:val="none"/>
          <w:u w:val="single"/>
        </w:rPr>
        <w:t xml:space="preserve">     </w:t>
      </w:r>
      <w:r>
        <w:rPr>
          <w:rFonts w:hint="eastAsia" w:ascii="Calibri" w:hAnsi="Calibri" w:cs="Arial"/>
          <w:color w:val="auto"/>
          <w:sz w:val="24"/>
          <w:highlight w:val="none"/>
        </w:rPr>
        <w:t>日历天</w:t>
      </w:r>
      <w:r>
        <w:rPr>
          <w:rFonts w:hint="eastAsia" w:ascii="宋体" w:hAnsi="宋体"/>
          <w:color w:val="auto"/>
          <w:spacing w:val="-4"/>
          <w:sz w:val="24"/>
          <w:highlight w:val="none"/>
        </w:rPr>
        <w:t>。</w:t>
      </w:r>
    </w:p>
    <w:p>
      <w:pPr>
        <w:spacing w:line="360" w:lineRule="auto"/>
        <w:rPr>
          <w:rFonts w:cs="Arial"/>
          <w:color w:val="auto"/>
          <w:sz w:val="24"/>
          <w:highlight w:val="none"/>
        </w:rPr>
      </w:pPr>
      <w:r>
        <w:rPr>
          <w:rFonts w:hint="eastAsia" w:cs="Arial"/>
          <w:color w:val="auto"/>
          <w:sz w:val="24"/>
          <w:highlight w:val="none"/>
        </w:rPr>
        <w:t>3</w:t>
      </w:r>
      <w:r>
        <w:rPr>
          <w:rFonts w:cs="Arial"/>
          <w:color w:val="auto"/>
          <w:sz w:val="24"/>
          <w:highlight w:val="none"/>
        </w:rPr>
        <w:t>、如由我方中标，在接到你方发出的中标通知书后在规定的时间内，按中标通知书、招标文件和本投标文件的约定与你方签订合同，履行规定的一切责任和义务。</w:t>
      </w:r>
    </w:p>
    <w:p>
      <w:pPr>
        <w:spacing w:line="360" w:lineRule="auto"/>
        <w:rPr>
          <w:rFonts w:cs="Arial"/>
          <w:color w:val="auto"/>
          <w:sz w:val="24"/>
          <w:highlight w:val="none"/>
        </w:rPr>
      </w:pPr>
      <w:r>
        <w:rPr>
          <w:rFonts w:hint="eastAsia" w:cs="Arial"/>
          <w:color w:val="auto"/>
          <w:sz w:val="24"/>
          <w:highlight w:val="none"/>
        </w:rPr>
        <w:t>4</w:t>
      </w:r>
      <w:r>
        <w:rPr>
          <w:rFonts w:cs="Arial"/>
          <w:color w:val="auto"/>
          <w:sz w:val="24"/>
          <w:highlight w:val="none"/>
        </w:rPr>
        <w:t>、本投标文件自递交你方之日起</w:t>
      </w:r>
      <w:r>
        <w:rPr>
          <w:rFonts w:cs="Arial"/>
          <w:color w:val="auto"/>
          <w:sz w:val="24"/>
          <w:highlight w:val="none"/>
          <w:u w:val="single"/>
        </w:rPr>
        <w:t xml:space="preserve">  90  </w:t>
      </w:r>
      <w:r>
        <w:rPr>
          <w:rFonts w:cs="Arial"/>
          <w:color w:val="auto"/>
          <w:sz w:val="24"/>
          <w:highlight w:val="none"/>
        </w:rPr>
        <w:t>天内有效，在此有效期内，全部条款内容对我方具有约束力，如中标将成为合同文件组成部分。</w:t>
      </w:r>
    </w:p>
    <w:p>
      <w:pPr>
        <w:spacing w:line="440" w:lineRule="exact"/>
        <w:ind w:right="480" w:firstLine="4800" w:firstLineChars="2000"/>
        <w:rPr>
          <w:rFonts w:hint="eastAsia"/>
          <w:color w:val="auto"/>
          <w:sz w:val="24"/>
          <w:highlight w:val="none"/>
        </w:rPr>
      </w:pPr>
      <w:r>
        <w:rPr>
          <w:rFonts w:hint="eastAsia"/>
          <w:color w:val="auto"/>
          <w:sz w:val="24"/>
          <w:highlight w:val="none"/>
        </w:rPr>
        <w:t xml:space="preserve">法定代表人（签字或盖章）： </w:t>
      </w:r>
    </w:p>
    <w:p>
      <w:pPr>
        <w:spacing w:line="440" w:lineRule="exact"/>
        <w:ind w:right="480"/>
        <w:jc w:val="center"/>
        <w:rPr>
          <w:rFonts w:hint="eastAsia"/>
          <w:color w:val="auto"/>
          <w:sz w:val="24"/>
          <w:highlight w:val="none"/>
        </w:rPr>
      </w:pPr>
      <w:r>
        <w:rPr>
          <w:rFonts w:hint="eastAsia"/>
          <w:color w:val="auto"/>
          <w:highlight w:val="none"/>
        </w:rPr>
        <w:t xml:space="preserve">                                </w:t>
      </w:r>
      <w:r>
        <w:rPr>
          <w:rFonts w:hint="eastAsia"/>
          <w:color w:val="auto"/>
          <w:sz w:val="24"/>
          <w:highlight w:val="none"/>
        </w:rPr>
        <w:t xml:space="preserve">  </w:t>
      </w:r>
    </w:p>
    <w:p>
      <w:pPr>
        <w:spacing w:line="440" w:lineRule="exact"/>
        <w:ind w:right="480"/>
        <w:jc w:val="center"/>
        <w:rPr>
          <w:rFonts w:hint="eastAsia"/>
          <w:color w:val="auto"/>
          <w:sz w:val="24"/>
          <w:highlight w:val="none"/>
        </w:rPr>
      </w:pPr>
      <w:r>
        <w:rPr>
          <w:rFonts w:hint="eastAsia"/>
          <w:color w:val="auto"/>
          <w:sz w:val="24"/>
          <w:highlight w:val="none"/>
        </w:rPr>
        <w:t xml:space="preserve">                                投 标 人（盖章）：</w:t>
      </w:r>
    </w:p>
    <w:p>
      <w:pPr>
        <w:spacing w:line="440" w:lineRule="exact"/>
        <w:ind w:right="480"/>
        <w:jc w:val="center"/>
        <w:rPr>
          <w:rFonts w:hint="eastAsia"/>
          <w:color w:val="auto"/>
          <w:sz w:val="24"/>
          <w:highlight w:val="none"/>
        </w:rPr>
      </w:pPr>
      <w:r>
        <w:rPr>
          <w:rFonts w:hint="eastAsia"/>
          <w:color w:val="auto"/>
          <w:sz w:val="24"/>
          <w:highlight w:val="none"/>
        </w:rPr>
        <w:t xml:space="preserve">  </w:t>
      </w:r>
    </w:p>
    <w:p>
      <w:pPr>
        <w:spacing w:line="440" w:lineRule="exact"/>
        <w:ind w:right="480"/>
        <w:jc w:val="center"/>
        <w:rPr>
          <w:rFonts w:hint="eastAsia"/>
          <w:color w:val="auto"/>
          <w:sz w:val="24"/>
          <w:highlight w:val="none"/>
        </w:rPr>
      </w:pPr>
      <w:r>
        <w:rPr>
          <w:rFonts w:hint="eastAsia"/>
          <w:color w:val="auto"/>
          <w:sz w:val="24"/>
          <w:highlight w:val="none"/>
        </w:rPr>
        <w:t xml:space="preserve">                                  日期：    年   月   日</w:t>
      </w:r>
    </w:p>
    <w:p>
      <w:pPr>
        <w:pStyle w:val="39"/>
        <w:outlineLvl w:val="9"/>
        <w:rPr>
          <w:rFonts w:hint="eastAsia"/>
          <w:color w:val="auto"/>
          <w:sz w:val="24"/>
          <w:highlight w:val="none"/>
        </w:rPr>
      </w:pPr>
    </w:p>
    <w:p>
      <w:pPr>
        <w:outlineLvl w:val="9"/>
        <w:rPr>
          <w:rFonts w:hint="eastAsia"/>
          <w:color w:val="auto"/>
          <w:sz w:val="24"/>
          <w:highlight w:val="none"/>
        </w:rPr>
      </w:pPr>
    </w:p>
    <w:p>
      <w:pPr>
        <w:pStyle w:val="39"/>
        <w:outlineLvl w:val="9"/>
        <w:rPr>
          <w:rFonts w:hint="eastAsia"/>
          <w:color w:val="auto"/>
          <w:sz w:val="24"/>
          <w:highlight w:val="none"/>
        </w:rPr>
      </w:pPr>
    </w:p>
    <w:p>
      <w:pPr>
        <w:outlineLvl w:val="9"/>
        <w:rPr>
          <w:rFonts w:hint="eastAsia"/>
          <w:color w:val="auto"/>
          <w:sz w:val="24"/>
          <w:highlight w:val="none"/>
        </w:rPr>
      </w:pPr>
    </w:p>
    <w:p>
      <w:pPr>
        <w:pStyle w:val="39"/>
        <w:outlineLvl w:val="9"/>
        <w:rPr>
          <w:rFonts w:hint="eastAsia"/>
          <w:color w:val="auto"/>
          <w:highlight w:val="none"/>
        </w:rPr>
      </w:pPr>
    </w:p>
    <w:p>
      <w:pPr>
        <w:outlineLvl w:val="9"/>
        <w:rPr>
          <w:rFonts w:hint="eastAsia"/>
          <w:color w:val="auto"/>
          <w:highlight w:val="none"/>
        </w:rPr>
      </w:pPr>
    </w:p>
    <w:p>
      <w:pPr>
        <w:pStyle w:val="113"/>
        <w:rPr>
          <w:rFonts w:hint="eastAsia"/>
          <w:color w:val="auto"/>
          <w:szCs w:val="28"/>
          <w:highlight w:val="none"/>
        </w:rPr>
        <w:sectPr>
          <w:footerReference r:id="rId12" w:type="default"/>
          <w:pgSz w:w="11906" w:h="16838"/>
          <w:pgMar w:top="1418" w:right="1588" w:bottom="1418" w:left="1588" w:header="851" w:footer="992" w:gutter="0"/>
          <w:cols w:space="720" w:num="1"/>
          <w:docGrid w:type="lines" w:linePitch="312" w:charSpace="0"/>
        </w:sectPr>
      </w:pPr>
    </w:p>
    <w:p>
      <w:pPr>
        <w:pStyle w:val="113"/>
        <w:rPr>
          <w:rFonts w:hint="eastAsia" w:ascii="宋体" w:hAnsi="宋体"/>
          <w:color w:val="auto"/>
          <w:sz w:val="32"/>
          <w:szCs w:val="21"/>
          <w:highlight w:val="none"/>
        </w:rPr>
      </w:pPr>
      <w:r>
        <w:rPr>
          <w:rFonts w:hint="eastAsia"/>
          <w:color w:val="auto"/>
          <w:szCs w:val="28"/>
          <w:highlight w:val="none"/>
        </w:rPr>
        <w:t>二、项目负责人简历表</w:t>
      </w:r>
      <w:bookmarkEnd w:id="1400"/>
      <w:bookmarkEnd w:id="1401"/>
      <w:bookmarkEnd w:id="1402"/>
    </w:p>
    <w:p>
      <w:pPr>
        <w:spacing w:line="360" w:lineRule="auto"/>
        <w:jc w:val="center"/>
        <w:rPr>
          <w:rFonts w:hint="eastAsia"/>
          <w:color w:val="auto"/>
          <w:sz w:val="24"/>
          <w:highlight w:val="none"/>
        </w:rPr>
      </w:pPr>
      <w:r>
        <w:rPr>
          <w:rFonts w:hint="eastAsia"/>
          <w:color w:val="auto"/>
          <w:sz w:val="24"/>
          <w:highlight w:val="none"/>
        </w:rPr>
        <w:t xml:space="preserve">  </w:t>
      </w:r>
      <w:r>
        <w:rPr>
          <w:rFonts w:hint="eastAsia"/>
          <w:color w:val="auto"/>
          <w:sz w:val="24"/>
          <w:highlight w:val="none"/>
          <w:u w:val="single"/>
        </w:rPr>
        <w:t xml:space="preserve">                              </w:t>
      </w:r>
      <w:bookmarkStart w:id="1415" w:name="_Toc24576_WPSOffice_Level2"/>
      <w:r>
        <w:rPr>
          <w:rFonts w:hint="eastAsia"/>
          <w:color w:val="auto"/>
          <w:sz w:val="24"/>
          <w:highlight w:val="none"/>
        </w:rPr>
        <w:t>工程</w:t>
      </w:r>
      <w:bookmarkEnd w:id="1415"/>
      <w:r>
        <w:rPr>
          <w:rFonts w:hint="eastAsia"/>
          <w:color w:val="auto"/>
          <w:sz w:val="24"/>
          <w:highlight w:val="none"/>
        </w:rPr>
        <w:t xml:space="preserve"> </w:t>
      </w:r>
    </w:p>
    <w:p>
      <w:pPr>
        <w:spacing w:line="360" w:lineRule="auto"/>
        <w:jc w:val="center"/>
        <w:rPr>
          <w:rFonts w:hint="eastAsia" w:eastAsia="黑体"/>
          <w:color w:val="auto"/>
          <w:sz w:val="44"/>
          <w:highlight w:val="none"/>
        </w:rPr>
      </w:pPr>
      <w:r>
        <w:rPr>
          <w:rFonts w:hint="eastAsia" w:eastAsia="黑体"/>
          <w:color w:val="auto"/>
          <w:sz w:val="44"/>
          <w:highlight w:val="none"/>
        </w:rPr>
        <w:t>项目负责人简历表</w:t>
      </w:r>
    </w:p>
    <w:tbl>
      <w:tblPr>
        <w:tblStyle w:val="42"/>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352"/>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专业</w:t>
            </w:r>
          </w:p>
        </w:tc>
        <w:tc>
          <w:tcPr>
            <w:tcW w:w="135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c>
          <w:tcPr>
            <w:tcW w:w="1089" w:type="dxa"/>
            <w:tcBorders>
              <w:top w:val="nil"/>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c>
          <w:tcPr>
            <w:tcW w:w="972" w:type="dxa"/>
            <w:tcBorders>
              <w:top w:val="nil"/>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学历</w:t>
            </w:r>
          </w:p>
        </w:tc>
        <w:tc>
          <w:tcPr>
            <w:tcW w:w="1352" w:type="dxa"/>
            <w:tcBorders>
              <w:top w:val="nil"/>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Chars="-137" w:hanging="288" w:hangingChars="120"/>
              <w:jc w:val="left"/>
              <w:rPr>
                <w:rFonts w:cs="宋体"/>
                <w:color w:val="auto"/>
                <w:kern w:val="0"/>
                <w:sz w:val="24"/>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从事项目负责人年限</w:t>
            </w:r>
          </w:p>
        </w:tc>
        <w:tc>
          <w:tcPr>
            <w:tcW w:w="1352" w:type="dxa"/>
            <w:tcBorders>
              <w:top w:val="nil"/>
              <w:left w:val="nil"/>
              <w:bottom w:val="single" w:color="000000" w:sz="4" w:space="0"/>
              <w:right w:val="single" w:color="000000" w:sz="4" w:space="0"/>
            </w:tcBorders>
            <w:shd w:val="clear" w:color="auto" w:fill="FFFFFF"/>
            <w:noWrap w:val="0"/>
            <w:vAlign w:val="center"/>
          </w:tcPr>
          <w:p>
            <w:pPr>
              <w:widowControl/>
              <w:jc w:val="left"/>
              <w:rPr>
                <w:rFonts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c>
          <w:tcPr>
            <w:tcW w:w="1116" w:type="dxa"/>
            <w:tcBorders>
              <w:top w:val="nil"/>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身份证</w:t>
            </w:r>
          </w:p>
        </w:tc>
        <w:tc>
          <w:tcPr>
            <w:tcW w:w="325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4"/>
                <w:highlight w:val="none"/>
              </w:rPr>
            </w:pPr>
            <w:r>
              <w:rPr>
                <w:rFonts w:hint="eastAsia" w:cs="宋体"/>
                <w:color w:val="auto"/>
                <w:kern w:val="0"/>
                <w:sz w:val="24"/>
                <w:highlight w:val="none"/>
              </w:rPr>
              <w:t>简</w:t>
            </w:r>
          </w:p>
          <w:p>
            <w:pPr>
              <w:widowControl/>
              <w:jc w:val="center"/>
              <w:rPr>
                <w:rFonts w:hint="eastAsia" w:cs="宋体"/>
                <w:color w:val="auto"/>
                <w:kern w:val="0"/>
                <w:sz w:val="24"/>
                <w:highlight w:val="none"/>
              </w:rPr>
            </w:pPr>
          </w:p>
          <w:p>
            <w:pPr>
              <w:widowControl/>
              <w:jc w:val="center"/>
              <w:rPr>
                <w:rFonts w:hint="eastAsia" w:cs="宋体"/>
                <w:color w:val="auto"/>
                <w:kern w:val="0"/>
                <w:sz w:val="24"/>
                <w:highlight w:val="none"/>
              </w:rPr>
            </w:pPr>
          </w:p>
          <w:p>
            <w:pPr>
              <w:widowControl/>
              <w:jc w:val="center"/>
              <w:rPr>
                <w:rFonts w:hint="eastAsia" w:cs="宋体"/>
                <w:color w:val="auto"/>
                <w:kern w:val="0"/>
                <w:sz w:val="24"/>
                <w:highlight w:val="none"/>
              </w:rPr>
            </w:pPr>
          </w:p>
          <w:p>
            <w:pPr>
              <w:widowControl/>
              <w:jc w:val="center"/>
              <w:rPr>
                <w:rFonts w:hint="eastAsia" w:cs="宋体"/>
                <w:color w:val="auto"/>
                <w:kern w:val="0"/>
                <w:sz w:val="24"/>
                <w:highlight w:val="none"/>
              </w:rPr>
            </w:pPr>
          </w:p>
          <w:p>
            <w:pPr>
              <w:widowControl/>
              <w:jc w:val="center"/>
              <w:rPr>
                <w:rFonts w:hint="eastAsia" w:cs="宋体"/>
                <w:color w:val="auto"/>
                <w:kern w:val="0"/>
                <w:sz w:val="24"/>
                <w:highlight w:val="none"/>
              </w:rPr>
            </w:pPr>
          </w:p>
          <w:p>
            <w:pPr>
              <w:widowControl/>
              <w:jc w:val="center"/>
              <w:rPr>
                <w:rFonts w:cs="宋体"/>
                <w:color w:val="auto"/>
                <w:kern w:val="0"/>
                <w:sz w:val="24"/>
                <w:highlight w:val="none"/>
              </w:rPr>
            </w:pPr>
            <w:r>
              <w:rPr>
                <w:rFonts w:hint="eastAsia" w:cs="宋体"/>
                <w:color w:val="auto"/>
                <w:kern w:val="0"/>
                <w:sz w:val="24"/>
                <w:highlight w:val="none"/>
              </w:rPr>
              <w:t>历</w:t>
            </w:r>
          </w:p>
        </w:tc>
        <w:tc>
          <w:tcPr>
            <w:tcW w:w="729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cs="宋体"/>
                <w:color w:val="auto"/>
                <w:kern w:val="0"/>
                <w:sz w:val="24"/>
                <w:highlight w:val="none"/>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cs="宋体"/>
                <w:color w:val="auto"/>
                <w:kern w:val="0"/>
                <w:sz w:val="22"/>
                <w:szCs w:val="22"/>
                <w:highlight w:val="none"/>
              </w:rPr>
            </w:pPr>
          </w:p>
        </w:tc>
        <w:tc>
          <w:tcPr>
            <w:tcW w:w="729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cs="宋体"/>
                <w:color w:val="auto"/>
                <w:kern w:val="0"/>
                <w:sz w:val="22"/>
                <w:szCs w:val="22"/>
                <w:highlight w:val="none"/>
              </w:rPr>
            </w:pPr>
          </w:p>
        </w:tc>
      </w:tr>
    </w:tbl>
    <w:p>
      <w:pPr>
        <w:spacing w:line="440" w:lineRule="exact"/>
        <w:ind w:right="480" w:firstLine="4800" w:firstLineChars="2000"/>
        <w:rPr>
          <w:rFonts w:hint="eastAsia"/>
          <w:color w:val="auto"/>
          <w:sz w:val="24"/>
          <w:highlight w:val="none"/>
        </w:rPr>
      </w:pPr>
      <w:r>
        <w:rPr>
          <w:rFonts w:hint="eastAsia"/>
          <w:color w:val="auto"/>
          <w:sz w:val="24"/>
          <w:highlight w:val="none"/>
        </w:rPr>
        <w:t xml:space="preserve">法定代表人（签字或盖章）： </w:t>
      </w:r>
    </w:p>
    <w:p>
      <w:pPr>
        <w:spacing w:line="440" w:lineRule="exact"/>
        <w:ind w:right="480"/>
        <w:jc w:val="center"/>
        <w:rPr>
          <w:rFonts w:hint="eastAsia"/>
          <w:color w:val="auto"/>
          <w:sz w:val="24"/>
          <w:highlight w:val="none"/>
        </w:rPr>
      </w:pPr>
      <w:r>
        <w:rPr>
          <w:rFonts w:hint="eastAsia"/>
          <w:color w:val="auto"/>
          <w:highlight w:val="none"/>
        </w:rPr>
        <w:t xml:space="preserve">                                </w:t>
      </w:r>
      <w:r>
        <w:rPr>
          <w:rFonts w:hint="eastAsia"/>
          <w:color w:val="auto"/>
          <w:sz w:val="24"/>
          <w:highlight w:val="none"/>
        </w:rPr>
        <w:t xml:space="preserve">  </w:t>
      </w:r>
    </w:p>
    <w:p>
      <w:pPr>
        <w:spacing w:line="440" w:lineRule="exact"/>
        <w:ind w:right="480"/>
        <w:jc w:val="center"/>
        <w:rPr>
          <w:rFonts w:hint="eastAsia"/>
          <w:color w:val="auto"/>
          <w:sz w:val="24"/>
          <w:highlight w:val="none"/>
        </w:rPr>
      </w:pPr>
      <w:r>
        <w:rPr>
          <w:rFonts w:hint="eastAsia"/>
          <w:color w:val="auto"/>
          <w:sz w:val="24"/>
          <w:highlight w:val="none"/>
        </w:rPr>
        <w:t xml:space="preserve">                                </w:t>
      </w:r>
      <w:bookmarkStart w:id="1416" w:name="_Toc20049_WPSOffice_Level2"/>
      <w:r>
        <w:rPr>
          <w:rFonts w:hint="eastAsia"/>
          <w:color w:val="auto"/>
          <w:sz w:val="24"/>
          <w:highlight w:val="none"/>
        </w:rPr>
        <w:t>投 标 人（盖章）：</w:t>
      </w:r>
      <w:bookmarkEnd w:id="1416"/>
      <w:r>
        <w:rPr>
          <w:rFonts w:hint="eastAsia"/>
          <w:color w:val="auto"/>
          <w:sz w:val="24"/>
          <w:highlight w:val="none"/>
        </w:rPr>
        <w:t xml:space="preserve">  </w:t>
      </w:r>
    </w:p>
    <w:p>
      <w:pPr>
        <w:spacing w:line="440" w:lineRule="exact"/>
        <w:ind w:right="480"/>
        <w:jc w:val="center"/>
        <w:rPr>
          <w:rFonts w:hint="eastAsia"/>
          <w:color w:val="auto"/>
          <w:sz w:val="24"/>
          <w:highlight w:val="none"/>
        </w:rPr>
      </w:pPr>
      <w:r>
        <w:rPr>
          <w:rFonts w:hint="eastAsia"/>
          <w:color w:val="auto"/>
          <w:sz w:val="24"/>
          <w:highlight w:val="none"/>
        </w:rPr>
        <w:t xml:space="preserve">                                  日期：    年   月   日</w:t>
      </w:r>
    </w:p>
    <w:p>
      <w:pPr>
        <w:pStyle w:val="113"/>
        <w:rPr>
          <w:rFonts w:hint="eastAsia"/>
          <w:color w:val="auto"/>
          <w:szCs w:val="28"/>
          <w:highlight w:val="none"/>
        </w:rPr>
      </w:pPr>
      <w:bookmarkStart w:id="1417" w:name="_Toc16521989"/>
      <w:bookmarkStart w:id="1418" w:name="_Toc11309"/>
      <w:bookmarkStart w:id="1419" w:name="_Toc21812_WPSOffice_Level1"/>
      <w:r>
        <w:rPr>
          <w:rFonts w:hint="eastAsia"/>
          <w:color w:val="auto"/>
          <w:szCs w:val="28"/>
          <w:highlight w:val="none"/>
        </w:rPr>
        <w:t>三、技术负责人简历表</w:t>
      </w:r>
      <w:bookmarkEnd w:id="1417"/>
      <w:bookmarkEnd w:id="1418"/>
      <w:bookmarkEnd w:id="1419"/>
    </w:p>
    <w:p>
      <w:pPr>
        <w:spacing w:line="440" w:lineRule="exact"/>
        <w:jc w:val="center"/>
        <w:rPr>
          <w:rFonts w:hint="eastAsia" w:eastAsia="黑体"/>
          <w:color w:val="auto"/>
          <w:sz w:val="20"/>
          <w:szCs w:val="20"/>
          <w:highlight w:val="none"/>
        </w:rPr>
      </w:pPr>
    </w:p>
    <w:p>
      <w:pPr>
        <w:spacing w:line="360" w:lineRule="auto"/>
        <w:jc w:val="center"/>
        <w:rPr>
          <w:rFonts w:hint="eastAsia"/>
          <w:color w:val="auto"/>
          <w:sz w:val="24"/>
          <w:highlight w:val="none"/>
        </w:rPr>
      </w:pPr>
      <w:r>
        <w:rPr>
          <w:rFonts w:hint="eastAsia"/>
          <w:color w:val="auto"/>
          <w:sz w:val="24"/>
          <w:highlight w:val="none"/>
          <w:u w:val="single"/>
        </w:rPr>
        <w:t xml:space="preserve">                              </w:t>
      </w:r>
      <w:bookmarkStart w:id="1420" w:name="_Toc17656_WPSOffice_Level2"/>
      <w:r>
        <w:rPr>
          <w:rFonts w:hint="eastAsia"/>
          <w:color w:val="auto"/>
          <w:sz w:val="24"/>
          <w:highlight w:val="none"/>
        </w:rPr>
        <w:t>工程</w:t>
      </w:r>
      <w:bookmarkEnd w:id="1420"/>
    </w:p>
    <w:p>
      <w:pPr>
        <w:spacing w:line="360" w:lineRule="auto"/>
        <w:jc w:val="center"/>
        <w:rPr>
          <w:rFonts w:hint="eastAsia" w:eastAsia="黑体"/>
          <w:color w:val="auto"/>
          <w:sz w:val="44"/>
          <w:highlight w:val="none"/>
        </w:rPr>
      </w:pPr>
      <w:r>
        <w:rPr>
          <w:rFonts w:hint="eastAsia" w:eastAsia="黑体"/>
          <w:color w:val="auto"/>
          <w:sz w:val="44"/>
          <w:highlight w:val="none"/>
        </w:rPr>
        <w:t>技术负责人简历表</w:t>
      </w:r>
    </w:p>
    <w:tbl>
      <w:tblPr>
        <w:tblStyle w:val="42"/>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c>
          <w:tcPr>
            <w:tcW w:w="1080" w:type="dxa"/>
            <w:tcBorders>
              <w:top w:val="nil"/>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学历</w:t>
            </w:r>
          </w:p>
        </w:tc>
        <w:tc>
          <w:tcPr>
            <w:tcW w:w="1500" w:type="dxa"/>
            <w:tcBorders>
              <w:top w:val="nil"/>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7935"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pPr>
              <w:widowControl/>
              <w:jc w:val="center"/>
              <w:rPr>
                <w:rFonts w:hint="eastAsia" w:cs="宋体"/>
                <w:color w:val="auto"/>
                <w:kern w:val="0"/>
                <w:sz w:val="24"/>
                <w:highlight w:val="none"/>
              </w:rPr>
            </w:pPr>
            <w:r>
              <w:rPr>
                <w:rFonts w:hint="eastAsia" w:cs="宋体"/>
                <w:color w:val="auto"/>
                <w:kern w:val="0"/>
                <w:sz w:val="24"/>
                <w:highlight w:val="none"/>
              </w:rPr>
              <w:t>简</w:t>
            </w:r>
          </w:p>
          <w:p>
            <w:pPr>
              <w:widowControl/>
              <w:jc w:val="center"/>
              <w:rPr>
                <w:rFonts w:hint="eastAsia" w:cs="宋体"/>
                <w:color w:val="auto"/>
                <w:kern w:val="0"/>
                <w:sz w:val="24"/>
                <w:highlight w:val="none"/>
              </w:rPr>
            </w:pPr>
          </w:p>
          <w:p>
            <w:pPr>
              <w:widowControl/>
              <w:jc w:val="center"/>
              <w:rPr>
                <w:rFonts w:hint="eastAsia" w:cs="宋体"/>
                <w:color w:val="auto"/>
                <w:kern w:val="0"/>
                <w:sz w:val="24"/>
                <w:highlight w:val="none"/>
              </w:rPr>
            </w:pPr>
          </w:p>
          <w:p>
            <w:pPr>
              <w:widowControl/>
              <w:jc w:val="center"/>
              <w:rPr>
                <w:rFonts w:hint="eastAsia" w:cs="宋体"/>
                <w:color w:val="auto"/>
                <w:kern w:val="0"/>
                <w:sz w:val="24"/>
                <w:highlight w:val="none"/>
              </w:rPr>
            </w:pPr>
          </w:p>
          <w:p>
            <w:pPr>
              <w:widowControl/>
              <w:jc w:val="center"/>
              <w:rPr>
                <w:rFonts w:hint="eastAsia" w:cs="宋体"/>
                <w:color w:val="auto"/>
                <w:kern w:val="0"/>
                <w:sz w:val="24"/>
                <w:highlight w:val="none"/>
              </w:rPr>
            </w:pPr>
          </w:p>
          <w:p>
            <w:pPr>
              <w:widowControl/>
              <w:jc w:val="center"/>
              <w:rPr>
                <w:rFonts w:hint="eastAsia" w:cs="宋体"/>
                <w:color w:val="auto"/>
                <w:kern w:val="0"/>
                <w:sz w:val="24"/>
                <w:highlight w:val="none"/>
              </w:rPr>
            </w:pPr>
          </w:p>
          <w:p>
            <w:pPr>
              <w:widowControl/>
              <w:jc w:val="center"/>
              <w:rPr>
                <w:rFonts w:cs="宋体"/>
                <w:color w:val="auto"/>
                <w:kern w:val="0"/>
                <w:sz w:val="24"/>
                <w:highlight w:val="none"/>
              </w:rPr>
            </w:pPr>
            <w:r>
              <w:rPr>
                <w:rFonts w:hint="eastAsia" w:cs="宋体"/>
                <w:color w:val="auto"/>
                <w:kern w:val="0"/>
                <w:sz w:val="24"/>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pPr>
              <w:widowControl/>
              <w:jc w:val="left"/>
              <w:rPr>
                <w:rFonts w:hint="eastAsia" w:cs="宋体"/>
                <w:color w:val="auto"/>
                <w:kern w:val="0"/>
                <w:sz w:val="24"/>
                <w:highlight w:val="none"/>
              </w:rPr>
            </w:pPr>
            <w:r>
              <w:rPr>
                <w:rFonts w:hint="eastAsia" w:cs="宋体"/>
                <w:color w:val="auto"/>
                <w:kern w:val="0"/>
                <w:sz w:val="24"/>
                <w:highlight w:val="none"/>
              </w:rPr>
              <w:t>　</w:t>
            </w:r>
          </w:p>
          <w:p>
            <w:pPr>
              <w:widowControl/>
              <w:jc w:val="left"/>
              <w:rPr>
                <w:rFonts w:hint="eastAsia" w:cs="宋体"/>
                <w:color w:val="auto"/>
                <w:kern w:val="0"/>
                <w:sz w:val="24"/>
                <w:highlight w:val="none"/>
              </w:rPr>
            </w:pPr>
          </w:p>
          <w:p>
            <w:pPr>
              <w:widowControl/>
              <w:jc w:val="left"/>
              <w:rPr>
                <w:rFonts w:hint="eastAsia" w:cs="宋体"/>
                <w:color w:val="auto"/>
                <w:kern w:val="0"/>
                <w:sz w:val="24"/>
                <w:highlight w:val="none"/>
              </w:rPr>
            </w:pPr>
          </w:p>
          <w:p>
            <w:pPr>
              <w:widowControl/>
              <w:jc w:val="left"/>
              <w:rPr>
                <w:rFonts w:hint="eastAsia" w:cs="宋体"/>
                <w:color w:val="auto"/>
                <w:kern w:val="0"/>
                <w:sz w:val="24"/>
                <w:highlight w:val="none"/>
              </w:rPr>
            </w:pPr>
          </w:p>
          <w:p>
            <w:pPr>
              <w:widowControl/>
              <w:jc w:val="left"/>
              <w:rPr>
                <w:rFonts w:hint="eastAsia" w:cs="宋体"/>
                <w:color w:val="auto"/>
                <w:kern w:val="0"/>
                <w:sz w:val="24"/>
                <w:highlight w:val="none"/>
              </w:rPr>
            </w:pPr>
          </w:p>
          <w:p>
            <w:pPr>
              <w:widowControl/>
              <w:jc w:val="left"/>
              <w:rPr>
                <w:rFonts w:hint="eastAsia" w:cs="宋体"/>
                <w:color w:val="auto"/>
                <w:kern w:val="0"/>
                <w:sz w:val="24"/>
                <w:highlight w:val="none"/>
              </w:rPr>
            </w:pPr>
          </w:p>
          <w:p>
            <w:pPr>
              <w:widowControl/>
              <w:jc w:val="left"/>
              <w:rPr>
                <w:rFonts w:hint="eastAsia" w:cs="宋体"/>
                <w:color w:val="auto"/>
                <w:kern w:val="0"/>
                <w:sz w:val="24"/>
                <w:highlight w:val="none"/>
              </w:rPr>
            </w:pPr>
          </w:p>
          <w:p>
            <w:pPr>
              <w:widowControl/>
              <w:jc w:val="left"/>
              <w:rPr>
                <w:rFonts w:hint="eastAsia" w:cs="宋体"/>
                <w:color w:val="auto"/>
                <w:kern w:val="0"/>
                <w:sz w:val="24"/>
                <w:highlight w:val="none"/>
              </w:rPr>
            </w:pPr>
          </w:p>
          <w:p>
            <w:pPr>
              <w:widowControl/>
              <w:jc w:val="left"/>
              <w:rPr>
                <w:rFonts w:hint="eastAsia" w:cs="宋体"/>
                <w:color w:val="auto"/>
                <w:kern w:val="0"/>
                <w:sz w:val="24"/>
                <w:highlight w:val="none"/>
              </w:rPr>
            </w:pPr>
          </w:p>
          <w:p>
            <w:pPr>
              <w:widowControl/>
              <w:jc w:val="left"/>
              <w:rPr>
                <w:rFonts w:hint="eastAsia" w:cs="宋体"/>
                <w:color w:val="auto"/>
                <w:kern w:val="0"/>
                <w:sz w:val="24"/>
                <w:highlight w:val="none"/>
              </w:rPr>
            </w:pPr>
          </w:p>
          <w:p>
            <w:pPr>
              <w:widowControl/>
              <w:jc w:val="left"/>
              <w:rPr>
                <w:rFonts w:hint="eastAsia" w:cs="宋体"/>
                <w:color w:val="auto"/>
                <w:kern w:val="0"/>
                <w:sz w:val="24"/>
                <w:highlight w:val="none"/>
              </w:rPr>
            </w:pPr>
          </w:p>
          <w:p>
            <w:pPr>
              <w:widowControl/>
              <w:jc w:val="left"/>
              <w:rPr>
                <w:rFonts w:hint="eastAsia" w:cs="宋体"/>
                <w:color w:val="auto"/>
                <w:kern w:val="0"/>
                <w:sz w:val="24"/>
                <w:highlight w:val="none"/>
              </w:rPr>
            </w:pPr>
          </w:p>
        </w:tc>
      </w:tr>
    </w:tbl>
    <w:p>
      <w:pPr>
        <w:spacing w:line="440" w:lineRule="exact"/>
        <w:ind w:right="480" w:firstLine="4800" w:firstLineChars="2000"/>
        <w:rPr>
          <w:rFonts w:hint="eastAsia"/>
          <w:color w:val="auto"/>
          <w:sz w:val="24"/>
          <w:highlight w:val="none"/>
        </w:rPr>
      </w:pPr>
      <w:r>
        <w:rPr>
          <w:rFonts w:hint="eastAsia"/>
          <w:color w:val="auto"/>
          <w:sz w:val="24"/>
          <w:highlight w:val="none"/>
        </w:rPr>
        <w:t xml:space="preserve">法定代表人（签字或盖章）： </w:t>
      </w:r>
    </w:p>
    <w:p>
      <w:pPr>
        <w:spacing w:line="440" w:lineRule="exact"/>
        <w:jc w:val="right"/>
        <w:rPr>
          <w:rFonts w:hint="eastAsia"/>
          <w:color w:val="auto"/>
          <w:sz w:val="24"/>
          <w:highlight w:val="none"/>
        </w:rPr>
      </w:pPr>
      <w:r>
        <w:rPr>
          <w:rFonts w:hint="eastAsia"/>
          <w:color w:val="auto"/>
          <w:sz w:val="24"/>
          <w:highlight w:val="none"/>
        </w:rPr>
        <w:t xml:space="preserve"> </w:t>
      </w:r>
    </w:p>
    <w:p>
      <w:pPr>
        <w:spacing w:line="440" w:lineRule="exact"/>
        <w:ind w:right="480"/>
        <w:jc w:val="center"/>
        <w:rPr>
          <w:rFonts w:hint="eastAsia"/>
          <w:color w:val="auto"/>
          <w:sz w:val="24"/>
          <w:highlight w:val="none"/>
        </w:rPr>
      </w:pPr>
      <w:r>
        <w:rPr>
          <w:rFonts w:hint="eastAsia"/>
          <w:color w:val="auto"/>
          <w:sz w:val="24"/>
          <w:highlight w:val="none"/>
        </w:rPr>
        <w:t xml:space="preserve">                                </w:t>
      </w:r>
      <w:bookmarkStart w:id="1421" w:name="_Toc14993_WPSOffice_Level2"/>
      <w:r>
        <w:rPr>
          <w:rFonts w:hint="eastAsia"/>
          <w:color w:val="auto"/>
          <w:sz w:val="24"/>
          <w:highlight w:val="none"/>
        </w:rPr>
        <w:t>投 标 人（盖章）：</w:t>
      </w:r>
      <w:bookmarkEnd w:id="1421"/>
      <w:r>
        <w:rPr>
          <w:rFonts w:hint="eastAsia"/>
          <w:color w:val="auto"/>
          <w:sz w:val="24"/>
          <w:highlight w:val="none"/>
        </w:rPr>
        <w:t xml:space="preserve">  </w:t>
      </w:r>
    </w:p>
    <w:p>
      <w:pPr>
        <w:spacing w:line="440" w:lineRule="exact"/>
        <w:jc w:val="right"/>
        <w:rPr>
          <w:rFonts w:hint="eastAsia"/>
          <w:color w:val="auto"/>
          <w:sz w:val="24"/>
          <w:highlight w:val="none"/>
        </w:rPr>
      </w:pPr>
      <w:r>
        <w:rPr>
          <w:rFonts w:hint="eastAsia"/>
          <w:color w:val="auto"/>
          <w:sz w:val="24"/>
          <w:highlight w:val="none"/>
        </w:rPr>
        <w:t xml:space="preserve">    日期：    年   月   日</w:t>
      </w:r>
    </w:p>
    <w:p>
      <w:pPr>
        <w:pStyle w:val="113"/>
        <w:rPr>
          <w:rFonts w:hint="eastAsia"/>
          <w:color w:val="auto"/>
          <w:szCs w:val="28"/>
          <w:highlight w:val="none"/>
        </w:rPr>
      </w:pPr>
      <w:bookmarkStart w:id="1422" w:name="_Toc30347"/>
      <w:bookmarkStart w:id="1423" w:name="_Toc21641_WPSOffice_Level1"/>
      <w:bookmarkStart w:id="1424" w:name="_Toc16521990"/>
      <w:r>
        <w:rPr>
          <w:rFonts w:hint="eastAsia"/>
          <w:color w:val="auto"/>
          <w:szCs w:val="28"/>
          <w:highlight w:val="none"/>
        </w:rPr>
        <w:t>四、主要施工机械设备表</w:t>
      </w:r>
      <w:bookmarkEnd w:id="1422"/>
      <w:bookmarkEnd w:id="1423"/>
      <w:bookmarkEnd w:id="1424"/>
    </w:p>
    <w:p>
      <w:pPr>
        <w:spacing w:line="440" w:lineRule="exact"/>
        <w:jc w:val="center"/>
        <w:rPr>
          <w:rFonts w:hint="eastAsia" w:eastAsia="黑体"/>
          <w:color w:val="auto"/>
          <w:sz w:val="20"/>
          <w:szCs w:val="20"/>
          <w:highlight w:val="none"/>
        </w:rPr>
      </w:pPr>
    </w:p>
    <w:p>
      <w:pPr>
        <w:spacing w:line="360" w:lineRule="auto"/>
        <w:jc w:val="center"/>
        <w:rPr>
          <w:rFonts w:hint="eastAsia"/>
          <w:color w:val="auto"/>
          <w:sz w:val="24"/>
          <w:highlight w:val="none"/>
        </w:rPr>
      </w:pPr>
      <w:r>
        <w:rPr>
          <w:rFonts w:hint="eastAsia"/>
          <w:color w:val="auto"/>
          <w:sz w:val="24"/>
          <w:highlight w:val="none"/>
          <w:u w:val="single"/>
        </w:rPr>
        <w:t xml:space="preserve">                              </w:t>
      </w:r>
      <w:bookmarkStart w:id="1425" w:name="_Toc31234_WPSOffice_Level2"/>
      <w:r>
        <w:rPr>
          <w:rFonts w:hint="eastAsia"/>
          <w:color w:val="auto"/>
          <w:sz w:val="24"/>
          <w:highlight w:val="none"/>
        </w:rPr>
        <w:t>工程</w:t>
      </w:r>
      <w:bookmarkEnd w:id="1425"/>
    </w:p>
    <w:p>
      <w:pPr>
        <w:spacing w:line="360" w:lineRule="auto"/>
        <w:jc w:val="center"/>
        <w:rPr>
          <w:rFonts w:hint="eastAsia" w:eastAsia="黑体"/>
          <w:color w:val="auto"/>
          <w:sz w:val="44"/>
          <w:highlight w:val="none"/>
        </w:rPr>
      </w:pPr>
      <w:r>
        <w:rPr>
          <w:rFonts w:hint="eastAsia" w:eastAsia="黑体"/>
          <w:color w:val="auto"/>
          <w:sz w:val="44"/>
          <w:highlight w:val="none"/>
        </w:rPr>
        <w:t>主要施工机械设备表</w:t>
      </w:r>
    </w:p>
    <w:tbl>
      <w:tblPr>
        <w:tblStyle w:val="42"/>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cs="宋体"/>
                <w:color w:val="auto"/>
                <w:kern w:val="0"/>
                <w:sz w:val="22"/>
                <w:szCs w:val="22"/>
                <w:highlight w:val="none"/>
              </w:rPr>
            </w:pPr>
            <w:r>
              <w:rPr>
                <w:rFonts w:hint="eastAsia" w:cs="宋体"/>
                <w:color w:val="auto"/>
                <w:kern w:val="0"/>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2"/>
                <w:szCs w:val="22"/>
                <w:highlight w:val="none"/>
              </w:rPr>
            </w:pPr>
            <w:r>
              <w:rPr>
                <w:rFonts w:hint="eastAsia" w:cs="宋体"/>
                <w:color w:val="auto"/>
                <w:kern w:val="0"/>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2"/>
                <w:szCs w:val="22"/>
                <w:highlight w:val="none"/>
              </w:rPr>
            </w:pPr>
            <w:r>
              <w:rPr>
                <w:rFonts w:hint="eastAsia" w:cs="宋体"/>
                <w:color w:val="auto"/>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2"/>
                <w:szCs w:val="22"/>
                <w:highlight w:val="none"/>
              </w:rPr>
            </w:pPr>
            <w:r>
              <w:rPr>
                <w:rFonts w:hint="eastAsia" w:cs="宋体"/>
                <w:color w:val="auto"/>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2"/>
                <w:szCs w:val="22"/>
                <w:highlight w:val="none"/>
              </w:rPr>
            </w:pPr>
            <w:r>
              <w:rPr>
                <w:rFonts w:hint="eastAsia" w:cs="宋体"/>
                <w:color w:val="auto"/>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2"/>
                <w:szCs w:val="22"/>
                <w:highlight w:val="none"/>
              </w:rPr>
            </w:pPr>
            <w:r>
              <w:rPr>
                <w:rFonts w:hint="eastAsia" w:cs="宋体"/>
                <w:color w:val="auto"/>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cs="宋体"/>
                <w:color w:val="auto"/>
                <w:kern w:val="0"/>
                <w:sz w:val="22"/>
                <w:szCs w:val="22"/>
                <w:highlight w:val="none"/>
              </w:rPr>
            </w:pPr>
            <w:r>
              <w:rPr>
                <w:rFonts w:hint="eastAsia" w:cs="宋体"/>
                <w:color w:val="auto"/>
                <w:kern w:val="0"/>
                <w:sz w:val="22"/>
                <w:szCs w:val="22"/>
                <w:highlight w:val="none"/>
              </w:rPr>
              <w:t>备注</w:t>
            </w: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eastAsia" w:cs="宋体"/>
                <w:color w:val="auto"/>
                <w:kern w:val="0"/>
                <w:sz w:val="22"/>
                <w:szCs w:val="22"/>
                <w:highlight w:val="none"/>
              </w:rPr>
            </w:pPr>
          </w:p>
        </w:tc>
      </w:tr>
    </w:tbl>
    <w:p>
      <w:pPr>
        <w:spacing w:line="440" w:lineRule="exact"/>
        <w:jc w:val="right"/>
        <w:rPr>
          <w:rFonts w:hint="eastAsia"/>
          <w:color w:val="auto"/>
          <w:sz w:val="24"/>
          <w:highlight w:val="none"/>
        </w:rPr>
      </w:pPr>
    </w:p>
    <w:p>
      <w:pPr>
        <w:spacing w:line="440" w:lineRule="exact"/>
        <w:ind w:right="480" w:firstLine="4800" w:firstLineChars="2000"/>
        <w:rPr>
          <w:rFonts w:hint="eastAsia"/>
          <w:color w:val="auto"/>
          <w:sz w:val="24"/>
          <w:highlight w:val="none"/>
        </w:rPr>
      </w:pPr>
      <w:r>
        <w:rPr>
          <w:rFonts w:hint="eastAsia"/>
          <w:color w:val="auto"/>
          <w:sz w:val="24"/>
          <w:highlight w:val="none"/>
        </w:rPr>
        <w:t xml:space="preserve">法定代表人（签字或盖章）： </w:t>
      </w:r>
    </w:p>
    <w:p>
      <w:pPr>
        <w:spacing w:line="440" w:lineRule="exact"/>
        <w:jc w:val="right"/>
        <w:rPr>
          <w:rFonts w:hint="eastAsia"/>
          <w:color w:val="auto"/>
          <w:sz w:val="24"/>
          <w:highlight w:val="none"/>
        </w:rPr>
      </w:pPr>
      <w:r>
        <w:rPr>
          <w:rFonts w:hint="eastAsia"/>
          <w:color w:val="auto"/>
          <w:sz w:val="24"/>
          <w:highlight w:val="none"/>
        </w:rPr>
        <w:t xml:space="preserve"> </w:t>
      </w:r>
    </w:p>
    <w:p>
      <w:pPr>
        <w:spacing w:line="440" w:lineRule="exact"/>
        <w:ind w:right="480"/>
        <w:jc w:val="center"/>
        <w:rPr>
          <w:rFonts w:hint="eastAsia"/>
          <w:color w:val="auto"/>
          <w:sz w:val="24"/>
          <w:highlight w:val="none"/>
        </w:rPr>
      </w:pPr>
      <w:r>
        <w:rPr>
          <w:rFonts w:hint="eastAsia"/>
          <w:color w:val="auto"/>
          <w:sz w:val="24"/>
          <w:highlight w:val="none"/>
        </w:rPr>
        <w:t xml:space="preserve">                                </w:t>
      </w:r>
      <w:bookmarkStart w:id="1426" w:name="_Toc17511_WPSOffice_Level2"/>
      <w:r>
        <w:rPr>
          <w:rFonts w:hint="eastAsia"/>
          <w:color w:val="auto"/>
          <w:sz w:val="24"/>
          <w:highlight w:val="none"/>
        </w:rPr>
        <w:t>投 标 人（盖章）：</w:t>
      </w:r>
      <w:bookmarkEnd w:id="1426"/>
      <w:r>
        <w:rPr>
          <w:rFonts w:hint="eastAsia"/>
          <w:color w:val="auto"/>
          <w:sz w:val="24"/>
          <w:highlight w:val="none"/>
        </w:rPr>
        <w:t xml:space="preserve">  </w:t>
      </w:r>
    </w:p>
    <w:p>
      <w:pPr>
        <w:spacing w:line="440" w:lineRule="exact"/>
        <w:jc w:val="right"/>
        <w:rPr>
          <w:rFonts w:hint="eastAsia"/>
          <w:color w:val="auto"/>
          <w:sz w:val="24"/>
          <w:highlight w:val="none"/>
        </w:rPr>
      </w:pPr>
      <w:r>
        <w:rPr>
          <w:rFonts w:hint="eastAsia"/>
          <w:color w:val="auto"/>
          <w:sz w:val="24"/>
          <w:highlight w:val="none"/>
        </w:rPr>
        <w:t xml:space="preserve"> </w:t>
      </w:r>
    </w:p>
    <w:p>
      <w:pPr>
        <w:spacing w:line="440" w:lineRule="exact"/>
        <w:ind w:firstLine="480"/>
        <w:jc w:val="right"/>
        <w:rPr>
          <w:rFonts w:hint="eastAsia"/>
          <w:color w:val="auto"/>
          <w:szCs w:val="21"/>
          <w:highlight w:val="none"/>
        </w:rPr>
      </w:pPr>
      <w:r>
        <w:rPr>
          <w:rFonts w:hint="eastAsia"/>
          <w:color w:val="auto"/>
          <w:sz w:val="24"/>
          <w:highlight w:val="none"/>
        </w:rPr>
        <w:t>日期：    年   月   日</w:t>
      </w:r>
      <w:bookmarkStart w:id="1427" w:name="_Toc370743417"/>
    </w:p>
    <w:p>
      <w:pPr>
        <w:pStyle w:val="113"/>
        <w:rPr>
          <w:rFonts w:hint="eastAsia"/>
          <w:color w:val="auto"/>
          <w:szCs w:val="28"/>
          <w:highlight w:val="none"/>
        </w:rPr>
        <w:sectPr>
          <w:pgSz w:w="11906" w:h="16838"/>
          <w:pgMar w:top="1418" w:right="1588" w:bottom="1418" w:left="1588" w:header="851" w:footer="992" w:gutter="0"/>
          <w:cols w:space="720" w:num="1"/>
          <w:docGrid w:type="lines" w:linePitch="312" w:charSpace="0"/>
        </w:sectPr>
      </w:pPr>
      <w:bookmarkStart w:id="1428" w:name="_Toc16521994"/>
      <w:bookmarkStart w:id="1429" w:name="_Toc14987_WPSOffice_Level1"/>
      <w:bookmarkStart w:id="1430" w:name="_Toc26885"/>
      <w:bookmarkStart w:id="1431" w:name="_Toc370743414"/>
      <w:bookmarkStart w:id="1432" w:name="_Toc365645477"/>
    </w:p>
    <w:p>
      <w:pPr>
        <w:pStyle w:val="113"/>
        <w:rPr>
          <w:rFonts w:hint="eastAsia"/>
          <w:color w:val="auto"/>
          <w:szCs w:val="28"/>
          <w:highlight w:val="none"/>
        </w:rPr>
      </w:pPr>
      <w:r>
        <w:rPr>
          <w:rFonts w:hint="eastAsia"/>
          <w:color w:val="auto"/>
          <w:szCs w:val="28"/>
          <w:highlight w:val="none"/>
        </w:rPr>
        <w:t>五、台州市建设工程诚信投标承诺书</w:t>
      </w:r>
      <w:bookmarkEnd w:id="1428"/>
      <w:bookmarkEnd w:id="1429"/>
      <w:bookmarkEnd w:id="1430"/>
      <w:bookmarkEnd w:id="1431"/>
      <w:bookmarkEnd w:id="1432"/>
    </w:p>
    <w:p>
      <w:pPr>
        <w:spacing w:line="440" w:lineRule="exact"/>
        <w:ind w:firstLine="700" w:firstLineChars="250"/>
        <w:jc w:val="center"/>
        <w:rPr>
          <w:rFonts w:hint="eastAsia" w:eastAsia="黑体"/>
          <w:color w:val="auto"/>
          <w:sz w:val="28"/>
          <w:szCs w:val="28"/>
          <w:highlight w:val="none"/>
        </w:rPr>
      </w:pPr>
    </w:p>
    <w:p>
      <w:pPr>
        <w:spacing w:line="360" w:lineRule="auto"/>
        <w:jc w:val="center"/>
        <w:rPr>
          <w:rFonts w:hint="eastAsia"/>
          <w:bCs/>
          <w:color w:val="auto"/>
          <w:sz w:val="44"/>
          <w:highlight w:val="none"/>
        </w:rPr>
      </w:pPr>
      <w:bookmarkStart w:id="1433" w:name="_Toc28448_WPSOffice_Level2"/>
      <w:r>
        <w:rPr>
          <w:rFonts w:hint="eastAsia" w:eastAsia="黑体"/>
          <w:color w:val="auto"/>
          <w:sz w:val="44"/>
          <w:highlight w:val="none"/>
        </w:rPr>
        <w:t>台州市建设工程诚信投标承诺书</w:t>
      </w:r>
      <w:bookmarkEnd w:id="1433"/>
    </w:p>
    <w:p>
      <w:pPr>
        <w:adjustRightInd w:val="0"/>
        <w:snapToGrid w:val="0"/>
        <w:spacing w:line="360" w:lineRule="auto"/>
        <w:rPr>
          <w:rFonts w:hint="eastAsia"/>
          <w:color w:val="auto"/>
          <w:sz w:val="24"/>
          <w:highlight w:val="none"/>
        </w:rPr>
      </w:pPr>
    </w:p>
    <w:p>
      <w:pPr>
        <w:adjustRightInd w:val="0"/>
        <w:snapToGrid w:val="0"/>
        <w:spacing w:line="420" w:lineRule="auto"/>
        <w:ind w:firstLine="491" w:firstLineChars="205"/>
        <w:rPr>
          <w:rFonts w:hint="eastAsia" w:ascii="宋体" w:hAnsi="宋体"/>
          <w:color w:val="auto"/>
          <w:sz w:val="24"/>
          <w:highlight w:val="none"/>
        </w:rPr>
      </w:pPr>
      <w:r>
        <w:rPr>
          <w:rFonts w:hint="eastAsia" w:ascii="宋体" w:hAnsi="宋体"/>
          <w:color w:val="auto"/>
          <w:sz w:val="24"/>
          <w:highlight w:val="none"/>
        </w:rPr>
        <w:t>本人以企业法定代表人的身份郑重承诺：</w:t>
      </w:r>
    </w:p>
    <w:p>
      <w:pPr>
        <w:adjustRightInd w:val="0"/>
        <w:snapToGrid w:val="0"/>
        <w:spacing w:line="420" w:lineRule="auto"/>
        <w:ind w:firstLine="513" w:firstLineChars="214"/>
        <w:rPr>
          <w:rFonts w:hint="eastAsia" w:ascii="宋体" w:hAnsi="宋体"/>
          <w:color w:val="auto"/>
          <w:sz w:val="24"/>
          <w:highlight w:val="none"/>
        </w:rPr>
      </w:pPr>
      <w:r>
        <w:rPr>
          <w:rFonts w:hint="eastAsia" w:ascii="宋体" w:hAnsi="宋体"/>
          <w:color w:val="auto"/>
          <w:sz w:val="24"/>
          <w:highlight w:val="none"/>
        </w:rPr>
        <w:t>一、将遵循公开、公平、公正和诚实信用的原则参加</w:t>
      </w:r>
      <w:r>
        <w:rPr>
          <w:rFonts w:hint="eastAsia" w:ascii="宋体" w:hAnsi="宋体"/>
          <w:color w:val="auto"/>
          <w:sz w:val="24"/>
          <w:highlight w:val="none"/>
          <w:u w:val="single"/>
        </w:rPr>
        <w:t xml:space="preserve">                  </w:t>
      </w:r>
      <w:r>
        <w:rPr>
          <w:rFonts w:hint="eastAsia" w:ascii="宋体" w:hAnsi="宋体"/>
          <w:color w:val="auto"/>
          <w:sz w:val="24"/>
          <w:highlight w:val="none"/>
        </w:rPr>
        <w:t>（工程项目名称）的投标；</w:t>
      </w:r>
    </w:p>
    <w:p>
      <w:pPr>
        <w:adjustRightInd w:val="0"/>
        <w:snapToGrid w:val="0"/>
        <w:spacing w:line="420" w:lineRule="auto"/>
        <w:ind w:firstLine="491" w:firstLineChars="205"/>
        <w:rPr>
          <w:rFonts w:hint="eastAsia" w:ascii="宋体" w:hAnsi="宋体"/>
          <w:color w:val="auto"/>
          <w:sz w:val="24"/>
          <w:highlight w:val="none"/>
        </w:rPr>
      </w:pPr>
      <w:r>
        <w:rPr>
          <w:rFonts w:hint="eastAsia" w:ascii="宋体" w:hAnsi="宋体"/>
          <w:color w:val="auto"/>
          <w:sz w:val="24"/>
          <w:highlight w:val="none"/>
        </w:rPr>
        <w:t>二、所提供的一切材料都是真实、有效、合法的；</w:t>
      </w:r>
    </w:p>
    <w:p>
      <w:pPr>
        <w:adjustRightInd w:val="0"/>
        <w:snapToGrid w:val="0"/>
        <w:spacing w:line="420" w:lineRule="auto"/>
        <w:ind w:firstLine="491" w:firstLineChars="205"/>
        <w:rPr>
          <w:rFonts w:hint="eastAsia" w:ascii="宋体" w:hAnsi="宋体"/>
          <w:color w:val="auto"/>
          <w:sz w:val="24"/>
          <w:highlight w:val="none"/>
        </w:rPr>
      </w:pPr>
      <w:r>
        <w:rPr>
          <w:rFonts w:hint="eastAsia" w:ascii="宋体" w:hAnsi="宋体"/>
          <w:color w:val="auto"/>
          <w:sz w:val="24"/>
          <w:highlight w:val="none"/>
        </w:rPr>
        <w:t>三、不与其他投标人相互串通投标报价，不排挤其他投标人的公平竞争，不损害招标人或其他投标人的合法权益；</w:t>
      </w:r>
    </w:p>
    <w:p>
      <w:pPr>
        <w:adjustRightInd w:val="0"/>
        <w:snapToGrid w:val="0"/>
        <w:spacing w:line="420" w:lineRule="auto"/>
        <w:ind w:firstLine="491" w:firstLineChars="205"/>
        <w:rPr>
          <w:rFonts w:hint="eastAsia" w:ascii="宋体" w:hAnsi="宋体"/>
          <w:color w:val="auto"/>
          <w:sz w:val="24"/>
          <w:highlight w:val="none"/>
        </w:rPr>
      </w:pPr>
      <w:r>
        <w:rPr>
          <w:rFonts w:hint="eastAsia" w:ascii="宋体" w:hAnsi="宋体"/>
          <w:color w:val="auto"/>
          <w:sz w:val="24"/>
          <w:highlight w:val="none"/>
        </w:rPr>
        <w:t>四、不与招标人或招标代理机构串通投标，损害国家利益、社会公共利益或者他人的合法权益；</w:t>
      </w:r>
    </w:p>
    <w:p>
      <w:pPr>
        <w:adjustRightInd w:val="0"/>
        <w:snapToGrid w:val="0"/>
        <w:spacing w:line="420" w:lineRule="auto"/>
        <w:ind w:firstLine="491" w:firstLineChars="205"/>
        <w:rPr>
          <w:rFonts w:hint="eastAsia" w:ascii="宋体" w:hAnsi="宋体"/>
          <w:color w:val="auto"/>
          <w:sz w:val="24"/>
          <w:highlight w:val="none"/>
        </w:rPr>
      </w:pPr>
      <w:r>
        <w:rPr>
          <w:rFonts w:hint="eastAsia" w:ascii="宋体" w:hAnsi="宋体"/>
          <w:color w:val="auto"/>
          <w:sz w:val="24"/>
          <w:highlight w:val="none"/>
        </w:rPr>
        <w:t>五、不向招标人或者评标委员会成员行贿以牟取中标；</w:t>
      </w:r>
    </w:p>
    <w:p>
      <w:pPr>
        <w:adjustRightInd w:val="0"/>
        <w:snapToGrid w:val="0"/>
        <w:spacing w:line="420" w:lineRule="auto"/>
        <w:ind w:firstLine="491" w:firstLineChars="205"/>
        <w:rPr>
          <w:rFonts w:hint="eastAsia" w:ascii="宋体" w:hAnsi="宋体"/>
          <w:color w:val="auto"/>
          <w:sz w:val="24"/>
          <w:highlight w:val="none"/>
        </w:rPr>
      </w:pPr>
      <w:r>
        <w:rPr>
          <w:rFonts w:hint="eastAsia" w:ascii="宋体" w:hAnsi="宋体"/>
          <w:color w:val="auto"/>
          <w:sz w:val="24"/>
          <w:highlight w:val="none"/>
        </w:rPr>
        <w:t>六、不以他人名义投标或者以其他方式弄虚作假，骗取中标。</w:t>
      </w:r>
    </w:p>
    <w:p>
      <w:pPr>
        <w:adjustRightInd w:val="0"/>
        <w:snapToGrid w:val="0"/>
        <w:spacing w:line="420" w:lineRule="auto"/>
        <w:ind w:firstLine="491" w:firstLineChars="205"/>
        <w:rPr>
          <w:rFonts w:hint="eastAsia" w:ascii="宋体" w:hAnsi="宋体"/>
          <w:color w:val="auto"/>
          <w:sz w:val="24"/>
          <w:highlight w:val="none"/>
        </w:rPr>
      </w:pPr>
      <w:r>
        <w:rPr>
          <w:rFonts w:hint="eastAsia" w:ascii="宋体" w:hAnsi="宋体"/>
          <w:color w:val="auto"/>
          <w:sz w:val="24"/>
          <w:highlight w:val="none"/>
          <w:lang w:val="en-US" w:eastAsia="zh-CN"/>
        </w:rPr>
        <w:t>七、</w:t>
      </w:r>
      <w:r>
        <w:rPr>
          <w:rFonts w:hint="eastAsia" w:ascii="宋体" w:hAnsi="宋体"/>
          <w:color w:val="auto"/>
          <w:sz w:val="24"/>
          <w:highlight w:val="none"/>
        </w:rPr>
        <w:t>本公司（如联合体投标，为联合体双方）的投标资格已按照招标文件约定的逐条自查，并如实填写。</w:t>
      </w:r>
    </w:p>
    <w:p>
      <w:pPr>
        <w:adjustRightInd w:val="0"/>
        <w:snapToGrid w:val="0"/>
        <w:spacing w:line="420" w:lineRule="auto"/>
        <w:ind w:firstLine="491" w:firstLineChars="205"/>
        <w:rPr>
          <w:rFonts w:hint="eastAsia" w:ascii="宋体" w:hAnsi="宋体"/>
          <w:color w:val="auto"/>
          <w:sz w:val="24"/>
          <w:highlight w:val="none"/>
        </w:rPr>
      </w:pPr>
      <w:r>
        <w:rPr>
          <w:rFonts w:hint="eastAsia" w:ascii="宋体" w:hAnsi="宋体"/>
          <w:color w:val="auto"/>
          <w:sz w:val="24"/>
          <w:highlight w:val="none"/>
          <w:lang w:val="en-US" w:eastAsia="zh-CN"/>
        </w:rPr>
        <w:t>八</w:t>
      </w:r>
      <w:r>
        <w:rPr>
          <w:rFonts w:hint="eastAsia" w:ascii="宋体" w:hAnsi="宋体"/>
          <w:color w:val="auto"/>
          <w:sz w:val="24"/>
          <w:highlight w:val="none"/>
        </w:rPr>
        <w:t>、本公司已认真阅读招标文件及相关组成文件的内容且对内容无异议。</w:t>
      </w:r>
    </w:p>
    <w:p>
      <w:pPr>
        <w:adjustRightInd w:val="0"/>
        <w:snapToGrid w:val="0"/>
        <w:spacing w:line="420" w:lineRule="auto"/>
        <w:ind w:firstLine="491" w:firstLineChars="205"/>
        <w:rPr>
          <w:rFonts w:hint="eastAsia"/>
          <w:color w:val="auto"/>
          <w:highlight w:val="none"/>
        </w:rPr>
      </w:pPr>
      <w:r>
        <w:rPr>
          <w:rFonts w:hint="eastAsia" w:ascii="宋体" w:hAnsi="宋体"/>
          <w:color w:val="auto"/>
          <w:sz w:val="24"/>
          <w:highlight w:val="none"/>
        </w:rPr>
        <w:t>本公司若有违反本承诺内容的行为，愿意承担法律责任，并愿意接受招投标行政监督部门的任何处理。如已中标的，自动放弃中标资格；给招标人造成损失的，依法承担赔偿责任。</w:t>
      </w:r>
    </w:p>
    <w:p>
      <w:pPr>
        <w:adjustRightInd w:val="0"/>
        <w:snapToGrid w:val="0"/>
        <w:spacing w:line="420" w:lineRule="auto"/>
        <w:ind w:firstLine="3360" w:firstLineChars="1400"/>
        <w:rPr>
          <w:rFonts w:hint="eastAsia" w:ascii="宋体" w:hAnsi="宋体"/>
          <w:color w:val="auto"/>
          <w:sz w:val="24"/>
          <w:highlight w:val="none"/>
        </w:rPr>
      </w:pPr>
      <w:r>
        <w:rPr>
          <w:rFonts w:hint="eastAsia" w:ascii="宋体" w:hAnsi="宋体"/>
          <w:color w:val="auto"/>
          <w:sz w:val="24"/>
          <w:highlight w:val="none"/>
        </w:rPr>
        <w:t>法定代表人（签字或盖章）：</w:t>
      </w:r>
    </w:p>
    <w:p>
      <w:pPr>
        <w:adjustRightInd w:val="0"/>
        <w:snapToGrid w:val="0"/>
        <w:spacing w:line="420" w:lineRule="auto"/>
        <w:ind w:firstLine="3360" w:firstLineChars="1400"/>
        <w:rPr>
          <w:rFonts w:hint="eastAsia" w:ascii="宋体" w:hAnsi="宋体"/>
          <w:color w:val="auto"/>
          <w:sz w:val="24"/>
          <w:highlight w:val="none"/>
        </w:rPr>
      </w:pPr>
      <w:r>
        <w:rPr>
          <w:rFonts w:hint="eastAsia" w:ascii="宋体" w:hAnsi="宋体"/>
          <w:color w:val="auto"/>
          <w:sz w:val="24"/>
          <w:highlight w:val="none"/>
        </w:rPr>
        <w:t>投  标  人（盖章）：</w:t>
      </w:r>
    </w:p>
    <w:p>
      <w:pPr>
        <w:spacing w:line="420" w:lineRule="auto"/>
        <w:jc w:val="right"/>
        <w:rPr>
          <w:rFonts w:hint="eastAsia"/>
          <w:color w:val="auto"/>
          <w:szCs w:val="32"/>
          <w:highlight w:val="none"/>
        </w:rPr>
      </w:pPr>
      <w:r>
        <w:rPr>
          <w:rFonts w:hint="eastAsia" w:ascii="宋体" w:hAnsi="宋体"/>
          <w:color w:val="auto"/>
          <w:sz w:val="24"/>
          <w:highlight w:val="none"/>
        </w:rPr>
        <w:t xml:space="preserve">       年    月    日</w:t>
      </w:r>
    </w:p>
    <w:p>
      <w:pPr>
        <w:spacing w:line="420" w:lineRule="auto"/>
        <w:ind w:right="1050"/>
        <w:rPr>
          <w:rFonts w:hint="eastAsia"/>
          <w:color w:val="auto"/>
          <w:szCs w:val="32"/>
          <w:highlight w:val="none"/>
        </w:rPr>
      </w:pPr>
      <w:r>
        <w:rPr>
          <w:rFonts w:hint="eastAsia"/>
          <w:color w:val="auto"/>
          <w:szCs w:val="32"/>
          <w:highlight w:val="none"/>
        </w:rPr>
        <w:t xml:space="preserve">   </w:t>
      </w:r>
    </w:p>
    <w:p>
      <w:pPr>
        <w:spacing w:line="420" w:lineRule="auto"/>
        <w:ind w:right="1050"/>
        <w:rPr>
          <w:rFonts w:hint="eastAsia"/>
          <w:color w:val="auto"/>
          <w:szCs w:val="32"/>
          <w:highlight w:val="none"/>
        </w:rPr>
      </w:pPr>
    </w:p>
    <w:p>
      <w:pPr>
        <w:spacing w:line="420" w:lineRule="auto"/>
        <w:ind w:right="1050"/>
        <w:rPr>
          <w:rFonts w:hint="eastAsia"/>
          <w:color w:val="auto"/>
          <w:szCs w:val="32"/>
          <w:highlight w:val="none"/>
        </w:rPr>
      </w:pPr>
    </w:p>
    <w:p>
      <w:pPr>
        <w:spacing w:line="420" w:lineRule="auto"/>
        <w:ind w:right="1050"/>
        <w:rPr>
          <w:rFonts w:hint="eastAsia"/>
          <w:b/>
          <w:color w:val="auto"/>
          <w:sz w:val="28"/>
          <w:szCs w:val="28"/>
          <w:highlight w:val="none"/>
        </w:rPr>
      </w:pPr>
      <w:r>
        <w:rPr>
          <w:rFonts w:hint="eastAsia"/>
          <w:color w:val="auto"/>
          <w:szCs w:val="32"/>
          <w:highlight w:val="none"/>
        </w:rPr>
        <w:t xml:space="preserve"> </w:t>
      </w:r>
      <w:bookmarkStart w:id="1434" w:name="_Toc18499_WPSOffice_Level1"/>
      <w:bookmarkStart w:id="1435" w:name="_Toc4248"/>
      <w:bookmarkStart w:id="1436" w:name="_Toc17242_WPSOffice_Level1"/>
      <w:bookmarkStart w:id="1437" w:name="_Toc16521995"/>
      <w:r>
        <w:rPr>
          <w:rFonts w:hint="eastAsia"/>
          <w:b/>
          <w:color w:val="auto"/>
          <w:sz w:val="28"/>
          <w:szCs w:val="28"/>
          <w:highlight w:val="none"/>
        </w:rPr>
        <w:t>六</w:t>
      </w:r>
      <w:r>
        <w:rPr>
          <w:b/>
          <w:color w:val="auto"/>
          <w:sz w:val="28"/>
          <w:szCs w:val="28"/>
          <w:highlight w:val="none"/>
        </w:rPr>
        <w:t>、</w:t>
      </w:r>
      <w:r>
        <w:rPr>
          <w:rFonts w:hint="eastAsia"/>
          <w:b/>
          <w:color w:val="auto"/>
          <w:sz w:val="28"/>
          <w:szCs w:val="28"/>
          <w:highlight w:val="none"/>
        </w:rPr>
        <w:t>台州市建设工程安全生产任职资格承诺书</w:t>
      </w:r>
      <w:bookmarkEnd w:id="1434"/>
    </w:p>
    <w:p>
      <w:pPr>
        <w:adjustRightInd w:val="0"/>
        <w:snapToGrid w:val="0"/>
        <w:spacing w:before="156" w:beforeLines="50" w:line="360" w:lineRule="auto"/>
        <w:rPr>
          <w:rFonts w:hint="eastAsia"/>
          <w:b/>
          <w:color w:val="auto"/>
          <w:sz w:val="28"/>
          <w:szCs w:val="28"/>
          <w:highlight w:val="none"/>
        </w:rPr>
      </w:pPr>
    </w:p>
    <w:p>
      <w:pPr>
        <w:adjustRightInd w:val="0"/>
        <w:snapToGrid w:val="0"/>
        <w:spacing w:before="156" w:beforeLines="50" w:line="360" w:lineRule="auto"/>
        <w:rPr>
          <w:rFonts w:hint="eastAsia"/>
          <w:b/>
          <w:color w:val="auto"/>
          <w:sz w:val="28"/>
          <w:szCs w:val="28"/>
          <w:highlight w:val="none"/>
        </w:rPr>
      </w:pPr>
    </w:p>
    <w:p>
      <w:pPr>
        <w:adjustRightInd w:val="0"/>
        <w:snapToGrid w:val="0"/>
        <w:ind w:firstLine="1738" w:firstLineChars="541"/>
        <w:rPr>
          <w:rFonts w:hint="eastAsia" w:ascii="宋体" w:hAnsi="宋体"/>
          <w:b/>
          <w:color w:val="auto"/>
          <w:sz w:val="32"/>
          <w:szCs w:val="32"/>
          <w:highlight w:val="none"/>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u w:val="single"/>
        </w:rPr>
        <w:t xml:space="preserve">                            </w:t>
      </w:r>
      <w:bookmarkStart w:id="1438" w:name="_Toc31969_WPSOffice_Level2"/>
      <w:r>
        <w:rPr>
          <w:rFonts w:hint="eastAsia" w:ascii="宋体" w:hAnsi="宋体"/>
          <w:b/>
          <w:color w:val="auto"/>
          <w:sz w:val="32"/>
          <w:szCs w:val="32"/>
          <w:highlight w:val="none"/>
        </w:rPr>
        <w:t>工程</w:t>
      </w:r>
      <w:bookmarkEnd w:id="1438"/>
    </w:p>
    <w:p>
      <w:pPr>
        <w:adjustRightInd w:val="0"/>
        <w:snapToGrid w:val="0"/>
        <w:ind w:firstLine="1738" w:firstLineChars="541"/>
        <w:rPr>
          <w:rFonts w:ascii="宋体" w:hAnsi="宋体"/>
          <w:b/>
          <w:color w:val="auto"/>
          <w:sz w:val="32"/>
          <w:szCs w:val="32"/>
          <w:highlight w:val="none"/>
        </w:rPr>
      </w:pPr>
    </w:p>
    <w:p>
      <w:pPr>
        <w:adjustRightInd w:val="0"/>
        <w:snapToGrid w:val="0"/>
        <w:jc w:val="center"/>
        <w:rPr>
          <w:rFonts w:hint="eastAsia"/>
          <w:b/>
          <w:color w:val="auto"/>
          <w:sz w:val="32"/>
          <w:szCs w:val="32"/>
          <w:highlight w:val="none"/>
        </w:rPr>
      </w:pPr>
      <w:r>
        <w:rPr>
          <w:rFonts w:hint="eastAsia"/>
          <w:b/>
          <w:color w:val="auto"/>
          <w:sz w:val="32"/>
          <w:szCs w:val="32"/>
          <w:highlight w:val="none"/>
        </w:rPr>
        <w:t>台州市建设工程安全生产任职资格承诺书</w:t>
      </w:r>
    </w:p>
    <w:p>
      <w:pPr>
        <w:adjustRightInd w:val="0"/>
        <w:snapToGrid w:val="0"/>
        <w:jc w:val="center"/>
        <w:rPr>
          <w:rFonts w:ascii="宋体" w:hAnsi="宋体"/>
          <w:b/>
          <w:color w:val="auto"/>
          <w:sz w:val="32"/>
          <w:szCs w:val="32"/>
          <w:highlight w:val="none"/>
        </w:rPr>
      </w:pPr>
    </w:p>
    <w:p>
      <w:pPr>
        <w:rPr>
          <w:rFonts w:hint="eastAsia" w:ascii="宋体" w:hAnsi="宋体"/>
          <w:color w:val="auto"/>
          <w:sz w:val="30"/>
          <w:szCs w:val="30"/>
          <w:highlight w:val="none"/>
        </w:rPr>
      </w:pPr>
      <w:r>
        <w:rPr>
          <w:color w:val="auto"/>
          <w:highlight w:val="none"/>
        </w:rPr>
        <w:t xml:space="preserve">  </w:t>
      </w:r>
      <w:r>
        <w:rPr>
          <w:color w:val="auto"/>
          <w:sz w:val="30"/>
          <w:szCs w:val="30"/>
          <w:highlight w:val="none"/>
        </w:rPr>
        <w:t xml:space="preserve">   </w:t>
      </w:r>
      <w:r>
        <w:rPr>
          <w:rFonts w:hint="eastAsia" w:ascii="宋体" w:hAnsi="宋体"/>
          <w:color w:val="auto"/>
          <w:sz w:val="30"/>
          <w:szCs w:val="30"/>
          <w:highlight w:val="none"/>
        </w:rPr>
        <w:t>本人以企业法定代表人的身份郑重承诺：</w:t>
      </w:r>
    </w:p>
    <w:p>
      <w:pPr>
        <w:adjustRightInd w:val="0"/>
        <w:snapToGrid w:val="0"/>
        <w:spacing w:before="156" w:beforeLines="50" w:line="360" w:lineRule="auto"/>
        <w:ind w:firstLine="600" w:firstLineChars="200"/>
        <w:rPr>
          <w:rFonts w:hint="eastAsia" w:ascii="宋体" w:hAnsi="宋体"/>
          <w:color w:val="auto"/>
          <w:sz w:val="30"/>
          <w:szCs w:val="30"/>
          <w:highlight w:val="none"/>
        </w:rPr>
      </w:pPr>
      <w:r>
        <w:rPr>
          <w:rFonts w:hint="eastAsia" w:ascii="宋体" w:hAnsi="宋体"/>
          <w:color w:val="auto"/>
          <w:sz w:val="30"/>
          <w:szCs w:val="30"/>
          <w:highlight w:val="none"/>
        </w:rPr>
        <w:t>本公司安全生产条件及相关管理人员（包括A类人员、拟派的项目负责人和施工现场专职安全生产管理人员）安全生产任职资格符合相关规定。</w:t>
      </w:r>
    </w:p>
    <w:p>
      <w:pPr>
        <w:adjustRightInd w:val="0"/>
        <w:snapToGrid w:val="0"/>
        <w:spacing w:before="156" w:beforeLines="50" w:line="360" w:lineRule="auto"/>
        <w:ind w:firstLine="600" w:firstLineChars="200"/>
        <w:rPr>
          <w:rFonts w:hint="eastAsia" w:ascii="宋体" w:hAnsi="宋体"/>
          <w:color w:val="auto"/>
          <w:sz w:val="30"/>
          <w:szCs w:val="30"/>
          <w:highlight w:val="none"/>
        </w:rPr>
      </w:pPr>
    </w:p>
    <w:p>
      <w:pPr>
        <w:adjustRightInd w:val="0"/>
        <w:snapToGrid w:val="0"/>
        <w:spacing w:before="156" w:beforeLines="50" w:line="360" w:lineRule="auto"/>
        <w:ind w:firstLine="600" w:firstLineChars="200"/>
        <w:rPr>
          <w:rFonts w:hint="eastAsia" w:ascii="宋体" w:hAnsi="宋体"/>
          <w:color w:val="auto"/>
          <w:sz w:val="30"/>
          <w:szCs w:val="30"/>
          <w:highlight w:val="none"/>
        </w:rPr>
      </w:pPr>
    </w:p>
    <w:p>
      <w:pPr>
        <w:adjustRightInd w:val="0"/>
        <w:snapToGrid w:val="0"/>
        <w:spacing w:before="156" w:beforeLines="50" w:line="360" w:lineRule="auto"/>
        <w:ind w:firstLine="600" w:firstLineChars="200"/>
        <w:rPr>
          <w:rFonts w:hint="eastAsia" w:ascii="宋体" w:hAnsi="宋体"/>
          <w:color w:val="auto"/>
          <w:sz w:val="30"/>
          <w:szCs w:val="30"/>
          <w:highlight w:val="none"/>
        </w:rPr>
      </w:pPr>
    </w:p>
    <w:p>
      <w:pPr>
        <w:adjustRightInd w:val="0"/>
        <w:snapToGrid w:val="0"/>
        <w:spacing w:before="156" w:beforeLines="50" w:line="360" w:lineRule="auto"/>
        <w:ind w:firstLine="600" w:firstLineChars="200"/>
        <w:rPr>
          <w:rFonts w:hint="eastAsia" w:ascii="宋体" w:hAnsi="宋体"/>
          <w:color w:val="auto"/>
          <w:sz w:val="30"/>
          <w:szCs w:val="30"/>
          <w:highlight w:val="none"/>
        </w:rPr>
      </w:pPr>
    </w:p>
    <w:p>
      <w:pPr>
        <w:adjustRightInd w:val="0"/>
        <w:snapToGrid w:val="0"/>
        <w:spacing w:line="420" w:lineRule="auto"/>
        <w:ind w:firstLine="3360" w:firstLineChars="1400"/>
        <w:rPr>
          <w:rFonts w:hint="eastAsia" w:ascii="宋体" w:hAnsi="宋体"/>
          <w:color w:val="auto"/>
          <w:sz w:val="24"/>
          <w:highlight w:val="none"/>
        </w:rPr>
      </w:pPr>
      <w:r>
        <w:rPr>
          <w:rFonts w:hint="eastAsia" w:ascii="宋体" w:hAnsi="宋体"/>
          <w:color w:val="auto"/>
          <w:sz w:val="24"/>
          <w:highlight w:val="none"/>
        </w:rPr>
        <w:t>法定代表人（签字或盖章）：</w:t>
      </w:r>
    </w:p>
    <w:p>
      <w:pPr>
        <w:adjustRightInd w:val="0"/>
        <w:snapToGrid w:val="0"/>
        <w:spacing w:line="420" w:lineRule="auto"/>
        <w:ind w:firstLine="3360" w:firstLineChars="1400"/>
        <w:rPr>
          <w:rFonts w:hint="eastAsia" w:ascii="宋体" w:hAnsi="宋体"/>
          <w:color w:val="auto"/>
          <w:sz w:val="24"/>
          <w:highlight w:val="none"/>
        </w:rPr>
      </w:pPr>
      <w:r>
        <w:rPr>
          <w:rFonts w:hint="eastAsia" w:ascii="宋体" w:hAnsi="宋体"/>
          <w:color w:val="auto"/>
          <w:sz w:val="24"/>
          <w:highlight w:val="none"/>
        </w:rPr>
        <w:t>投  标  人（盖章）：</w:t>
      </w:r>
    </w:p>
    <w:p>
      <w:pPr>
        <w:spacing w:line="420" w:lineRule="auto"/>
        <w:jc w:val="right"/>
        <w:rPr>
          <w:rFonts w:hint="eastAsia"/>
          <w:color w:val="auto"/>
          <w:szCs w:val="32"/>
          <w:highlight w:val="none"/>
        </w:rPr>
      </w:pPr>
      <w:r>
        <w:rPr>
          <w:rFonts w:hint="eastAsia" w:ascii="宋体" w:hAnsi="宋体"/>
          <w:color w:val="auto"/>
          <w:sz w:val="24"/>
          <w:highlight w:val="none"/>
        </w:rPr>
        <w:t xml:space="preserve">       年    月    日</w:t>
      </w:r>
    </w:p>
    <w:p>
      <w:pPr>
        <w:spacing w:line="420" w:lineRule="auto"/>
        <w:ind w:right="1050"/>
        <w:rPr>
          <w:rFonts w:hint="eastAsia"/>
          <w:color w:val="auto"/>
          <w:szCs w:val="32"/>
          <w:highlight w:val="none"/>
        </w:rPr>
      </w:pPr>
    </w:p>
    <w:p>
      <w:pPr>
        <w:rPr>
          <w:rFonts w:ascii="宋体" w:hAnsi="宋体"/>
          <w:color w:val="auto"/>
          <w:sz w:val="24"/>
          <w:highlight w:val="none"/>
        </w:rPr>
      </w:pPr>
    </w:p>
    <w:p>
      <w:pPr>
        <w:adjustRightInd w:val="0"/>
        <w:snapToGrid w:val="0"/>
        <w:spacing w:before="156" w:beforeLines="50" w:line="360" w:lineRule="auto"/>
        <w:ind w:firstLine="480" w:firstLineChars="200"/>
        <w:rPr>
          <w:rFonts w:hint="eastAsia" w:ascii="宋体" w:hAnsi="宋体"/>
          <w:color w:val="auto"/>
          <w:sz w:val="24"/>
          <w:highlight w:val="none"/>
        </w:rPr>
      </w:pPr>
    </w:p>
    <w:p>
      <w:pPr>
        <w:pStyle w:val="4"/>
        <w:spacing w:before="0"/>
        <w:rPr>
          <w:rFonts w:hint="eastAsia" w:ascii="Times New Roman" w:hAnsi="Times New Roman" w:cs="宋体"/>
          <w:b w:val="0"/>
          <w:bCs w:val="0"/>
          <w:color w:val="auto"/>
          <w:sz w:val="28"/>
          <w:szCs w:val="28"/>
          <w:highlight w:val="none"/>
        </w:rPr>
      </w:pPr>
    </w:p>
    <w:bookmarkEnd w:id="778"/>
    <w:bookmarkEnd w:id="779"/>
    <w:bookmarkEnd w:id="1399"/>
    <w:bookmarkEnd w:id="1427"/>
    <w:bookmarkEnd w:id="1435"/>
    <w:bookmarkEnd w:id="1436"/>
    <w:bookmarkEnd w:id="1437"/>
    <w:p>
      <w:pPr>
        <w:adjustRightInd w:val="0"/>
        <w:snapToGrid w:val="0"/>
        <w:spacing w:before="156" w:beforeLines="50" w:line="360" w:lineRule="auto"/>
        <w:jc w:val="center"/>
        <w:rPr>
          <w:rFonts w:hint="eastAsia" w:eastAsia="黑体"/>
          <w:color w:val="auto"/>
          <w:sz w:val="44"/>
          <w:highlight w:val="none"/>
        </w:rPr>
      </w:pPr>
    </w:p>
    <w:sectPr>
      <w:footerReference r:id="rId13" w:type="default"/>
      <w:pgSz w:w="11907" w:h="16840"/>
      <w:pgMar w:top="1417" w:right="1418"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20</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jc w:val="center"/>
                          </w:pPr>
                          <w:r>
                            <w:fldChar w:fldCharType="begin"/>
                          </w:r>
                          <w:r>
                            <w:instrText xml:space="preserve">PAGE   \* MERGEFORMAT</w:instrText>
                          </w:r>
                          <w:r>
                            <w:fldChar w:fldCharType="separate"/>
                          </w:r>
                          <w:r>
                            <w:rPr>
                              <w:lang w:val="zh-CN"/>
                            </w:rP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28"/>
                      <w:jc w:val="center"/>
                    </w:pPr>
                    <w:r>
                      <w:fldChar w:fldCharType="begin"/>
                    </w:r>
                    <w:r>
                      <w:instrText xml:space="preserve">PAGE   \* MERGEFORMAT</w:instrText>
                    </w:r>
                    <w:r>
                      <w:fldChar w:fldCharType="separate"/>
                    </w:r>
                    <w:r>
                      <w:rPr>
                        <w:lang w:val="zh-CN"/>
                      </w:rP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Style w:val="50"/>
        <w:sz w:val="24"/>
        <w:szCs w:val="24"/>
      </w:rPr>
    </w:pPr>
    <w:r>
      <w:rPr>
        <w:rFonts w:hint="eastAsia"/>
      </w:rPr>
      <w:t xml:space="preserve">                                                                          </w:t>
    </w:r>
    <w:r>
      <w:rPr>
        <w:sz w:val="24"/>
        <w:szCs w:val="24"/>
      </w:rPr>
      <w:fldChar w:fldCharType="begin"/>
    </w:r>
    <w:r>
      <w:rPr>
        <w:rStyle w:val="50"/>
        <w:sz w:val="24"/>
        <w:szCs w:val="24"/>
      </w:rPr>
      <w:instrText xml:space="preserve">PAGE  </w:instrText>
    </w:r>
    <w:r>
      <w:rPr>
        <w:sz w:val="24"/>
        <w:szCs w:val="24"/>
      </w:rPr>
      <w:fldChar w:fldCharType="separate"/>
    </w:r>
    <w:r>
      <w:rPr>
        <w:rStyle w:val="50"/>
        <w:sz w:val="24"/>
        <w:szCs w:val="24"/>
      </w:rPr>
      <w:t>65</w:t>
    </w:r>
    <w:r>
      <w:rPr>
        <w:sz w:val="24"/>
        <w:szCs w:val="24"/>
      </w:rPr>
      <w:fldChar w:fldCharType="end"/>
    </w:r>
  </w:p>
  <w:p>
    <w:pPr>
      <w:pStyle w:val="32"/>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jc w:val="center"/>
                          </w:pPr>
                          <w:r>
                            <w:fldChar w:fldCharType="begin"/>
                          </w:r>
                          <w:r>
                            <w:rPr>
                              <w:rStyle w:val="45"/>
                            </w:rPr>
                            <w:instrText xml:space="preserve"> PAGE </w:instrText>
                          </w:r>
                          <w:r>
                            <w:fldChar w:fldCharType="separate"/>
                          </w:r>
                          <w:r>
                            <w:rPr>
                              <w:rStyle w:val="45"/>
                            </w:rPr>
                            <w:t>87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IvftgEAAFUDAAAOAAAAAAAAAAEAIAAAACIBAABkcnMvZTJvRG9jLnhtbFBLBQYAAAAABgAG&#10;AFkBAABKBQAAAAA=&#10;">
              <v:fill on="f" focussize="0,0"/>
              <v:stroke on="f" weight="1.25pt"/>
              <v:imagedata o:title=""/>
              <o:lock v:ext="edit" aspectratio="f"/>
              <v:textbox inset="0mm,0mm,0mm,0mm" style="mso-fit-shape-to-text:t;">
                <w:txbxContent>
                  <w:p>
                    <w:pPr>
                      <w:pStyle w:val="28"/>
                      <w:jc w:val="center"/>
                    </w:pPr>
                    <w:r>
                      <w:fldChar w:fldCharType="begin"/>
                    </w:r>
                    <w:r>
                      <w:rPr>
                        <w:rStyle w:val="45"/>
                      </w:rPr>
                      <w:instrText xml:space="preserve"> PAGE </w:instrText>
                    </w:r>
                    <w:r>
                      <w:fldChar w:fldCharType="separate"/>
                    </w:r>
                    <w:r>
                      <w:rPr>
                        <w:rStyle w:val="45"/>
                      </w:rPr>
                      <w:t>87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pPr>
    <w:r>
      <w:fldChar w:fldCharType="begin"/>
    </w:r>
    <w:r>
      <w:instrText xml:space="preserve">PAGE   \* MERGEFORMAT</w:instrText>
    </w:r>
    <w:r>
      <w:fldChar w:fldCharType="separate"/>
    </w:r>
    <w:r>
      <w:rPr>
        <w:lang w:val="zh-CN"/>
      </w:rPr>
      <w:t>36</w:t>
    </w:r>
    <w:r>
      <w:fldChar w:fldCharType="end"/>
    </w:r>
  </w:p>
  <w:p>
    <w:pPr>
      <w:pStyle w:val="28"/>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ind w:right="360" w:firstLine="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8"/>
                            <w:rPr>
                              <w:rStyle w:val="45"/>
                            </w:rPr>
                          </w:pPr>
                          <w:r>
                            <w:fldChar w:fldCharType="begin"/>
                          </w:r>
                          <w:r>
                            <w:rPr>
                              <w:rStyle w:val="45"/>
                            </w:rPr>
                            <w:instrText xml:space="preserve">PAGE  </w:instrText>
                          </w:r>
                          <w:r>
                            <w:fldChar w:fldCharType="separate"/>
                          </w:r>
                          <w:r>
                            <w:rPr>
                              <w:rStyle w:val="45"/>
                            </w:rPr>
                            <w:t>38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L0dMn70AQAAwgMAAA4AAAAAAAAAAQAgAAAAHwEAAGRycy9lMm9Eb2MueG1sUEsFBgAAAAAG&#10;AAYAWQEAAIUFAAAAAA==&#10;">
              <v:fill on="f" focussize="0,0"/>
              <v:stroke on="f"/>
              <v:imagedata o:title=""/>
              <o:lock v:ext="edit" aspectratio="f"/>
              <v:textbox inset="0mm,0mm,0mm,0mm" style="mso-fit-shape-to-text:t;">
                <w:txbxContent>
                  <w:p>
                    <w:pPr>
                      <w:pStyle w:val="28"/>
                      <w:rPr>
                        <w:rStyle w:val="45"/>
                      </w:rPr>
                    </w:pPr>
                    <w:r>
                      <w:fldChar w:fldCharType="begin"/>
                    </w:r>
                    <w:r>
                      <w:rPr>
                        <w:rStyle w:val="45"/>
                      </w:rPr>
                      <w:instrText xml:space="preserve">PAGE  </w:instrText>
                    </w:r>
                    <w:r>
                      <w:fldChar w:fldCharType="separate"/>
                    </w:r>
                    <w:r>
                      <w:rPr>
                        <w:rStyle w:val="45"/>
                      </w:rPr>
                      <w:t>38</w:t>
                    </w:r>
                    <w:r>
                      <w:fldChar w:fldCharType="end"/>
                    </w:r>
                  </w:p>
                </w:txbxContent>
              </v:textbox>
            </v:shape>
          </w:pict>
        </mc:Fallback>
      </mc:AlternateContent>
    </w:r>
  </w:p>
  <w:p>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8"/>
                            <w:rPr>
                              <w:rStyle w:val="45"/>
                            </w:rPr>
                          </w:pPr>
                          <w:r>
                            <w:fldChar w:fldCharType="begin"/>
                          </w:r>
                          <w:r>
                            <w:rPr>
                              <w:rStyle w:val="45"/>
                            </w:rPr>
                            <w:instrText xml:space="preserve">PAGE  </w:instrText>
                          </w:r>
                          <w:r>
                            <w:fldChar w:fldCharType="separate"/>
                          </w:r>
                          <w:r>
                            <w:rPr>
                              <w:rStyle w:val="45"/>
                            </w:rPr>
                            <w:t>38</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5X5J0AAAAAMBAAAPAAAAAAAAAAEAIAAAACIAAABkcnMvZG93bnJldi54bWxQSwECFAAUAAAACACH&#10;TuJAhc203vMBAADCAwAADgAAAAAAAAABACAAAAAfAQAAZHJzL2Uyb0RvYy54bWxQSwUGAAAAAAYA&#10;BgBZAQAAhAUAAAAA&#10;">
              <v:fill on="f" focussize="0,0"/>
              <v:stroke on="f"/>
              <v:imagedata o:title=""/>
              <o:lock v:ext="edit" aspectratio="f"/>
              <v:textbox inset="0mm,0mm,0mm,0mm" style="mso-fit-shape-to-text:t;">
                <w:txbxContent>
                  <w:p>
                    <w:pPr>
                      <w:pStyle w:val="28"/>
                      <w:rPr>
                        <w:rStyle w:val="45"/>
                      </w:rPr>
                    </w:pPr>
                    <w:r>
                      <w:fldChar w:fldCharType="begin"/>
                    </w:r>
                    <w:r>
                      <w:rPr>
                        <w:rStyle w:val="45"/>
                      </w:rPr>
                      <w:instrText xml:space="preserve">PAGE  </w:instrText>
                    </w:r>
                    <w:r>
                      <w:fldChar w:fldCharType="separate"/>
                    </w:r>
                    <w:r>
                      <w:rPr>
                        <w:rStyle w:val="45"/>
                      </w:rPr>
                      <w:t>38</w:t>
                    </w:r>
                    <w:r>
                      <w:fldChar w:fldCharType="end"/>
                    </w:r>
                  </w:p>
                </w:txbxContent>
              </v:textbox>
            </v:shape>
          </w:pict>
        </mc:Fallback>
      </mc:AlternateContent>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hint="eastAsia"/>
      </w:rPr>
    </w:pPr>
    <w:r>
      <w:rPr>
        <w:rFonts w:hint="eastAsia"/>
        <w:u w:val="none"/>
        <w:lang w:eastAsia="zh-CN"/>
      </w:rPr>
      <w:t>月湖派出所综合指挥室改造工程</w:t>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u w:val="none"/>
        <w:lang w:eastAsia="zh-CN"/>
      </w:rPr>
      <w:t>月湖派出所综合指挥室改造工程</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D5B9"/>
    <w:multiLevelType w:val="singleLevel"/>
    <w:tmpl w:val="9499D5B9"/>
    <w:lvl w:ilvl="0" w:tentative="0">
      <w:start w:val="1"/>
      <w:numFmt w:val="decimal"/>
      <w:suff w:val="nothing"/>
      <w:lvlText w:val="%1、"/>
      <w:lvlJc w:val="left"/>
    </w:lvl>
  </w:abstractNum>
  <w:abstractNum w:abstractNumId="1">
    <w:nsid w:val="AF2549BC"/>
    <w:multiLevelType w:val="singleLevel"/>
    <w:tmpl w:val="AF2549BC"/>
    <w:lvl w:ilvl="0" w:tentative="0">
      <w:start w:val="1"/>
      <w:numFmt w:val="decimal"/>
      <w:suff w:val="nothing"/>
      <w:lvlText w:val="%1）"/>
      <w:lvlJc w:val="left"/>
    </w:lvl>
  </w:abstractNum>
  <w:abstractNum w:abstractNumId="2">
    <w:nsid w:val="46573B75"/>
    <w:multiLevelType w:val="multilevel"/>
    <w:tmpl w:val="46573B75"/>
    <w:lvl w:ilvl="0" w:tentative="0">
      <w:start w:val="4"/>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C785F96"/>
    <w:multiLevelType w:val="singleLevel"/>
    <w:tmpl w:val="5C785F96"/>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279"/>
  <w:hyphenationZone w:val="360"/>
  <w:drawingGridHorizontalSpacing w:val="18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M2Y4NjAxODlmYjMwYzc1ZGYzYWQxYjA4OWE2ZjkifQ=="/>
  </w:docVars>
  <w:rsids>
    <w:rsidRoot w:val="00D765DD"/>
    <w:rsid w:val="00000F13"/>
    <w:rsid w:val="00000FB1"/>
    <w:rsid w:val="0000171D"/>
    <w:rsid w:val="000021D7"/>
    <w:rsid w:val="00002429"/>
    <w:rsid w:val="00003729"/>
    <w:rsid w:val="00003AD0"/>
    <w:rsid w:val="00004D71"/>
    <w:rsid w:val="00006B63"/>
    <w:rsid w:val="0000721D"/>
    <w:rsid w:val="00007E18"/>
    <w:rsid w:val="00007F54"/>
    <w:rsid w:val="0001078E"/>
    <w:rsid w:val="00010A0E"/>
    <w:rsid w:val="000117E2"/>
    <w:rsid w:val="0001184E"/>
    <w:rsid w:val="00012191"/>
    <w:rsid w:val="00012640"/>
    <w:rsid w:val="00012D90"/>
    <w:rsid w:val="00014478"/>
    <w:rsid w:val="00014F3A"/>
    <w:rsid w:val="00015BCF"/>
    <w:rsid w:val="00017DA4"/>
    <w:rsid w:val="00020565"/>
    <w:rsid w:val="00020ECD"/>
    <w:rsid w:val="00020F43"/>
    <w:rsid w:val="0002237D"/>
    <w:rsid w:val="000227FE"/>
    <w:rsid w:val="0002348E"/>
    <w:rsid w:val="00025C19"/>
    <w:rsid w:val="00025C8D"/>
    <w:rsid w:val="000263DB"/>
    <w:rsid w:val="00026ACD"/>
    <w:rsid w:val="0002725C"/>
    <w:rsid w:val="00027878"/>
    <w:rsid w:val="000318E3"/>
    <w:rsid w:val="000327C7"/>
    <w:rsid w:val="00033087"/>
    <w:rsid w:val="00033DD1"/>
    <w:rsid w:val="00034382"/>
    <w:rsid w:val="00034576"/>
    <w:rsid w:val="00034EED"/>
    <w:rsid w:val="00035C79"/>
    <w:rsid w:val="00036B75"/>
    <w:rsid w:val="00036C49"/>
    <w:rsid w:val="00036EDD"/>
    <w:rsid w:val="00037DE6"/>
    <w:rsid w:val="000416E0"/>
    <w:rsid w:val="00041997"/>
    <w:rsid w:val="00041EB8"/>
    <w:rsid w:val="00042109"/>
    <w:rsid w:val="00042212"/>
    <w:rsid w:val="00042A52"/>
    <w:rsid w:val="000430BE"/>
    <w:rsid w:val="00043273"/>
    <w:rsid w:val="000450FE"/>
    <w:rsid w:val="0004748E"/>
    <w:rsid w:val="00051E48"/>
    <w:rsid w:val="000528E9"/>
    <w:rsid w:val="0005444D"/>
    <w:rsid w:val="00055574"/>
    <w:rsid w:val="00056034"/>
    <w:rsid w:val="00056477"/>
    <w:rsid w:val="0006094A"/>
    <w:rsid w:val="00062248"/>
    <w:rsid w:val="0006273B"/>
    <w:rsid w:val="00062C28"/>
    <w:rsid w:val="000632AF"/>
    <w:rsid w:val="000632BF"/>
    <w:rsid w:val="000634E2"/>
    <w:rsid w:val="000640DD"/>
    <w:rsid w:val="00064B83"/>
    <w:rsid w:val="00064F86"/>
    <w:rsid w:val="00066C1F"/>
    <w:rsid w:val="00066E15"/>
    <w:rsid w:val="000674FF"/>
    <w:rsid w:val="00067B17"/>
    <w:rsid w:val="0007064C"/>
    <w:rsid w:val="0007225B"/>
    <w:rsid w:val="00072371"/>
    <w:rsid w:val="00072800"/>
    <w:rsid w:val="00072B8A"/>
    <w:rsid w:val="000731D1"/>
    <w:rsid w:val="00073232"/>
    <w:rsid w:val="00073B53"/>
    <w:rsid w:val="0007412A"/>
    <w:rsid w:val="000743DF"/>
    <w:rsid w:val="00074D2A"/>
    <w:rsid w:val="00075265"/>
    <w:rsid w:val="00076481"/>
    <w:rsid w:val="000803C4"/>
    <w:rsid w:val="0008148C"/>
    <w:rsid w:val="0008201B"/>
    <w:rsid w:val="000820C6"/>
    <w:rsid w:val="0008268B"/>
    <w:rsid w:val="00082D25"/>
    <w:rsid w:val="00083671"/>
    <w:rsid w:val="00083C45"/>
    <w:rsid w:val="00084782"/>
    <w:rsid w:val="00084875"/>
    <w:rsid w:val="00084B6B"/>
    <w:rsid w:val="00084ED5"/>
    <w:rsid w:val="0008506F"/>
    <w:rsid w:val="000854A0"/>
    <w:rsid w:val="00086A4F"/>
    <w:rsid w:val="000870C5"/>
    <w:rsid w:val="000876B8"/>
    <w:rsid w:val="00087DCD"/>
    <w:rsid w:val="00092FB3"/>
    <w:rsid w:val="00093231"/>
    <w:rsid w:val="000936AA"/>
    <w:rsid w:val="00093715"/>
    <w:rsid w:val="00093F2C"/>
    <w:rsid w:val="00094FD9"/>
    <w:rsid w:val="000957E6"/>
    <w:rsid w:val="00096899"/>
    <w:rsid w:val="00096933"/>
    <w:rsid w:val="000977FF"/>
    <w:rsid w:val="000A0973"/>
    <w:rsid w:val="000A0B57"/>
    <w:rsid w:val="000A1324"/>
    <w:rsid w:val="000A36E4"/>
    <w:rsid w:val="000A3FFB"/>
    <w:rsid w:val="000A4B0E"/>
    <w:rsid w:val="000A50A0"/>
    <w:rsid w:val="000A554C"/>
    <w:rsid w:val="000A5556"/>
    <w:rsid w:val="000A5C45"/>
    <w:rsid w:val="000A7D38"/>
    <w:rsid w:val="000B2562"/>
    <w:rsid w:val="000B2844"/>
    <w:rsid w:val="000B5A13"/>
    <w:rsid w:val="000B6613"/>
    <w:rsid w:val="000B7138"/>
    <w:rsid w:val="000B7536"/>
    <w:rsid w:val="000B7B15"/>
    <w:rsid w:val="000B7FB2"/>
    <w:rsid w:val="000C06A4"/>
    <w:rsid w:val="000C0935"/>
    <w:rsid w:val="000C342B"/>
    <w:rsid w:val="000C3B2F"/>
    <w:rsid w:val="000C4029"/>
    <w:rsid w:val="000C4275"/>
    <w:rsid w:val="000C511B"/>
    <w:rsid w:val="000C5D8C"/>
    <w:rsid w:val="000C5E7F"/>
    <w:rsid w:val="000C60CC"/>
    <w:rsid w:val="000C6414"/>
    <w:rsid w:val="000C675A"/>
    <w:rsid w:val="000C7181"/>
    <w:rsid w:val="000C765B"/>
    <w:rsid w:val="000C7F51"/>
    <w:rsid w:val="000D0886"/>
    <w:rsid w:val="000D0B4E"/>
    <w:rsid w:val="000D1701"/>
    <w:rsid w:val="000D1A78"/>
    <w:rsid w:val="000D2685"/>
    <w:rsid w:val="000D26F1"/>
    <w:rsid w:val="000D36EF"/>
    <w:rsid w:val="000D396E"/>
    <w:rsid w:val="000D3D12"/>
    <w:rsid w:val="000D6A86"/>
    <w:rsid w:val="000D7E8F"/>
    <w:rsid w:val="000E0D05"/>
    <w:rsid w:val="000E0E81"/>
    <w:rsid w:val="000E17D7"/>
    <w:rsid w:val="000E1D8C"/>
    <w:rsid w:val="000E3D56"/>
    <w:rsid w:val="000E52CE"/>
    <w:rsid w:val="000E61AC"/>
    <w:rsid w:val="000E7BE5"/>
    <w:rsid w:val="000F13B8"/>
    <w:rsid w:val="000F37AE"/>
    <w:rsid w:val="000F3829"/>
    <w:rsid w:val="000F40A8"/>
    <w:rsid w:val="000F6D59"/>
    <w:rsid w:val="000F748A"/>
    <w:rsid w:val="00100273"/>
    <w:rsid w:val="00100801"/>
    <w:rsid w:val="00100FAE"/>
    <w:rsid w:val="00101F43"/>
    <w:rsid w:val="0010227A"/>
    <w:rsid w:val="00102806"/>
    <w:rsid w:val="001039AB"/>
    <w:rsid w:val="00103BD4"/>
    <w:rsid w:val="001065F7"/>
    <w:rsid w:val="00106DD6"/>
    <w:rsid w:val="00106F77"/>
    <w:rsid w:val="001071F2"/>
    <w:rsid w:val="0010737A"/>
    <w:rsid w:val="001079F9"/>
    <w:rsid w:val="001103B5"/>
    <w:rsid w:val="00110646"/>
    <w:rsid w:val="00110BBF"/>
    <w:rsid w:val="00111498"/>
    <w:rsid w:val="00111F8E"/>
    <w:rsid w:val="0011234F"/>
    <w:rsid w:val="00112577"/>
    <w:rsid w:val="0011278B"/>
    <w:rsid w:val="0011385C"/>
    <w:rsid w:val="001165DC"/>
    <w:rsid w:val="001176AC"/>
    <w:rsid w:val="00117AB9"/>
    <w:rsid w:val="001211BE"/>
    <w:rsid w:val="001223CE"/>
    <w:rsid w:val="00124F48"/>
    <w:rsid w:val="00126141"/>
    <w:rsid w:val="001265F6"/>
    <w:rsid w:val="00130635"/>
    <w:rsid w:val="0013075F"/>
    <w:rsid w:val="00130DB1"/>
    <w:rsid w:val="00131025"/>
    <w:rsid w:val="00131108"/>
    <w:rsid w:val="00131A6C"/>
    <w:rsid w:val="00131C61"/>
    <w:rsid w:val="00131E49"/>
    <w:rsid w:val="00132C1C"/>
    <w:rsid w:val="0013319B"/>
    <w:rsid w:val="00133485"/>
    <w:rsid w:val="0013359F"/>
    <w:rsid w:val="001339E0"/>
    <w:rsid w:val="00134725"/>
    <w:rsid w:val="00135448"/>
    <w:rsid w:val="00136600"/>
    <w:rsid w:val="00136B4E"/>
    <w:rsid w:val="00137333"/>
    <w:rsid w:val="0013757F"/>
    <w:rsid w:val="0013796B"/>
    <w:rsid w:val="00137DAA"/>
    <w:rsid w:val="00137F93"/>
    <w:rsid w:val="00140E02"/>
    <w:rsid w:val="0014185C"/>
    <w:rsid w:val="001422C6"/>
    <w:rsid w:val="0014290F"/>
    <w:rsid w:val="0014425E"/>
    <w:rsid w:val="001446A9"/>
    <w:rsid w:val="00144BBB"/>
    <w:rsid w:val="00144E33"/>
    <w:rsid w:val="001478B9"/>
    <w:rsid w:val="00151BF5"/>
    <w:rsid w:val="001521B6"/>
    <w:rsid w:val="00152A9C"/>
    <w:rsid w:val="001532FB"/>
    <w:rsid w:val="0015433D"/>
    <w:rsid w:val="0015503F"/>
    <w:rsid w:val="0015515C"/>
    <w:rsid w:val="001560F3"/>
    <w:rsid w:val="0015649F"/>
    <w:rsid w:val="00156514"/>
    <w:rsid w:val="00156F75"/>
    <w:rsid w:val="00157787"/>
    <w:rsid w:val="001635CA"/>
    <w:rsid w:val="00166428"/>
    <w:rsid w:val="0016643F"/>
    <w:rsid w:val="00166B51"/>
    <w:rsid w:val="00167EB3"/>
    <w:rsid w:val="00170120"/>
    <w:rsid w:val="00170468"/>
    <w:rsid w:val="00170983"/>
    <w:rsid w:val="00172520"/>
    <w:rsid w:val="001725B6"/>
    <w:rsid w:val="0017312D"/>
    <w:rsid w:val="001737BF"/>
    <w:rsid w:val="00173F1D"/>
    <w:rsid w:val="001747A5"/>
    <w:rsid w:val="00174ED5"/>
    <w:rsid w:val="00174F47"/>
    <w:rsid w:val="00175433"/>
    <w:rsid w:val="0017614D"/>
    <w:rsid w:val="00180016"/>
    <w:rsid w:val="001826F5"/>
    <w:rsid w:val="00182ECA"/>
    <w:rsid w:val="001848A3"/>
    <w:rsid w:val="00185612"/>
    <w:rsid w:val="001867EA"/>
    <w:rsid w:val="00186BF1"/>
    <w:rsid w:val="00186FDD"/>
    <w:rsid w:val="00187B23"/>
    <w:rsid w:val="001938E0"/>
    <w:rsid w:val="0019420A"/>
    <w:rsid w:val="001942F0"/>
    <w:rsid w:val="00194E84"/>
    <w:rsid w:val="0019570D"/>
    <w:rsid w:val="00195C7E"/>
    <w:rsid w:val="001A163C"/>
    <w:rsid w:val="001A3F2E"/>
    <w:rsid w:val="001A6653"/>
    <w:rsid w:val="001A6C11"/>
    <w:rsid w:val="001A6CB3"/>
    <w:rsid w:val="001B029E"/>
    <w:rsid w:val="001B0AC6"/>
    <w:rsid w:val="001B1194"/>
    <w:rsid w:val="001B1F4F"/>
    <w:rsid w:val="001B263F"/>
    <w:rsid w:val="001B32A0"/>
    <w:rsid w:val="001B3694"/>
    <w:rsid w:val="001B3ADD"/>
    <w:rsid w:val="001B3E10"/>
    <w:rsid w:val="001B4619"/>
    <w:rsid w:val="001B4A4B"/>
    <w:rsid w:val="001B58DE"/>
    <w:rsid w:val="001C0CEE"/>
    <w:rsid w:val="001C17E7"/>
    <w:rsid w:val="001C1C74"/>
    <w:rsid w:val="001C21BC"/>
    <w:rsid w:val="001C2B75"/>
    <w:rsid w:val="001C2F71"/>
    <w:rsid w:val="001C3E3A"/>
    <w:rsid w:val="001C52F1"/>
    <w:rsid w:val="001C6E4D"/>
    <w:rsid w:val="001C7309"/>
    <w:rsid w:val="001C78FC"/>
    <w:rsid w:val="001C7D75"/>
    <w:rsid w:val="001D0D89"/>
    <w:rsid w:val="001D1455"/>
    <w:rsid w:val="001D2853"/>
    <w:rsid w:val="001D314A"/>
    <w:rsid w:val="001D3A94"/>
    <w:rsid w:val="001D4DD1"/>
    <w:rsid w:val="001D6FF4"/>
    <w:rsid w:val="001D70AF"/>
    <w:rsid w:val="001E06EE"/>
    <w:rsid w:val="001E0A40"/>
    <w:rsid w:val="001E1470"/>
    <w:rsid w:val="001E1CBB"/>
    <w:rsid w:val="001E1F8C"/>
    <w:rsid w:val="001E26F1"/>
    <w:rsid w:val="001E26F3"/>
    <w:rsid w:val="001E2F76"/>
    <w:rsid w:val="001E3C5C"/>
    <w:rsid w:val="001E3E92"/>
    <w:rsid w:val="001E4461"/>
    <w:rsid w:val="001E4DE8"/>
    <w:rsid w:val="001E56DB"/>
    <w:rsid w:val="001E5AD4"/>
    <w:rsid w:val="001E62AE"/>
    <w:rsid w:val="001E6741"/>
    <w:rsid w:val="001E682F"/>
    <w:rsid w:val="001E68A6"/>
    <w:rsid w:val="001E6F78"/>
    <w:rsid w:val="001E7FB4"/>
    <w:rsid w:val="001F0E36"/>
    <w:rsid w:val="001F17C8"/>
    <w:rsid w:val="001F23DF"/>
    <w:rsid w:val="001F26FE"/>
    <w:rsid w:val="001F2F43"/>
    <w:rsid w:val="001F3084"/>
    <w:rsid w:val="001F3BFE"/>
    <w:rsid w:val="001F3DF2"/>
    <w:rsid w:val="001F475D"/>
    <w:rsid w:val="001F4E77"/>
    <w:rsid w:val="001F5763"/>
    <w:rsid w:val="001F7823"/>
    <w:rsid w:val="001F7A29"/>
    <w:rsid w:val="00200475"/>
    <w:rsid w:val="002007B4"/>
    <w:rsid w:val="002018F3"/>
    <w:rsid w:val="002020D7"/>
    <w:rsid w:val="00202A44"/>
    <w:rsid w:val="002034FF"/>
    <w:rsid w:val="00204C5D"/>
    <w:rsid w:val="0020509E"/>
    <w:rsid w:val="00205774"/>
    <w:rsid w:val="00206189"/>
    <w:rsid w:val="00207136"/>
    <w:rsid w:val="00210903"/>
    <w:rsid w:val="00210DE3"/>
    <w:rsid w:val="002116C2"/>
    <w:rsid w:val="002116CF"/>
    <w:rsid w:val="00212593"/>
    <w:rsid w:val="00212ADA"/>
    <w:rsid w:val="00213E69"/>
    <w:rsid w:val="0021498B"/>
    <w:rsid w:val="00214D16"/>
    <w:rsid w:val="00216D12"/>
    <w:rsid w:val="00217340"/>
    <w:rsid w:val="0022031F"/>
    <w:rsid w:val="00221160"/>
    <w:rsid w:val="002214B4"/>
    <w:rsid w:val="002218F6"/>
    <w:rsid w:val="0022242D"/>
    <w:rsid w:val="00222ACB"/>
    <w:rsid w:val="00223207"/>
    <w:rsid w:val="002244A4"/>
    <w:rsid w:val="00224750"/>
    <w:rsid w:val="0022486F"/>
    <w:rsid w:val="002249BA"/>
    <w:rsid w:val="00225AAB"/>
    <w:rsid w:val="00226233"/>
    <w:rsid w:val="00226D2C"/>
    <w:rsid w:val="00227A87"/>
    <w:rsid w:val="00227F2C"/>
    <w:rsid w:val="00231069"/>
    <w:rsid w:val="0023350C"/>
    <w:rsid w:val="00233EC2"/>
    <w:rsid w:val="00235A7E"/>
    <w:rsid w:val="00235B5B"/>
    <w:rsid w:val="002370E6"/>
    <w:rsid w:val="0023726E"/>
    <w:rsid w:val="00237442"/>
    <w:rsid w:val="00237A05"/>
    <w:rsid w:val="00237CF4"/>
    <w:rsid w:val="00240E52"/>
    <w:rsid w:val="00241118"/>
    <w:rsid w:val="00241338"/>
    <w:rsid w:val="00246273"/>
    <w:rsid w:val="0024685F"/>
    <w:rsid w:val="00246C9B"/>
    <w:rsid w:val="00250885"/>
    <w:rsid w:val="0025113B"/>
    <w:rsid w:val="00251DF3"/>
    <w:rsid w:val="00252259"/>
    <w:rsid w:val="00253077"/>
    <w:rsid w:val="002545D4"/>
    <w:rsid w:val="00254C0F"/>
    <w:rsid w:val="00254EE8"/>
    <w:rsid w:val="00255CA9"/>
    <w:rsid w:val="00255D45"/>
    <w:rsid w:val="002566DA"/>
    <w:rsid w:val="00256CEB"/>
    <w:rsid w:val="00256F25"/>
    <w:rsid w:val="002571F9"/>
    <w:rsid w:val="00257629"/>
    <w:rsid w:val="00260BE0"/>
    <w:rsid w:val="00260EC8"/>
    <w:rsid w:val="00262089"/>
    <w:rsid w:val="00262640"/>
    <w:rsid w:val="002628F9"/>
    <w:rsid w:val="00262BD5"/>
    <w:rsid w:val="002639C6"/>
    <w:rsid w:val="002645EF"/>
    <w:rsid w:val="00264BCF"/>
    <w:rsid w:val="00265704"/>
    <w:rsid w:val="002661D6"/>
    <w:rsid w:val="002664A1"/>
    <w:rsid w:val="00267317"/>
    <w:rsid w:val="00267A83"/>
    <w:rsid w:val="0027280E"/>
    <w:rsid w:val="002740A7"/>
    <w:rsid w:val="00280430"/>
    <w:rsid w:val="00280A05"/>
    <w:rsid w:val="00281042"/>
    <w:rsid w:val="00281EC6"/>
    <w:rsid w:val="002828D7"/>
    <w:rsid w:val="00284757"/>
    <w:rsid w:val="00285171"/>
    <w:rsid w:val="00285214"/>
    <w:rsid w:val="002868D9"/>
    <w:rsid w:val="0028694E"/>
    <w:rsid w:val="0029069D"/>
    <w:rsid w:val="00290826"/>
    <w:rsid w:val="00292004"/>
    <w:rsid w:val="002920EF"/>
    <w:rsid w:val="00292195"/>
    <w:rsid w:val="00292944"/>
    <w:rsid w:val="002930F6"/>
    <w:rsid w:val="00293873"/>
    <w:rsid w:val="00296974"/>
    <w:rsid w:val="002A0047"/>
    <w:rsid w:val="002A14B0"/>
    <w:rsid w:val="002A25E6"/>
    <w:rsid w:val="002A2798"/>
    <w:rsid w:val="002A3B92"/>
    <w:rsid w:val="002A6BE2"/>
    <w:rsid w:val="002A6EB7"/>
    <w:rsid w:val="002A74AA"/>
    <w:rsid w:val="002B04E9"/>
    <w:rsid w:val="002B0F4E"/>
    <w:rsid w:val="002B1DC5"/>
    <w:rsid w:val="002B26CB"/>
    <w:rsid w:val="002B2736"/>
    <w:rsid w:val="002B289D"/>
    <w:rsid w:val="002B2CB5"/>
    <w:rsid w:val="002B2CE1"/>
    <w:rsid w:val="002B41E7"/>
    <w:rsid w:val="002B42A8"/>
    <w:rsid w:val="002B478F"/>
    <w:rsid w:val="002B5C24"/>
    <w:rsid w:val="002B6286"/>
    <w:rsid w:val="002B7C48"/>
    <w:rsid w:val="002C02B9"/>
    <w:rsid w:val="002C06F3"/>
    <w:rsid w:val="002C0D06"/>
    <w:rsid w:val="002C5D17"/>
    <w:rsid w:val="002C7BD5"/>
    <w:rsid w:val="002D04EC"/>
    <w:rsid w:val="002D0C87"/>
    <w:rsid w:val="002D26B9"/>
    <w:rsid w:val="002D3FD5"/>
    <w:rsid w:val="002D510B"/>
    <w:rsid w:val="002D6C7B"/>
    <w:rsid w:val="002D7446"/>
    <w:rsid w:val="002D7708"/>
    <w:rsid w:val="002D771E"/>
    <w:rsid w:val="002E3223"/>
    <w:rsid w:val="002E3BDA"/>
    <w:rsid w:val="002E4BF6"/>
    <w:rsid w:val="002E5322"/>
    <w:rsid w:val="002E6126"/>
    <w:rsid w:val="002E63DE"/>
    <w:rsid w:val="002E6787"/>
    <w:rsid w:val="002E6B9B"/>
    <w:rsid w:val="002E76F7"/>
    <w:rsid w:val="002F01E0"/>
    <w:rsid w:val="002F1838"/>
    <w:rsid w:val="002F2372"/>
    <w:rsid w:val="002F2DA1"/>
    <w:rsid w:val="002F32B5"/>
    <w:rsid w:val="002F34FC"/>
    <w:rsid w:val="002F3F38"/>
    <w:rsid w:val="002F4135"/>
    <w:rsid w:val="002F4259"/>
    <w:rsid w:val="002F4900"/>
    <w:rsid w:val="002F5C31"/>
    <w:rsid w:val="002F7229"/>
    <w:rsid w:val="002F7E91"/>
    <w:rsid w:val="0030049A"/>
    <w:rsid w:val="003005E5"/>
    <w:rsid w:val="003008C5"/>
    <w:rsid w:val="00301372"/>
    <w:rsid w:val="00301599"/>
    <w:rsid w:val="00304B10"/>
    <w:rsid w:val="00305820"/>
    <w:rsid w:val="0030582D"/>
    <w:rsid w:val="003062DE"/>
    <w:rsid w:val="00306C6E"/>
    <w:rsid w:val="00306EDB"/>
    <w:rsid w:val="0031036D"/>
    <w:rsid w:val="00310439"/>
    <w:rsid w:val="003106D1"/>
    <w:rsid w:val="00310D06"/>
    <w:rsid w:val="00311133"/>
    <w:rsid w:val="003112E3"/>
    <w:rsid w:val="0031248D"/>
    <w:rsid w:val="00312ABF"/>
    <w:rsid w:val="00312B41"/>
    <w:rsid w:val="0031321B"/>
    <w:rsid w:val="003132A4"/>
    <w:rsid w:val="00313810"/>
    <w:rsid w:val="003151F3"/>
    <w:rsid w:val="00315695"/>
    <w:rsid w:val="00316ABD"/>
    <w:rsid w:val="00317A75"/>
    <w:rsid w:val="00320144"/>
    <w:rsid w:val="0032062B"/>
    <w:rsid w:val="00320CE8"/>
    <w:rsid w:val="00321BAC"/>
    <w:rsid w:val="003220BE"/>
    <w:rsid w:val="00323090"/>
    <w:rsid w:val="0032418B"/>
    <w:rsid w:val="00324BD8"/>
    <w:rsid w:val="0032573C"/>
    <w:rsid w:val="00325765"/>
    <w:rsid w:val="00325F72"/>
    <w:rsid w:val="003272E0"/>
    <w:rsid w:val="003272EB"/>
    <w:rsid w:val="003305AA"/>
    <w:rsid w:val="0033102E"/>
    <w:rsid w:val="0033136D"/>
    <w:rsid w:val="00332604"/>
    <w:rsid w:val="00332778"/>
    <w:rsid w:val="00333939"/>
    <w:rsid w:val="00333C49"/>
    <w:rsid w:val="003347B3"/>
    <w:rsid w:val="003348EC"/>
    <w:rsid w:val="003355DC"/>
    <w:rsid w:val="003363E2"/>
    <w:rsid w:val="00337826"/>
    <w:rsid w:val="00340E0C"/>
    <w:rsid w:val="00342128"/>
    <w:rsid w:val="0034253D"/>
    <w:rsid w:val="00342C83"/>
    <w:rsid w:val="003478CE"/>
    <w:rsid w:val="00347CD2"/>
    <w:rsid w:val="0035035B"/>
    <w:rsid w:val="0035152A"/>
    <w:rsid w:val="0035209C"/>
    <w:rsid w:val="00352B72"/>
    <w:rsid w:val="00354033"/>
    <w:rsid w:val="003540F1"/>
    <w:rsid w:val="0035432D"/>
    <w:rsid w:val="003543EE"/>
    <w:rsid w:val="00354AE9"/>
    <w:rsid w:val="00355F7E"/>
    <w:rsid w:val="00355FD8"/>
    <w:rsid w:val="0035628D"/>
    <w:rsid w:val="003568B2"/>
    <w:rsid w:val="00356B36"/>
    <w:rsid w:val="00356FB7"/>
    <w:rsid w:val="00357513"/>
    <w:rsid w:val="00357B19"/>
    <w:rsid w:val="00357B3C"/>
    <w:rsid w:val="00357B98"/>
    <w:rsid w:val="00357CC7"/>
    <w:rsid w:val="00357F64"/>
    <w:rsid w:val="00361D4A"/>
    <w:rsid w:val="00363935"/>
    <w:rsid w:val="00363F66"/>
    <w:rsid w:val="00364309"/>
    <w:rsid w:val="00364BA1"/>
    <w:rsid w:val="00364E9C"/>
    <w:rsid w:val="003650DD"/>
    <w:rsid w:val="003652C9"/>
    <w:rsid w:val="003657D8"/>
    <w:rsid w:val="00365A3A"/>
    <w:rsid w:val="00365CE1"/>
    <w:rsid w:val="003660E1"/>
    <w:rsid w:val="0036653D"/>
    <w:rsid w:val="003671C5"/>
    <w:rsid w:val="0036765D"/>
    <w:rsid w:val="00367FB5"/>
    <w:rsid w:val="0037265C"/>
    <w:rsid w:val="00372AE0"/>
    <w:rsid w:val="00372BAF"/>
    <w:rsid w:val="00376247"/>
    <w:rsid w:val="00376BDA"/>
    <w:rsid w:val="00376D36"/>
    <w:rsid w:val="00380A65"/>
    <w:rsid w:val="00381199"/>
    <w:rsid w:val="003843E0"/>
    <w:rsid w:val="00385473"/>
    <w:rsid w:val="00385570"/>
    <w:rsid w:val="003859FE"/>
    <w:rsid w:val="0038642F"/>
    <w:rsid w:val="003873ED"/>
    <w:rsid w:val="00387AA2"/>
    <w:rsid w:val="00391584"/>
    <w:rsid w:val="00391700"/>
    <w:rsid w:val="00391DE8"/>
    <w:rsid w:val="003920C9"/>
    <w:rsid w:val="00392524"/>
    <w:rsid w:val="00392FB2"/>
    <w:rsid w:val="003941A4"/>
    <w:rsid w:val="003949E7"/>
    <w:rsid w:val="00394A32"/>
    <w:rsid w:val="003951B3"/>
    <w:rsid w:val="003957CD"/>
    <w:rsid w:val="00395D4E"/>
    <w:rsid w:val="00395F8B"/>
    <w:rsid w:val="00396396"/>
    <w:rsid w:val="003969D7"/>
    <w:rsid w:val="0039702E"/>
    <w:rsid w:val="00397332"/>
    <w:rsid w:val="00397E1E"/>
    <w:rsid w:val="003A00A6"/>
    <w:rsid w:val="003A1DCB"/>
    <w:rsid w:val="003A23AF"/>
    <w:rsid w:val="003A4434"/>
    <w:rsid w:val="003A6646"/>
    <w:rsid w:val="003A74C9"/>
    <w:rsid w:val="003A7871"/>
    <w:rsid w:val="003A792C"/>
    <w:rsid w:val="003A7B87"/>
    <w:rsid w:val="003B1D87"/>
    <w:rsid w:val="003B2803"/>
    <w:rsid w:val="003B339E"/>
    <w:rsid w:val="003B3560"/>
    <w:rsid w:val="003B4EA8"/>
    <w:rsid w:val="003B5329"/>
    <w:rsid w:val="003B5FAE"/>
    <w:rsid w:val="003B629F"/>
    <w:rsid w:val="003B650F"/>
    <w:rsid w:val="003B7AA7"/>
    <w:rsid w:val="003C0CF3"/>
    <w:rsid w:val="003C1138"/>
    <w:rsid w:val="003C1667"/>
    <w:rsid w:val="003C1881"/>
    <w:rsid w:val="003C29FC"/>
    <w:rsid w:val="003C31C8"/>
    <w:rsid w:val="003C3514"/>
    <w:rsid w:val="003C4B76"/>
    <w:rsid w:val="003C4C16"/>
    <w:rsid w:val="003C53B5"/>
    <w:rsid w:val="003C656B"/>
    <w:rsid w:val="003C6F44"/>
    <w:rsid w:val="003C712D"/>
    <w:rsid w:val="003C7681"/>
    <w:rsid w:val="003C7D70"/>
    <w:rsid w:val="003D066F"/>
    <w:rsid w:val="003D0BAB"/>
    <w:rsid w:val="003D136C"/>
    <w:rsid w:val="003D276D"/>
    <w:rsid w:val="003D2FD9"/>
    <w:rsid w:val="003D3420"/>
    <w:rsid w:val="003D351E"/>
    <w:rsid w:val="003D51CD"/>
    <w:rsid w:val="003D5B6C"/>
    <w:rsid w:val="003D655B"/>
    <w:rsid w:val="003D67A9"/>
    <w:rsid w:val="003D6A7E"/>
    <w:rsid w:val="003D7202"/>
    <w:rsid w:val="003E02CE"/>
    <w:rsid w:val="003E0476"/>
    <w:rsid w:val="003E06EA"/>
    <w:rsid w:val="003E0B5D"/>
    <w:rsid w:val="003E1495"/>
    <w:rsid w:val="003E26F3"/>
    <w:rsid w:val="003E30DE"/>
    <w:rsid w:val="003E35A4"/>
    <w:rsid w:val="003E35B9"/>
    <w:rsid w:val="003E3A87"/>
    <w:rsid w:val="003E42EC"/>
    <w:rsid w:val="003E4F1E"/>
    <w:rsid w:val="003E5587"/>
    <w:rsid w:val="003E58BA"/>
    <w:rsid w:val="003E6B6E"/>
    <w:rsid w:val="003E7F45"/>
    <w:rsid w:val="003F02AC"/>
    <w:rsid w:val="003F084B"/>
    <w:rsid w:val="003F1AF9"/>
    <w:rsid w:val="003F2498"/>
    <w:rsid w:val="003F2559"/>
    <w:rsid w:val="003F2A18"/>
    <w:rsid w:val="003F2C55"/>
    <w:rsid w:val="003F2F4F"/>
    <w:rsid w:val="003F52C5"/>
    <w:rsid w:val="003F57CF"/>
    <w:rsid w:val="003F5BCB"/>
    <w:rsid w:val="003F7913"/>
    <w:rsid w:val="003F7922"/>
    <w:rsid w:val="00400C3F"/>
    <w:rsid w:val="004014AB"/>
    <w:rsid w:val="00401E5C"/>
    <w:rsid w:val="00402987"/>
    <w:rsid w:val="00403734"/>
    <w:rsid w:val="00403E63"/>
    <w:rsid w:val="004045B2"/>
    <w:rsid w:val="00406E52"/>
    <w:rsid w:val="00407757"/>
    <w:rsid w:val="00411201"/>
    <w:rsid w:val="00411A5E"/>
    <w:rsid w:val="00411C72"/>
    <w:rsid w:val="00412452"/>
    <w:rsid w:val="00415181"/>
    <w:rsid w:val="00417529"/>
    <w:rsid w:val="00420DCB"/>
    <w:rsid w:val="00420F56"/>
    <w:rsid w:val="004213FD"/>
    <w:rsid w:val="00421ECE"/>
    <w:rsid w:val="0042268E"/>
    <w:rsid w:val="0042281A"/>
    <w:rsid w:val="00424B64"/>
    <w:rsid w:val="00425403"/>
    <w:rsid w:val="00425716"/>
    <w:rsid w:val="00425B15"/>
    <w:rsid w:val="00427613"/>
    <w:rsid w:val="00427C90"/>
    <w:rsid w:val="0043050C"/>
    <w:rsid w:val="0043083D"/>
    <w:rsid w:val="00430BA2"/>
    <w:rsid w:val="0043316E"/>
    <w:rsid w:val="0043390E"/>
    <w:rsid w:val="00433DE0"/>
    <w:rsid w:val="00435CCB"/>
    <w:rsid w:val="0043622E"/>
    <w:rsid w:val="00436524"/>
    <w:rsid w:val="00437879"/>
    <w:rsid w:val="00441B93"/>
    <w:rsid w:val="00442F91"/>
    <w:rsid w:val="0044348D"/>
    <w:rsid w:val="00445CED"/>
    <w:rsid w:val="004466B4"/>
    <w:rsid w:val="00446BD6"/>
    <w:rsid w:val="00447230"/>
    <w:rsid w:val="004502C8"/>
    <w:rsid w:val="00450D71"/>
    <w:rsid w:val="00451467"/>
    <w:rsid w:val="004517F0"/>
    <w:rsid w:val="00451F7B"/>
    <w:rsid w:val="00452BAB"/>
    <w:rsid w:val="00453B64"/>
    <w:rsid w:val="00454312"/>
    <w:rsid w:val="004548A9"/>
    <w:rsid w:val="00456758"/>
    <w:rsid w:val="00457D7F"/>
    <w:rsid w:val="00457E7C"/>
    <w:rsid w:val="004615A4"/>
    <w:rsid w:val="00463713"/>
    <w:rsid w:val="00463CF8"/>
    <w:rsid w:val="00464543"/>
    <w:rsid w:val="00465618"/>
    <w:rsid w:val="00465659"/>
    <w:rsid w:val="00466603"/>
    <w:rsid w:val="00466CE4"/>
    <w:rsid w:val="00467913"/>
    <w:rsid w:val="0047041D"/>
    <w:rsid w:val="004709EF"/>
    <w:rsid w:val="00471917"/>
    <w:rsid w:val="00471FF2"/>
    <w:rsid w:val="0047285E"/>
    <w:rsid w:val="00472B28"/>
    <w:rsid w:val="00472D48"/>
    <w:rsid w:val="00472E15"/>
    <w:rsid w:val="00473767"/>
    <w:rsid w:val="00474688"/>
    <w:rsid w:val="00475B2E"/>
    <w:rsid w:val="00476D35"/>
    <w:rsid w:val="00476DCD"/>
    <w:rsid w:val="00476F82"/>
    <w:rsid w:val="00477102"/>
    <w:rsid w:val="00477289"/>
    <w:rsid w:val="0048005C"/>
    <w:rsid w:val="0048077D"/>
    <w:rsid w:val="00480FFC"/>
    <w:rsid w:val="00482E2E"/>
    <w:rsid w:val="00483C2D"/>
    <w:rsid w:val="00483D6D"/>
    <w:rsid w:val="00484ACC"/>
    <w:rsid w:val="0048572B"/>
    <w:rsid w:val="00485DF0"/>
    <w:rsid w:val="00486033"/>
    <w:rsid w:val="00486EDD"/>
    <w:rsid w:val="00487350"/>
    <w:rsid w:val="004877AD"/>
    <w:rsid w:val="00490B27"/>
    <w:rsid w:val="00490E09"/>
    <w:rsid w:val="00491653"/>
    <w:rsid w:val="00492287"/>
    <w:rsid w:val="00493201"/>
    <w:rsid w:val="00493CC7"/>
    <w:rsid w:val="00493D96"/>
    <w:rsid w:val="0049520A"/>
    <w:rsid w:val="004959BA"/>
    <w:rsid w:val="0049622E"/>
    <w:rsid w:val="004966B9"/>
    <w:rsid w:val="00497454"/>
    <w:rsid w:val="004A0748"/>
    <w:rsid w:val="004A46C7"/>
    <w:rsid w:val="004A4A2F"/>
    <w:rsid w:val="004A4D8E"/>
    <w:rsid w:val="004A5769"/>
    <w:rsid w:val="004A5B14"/>
    <w:rsid w:val="004A5D86"/>
    <w:rsid w:val="004A6040"/>
    <w:rsid w:val="004B03BF"/>
    <w:rsid w:val="004B0906"/>
    <w:rsid w:val="004B0DF2"/>
    <w:rsid w:val="004B1017"/>
    <w:rsid w:val="004B17CE"/>
    <w:rsid w:val="004B18DA"/>
    <w:rsid w:val="004B1E3B"/>
    <w:rsid w:val="004B1F98"/>
    <w:rsid w:val="004B404C"/>
    <w:rsid w:val="004B44A9"/>
    <w:rsid w:val="004B4565"/>
    <w:rsid w:val="004C0852"/>
    <w:rsid w:val="004C0D52"/>
    <w:rsid w:val="004C11A5"/>
    <w:rsid w:val="004C1582"/>
    <w:rsid w:val="004C164B"/>
    <w:rsid w:val="004C1AA2"/>
    <w:rsid w:val="004C2096"/>
    <w:rsid w:val="004C2561"/>
    <w:rsid w:val="004C29EE"/>
    <w:rsid w:val="004C305D"/>
    <w:rsid w:val="004C4154"/>
    <w:rsid w:val="004C6149"/>
    <w:rsid w:val="004C63FB"/>
    <w:rsid w:val="004C642A"/>
    <w:rsid w:val="004C678F"/>
    <w:rsid w:val="004C6946"/>
    <w:rsid w:val="004C70A9"/>
    <w:rsid w:val="004C77A0"/>
    <w:rsid w:val="004D069F"/>
    <w:rsid w:val="004D1899"/>
    <w:rsid w:val="004D2062"/>
    <w:rsid w:val="004D4AB7"/>
    <w:rsid w:val="004D5027"/>
    <w:rsid w:val="004D506F"/>
    <w:rsid w:val="004D50C0"/>
    <w:rsid w:val="004D55BD"/>
    <w:rsid w:val="004D6D33"/>
    <w:rsid w:val="004D6F6C"/>
    <w:rsid w:val="004D720D"/>
    <w:rsid w:val="004D75C0"/>
    <w:rsid w:val="004D7625"/>
    <w:rsid w:val="004D769E"/>
    <w:rsid w:val="004D795A"/>
    <w:rsid w:val="004E0150"/>
    <w:rsid w:val="004E03C2"/>
    <w:rsid w:val="004E117B"/>
    <w:rsid w:val="004E20D6"/>
    <w:rsid w:val="004E2496"/>
    <w:rsid w:val="004E25B1"/>
    <w:rsid w:val="004E28D5"/>
    <w:rsid w:val="004E2FD3"/>
    <w:rsid w:val="004E37B3"/>
    <w:rsid w:val="004E3C2B"/>
    <w:rsid w:val="004E4315"/>
    <w:rsid w:val="004E5189"/>
    <w:rsid w:val="004E568A"/>
    <w:rsid w:val="004E68C9"/>
    <w:rsid w:val="004E6C95"/>
    <w:rsid w:val="004F00BD"/>
    <w:rsid w:val="004F1254"/>
    <w:rsid w:val="004F1470"/>
    <w:rsid w:val="004F1D5A"/>
    <w:rsid w:val="004F2D5D"/>
    <w:rsid w:val="004F3554"/>
    <w:rsid w:val="004F3E94"/>
    <w:rsid w:val="004F4283"/>
    <w:rsid w:val="004F4851"/>
    <w:rsid w:val="004F4B3F"/>
    <w:rsid w:val="004F4B61"/>
    <w:rsid w:val="004F4E61"/>
    <w:rsid w:val="004F57AB"/>
    <w:rsid w:val="004F57FC"/>
    <w:rsid w:val="004F6DDC"/>
    <w:rsid w:val="004F7E47"/>
    <w:rsid w:val="00500138"/>
    <w:rsid w:val="00500ED6"/>
    <w:rsid w:val="005014BB"/>
    <w:rsid w:val="00501884"/>
    <w:rsid w:val="00501901"/>
    <w:rsid w:val="00503ED8"/>
    <w:rsid w:val="00504798"/>
    <w:rsid w:val="00504807"/>
    <w:rsid w:val="0050493C"/>
    <w:rsid w:val="005049C2"/>
    <w:rsid w:val="00504EB0"/>
    <w:rsid w:val="00506F86"/>
    <w:rsid w:val="00507164"/>
    <w:rsid w:val="005106CD"/>
    <w:rsid w:val="00510B4A"/>
    <w:rsid w:val="00511410"/>
    <w:rsid w:val="005117CD"/>
    <w:rsid w:val="00511AAA"/>
    <w:rsid w:val="00512A13"/>
    <w:rsid w:val="00512AA3"/>
    <w:rsid w:val="0051433F"/>
    <w:rsid w:val="005149A9"/>
    <w:rsid w:val="00515DD9"/>
    <w:rsid w:val="0051792C"/>
    <w:rsid w:val="00520335"/>
    <w:rsid w:val="00520529"/>
    <w:rsid w:val="00521AC3"/>
    <w:rsid w:val="005238BF"/>
    <w:rsid w:val="0052395C"/>
    <w:rsid w:val="00523B27"/>
    <w:rsid w:val="0052671C"/>
    <w:rsid w:val="005267A7"/>
    <w:rsid w:val="00527696"/>
    <w:rsid w:val="00527CFE"/>
    <w:rsid w:val="00531EBF"/>
    <w:rsid w:val="005321F8"/>
    <w:rsid w:val="00532C49"/>
    <w:rsid w:val="00532D3A"/>
    <w:rsid w:val="005335C7"/>
    <w:rsid w:val="00533DF9"/>
    <w:rsid w:val="00534D30"/>
    <w:rsid w:val="005354F1"/>
    <w:rsid w:val="00535AF0"/>
    <w:rsid w:val="00535B0D"/>
    <w:rsid w:val="005363B3"/>
    <w:rsid w:val="0053754F"/>
    <w:rsid w:val="00537CDA"/>
    <w:rsid w:val="00540CB7"/>
    <w:rsid w:val="00540E85"/>
    <w:rsid w:val="00540FCD"/>
    <w:rsid w:val="005410EE"/>
    <w:rsid w:val="0054192C"/>
    <w:rsid w:val="00541FAD"/>
    <w:rsid w:val="00542ED6"/>
    <w:rsid w:val="00543E7B"/>
    <w:rsid w:val="00543E9E"/>
    <w:rsid w:val="00544378"/>
    <w:rsid w:val="00544599"/>
    <w:rsid w:val="00545F1B"/>
    <w:rsid w:val="0054619E"/>
    <w:rsid w:val="00546823"/>
    <w:rsid w:val="005503F2"/>
    <w:rsid w:val="00550D78"/>
    <w:rsid w:val="00551DE1"/>
    <w:rsid w:val="005526A9"/>
    <w:rsid w:val="00553008"/>
    <w:rsid w:val="00553739"/>
    <w:rsid w:val="00553794"/>
    <w:rsid w:val="0055495C"/>
    <w:rsid w:val="00554E65"/>
    <w:rsid w:val="00555A38"/>
    <w:rsid w:val="00555A91"/>
    <w:rsid w:val="005570ED"/>
    <w:rsid w:val="00557E4D"/>
    <w:rsid w:val="00560C0B"/>
    <w:rsid w:val="00561191"/>
    <w:rsid w:val="005638B0"/>
    <w:rsid w:val="00563D83"/>
    <w:rsid w:val="005647B5"/>
    <w:rsid w:val="00564DA4"/>
    <w:rsid w:val="00565454"/>
    <w:rsid w:val="00565FC9"/>
    <w:rsid w:val="0056606F"/>
    <w:rsid w:val="005667AF"/>
    <w:rsid w:val="00566BD7"/>
    <w:rsid w:val="00566C7C"/>
    <w:rsid w:val="00567121"/>
    <w:rsid w:val="0057022E"/>
    <w:rsid w:val="00570585"/>
    <w:rsid w:val="00570DB1"/>
    <w:rsid w:val="0057167F"/>
    <w:rsid w:val="005719BD"/>
    <w:rsid w:val="00573220"/>
    <w:rsid w:val="005742B8"/>
    <w:rsid w:val="005751CA"/>
    <w:rsid w:val="005752F5"/>
    <w:rsid w:val="00575E46"/>
    <w:rsid w:val="00576440"/>
    <w:rsid w:val="0057673D"/>
    <w:rsid w:val="005770D9"/>
    <w:rsid w:val="00577302"/>
    <w:rsid w:val="00577C87"/>
    <w:rsid w:val="00577DAE"/>
    <w:rsid w:val="005809CC"/>
    <w:rsid w:val="005812BA"/>
    <w:rsid w:val="00581724"/>
    <w:rsid w:val="00582905"/>
    <w:rsid w:val="00582C64"/>
    <w:rsid w:val="00584EA0"/>
    <w:rsid w:val="005864C4"/>
    <w:rsid w:val="00586599"/>
    <w:rsid w:val="005865AF"/>
    <w:rsid w:val="00590D3B"/>
    <w:rsid w:val="00593345"/>
    <w:rsid w:val="00595122"/>
    <w:rsid w:val="00596F06"/>
    <w:rsid w:val="005976DF"/>
    <w:rsid w:val="005A0804"/>
    <w:rsid w:val="005A1F84"/>
    <w:rsid w:val="005A2402"/>
    <w:rsid w:val="005A29A7"/>
    <w:rsid w:val="005A2F10"/>
    <w:rsid w:val="005A4509"/>
    <w:rsid w:val="005A4FA4"/>
    <w:rsid w:val="005A4FE1"/>
    <w:rsid w:val="005A5982"/>
    <w:rsid w:val="005A60D4"/>
    <w:rsid w:val="005A6880"/>
    <w:rsid w:val="005A7BA4"/>
    <w:rsid w:val="005B14FE"/>
    <w:rsid w:val="005B2AF4"/>
    <w:rsid w:val="005B2B65"/>
    <w:rsid w:val="005B3085"/>
    <w:rsid w:val="005B30AB"/>
    <w:rsid w:val="005B312B"/>
    <w:rsid w:val="005B38AE"/>
    <w:rsid w:val="005B44DA"/>
    <w:rsid w:val="005B4ACA"/>
    <w:rsid w:val="005B54F6"/>
    <w:rsid w:val="005B594A"/>
    <w:rsid w:val="005B6E94"/>
    <w:rsid w:val="005B7293"/>
    <w:rsid w:val="005B7B9F"/>
    <w:rsid w:val="005B7BE1"/>
    <w:rsid w:val="005B7C5A"/>
    <w:rsid w:val="005C089F"/>
    <w:rsid w:val="005C09F6"/>
    <w:rsid w:val="005C1E4C"/>
    <w:rsid w:val="005C1EA7"/>
    <w:rsid w:val="005C28CF"/>
    <w:rsid w:val="005C3599"/>
    <w:rsid w:val="005C463C"/>
    <w:rsid w:val="005C571C"/>
    <w:rsid w:val="005C5FCF"/>
    <w:rsid w:val="005C634F"/>
    <w:rsid w:val="005D05C0"/>
    <w:rsid w:val="005D2360"/>
    <w:rsid w:val="005D2A43"/>
    <w:rsid w:val="005D2D67"/>
    <w:rsid w:val="005D3095"/>
    <w:rsid w:val="005D353A"/>
    <w:rsid w:val="005D3D54"/>
    <w:rsid w:val="005D5E96"/>
    <w:rsid w:val="005D6293"/>
    <w:rsid w:val="005D65B4"/>
    <w:rsid w:val="005D6EAB"/>
    <w:rsid w:val="005D71D6"/>
    <w:rsid w:val="005D7966"/>
    <w:rsid w:val="005E01A2"/>
    <w:rsid w:val="005E2F15"/>
    <w:rsid w:val="005E374B"/>
    <w:rsid w:val="005E3CA2"/>
    <w:rsid w:val="005E4031"/>
    <w:rsid w:val="005E4FB8"/>
    <w:rsid w:val="005E5C31"/>
    <w:rsid w:val="005E5D99"/>
    <w:rsid w:val="005F01DA"/>
    <w:rsid w:val="005F1FC4"/>
    <w:rsid w:val="005F2778"/>
    <w:rsid w:val="005F3323"/>
    <w:rsid w:val="005F4F44"/>
    <w:rsid w:val="005F59D6"/>
    <w:rsid w:val="005F6B26"/>
    <w:rsid w:val="005F6CC0"/>
    <w:rsid w:val="005F6FEA"/>
    <w:rsid w:val="005F750A"/>
    <w:rsid w:val="006003EC"/>
    <w:rsid w:val="00600510"/>
    <w:rsid w:val="00601AE3"/>
    <w:rsid w:val="006039F5"/>
    <w:rsid w:val="00603E78"/>
    <w:rsid w:val="00603FFF"/>
    <w:rsid w:val="006048A3"/>
    <w:rsid w:val="00604EFA"/>
    <w:rsid w:val="0060574B"/>
    <w:rsid w:val="006067B3"/>
    <w:rsid w:val="0060764C"/>
    <w:rsid w:val="00607B8D"/>
    <w:rsid w:val="006105D1"/>
    <w:rsid w:val="00610EB0"/>
    <w:rsid w:val="006112E4"/>
    <w:rsid w:val="00612757"/>
    <w:rsid w:val="00612973"/>
    <w:rsid w:val="00612F4C"/>
    <w:rsid w:val="0061386D"/>
    <w:rsid w:val="00613943"/>
    <w:rsid w:val="00613B82"/>
    <w:rsid w:val="0061444A"/>
    <w:rsid w:val="006153B0"/>
    <w:rsid w:val="00615742"/>
    <w:rsid w:val="00615D20"/>
    <w:rsid w:val="0061624D"/>
    <w:rsid w:val="00616283"/>
    <w:rsid w:val="00616FF5"/>
    <w:rsid w:val="006176A9"/>
    <w:rsid w:val="0062159B"/>
    <w:rsid w:val="006221F3"/>
    <w:rsid w:val="00622D6C"/>
    <w:rsid w:val="0062567D"/>
    <w:rsid w:val="00625FF4"/>
    <w:rsid w:val="0063059F"/>
    <w:rsid w:val="00630D49"/>
    <w:rsid w:val="00631F43"/>
    <w:rsid w:val="00631F7E"/>
    <w:rsid w:val="0063277E"/>
    <w:rsid w:val="006329CD"/>
    <w:rsid w:val="006335E5"/>
    <w:rsid w:val="00633E20"/>
    <w:rsid w:val="00635755"/>
    <w:rsid w:val="006359CB"/>
    <w:rsid w:val="00635B37"/>
    <w:rsid w:val="006373D1"/>
    <w:rsid w:val="0064137A"/>
    <w:rsid w:val="00641E22"/>
    <w:rsid w:val="006431B0"/>
    <w:rsid w:val="00643850"/>
    <w:rsid w:val="00643A0A"/>
    <w:rsid w:val="00643FA8"/>
    <w:rsid w:val="0064506B"/>
    <w:rsid w:val="00647806"/>
    <w:rsid w:val="00647C62"/>
    <w:rsid w:val="00647CC3"/>
    <w:rsid w:val="0065057E"/>
    <w:rsid w:val="00650A1C"/>
    <w:rsid w:val="00651BBF"/>
    <w:rsid w:val="006528A6"/>
    <w:rsid w:val="006528C3"/>
    <w:rsid w:val="00653848"/>
    <w:rsid w:val="00657555"/>
    <w:rsid w:val="00661677"/>
    <w:rsid w:val="00661AAE"/>
    <w:rsid w:val="00662348"/>
    <w:rsid w:val="00662702"/>
    <w:rsid w:val="00663851"/>
    <w:rsid w:val="00664301"/>
    <w:rsid w:val="006650E7"/>
    <w:rsid w:val="006666E1"/>
    <w:rsid w:val="00666D07"/>
    <w:rsid w:val="0066740F"/>
    <w:rsid w:val="00667760"/>
    <w:rsid w:val="006678B4"/>
    <w:rsid w:val="0067083D"/>
    <w:rsid w:val="006716A3"/>
    <w:rsid w:val="0067184A"/>
    <w:rsid w:val="00671C20"/>
    <w:rsid w:val="00672D45"/>
    <w:rsid w:val="0067376F"/>
    <w:rsid w:val="00674653"/>
    <w:rsid w:val="0067485B"/>
    <w:rsid w:val="006755F1"/>
    <w:rsid w:val="00675C7B"/>
    <w:rsid w:val="00676475"/>
    <w:rsid w:val="006769DC"/>
    <w:rsid w:val="00676CBB"/>
    <w:rsid w:val="00676E56"/>
    <w:rsid w:val="00677932"/>
    <w:rsid w:val="006805E1"/>
    <w:rsid w:val="00680915"/>
    <w:rsid w:val="0068143C"/>
    <w:rsid w:val="00681AE6"/>
    <w:rsid w:val="0068300C"/>
    <w:rsid w:val="00683FDA"/>
    <w:rsid w:val="00684FBB"/>
    <w:rsid w:val="006855CE"/>
    <w:rsid w:val="00685A0F"/>
    <w:rsid w:val="00686D07"/>
    <w:rsid w:val="006877EE"/>
    <w:rsid w:val="0069029A"/>
    <w:rsid w:val="006907AB"/>
    <w:rsid w:val="006907F5"/>
    <w:rsid w:val="00690D10"/>
    <w:rsid w:val="0069135F"/>
    <w:rsid w:val="0069170B"/>
    <w:rsid w:val="0069234E"/>
    <w:rsid w:val="00694514"/>
    <w:rsid w:val="00694E4A"/>
    <w:rsid w:val="00695AB4"/>
    <w:rsid w:val="00696998"/>
    <w:rsid w:val="00696A93"/>
    <w:rsid w:val="006A0D50"/>
    <w:rsid w:val="006A0F15"/>
    <w:rsid w:val="006A39B6"/>
    <w:rsid w:val="006A3C2A"/>
    <w:rsid w:val="006A3F79"/>
    <w:rsid w:val="006A3F7A"/>
    <w:rsid w:val="006A4724"/>
    <w:rsid w:val="006A4A8F"/>
    <w:rsid w:val="006A5069"/>
    <w:rsid w:val="006B0BEC"/>
    <w:rsid w:val="006B259C"/>
    <w:rsid w:val="006B37DE"/>
    <w:rsid w:val="006B39D2"/>
    <w:rsid w:val="006B5FA6"/>
    <w:rsid w:val="006B604D"/>
    <w:rsid w:val="006B6658"/>
    <w:rsid w:val="006B6750"/>
    <w:rsid w:val="006B6E35"/>
    <w:rsid w:val="006C02AC"/>
    <w:rsid w:val="006C1C45"/>
    <w:rsid w:val="006C2749"/>
    <w:rsid w:val="006C2FC6"/>
    <w:rsid w:val="006C367A"/>
    <w:rsid w:val="006C4860"/>
    <w:rsid w:val="006C68A9"/>
    <w:rsid w:val="006C6E83"/>
    <w:rsid w:val="006D007D"/>
    <w:rsid w:val="006D2EB1"/>
    <w:rsid w:val="006D36D6"/>
    <w:rsid w:val="006D3704"/>
    <w:rsid w:val="006D4CEC"/>
    <w:rsid w:val="006D5F7F"/>
    <w:rsid w:val="006D6022"/>
    <w:rsid w:val="006D6D54"/>
    <w:rsid w:val="006E0526"/>
    <w:rsid w:val="006E08EA"/>
    <w:rsid w:val="006E098E"/>
    <w:rsid w:val="006E100A"/>
    <w:rsid w:val="006E1B0A"/>
    <w:rsid w:val="006E1EE1"/>
    <w:rsid w:val="006E22BA"/>
    <w:rsid w:val="006E362C"/>
    <w:rsid w:val="006E3DDA"/>
    <w:rsid w:val="006E4124"/>
    <w:rsid w:val="006E4427"/>
    <w:rsid w:val="006E4601"/>
    <w:rsid w:val="006E464D"/>
    <w:rsid w:val="006E52E9"/>
    <w:rsid w:val="006E6BF6"/>
    <w:rsid w:val="006E7C7D"/>
    <w:rsid w:val="006E7C9D"/>
    <w:rsid w:val="006F112B"/>
    <w:rsid w:val="006F1395"/>
    <w:rsid w:val="006F3477"/>
    <w:rsid w:val="006F3868"/>
    <w:rsid w:val="006F4080"/>
    <w:rsid w:val="006F43FD"/>
    <w:rsid w:val="006F47B1"/>
    <w:rsid w:val="006F4DAE"/>
    <w:rsid w:val="006F71FD"/>
    <w:rsid w:val="00700335"/>
    <w:rsid w:val="00700374"/>
    <w:rsid w:val="00700B30"/>
    <w:rsid w:val="00700D08"/>
    <w:rsid w:val="007025A9"/>
    <w:rsid w:val="007028FF"/>
    <w:rsid w:val="00703870"/>
    <w:rsid w:val="00703E57"/>
    <w:rsid w:val="00704E6B"/>
    <w:rsid w:val="00705AFD"/>
    <w:rsid w:val="00707879"/>
    <w:rsid w:val="00710005"/>
    <w:rsid w:val="00710E48"/>
    <w:rsid w:val="00710F1A"/>
    <w:rsid w:val="00711147"/>
    <w:rsid w:val="007113C7"/>
    <w:rsid w:val="0071141E"/>
    <w:rsid w:val="00712B96"/>
    <w:rsid w:val="00713D24"/>
    <w:rsid w:val="007145CE"/>
    <w:rsid w:val="00714B63"/>
    <w:rsid w:val="00714D90"/>
    <w:rsid w:val="0071534E"/>
    <w:rsid w:val="00715621"/>
    <w:rsid w:val="00715A8D"/>
    <w:rsid w:val="007176EC"/>
    <w:rsid w:val="00720710"/>
    <w:rsid w:val="00721765"/>
    <w:rsid w:val="00721C91"/>
    <w:rsid w:val="00721EC6"/>
    <w:rsid w:val="00721F43"/>
    <w:rsid w:val="0072270C"/>
    <w:rsid w:val="0072272B"/>
    <w:rsid w:val="00722A74"/>
    <w:rsid w:val="00722B26"/>
    <w:rsid w:val="00723264"/>
    <w:rsid w:val="007233BD"/>
    <w:rsid w:val="00724E22"/>
    <w:rsid w:val="0072660F"/>
    <w:rsid w:val="007305CB"/>
    <w:rsid w:val="00730B5F"/>
    <w:rsid w:val="007315D7"/>
    <w:rsid w:val="00733328"/>
    <w:rsid w:val="0073370B"/>
    <w:rsid w:val="00733A3D"/>
    <w:rsid w:val="00733ED5"/>
    <w:rsid w:val="007356FA"/>
    <w:rsid w:val="00736352"/>
    <w:rsid w:val="00736374"/>
    <w:rsid w:val="0073667D"/>
    <w:rsid w:val="0073712C"/>
    <w:rsid w:val="00737C06"/>
    <w:rsid w:val="00740265"/>
    <w:rsid w:val="007417A1"/>
    <w:rsid w:val="00742ED7"/>
    <w:rsid w:val="00745B1F"/>
    <w:rsid w:val="00747F33"/>
    <w:rsid w:val="0075127C"/>
    <w:rsid w:val="007519B2"/>
    <w:rsid w:val="00751D51"/>
    <w:rsid w:val="0075228D"/>
    <w:rsid w:val="00753665"/>
    <w:rsid w:val="00753D37"/>
    <w:rsid w:val="00754050"/>
    <w:rsid w:val="00754295"/>
    <w:rsid w:val="00754B5E"/>
    <w:rsid w:val="00755C3C"/>
    <w:rsid w:val="007561B5"/>
    <w:rsid w:val="007600C4"/>
    <w:rsid w:val="00760178"/>
    <w:rsid w:val="00760FD1"/>
    <w:rsid w:val="007610B3"/>
    <w:rsid w:val="00761A34"/>
    <w:rsid w:val="00761A53"/>
    <w:rsid w:val="00761D39"/>
    <w:rsid w:val="00763C60"/>
    <w:rsid w:val="00763E2A"/>
    <w:rsid w:val="00764566"/>
    <w:rsid w:val="00764E09"/>
    <w:rsid w:val="007663F3"/>
    <w:rsid w:val="0076640C"/>
    <w:rsid w:val="00766A7C"/>
    <w:rsid w:val="00766AF9"/>
    <w:rsid w:val="00766EFB"/>
    <w:rsid w:val="0076723D"/>
    <w:rsid w:val="007672FB"/>
    <w:rsid w:val="00767432"/>
    <w:rsid w:val="00767ECD"/>
    <w:rsid w:val="007705BE"/>
    <w:rsid w:val="007713EC"/>
    <w:rsid w:val="00771618"/>
    <w:rsid w:val="00771B21"/>
    <w:rsid w:val="00771E4D"/>
    <w:rsid w:val="00772E2C"/>
    <w:rsid w:val="0077335A"/>
    <w:rsid w:val="0077337D"/>
    <w:rsid w:val="007733DB"/>
    <w:rsid w:val="007735C6"/>
    <w:rsid w:val="007737B6"/>
    <w:rsid w:val="007744A7"/>
    <w:rsid w:val="00774656"/>
    <w:rsid w:val="00774765"/>
    <w:rsid w:val="00774EBD"/>
    <w:rsid w:val="0077536F"/>
    <w:rsid w:val="0077556C"/>
    <w:rsid w:val="007759C0"/>
    <w:rsid w:val="00776316"/>
    <w:rsid w:val="00776B36"/>
    <w:rsid w:val="00777141"/>
    <w:rsid w:val="00777220"/>
    <w:rsid w:val="007775C7"/>
    <w:rsid w:val="00777C32"/>
    <w:rsid w:val="00780336"/>
    <w:rsid w:val="007806A8"/>
    <w:rsid w:val="007813B0"/>
    <w:rsid w:val="00781E0B"/>
    <w:rsid w:val="00781F9E"/>
    <w:rsid w:val="00782076"/>
    <w:rsid w:val="007821D4"/>
    <w:rsid w:val="0078385B"/>
    <w:rsid w:val="00783AA7"/>
    <w:rsid w:val="007842A3"/>
    <w:rsid w:val="007863B0"/>
    <w:rsid w:val="00786E43"/>
    <w:rsid w:val="00787054"/>
    <w:rsid w:val="007901E0"/>
    <w:rsid w:val="0079064D"/>
    <w:rsid w:val="00790766"/>
    <w:rsid w:val="00791041"/>
    <w:rsid w:val="00791CF3"/>
    <w:rsid w:val="007924B0"/>
    <w:rsid w:val="00793650"/>
    <w:rsid w:val="00796595"/>
    <w:rsid w:val="007966EC"/>
    <w:rsid w:val="007967BF"/>
    <w:rsid w:val="007967DD"/>
    <w:rsid w:val="007972FF"/>
    <w:rsid w:val="00797418"/>
    <w:rsid w:val="007A0FB4"/>
    <w:rsid w:val="007A22FC"/>
    <w:rsid w:val="007A24CE"/>
    <w:rsid w:val="007A26E3"/>
    <w:rsid w:val="007A439A"/>
    <w:rsid w:val="007A52E7"/>
    <w:rsid w:val="007A63C8"/>
    <w:rsid w:val="007A6BEC"/>
    <w:rsid w:val="007A70A9"/>
    <w:rsid w:val="007A7D58"/>
    <w:rsid w:val="007B010A"/>
    <w:rsid w:val="007B0877"/>
    <w:rsid w:val="007B2501"/>
    <w:rsid w:val="007B2528"/>
    <w:rsid w:val="007B32D1"/>
    <w:rsid w:val="007B3CE1"/>
    <w:rsid w:val="007B4212"/>
    <w:rsid w:val="007B4933"/>
    <w:rsid w:val="007B4D7E"/>
    <w:rsid w:val="007B5036"/>
    <w:rsid w:val="007B59EB"/>
    <w:rsid w:val="007B6019"/>
    <w:rsid w:val="007B6037"/>
    <w:rsid w:val="007B6ED3"/>
    <w:rsid w:val="007B7C11"/>
    <w:rsid w:val="007C0439"/>
    <w:rsid w:val="007C23E7"/>
    <w:rsid w:val="007C34DA"/>
    <w:rsid w:val="007C35EF"/>
    <w:rsid w:val="007C42DD"/>
    <w:rsid w:val="007C462D"/>
    <w:rsid w:val="007C4F23"/>
    <w:rsid w:val="007C5A82"/>
    <w:rsid w:val="007C67BF"/>
    <w:rsid w:val="007C681B"/>
    <w:rsid w:val="007C7855"/>
    <w:rsid w:val="007D043B"/>
    <w:rsid w:val="007D2C14"/>
    <w:rsid w:val="007D4BCB"/>
    <w:rsid w:val="007D4DB4"/>
    <w:rsid w:val="007D59E0"/>
    <w:rsid w:val="007D64E4"/>
    <w:rsid w:val="007D6832"/>
    <w:rsid w:val="007D793E"/>
    <w:rsid w:val="007E109C"/>
    <w:rsid w:val="007E25C8"/>
    <w:rsid w:val="007E2665"/>
    <w:rsid w:val="007E3219"/>
    <w:rsid w:val="007E3ED9"/>
    <w:rsid w:val="007E42A9"/>
    <w:rsid w:val="007E525E"/>
    <w:rsid w:val="007E577E"/>
    <w:rsid w:val="007E59A3"/>
    <w:rsid w:val="007E5A18"/>
    <w:rsid w:val="007E5F0B"/>
    <w:rsid w:val="007E6A64"/>
    <w:rsid w:val="007E7060"/>
    <w:rsid w:val="007F08FD"/>
    <w:rsid w:val="007F0AB6"/>
    <w:rsid w:val="007F0F30"/>
    <w:rsid w:val="007F11F8"/>
    <w:rsid w:val="007F2504"/>
    <w:rsid w:val="007F27CB"/>
    <w:rsid w:val="007F3FB9"/>
    <w:rsid w:val="007F5331"/>
    <w:rsid w:val="007F5530"/>
    <w:rsid w:val="007F5B54"/>
    <w:rsid w:val="007F5E69"/>
    <w:rsid w:val="007F5F40"/>
    <w:rsid w:val="007F75FA"/>
    <w:rsid w:val="00801016"/>
    <w:rsid w:val="00801F93"/>
    <w:rsid w:val="00802776"/>
    <w:rsid w:val="00802825"/>
    <w:rsid w:val="00802C9A"/>
    <w:rsid w:val="00802D2F"/>
    <w:rsid w:val="00802E4E"/>
    <w:rsid w:val="00802FAE"/>
    <w:rsid w:val="00803518"/>
    <w:rsid w:val="008037AF"/>
    <w:rsid w:val="008040F4"/>
    <w:rsid w:val="00804CFC"/>
    <w:rsid w:val="00805145"/>
    <w:rsid w:val="00805BCF"/>
    <w:rsid w:val="00805EC9"/>
    <w:rsid w:val="00806D39"/>
    <w:rsid w:val="00810B09"/>
    <w:rsid w:val="00810FF3"/>
    <w:rsid w:val="00811E64"/>
    <w:rsid w:val="00812109"/>
    <w:rsid w:val="00812802"/>
    <w:rsid w:val="00812CE2"/>
    <w:rsid w:val="008137D5"/>
    <w:rsid w:val="00813EF6"/>
    <w:rsid w:val="008147A5"/>
    <w:rsid w:val="00815FB4"/>
    <w:rsid w:val="008165FE"/>
    <w:rsid w:val="0081687C"/>
    <w:rsid w:val="00816EF6"/>
    <w:rsid w:val="00816FB2"/>
    <w:rsid w:val="008173DD"/>
    <w:rsid w:val="008179B8"/>
    <w:rsid w:val="008200AD"/>
    <w:rsid w:val="00821FC3"/>
    <w:rsid w:val="0082255D"/>
    <w:rsid w:val="00822F53"/>
    <w:rsid w:val="008271E2"/>
    <w:rsid w:val="008308A2"/>
    <w:rsid w:val="0083183D"/>
    <w:rsid w:val="00831A6C"/>
    <w:rsid w:val="008328D5"/>
    <w:rsid w:val="0083324E"/>
    <w:rsid w:val="008345CB"/>
    <w:rsid w:val="00835460"/>
    <w:rsid w:val="00836ED6"/>
    <w:rsid w:val="008405E7"/>
    <w:rsid w:val="00840EFC"/>
    <w:rsid w:val="00841D3A"/>
    <w:rsid w:val="008426B3"/>
    <w:rsid w:val="0084351F"/>
    <w:rsid w:val="00843857"/>
    <w:rsid w:val="0084437A"/>
    <w:rsid w:val="0084440C"/>
    <w:rsid w:val="00844AC6"/>
    <w:rsid w:val="00844D59"/>
    <w:rsid w:val="00844D9C"/>
    <w:rsid w:val="00845E78"/>
    <w:rsid w:val="00846417"/>
    <w:rsid w:val="00846C3C"/>
    <w:rsid w:val="00847F00"/>
    <w:rsid w:val="00850E64"/>
    <w:rsid w:val="00850EAD"/>
    <w:rsid w:val="00851EA0"/>
    <w:rsid w:val="008520E4"/>
    <w:rsid w:val="00852C33"/>
    <w:rsid w:val="008530C1"/>
    <w:rsid w:val="008538D7"/>
    <w:rsid w:val="008539C7"/>
    <w:rsid w:val="00854A47"/>
    <w:rsid w:val="008574D0"/>
    <w:rsid w:val="00857EB2"/>
    <w:rsid w:val="00860142"/>
    <w:rsid w:val="00860F1A"/>
    <w:rsid w:val="0086160E"/>
    <w:rsid w:val="008623FD"/>
    <w:rsid w:val="00863213"/>
    <w:rsid w:val="008647AF"/>
    <w:rsid w:val="0086480F"/>
    <w:rsid w:val="00865066"/>
    <w:rsid w:val="00870922"/>
    <w:rsid w:val="0087119A"/>
    <w:rsid w:val="008723C6"/>
    <w:rsid w:val="0087371F"/>
    <w:rsid w:val="00876CF8"/>
    <w:rsid w:val="00877039"/>
    <w:rsid w:val="0088029C"/>
    <w:rsid w:val="008804DD"/>
    <w:rsid w:val="0088282C"/>
    <w:rsid w:val="00882EDD"/>
    <w:rsid w:val="00884157"/>
    <w:rsid w:val="0088462F"/>
    <w:rsid w:val="0088480E"/>
    <w:rsid w:val="008852A4"/>
    <w:rsid w:val="00885BA9"/>
    <w:rsid w:val="00885CD2"/>
    <w:rsid w:val="00887653"/>
    <w:rsid w:val="0089014E"/>
    <w:rsid w:val="00892FEF"/>
    <w:rsid w:val="00893410"/>
    <w:rsid w:val="00895DBC"/>
    <w:rsid w:val="00897982"/>
    <w:rsid w:val="008A02D0"/>
    <w:rsid w:val="008A0F45"/>
    <w:rsid w:val="008A182A"/>
    <w:rsid w:val="008A18AF"/>
    <w:rsid w:val="008A1B63"/>
    <w:rsid w:val="008A1E50"/>
    <w:rsid w:val="008A343B"/>
    <w:rsid w:val="008A3A7D"/>
    <w:rsid w:val="008A5E98"/>
    <w:rsid w:val="008A641D"/>
    <w:rsid w:val="008A768D"/>
    <w:rsid w:val="008A76DC"/>
    <w:rsid w:val="008A7F9F"/>
    <w:rsid w:val="008B0754"/>
    <w:rsid w:val="008B107D"/>
    <w:rsid w:val="008B172F"/>
    <w:rsid w:val="008B1894"/>
    <w:rsid w:val="008B3821"/>
    <w:rsid w:val="008B3C12"/>
    <w:rsid w:val="008B469F"/>
    <w:rsid w:val="008B46D8"/>
    <w:rsid w:val="008B4A2E"/>
    <w:rsid w:val="008B4AD7"/>
    <w:rsid w:val="008B58E8"/>
    <w:rsid w:val="008B5B22"/>
    <w:rsid w:val="008B6550"/>
    <w:rsid w:val="008B685A"/>
    <w:rsid w:val="008B68ED"/>
    <w:rsid w:val="008B7A1E"/>
    <w:rsid w:val="008C023E"/>
    <w:rsid w:val="008C0E02"/>
    <w:rsid w:val="008C0F9A"/>
    <w:rsid w:val="008C14DF"/>
    <w:rsid w:val="008C1C5E"/>
    <w:rsid w:val="008C1FEC"/>
    <w:rsid w:val="008C2E95"/>
    <w:rsid w:val="008C305B"/>
    <w:rsid w:val="008C3A50"/>
    <w:rsid w:val="008C4EB6"/>
    <w:rsid w:val="008C51A4"/>
    <w:rsid w:val="008C549D"/>
    <w:rsid w:val="008C5B63"/>
    <w:rsid w:val="008C6055"/>
    <w:rsid w:val="008C60E5"/>
    <w:rsid w:val="008C7A01"/>
    <w:rsid w:val="008D03C2"/>
    <w:rsid w:val="008D0D25"/>
    <w:rsid w:val="008D4AAE"/>
    <w:rsid w:val="008D51BA"/>
    <w:rsid w:val="008D6434"/>
    <w:rsid w:val="008D6B9B"/>
    <w:rsid w:val="008D786F"/>
    <w:rsid w:val="008D79A1"/>
    <w:rsid w:val="008D7D92"/>
    <w:rsid w:val="008E386B"/>
    <w:rsid w:val="008E4D02"/>
    <w:rsid w:val="008E4FD1"/>
    <w:rsid w:val="008E55DA"/>
    <w:rsid w:val="008E5B38"/>
    <w:rsid w:val="008E6154"/>
    <w:rsid w:val="008E6AFE"/>
    <w:rsid w:val="008E7D08"/>
    <w:rsid w:val="008F1E1C"/>
    <w:rsid w:val="008F280F"/>
    <w:rsid w:val="008F2C15"/>
    <w:rsid w:val="008F302E"/>
    <w:rsid w:val="008F313B"/>
    <w:rsid w:val="008F32E0"/>
    <w:rsid w:val="008F5283"/>
    <w:rsid w:val="008F53BB"/>
    <w:rsid w:val="008F5A14"/>
    <w:rsid w:val="008F699B"/>
    <w:rsid w:val="008F6D13"/>
    <w:rsid w:val="008F726C"/>
    <w:rsid w:val="008F78E6"/>
    <w:rsid w:val="00900947"/>
    <w:rsid w:val="00901278"/>
    <w:rsid w:val="0090152E"/>
    <w:rsid w:val="00901C09"/>
    <w:rsid w:val="00901D6E"/>
    <w:rsid w:val="0090267F"/>
    <w:rsid w:val="00904574"/>
    <w:rsid w:val="00906F78"/>
    <w:rsid w:val="00907931"/>
    <w:rsid w:val="00910496"/>
    <w:rsid w:val="00912EE3"/>
    <w:rsid w:val="009140DB"/>
    <w:rsid w:val="00914D63"/>
    <w:rsid w:val="009163C2"/>
    <w:rsid w:val="009165A8"/>
    <w:rsid w:val="009168C0"/>
    <w:rsid w:val="00916CB4"/>
    <w:rsid w:val="00917C68"/>
    <w:rsid w:val="00922733"/>
    <w:rsid w:val="00922B42"/>
    <w:rsid w:val="00922EDB"/>
    <w:rsid w:val="009239E0"/>
    <w:rsid w:val="00923CC7"/>
    <w:rsid w:val="009249BA"/>
    <w:rsid w:val="00924CD2"/>
    <w:rsid w:val="00924E5D"/>
    <w:rsid w:val="00926077"/>
    <w:rsid w:val="0092695D"/>
    <w:rsid w:val="00926FB8"/>
    <w:rsid w:val="009324CB"/>
    <w:rsid w:val="00932F8D"/>
    <w:rsid w:val="00934DFC"/>
    <w:rsid w:val="0093506B"/>
    <w:rsid w:val="0093643C"/>
    <w:rsid w:val="0093684C"/>
    <w:rsid w:val="00936972"/>
    <w:rsid w:val="0093709C"/>
    <w:rsid w:val="009372F6"/>
    <w:rsid w:val="0093761B"/>
    <w:rsid w:val="00941C1D"/>
    <w:rsid w:val="009431D0"/>
    <w:rsid w:val="0094492B"/>
    <w:rsid w:val="00944F2C"/>
    <w:rsid w:val="009452B2"/>
    <w:rsid w:val="00945DA0"/>
    <w:rsid w:val="0094665D"/>
    <w:rsid w:val="00946B61"/>
    <w:rsid w:val="00947432"/>
    <w:rsid w:val="00950724"/>
    <w:rsid w:val="00950AD6"/>
    <w:rsid w:val="0095140B"/>
    <w:rsid w:val="0095291B"/>
    <w:rsid w:val="00955511"/>
    <w:rsid w:val="009560B9"/>
    <w:rsid w:val="009563E6"/>
    <w:rsid w:val="009574D1"/>
    <w:rsid w:val="00960150"/>
    <w:rsid w:val="0096065A"/>
    <w:rsid w:val="009607C3"/>
    <w:rsid w:val="00960FD6"/>
    <w:rsid w:val="009615E6"/>
    <w:rsid w:val="0096166B"/>
    <w:rsid w:val="00961692"/>
    <w:rsid w:val="009619B1"/>
    <w:rsid w:val="00962CB0"/>
    <w:rsid w:val="00962CF1"/>
    <w:rsid w:val="00963D22"/>
    <w:rsid w:val="0096517C"/>
    <w:rsid w:val="00965E04"/>
    <w:rsid w:val="009665F4"/>
    <w:rsid w:val="00966611"/>
    <w:rsid w:val="00970419"/>
    <w:rsid w:val="00970FEA"/>
    <w:rsid w:val="00971BB5"/>
    <w:rsid w:val="00971D88"/>
    <w:rsid w:val="00972129"/>
    <w:rsid w:val="009723BD"/>
    <w:rsid w:val="0097270E"/>
    <w:rsid w:val="00973185"/>
    <w:rsid w:val="009746FC"/>
    <w:rsid w:val="00974D9D"/>
    <w:rsid w:val="00974F1A"/>
    <w:rsid w:val="009754E1"/>
    <w:rsid w:val="00975A4B"/>
    <w:rsid w:val="00975EB3"/>
    <w:rsid w:val="0097635A"/>
    <w:rsid w:val="00977095"/>
    <w:rsid w:val="00977FCA"/>
    <w:rsid w:val="00980456"/>
    <w:rsid w:val="00980E98"/>
    <w:rsid w:val="009821AD"/>
    <w:rsid w:val="009821B0"/>
    <w:rsid w:val="00983140"/>
    <w:rsid w:val="00983C98"/>
    <w:rsid w:val="009843D9"/>
    <w:rsid w:val="00984843"/>
    <w:rsid w:val="00985336"/>
    <w:rsid w:val="009853C7"/>
    <w:rsid w:val="009859F3"/>
    <w:rsid w:val="00985AAC"/>
    <w:rsid w:val="00986C10"/>
    <w:rsid w:val="00987D75"/>
    <w:rsid w:val="0099040B"/>
    <w:rsid w:val="00990CD9"/>
    <w:rsid w:val="0099143C"/>
    <w:rsid w:val="009921AD"/>
    <w:rsid w:val="00992E4D"/>
    <w:rsid w:val="00993029"/>
    <w:rsid w:val="0099348B"/>
    <w:rsid w:val="009934DA"/>
    <w:rsid w:val="009937E1"/>
    <w:rsid w:val="0099397E"/>
    <w:rsid w:val="00993EBF"/>
    <w:rsid w:val="009941CA"/>
    <w:rsid w:val="00994235"/>
    <w:rsid w:val="00994239"/>
    <w:rsid w:val="009958E1"/>
    <w:rsid w:val="00995993"/>
    <w:rsid w:val="00995C42"/>
    <w:rsid w:val="00996B61"/>
    <w:rsid w:val="0099750C"/>
    <w:rsid w:val="00997886"/>
    <w:rsid w:val="0099789E"/>
    <w:rsid w:val="009A1FE3"/>
    <w:rsid w:val="009A28BE"/>
    <w:rsid w:val="009A345E"/>
    <w:rsid w:val="009A4195"/>
    <w:rsid w:val="009A6443"/>
    <w:rsid w:val="009A6816"/>
    <w:rsid w:val="009A6890"/>
    <w:rsid w:val="009B0C5D"/>
    <w:rsid w:val="009B1A13"/>
    <w:rsid w:val="009B3AA8"/>
    <w:rsid w:val="009B3E42"/>
    <w:rsid w:val="009B41DA"/>
    <w:rsid w:val="009B5154"/>
    <w:rsid w:val="009B55E9"/>
    <w:rsid w:val="009B6BA8"/>
    <w:rsid w:val="009B6FA7"/>
    <w:rsid w:val="009B7EA9"/>
    <w:rsid w:val="009C070B"/>
    <w:rsid w:val="009C0F38"/>
    <w:rsid w:val="009C10B6"/>
    <w:rsid w:val="009C169A"/>
    <w:rsid w:val="009C1AEE"/>
    <w:rsid w:val="009C3BF9"/>
    <w:rsid w:val="009C53D4"/>
    <w:rsid w:val="009C5C30"/>
    <w:rsid w:val="009C5F18"/>
    <w:rsid w:val="009C6751"/>
    <w:rsid w:val="009C6E24"/>
    <w:rsid w:val="009C77A9"/>
    <w:rsid w:val="009C7C57"/>
    <w:rsid w:val="009D0181"/>
    <w:rsid w:val="009D1194"/>
    <w:rsid w:val="009D1ED8"/>
    <w:rsid w:val="009D21A6"/>
    <w:rsid w:val="009D25AB"/>
    <w:rsid w:val="009D2769"/>
    <w:rsid w:val="009D2FF9"/>
    <w:rsid w:val="009D3211"/>
    <w:rsid w:val="009D4599"/>
    <w:rsid w:val="009D4B34"/>
    <w:rsid w:val="009D5399"/>
    <w:rsid w:val="009D55B4"/>
    <w:rsid w:val="009D737E"/>
    <w:rsid w:val="009E0DCE"/>
    <w:rsid w:val="009E1617"/>
    <w:rsid w:val="009E1C3E"/>
    <w:rsid w:val="009E2AF6"/>
    <w:rsid w:val="009E3669"/>
    <w:rsid w:val="009E523E"/>
    <w:rsid w:val="009E618D"/>
    <w:rsid w:val="009F18A7"/>
    <w:rsid w:val="009F221C"/>
    <w:rsid w:val="009F3021"/>
    <w:rsid w:val="009F3362"/>
    <w:rsid w:val="009F4D3D"/>
    <w:rsid w:val="009F63C4"/>
    <w:rsid w:val="009F65BD"/>
    <w:rsid w:val="009F6B43"/>
    <w:rsid w:val="009F6BC3"/>
    <w:rsid w:val="009F719F"/>
    <w:rsid w:val="009F7AF4"/>
    <w:rsid w:val="009F7B2E"/>
    <w:rsid w:val="009F7DA7"/>
    <w:rsid w:val="009F7EDF"/>
    <w:rsid w:val="00A00920"/>
    <w:rsid w:val="00A00DE1"/>
    <w:rsid w:val="00A03D0C"/>
    <w:rsid w:val="00A03F1C"/>
    <w:rsid w:val="00A04555"/>
    <w:rsid w:val="00A04642"/>
    <w:rsid w:val="00A05372"/>
    <w:rsid w:val="00A05575"/>
    <w:rsid w:val="00A0686C"/>
    <w:rsid w:val="00A07483"/>
    <w:rsid w:val="00A077B4"/>
    <w:rsid w:val="00A07C7A"/>
    <w:rsid w:val="00A1074B"/>
    <w:rsid w:val="00A10A59"/>
    <w:rsid w:val="00A10E31"/>
    <w:rsid w:val="00A11197"/>
    <w:rsid w:val="00A11C97"/>
    <w:rsid w:val="00A12DB8"/>
    <w:rsid w:val="00A14624"/>
    <w:rsid w:val="00A14786"/>
    <w:rsid w:val="00A15387"/>
    <w:rsid w:val="00A20886"/>
    <w:rsid w:val="00A214EF"/>
    <w:rsid w:val="00A227BC"/>
    <w:rsid w:val="00A229D0"/>
    <w:rsid w:val="00A22E23"/>
    <w:rsid w:val="00A22E7F"/>
    <w:rsid w:val="00A2344F"/>
    <w:rsid w:val="00A23491"/>
    <w:rsid w:val="00A2363E"/>
    <w:rsid w:val="00A244A9"/>
    <w:rsid w:val="00A261F5"/>
    <w:rsid w:val="00A2689E"/>
    <w:rsid w:val="00A27859"/>
    <w:rsid w:val="00A301F5"/>
    <w:rsid w:val="00A305A6"/>
    <w:rsid w:val="00A327F3"/>
    <w:rsid w:val="00A32E71"/>
    <w:rsid w:val="00A332B1"/>
    <w:rsid w:val="00A332E4"/>
    <w:rsid w:val="00A34072"/>
    <w:rsid w:val="00A340CF"/>
    <w:rsid w:val="00A35049"/>
    <w:rsid w:val="00A36090"/>
    <w:rsid w:val="00A360A5"/>
    <w:rsid w:val="00A36489"/>
    <w:rsid w:val="00A37AF3"/>
    <w:rsid w:val="00A37C23"/>
    <w:rsid w:val="00A37D7E"/>
    <w:rsid w:val="00A40D79"/>
    <w:rsid w:val="00A43098"/>
    <w:rsid w:val="00A43B99"/>
    <w:rsid w:val="00A477FA"/>
    <w:rsid w:val="00A50FD7"/>
    <w:rsid w:val="00A5259E"/>
    <w:rsid w:val="00A5295A"/>
    <w:rsid w:val="00A53A60"/>
    <w:rsid w:val="00A5767F"/>
    <w:rsid w:val="00A624F3"/>
    <w:rsid w:val="00A6275C"/>
    <w:rsid w:val="00A65D01"/>
    <w:rsid w:val="00A65E1C"/>
    <w:rsid w:val="00A660BA"/>
    <w:rsid w:val="00A6792F"/>
    <w:rsid w:val="00A67955"/>
    <w:rsid w:val="00A67F8D"/>
    <w:rsid w:val="00A700C8"/>
    <w:rsid w:val="00A70CD1"/>
    <w:rsid w:val="00A71680"/>
    <w:rsid w:val="00A71EE2"/>
    <w:rsid w:val="00A71F54"/>
    <w:rsid w:val="00A7201A"/>
    <w:rsid w:val="00A73FF7"/>
    <w:rsid w:val="00A7403E"/>
    <w:rsid w:val="00A74244"/>
    <w:rsid w:val="00A74476"/>
    <w:rsid w:val="00A75087"/>
    <w:rsid w:val="00A7639B"/>
    <w:rsid w:val="00A76E5C"/>
    <w:rsid w:val="00A76E83"/>
    <w:rsid w:val="00A776EA"/>
    <w:rsid w:val="00A77A6D"/>
    <w:rsid w:val="00A8073E"/>
    <w:rsid w:val="00A81EDF"/>
    <w:rsid w:val="00A82060"/>
    <w:rsid w:val="00A825AB"/>
    <w:rsid w:val="00A82678"/>
    <w:rsid w:val="00A83260"/>
    <w:rsid w:val="00A83360"/>
    <w:rsid w:val="00A837BC"/>
    <w:rsid w:val="00A83DB7"/>
    <w:rsid w:val="00A84690"/>
    <w:rsid w:val="00A8494A"/>
    <w:rsid w:val="00A84E65"/>
    <w:rsid w:val="00A85255"/>
    <w:rsid w:val="00A85794"/>
    <w:rsid w:val="00A8587B"/>
    <w:rsid w:val="00A8595F"/>
    <w:rsid w:val="00A8605C"/>
    <w:rsid w:val="00A86126"/>
    <w:rsid w:val="00A861A0"/>
    <w:rsid w:val="00A87C79"/>
    <w:rsid w:val="00A90816"/>
    <w:rsid w:val="00A91848"/>
    <w:rsid w:val="00A91FE4"/>
    <w:rsid w:val="00A92E95"/>
    <w:rsid w:val="00A93135"/>
    <w:rsid w:val="00A94025"/>
    <w:rsid w:val="00A953D2"/>
    <w:rsid w:val="00A96134"/>
    <w:rsid w:val="00A9711F"/>
    <w:rsid w:val="00A97BF0"/>
    <w:rsid w:val="00AA0215"/>
    <w:rsid w:val="00AA21F1"/>
    <w:rsid w:val="00AA2E7E"/>
    <w:rsid w:val="00AA30F4"/>
    <w:rsid w:val="00AA3462"/>
    <w:rsid w:val="00AA4766"/>
    <w:rsid w:val="00AA5A82"/>
    <w:rsid w:val="00AA6300"/>
    <w:rsid w:val="00AA79B8"/>
    <w:rsid w:val="00AB079A"/>
    <w:rsid w:val="00AB12EF"/>
    <w:rsid w:val="00AB2656"/>
    <w:rsid w:val="00AB3C0B"/>
    <w:rsid w:val="00AC02B6"/>
    <w:rsid w:val="00AC08A5"/>
    <w:rsid w:val="00AC17E2"/>
    <w:rsid w:val="00AC1BB9"/>
    <w:rsid w:val="00AC1EF1"/>
    <w:rsid w:val="00AC2E96"/>
    <w:rsid w:val="00AC5A7E"/>
    <w:rsid w:val="00AC63C0"/>
    <w:rsid w:val="00AC66E7"/>
    <w:rsid w:val="00AC6929"/>
    <w:rsid w:val="00AC6A82"/>
    <w:rsid w:val="00AD1494"/>
    <w:rsid w:val="00AD37F7"/>
    <w:rsid w:val="00AD3BFE"/>
    <w:rsid w:val="00AD4735"/>
    <w:rsid w:val="00AD4B8E"/>
    <w:rsid w:val="00AD5233"/>
    <w:rsid w:val="00AD58F9"/>
    <w:rsid w:val="00AE04C2"/>
    <w:rsid w:val="00AE1111"/>
    <w:rsid w:val="00AE246A"/>
    <w:rsid w:val="00AE2803"/>
    <w:rsid w:val="00AE5511"/>
    <w:rsid w:val="00AE60D6"/>
    <w:rsid w:val="00AE66EC"/>
    <w:rsid w:val="00AE7CDA"/>
    <w:rsid w:val="00AF0955"/>
    <w:rsid w:val="00AF0B87"/>
    <w:rsid w:val="00AF0CEC"/>
    <w:rsid w:val="00AF0F71"/>
    <w:rsid w:val="00AF177C"/>
    <w:rsid w:val="00AF2389"/>
    <w:rsid w:val="00AF2A84"/>
    <w:rsid w:val="00AF3014"/>
    <w:rsid w:val="00AF3032"/>
    <w:rsid w:val="00AF43DF"/>
    <w:rsid w:val="00AF58E9"/>
    <w:rsid w:val="00AF6C1E"/>
    <w:rsid w:val="00AF7DA6"/>
    <w:rsid w:val="00B00B47"/>
    <w:rsid w:val="00B013C8"/>
    <w:rsid w:val="00B034C0"/>
    <w:rsid w:val="00B039DE"/>
    <w:rsid w:val="00B0578C"/>
    <w:rsid w:val="00B068B6"/>
    <w:rsid w:val="00B07420"/>
    <w:rsid w:val="00B07AFE"/>
    <w:rsid w:val="00B10361"/>
    <w:rsid w:val="00B10854"/>
    <w:rsid w:val="00B10966"/>
    <w:rsid w:val="00B114A5"/>
    <w:rsid w:val="00B119B5"/>
    <w:rsid w:val="00B12AF4"/>
    <w:rsid w:val="00B13148"/>
    <w:rsid w:val="00B132A7"/>
    <w:rsid w:val="00B13B37"/>
    <w:rsid w:val="00B14F2B"/>
    <w:rsid w:val="00B14F7D"/>
    <w:rsid w:val="00B14FAD"/>
    <w:rsid w:val="00B16DFC"/>
    <w:rsid w:val="00B17FD4"/>
    <w:rsid w:val="00B20C9B"/>
    <w:rsid w:val="00B21CFA"/>
    <w:rsid w:val="00B22759"/>
    <w:rsid w:val="00B2282E"/>
    <w:rsid w:val="00B22939"/>
    <w:rsid w:val="00B2308F"/>
    <w:rsid w:val="00B23405"/>
    <w:rsid w:val="00B244F5"/>
    <w:rsid w:val="00B25484"/>
    <w:rsid w:val="00B30082"/>
    <w:rsid w:val="00B301AB"/>
    <w:rsid w:val="00B30519"/>
    <w:rsid w:val="00B30A9A"/>
    <w:rsid w:val="00B3153D"/>
    <w:rsid w:val="00B3223A"/>
    <w:rsid w:val="00B32A87"/>
    <w:rsid w:val="00B33456"/>
    <w:rsid w:val="00B3425B"/>
    <w:rsid w:val="00B3447D"/>
    <w:rsid w:val="00B344E3"/>
    <w:rsid w:val="00B377C7"/>
    <w:rsid w:val="00B37E2E"/>
    <w:rsid w:val="00B40960"/>
    <w:rsid w:val="00B454A3"/>
    <w:rsid w:val="00B46266"/>
    <w:rsid w:val="00B46D36"/>
    <w:rsid w:val="00B476BD"/>
    <w:rsid w:val="00B50064"/>
    <w:rsid w:val="00B503F1"/>
    <w:rsid w:val="00B50AF3"/>
    <w:rsid w:val="00B532CD"/>
    <w:rsid w:val="00B53348"/>
    <w:rsid w:val="00B5392C"/>
    <w:rsid w:val="00B54A8C"/>
    <w:rsid w:val="00B55A39"/>
    <w:rsid w:val="00B567F9"/>
    <w:rsid w:val="00B56BC9"/>
    <w:rsid w:val="00B56FAC"/>
    <w:rsid w:val="00B616D4"/>
    <w:rsid w:val="00B620DA"/>
    <w:rsid w:val="00B63FF4"/>
    <w:rsid w:val="00B64CD4"/>
    <w:rsid w:val="00B66191"/>
    <w:rsid w:val="00B66A44"/>
    <w:rsid w:val="00B70FFE"/>
    <w:rsid w:val="00B711D8"/>
    <w:rsid w:val="00B7224E"/>
    <w:rsid w:val="00B72E67"/>
    <w:rsid w:val="00B73DF4"/>
    <w:rsid w:val="00B77AA6"/>
    <w:rsid w:val="00B80AEE"/>
    <w:rsid w:val="00B81BF0"/>
    <w:rsid w:val="00B820C3"/>
    <w:rsid w:val="00B8347D"/>
    <w:rsid w:val="00B83BD2"/>
    <w:rsid w:val="00B86A81"/>
    <w:rsid w:val="00B86CE2"/>
    <w:rsid w:val="00B870CD"/>
    <w:rsid w:val="00B87E3F"/>
    <w:rsid w:val="00B90088"/>
    <w:rsid w:val="00B901D1"/>
    <w:rsid w:val="00B905D6"/>
    <w:rsid w:val="00B909A3"/>
    <w:rsid w:val="00B90BA5"/>
    <w:rsid w:val="00B93940"/>
    <w:rsid w:val="00B93C2B"/>
    <w:rsid w:val="00B94301"/>
    <w:rsid w:val="00B945F0"/>
    <w:rsid w:val="00B94CFA"/>
    <w:rsid w:val="00B95642"/>
    <w:rsid w:val="00B96035"/>
    <w:rsid w:val="00B9619B"/>
    <w:rsid w:val="00B97D85"/>
    <w:rsid w:val="00BA0D5A"/>
    <w:rsid w:val="00BA12A5"/>
    <w:rsid w:val="00BA12CC"/>
    <w:rsid w:val="00BA12CF"/>
    <w:rsid w:val="00BA5894"/>
    <w:rsid w:val="00BA5A74"/>
    <w:rsid w:val="00BA645F"/>
    <w:rsid w:val="00BB0A18"/>
    <w:rsid w:val="00BB152A"/>
    <w:rsid w:val="00BB1C75"/>
    <w:rsid w:val="00BB21EE"/>
    <w:rsid w:val="00BB23E4"/>
    <w:rsid w:val="00BB2FA4"/>
    <w:rsid w:val="00BB5973"/>
    <w:rsid w:val="00BB6116"/>
    <w:rsid w:val="00BB613C"/>
    <w:rsid w:val="00BB7C37"/>
    <w:rsid w:val="00BC073F"/>
    <w:rsid w:val="00BC1789"/>
    <w:rsid w:val="00BC249A"/>
    <w:rsid w:val="00BC357B"/>
    <w:rsid w:val="00BC3A3E"/>
    <w:rsid w:val="00BC4DBB"/>
    <w:rsid w:val="00BC664A"/>
    <w:rsid w:val="00BC6F5A"/>
    <w:rsid w:val="00BC773C"/>
    <w:rsid w:val="00BD0A99"/>
    <w:rsid w:val="00BD0CAA"/>
    <w:rsid w:val="00BD19B3"/>
    <w:rsid w:val="00BD3A1A"/>
    <w:rsid w:val="00BD3E8F"/>
    <w:rsid w:val="00BD721A"/>
    <w:rsid w:val="00BE1274"/>
    <w:rsid w:val="00BE235E"/>
    <w:rsid w:val="00BE249D"/>
    <w:rsid w:val="00BE32C0"/>
    <w:rsid w:val="00BE3C1B"/>
    <w:rsid w:val="00BE4621"/>
    <w:rsid w:val="00BE4643"/>
    <w:rsid w:val="00BE4C45"/>
    <w:rsid w:val="00BE5991"/>
    <w:rsid w:val="00BE5E99"/>
    <w:rsid w:val="00BE7515"/>
    <w:rsid w:val="00BE7D66"/>
    <w:rsid w:val="00BF003A"/>
    <w:rsid w:val="00BF0529"/>
    <w:rsid w:val="00BF0A37"/>
    <w:rsid w:val="00BF23EB"/>
    <w:rsid w:val="00BF2DEA"/>
    <w:rsid w:val="00BF2F02"/>
    <w:rsid w:val="00BF483A"/>
    <w:rsid w:val="00BF4CDA"/>
    <w:rsid w:val="00BF5C75"/>
    <w:rsid w:val="00BF5C9C"/>
    <w:rsid w:val="00C0040E"/>
    <w:rsid w:val="00C0193C"/>
    <w:rsid w:val="00C031E8"/>
    <w:rsid w:val="00C03E57"/>
    <w:rsid w:val="00C03F6C"/>
    <w:rsid w:val="00C04307"/>
    <w:rsid w:val="00C045B5"/>
    <w:rsid w:val="00C04A96"/>
    <w:rsid w:val="00C052DA"/>
    <w:rsid w:val="00C053B8"/>
    <w:rsid w:val="00C05B58"/>
    <w:rsid w:val="00C109C7"/>
    <w:rsid w:val="00C11DCE"/>
    <w:rsid w:val="00C122FA"/>
    <w:rsid w:val="00C125CF"/>
    <w:rsid w:val="00C12995"/>
    <w:rsid w:val="00C132D8"/>
    <w:rsid w:val="00C13B37"/>
    <w:rsid w:val="00C14629"/>
    <w:rsid w:val="00C15625"/>
    <w:rsid w:val="00C1703E"/>
    <w:rsid w:val="00C17108"/>
    <w:rsid w:val="00C1796A"/>
    <w:rsid w:val="00C17F30"/>
    <w:rsid w:val="00C20E9F"/>
    <w:rsid w:val="00C21230"/>
    <w:rsid w:val="00C215A3"/>
    <w:rsid w:val="00C23104"/>
    <w:rsid w:val="00C241C8"/>
    <w:rsid w:val="00C24436"/>
    <w:rsid w:val="00C24EB6"/>
    <w:rsid w:val="00C25F36"/>
    <w:rsid w:val="00C2613A"/>
    <w:rsid w:val="00C27924"/>
    <w:rsid w:val="00C30B85"/>
    <w:rsid w:val="00C31033"/>
    <w:rsid w:val="00C311EE"/>
    <w:rsid w:val="00C317CE"/>
    <w:rsid w:val="00C31A80"/>
    <w:rsid w:val="00C31B80"/>
    <w:rsid w:val="00C35C9B"/>
    <w:rsid w:val="00C367C9"/>
    <w:rsid w:val="00C37DCC"/>
    <w:rsid w:val="00C400F0"/>
    <w:rsid w:val="00C42193"/>
    <w:rsid w:val="00C4241B"/>
    <w:rsid w:val="00C457B9"/>
    <w:rsid w:val="00C4625C"/>
    <w:rsid w:val="00C466A4"/>
    <w:rsid w:val="00C51913"/>
    <w:rsid w:val="00C52B84"/>
    <w:rsid w:val="00C52FCF"/>
    <w:rsid w:val="00C53740"/>
    <w:rsid w:val="00C53E62"/>
    <w:rsid w:val="00C5472E"/>
    <w:rsid w:val="00C54B6D"/>
    <w:rsid w:val="00C55387"/>
    <w:rsid w:val="00C5683A"/>
    <w:rsid w:val="00C57E98"/>
    <w:rsid w:val="00C601C1"/>
    <w:rsid w:val="00C61105"/>
    <w:rsid w:val="00C62664"/>
    <w:rsid w:val="00C65CD9"/>
    <w:rsid w:val="00C713A8"/>
    <w:rsid w:val="00C72099"/>
    <w:rsid w:val="00C73B5B"/>
    <w:rsid w:val="00C73CA9"/>
    <w:rsid w:val="00C74C6F"/>
    <w:rsid w:val="00C75ACE"/>
    <w:rsid w:val="00C7679E"/>
    <w:rsid w:val="00C76C73"/>
    <w:rsid w:val="00C7717A"/>
    <w:rsid w:val="00C77311"/>
    <w:rsid w:val="00C775CF"/>
    <w:rsid w:val="00C817D8"/>
    <w:rsid w:val="00C82661"/>
    <w:rsid w:val="00C837FD"/>
    <w:rsid w:val="00C845AF"/>
    <w:rsid w:val="00C84B69"/>
    <w:rsid w:val="00C84C7D"/>
    <w:rsid w:val="00C8515D"/>
    <w:rsid w:val="00C85BD2"/>
    <w:rsid w:val="00C85F0B"/>
    <w:rsid w:val="00C86B8F"/>
    <w:rsid w:val="00C8777D"/>
    <w:rsid w:val="00C87DDE"/>
    <w:rsid w:val="00C9081E"/>
    <w:rsid w:val="00C90B94"/>
    <w:rsid w:val="00C918DF"/>
    <w:rsid w:val="00C924E9"/>
    <w:rsid w:val="00C92574"/>
    <w:rsid w:val="00C93481"/>
    <w:rsid w:val="00C93A8E"/>
    <w:rsid w:val="00C93EA0"/>
    <w:rsid w:val="00C94B24"/>
    <w:rsid w:val="00C94E63"/>
    <w:rsid w:val="00C94F15"/>
    <w:rsid w:val="00C95FA4"/>
    <w:rsid w:val="00C979CD"/>
    <w:rsid w:val="00C97F3C"/>
    <w:rsid w:val="00CA2895"/>
    <w:rsid w:val="00CA38F8"/>
    <w:rsid w:val="00CA4ADE"/>
    <w:rsid w:val="00CA4EE2"/>
    <w:rsid w:val="00CA5CC4"/>
    <w:rsid w:val="00CA6948"/>
    <w:rsid w:val="00CA704C"/>
    <w:rsid w:val="00CB1E41"/>
    <w:rsid w:val="00CB2415"/>
    <w:rsid w:val="00CB416F"/>
    <w:rsid w:val="00CB4A24"/>
    <w:rsid w:val="00CB5677"/>
    <w:rsid w:val="00CB6340"/>
    <w:rsid w:val="00CB65F5"/>
    <w:rsid w:val="00CB6637"/>
    <w:rsid w:val="00CB66B7"/>
    <w:rsid w:val="00CB6BCD"/>
    <w:rsid w:val="00CC466C"/>
    <w:rsid w:val="00CC5541"/>
    <w:rsid w:val="00CC60E4"/>
    <w:rsid w:val="00CC6290"/>
    <w:rsid w:val="00CC62C8"/>
    <w:rsid w:val="00CC6A93"/>
    <w:rsid w:val="00CD03FF"/>
    <w:rsid w:val="00CD0729"/>
    <w:rsid w:val="00CD1EFD"/>
    <w:rsid w:val="00CD27C0"/>
    <w:rsid w:val="00CD2D60"/>
    <w:rsid w:val="00CD5E3E"/>
    <w:rsid w:val="00CD65EE"/>
    <w:rsid w:val="00CD75D5"/>
    <w:rsid w:val="00CD77F3"/>
    <w:rsid w:val="00CE0A3E"/>
    <w:rsid w:val="00CE146F"/>
    <w:rsid w:val="00CE16E3"/>
    <w:rsid w:val="00CE171B"/>
    <w:rsid w:val="00CE235F"/>
    <w:rsid w:val="00CE4189"/>
    <w:rsid w:val="00CE46FB"/>
    <w:rsid w:val="00CE5117"/>
    <w:rsid w:val="00CE5276"/>
    <w:rsid w:val="00CE69B7"/>
    <w:rsid w:val="00CE7696"/>
    <w:rsid w:val="00CF1513"/>
    <w:rsid w:val="00CF22C7"/>
    <w:rsid w:val="00CF54C0"/>
    <w:rsid w:val="00CF5CA8"/>
    <w:rsid w:val="00CF7081"/>
    <w:rsid w:val="00D00CFA"/>
    <w:rsid w:val="00D04ADA"/>
    <w:rsid w:val="00D05290"/>
    <w:rsid w:val="00D05389"/>
    <w:rsid w:val="00D06F39"/>
    <w:rsid w:val="00D070BB"/>
    <w:rsid w:val="00D0733D"/>
    <w:rsid w:val="00D076ED"/>
    <w:rsid w:val="00D07C54"/>
    <w:rsid w:val="00D07DC9"/>
    <w:rsid w:val="00D1300B"/>
    <w:rsid w:val="00D1437A"/>
    <w:rsid w:val="00D15C90"/>
    <w:rsid w:val="00D15DB6"/>
    <w:rsid w:val="00D15DE3"/>
    <w:rsid w:val="00D16003"/>
    <w:rsid w:val="00D16316"/>
    <w:rsid w:val="00D16E3E"/>
    <w:rsid w:val="00D202B9"/>
    <w:rsid w:val="00D20CAA"/>
    <w:rsid w:val="00D21D6E"/>
    <w:rsid w:val="00D22C25"/>
    <w:rsid w:val="00D234A5"/>
    <w:rsid w:val="00D237E8"/>
    <w:rsid w:val="00D249A3"/>
    <w:rsid w:val="00D24EDF"/>
    <w:rsid w:val="00D25165"/>
    <w:rsid w:val="00D2566F"/>
    <w:rsid w:val="00D26D71"/>
    <w:rsid w:val="00D27000"/>
    <w:rsid w:val="00D27A08"/>
    <w:rsid w:val="00D3018D"/>
    <w:rsid w:val="00D30D22"/>
    <w:rsid w:val="00D30FB0"/>
    <w:rsid w:val="00D30FCF"/>
    <w:rsid w:val="00D31FA3"/>
    <w:rsid w:val="00D327EB"/>
    <w:rsid w:val="00D32BCC"/>
    <w:rsid w:val="00D32EB0"/>
    <w:rsid w:val="00D33657"/>
    <w:rsid w:val="00D3512E"/>
    <w:rsid w:val="00D35574"/>
    <w:rsid w:val="00D371C5"/>
    <w:rsid w:val="00D37C37"/>
    <w:rsid w:val="00D400AE"/>
    <w:rsid w:val="00D40CE4"/>
    <w:rsid w:val="00D41652"/>
    <w:rsid w:val="00D42215"/>
    <w:rsid w:val="00D431CD"/>
    <w:rsid w:val="00D44A35"/>
    <w:rsid w:val="00D455F6"/>
    <w:rsid w:val="00D46BFB"/>
    <w:rsid w:val="00D473D8"/>
    <w:rsid w:val="00D47515"/>
    <w:rsid w:val="00D47859"/>
    <w:rsid w:val="00D47E23"/>
    <w:rsid w:val="00D502EC"/>
    <w:rsid w:val="00D50741"/>
    <w:rsid w:val="00D50A54"/>
    <w:rsid w:val="00D50BAA"/>
    <w:rsid w:val="00D511C0"/>
    <w:rsid w:val="00D51E37"/>
    <w:rsid w:val="00D53500"/>
    <w:rsid w:val="00D552AF"/>
    <w:rsid w:val="00D556C6"/>
    <w:rsid w:val="00D557C3"/>
    <w:rsid w:val="00D560B5"/>
    <w:rsid w:val="00D56143"/>
    <w:rsid w:val="00D57B17"/>
    <w:rsid w:val="00D57B56"/>
    <w:rsid w:val="00D57C01"/>
    <w:rsid w:val="00D611D4"/>
    <w:rsid w:val="00D617B0"/>
    <w:rsid w:val="00D61A2B"/>
    <w:rsid w:val="00D61A31"/>
    <w:rsid w:val="00D624A9"/>
    <w:rsid w:val="00D629DD"/>
    <w:rsid w:val="00D62DDF"/>
    <w:rsid w:val="00D643E6"/>
    <w:rsid w:val="00D64457"/>
    <w:rsid w:val="00D64848"/>
    <w:rsid w:val="00D649BD"/>
    <w:rsid w:val="00D64C39"/>
    <w:rsid w:val="00D6521F"/>
    <w:rsid w:val="00D6538C"/>
    <w:rsid w:val="00D6657E"/>
    <w:rsid w:val="00D70EB9"/>
    <w:rsid w:val="00D710EB"/>
    <w:rsid w:val="00D7138F"/>
    <w:rsid w:val="00D71AC2"/>
    <w:rsid w:val="00D72A3E"/>
    <w:rsid w:val="00D736B5"/>
    <w:rsid w:val="00D73913"/>
    <w:rsid w:val="00D73E79"/>
    <w:rsid w:val="00D74EE1"/>
    <w:rsid w:val="00D74F41"/>
    <w:rsid w:val="00D75D81"/>
    <w:rsid w:val="00D762C9"/>
    <w:rsid w:val="00D765DD"/>
    <w:rsid w:val="00D76CD5"/>
    <w:rsid w:val="00D779D5"/>
    <w:rsid w:val="00D81BCF"/>
    <w:rsid w:val="00D828BA"/>
    <w:rsid w:val="00D828D8"/>
    <w:rsid w:val="00D82C7C"/>
    <w:rsid w:val="00D84264"/>
    <w:rsid w:val="00D84E4C"/>
    <w:rsid w:val="00D85CCD"/>
    <w:rsid w:val="00D8611D"/>
    <w:rsid w:val="00D90C27"/>
    <w:rsid w:val="00D910E1"/>
    <w:rsid w:val="00D92442"/>
    <w:rsid w:val="00D926B9"/>
    <w:rsid w:val="00D947C3"/>
    <w:rsid w:val="00D94D3F"/>
    <w:rsid w:val="00D963D1"/>
    <w:rsid w:val="00DA0AE1"/>
    <w:rsid w:val="00DA0C7B"/>
    <w:rsid w:val="00DA1B39"/>
    <w:rsid w:val="00DA1B3D"/>
    <w:rsid w:val="00DA3129"/>
    <w:rsid w:val="00DA38E9"/>
    <w:rsid w:val="00DA41C3"/>
    <w:rsid w:val="00DA48BF"/>
    <w:rsid w:val="00DA4C76"/>
    <w:rsid w:val="00DA6188"/>
    <w:rsid w:val="00DA6507"/>
    <w:rsid w:val="00DA73FF"/>
    <w:rsid w:val="00DB15CE"/>
    <w:rsid w:val="00DB18F6"/>
    <w:rsid w:val="00DB20B4"/>
    <w:rsid w:val="00DB226C"/>
    <w:rsid w:val="00DB29E1"/>
    <w:rsid w:val="00DB413B"/>
    <w:rsid w:val="00DB4C19"/>
    <w:rsid w:val="00DB521B"/>
    <w:rsid w:val="00DB5A21"/>
    <w:rsid w:val="00DB6789"/>
    <w:rsid w:val="00DB6992"/>
    <w:rsid w:val="00DB6F00"/>
    <w:rsid w:val="00DB73F3"/>
    <w:rsid w:val="00DB785E"/>
    <w:rsid w:val="00DB7B3A"/>
    <w:rsid w:val="00DC1EF7"/>
    <w:rsid w:val="00DC2943"/>
    <w:rsid w:val="00DC348D"/>
    <w:rsid w:val="00DC34E0"/>
    <w:rsid w:val="00DC42A3"/>
    <w:rsid w:val="00DD099F"/>
    <w:rsid w:val="00DD187C"/>
    <w:rsid w:val="00DD2606"/>
    <w:rsid w:val="00DD4285"/>
    <w:rsid w:val="00DD451D"/>
    <w:rsid w:val="00DD456C"/>
    <w:rsid w:val="00DD59D3"/>
    <w:rsid w:val="00DD61C6"/>
    <w:rsid w:val="00DD645B"/>
    <w:rsid w:val="00DD662B"/>
    <w:rsid w:val="00DD6E9F"/>
    <w:rsid w:val="00DD707F"/>
    <w:rsid w:val="00DE0DEC"/>
    <w:rsid w:val="00DE2785"/>
    <w:rsid w:val="00DE3A03"/>
    <w:rsid w:val="00DE4028"/>
    <w:rsid w:val="00DE4758"/>
    <w:rsid w:val="00DE4F20"/>
    <w:rsid w:val="00DE5F56"/>
    <w:rsid w:val="00DE6259"/>
    <w:rsid w:val="00DE65B1"/>
    <w:rsid w:val="00DF002A"/>
    <w:rsid w:val="00DF0DD8"/>
    <w:rsid w:val="00DF0DF8"/>
    <w:rsid w:val="00DF2458"/>
    <w:rsid w:val="00DF5753"/>
    <w:rsid w:val="00DF6A07"/>
    <w:rsid w:val="00DF767C"/>
    <w:rsid w:val="00DF7D6A"/>
    <w:rsid w:val="00E00DB8"/>
    <w:rsid w:val="00E025F5"/>
    <w:rsid w:val="00E02666"/>
    <w:rsid w:val="00E02799"/>
    <w:rsid w:val="00E02809"/>
    <w:rsid w:val="00E0353C"/>
    <w:rsid w:val="00E04F6B"/>
    <w:rsid w:val="00E05613"/>
    <w:rsid w:val="00E064E2"/>
    <w:rsid w:val="00E077AF"/>
    <w:rsid w:val="00E100AE"/>
    <w:rsid w:val="00E1033A"/>
    <w:rsid w:val="00E10D7F"/>
    <w:rsid w:val="00E11A0D"/>
    <w:rsid w:val="00E12CF8"/>
    <w:rsid w:val="00E13FB1"/>
    <w:rsid w:val="00E14752"/>
    <w:rsid w:val="00E14EAC"/>
    <w:rsid w:val="00E16DB5"/>
    <w:rsid w:val="00E1758E"/>
    <w:rsid w:val="00E203FC"/>
    <w:rsid w:val="00E20521"/>
    <w:rsid w:val="00E23991"/>
    <w:rsid w:val="00E26701"/>
    <w:rsid w:val="00E26774"/>
    <w:rsid w:val="00E30D36"/>
    <w:rsid w:val="00E31611"/>
    <w:rsid w:val="00E31B19"/>
    <w:rsid w:val="00E32622"/>
    <w:rsid w:val="00E33867"/>
    <w:rsid w:val="00E35E1E"/>
    <w:rsid w:val="00E364D8"/>
    <w:rsid w:val="00E369F7"/>
    <w:rsid w:val="00E36EB9"/>
    <w:rsid w:val="00E37290"/>
    <w:rsid w:val="00E374B3"/>
    <w:rsid w:val="00E40765"/>
    <w:rsid w:val="00E410A2"/>
    <w:rsid w:val="00E41410"/>
    <w:rsid w:val="00E42370"/>
    <w:rsid w:val="00E44E1A"/>
    <w:rsid w:val="00E45EBD"/>
    <w:rsid w:val="00E475C2"/>
    <w:rsid w:val="00E5249D"/>
    <w:rsid w:val="00E52A50"/>
    <w:rsid w:val="00E52AEF"/>
    <w:rsid w:val="00E54CD8"/>
    <w:rsid w:val="00E54CDB"/>
    <w:rsid w:val="00E550B6"/>
    <w:rsid w:val="00E550F8"/>
    <w:rsid w:val="00E5598C"/>
    <w:rsid w:val="00E560C0"/>
    <w:rsid w:val="00E5620F"/>
    <w:rsid w:val="00E56B8E"/>
    <w:rsid w:val="00E56EE6"/>
    <w:rsid w:val="00E604AC"/>
    <w:rsid w:val="00E60D2D"/>
    <w:rsid w:val="00E60DC2"/>
    <w:rsid w:val="00E631A7"/>
    <w:rsid w:val="00E64718"/>
    <w:rsid w:val="00E64B54"/>
    <w:rsid w:val="00E64D7F"/>
    <w:rsid w:val="00E65B5A"/>
    <w:rsid w:val="00E66F7E"/>
    <w:rsid w:val="00E6721B"/>
    <w:rsid w:val="00E67D61"/>
    <w:rsid w:val="00E67F5C"/>
    <w:rsid w:val="00E70164"/>
    <w:rsid w:val="00E7019A"/>
    <w:rsid w:val="00E702E3"/>
    <w:rsid w:val="00E70342"/>
    <w:rsid w:val="00E70A13"/>
    <w:rsid w:val="00E70C85"/>
    <w:rsid w:val="00E718C5"/>
    <w:rsid w:val="00E71AFC"/>
    <w:rsid w:val="00E71E05"/>
    <w:rsid w:val="00E71FD8"/>
    <w:rsid w:val="00E7204B"/>
    <w:rsid w:val="00E72099"/>
    <w:rsid w:val="00E72402"/>
    <w:rsid w:val="00E725CB"/>
    <w:rsid w:val="00E72B66"/>
    <w:rsid w:val="00E73DA2"/>
    <w:rsid w:val="00E74B41"/>
    <w:rsid w:val="00E74D2C"/>
    <w:rsid w:val="00E74D91"/>
    <w:rsid w:val="00E750CF"/>
    <w:rsid w:val="00E75704"/>
    <w:rsid w:val="00E759E1"/>
    <w:rsid w:val="00E75A74"/>
    <w:rsid w:val="00E75F39"/>
    <w:rsid w:val="00E77FA0"/>
    <w:rsid w:val="00E801FE"/>
    <w:rsid w:val="00E803CF"/>
    <w:rsid w:val="00E80A7C"/>
    <w:rsid w:val="00E80BE9"/>
    <w:rsid w:val="00E81326"/>
    <w:rsid w:val="00E83894"/>
    <w:rsid w:val="00E849B2"/>
    <w:rsid w:val="00E849FC"/>
    <w:rsid w:val="00E8581F"/>
    <w:rsid w:val="00E8697B"/>
    <w:rsid w:val="00E876C1"/>
    <w:rsid w:val="00E87E63"/>
    <w:rsid w:val="00E87F54"/>
    <w:rsid w:val="00E9166B"/>
    <w:rsid w:val="00E9189F"/>
    <w:rsid w:val="00E91BA2"/>
    <w:rsid w:val="00E923E4"/>
    <w:rsid w:val="00E92934"/>
    <w:rsid w:val="00E93414"/>
    <w:rsid w:val="00E93524"/>
    <w:rsid w:val="00E93611"/>
    <w:rsid w:val="00E941EB"/>
    <w:rsid w:val="00E94BEC"/>
    <w:rsid w:val="00E94E97"/>
    <w:rsid w:val="00E95D37"/>
    <w:rsid w:val="00E96054"/>
    <w:rsid w:val="00E977EF"/>
    <w:rsid w:val="00EA0212"/>
    <w:rsid w:val="00EA0AA7"/>
    <w:rsid w:val="00EA13C6"/>
    <w:rsid w:val="00EA2994"/>
    <w:rsid w:val="00EA2B7A"/>
    <w:rsid w:val="00EA3BAD"/>
    <w:rsid w:val="00EA4263"/>
    <w:rsid w:val="00EA5968"/>
    <w:rsid w:val="00EA5F25"/>
    <w:rsid w:val="00EA5F52"/>
    <w:rsid w:val="00EA6671"/>
    <w:rsid w:val="00EA75D3"/>
    <w:rsid w:val="00EA7FC4"/>
    <w:rsid w:val="00EB0112"/>
    <w:rsid w:val="00EB0D84"/>
    <w:rsid w:val="00EB1493"/>
    <w:rsid w:val="00EB187B"/>
    <w:rsid w:val="00EB1894"/>
    <w:rsid w:val="00EB1AA1"/>
    <w:rsid w:val="00EB1D48"/>
    <w:rsid w:val="00EB2036"/>
    <w:rsid w:val="00EB2212"/>
    <w:rsid w:val="00EB27F8"/>
    <w:rsid w:val="00EB2A98"/>
    <w:rsid w:val="00EB4ECE"/>
    <w:rsid w:val="00EB5AF3"/>
    <w:rsid w:val="00EB6B0E"/>
    <w:rsid w:val="00EC047F"/>
    <w:rsid w:val="00EC0725"/>
    <w:rsid w:val="00EC15B3"/>
    <w:rsid w:val="00EC1C5F"/>
    <w:rsid w:val="00EC1ED6"/>
    <w:rsid w:val="00EC2445"/>
    <w:rsid w:val="00EC32FF"/>
    <w:rsid w:val="00EC4466"/>
    <w:rsid w:val="00EC5500"/>
    <w:rsid w:val="00EC5AD2"/>
    <w:rsid w:val="00EC5C68"/>
    <w:rsid w:val="00EC6DF5"/>
    <w:rsid w:val="00EC72D5"/>
    <w:rsid w:val="00ED04C9"/>
    <w:rsid w:val="00ED0D7E"/>
    <w:rsid w:val="00ED13FD"/>
    <w:rsid w:val="00ED1967"/>
    <w:rsid w:val="00ED228E"/>
    <w:rsid w:val="00ED274A"/>
    <w:rsid w:val="00ED2965"/>
    <w:rsid w:val="00ED344E"/>
    <w:rsid w:val="00ED600C"/>
    <w:rsid w:val="00ED6B5D"/>
    <w:rsid w:val="00ED6D77"/>
    <w:rsid w:val="00ED7384"/>
    <w:rsid w:val="00ED7A5F"/>
    <w:rsid w:val="00EE18DF"/>
    <w:rsid w:val="00EE20DA"/>
    <w:rsid w:val="00EE2D33"/>
    <w:rsid w:val="00EE33C0"/>
    <w:rsid w:val="00EE34C7"/>
    <w:rsid w:val="00EE3AE9"/>
    <w:rsid w:val="00EE3F52"/>
    <w:rsid w:val="00EE4811"/>
    <w:rsid w:val="00EE569C"/>
    <w:rsid w:val="00EE5C9B"/>
    <w:rsid w:val="00EE6182"/>
    <w:rsid w:val="00EE6240"/>
    <w:rsid w:val="00EE7225"/>
    <w:rsid w:val="00EE7382"/>
    <w:rsid w:val="00EE7728"/>
    <w:rsid w:val="00EF0872"/>
    <w:rsid w:val="00EF0D36"/>
    <w:rsid w:val="00EF0DD7"/>
    <w:rsid w:val="00EF0E70"/>
    <w:rsid w:val="00EF11D5"/>
    <w:rsid w:val="00EF220C"/>
    <w:rsid w:val="00EF24A5"/>
    <w:rsid w:val="00EF2879"/>
    <w:rsid w:val="00EF2EE1"/>
    <w:rsid w:val="00EF3002"/>
    <w:rsid w:val="00EF4714"/>
    <w:rsid w:val="00EF4DB1"/>
    <w:rsid w:val="00EF4F59"/>
    <w:rsid w:val="00EF5705"/>
    <w:rsid w:val="00EF59AB"/>
    <w:rsid w:val="00EF637D"/>
    <w:rsid w:val="00EF68E7"/>
    <w:rsid w:val="00EF70DC"/>
    <w:rsid w:val="00EF798E"/>
    <w:rsid w:val="00F001A5"/>
    <w:rsid w:val="00F00612"/>
    <w:rsid w:val="00F01480"/>
    <w:rsid w:val="00F023C8"/>
    <w:rsid w:val="00F03E51"/>
    <w:rsid w:val="00F0426F"/>
    <w:rsid w:val="00F070A4"/>
    <w:rsid w:val="00F077B7"/>
    <w:rsid w:val="00F07F05"/>
    <w:rsid w:val="00F07FBE"/>
    <w:rsid w:val="00F10009"/>
    <w:rsid w:val="00F1100B"/>
    <w:rsid w:val="00F11345"/>
    <w:rsid w:val="00F12067"/>
    <w:rsid w:val="00F12F58"/>
    <w:rsid w:val="00F13D25"/>
    <w:rsid w:val="00F141A8"/>
    <w:rsid w:val="00F14584"/>
    <w:rsid w:val="00F14E86"/>
    <w:rsid w:val="00F155B0"/>
    <w:rsid w:val="00F1568D"/>
    <w:rsid w:val="00F16702"/>
    <w:rsid w:val="00F173F7"/>
    <w:rsid w:val="00F17676"/>
    <w:rsid w:val="00F17C54"/>
    <w:rsid w:val="00F209BB"/>
    <w:rsid w:val="00F21073"/>
    <w:rsid w:val="00F22783"/>
    <w:rsid w:val="00F22C59"/>
    <w:rsid w:val="00F23C5A"/>
    <w:rsid w:val="00F23DBB"/>
    <w:rsid w:val="00F23EA5"/>
    <w:rsid w:val="00F240BF"/>
    <w:rsid w:val="00F25CEB"/>
    <w:rsid w:val="00F26E7E"/>
    <w:rsid w:val="00F27495"/>
    <w:rsid w:val="00F27F47"/>
    <w:rsid w:val="00F3014F"/>
    <w:rsid w:val="00F3043E"/>
    <w:rsid w:val="00F30D43"/>
    <w:rsid w:val="00F30F7E"/>
    <w:rsid w:val="00F30FDB"/>
    <w:rsid w:val="00F3113B"/>
    <w:rsid w:val="00F31732"/>
    <w:rsid w:val="00F31B83"/>
    <w:rsid w:val="00F31E70"/>
    <w:rsid w:val="00F320C4"/>
    <w:rsid w:val="00F327AA"/>
    <w:rsid w:val="00F34020"/>
    <w:rsid w:val="00F345F9"/>
    <w:rsid w:val="00F34D5F"/>
    <w:rsid w:val="00F36D8E"/>
    <w:rsid w:val="00F36E5E"/>
    <w:rsid w:val="00F3717A"/>
    <w:rsid w:val="00F37BE3"/>
    <w:rsid w:val="00F402BB"/>
    <w:rsid w:val="00F41311"/>
    <w:rsid w:val="00F42802"/>
    <w:rsid w:val="00F43052"/>
    <w:rsid w:val="00F434F9"/>
    <w:rsid w:val="00F43744"/>
    <w:rsid w:val="00F44C01"/>
    <w:rsid w:val="00F45882"/>
    <w:rsid w:val="00F46288"/>
    <w:rsid w:val="00F474E7"/>
    <w:rsid w:val="00F47913"/>
    <w:rsid w:val="00F47D1D"/>
    <w:rsid w:val="00F510DA"/>
    <w:rsid w:val="00F51D5C"/>
    <w:rsid w:val="00F520A0"/>
    <w:rsid w:val="00F52660"/>
    <w:rsid w:val="00F52887"/>
    <w:rsid w:val="00F53C43"/>
    <w:rsid w:val="00F555C8"/>
    <w:rsid w:val="00F56192"/>
    <w:rsid w:val="00F5702A"/>
    <w:rsid w:val="00F579E2"/>
    <w:rsid w:val="00F60545"/>
    <w:rsid w:val="00F62787"/>
    <w:rsid w:val="00F62F3C"/>
    <w:rsid w:val="00F64073"/>
    <w:rsid w:val="00F65173"/>
    <w:rsid w:val="00F67062"/>
    <w:rsid w:val="00F6725A"/>
    <w:rsid w:val="00F70E99"/>
    <w:rsid w:val="00F710D0"/>
    <w:rsid w:val="00F71493"/>
    <w:rsid w:val="00F7218B"/>
    <w:rsid w:val="00F72460"/>
    <w:rsid w:val="00F72C78"/>
    <w:rsid w:val="00F73743"/>
    <w:rsid w:val="00F73990"/>
    <w:rsid w:val="00F7720C"/>
    <w:rsid w:val="00F77479"/>
    <w:rsid w:val="00F77D18"/>
    <w:rsid w:val="00F80276"/>
    <w:rsid w:val="00F80542"/>
    <w:rsid w:val="00F8126C"/>
    <w:rsid w:val="00F815D4"/>
    <w:rsid w:val="00F819A0"/>
    <w:rsid w:val="00F82037"/>
    <w:rsid w:val="00F828A5"/>
    <w:rsid w:val="00F82AD5"/>
    <w:rsid w:val="00F82E29"/>
    <w:rsid w:val="00F83095"/>
    <w:rsid w:val="00F8328D"/>
    <w:rsid w:val="00F8391E"/>
    <w:rsid w:val="00F83A43"/>
    <w:rsid w:val="00F83B2B"/>
    <w:rsid w:val="00F83C70"/>
    <w:rsid w:val="00F843E4"/>
    <w:rsid w:val="00F84610"/>
    <w:rsid w:val="00F84B07"/>
    <w:rsid w:val="00F84F22"/>
    <w:rsid w:val="00F8583E"/>
    <w:rsid w:val="00F87238"/>
    <w:rsid w:val="00F876DB"/>
    <w:rsid w:val="00F87ECE"/>
    <w:rsid w:val="00F87F0D"/>
    <w:rsid w:val="00F90C7B"/>
    <w:rsid w:val="00F9233C"/>
    <w:rsid w:val="00F92527"/>
    <w:rsid w:val="00F93993"/>
    <w:rsid w:val="00F94AC6"/>
    <w:rsid w:val="00F95689"/>
    <w:rsid w:val="00F95C85"/>
    <w:rsid w:val="00F96ED8"/>
    <w:rsid w:val="00F972AA"/>
    <w:rsid w:val="00FA075A"/>
    <w:rsid w:val="00FA19A2"/>
    <w:rsid w:val="00FA1B84"/>
    <w:rsid w:val="00FA1BE6"/>
    <w:rsid w:val="00FA28C2"/>
    <w:rsid w:val="00FA36CC"/>
    <w:rsid w:val="00FA3C46"/>
    <w:rsid w:val="00FA49E6"/>
    <w:rsid w:val="00FA6295"/>
    <w:rsid w:val="00FA6B95"/>
    <w:rsid w:val="00FA78C8"/>
    <w:rsid w:val="00FA7C9B"/>
    <w:rsid w:val="00FB04B4"/>
    <w:rsid w:val="00FB09B0"/>
    <w:rsid w:val="00FB1A03"/>
    <w:rsid w:val="00FB27F8"/>
    <w:rsid w:val="00FB4D94"/>
    <w:rsid w:val="00FB5006"/>
    <w:rsid w:val="00FB50E7"/>
    <w:rsid w:val="00FB574A"/>
    <w:rsid w:val="00FB5937"/>
    <w:rsid w:val="00FB5C78"/>
    <w:rsid w:val="00FB5C82"/>
    <w:rsid w:val="00FB6766"/>
    <w:rsid w:val="00FB6F3D"/>
    <w:rsid w:val="00FB71D1"/>
    <w:rsid w:val="00FB7604"/>
    <w:rsid w:val="00FC052B"/>
    <w:rsid w:val="00FC0ABF"/>
    <w:rsid w:val="00FC0F35"/>
    <w:rsid w:val="00FC0F8D"/>
    <w:rsid w:val="00FC177B"/>
    <w:rsid w:val="00FC19F5"/>
    <w:rsid w:val="00FC396A"/>
    <w:rsid w:val="00FC4162"/>
    <w:rsid w:val="00FC4610"/>
    <w:rsid w:val="00FC5840"/>
    <w:rsid w:val="00FC5EF3"/>
    <w:rsid w:val="00FC647D"/>
    <w:rsid w:val="00FD00BB"/>
    <w:rsid w:val="00FD0AB3"/>
    <w:rsid w:val="00FD1A82"/>
    <w:rsid w:val="00FD2150"/>
    <w:rsid w:val="00FD2377"/>
    <w:rsid w:val="00FD2406"/>
    <w:rsid w:val="00FD26C5"/>
    <w:rsid w:val="00FD3097"/>
    <w:rsid w:val="00FD3172"/>
    <w:rsid w:val="00FD4447"/>
    <w:rsid w:val="00FD47D3"/>
    <w:rsid w:val="00FD4839"/>
    <w:rsid w:val="00FD4FEF"/>
    <w:rsid w:val="00FD709B"/>
    <w:rsid w:val="00FD79B2"/>
    <w:rsid w:val="00FD7BDA"/>
    <w:rsid w:val="00FE04AE"/>
    <w:rsid w:val="00FE0845"/>
    <w:rsid w:val="00FE290D"/>
    <w:rsid w:val="00FE2BAE"/>
    <w:rsid w:val="00FE2C48"/>
    <w:rsid w:val="00FE3148"/>
    <w:rsid w:val="00FE4AB3"/>
    <w:rsid w:val="00FE509A"/>
    <w:rsid w:val="00FE512B"/>
    <w:rsid w:val="00FE5752"/>
    <w:rsid w:val="00FE5CCA"/>
    <w:rsid w:val="00FE6DBE"/>
    <w:rsid w:val="00FE7C1D"/>
    <w:rsid w:val="00FF003B"/>
    <w:rsid w:val="00FF0F8D"/>
    <w:rsid w:val="00FF41C6"/>
    <w:rsid w:val="00FF4CB5"/>
    <w:rsid w:val="00FF5BBA"/>
    <w:rsid w:val="00FF6D0C"/>
    <w:rsid w:val="0103164E"/>
    <w:rsid w:val="013D422B"/>
    <w:rsid w:val="01560C99"/>
    <w:rsid w:val="018B6677"/>
    <w:rsid w:val="01C963F3"/>
    <w:rsid w:val="01E66FA5"/>
    <w:rsid w:val="02243C2D"/>
    <w:rsid w:val="023B7300"/>
    <w:rsid w:val="02B9524A"/>
    <w:rsid w:val="033C7D32"/>
    <w:rsid w:val="03F90F3C"/>
    <w:rsid w:val="04025BED"/>
    <w:rsid w:val="044279D4"/>
    <w:rsid w:val="04500472"/>
    <w:rsid w:val="049555FA"/>
    <w:rsid w:val="05067AC1"/>
    <w:rsid w:val="054C0B60"/>
    <w:rsid w:val="05773994"/>
    <w:rsid w:val="06575EF0"/>
    <w:rsid w:val="06852C2C"/>
    <w:rsid w:val="077C0802"/>
    <w:rsid w:val="07A40BA1"/>
    <w:rsid w:val="08617552"/>
    <w:rsid w:val="08866D6C"/>
    <w:rsid w:val="088A6A68"/>
    <w:rsid w:val="0898302E"/>
    <w:rsid w:val="08E61998"/>
    <w:rsid w:val="09090B96"/>
    <w:rsid w:val="092C7268"/>
    <w:rsid w:val="09E67474"/>
    <w:rsid w:val="0A122902"/>
    <w:rsid w:val="0A6668A4"/>
    <w:rsid w:val="0B1A156E"/>
    <w:rsid w:val="0BB144F0"/>
    <w:rsid w:val="0C2A7A8F"/>
    <w:rsid w:val="0CC607DD"/>
    <w:rsid w:val="0CED332A"/>
    <w:rsid w:val="0D652670"/>
    <w:rsid w:val="0D6D2920"/>
    <w:rsid w:val="0D7758B2"/>
    <w:rsid w:val="0DD2726A"/>
    <w:rsid w:val="0DE3141E"/>
    <w:rsid w:val="0DF935A3"/>
    <w:rsid w:val="0E0367E9"/>
    <w:rsid w:val="0E266800"/>
    <w:rsid w:val="0E427CF2"/>
    <w:rsid w:val="0E5B6625"/>
    <w:rsid w:val="0E7616B1"/>
    <w:rsid w:val="0E774816"/>
    <w:rsid w:val="0ECD5FA5"/>
    <w:rsid w:val="0EEB7910"/>
    <w:rsid w:val="0F792B85"/>
    <w:rsid w:val="0FD3668F"/>
    <w:rsid w:val="1048103D"/>
    <w:rsid w:val="10CF3227"/>
    <w:rsid w:val="10E2689B"/>
    <w:rsid w:val="115E039C"/>
    <w:rsid w:val="11B340E4"/>
    <w:rsid w:val="1223094F"/>
    <w:rsid w:val="122968D9"/>
    <w:rsid w:val="127A7296"/>
    <w:rsid w:val="1284702C"/>
    <w:rsid w:val="12903408"/>
    <w:rsid w:val="13277473"/>
    <w:rsid w:val="133919D6"/>
    <w:rsid w:val="13392CAD"/>
    <w:rsid w:val="13DC0DCB"/>
    <w:rsid w:val="13F84916"/>
    <w:rsid w:val="14374666"/>
    <w:rsid w:val="1446749E"/>
    <w:rsid w:val="145D17DF"/>
    <w:rsid w:val="14BA0750"/>
    <w:rsid w:val="151D2687"/>
    <w:rsid w:val="15841072"/>
    <w:rsid w:val="15A83B58"/>
    <w:rsid w:val="15DB7102"/>
    <w:rsid w:val="15EB3C46"/>
    <w:rsid w:val="161C0D90"/>
    <w:rsid w:val="162918E2"/>
    <w:rsid w:val="164003F1"/>
    <w:rsid w:val="165553AA"/>
    <w:rsid w:val="16BA61F3"/>
    <w:rsid w:val="176039AB"/>
    <w:rsid w:val="17A04274"/>
    <w:rsid w:val="18705F68"/>
    <w:rsid w:val="18B244FE"/>
    <w:rsid w:val="18C00B9E"/>
    <w:rsid w:val="18F64A05"/>
    <w:rsid w:val="192341E3"/>
    <w:rsid w:val="19594E4C"/>
    <w:rsid w:val="19A42EAF"/>
    <w:rsid w:val="19BD02FC"/>
    <w:rsid w:val="19D52331"/>
    <w:rsid w:val="19D602A7"/>
    <w:rsid w:val="19EE156D"/>
    <w:rsid w:val="19F948BD"/>
    <w:rsid w:val="1A5345E8"/>
    <w:rsid w:val="1A9E0E0D"/>
    <w:rsid w:val="1ADF139E"/>
    <w:rsid w:val="1AFC4CEC"/>
    <w:rsid w:val="1B2A7AAB"/>
    <w:rsid w:val="1B640EA0"/>
    <w:rsid w:val="1B6C23C1"/>
    <w:rsid w:val="1B8176D6"/>
    <w:rsid w:val="1B9A5025"/>
    <w:rsid w:val="1BD46807"/>
    <w:rsid w:val="1BD6553D"/>
    <w:rsid w:val="1C9163BD"/>
    <w:rsid w:val="1CC47A8B"/>
    <w:rsid w:val="1D7C0287"/>
    <w:rsid w:val="1DD957B9"/>
    <w:rsid w:val="1DE748E0"/>
    <w:rsid w:val="1DFD1006"/>
    <w:rsid w:val="1E702D6D"/>
    <w:rsid w:val="1E8C7CAD"/>
    <w:rsid w:val="1EAA2612"/>
    <w:rsid w:val="1FF91EC7"/>
    <w:rsid w:val="20044538"/>
    <w:rsid w:val="201D2FC3"/>
    <w:rsid w:val="203E68BD"/>
    <w:rsid w:val="20E433A2"/>
    <w:rsid w:val="21386621"/>
    <w:rsid w:val="21647269"/>
    <w:rsid w:val="2195432D"/>
    <w:rsid w:val="21990801"/>
    <w:rsid w:val="21DE339D"/>
    <w:rsid w:val="21DE514B"/>
    <w:rsid w:val="2204392A"/>
    <w:rsid w:val="22284990"/>
    <w:rsid w:val="22BA7733"/>
    <w:rsid w:val="22C453CA"/>
    <w:rsid w:val="22DA3ABB"/>
    <w:rsid w:val="23045CB2"/>
    <w:rsid w:val="23582450"/>
    <w:rsid w:val="23825517"/>
    <w:rsid w:val="238F798B"/>
    <w:rsid w:val="239A46F7"/>
    <w:rsid w:val="23A81CF8"/>
    <w:rsid w:val="242E540B"/>
    <w:rsid w:val="243A321E"/>
    <w:rsid w:val="243A6885"/>
    <w:rsid w:val="2460081C"/>
    <w:rsid w:val="248F4E23"/>
    <w:rsid w:val="24C7242E"/>
    <w:rsid w:val="250457F9"/>
    <w:rsid w:val="252209A2"/>
    <w:rsid w:val="252C6C3E"/>
    <w:rsid w:val="253E6A00"/>
    <w:rsid w:val="257C01E4"/>
    <w:rsid w:val="25A074FA"/>
    <w:rsid w:val="26787690"/>
    <w:rsid w:val="276F79A5"/>
    <w:rsid w:val="27787506"/>
    <w:rsid w:val="27846872"/>
    <w:rsid w:val="27901BCE"/>
    <w:rsid w:val="27F023E9"/>
    <w:rsid w:val="27FA7E2E"/>
    <w:rsid w:val="283C0E1E"/>
    <w:rsid w:val="28A45045"/>
    <w:rsid w:val="28A914BE"/>
    <w:rsid w:val="28DE748E"/>
    <w:rsid w:val="29214904"/>
    <w:rsid w:val="29B5452E"/>
    <w:rsid w:val="29D7250B"/>
    <w:rsid w:val="29FC42E6"/>
    <w:rsid w:val="2A41271B"/>
    <w:rsid w:val="2AB23619"/>
    <w:rsid w:val="2AC07DDD"/>
    <w:rsid w:val="2AEB1048"/>
    <w:rsid w:val="2B232900"/>
    <w:rsid w:val="2C0B1233"/>
    <w:rsid w:val="2C267E41"/>
    <w:rsid w:val="2CB513EC"/>
    <w:rsid w:val="2CBE0622"/>
    <w:rsid w:val="2CC97C80"/>
    <w:rsid w:val="2CCB09C2"/>
    <w:rsid w:val="2D1A7254"/>
    <w:rsid w:val="2D4F03F7"/>
    <w:rsid w:val="2DC95EB2"/>
    <w:rsid w:val="2E1A56DF"/>
    <w:rsid w:val="2E3516B1"/>
    <w:rsid w:val="2E850F69"/>
    <w:rsid w:val="2EED4C20"/>
    <w:rsid w:val="2F012479"/>
    <w:rsid w:val="2F130F1F"/>
    <w:rsid w:val="2F8C4439"/>
    <w:rsid w:val="2FEA13D8"/>
    <w:rsid w:val="2FEA3C1C"/>
    <w:rsid w:val="30356437"/>
    <w:rsid w:val="304943D6"/>
    <w:rsid w:val="306C426A"/>
    <w:rsid w:val="308B0B94"/>
    <w:rsid w:val="30C22892"/>
    <w:rsid w:val="30DD6FE4"/>
    <w:rsid w:val="312C5C8F"/>
    <w:rsid w:val="31453464"/>
    <w:rsid w:val="32081D71"/>
    <w:rsid w:val="32980F57"/>
    <w:rsid w:val="329B29E7"/>
    <w:rsid w:val="32E24C7C"/>
    <w:rsid w:val="32E65690"/>
    <w:rsid w:val="33034988"/>
    <w:rsid w:val="33465A20"/>
    <w:rsid w:val="337E2FC7"/>
    <w:rsid w:val="33A560E4"/>
    <w:rsid w:val="33F14942"/>
    <w:rsid w:val="3418503F"/>
    <w:rsid w:val="341F5DCA"/>
    <w:rsid w:val="345404A3"/>
    <w:rsid w:val="34810186"/>
    <w:rsid w:val="34984F6D"/>
    <w:rsid w:val="34A02044"/>
    <w:rsid w:val="35792894"/>
    <w:rsid w:val="36517D31"/>
    <w:rsid w:val="36643A0E"/>
    <w:rsid w:val="36C57795"/>
    <w:rsid w:val="36D43F5A"/>
    <w:rsid w:val="37121AA1"/>
    <w:rsid w:val="37393E5B"/>
    <w:rsid w:val="37AF3792"/>
    <w:rsid w:val="37E0643E"/>
    <w:rsid w:val="38370DE2"/>
    <w:rsid w:val="38543F62"/>
    <w:rsid w:val="38687621"/>
    <w:rsid w:val="38716D87"/>
    <w:rsid w:val="39C42A21"/>
    <w:rsid w:val="3A173C10"/>
    <w:rsid w:val="3A1C5462"/>
    <w:rsid w:val="3AA96178"/>
    <w:rsid w:val="3B972118"/>
    <w:rsid w:val="3BDA7B9E"/>
    <w:rsid w:val="3BE52400"/>
    <w:rsid w:val="3C0512E4"/>
    <w:rsid w:val="3C8922BF"/>
    <w:rsid w:val="3D0D5AD2"/>
    <w:rsid w:val="3D4331D2"/>
    <w:rsid w:val="3D8566C5"/>
    <w:rsid w:val="3D9372DA"/>
    <w:rsid w:val="3DF76403"/>
    <w:rsid w:val="3E27439B"/>
    <w:rsid w:val="3E2C1C62"/>
    <w:rsid w:val="3EAD3FF2"/>
    <w:rsid w:val="3F073ADC"/>
    <w:rsid w:val="3FFC2773"/>
    <w:rsid w:val="40061C4A"/>
    <w:rsid w:val="4019090C"/>
    <w:rsid w:val="407C4056"/>
    <w:rsid w:val="4098155B"/>
    <w:rsid w:val="40C37DC3"/>
    <w:rsid w:val="40D26B38"/>
    <w:rsid w:val="40EB229D"/>
    <w:rsid w:val="40FA31CC"/>
    <w:rsid w:val="413808B6"/>
    <w:rsid w:val="416103A1"/>
    <w:rsid w:val="417B1D23"/>
    <w:rsid w:val="41B94973"/>
    <w:rsid w:val="422A1FFC"/>
    <w:rsid w:val="427D0348"/>
    <w:rsid w:val="430976F7"/>
    <w:rsid w:val="437C1473"/>
    <w:rsid w:val="43DB4065"/>
    <w:rsid w:val="43FE2FD4"/>
    <w:rsid w:val="44570C2F"/>
    <w:rsid w:val="44C65795"/>
    <w:rsid w:val="451B1922"/>
    <w:rsid w:val="453240D0"/>
    <w:rsid w:val="4542358E"/>
    <w:rsid w:val="46072188"/>
    <w:rsid w:val="463E388E"/>
    <w:rsid w:val="469F6F8C"/>
    <w:rsid w:val="46D36B23"/>
    <w:rsid w:val="47436721"/>
    <w:rsid w:val="47E457F0"/>
    <w:rsid w:val="480539AE"/>
    <w:rsid w:val="48084377"/>
    <w:rsid w:val="48891909"/>
    <w:rsid w:val="48955469"/>
    <w:rsid w:val="49057286"/>
    <w:rsid w:val="49066BB2"/>
    <w:rsid w:val="493E0D32"/>
    <w:rsid w:val="495727C0"/>
    <w:rsid w:val="49680AE4"/>
    <w:rsid w:val="49887325"/>
    <w:rsid w:val="4A064FAA"/>
    <w:rsid w:val="4A707046"/>
    <w:rsid w:val="4AA47528"/>
    <w:rsid w:val="4AA91F76"/>
    <w:rsid w:val="4AD1174B"/>
    <w:rsid w:val="4AFD6DEF"/>
    <w:rsid w:val="4B2652EA"/>
    <w:rsid w:val="4BD847E8"/>
    <w:rsid w:val="4CD111A9"/>
    <w:rsid w:val="4CD35BAB"/>
    <w:rsid w:val="4D027F2A"/>
    <w:rsid w:val="4D2D5015"/>
    <w:rsid w:val="4DCF5FFB"/>
    <w:rsid w:val="4DD91169"/>
    <w:rsid w:val="4E5F09BD"/>
    <w:rsid w:val="4EEF28D7"/>
    <w:rsid w:val="4FA441E9"/>
    <w:rsid w:val="4FD74E04"/>
    <w:rsid w:val="4FFF45D6"/>
    <w:rsid w:val="503E7254"/>
    <w:rsid w:val="50B200E5"/>
    <w:rsid w:val="50BF34F1"/>
    <w:rsid w:val="51312C3A"/>
    <w:rsid w:val="515648BE"/>
    <w:rsid w:val="51567FD4"/>
    <w:rsid w:val="51636D60"/>
    <w:rsid w:val="5180327A"/>
    <w:rsid w:val="518B18A5"/>
    <w:rsid w:val="519E6C3D"/>
    <w:rsid w:val="51A6507E"/>
    <w:rsid w:val="51B115EB"/>
    <w:rsid w:val="522B6D5C"/>
    <w:rsid w:val="523F66EB"/>
    <w:rsid w:val="52BA7908"/>
    <w:rsid w:val="53A779BD"/>
    <w:rsid w:val="53D64B9F"/>
    <w:rsid w:val="54003E1F"/>
    <w:rsid w:val="546D3F89"/>
    <w:rsid w:val="548B357C"/>
    <w:rsid w:val="54D97A9C"/>
    <w:rsid w:val="55A27FBB"/>
    <w:rsid w:val="562C7116"/>
    <w:rsid w:val="566B7EE4"/>
    <w:rsid w:val="566E3FE9"/>
    <w:rsid w:val="567F7B16"/>
    <w:rsid w:val="56924192"/>
    <w:rsid w:val="56955AAF"/>
    <w:rsid w:val="57182D07"/>
    <w:rsid w:val="5725445B"/>
    <w:rsid w:val="57B1309F"/>
    <w:rsid w:val="57D85BBE"/>
    <w:rsid w:val="58562474"/>
    <w:rsid w:val="58595EB1"/>
    <w:rsid w:val="586C658A"/>
    <w:rsid w:val="58D43705"/>
    <w:rsid w:val="592C0A2D"/>
    <w:rsid w:val="5958554B"/>
    <w:rsid w:val="59596C13"/>
    <w:rsid w:val="59745DBA"/>
    <w:rsid w:val="59934AD9"/>
    <w:rsid w:val="59D2663D"/>
    <w:rsid w:val="5A1E5A70"/>
    <w:rsid w:val="5A2433A7"/>
    <w:rsid w:val="5A2703F0"/>
    <w:rsid w:val="5A832558"/>
    <w:rsid w:val="5AA4447D"/>
    <w:rsid w:val="5B153001"/>
    <w:rsid w:val="5B797C0D"/>
    <w:rsid w:val="5B9B62C2"/>
    <w:rsid w:val="5BC31F9B"/>
    <w:rsid w:val="5BD92FA3"/>
    <w:rsid w:val="5C1C6651"/>
    <w:rsid w:val="5C532188"/>
    <w:rsid w:val="5C9E5E44"/>
    <w:rsid w:val="5CA615D5"/>
    <w:rsid w:val="5CC2508E"/>
    <w:rsid w:val="5D4F1DDD"/>
    <w:rsid w:val="5DB25C43"/>
    <w:rsid w:val="5DC15346"/>
    <w:rsid w:val="5E8B693B"/>
    <w:rsid w:val="5EDA221B"/>
    <w:rsid w:val="5F7172CB"/>
    <w:rsid w:val="5FD85ACC"/>
    <w:rsid w:val="5FE6159E"/>
    <w:rsid w:val="60527498"/>
    <w:rsid w:val="6055055F"/>
    <w:rsid w:val="60620CB4"/>
    <w:rsid w:val="606D54C9"/>
    <w:rsid w:val="60B72B0B"/>
    <w:rsid w:val="6109328C"/>
    <w:rsid w:val="61882403"/>
    <w:rsid w:val="619743F4"/>
    <w:rsid w:val="61A43316"/>
    <w:rsid w:val="6208709F"/>
    <w:rsid w:val="620F66C9"/>
    <w:rsid w:val="621777CA"/>
    <w:rsid w:val="629D5C72"/>
    <w:rsid w:val="62DD0618"/>
    <w:rsid w:val="631D2C3D"/>
    <w:rsid w:val="63273E9D"/>
    <w:rsid w:val="634429B5"/>
    <w:rsid w:val="637201A5"/>
    <w:rsid w:val="637B003E"/>
    <w:rsid w:val="63A16619"/>
    <w:rsid w:val="64081788"/>
    <w:rsid w:val="641720B6"/>
    <w:rsid w:val="642574B0"/>
    <w:rsid w:val="642906BE"/>
    <w:rsid w:val="64596D5B"/>
    <w:rsid w:val="646B49D1"/>
    <w:rsid w:val="6487349A"/>
    <w:rsid w:val="64946462"/>
    <w:rsid w:val="65953C32"/>
    <w:rsid w:val="65D25E6C"/>
    <w:rsid w:val="65DA51F7"/>
    <w:rsid w:val="661C580F"/>
    <w:rsid w:val="66AC7F5F"/>
    <w:rsid w:val="670B1044"/>
    <w:rsid w:val="67317695"/>
    <w:rsid w:val="679C48B5"/>
    <w:rsid w:val="67ED14C3"/>
    <w:rsid w:val="682404F0"/>
    <w:rsid w:val="68535FC5"/>
    <w:rsid w:val="68670D68"/>
    <w:rsid w:val="68910541"/>
    <w:rsid w:val="68957207"/>
    <w:rsid w:val="68BE4352"/>
    <w:rsid w:val="6916570E"/>
    <w:rsid w:val="698152A6"/>
    <w:rsid w:val="6A200336"/>
    <w:rsid w:val="6ABE605C"/>
    <w:rsid w:val="6ACB784D"/>
    <w:rsid w:val="6AE849BC"/>
    <w:rsid w:val="6AED3A44"/>
    <w:rsid w:val="6B3178CC"/>
    <w:rsid w:val="6B8362DC"/>
    <w:rsid w:val="6B945FB6"/>
    <w:rsid w:val="6BBF4FE8"/>
    <w:rsid w:val="6BE206B8"/>
    <w:rsid w:val="6C3D028D"/>
    <w:rsid w:val="6C8F4739"/>
    <w:rsid w:val="6C9F2CF6"/>
    <w:rsid w:val="6CD75587"/>
    <w:rsid w:val="6D8B56A1"/>
    <w:rsid w:val="6DDA7C29"/>
    <w:rsid w:val="6DE92C08"/>
    <w:rsid w:val="6E0B3AA9"/>
    <w:rsid w:val="6E107524"/>
    <w:rsid w:val="6E4C404F"/>
    <w:rsid w:val="6EA46DF9"/>
    <w:rsid w:val="6F18742A"/>
    <w:rsid w:val="6F1908BA"/>
    <w:rsid w:val="6F6124E5"/>
    <w:rsid w:val="6FCA5556"/>
    <w:rsid w:val="6FDF5C62"/>
    <w:rsid w:val="7007151C"/>
    <w:rsid w:val="70A506CF"/>
    <w:rsid w:val="70C907AF"/>
    <w:rsid w:val="7103486C"/>
    <w:rsid w:val="71213CDA"/>
    <w:rsid w:val="714E7A2D"/>
    <w:rsid w:val="7167626B"/>
    <w:rsid w:val="71E7690F"/>
    <w:rsid w:val="72111FA0"/>
    <w:rsid w:val="72894281"/>
    <w:rsid w:val="72895378"/>
    <w:rsid w:val="72C85AD7"/>
    <w:rsid w:val="73045AD8"/>
    <w:rsid w:val="73051C88"/>
    <w:rsid w:val="73945A2B"/>
    <w:rsid w:val="73A01B1B"/>
    <w:rsid w:val="73BF3BBC"/>
    <w:rsid w:val="74510D7A"/>
    <w:rsid w:val="746312B3"/>
    <w:rsid w:val="747D56CB"/>
    <w:rsid w:val="749E616B"/>
    <w:rsid w:val="74CA08D0"/>
    <w:rsid w:val="750835BC"/>
    <w:rsid w:val="75410DEE"/>
    <w:rsid w:val="755C2474"/>
    <w:rsid w:val="75646B19"/>
    <w:rsid w:val="75777C5A"/>
    <w:rsid w:val="75B73675"/>
    <w:rsid w:val="75D7214F"/>
    <w:rsid w:val="760342F6"/>
    <w:rsid w:val="761B0A67"/>
    <w:rsid w:val="76341C42"/>
    <w:rsid w:val="76595CC4"/>
    <w:rsid w:val="76BE555F"/>
    <w:rsid w:val="76CE510C"/>
    <w:rsid w:val="772F4BC2"/>
    <w:rsid w:val="774239BE"/>
    <w:rsid w:val="779A2A38"/>
    <w:rsid w:val="77E25213"/>
    <w:rsid w:val="77E737D8"/>
    <w:rsid w:val="77F475A1"/>
    <w:rsid w:val="78354435"/>
    <w:rsid w:val="78D45AD6"/>
    <w:rsid w:val="78E41A49"/>
    <w:rsid w:val="78EA3838"/>
    <w:rsid w:val="78FA299B"/>
    <w:rsid w:val="79233844"/>
    <w:rsid w:val="79725874"/>
    <w:rsid w:val="79B14B92"/>
    <w:rsid w:val="79C30024"/>
    <w:rsid w:val="79F71BA6"/>
    <w:rsid w:val="7A3034F6"/>
    <w:rsid w:val="7ABE33B3"/>
    <w:rsid w:val="7B0F54EB"/>
    <w:rsid w:val="7BA449EF"/>
    <w:rsid w:val="7BB265A2"/>
    <w:rsid w:val="7C596A1E"/>
    <w:rsid w:val="7C7278BD"/>
    <w:rsid w:val="7D2E7A75"/>
    <w:rsid w:val="7D635D44"/>
    <w:rsid w:val="7D711022"/>
    <w:rsid w:val="7DF5414A"/>
    <w:rsid w:val="7E5C5967"/>
    <w:rsid w:val="7E6671D0"/>
    <w:rsid w:val="7E807F63"/>
    <w:rsid w:val="7EF21E52"/>
    <w:rsid w:val="7F3B7B32"/>
    <w:rsid w:val="7F687B19"/>
    <w:rsid w:val="7F7E23C5"/>
    <w:rsid w:val="7FDF00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4"/>
    <w:qFormat/>
    <w:uiPriority w:val="0"/>
    <w:pPr>
      <w:keepNext/>
      <w:keepLines/>
      <w:spacing w:before="260" w:after="260" w:line="416" w:lineRule="auto"/>
      <w:outlineLvl w:val="2"/>
    </w:pPr>
    <w:rPr>
      <w:b/>
      <w:bCs/>
      <w:sz w:val="32"/>
      <w:szCs w:val="32"/>
    </w:rPr>
  </w:style>
  <w:style w:type="paragraph" w:styleId="6">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6"/>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57"/>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58"/>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5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6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cs="Calibri"/>
      <w:b/>
      <w:bCs/>
      <w:caps/>
      <w:sz w:val="20"/>
      <w:szCs w:val="20"/>
    </w:rPr>
  </w:style>
  <w:style w:type="paragraph" w:styleId="12">
    <w:name w:val="toc 7"/>
    <w:basedOn w:val="1"/>
    <w:next w:val="1"/>
    <w:qFormat/>
    <w:uiPriority w:val="39"/>
    <w:pPr>
      <w:ind w:left="1260"/>
      <w:jc w:val="left"/>
    </w:pPr>
    <w:rPr>
      <w:rFonts w:ascii="Calibri" w:hAnsi="Calibri" w:cs="Calibri"/>
      <w:sz w:val="18"/>
      <w:szCs w:val="18"/>
    </w:rPr>
  </w:style>
  <w:style w:type="paragraph" w:styleId="13">
    <w:name w:val="Normal Indent"/>
    <w:basedOn w:val="1"/>
    <w:next w:val="14"/>
    <w:link w:val="61"/>
    <w:qFormat/>
    <w:uiPriority w:val="0"/>
    <w:pPr>
      <w:ind w:firstLine="420" w:firstLineChars="200"/>
    </w:pPr>
  </w:style>
  <w:style w:type="paragraph" w:styleId="14">
    <w:name w:val="Body Text Indent"/>
    <w:basedOn w:val="1"/>
    <w:next w:val="13"/>
    <w:link w:val="62"/>
    <w:qFormat/>
    <w:uiPriority w:val="0"/>
    <w:pPr>
      <w:spacing w:after="120"/>
      <w:ind w:left="420" w:leftChars="200"/>
    </w:pPr>
  </w:style>
  <w:style w:type="paragraph" w:styleId="15">
    <w:name w:val="Document Map"/>
    <w:basedOn w:val="1"/>
    <w:link w:val="63"/>
    <w:qFormat/>
    <w:uiPriority w:val="0"/>
    <w:pPr>
      <w:shd w:val="clear" w:color="auto" w:fill="000080"/>
    </w:pPr>
    <w:rPr>
      <w:kern w:val="0"/>
      <w:sz w:val="20"/>
      <w:shd w:val="clear" w:color="auto" w:fill="000080"/>
    </w:rPr>
  </w:style>
  <w:style w:type="paragraph" w:styleId="16">
    <w:name w:val="annotation text"/>
    <w:basedOn w:val="1"/>
    <w:link w:val="64"/>
    <w:qFormat/>
    <w:uiPriority w:val="0"/>
    <w:pPr>
      <w:jc w:val="left"/>
    </w:pPr>
    <w:rPr>
      <w:rFonts w:ascii="宋体" w:hAnsi="宋体"/>
    </w:rPr>
  </w:style>
  <w:style w:type="paragraph" w:styleId="17">
    <w:name w:val="Body Text 3"/>
    <w:basedOn w:val="1"/>
    <w:link w:val="65"/>
    <w:qFormat/>
    <w:uiPriority w:val="0"/>
    <w:rPr>
      <w:rFonts w:ascii="宋体"/>
      <w:sz w:val="24"/>
      <w:szCs w:val="20"/>
    </w:rPr>
  </w:style>
  <w:style w:type="paragraph" w:styleId="18">
    <w:name w:val="Body Text"/>
    <w:basedOn w:val="1"/>
    <w:next w:val="19"/>
    <w:link w:val="66"/>
    <w:qFormat/>
    <w:uiPriority w:val="0"/>
    <w:pPr>
      <w:spacing w:after="120"/>
    </w:pPr>
  </w:style>
  <w:style w:type="paragraph" w:styleId="19">
    <w:name w:val="Body Text First Indent"/>
    <w:basedOn w:val="18"/>
    <w:next w:val="1"/>
    <w:unhideWhenUsed/>
    <w:qFormat/>
    <w:uiPriority w:val="99"/>
    <w:pPr>
      <w:ind w:firstLine="420" w:firstLineChars="100"/>
    </w:pPr>
  </w:style>
  <w:style w:type="paragraph" w:styleId="20">
    <w:name w:val="index 4"/>
    <w:basedOn w:val="1"/>
    <w:next w:val="1"/>
    <w:qFormat/>
    <w:uiPriority w:val="0"/>
    <w:pPr>
      <w:ind w:left="600" w:leftChars="600"/>
    </w:pPr>
    <w:rPr>
      <w:rFonts w:ascii="Calibri" w:hAnsi="Calibri"/>
    </w:rPr>
  </w:style>
  <w:style w:type="paragraph" w:styleId="21">
    <w:name w:val="toc 5"/>
    <w:basedOn w:val="1"/>
    <w:next w:val="1"/>
    <w:qFormat/>
    <w:uiPriority w:val="0"/>
    <w:pPr>
      <w:ind w:left="840"/>
      <w:jc w:val="left"/>
    </w:pPr>
    <w:rPr>
      <w:rFonts w:ascii="Calibri" w:hAnsi="Calibri" w:cs="Calibri"/>
      <w:sz w:val="18"/>
      <w:szCs w:val="18"/>
    </w:rPr>
  </w:style>
  <w:style w:type="paragraph" w:styleId="22">
    <w:name w:val="toc 3"/>
    <w:basedOn w:val="1"/>
    <w:next w:val="1"/>
    <w:qFormat/>
    <w:uiPriority w:val="39"/>
    <w:pPr>
      <w:ind w:left="420"/>
      <w:jc w:val="left"/>
    </w:pPr>
    <w:rPr>
      <w:rFonts w:ascii="Calibri" w:hAnsi="Calibri" w:cs="Calibri"/>
      <w:i/>
      <w:iCs/>
      <w:sz w:val="20"/>
      <w:szCs w:val="20"/>
    </w:rPr>
  </w:style>
  <w:style w:type="paragraph" w:styleId="23">
    <w:name w:val="Plain Text"/>
    <w:basedOn w:val="1"/>
    <w:link w:val="67"/>
    <w:qFormat/>
    <w:uiPriority w:val="0"/>
    <w:rPr>
      <w:rFonts w:ascii="宋体" w:hAnsi="Courier New"/>
      <w:szCs w:val="20"/>
    </w:rPr>
  </w:style>
  <w:style w:type="paragraph" w:styleId="24">
    <w:name w:val="toc 8"/>
    <w:basedOn w:val="1"/>
    <w:next w:val="1"/>
    <w:qFormat/>
    <w:uiPriority w:val="39"/>
    <w:pPr>
      <w:ind w:left="1470"/>
      <w:jc w:val="left"/>
    </w:pPr>
    <w:rPr>
      <w:rFonts w:ascii="Calibri" w:hAnsi="Calibri" w:cs="Calibri"/>
      <w:sz w:val="18"/>
      <w:szCs w:val="18"/>
    </w:rPr>
  </w:style>
  <w:style w:type="paragraph" w:styleId="25">
    <w:name w:val="Date"/>
    <w:basedOn w:val="1"/>
    <w:next w:val="1"/>
    <w:link w:val="68"/>
    <w:qFormat/>
    <w:uiPriority w:val="0"/>
    <w:rPr>
      <w:sz w:val="24"/>
      <w:szCs w:val="20"/>
    </w:rPr>
  </w:style>
  <w:style w:type="paragraph" w:styleId="26">
    <w:name w:val="Body Text Indent 2"/>
    <w:basedOn w:val="1"/>
    <w:link w:val="69"/>
    <w:qFormat/>
    <w:uiPriority w:val="0"/>
    <w:pPr>
      <w:spacing w:after="120" w:line="480" w:lineRule="auto"/>
      <w:ind w:left="420" w:leftChars="200"/>
    </w:pPr>
  </w:style>
  <w:style w:type="paragraph" w:styleId="27">
    <w:name w:val="Balloon Text"/>
    <w:basedOn w:val="1"/>
    <w:link w:val="70"/>
    <w:qFormat/>
    <w:uiPriority w:val="0"/>
    <w:rPr>
      <w:sz w:val="18"/>
      <w:szCs w:val="18"/>
    </w:rPr>
  </w:style>
  <w:style w:type="paragraph" w:styleId="28">
    <w:name w:val="footer"/>
    <w:basedOn w:val="1"/>
    <w:link w:val="71"/>
    <w:qFormat/>
    <w:uiPriority w:val="99"/>
    <w:pPr>
      <w:tabs>
        <w:tab w:val="center" w:pos="4153"/>
        <w:tab w:val="right" w:pos="8306"/>
      </w:tabs>
      <w:snapToGrid w:val="0"/>
      <w:jc w:val="left"/>
    </w:pPr>
    <w:rPr>
      <w:sz w:val="18"/>
      <w:szCs w:val="18"/>
    </w:rPr>
  </w:style>
  <w:style w:type="paragraph" w:styleId="29">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30">
    <w:name w:val="toc 4"/>
    <w:basedOn w:val="1"/>
    <w:next w:val="1"/>
    <w:qFormat/>
    <w:uiPriority w:val="39"/>
    <w:pPr>
      <w:ind w:left="630"/>
      <w:jc w:val="left"/>
    </w:pPr>
    <w:rPr>
      <w:rFonts w:ascii="Calibri" w:hAnsi="Calibri" w:cs="Calibri"/>
      <w:sz w:val="18"/>
      <w:szCs w:val="18"/>
    </w:rPr>
  </w:style>
  <w:style w:type="paragraph" w:styleId="31">
    <w:name w:val="Subtitle"/>
    <w:basedOn w:val="1"/>
    <w:next w:val="1"/>
    <w:link w:val="73"/>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74"/>
    <w:qFormat/>
    <w:uiPriority w:val="0"/>
    <w:pPr>
      <w:snapToGrid w:val="0"/>
      <w:jc w:val="left"/>
    </w:pPr>
    <w:rPr>
      <w:rFonts w:eastAsia="仿宋_GB2312"/>
      <w:sz w:val="18"/>
      <w:szCs w:val="20"/>
    </w:rPr>
  </w:style>
  <w:style w:type="paragraph" w:styleId="33">
    <w:name w:val="toc 6"/>
    <w:basedOn w:val="1"/>
    <w:next w:val="1"/>
    <w:qFormat/>
    <w:uiPriority w:val="39"/>
    <w:pPr>
      <w:ind w:left="1050"/>
      <w:jc w:val="left"/>
    </w:pPr>
    <w:rPr>
      <w:rFonts w:ascii="Calibri" w:hAnsi="Calibri" w:cs="Calibri"/>
      <w:sz w:val="18"/>
      <w:szCs w:val="18"/>
    </w:rPr>
  </w:style>
  <w:style w:type="paragraph" w:styleId="34">
    <w:name w:val="Body Text Indent 3"/>
    <w:basedOn w:val="1"/>
    <w:link w:val="75"/>
    <w:qFormat/>
    <w:uiPriority w:val="0"/>
    <w:pPr>
      <w:spacing w:after="120"/>
      <w:ind w:left="420" w:leftChars="200"/>
    </w:pPr>
    <w:rPr>
      <w:sz w:val="16"/>
      <w:szCs w:val="16"/>
    </w:rPr>
  </w:style>
  <w:style w:type="paragraph" w:styleId="35">
    <w:name w:val="toc 2"/>
    <w:basedOn w:val="1"/>
    <w:next w:val="1"/>
    <w:qFormat/>
    <w:uiPriority w:val="39"/>
    <w:pPr>
      <w:ind w:left="210"/>
      <w:jc w:val="left"/>
    </w:pPr>
    <w:rPr>
      <w:rFonts w:ascii="Calibri" w:hAnsi="Calibri" w:cs="Calibri"/>
      <w:smallCaps/>
      <w:sz w:val="20"/>
      <w:szCs w:val="20"/>
    </w:rPr>
  </w:style>
  <w:style w:type="paragraph" w:styleId="36">
    <w:name w:val="toc 9"/>
    <w:basedOn w:val="1"/>
    <w:next w:val="1"/>
    <w:qFormat/>
    <w:uiPriority w:val="39"/>
    <w:pPr>
      <w:ind w:left="1680"/>
      <w:jc w:val="left"/>
    </w:pPr>
    <w:rPr>
      <w:rFonts w:ascii="Calibri" w:hAnsi="Calibri" w:cs="Calibri"/>
      <w:sz w:val="18"/>
      <w:szCs w:val="18"/>
    </w:rPr>
  </w:style>
  <w:style w:type="paragraph" w:styleId="37">
    <w:name w:val="Body Text 2"/>
    <w:basedOn w:val="1"/>
    <w:link w:val="76"/>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39">
    <w:name w:val="Title"/>
    <w:basedOn w:val="1"/>
    <w:next w:val="1"/>
    <w:link w:val="5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6"/>
    <w:next w:val="16"/>
    <w:link w:val="77"/>
    <w:qFormat/>
    <w:uiPriority w:val="0"/>
    <w:rPr>
      <w:rFonts w:hAnsi="Times New Roman"/>
      <w:b/>
      <w:bCs/>
      <w:kern w:val="0"/>
      <w:sz w:val="28"/>
      <w:szCs w:val="20"/>
    </w:rPr>
  </w:style>
  <w:style w:type="paragraph" w:styleId="41">
    <w:name w:val="Body Text First Indent 2"/>
    <w:basedOn w:val="14"/>
    <w:unhideWhenUsed/>
    <w:qFormat/>
    <w:uiPriority w:val="99"/>
    <w:pPr>
      <w:spacing w:after="120" w:line="240" w:lineRule="auto"/>
      <w:ind w:left="420" w:leftChars="200" w:firstLine="420"/>
    </w:pPr>
    <w:rPr>
      <w:rFonts w:cs="宋体"/>
      <w:sz w:val="21"/>
      <w:szCs w:val="21"/>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page number"/>
    <w:qFormat/>
    <w:uiPriority w:val="0"/>
  </w:style>
  <w:style w:type="character" w:styleId="46">
    <w:name w:val="FollowedHyperlink"/>
    <w:qFormat/>
    <w:uiPriority w:val="0"/>
    <w:rPr>
      <w:color w:val="800080"/>
      <w:u w:val="single"/>
    </w:rPr>
  </w:style>
  <w:style w:type="character" w:styleId="47">
    <w:name w:val="Emphasis"/>
    <w:qFormat/>
    <w:uiPriority w:val="0"/>
    <w:rPr>
      <w:i/>
    </w:rPr>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character" w:styleId="50">
    <w:name w:val="footnote reference"/>
    <w:qFormat/>
    <w:uiPriority w:val="0"/>
    <w:rPr>
      <w:vertAlign w:val="superscript"/>
    </w:rPr>
  </w:style>
  <w:style w:type="character" w:customStyle="1" w:styleId="51">
    <w:name w:val="标题 字符"/>
    <w:link w:val="39"/>
    <w:qFormat/>
    <w:uiPriority w:val="0"/>
    <w:rPr>
      <w:rFonts w:ascii="Arial" w:hAnsi="Arial" w:eastAsia="宋体"/>
      <w:b/>
      <w:sz w:val="32"/>
      <w:lang w:val="en-US" w:eastAsia="zh-CN" w:bidi="ar-SA"/>
    </w:rPr>
  </w:style>
  <w:style w:type="character" w:customStyle="1" w:styleId="52">
    <w:name w:val="标题 1 字符"/>
    <w:link w:val="3"/>
    <w:qFormat/>
    <w:uiPriority w:val="0"/>
    <w:rPr>
      <w:rFonts w:eastAsia="宋体"/>
      <w:b/>
      <w:bCs/>
      <w:kern w:val="44"/>
      <w:sz w:val="44"/>
      <w:szCs w:val="44"/>
      <w:lang w:val="en-US" w:eastAsia="zh-CN" w:bidi="ar-SA"/>
    </w:rPr>
  </w:style>
  <w:style w:type="character" w:customStyle="1" w:styleId="53">
    <w:name w:val="标题 2 字符"/>
    <w:link w:val="4"/>
    <w:qFormat/>
    <w:uiPriority w:val="0"/>
    <w:rPr>
      <w:rFonts w:ascii="Arial" w:hAnsi="Arial" w:eastAsia="黑体"/>
      <w:b/>
      <w:bCs/>
      <w:kern w:val="2"/>
      <w:sz w:val="32"/>
      <w:szCs w:val="32"/>
      <w:lang w:val="en-US" w:eastAsia="zh-CN" w:bidi="ar-SA"/>
    </w:rPr>
  </w:style>
  <w:style w:type="character" w:customStyle="1" w:styleId="54">
    <w:name w:val="标题 3 字符"/>
    <w:link w:val="5"/>
    <w:qFormat/>
    <w:uiPriority w:val="0"/>
    <w:rPr>
      <w:rFonts w:eastAsia="宋体"/>
      <w:b/>
      <w:bCs/>
      <w:kern w:val="2"/>
      <w:sz w:val="32"/>
      <w:szCs w:val="32"/>
      <w:lang w:val="en-US" w:eastAsia="zh-CN" w:bidi="ar-SA"/>
    </w:rPr>
  </w:style>
  <w:style w:type="character" w:customStyle="1" w:styleId="55">
    <w:name w:val="标题 4 字符"/>
    <w:link w:val="6"/>
    <w:qFormat/>
    <w:uiPriority w:val="0"/>
    <w:rPr>
      <w:rFonts w:ascii="Arial" w:hAnsi="Arial" w:eastAsia="黑体"/>
      <w:b/>
      <w:bCs/>
      <w:kern w:val="2"/>
      <w:sz w:val="28"/>
      <w:szCs w:val="28"/>
      <w:lang w:val="en-US" w:eastAsia="zh-CN" w:bidi="ar-SA"/>
    </w:rPr>
  </w:style>
  <w:style w:type="character" w:customStyle="1" w:styleId="56">
    <w:name w:val="标题 5 字符"/>
    <w:link w:val="7"/>
    <w:qFormat/>
    <w:uiPriority w:val="0"/>
    <w:rPr>
      <w:rFonts w:eastAsia="宋体"/>
      <w:b/>
      <w:bCs/>
      <w:sz w:val="28"/>
      <w:szCs w:val="28"/>
      <w:lang w:val="en-US" w:eastAsia="zh-CN" w:bidi="ar-SA"/>
    </w:rPr>
  </w:style>
  <w:style w:type="character" w:customStyle="1" w:styleId="57">
    <w:name w:val="标题 6 字符"/>
    <w:link w:val="8"/>
    <w:qFormat/>
    <w:uiPriority w:val="0"/>
    <w:rPr>
      <w:rFonts w:ascii="Arial" w:hAnsi="Arial" w:eastAsia="黑体"/>
      <w:b/>
      <w:bCs/>
      <w:sz w:val="24"/>
      <w:szCs w:val="24"/>
      <w:lang w:val="en-US" w:eastAsia="zh-CN" w:bidi="ar-SA"/>
    </w:rPr>
  </w:style>
  <w:style w:type="character" w:customStyle="1" w:styleId="58">
    <w:name w:val="标题 7 字符"/>
    <w:link w:val="9"/>
    <w:qFormat/>
    <w:uiPriority w:val="0"/>
    <w:rPr>
      <w:rFonts w:eastAsia="宋体"/>
      <w:b/>
      <w:bCs/>
      <w:sz w:val="24"/>
      <w:szCs w:val="24"/>
      <w:lang w:val="en-US" w:eastAsia="zh-CN" w:bidi="ar-SA"/>
    </w:rPr>
  </w:style>
  <w:style w:type="character" w:customStyle="1" w:styleId="59">
    <w:name w:val="标题 8 字符"/>
    <w:link w:val="10"/>
    <w:qFormat/>
    <w:uiPriority w:val="0"/>
    <w:rPr>
      <w:rFonts w:ascii="Arial" w:hAnsi="Arial" w:eastAsia="黑体"/>
      <w:sz w:val="24"/>
      <w:szCs w:val="24"/>
      <w:lang w:val="en-US" w:eastAsia="zh-CN" w:bidi="ar-SA"/>
    </w:rPr>
  </w:style>
  <w:style w:type="character" w:customStyle="1" w:styleId="60">
    <w:name w:val="标题 9 字符"/>
    <w:link w:val="11"/>
    <w:qFormat/>
    <w:uiPriority w:val="0"/>
    <w:rPr>
      <w:rFonts w:ascii="Arial" w:hAnsi="Arial" w:eastAsia="黑体"/>
      <w:sz w:val="21"/>
      <w:szCs w:val="21"/>
      <w:lang w:val="en-US" w:eastAsia="zh-CN" w:bidi="ar-SA"/>
    </w:rPr>
  </w:style>
  <w:style w:type="character" w:customStyle="1" w:styleId="61">
    <w:name w:val="正文缩进 字符1"/>
    <w:link w:val="13"/>
    <w:qFormat/>
    <w:uiPriority w:val="0"/>
    <w:rPr>
      <w:rFonts w:eastAsia="宋体"/>
      <w:kern w:val="2"/>
      <w:sz w:val="21"/>
      <w:szCs w:val="24"/>
      <w:lang w:val="en-US" w:eastAsia="zh-CN" w:bidi="ar-SA"/>
    </w:rPr>
  </w:style>
  <w:style w:type="character" w:customStyle="1" w:styleId="62">
    <w:name w:val="正文文本缩进 字符"/>
    <w:link w:val="14"/>
    <w:qFormat/>
    <w:uiPriority w:val="0"/>
    <w:rPr>
      <w:rFonts w:eastAsia="宋体"/>
      <w:kern w:val="2"/>
      <w:sz w:val="21"/>
      <w:szCs w:val="24"/>
      <w:lang w:val="en-US" w:eastAsia="zh-CN" w:bidi="ar-SA"/>
    </w:rPr>
  </w:style>
  <w:style w:type="character" w:customStyle="1" w:styleId="63">
    <w:name w:val="文档结构图 字符1"/>
    <w:link w:val="15"/>
    <w:qFormat/>
    <w:uiPriority w:val="0"/>
    <w:rPr>
      <w:szCs w:val="24"/>
      <w:shd w:val="clear" w:color="auto" w:fill="000080"/>
      <w:lang w:bidi="ar-SA"/>
    </w:rPr>
  </w:style>
  <w:style w:type="character" w:customStyle="1" w:styleId="64">
    <w:name w:val="批注文字 字符"/>
    <w:link w:val="16"/>
    <w:qFormat/>
    <w:locked/>
    <w:uiPriority w:val="0"/>
    <w:rPr>
      <w:rFonts w:ascii="宋体" w:hAnsi="宋体" w:eastAsia="宋体"/>
      <w:kern w:val="2"/>
      <w:sz w:val="21"/>
      <w:szCs w:val="24"/>
      <w:lang w:val="en-US" w:eastAsia="zh-CN" w:bidi="ar-SA"/>
    </w:rPr>
  </w:style>
  <w:style w:type="character" w:customStyle="1" w:styleId="65">
    <w:name w:val="正文文本 3 字符"/>
    <w:link w:val="17"/>
    <w:qFormat/>
    <w:uiPriority w:val="0"/>
    <w:rPr>
      <w:rFonts w:ascii="宋体"/>
      <w:kern w:val="2"/>
      <w:sz w:val="24"/>
    </w:rPr>
  </w:style>
  <w:style w:type="character" w:customStyle="1" w:styleId="66">
    <w:name w:val="正文文本 字符"/>
    <w:link w:val="18"/>
    <w:qFormat/>
    <w:uiPriority w:val="0"/>
    <w:rPr>
      <w:rFonts w:eastAsia="宋体"/>
      <w:kern w:val="2"/>
      <w:sz w:val="21"/>
      <w:szCs w:val="24"/>
      <w:lang w:val="en-US" w:eastAsia="zh-CN" w:bidi="ar-SA"/>
    </w:rPr>
  </w:style>
  <w:style w:type="character" w:customStyle="1" w:styleId="67">
    <w:name w:val="纯文本 字符"/>
    <w:link w:val="23"/>
    <w:qFormat/>
    <w:uiPriority w:val="0"/>
    <w:rPr>
      <w:rFonts w:ascii="宋体" w:hAnsi="Courier New" w:eastAsia="宋体"/>
      <w:kern w:val="2"/>
      <w:sz w:val="21"/>
      <w:lang w:val="en-US" w:eastAsia="zh-CN" w:bidi="ar-SA"/>
    </w:rPr>
  </w:style>
  <w:style w:type="character" w:customStyle="1" w:styleId="68">
    <w:name w:val="日期 字符"/>
    <w:link w:val="25"/>
    <w:qFormat/>
    <w:uiPriority w:val="0"/>
    <w:rPr>
      <w:kern w:val="2"/>
      <w:sz w:val="24"/>
    </w:rPr>
  </w:style>
  <w:style w:type="character" w:customStyle="1" w:styleId="69">
    <w:name w:val="正文文本缩进 2 字符"/>
    <w:link w:val="26"/>
    <w:qFormat/>
    <w:uiPriority w:val="0"/>
    <w:rPr>
      <w:kern w:val="2"/>
      <w:sz w:val="21"/>
      <w:szCs w:val="24"/>
    </w:rPr>
  </w:style>
  <w:style w:type="character" w:customStyle="1" w:styleId="70">
    <w:name w:val="批注框文本 字符"/>
    <w:link w:val="27"/>
    <w:qFormat/>
    <w:uiPriority w:val="0"/>
    <w:rPr>
      <w:kern w:val="2"/>
      <w:sz w:val="18"/>
      <w:szCs w:val="18"/>
    </w:rPr>
  </w:style>
  <w:style w:type="character" w:customStyle="1" w:styleId="71">
    <w:name w:val="页脚 字符"/>
    <w:link w:val="28"/>
    <w:qFormat/>
    <w:uiPriority w:val="99"/>
    <w:rPr>
      <w:rFonts w:eastAsia="宋体"/>
      <w:kern w:val="2"/>
      <w:sz w:val="18"/>
      <w:szCs w:val="18"/>
      <w:lang w:val="en-US" w:eastAsia="zh-CN" w:bidi="ar-SA"/>
    </w:rPr>
  </w:style>
  <w:style w:type="character" w:customStyle="1" w:styleId="72">
    <w:name w:val="页眉 字符"/>
    <w:link w:val="29"/>
    <w:qFormat/>
    <w:uiPriority w:val="0"/>
    <w:rPr>
      <w:rFonts w:eastAsia="宋体"/>
      <w:kern w:val="2"/>
      <w:sz w:val="18"/>
      <w:szCs w:val="18"/>
      <w:lang w:val="en-US" w:eastAsia="zh-CN" w:bidi="ar-SA"/>
    </w:rPr>
  </w:style>
  <w:style w:type="character" w:customStyle="1" w:styleId="73">
    <w:name w:val="副标题 字符"/>
    <w:link w:val="31"/>
    <w:qFormat/>
    <w:uiPriority w:val="0"/>
    <w:rPr>
      <w:rFonts w:ascii="Cambria" w:hAnsi="Cambria"/>
      <w:b/>
      <w:bCs/>
      <w:kern w:val="28"/>
      <w:sz w:val="32"/>
      <w:szCs w:val="32"/>
      <w:lang w:bidi="ar-SA"/>
    </w:rPr>
  </w:style>
  <w:style w:type="character" w:customStyle="1" w:styleId="74">
    <w:name w:val="脚注文本 字符"/>
    <w:link w:val="32"/>
    <w:qFormat/>
    <w:uiPriority w:val="0"/>
    <w:rPr>
      <w:rFonts w:eastAsia="仿宋_GB2312"/>
      <w:kern w:val="2"/>
      <w:sz w:val="18"/>
    </w:rPr>
  </w:style>
  <w:style w:type="character" w:customStyle="1" w:styleId="75">
    <w:name w:val="正文文本缩进 3 字符"/>
    <w:link w:val="34"/>
    <w:qFormat/>
    <w:uiPriority w:val="0"/>
    <w:rPr>
      <w:kern w:val="2"/>
      <w:sz w:val="16"/>
      <w:szCs w:val="16"/>
    </w:rPr>
  </w:style>
  <w:style w:type="character" w:customStyle="1" w:styleId="76">
    <w:name w:val="正文文本 2 字符"/>
    <w:link w:val="37"/>
    <w:qFormat/>
    <w:uiPriority w:val="0"/>
    <w:rPr>
      <w:kern w:val="2"/>
      <w:sz w:val="21"/>
      <w:szCs w:val="24"/>
    </w:rPr>
  </w:style>
  <w:style w:type="character" w:customStyle="1" w:styleId="77">
    <w:name w:val="批注主题 字符"/>
    <w:link w:val="40"/>
    <w:qFormat/>
    <w:uiPriority w:val="0"/>
    <w:rPr>
      <w:rFonts w:ascii="宋体"/>
      <w:b/>
      <w:bCs/>
      <w:sz w:val="28"/>
      <w:lang w:bidi="ar-SA"/>
    </w:rPr>
  </w:style>
  <w:style w:type="paragraph" w:customStyle="1" w:styleId="78">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Default"/>
    <w:unhideWhenUsed/>
    <w:qFormat/>
    <w:uiPriority w:val="99"/>
    <w:pPr>
      <w:widowControl w:val="0"/>
      <w:autoSpaceDE w:val="0"/>
      <w:autoSpaceDN w:val="0"/>
      <w:adjustRightInd w:val="0"/>
      <w:spacing w:line="360" w:lineRule="exact"/>
      <w:ind w:firstLine="200" w:firstLineChars="200"/>
    </w:pPr>
    <w:rPr>
      <w:rFonts w:hint="eastAsia" w:ascii="微软雅黑" w:hAnsi="微软雅黑" w:eastAsia="微软雅黑" w:cs="Times New Roman"/>
      <w:color w:val="000000"/>
      <w:sz w:val="24"/>
      <w:szCs w:val="24"/>
      <w:lang w:val="en-US" w:eastAsia="zh-CN" w:bidi="ar-SA"/>
    </w:rPr>
  </w:style>
  <w:style w:type="character" w:customStyle="1" w:styleId="80">
    <w:name w:val="二 Char1"/>
    <w:qFormat/>
    <w:uiPriority w:val="0"/>
    <w:rPr>
      <w:rFonts w:eastAsia="宋体"/>
      <w:kern w:val="2"/>
      <w:sz w:val="21"/>
      <w:szCs w:val="24"/>
      <w:lang w:val="en-US" w:eastAsia="zh-CN" w:bidi="ar-SA"/>
    </w:rPr>
  </w:style>
  <w:style w:type="character" w:customStyle="1" w:styleId="81">
    <w:name w:val="引用 字符"/>
    <w:link w:val="82"/>
    <w:qFormat/>
    <w:uiPriority w:val="0"/>
    <w:rPr>
      <w:i/>
      <w:iCs/>
      <w:color w:val="000000"/>
      <w:kern w:val="2"/>
      <w:sz w:val="21"/>
      <w:szCs w:val="22"/>
      <w:lang w:bidi="ar-SA"/>
    </w:rPr>
  </w:style>
  <w:style w:type="paragraph" w:styleId="82">
    <w:name w:val="Quote"/>
    <w:basedOn w:val="1"/>
    <w:next w:val="1"/>
    <w:link w:val="81"/>
    <w:qFormat/>
    <w:uiPriority w:val="0"/>
    <w:rPr>
      <w:i/>
      <w:iCs/>
      <w:color w:val="000000"/>
      <w:szCs w:val="22"/>
    </w:rPr>
  </w:style>
  <w:style w:type="character" w:customStyle="1" w:styleId="83">
    <w:name w:val="不明显强调1"/>
    <w:qFormat/>
    <w:uiPriority w:val="0"/>
    <w:rPr>
      <w:i/>
      <w:iCs/>
      <w:color w:val="808080"/>
    </w:rPr>
  </w:style>
  <w:style w:type="character" w:customStyle="1" w:styleId="84">
    <w:name w:val="标题5 Char Char"/>
    <w:link w:val="85"/>
    <w:qFormat/>
    <w:uiPriority w:val="0"/>
    <w:rPr>
      <w:rFonts w:ascii="Arial" w:hAnsi="Arial"/>
      <w:b/>
      <w:bCs/>
      <w:sz w:val="24"/>
      <w:szCs w:val="32"/>
      <w:lang w:bidi="ar-SA"/>
    </w:rPr>
  </w:style>
  <w:style w:type="paragraph" w:customStyle="1" w:styleId="85">
    <w:name w:val="标题5"/>
    <w:basedOn w:val="5"/>
    <w:link w:val="84"/>
    <w:qFormat/>
    <w:uiPriority w:val="0"/>
    <w:pPr>
      <w:spacing w:line="413" w:lineRule="auto"/>
    </w:pPr>
    <w:rPr>
      <w:rFonts w:ascii="Arial" w:hAnsi="Arial"/>
      <w:kern w:val="0"/>
      <w:sz w:val="24"/>
    </w:rPr>
  </w:style>
  <w:style w:type="character" w:customStyle="1" w:styleId="86">
    <w:name w:val="fx_label"/>
    <w:qFormat/>
    <w:uiPriority w:val="0"/>
  </w:style>
  <w:style w:type="character" w:customStyle="1" w:styleId="87">
    <w:name w:val="style11"/>
    <w:qFormat/>
    <w:uiPriority w:val="0"/>
    <w:rPr>
      <w:b/>
      <w:bCs/>
      <w:color w:val="D54F2B"/>
      <w:sz w:val="21"/>
      <w:szCs w:val="21"/>
    </w:rPr>
  </w:style>
  <w:style w:type="character" w:customStyle="1" w:styleId="88">
    <w:name w:val="纯文本 Char1"/>
    <w:semiHidden/>
    <w:qFormat/>
    <w:uiPriority w:val="99"/>
    <w:rPr>
      <w:rFonts w:ascii="宋体" w:hAnsi="Courier New" w:cs="Courier New"/>
      <w:kern w:val="2"/>
      <w:sz w:val="21"/>
      <w:szCs w:val="21"/>
    </w:rPr>
  </w:style>
  <w:style w:type="character" w:customStyle="1" w:styleId="89">
    <w:name w:val="正文文本 Char1"/>
    <w:semiHidden/>
    <w:qFormat/>
    <w:uiPriority w:val="99"/>
    <w:rPr>
      <w:kern w:val="2"/>
      <w:sz w:val="21"/>
      <w:szCs w:val="24"/>
    </w:rPr>
  </w:style>
  <w:style w:type="character" w:customStyle="1" w:styleId="90">
    <w:name w:val="不明显强调11"/>
    <w:qFormat/>
    <w:uiPriority w:val="0"/>
    <w:rPr>
      <w:i/>
      <w:iCs/>
      <w:color w:val="808080"/>
    </w:rPr>
  </w:style>
  <w:style w:type="character" w:customStyle="1" w:styleId="91">
    <w:name w:val="页眉 Char1"/>
    <w:qFormat/>
    <w:uiPriority w:val="99"/>
    <w:rPr>
      <w:rFonts w:eastAsia="宋体"/>
      <w:kern w:val="2"/>
      <w:sz w:val="18"/>
      <w:szCs w:val="18"/>
      <w:lang w:val="en-US" w:eastAsia="zh-CN" w:bidi="ar-SA"/>
    </w:rPr>
  </w:style>
  <w:style w:type="character" w:customStyle="1" w:styleId="92">
    <w:name w:val="批注主题 Char1"/>
    <w:semiHidden/>
    <w:qFormat/>
    <w:uiPriority w:val="99"/>
    <w:rPr>
      <w:b/>
      <w:bCs/>
      <w:kern w:val="2"/>
      <w:sz w:val="21"/>
      <w:szCs w:val="24"/>
    </w:rPr>
  </w:style>
  <w:style w:type="character" w:customStyle="1" w:styleId="93">
    <w:name w:val="引用 Char1"/>
    <w:qFormat/>
    <w:uiPriority w:val="29"/>
    <w:rPr>
      <w:i/>
      <w:iCs/>
      <w:color w:val="000000"/>
      <w:kern w:val="2"/>
      <w:sz w:val="21"/>
      <w:szCs w:val="24"/>
    </w:rPr>
  </w:style>
  <w:style w:type="character" w:customStyle="1" w:styleId="94">
    <w:name w:val="明显引用 字符"/>
    <w:link w:val="95"/>
    <w:qFormat/>
    <w:uiPriority w:val="0"/>
    <w:rPr>
      <w:b/>
      <w:bCs/>
      <w:i/>
      <w:iCs/>
      <w:color w:val="4F81BD"/>
      <w:kern w:val="2"/>
      <w:sz w:val="21"/>
      <w:szCs w:val="22"/>
      <w:lang w:bidi="ar-SA"/>
    </w:rPr>
  </w:style>
  <w:style w:type="paragraph" w:styleId="95">
    <w:name w:val="Intense Quote"/>
    <w:basedOn w:val="1"/>
    <w:next w:val="1"/>
    <w:link w:val="94"/>
    <w:qFormat/>
    <w:uiPriority w:val="0"/>
    <w:pPr>
      <w:pBdr>
        <w:bottom w:val="single" w:color="4F81BD" w:sz="4" w:space="4"/>
      </w:pBdr>
      <w:spacing w:before="200" w:after="280"/>
      <w:ind w:left="936" w:right="936"/>
    </w:pPr>
    <w:rPr>
      <w:b/>
      <w:bCs/>
      <w:i/>
      <w:iCs/>
      <w:color w:val="4F81BD"/>
      <w:szCs w:val="22"/>
    </w:rPr>
  </w:style>
  <w:style w:type="character" w:customStyle="1" w:styleId="96">
    <w:name w:val="标题 Char1"/>
    <w:qFormat/>
    <w:uiPriority w:val="10"/>
    <w:rPr>
      <w:rFonts w:ascii="Cambria" w:hAnsi="Cambria" w:cs="Times New Roman"/>
      <w:b/>
      <w:bCs/>
      <w:kern w:val="2"/>
      <w:sz w:val="32"/>
      <w:szCs w:val="32"/>
    </w:rPr>
  </w:style>
  <w:style w:type="character" w:customStyle="1" w:styleId="97">
    <w:name w:val="Char Char1"/>
    <w:qFormat/>
    <w:uiPriority w:val="0"/>
    <w:rPr>
      <w:rFonts w:ascii="Arial" w:hAnsi="Arial" w:eastAsia="黑体"/>
      <w:b/>
      <w:bCs/>
      <w:kern w:val="2"/>
      <w:sz w:val="32"/>
      <w:szCs w:val="32"/>
      <w:lang w:val="en-US" w:eastAsia="zh-CN" w:bidi="ar-SA"/>
    </w:rPr>
  </w:style>
  <w:style w:type="character" w:customStyle="1" w:styleId="98">
    <w:name w:val="正文文本缩进 Char1"/>
    <w:semiHidden/>
    <w:qFormat/>
    <w:uiPriority w:val="99"/>
    <w:rPr>
      <w:kern w:val="2"/>
      <w:sz w:val="21"/>
      <w:szCs w:val="24"/>
    </w:rPr>
  </w:style>
  <w:style w:type="character" w:customStyle="1" w:styleId="99">
    <w:name w:val="批注框文本 Char1"/>
    <w:semiHidden/>
    <w:qFormat/>
    <w:uiPriority w:val="99"/>
    <w:rPr>
      <w:kern w:val="2"/>
      <w:sz w:val="18"/>
      <w:szCs w:val="18"/>
    </w:rPr>
  </w:style>
  <w:style w:type="character" w:customStyle="1" w:styleId="100">
    <w:name w:val="Subtle Emphasis"/>
    <w:qFormat/>
    <w:uiPriority w:val="0"/>
    <w:rPr>
      <w:i/>
      <w:iCs/>
      <w:color w:val="808080"/>
    </w:rPr>
  </w:style>
  <w:style w:type="character" w:customStyle="1" w:styleId="101">
    <w:name w:val="htd01"/>
    <w:qFormat/>
    <w:uiPriority w:val="0"/>
  </w:style>
  <w:style w:type="character" w:customStyle="1" w:styleId="102">
    <w:name w:val="文档结构图 Char1"/>
    <w:semiHidden/>
    <w:qFormat/>
    <w:uiPriority w:val="99"/>
    <w:rPr>
      <w:rFonts w:ascii="宋体"/>
      <w:kern w:val="2"/>
      <w:sz w:val="18"/>
      <w:szCs w:val="18"/>
    </w:rPr>
  </w:style>
  <w:style w:type="character" w:customStyle="1" w:styleId="103">
    <w:name w:val="font161"/>
    <w:qFormat/>
    <w:uiPriority w:val="0"/>
    <w:rPr>
      <w:b/>
      <w:bCs/>
      <w:sz w:val="32"/>
      <w:szCs w:val="32"/>
    </w:rPr>
  </w:style>
  <w:style w:type="character" w:customStyle="1" w:styleId="104">
    <w:name w:val="标题4 Char Char"/>
    <w:link w:val="105"/>
    <w:qFormat/>
    <w:uiPriority w:val="0"/>
    <w:rPr>
      <w:rFonts w:eastAsia="仿宋_GB2312"/>
      <w:kern w:val="2"/>
      <w:sz w:val="32"/>
      <w:lang w:val="en-US" w:eastAsia="zh-CN" w:bidi="ar-SA"/>
    </w:rPr>
  </w:style>
  <w:style w:type="paragraph" w:customStyle="1" w:styleId="105">
    <w:name w:val="标题4"/>
    <w:basedOn w:val="1"/>
    <w:link w:val="104"/>
    <w:qFormat/>
    <w:uiPriority w:val="0"/>
    <w:rPr>
      <w:rFonts w:eastAsia="仿宋_GB2312"/>
      <w:sz w:val="32"/>
      <w:szCs w:val="20"/>
    </w:rPr>
  </w:style>
  <w:style w:type="character" w:customStyle="1" w:styleId="106">
    <w:name w:val="批注文字 Char1"/>
    <w:semiHidden/>
    <w:qFormat/>
    <w:uiPriority w:val="99"/>
    <w:rPr>
      <w:kern w:val="2"/>
      <w:sz w:val="21"/>
      <w:szCs w:val="24"/>
    </w:rPr>
  </w:style>
  <w:style w:type="character" w:customStyle="1" w:styleId="107">
    <w:name w:val="页脚 Char1"/>
    <w:qFormat/>
    <w:uiPriority w:val="99"/>
    <w:rPr>
      <w:rFonts w:eastAsia="宋体"/>
      <w:kern w:val="2"/>
      <w:sz w:val="18"/>
      <w:szCs w:val="18"/>
      <w:lang w:val="en-US" w:eastAsia="zh-CN" w:bidi="ar-SA"/>
    </w:rPr>
  </w:style>
  <w:style w:type="character" w:customStyle="1" w:styleId="108">
    <w:name w:val="正文文字4 Char Char"/>
    <w:qFormat/>
    <w:uiPriority w:val="0"/>
    <w:rPr>
      <w:rFonts w:eastAsia="宋体"/>
      <w:kern w:val="2"/>
      <w:sz w:val="21"/>
      <w:szCs w:val="24"/>
      <w:lang w:val="en-US" w:eastAsia="zh-CN" w:bidi="ar-SA"/>
    </w:rPr>
  </w:style>
  <w:style w:type="character" w:customStyle="1" w:styleId="109">
    <w:name w:val="明显引用 Char1"/>
    <w:qFormat/>
    <w:uiPriority w:val="30"/>
    <w:rPr>
      <w:b/>
      <w:bCs/>
      <w:i/>
      <w:iCs/>
      <w:color w:val="4F81BD"/>
      <w:kern w:val="2"/>
      <w:sz w:val="21"/>
      <w:szCs w:val="24"/>
    </w:rPr>
  </w:style>
  <w:style w:type="character" w:customStyle="1" w:styleId="110">
    <w:name w:val="副标题 Char1"/>
    <w:qFormat/>
    <w:uiPriority w:val="11"/>
    <w:rPr>
      <w:rFonts w:ascii="Cambria" w:hAnsi="Cambria" w:cs="Times New Roman"/>
      <w:b/>
      <w:bCs/>
      <w:kern w:val="28"/>
      <w:sz w:val="32"/>
      <w:szCs w:val="32"/>
    </w:rPr>
  </w:style>
  <w:style w:type="character" w:customStyle="1" w:styleId="111">
    <w:name w:val="正文缩进 字符"/>
    <w:qFormat/>
    <w:uiPriority w:val="0"/>
    <w:rPr>
      <w:rFonts w:eastAsia="宋体"/>
      <w:kern w:val="2"/>
      <w:sz w:val="21"/>
      <w:szCs w:val="24"/>
      <w:lang w:val="en-US" w:eastAsia="zh-CN" w:bidi="ar-SA"/>
    </w:rPr>
  </w:style>
  <w:style w:type="character" w:customStyle="1" w:styleId="112">
    <w:name w:val="文档结构图 字符"/>
    <w:qFormat/>
    <w:uiPriority w:val="0"/>
    <w:rPr>
      <w:szCs w:val="24"/>
      <w:shd w:val="clear" w:color="auto" w:fill="000080"/>
      <w:lang w:bidi="ar-SA"/>
    </w:rPr>
  </w:style>
  <w:style w:type="paragraph" w:customStyle="1" w:styleId="11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4">
    <w:name w:val="表格文字"/>
    <w:basedOn w:val="1"/>
    <w:qFormat/>
    <w:uiPriority w:val="0"/>
    <w:pPr>
      <w:adjustRightInd w:val="0"/>
      <w:spacing w:line="420" w:lineRule="atLeast"/>
      <w:jc w:val="left"/>
      <w:textAlignment w:val="baseline"/>
    </w:pPr>
    <w:rPr>
      <w:kern w:val="0"/>
      <w:szCs w:val="20"/>
    </w:rPr>
  </w:style>
  <w:style w:type="paragraph" w:customStyle="1" w:styleId="115">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116">
    <w:name w:val="List Paragraph"/>
    <w:basedOn w:val="1"/>
    <w:qFormat/>
    <w:uiPriority w:val="99"/>
    <w:pPr>
      <w:ind w:firstLine="420" w:firstLineChars="200"/>
    </w:pPr>
    <w:rPr>
      <w:rFonts w:ascii="Calibri" w:hAnsi="Calibri"/>
      <w:szCs w:val="22"/>
    </w:rPr>
  </w:style>
  <w:style w:type="paragraph" w:customStyle="1" w:styleId="117">
    <w:name w:val="表格"/>
    <w:basedOn w:val="1"/>
    <w:qFormat/>
    <w:uiPriority w:val="0"/>
    <w:pPr>
      <w:jc w:val="center"/>
      <w:textAlignment w:val="center"/>
    </w:pPr>
    <w:rPr>
      <w:rFonts w:ascii="华文细黑" w:hAnsi="华文细黑"/>
      <w:kern w:val="0"/>
      <w:szCs w:val="20"/>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Char3"/>
    <w:basedOn w:val="1"/>
    <w:qFormat/>
    <w:uiPriority w:val="0"/>
    <w:pPr>
      <w:tabs>
        <w:tab w:val="left" w:pos="360"/>
      </w:tabs>
    </w:pPr>
    <w:rPr>
      <w:sz w:val="24"/>
    </w:rPr>
  </w:style>
  <w:style w:type="paragraph" w:customStyle="1" w:styleId="120">
    <w:name w:val="Revision"/>
    <w:qFormat/>
    <w:uiPriority w:val="0"/>
    <w:rPr>
      <w:rFonts w:ascii="Times New Roman" w:hAnsi="Times New Roman" w:eastAsia="宋体" w:cs="Times New Roman"/>
      <w:kern w:val="2"/>
      <w:sz w:val="21"/>
      <w:szCs w:val="24"/>
      <w:lang w:val="en-US" w:eastAsia="zh-CN" w:bidi="ar-SA"/>
    </w:rPr>
  </w:style>
  <w:style w:type="paragraph" w:customStyle="1" w:styleId="121">
    <w:name w:val="样式 标题 3 + Arial"/>
    <w:basedOn w:val="5"/>
    <w:qFormat/>
    <w:uiPriority w:val="0"/>
    <w:pPr>
      <w:spacing w:beforeLines="100" w:after="0" w:line="360" w:lineRule="auto"/>
    </w:pPr>
    <w:rPr>
      <w:rFonts w:ascii="Arial" w:hAnsi="Arial"/>
      <w:sz w:val="24"/>
    </w:rPr>
  </w:style>
  <w:style w:type="paragraph" w:customStyle="1" w:styleId="122">
    <w:name w:val="列出段落1"/>
    <w:basedOn w:val="1"/>
    <w:qFormat/>
    <w:uiPriority w:val="0"/>
    <w:pPr>
      <w:ind w:firstLine="420" w:firstLineChars="200"/>
    </w:pPr>
    <w:rPr>
      <w:rFonts w:ascii="Calibri" w:hAnsi="Calibri"/>
      <w:szCs w:val="22"/>
    </w:rPr>
  </w:style>
  <w:style w:type="paragraph" w:customStyle="1" w:styleId="123">
    <w:name w:val="1"/>
    <w:basedOn w:val="1"/>
    <w:next w:val="1"/>
    <w:qFormat/>
    <w:uiPriority w:val="0"/>
  </w:style>
  <w:style w:type="paragraph" w:customStyle="1" w:styleId="124">
    <w:name w:val="4、正文"/>
    <w:basedOn w:val="1"/>
    <w:qFormat/>
    <w:uiPriority w:val="0"/>
    <w:pPr>
      <w:ind w:firstLine="200" w:firstLineChars="200"/>
    </w:pPr>
    <w:rPr>
      <w:rFonts w:ascii="宋体"/>
      <w:sz w:val="24"/>
      <w:szCs w:val="28"/>
    </w:rPr>
  </w:style>
  <w:style w:type="paragraph" w:customStyle="1" w:styleId="125">
    <w:name w:val="Char1"/>
    <w:basedOn w:val="1"/>
    <w:qFormat/>
    <w:uiPriority w:val="0"/>
    <w:pPr>
      <w:jc w:val="center"/>
    </w:pPr>
    <w:rPr>
      <w:rFonts w:ascii="仿宋_GB2312" w:eastAsia="仿宋_GB2312"/>
      <w:b/>
      <w:kern w:val="0"/>
      <w:sz w:val="32"/>
      <w:szCs w:val="32"/>
      <w:lang w:val="en-GB"/>
    </w:rPr>
  </w:style>
  <w:style w:type="paragraph" w:customStyle="1" w:styleId="12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7">
    <w:name w:val="样式 标题 3 + 段前: 7.8 磅"/>
    <w:basedOn w:val="5"/>
    <w:qFormat/>
    <w:uiPriority w:val="0"/>
    <w:pPr>
      <w:keepNext w:val="0"/>
      <w:keepLines w:val="0"/>
      <w:spacing w:before="156" w:after="0" w:line="360" w:lineRule="auto"/>
      <w:ind w:left="2220" w:hanging="420"/>
    </w:pPr>
    <w:rPr>
      <w:rFonts w:cs="宋体"/>
      <w:b w:val="0"/>
      <w:bCs w:val="0"/>
      <w:sz w:val="24"/>
      <w:szCs w:val="20"/>
    </w:rPr>
  </w:style>
  <w:style w:type="paragraph" w:customStyle="1" w:styleId="128">
    <w:name w:val="Char"/>
    <w:basedOn w:val="1"/>
    <w:qFormat/>
    <w:uiPriority w:val="0"/>
    <w:pPr>
      <w:tabs>
        <w:tab w:val="left" w:pos="432"/>
      </w:tabs>
      <w:spacing w:beforeLines="50" w:afterLines="50"/>
      <w:ind w:left="432" w:hanging="432"/>
    </w:pPr>
    <w:rPr>
      <w:rFonts w:ascii="仿宋_GB2312" w:eastAsia="仿宋_GB2312"/>
      <w:sz w:val="24"/>
    </w:rPr>
  </w:style>
  <w:style w:type="paragraph" w:customStyle="1" w:styleId="129">
    <w:name w:val="TOC Heading"/>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13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31">
    <w:name w:val="样式 样式 样式1 + 首行缩进:  2 字符 + 左侧:  0.74 厘米"/>
    <w:basedOn w:val="132"/>
    <w:qFormat/>
    <w:uiPriority w:val="0"/>
    <w:pPr>
      <w:ind w:firstLine="200"/>
    </w:pPr>
  </w:style>
  <w:style w:type="paragraph" w:customStyle="1" w:styleId="132">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13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34">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35">
    <w:name w:val="Char2"/>
    <w:basedOn w:val="1"/>
    <w:qFormat/>
    <w:uiPriority w:val="0"/>
    <w:rPr>
      <w:rFonts w:ascii="仿宋_GB2312" w:eastAsia="仿宋_GB2312"/>
      <w:b/>
      <w:sz w:val="32"/>
      <w:szCs w:val="32"/>
    </w:rPr>
  </w:style>
  <w:style w:type="paragraph" w:customStyle="1" w:styleId="136">
    <w:name w:val="纯文本1"/>
    <w:basedOn w:val="137"/>
    <w:qFormat/>
    <w:uiPriority w:val="0"/>
    <w:pPr>
      <w:widowControl/>
      <w:jc w:val="left"/>
    </w:pPr>
    <w:rPr>
      <w:rFonts w:ascii="宋体" w:hAnsi="Courier New"/>
    </w:rPr>
  </w:style>
  <w:style w:type="paragraph" w:customStyle="1" w:styleId="13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8">
    <w:name w:val="内文正文"/>
    <w:basedOn w:val="1"/>
    <w:qFormat/>
    <w:uiPriority w:val="0"/>
    <w:pPr>
      <w:adjustRightInd w:val="0"/>
      <w:snapToGrid w:val="0"/>
      <w:spacing w:line="400" w:lineRule="atLeast"/>
      <w:ind w:firstLine="420" w:firstLineChars="200"/>
    </w:pPr>
    <w:rPr>
      <w:rFonts w:ascii="宋体"/>
      <w:szCs w:val="24"/>
    </w:rPr>
  </w:style>
  <w:style w:type="paragraph" w:customStyle="1" w:styleId="139">
    <w:name w:val="_Style 1"/>
    <w:qFormat/>
    <w:uiPriority w:val="99"/>
    <w:rPr>
      <w:rFonts w:ascii="Times New Roman" w:hAnsi="Times New Roman" w:eastAsia="宋体" w:cs="Times New Roman"/>
      <w:kern w:val="2"/>
      <w:sz w:val="28"/>
      <w:szCs w:val="22"/>
      <w:lang w:val="en-US" w:eastAsia="zh-CN" w:bidi="ar-SA"/>
    </w:rPr>
  </w:style>
  <w:style w:type="character" w:customStyle="1" w:styleId="140">
    <w:name w:val="font01"/>
    <w:qFormat/>
    <w:uiPriority w:val="0"/>
    <w:rPr>
      <w:rFonts w:hint="eastAsia" w:ascii="宋体" w:hAnsi="宋体" w:eastAsia="宋体" w:cs="宋体"/>
      <w:color w:val="000000"/>
      <w:sz w:val="24"/>
      <w:szCs w:val="24"/>
      <w:u w:val="none"/>
    </w:rPr>
  </w:style>
  <w:style w:type="paragraph" w:customStyle="1" w:styleId="141">
    <w:name w:val="Table Paragraph"/>
    <w:basedOn w:val="1"/>
    <w:qFormat/>
    <w:uiPriority w:val="1"/>
    <w:pPr>
      <w:autoSpaceDE w:val="0"/>
      <w:autoSpaceDN w:val="0"/>
      <w:jc w:val="left"/>
    </w:pPr>
    <w:rPr>
      <w:rFonts w:ascii="宋体" w:hAnsi="宋体" w:cs="宋体"/>
      <w:kern w:val="0"/>
      <w:sz w:val="22"/>
      <w:szCs w:val="22"/>
    </w:rPr>
  </w:style>
  <w:style w:type="paragraph" w:customStyle="1" w:styleId="142">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p0"/>
    <w:basedOn w:val="1"/>
    <w:qFormat/>
    <w:uiPriority w:val="0"/>
    <w:pPr>
      <w:widowControl/>
      <w:spacing w:line="365" w:lineRule="atLeast"/>
      <w:ind w:left="1"/>
    </w:pPr>
    <w:rPr>
      <w:kern w:val="0"/>
      <w:sz w:val="20"/>
      <w:szCs w:val="20"/>
    </w:rPr>
  </w:style>
  <w:style w:type="character" w:customStyle="1" w:styleId="144">
    <w:name w:val="标题 4 Char Char Char Char"/>
    <w:qFormat/>
    <w:uiPriority w:val="0"/>
    <w:rPr>
      <w:rFonts w:eastAsia="楷体_GB2312"/>
      <w:b/>
      <w:snapToGrid w:val="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7131</Words>
  <Characters>40652</Characters>
  <Lines>338</Lines>
  <Paragraphs>95</Paragraphs>
  <TotalTime>116</TotalTime>
  <ScaleCrop>false</ScaleCrop>
  <LinksUpToDate>false</LinksUpToDate>
  <CharactersWithSpaces>47688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2022-02-21T06:06:00Z</dcterms:created>
  <dc:creator>吕锋</dc:creator>
  <cp:lastModifiedBy>大海 </cp:lastModifiedBy>
  <cp:lastPrinted>2023-12-05T00:46:00Z</cp:lastPrinted>
  <dcterms:modified xsi:type="dcterms:W3CDTF">2024-07-11T07:24:53Z</dcterms:modified>
  <dc:title>台州市建设工程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984AC087EF17407EB9EB20D285E04378_13</vt:lpwstr>
  </property>
</Properties>
</file>