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6359A">
      <w:pPr>
        <w:shd w:val="clear" w:color="auto" w:fill="FFFFFF"/>
        <w:jc w:val="center"/>
        <w:textAlignment w:val="bottom"/>
        <w:rPr>
          <w:rFonts w:ascii="宋体"/>
          <w:b/>
          <w:color w:val="000000" w:themeColor="text1"/>
          <w:kern w:val="0"/>
          <w:sz w:val="52"/>
          <w:szCs w:val="52"/>
          <w:highlight w:val="none"/>
          <w14:textFill>
            <w14:solidFill>
              <w14:schemeClr w14:val="tx1"/>
            </w14:solidFill>
          </w14:textFill>
        </w:rPr>
      </w:pPr>
      <w:bookmarkStart w:id="0" w:name="_Toc32435_WPSOffice_Type1"/>
    </w:p>
    <w:p w14:paraId="5A1A5B24">
      <w:pPr>
        <w:shd w:val="clear" w:color="auto" w:fill="FFFFFF"/>
        <w:spacing w:line="360" w:lineRule="auto"/>
        <w:jc w:val="center"/>
        <w:textAlignment w:val="bottom"/>
        <w:rPr>
          <w:rFonts w:hint="eastAsia" w:ascii="宋体" w:hAnsi="宋体" w:cs="宋体"/>
          <w:b/>
          <w:bCs/>
          <w:color w:val="000000" w:themeColor="text1"/>
          <w:sz w:val="36"/>
          <w:szCs w:val="36"/>
          <w:highlight w:val="none"/>
          <w:lang w:eastAsia="zh-CN"/>
          <w14:textFill>
            <w14:solidFill>
              <w14:schemeClr w14:val="tx1"/>
            </w14:solidFill>
          </w14:textFill>
        </w:rPr>
      </w:pPr>
    </w:p>
    <w:p w14:paraId="26FD8488">
      <w:pPr>
        <w:shd w:val="clear" w:color="auto" w:fill="FFFFFF"/>
        <w:spacing w:line="360" w:lineRule="auto"/>
        <w:jc w:val="center"/>
        <w:textAlignment w:val="bottom"/>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 xml:space="preserve"> </w:t>
      </w:r>
      <w:r>
        <w:rPr>
          <w:rFonts w:hint="eastAsia" w:ascii="宋体" w:hAnsi="宋体" w:cs="宋体"/>
          <w:b/>
          <w:bCs/>
          <w:color w:val="000000" w:themeColor="text1"/>
          <w:sz w:val="32"/>
          <w:szCs w:val="32"/>
          <w:highlight w:val="none"/>
          <w:lang w:eastAsia="zh-CN"/>
          <w14:textFill>
            <w14:solidFill>
              <w14:schemeClr w14:val="tx1"/>
            </w14:solidFill>
          </w14:textFill>
        </w:rPr>
        <w:t>工业服务中心二期（开元曼居—台州湾新区店）酒店电器采购</w:t>
      </w:r>
    </w:p>
    <w:p w14:paraId="287A7171">
      <w:pPr>
        <w:shd w:val="clear" w:color="auto" w:fill="FFFFFF"/>
        <w:spacing w:line="500" w:lineRule="exact"/>
        <w:jc w:val="center"/>
        <w:textAlignment w:val="bottom"/>
        <w:rPr>
          <w:rFonts w:ascii="宋体"/>
          <w:b/>
          <w:color w:val="000000" w:themeColor="text1"/>
          <w:kern w:val="0"/>
          <w:sz w:val="52"/>
          <w:szCs w:val="52"/>
          <w:highlight w:val="none"/>
          <w14:textFill>
            <w14:solidFill>
              <w14:schemeClr w14:val="tx1"/>
            </w14:solidFill>
          </w14:textFill>
        </w:rPr>
      </w:pPr>
    </w:p>
    <w:p w14:paraId="2987AD3A">
      <w:pPr>
        <w:shd w:val="clear" w:color="auto" w:fill="FFFFFF"/>
        <w:spacing w:line="1000" w:lineRule="exact"/>
        <w:jc w:val="center"/>
        <w:textAlignment w:val="bottom"/>
        <w:rPr>
          <w:rFonts w:ascii="宋体" w:hAnsi="宋体" w:cs="宋体"/>
          <w:b/>
          <w:color w:val="000000" w:themeColor="text1"/>
          <w:sz w:val="72"/>
          <w:szCs w:val="72"/>
          <w:highlight w:val="none"/>
          <w14:textFill>
            <w14:solidFill>
              <w14:schemeClr w14:val="tx1"/>
            </w14:solidFill>
          </w14:textFill>
        </w:rPr>
      </w:pPr>
      <w:r>
        <w:rPr>
          <w:rFonts w:hint="eastAsia" w:ascii="宋体"/>
          <w:b/>
          <w:color w:val="000000" w:themeColor="text1"/>
          <w:kern w:val="0"/>
          <w:sz w:val="72"/>
          <w:szCs w:val="72"/>
          <w:highlight w:val="none"/>
          <w14:textFill>
            <w14:solidFill>
              <w14:schemeClr w14:val="tx1"/>
            </w14:solidFill>
          </w14:textFill>
        </w:rPr>
        <w:t>采 购 文 件</w:t>
      </w:r>
    </w:p>
    <w:p w14:paraId="45A7BC7A">
      <w:pPr>
        <w:pStyle w:val="153"/>
        <w:ind w:firstLine="2880" w:firstLineChars="900"/>
        <w:rPr>
          <w:rFonts w:hAnsi="宋体" w:cs="宋体"/>
          <w:bCs/>
          <w:color w:val="000000" w:themeColor="text1"/>
          <w:sz w:val="32"/>
          <w:szCs w:val="32"/>
          <w:highlight w:val="none"/>
          <w14:textFill>
            <w14:solidFill>
              <w14:schemeClr w14:val="tx1"/>
            </w14:solidFill>
          </w14:textFill>
        </w:rPr>
      </w:pPr>
    </w:p>
    <w:p w14:paraId="6B8618DF">
      <w:pPr>
        <w:pStyle w:val="153"/>
        <w:ind w:firstLine="2880" w:firstLineChars="900"/>
        <w:rPr>
          <w:rFonts w:hint="eastAsia" w:ascii="楷体_GB2312" w:hAnsi="宋体" w:eastAsia="宋体" w:cs="楷体_GB2312"/>
          <w:b/>
          <w:bCs/>
          <w:color w:val="000000" w:themeColor="text1"/>
          <w:sz w:val="32"/>
          <w:szCs w:val="32"/>
          <w:highlight w:val="none"/>
          <w:lang w:eastAsia="zh-CN"/>
          <w14:textFill>
            <w14:solidFill>
              <w14:schemeClr w14:val="tx1"/>
            </w14:solidFill>
          </w14:textFill>
        </w:rPr>
      </w:pPr>
      <w:r>
        <w:rPr>
          <w:rFonts w:hAnsi="宋体" w:cs="宋体"/>
          <w:bCs/>
          <w:color w:val="000000" w:themeColor="text1"/>
          <w:sz w:val="32"/>
          <w:szCs w:val="32"/>
          <w:highlight w:val="none"/>
          <w14:textFill>
            <w14:solidFill>
              <w14:schemeClr w14:val="tx1"/>
            </w14:solidFill>
          </w14:textFill>
        </w:rPr>
        <w:t>项目编号：</w:t>
      </w:r>
      <w:r>
        <w:rPr>
          <w:rFonts w:hint="eastAsia" w:hAnsi="宋体" w:cs="宋体"/>
          <w:bCs/>
          <w:color w:val="000000" w:themeColor="text1"/>
          <w:sz w:val="32"/>
          <w:szCs w:val="32"/>
          <w:highlight w:val="none"/>
          <w:lang w:eastAsia="zh-CN"/>
          <w14:textFill>
            <w14:solidFill>
              <w14:schemeClr w14:val="tx1"/>
            </w14:solidFill>
          </w14:textFill>
        </w:rPr>
        <w:t>QBJ2024150</w:t>
      </w:r>
      <w:r>
        <w:rPr>
          <w:rFonts w:hAnsi="宋体" w:cs="宋体"/>
          <w:bCs/>
          <w:color w:val="000000" w:themeColor="text1"/>
          <w:sz w:val="32"/>
          <w:szCs w:val="32"/>
          <w:highlight w:val="none"/>
          <w14:textFill>
            <w14:solidFill>
              <w14:schemeClr w14:val="tx1"/>
            </w14:solidFill>
          </w14:textFill>
        </w:rPr>
        <w:t xml:space="preserve"> </w:t>
      </w:r>
      <w:r>
        <w:rPr>
          <w:rFonts w:hint="eastAsia" w:hAnsi="宋体" w:cs="宋体"/>
          <w:bCs/>
          <w:color w:val="000000" w:themeColor="text1"/>
          <w:sz w:val="32"/>
          <w:szCs w:val="32"/>
          <w:highlight w:val="none"/>
          <w:lang w:val="en-US" w:eastAsia="zh-CN"/>
          <w14:textFill>
            <w14:solidFill>
              <w14:schemeClr w14:val="tx1"/>
            </w14:solidFill>
          </w14:textFill>
        </w:rPr>
        <w:t xml:space="preserve"> </w:t>
      </w:r>
    </w:p>
    <w:p w14:paraId="6DFF31D1">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6CFB3BA5">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19261FA4">
      <w:pPr>
        <w:pStyle w:val="14"/>
        <w:rPr>
          <w:color w:val="000000" w:themeColor="text1"/>
          <w:highlight w:val="none"/>
          <w14:textFill>
            <w14:solidFill>
              <w14:schemeClr w14:val="tx1"/>
            </w14:solidFill>
          </w14:textFill>
        </w:rPr>
      </w:pPr>
    </w:p>
    <w:p w14:paraId="42426D94">
      <w:pPr>
        <w:pStyle w:val="15"/>
        <w:ind w:firstLine="210"/>
        <w:rPr>
          <w:color w:val="000000" w:themeColor="text1"/>
          <w:highlight w:val="none"/>
          <w14:textFill>
            <w14:solidFill>
              <w14:schemeClr w14:val="tx1"/>
            </w14:solidFill>
          </w14:textFill>
        </w:rPr>
      </w:pPr>
    </w:p>
    <w:p w14:paraId="0FE386E7">
      <w:pPr>
        <w:rPr>
          <w:color w:val="000000" w:themeColor="text1"/>
          <w:highlight w:val="none"/>
          <w14:textFill>
            <w14:solidFill>
              <w14:schemeClr w14:val="tx1"/>
            </w14:solidFill>
          </w14:textFill>
        </w:rPr>
      </w:pPr>
    </w:p>
    <w:p w14:paraId="136B785B">
      <w:pPr>
        <w:pStyle w:val="14"/>
        <w:rPr>
          <w:color w:val="000000" w:themeColor="text1"/>
          <w:highlight w:val="none"/>
          <w14:textFill>
            <w14:solidFill>
              <w14:schemeClr w14:val="tx1"/>
            </w14:solidFill>
          </w14:textFill>
        </w:rPr>
      </w:pPr>
    </w:p>
    <w:p w14:paraId="20B6A854">
      <w:pPr>
        <w:pStyle w:val="15"/>
        <w:ind w:firstLine="210"/>
        <w:rPr>
          <w:color w:val="000000" w:themeColor="text1"/>
          <w:highlight w:val="none"/>
          <w14:textFill>
            <w14:solidFill>
              <w14:schemeClr w14:val="tx1"/>
            </w14:solidFill>
          </w14:textFill>
        </w:rPr>
      </w:pPr>
    </w:p>
    <w:p w14:paraId="65306988">
      <w:pPr>
        <w:rPr>
          <w:rFonts w:ascii="楷体_GB2312" w:hAnsi="宋体" w:eastAsia="楷体_GB2312" w:cs="楷体_GB2312"/>
          <w:b/>
          <w:bCs/>
          <w:color w:val="000000" w:themeColor="text1"/>
          <w:sz w:val="30"/>
          <w:szCs w:val="30"/>
          <w:highlight w:val="none"/>
          <w14:textFill>
            <w14:solidFill>
              <w14:schemeClr w14:val="tx1"/>
            </w14:solidFill>
          </w14:textFill>
        </w:rPr>
      </w:pPr>
    </w:p>
    <w:p w14:paraId="11D3B374">
      <w:pPr>
        <w:pStyle w:val="21"/>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采购单位：</w:t>
      </w:r>
      <w:r>
        <w:rPr>
          <w:rFonts w:hAnsi="宋体"/>
          <w:b w:val="0"/>
          <w:color w:val="000000" w:themeColor="text1"/>
          <w:sz w:val="28"/>
          <w:highlight w:val="none"/>
          <w:u w:val="single"/>
          <w14:textFill>
            <w14:solidFill>
              <w14:schemeClr w14:val="tx1"/>
            </w14:solidFill>
          </w14:textFill>
        </w:rPr>
        <w:t>台州循环经济发展有限公司</w:t>
      </w:r>
      <w:r>
        <w:rPr>
          <w:rFonts w:hAnsi="宋体"/>
          <w:b w:val="0"/>
          <w:color w:val="000000" w:themeColor="text1"/>
          <w:sz w:val="28"/>
          <w:highlight w:val="none"/>
          <w14:textFill>
            <w14:solidFill>
              <w14:schemeClr w14:val="tx1"/>
            </w14:solidFill>
          </w14:textFill>
        </w:rPr>
        <w:t>（盖章）</w:t>
      </w:r>
    </w:p>
    <w:p w14:paraId="5A81EBB2">
      <w:pPr>
        <w:pStyle w:val="21"/>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联系人：</w:t>
      </w:r>
      <w:r>
        <w:rPr>
          <w:rFonts w:hAnsi="宋体"/>
          <w:b w:val="0"/>
          <w:color w:val="000000" w:themeColor="text1"/>
          <w:sz w:val="28"/>
          <w:highlight w:val="none"/>
          <w:u w:val="single"/>
          <w14:textFill>
            <w14:solidFill>
              <w14:schemeClr w14:val="tx1"/>
            </w14:solidFill>
          </w14:textFill>
        </w:rPr>
        <w:t xml:space="preserve"> 罗先生、章女士</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联系电话：</w:t>
      </w:r>
      <w:r>
        <w:rPr>
          <w:b w:val="0"/>
          <w:color w:val="000000" w:themeColor="text1"/>
          <w:sz w:val="28"/>
          <w:highlight w:val="none"/>
          <w:u w:val="single"/>
          <w14:textFill>
            <w14:solidFill>
              <w14:schemeClr w14:val="tx1"/>
            </w14:solidFill>
          </w14:textFill>
        </w:rPr>
        <w:t xml:space="preserve"> </w:t>
      </w:r>
      <w:r>
        <w:rPr>
          <w:rFonts w:hint="eastAsia"/>
          <w:b w:val="0"/>
          <w:color w:val="000000" w:themeColor="text1"/>
          <w:sz w:val="28"/>
          <w:highlight w:val="none"/>
          <w:u w:val="single"/>
          <w:lang w:val="en-US" w:eastAsia="zh-CN"/>
          <w14:textFill>
            <w14:solidFill>
              <w14:schemeClr w14:val="tx1"/>
            </w14:solidFill>
          </w14:textFill>
        </w:rPr>
        <w:t>0576-88902255</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w:t>
      </w:r>
    </w:p>
    <w:p w14:paraId="65D9A398">
      <w:pPr>
        <w:pStyle w:val="21"/>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代理机构：</w:t>
      </w:r>
      <w:r>
        <w:rPr>
          <w:rFonts w:hint="eastAsia" w:hAnsi="宋体"/>
          <w:b w:val="0"/>
          <w:color w:val="000000" w:themeColor="text1"/>
          <w:sz w:val="28"/>
          <w:highlight w:val="none"/>
          <w:u w:val="single"/>
          <w:lang w:eastAsia="zh-CN"/>
          <w14:textFill>
            <w14:solidFill>
              <w14:schemeClr w14:val="tx1"/>
            </w14:solidFill>
          </w14:textFill>
        </w:rPr>
        <w:t>台州市建设咨询有限公司</w:t>
      </w:r>
      <w:r>
        <w:rPr>
          <w:rFonts w:hAnsi="宋体"/>
          <w:b w:val="0"/>
          <w:color w:val="000000" w:themeColor="text1"/>
          <w:sz w:val="28"/>
          <w:highlight w:val="none"/>
          <w14:textFill>
            <w14:solidFill>
              <w14:schemeClr w14:val="tx1"/>
            </w14:solidFill>
          </w14:textFill>
        </w:rPr>
        <w:t>（盖章）</w:t>
      </w:r>
    </w:p>
    <w:p w14:paraId="00136D57">
      <w:pPr>
        <w:spacing w:line="480" w:lineRule="auto"/>
        <w:ind w:firstLine="1120" w:firstLineChars="400"/>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代理项目负责人：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洪璇</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联系电话：</w:t>
      </w:r>
      <w:r>
        <w:rPr>
          <w:rFonts w:hint="eastAsia" w:ascii="宋体" w:hAnsi="宋体"/>
          <w:color w:val="000000" w:themeColor="text1"/>
          <w:highlight w:val="none"/>
          <w:u w:val="single"/>
          <w:lang w:eastAsia="zh-CN"/>
          <w14:textFill>
            <w14:solidFill>
              <w14:schemeClr w14:val="tx1"/>
            </w14:solidFill>
          </w14:textFill>
        </w:rPr>
        <w:t>0576-88517791</w:t>
      </w:r>
    </w:p>
    <w:p w14:paraId="4AF37826">
      <w:pPr>
        <w:adjustRightInd w:val="0"/>
        <w:snapToGrid w:val="0"/>
        <w:spacing w:line="480" w:lineRule="auto"/>
        <w:ind w:left="2890" w:leftChars="532" w:hanging="1400" w:hangingChars="500"/>
        <w:rPr>
          <w:rFonts w:ascii="宋体" w:hAnsi="宋体" w:cs="宋体"/>
          <w:color w:val="000000" w:themeColor="text1"/>
          <w:kern w:val="0"/>
          <w:szCs w:val="28"/>
          <w:highlight w:val="none"/>
          <w:lang w:bidi="ar"/>
          <w14:textFill>
            <w14:solidFill>
              <w14:schemeClr w14:val="tx1"/>
            </w14:solidFill>
          </w14:textFill>
        </w:rPr>
      </w:pPr>
    </w:p>
    <w:p w14:paraId="3EEBE691">
      <w:pPr>
        <w:pStyle w:val="14"/>
        <w:rPr>
          <w:color w:val="000000" w:themeColor="text1"/>
          <w:highlight w:val="none"/>
          <w14:textFill>
            <w14:solidFill>
              <w14:schemeClr w14:val="tx1"/>
            </w14:solidFill>
          </w14:textFill>
        </w:rPr>
      </w:pPr>
    </w:p>
    <w:p w14:paraId="01B72CC9">
      <w:pPr>
        <w:adjustRightInd w:val="0"/>
        <w:snapToGrid w:val="0"/>
        <w:spacing w:line="480" w:lineRule="auto"/>
        <w:jc w:val="left"/>
        <w:rPr>
          <w:rFonts w:ascii="宋体" w:hAnsi="宋体" w:cs="宋体"/>
          <w:color w:val="000000" w:themeColor="text1"/>
          <w:kern w:val="0"/>
          <w:szCs w:val="28"/>
          <w:highlight w:val="none"/>
          <w14:textFill>
            <w14:solidFill>
              <w14:schemeClr w14:val="tx1"/>
            </w14:solidFill>
          </w14:textFill>
        </w:rPr>
      </w:pPr>
      <w:r>
        <w:rPr>
          <w:rFonts w:hint="eastAsia" w:ascii="宋体" w:hAnsi="宋体" w:cs="宋体"/>
          <w:color w:val="000000" w:themeColor="text1"/>
          <w:kern w:val="0"/>
          <w:szCs w:val="28"/>
          <w:highlight w:val="none"/>
          <w:lang w:bidi="ar"/>
          <w14:textFill>
            <w14:solidFill>
              <w14:schemeClr w14:val="tx1"/>
            </w14:solidFill>
          </w14:textFill>
        </w:rPr>
        <w:t xml:space="preserve"> </w:t>
      </w:r>
    </w:p>
    <w:p w14:paraId="409935F0">
      <w:pPr>
        <w:spacing w:line="360" w:lineRule="auto"/>
        <w:ind w:left="-280" w:leftChars="-100" w:right="-57"/>
        <w:jc w:val="center"/>
        <w:rPr>
          <w:rFonts w:hint="eastAsia" w:ascii="等线" w:hAnsi="等线" w:cs="宋体"/>
          <w:color w:val="000000" w:themeColor="text1"/>
          <w:sz w:val="30"/>
          <w:szCs w:val="30"/>
          <w:highlight w:val="none"/>
          <w:lang w:bidi="ar"/>
          <w14:textFill>
            <w14:solidFill>
              <w14:schemeClr w14:val="tx1"/>
            </w14:solidFill>
          </w14:textFill>
        </w:rPr>
      </w:pPr>
      <w:r>
        <w:rPr>
          <w:rFonts w:hint="eastAsia" w:ascii="等线" w:hAnsi="等线" w:cs="宋体"/>
          <w:color w:val="000000" w:themeColor="text1"/>
          <w:sz w:val="30"/>
          <w:szCs w:val="30"/>
          <w:highlight w:val="none"/>
          <w:lang w:bidi="ar"/>
          <w14:textFill>
            <w14:solidFill>
              <w14:schemeClr w14:val="tx1"/>
            </w14:solidFill>
          </w14:textFill>
        </w:rPr>
        <w:t>二〇二</w:t>
      </w:r>
      <w:r>
        <w:rPr>
          <w:rFonts w:hint="eastAsia" w:ascii="等线" w:hAnsi="等线" w:cs="宋体"/>
          <w:color w:val="000000" w:themeColor="text1"/>
          <w:sz w:val="30"/>
          <w:szCs w:val="30"/>
          <w:highlight w:val="none"/>
          <w:lang w:val="en-US" w:eastAsia="zh-CN" w:bidi="ar"/>
          <w14:textFill>
            <w14:solidFill>
              <w14:schemeClr w14:val="tx1"/>
            </w14:solidFill>
          </w14:textFill>
        </w:rPr>
        <w:t>四</w:t>
      </w:r>
      <w:r>
        <w:rPr>
          <w:rFonts w:hint="eastAsia" w:ascii="等线" w:hAnsi="等线" w:cs="宋体"/>
          <w:color w:val="000000" w:themeColor="text1"/>
          <w:sz w:val="30"/>
          <w:szCs w:val="30"/>
          <w:highlight w:val="none"/>
          <w:lang w:bidi="ar"/>
          <w14:textFill>
            <w14:solidFill>
              <w14:schemeClr w14:val="tx1"/>
            </w14:solidFill>
          </w14:textFill>
        </w:rPr>
        <w:t>年</w:t>
      </w:r>
      <w:r>
        <w:rPr>
          <w:rFonts w:hint="eastAsia" w:ascii="等线" w:hAnsi="等线" w:cs="宋体"/>
          <w:color w:val="000000" w:themeColor="text1"/>
          <w:sz w:val="30"/>
          <w:szCs w:val="30"/>
          <w:highlight w:val="none"/>
          <w:lang w:val="en-US" w:eastAsia="zh-CN" w:bidi="ar"/>
          <w14:textFill>
            <w14:solidFill>
              <w14:schemeClr w14:val="tx1"/>
            </w14:solidFill>
          </w14:textFill>
        </w:rPr>
        <w:t>八</w:t>
      </w:r>
      <w:r>
        <w:rPr>
          <w:rFonts w:hint="eastAsia" w:ascii="等线" w:hAnsi="等线" w:cs="宋体"/>
          <w:color w:val="000000" w:themeColor="text1"/>
          <w:sz w:val="30"/>
          <w:szCs w:val="30"/>
          <w:highlight w:val="none"/>
          <w:lang w:bidi="ar"/>
          <w14:textFill>
            <w14:solidFill>
              <w14:schemeClr w14:val="tx1"/>
            </w14:solidFill>
          </w14:textFill>
        </w:rPr>
        <w:t>月</w:t>
      </w:r>
      <w:bookmarkStart w:id="19" w:name="_GoBack"/>
      <w:bookmarkEnd w:id="19"/>
    </w:p>
    <w:p w14:paraId="15B6F4BE">
      <w:pPr>
        <w:pStyle w:val="14"/>
        <w:rPr>
          <w:rFonts w:hint="eastAsia" w:ascii="等线" w:hAnsi="等线" w:cs="宋体"/>
          <w:color w:val="000000" w:themeColor="text1"/>
          <w:sz w:val="30"/>
          <w:szCs w:val="30"/>
          <w:highlight w:val="none"/>
          <w:lang w:bidi="ar"/>
          <w14:textFill>
            <w14:solidFill>
              <w14:schemeClr w14:val="tx1"/>
            </w14:solidFill>
          </w14:textFill>
        </w:rPr>
      </w:pPr>
    </w:p>
    <w:p w14:paraId="346C8A18">
      <w:pPr>
        <w:pStyle w:val="15"/>
        <w:rPr>
          <w:rFonts w:hint="eastAsia" w:ascii="等线" w:hAnsi="等线" w:cs="宋体"/>
          <w:color w:val="000000" w:themeColor="text1"/>
          <w:sz w:val="30"/>
          <w:szCs w:val="30"/>
          <w:highlight w:val="none"/>
          <w:lang w:bidi="ar"/>
          <w14:textFill>
            <w14:solidFill>
              <w14:schemeClr w14:val="tx1"/>
            </w14:solidFill>
          </w14:textFill>
        </w:rPr>
      </w:pPr>
    </w:p>
    <w:p w14:paraId="558CB67C">
      <w:pPr>
        <w:rPr>
          <w:color w:val="000000" w:themeColor="text1"/>
          <w:highlight w:val="none"/>
          <w14:textFill>
            <w14:solidFill>
              <w14:schemeClr w14:val="tx1"/>
            </w14:solidFill>
          </w14:textFill>
        </w:rPr>
      </w:pPr>
    </w:p>
    <w:p w14:paraId="20A21431">
      <w:pPr>
        <w:rPr>
          <w:rFonts w:ascii="宋体" w:hAnsi="宋体" w:cs="宋体"/>
          <w:color w:val="000000" w:themeColor="text1"/>
          <w:sz w:val="48"/>
          <w:szCs w:val="56"/>
          <w:highlight w:val="none"/>
          <w14:textFill>
            <w14:solidFill>
              <w14:schemeClr w14:val="tx1"/>
            </w14:solidFill>
          </w14:textFill>
        </w:rPr>
      </w:pPr>
    </w:p>
    <w:p w14:paraId="2F1C2012">
      <w:pPr>
        <w:pStyle w:val="191"/>
        <w:rPr>
          <w:highlight w:val="none"/>
        </w:rPr>
      </w:pPr>
    </w:p>
    <w:p w14:paraId="605952C2">
      <w:pPr>
        <w:jc w:val="center"/>
        <w:rPr>
          <w:rFonts w:hint="eastAsia" w:ascii="宋体" w:hAnsi="宋体" w:cs="宋体"/>
          <w:b/>
          <w:bCs/>
          <w:color w:val="000000" w:themeColor="text1"/>
          <w:sz w:val="40"/>
          <w:szCs w:val="40"/>
          <w:highlight w:val="none"/>
          <w14:textFill>
            <w14:solidFill>
              <w14:schemeClr w14:val="tx1"/>
            </w14:solidFill>
          </w14:textFill>
        </w:rPr>
      </w:pPr>
    </w:p>
    <w:p w14:paraId="4537A696">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40"/>
          <w:szCs w:val="40"/>
          <w:highlight w:val="none"/>
          <w14:textFill>
            <w14:solidFill>
              <w14:schemeClr w14:val="tx1"/>
            </w14:solidFill>
          </w14:textFill>
        </w:rPr>
        <w:t xml:space="preserve">目 </w:t>
      </w:r>
      <w:r>
        <w:rPr>
          <w:rFonts w:hint="eastAsia" w:ascii="宋体" w:hAnsi="宋体" w:cs="宋体"/>
          <w:b/>
          <w:bCs/>
          <w:color w:val="000000" w:themeColor="text1"/>
          <w:sz w:val="40"/>
          <w:szCs w:val="40"/>
          <w:highlight w:val="none"/>
          <w:lang w:val="en-US" w:eastAsia="zh-CN"/>
          <w14:textFill>
            <w14:solidFill>
              <w14:schemeClr w14:val="tx1"/>
            </w14:solidFill>
          </w14:textFill>
        </w:rPr>
        <w:t xml:space="preserve">    </w:t>
      </w:r>
      <w:r>
        <w:rPr>
          <w:rFonts w:hint="eastAsia" w:ascii="宋体" w:hAnsi="宋体" w:cs="宋体"/>
          <w:b/>
          <w:bCs/>
          <w:color w:val="000000" w:themeColor="text1"/>
          <w:sz w:val="40"/>
          <w:szCs w:val="40"/>
          <w:highlight w:val="none"/>
          <w14:textFill>
            <w14:solidFill>
              <w14:schemeClr w14:val="tx1"/>
            </w14:solidFill>
          </w14:textFill>
        </w:rPr>
        <w:t>录</w:t>
      </w:r>
    </w:p>
    <w:p w14:paraId="048C0941">
      <w:pPr>
        <w:spacing w:line="360" w:lineRule="auto"/>
        <w:rPr>
          <w:rFonts w:ascii="宋体" w:hAnsi="宋体" w:cs="宋体"/>
          <w:color w:val="000000" w:themeColor="text1"/>
          <w:szCs w:val="28"/>
          <w:highlight w:val="none"/>
          <w14:textFill>
            <w14:solidFill>
              <w14:schemeClr w14:val="tx1"/>
            </w14:solidFill>
          </w14:textFill>
        </w:rPr>
      </w:pPr>
    </w:p>
    <w:p w14:paraId="0768EE9B">
      <w:pPr>
        <w:spacing w:line="360" w:lineRule="auto"/>
        <w:rPr>
          <w:rFonts w:ascii="宋体" w:hAnsi="宋体" w:cs="宋体"/>
          <w:color w:val="000000" w:themeColor="text1"/>
          <w:szCs w:val="28"/>
          <w:highlight w:val="none"/>
          <w14:textFill>
            <w14:solidFill>
              <w14:schemeClr w14:val="tx1"/>
            </w14:solidFill>
          </w14:textFill>
        </w:rPr>
      </w:pPr>
    </w:p>
    <w:p w14:paraId="55DBF466">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"第一章"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第一章 公开招标采购公告</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14:textFill>
            <w14:solidFill>
              <w14:schemeClr w14:val="tx1"/>
            </w14:solidFill>
          </w14:textFill>
        </w:rPr>
        <w:t>3</w:t>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p>
    <w:p w14:paraId="50A8384E">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"第二章"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第二章 招标需求</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7</w:t>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p>
    <w:p w14:paraId="0A3D61AB">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"第三章"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第三章 投标人须知</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34</w:t>
      </w:r>
    </w:p>
    <w:p w14:paraId="2E30A1E5">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"第四章"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第四章 评标办法及评分标准</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4</w:t>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7</w:t>
      </w:r>
    </w:p>
    <w:p w14:paraId="5E2CF8FE">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"第五章"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第五章 合同格式（仅参考）</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5</w:t>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0</w:t>
      </w:r>
    </w:p>
    <w:p w14:paraId="3012F21F">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"第六章"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第六章 投标文件格式</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r>
        <w:rPr>
          <w:rStyle w:val="42"/>
          <w:rFonts w:hint="eastAsia" w:ascii="宋体" w:hAnsi="宋体" w:cs="宋体"/>
          <w:color w:val="000000" w:themeColor="text1"/>
          <w:sz w:val="28"/>
          <w:szCs w:val="28"/>
          <w:highlight w:val="none"/>
          <w:u w:val="none"/>
          <w14:textFill>
            <w14:solidFill>
              <w14:schemeClr w14:val="tx1"/>
            </w14:solidFill>
          </w14:textFill>
        </w:rPr>
        <w:t>5</w:t>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5</w:t>
      </w:r>
    </w:p>
    <w:bookmarkEnd w:id="0"/>
    <w:p w14:paraId="39027C7B">
      <w:pPr>
        <w:pStyle w:val="21"/>
        <w:snapToGrid w:val="0"/>
        <w:spacing w:before="120" w:beforeLines="0" w:after="120" w:afterLines="0" w:line="240" w:lineRule="auto"/>
        <w:outlineLvl w:val="0"/>
        <w:rPr>
          <w:rFonts w:hint="default" w:hAnsi="宋体" w:cs="宋体"/>
          <w:color w:val="000000" w:themeColor="text1"/>
          <w:sz w:val="28"/>
          <w:szCs w:val="28"/>
          <w:highlight w:val="none"/>
          <w14:textFill>
            <w14:solidFill>
              <w14:schemeClr w14:val="tx1"/>
            </w14:solidFill>
          </w14:textFill>
        </w:rPr>
      </w:pPr>
      <w:bookmarkStart w:id="1" w:name="_Toc10354_WPSOffice_Level1"/>
    </w:p>
    <w:p w14:paraId="3E2428BD">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6A79FE09">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1BC033A0">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49F2594A">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1E928671">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6D86B317">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254A896C">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6A50B03D">
      <w:pPr>
        <w:pStyle w:val="22"/>
        <w:ind w:left="7000"/>
        <w:rPr>
          <w:color w:val="000000" w:themeColor="text1"/>
          <w:highlight w:val="none"/>
          <w14:textFill>
            <w14:solidFill>
              <w14:schemeClr w14:val="tx1"/>
            </w14:solidFill>
          </w14:textFill>
        </w:rPr>
      </w:pPr>
    </w:p>
    <w:p w14:paraId="2E20A7E6">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4A3F0A6">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BA4CEBD">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237A1CB2">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260B9BA0">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2AAB6CF0">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47AFFC7">
      <w:pPr>
        <w:pStyle w:val="21"/>
        <w:snapToGrid w:val="0"/>
        <w:spacing w:before="120" w:beforeLines="0" w:after="120" w:afterLines="0" w:line="240" w:lineRule="auto"/>
        <w:jc w:val="center"/>
        <w:outlineLvl w:val="0"/>
        <w:rPr>
          <w:rFonts w:hAnsi="宋体" w:cs="宋体"/>
          <w:color w:val="000000" w:themeColor="text1"/>
          <w:sz w:val="32"/>
          <w:szCs w:val="32"/>
          <w:highlight w:val="none"/>
          <w14:textFill>
            <w14:solidFill>
              <w14:schemeClr w14:val="tx1"/>
            </w14:solidFill>
          </w14:textFill>
        </w:rPr>
        <w:sectPr>
          <w:headerReference r:id="rId3" w:type="default"/>
          <w:footerReference r:id="rId4" w:type="default"/>
          <w:type w:val="oddPage"/>
          <w:pgSz w:w="11906" w:h="16838"/>
          <w:pgMar w:top="1134" w:right="1587" w:bottom="1134" w:left="1587" w:header="851" w:footer="850" w:gutter="0"/>
          <w:pgBorders>
            <w:top w:val="none" w:sz="0" w:space="0"/>
            <w:left w:val="none" w:sz="0" w:space="0"/>
            <w:bottom w:val="none" w:sz="0" w:space="0"/>
            <w:right w:val="none" w:sz="0" w:space="0"/>
          </w:pgBorders>
          <w:pgNumType w:start="1"/>
          <w:cols w:space="0" w:num="1"/>
          <w:rtlGutter w:val="0"/>
          <w:docGrid w:linePitch="312" w:charSpace="0"/>
        </w:sectPr>
      </w:pPr>
      <w:bookmarkStart w:id="2" w:name="第一章"/>
    </w:p>
    <w:p w14:paraId="5618239F">
      <w:pPr>
        <w:pStyle w:val="21"/>
        <w:snapToGrid w:val="0"/>
        <w:spacing w:before="120" w:beforeLines="0" w:after="120" w:afterLines="0" w:line="240" w:lineRule="auto"/>
        <w:jc w:val="center"/>
        <w:outlineLvl w:val="0"/>
        <w:rPr>
          <w:rFonts w:hAnsi="宋体" w:cs="宋体"/>
          <w:color w:val="000000" w:themeColor="text1"/>
          <w:sz w:val="20"/>
          <w:szCs w:val="20"/>
          <w:highlight w:val="none"/>
          <w14:textFill>
            <w14:solidFill>
              <w14:schemeClr w14:val="tx1"/>
            </w14:solidFill>
          </w14:textFill>
        </w:rPr>
      </w:pPr>
    </w:p>
    <w:p w14:paraId="7F50D75F">
      <w:pPr>
        <w:pStyle w:val="21"/>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t xml:space="preserve">第一章 </w:t>
      </w:r>
      <w:r>
        <w:rPr>
          <w:rFonts w:hint="eastAsia" w:hAnsi="宋体" w:cs="宋体"/>
          <w:color w:val="000000" w:themeColor="text1"/>
          <w:sz w:val="32"/>
          <w:szCs w:val="32"/>
          <w:highlight w:val="none"/>
          <w:lang w:val="en-US" w:eastAsia="zh-CN"/>
          <w14:textFill>
            <w14:solidFill>
              <w14:schemeClr w14:val="tx1"/>
            </w14:solidFill>
          </w14:textFill>
        </w:rPr>
        <w:t xml:space="preserve"> </w:t>
      </w:r>
      <w:r>
        <w:rPr>
          <w:rFonts w:hAnsi="宋体" w:cs="宋体"/>
          <w:color w:val="000000" w:themeColor="text1"/>
          <w:sz w:val="32"/>
          <w:szCs w:val="32"/>
          <w:highlight w:val="none"/>
          <w14:textFill>
            <w14:solidFill>
              <w14:schemeClr w14:val="tx1"/>
            </w14:solidFill>
          </w14:textFill>
        </w:rPr>
        <w:t xml:space="preserve"> 公开招标采购公告</w:t>
      </w:r>
      <w:bookmarkEnd w:id="1"/>
      <w:bookmarkEnd w:id="2"/>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p>
    <w:p w14:paraId="317FF69D">
      <w:pPr>
        <w:pStyle w:val="103"/>
        <w:widowControl w:val="0"/>
        <w:spacing w:after="0" w:afterLines="0" w:line="360" w:lineRule="auto"/>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参照相关法律法规规定，受采购人委托，现就</w:t>
      </w:r>
      <w:r>
        <w:rPr>
          <w:rFonts w:hint="eastAsia" w:ascii="宋体" w:hAnsi="宋体" w:cs="宋体"/>
          <w:color w:val="000000" w:themeColor="text1"/>
          <w:szCs w:val="24"/>
          <w:highlight w:val="none"/>
          <w:u w:val="single"/>
          <w:lang w:eastAsia="zh-CN"/>
          <w14:textFill>
            <w14:solidFill>
              <w14:schemeClr w14:val="tx1"/>
            </w14:solidFill>
          </w14:textFill>
        </w:rPr>
        <w:t xml:space="preserve"> 工业服务中心二期（开元曼居—台州湾新区店）酒店电器采购</w:t>
      </w:r>
      <w:r>
        <w:rPr>
          <w:rFonts w:hint="eastAsia" w:ascii="宋体" w:hAnsi="宋体" w:cs="宋体"/>
          <w:color w:val="000000" w:themeColor="text1"/>
          <w:szCs w:val="24"/>
          <w:highlight w:val="none"/>
          <w14:textFill>
            <w14:solidFill>
              <w14:schemeClr w14:val="tx1"/>
            </w14:solidFill>
          </w14:textFill>
        </w:rPr>
        <w:t>进行公开招标采购，欢迎合格供应商前来投标：</w:t>
      </w:r>
    </w:p>
    <w:p w14:paraId="7E21C260">
      <w:pPr>
        <w:pStyle w:val="21"/>
        <w:tabs>
          <w:tab w:val="left" w:pos="1620"/>
        </w:tabs>
        <w:snapToGrid w:val="0"/>
        <w:spacing w:before="0" w:beforeLines="0" w:after="0" w:afterLines="0" w:line="360" w:lineRule="auto"/>
        <w:ind w:firstLine="482" w:firstLineChars="200"/>
        <w:rPr>
          <w:rFonts w:hint="default" w:hAnsi="宋体" w:eastAsia="宋体" w:cs="宋体"/>
          <w:b w:val="0"/>
          <w:color w:val="000000" w:themeColor="text1"/>
          <w:highlight w:val="none"/>
          <w:lang w:val="en-US" w:eastAsia="zh-CN"/>
          <w14:textFill>
            <w14:solidFill>
              <w14:schemeClr w14:val="tx1"/>
            </w14:solidFill>
          </w14:textFill>
        </w:rPr>
      </w:pPr>
      <w:r>
        <w:rPr>
          <w:rFonts w:hAnsi="宋体" w:cs="宋体"/>
          <w:bCs/>
          <w:color w:val="000000" w:themeColor="text1"/>
          <w:highlight w:val="none"/>
          <w14:textFill>
            <w14:solidFill>
              <w14:schemeClr w14:val="tx1"/>
            </w14:solidFill>
          </w14:textFill>
        </w:rPr>
        <w:t>一、项目编号：</w:t>
      </w:r>
      <w:r>
        <w:rPr>
          <w:rFonts w:hint="eastAsia" w:hAnsi="宋体" w:cs="宋体"/>
          <w:bCs/>
          <w:color w:val="000000" w:themeColor="text1"/>
          <w:highlight w:val="none"/>
          <w:lang w:eastAsia="zh-CN"/>
          <w14:textFill>
            <w14:solidFill>
              <w14:schemeClr w14:val="tx1"/>
            </w14:solidFill>
          </w14:textFill>
        </w:rPr>
        <w:t>QBJ2024150</w:t>
      </w:r>
      <w:r>
        <w:rPr>
          <w:rFonts w:hAnsi="宋体" w:cs="宋体"/>
          <w:bCs/>
          <w:color w:val="000000" w:themeColor="text1"/>
          <w:highlight w:val="none"/>
          <w14:textFill>
            <w14:solidFill>
              <w14:schemeClr w14:val="tx1"/>
            </w14:solidFill>
          </w14:textFill>
        </w:rPr>
        <w:t xml:space="preserve"> </w:t>
      </w:r>
      <w:r>
        <w:rPr>
          <w:rFonts w:hint="eastAsia" w:hAnsi="宋体" w:cs="宋体"/>
          <w:bCs/>
          <w:color w:val="000000" w:themeColor="text1"/>
          <w:highlight w:val="none"/>
          <w:lang w:val="en-US" w:eastAsia="zh-CN"/>
          <w14:textFill>
            <w14:solidFill>
              <w14:schemeClr w14:val="tx1"/>
            </w14:solidFill>
          </w14:textFill>
        </w:rPr>
        <w:t xml:space="preserve">  </w:t>
      </w:r>
    </w:p>
    <w:p w14:paraId="79A323A1">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采购组织类型：</w:t>
      </w:r>
      <w:r>
        <w:rPr>
          <w:rFonts w:hint="eastAsia" w:ascii="宋体" w:hAnsi="宋体" w:cs="宋体"/>
          <w:color w:val="000000" w:themeColor="text1"/>
          <w:sz w:val="24"/>
          <w:highlight w:val="none"/>
          <w14:textFill>
            <w14:solidFill>
              <w14:schemeClr w14:val="tx1"/>
            </w14:solidFill>
          </w14:textFill>
        </w:rPr>
        <w:t>分散采购委托代理</w:t>
      </w:r>
    </w:p>
    <w:p w14:paraId="126F0FDA">
      <w:pPr>
        <w:snapToGrid w:val="0"/>
        <w:spacing w:line="360" w:lineRule="auto"/>
        <w:ind w:firstLine="482" w:firstLineChars="200"/>
        <w:rPr>
          <w:rFonts w:hint="default" w:ascii="宋体" w:hAnsi="宋体" w:eastAsia="宋体" w:cs="宋体"/>
          <w:color w:val="000000" w:themeColor="text1"/>
          <w:sz w:val="24"/>
          <w:szCs w:val="20"/>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三、采购方式：</w:t>
      </w:r>
      <w:r>
        <w:rPr>
          <w:rFonts w:hint="eastAsia" w:ascii="宋体" w:hAnsi="宋体" w:cs="宋体"/>
          <w:color w:val="000000" w:themeColor="text1"/>
          <w:sz w:val="24"/>
          <w:highlight w:val="none"/>
          <w14:textFill>
            <w14:solidFill>
              <w14:schemeClr w14:val="tx1"/>
            </w14:solidFill>
          </w14:textFill>
        </w:rPr>
        <w:t>公开招标</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4F091CB4">
      <w:pPr>
        <w:snapToGrid w:val="0"/>
        <w:spacing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采购内容及数量</w:t>
      </w:r>
    </w:p>
    <w:tbl>
      <w:tblPr>
        <w:tblStyle w:val="37"/>
        <w:tblW w:w="5244"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860"/>
        <w:gridCol w:w="515"/>
        <w:gridCol w:w="832"/>
        <w:gridCol w:w="1742"/>
        <w:gridCol w:w="1189"/>
        <w:gridCol w:w="1541"/>
      </w:tblGrid>
      <w:tr w14:paraId="6244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76" w:type="pct"/>
            <w:tcBorders>
              <w:top w:val="single" w:color="auto" w:sz="4" w:space="0"/>
              <w:left w:val="single" w:color="auto" w:sz="4" w:space="0"/>
              <w:bottom w:val="single" w:color="auto" w:sz="4" w:space="0"/>
              <w:right w:val="single" w:color="auto" w:sz="4" w:space="0"/>
            </w:tcBorders>
            <w:vAlign w:val="center"/>
          </w:tcPr>
          <w:p w14:paraId="056FE14E">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1522" w:type="pct"/>
            <w:tcBorders>
              <w:top w:val="single" w:color="auto" w:sz="4" w:space="0"/>
              <w:left w:val="single" w:color="auto" w:sz="4" w:space="0"/>
              <w:bottom w:val="single" w:color="auto" w:sz="4" w:space="0"/>
              <w:right w:val="single" w:color="auto" w:sz="4" w:space="0"/>
            </w:tcBorders>
            <w:vAlign w:val="center"/>
          </w:tcPr>
          <w:p w14:paraId="70693D7C">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274" w:type="pct"/>
            <w:tcBorders>
              <w:top w:val="single" w:color="auto" w:sz="4" w:space="0"/>
              <w:left w:val="single" w:color="auto" w:sz="4" w:space="0"/>
              <w:bottom w:val="single" w:color="auto" w:sz="4" w:space="0"/>
              <w:right w:val="single" w:color="auto" w:sz="4" w:space="0"/>
            </w:tcBorders>
            <w:vAlign w:val="center"/>
          </w:tcPr>
          <w:p w14:paraId="455D8F10">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443" w:type="pct"/>
            <w:tcBorders>
              <w:top w:val="single" w:color="auto" w:sz="4" w:space="0"/>
              <w:left w:val="single" w:color="auto" w:sz="4" w:space="0"/>
              <w:bottom w:val="single" w:color="auto" w:sz="4" w:space="0"/>
              <w:right w:val="single" w:color="auto" w:sz="4" w:space="0"/>
            </w:tcBorders>
            <w:vAlign w:val="center"/>
          </w:tcPr>
          <w:p w14:paraId="43287083">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927" w:type="pct"/>
            <w:tcBorders>
              <w:top w:val="single" w:color="auto" w:sz="4" w:space="0"/>
              <w:left w:val="single" w:color="auto" w:sz="4" w:space="0"/>
              <w:bottom w:val="single" w:color="auto" w:sz="4" w:space="0"/>
              <w:right w:val="single" w:color="auto" w:sz="4" w:space="0"/>
            </w:tcBorders>
            <w:vAlign w:val="center"/>
          </w:tcPr>
          <w:p w14:paraId="451EB190">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633" w:type="pct"/>
            <w:tcBorders>
              <w:top w:val="single" w:color="auto" w:sz="4" w:space="0"/>
              <w:left w:val="single" w:color="auto" w:sz="4" w:space="0"/>
              <w:bottom w:val="single" w:color="auto" w:sz="4" w:space="0"/>
              <w:right w:val="single" w:color="auto" w:sz="4" w:space="0"/>
            </w:tcBorders>
            <w:vAlign w:val="center"/>
          </w:tcPr>
          <w:p w14:paraId="16F876BC">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820" w:type="pct"/>
            <w:tcBorders>
              <w:top w:val="single" w:color="auto" w:sz="4" w:space="0"/>
              <w:left w:val="single" w:color="auto" w:sz="4" w:space="0"/>
              <w:bottom w:val="single" w:color="auto" w:sz="4" w:space="0"/>
              <w:right w:val="single" w:color="auto" w:sz="4" w:space="0"/>
            </w:tcBorders>
            <w:vAlign w:val="center"/>
          </w:tcPr>
          <w:p w14:paraId="710ACE5E">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44A3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76" w:type="pct"/>
            <w:tcBorders>
              <w:top w:val="single" w:color="auto" w:sz="4" w:space="0"/>
              <w:left w:val="single" w:color="auto" w:sz="4" w:space="0"/>
              <w:bottom w:val="single" w:color="auto" w:sz="4" w:space="0"/>
              <w:right w:val="single" w:color="auto" w:sz="4" w:space="0"/>
            </w:tcBorders>
            <w:vAlign w:val="center"/>
          </w:tcPr>
          <w:p w14:paraId="3948CA50">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1522" w:type="pct"/>
            <w:tcBorders>
              <w:top w:val="single" w:color="auto" w:sz="4" w:space="0"/>
              <w:left w:val="single" w:color="auto" w:sz="4" w:space="0"/>
              <w:bottom w:val="single" w:color="auto" w:sz="4" w:space="0"/>
              <w:right w:val="single" w:color="auto" w:sz="4" w:space="0"/>
            </w:tcBorders>
            <w:vAlign w:val="center"/>
          </w:tcPr>
          <w:p w14:paraId="5286D35C">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工业服务中心二期（开元曼居—台州湾新区店）酒店电器采购</w:t>
            </w:r>
          </w:p>
        </w:tc>
        <w:tc>
          <w:tcPr>
            <w:tcW w:w="274" w:type="pct"/>
            <w:tcBorders>
              <w:top w:val="single" w:color="auto" w:sz="4" w:space="0"/>
              <w:left w:val="single" w:color="auto" w:sz="4" w:space="0"/>
              <w:bottom w:val="single" w:color="auto" w:sz="4" w:space="0"/>
              <w:right w:val="single" w:color="auto" w:sz="4" w:space="0"/>
            </w:tcBorders>
            <w:vAlign w:val="center"/>
          </w:tcPr>
          <w:p w14:paraId="0EAE986B">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443" w:type="pct"/>
            <w:tcBorders>
              <w:top w:val="single" w:color="auto" w:sz="4" w:space="0"/>
              <w:left w:val="single" w:color="auto" w:sz="4" w:space="0"/>
              <w:right w:val="single" w:color="auto" w:sz="4" w:space="0"/>
            </w:tcBorders>
            <w:vAlign w:val="center"/>
          </w:tcPr>
          <w:p w14:paraId="3A31D740">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927" w:type="pct"/>
            <w:tcBorders>
              <w:top w:val="single" w:color="auto" w:sz="4" w:space="0"/>
              <w:left w:val="single" w:color="auto" w:sz="4" w:space="0"/>
              <w:right w:val="single" w:color="auto" w:sz="4" w:space="0"/>
            </w:tcBorders>
            <w:vAlign w:val="center"/>
          </w:tcPr>
          <w:p w14:paraId="2F894C72">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685675</w:t>
            </w:r>
            <w:r>
              <w:rPr>
                <w:rFonts w:hint="eastAsia" w:ascii="宋体" w:hAnsi="宋体"/>
                <w:color w:val="000000" w:themeColor="text1"/>
                <w:szCs w:val="24"/>
                <w:highlight w:val="none"/>
                <w14:textFill>
                  <w14:solidFill>
                    <w14:schemeClr w14:val="tx1"/>
                  </w14:solidFill>
                </w14:textFill>
              </w:rPr>
              <w:t>元</w:t>
            </w:r>
          </w:p>
        </w:tc>
        <w:tc>
          <w:tcPr>
            <w:tcW w:w="633" w:type="pct"/>
            <w:tcBorders>
              <w:top w:val="single" w:color="auto" w:sz="4" w:space="0"/>
              <w:left w:val="single" w:color="auto" w:sz="4" w:space="0"/>
              <w:right w:val="single" w:color="auto" w:sz="4" w:space="0"/>
            </w:tcBorders>
            <w:vAlign w:val="center"/>
          </w:tcPr>
          <w:p w14:paraId="76AAE91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详</w:t>
            </w:r>
            <w:r>
              <w:rPr>
                <w:rFonts w:ascii="宋体" w:hAnsi="宋体"/>
                <w:color w:val="000000" w:themeColor="text1"/>
                <w:szCs w:val="24"/>
                <w:highlight w:val="none"/>
                <w14:textFill>
                  <w14:solidFill>
                    <w14:schemeClr w14:val="tx1"/>
                  </w14:solidFill>
                </w14:textFill>
              </w:rPr>
              <w:t>见招标文件第</w:t>
            </w:r>
            <w:r>
              <w:rPr>
                <w:rFonts w:hint="eastAsia" w:ascii="宋体" w:hAnsi="宋体"/>
                <w:color w:val="000000" w:themeColor="text1"/>
                <w:szCs w:val="24"/>
                <w:highlight w:val="none"/>
                <w14:textFill>
                  <w14:solidFill>
                    <w14:schemeClr w14:val="tx1"/>
                  </w14:solidFill>
                </w14:textFill>
              </w:rPr>
              <w:t>二</w:t>
            </w:r>
            <w:r>
              <w:rPr>
                <w:rFonts w:ascii="宋体" w:hAnsi="宋体"/>
                <w:color w:val="000000" w:themeColor="text1"/>
                <w:szCs w:val="24"/>
                <w:highlight w:val="none"/>
                <w14:textFill>
                  <w14:solidFill>
                    <w14:schemeClr w14:val="tx1"/>
                  </w14:solidFill>
                </w14:textFill>
              </w:rPr>
              <w:t>章</w:t>
            </w:r>
          </w:p>
        </w:tc>
        <w:tc>
          <w:tcPr>
            <w:tcW w:w="820" w:type="pct"/>
            <w:tcBorders>
              <w:top w:val="single" w:color="auto" w:sz="4" w:space="0"/>
              <w:left w:val="single" w:color="auto" w:sz="4" w:space="0"/>
              <w:right w:val="single" w:color="auto" w:sz="4" w:space="0"/>
            </w:tcBorders>
            <w:vAlign w:val="center"/>
          </w:tcPr>
          <w:p w14:paraId="3464A278">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收到采购人书面通知的</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15</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天内交货</w:t>
            </w:r>
          </w:p>
        </w:tc>
      </w:tr>
    </w:tbl>
    <w:p w14:paraId="44432371">
      <w:pPr>
        <w:snapToGrid w:val="0"/>
        <w:spacing w:before="120" w:beforeLines="50"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合格投标人的资格要求：</w:t>
      </w:r>
    </w:p>
    <w:p w14:paraId="64CB9CC0">
      <w:pPr>
        <w:snapToGrid w:val="0"/>
        <w:spacing w:line="360" w:lineRule="auto"/>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（一）具有本项目供货及售后服务能力的合格供应商； </w:t>
      </w:r>
    </w:p>
    <w:p w14:paraId="03005C45">
      <w:pPr>
        <w:snapToGrid w:val="0"/>
        <w:spacing w:line="360" w:lineRule="auto"/>
        <w:ind w:firstLine="540" w:firstLineChars="22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（二）本项目不接受联合体投标。</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39C79459">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六、获取招标文件方式：</w:t>
      </w:r>
    </w:p>
    <w:p w14:paraId="5BA44D97">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，输入平台注册的账号及密码再下载)</w:t>
      </w:r>
    </w:p>
    <w:p w14:paraId="132BA804">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七、招标答疑会：</w:t>
      </w:r>
      <w:r>
        <w:rPr>
          <w:rFonts w:hint="eastAsia" w:ascii="宋体" w:hAnsi="宋体" w:cs="宋体"/>
          <w:color w:val="000000" w:themeColor="text1"/>
          <w:sz w:val="24"/>
          <w:highlight w:val="none"/>
          <w14:textFill>
            <w14:solidFill>
              <w14:schemeClr w14:val="tx1"/>
            </w14:solidFill>
          </w14:textFill>
        </w:rPr>
        <w:t>无。</w:t>
      </w:r>
    </w:p>
    <w:p w14:paraId="60FF709B">
      <w:pPr>
        <w:snapToGrid w:val="0"/>
        <w:spacing w:line="360" w:lineRule="auto"/>
        <w:ind w:firstLine="482" w:firstLineChars="200"/>
        <w:jc w:val="lef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八、投标截止及时间和地点</w:t>
      </w:r>
      <w:r>
        <w:rPr>
          <w:rFonts w:hint="eastAsia" w:ascii="宋体" w:hAnsi="宋体" w:cs="宋体"/>
          <w:color w:val="000000" w:themeColor="text1"/>
          <w:sz w:val="24"/>
          <w:highlight w:val="none"/>
          <w14:textFill>
            <w14:solidFill>
              <w14:schemeClr w14:val="tx1"/>
            </w14:solidFill>
          </w14:textFill>
        </w:rPr>
        <w:t>：</w:t>
      </w:r>
    </w:p>
    <w:p w14:paraId="28CE2061">
      <w:pPr>
        <w:pStyle w:val="9"/>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1.投标人应于</w:t>
      </w:r>
      <w:r>
        <w:rPr>
          <w:rFonts w:hint="eastAsia" w:ascii="宋体" w:hAnsi="宋体" w:cs="宋体"/>
          <w:color w:val="000000" w:themeColor="text1"/>
          <w:sz w:val="24"/>
          <w:szCs w:val="24"/>
          <w:highlight w:val="none"/>
          <w:u w:val="single"/>
          <w14:textFill>
            <w14:solidFill>
              <w14:schemeClr w14:val="tx1"/>
            </w14:solidFill>
          </w14:textFill>
        </w:rPr>
        <w:t xml:space="preserve"> 202</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08</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09</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09</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u w:val="single"/>
          <w14:textFill>
            <w14:solidFill>
              <w14:schemeClr w14:val="tx1"/>
            </w14:solidFill>
          </w14:textFill>
        </w:rPr>
        <w:t xml:space="preserve">  30 </w:t>
      </w:r>
      <w:r>
        <w:rPr>
          <w:rFonts w:hint="eastAsia" w:ascii="宋体" w:hAnsi="宋体" w:cs="宋体"/>
          <w:color w:val="000000" w:themeColor="text1"/>
          <w:sz w:val="24"/>
          <w:szCs w:val="24"/>
          <w:highlight w:val="none"/>
          <w14:textFill>
            <w14:solidFill>
              <w14:schemeClr w14:val="tx1"/>
            </w14:solidFill>
          </w14:textFill>
        </w:rPr>
        <w:t>分（开标时间）之前将投标文件在台州湾新区小额工程电子交易平台（网址：</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color w:val="000000" w:themeColor="text1"/>
          <w:sz w:val="24"/>
          <w:szCs w:val="24"/>
          <w:highlight w:val="none"/>
          <w14:textFill>
            <w14:solidFill>
              <w14:schemeClr w14:val="tx1"/>
            </w14:solidFill>
          </w14:textFill>
        </w:rPr>
        <w:t>）进行在线提交；</w:t>
      </w:r>
    </w:p>
    <w:p w14:paraId="79817F0A">
      <w:pPr>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投标人应在投标截止时间前缴纳保证金（或购买电子保函，电子保函截止时间为开标前一工作日下午16点前）。</w:t>
      </w:r>
    </w:p>
    <w:p w14:paraId="62968F20">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14:textFill>
            <w14:solidFill>
              <w14:schemeClr w14:val="tx1"/>
            </w14:solidFill>
          </w14:textFill>
        </w:rPr>
        <w:t>：</w:t>
      </w:r>
    </w:p>
    <w:p w14:paraId="2104FD82">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开标时间与投标截止时间相同。（投标人代表一律不参加现场开标，开标过程中投标人、招标人可通过在线直播参与监督开标过程。直播网络地址：www.tzwztb.com/live/。</w:t>
      </w:r>
    </w:p>
    <w:p w14:paraId="33D75BC2">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十、投标保证金</w:t>
      </w:r>
      <w:r>
        <w:rPr>
          <w:rFonts w:hint="eastAsia" w:ascii="宋体" w:hAnsi="宋体" w:cs="宋体"/>
          <w:color w:val="000000" w:themeColor="text1"/>
          <w:sz w:val="24"/>
          <w:highlight w:val="none"/>
          <w14:textFill>
            <w14:solidFill>
              <w14:schemeClr w14:val="tx1"/>
            </w14:solidFill>
          </w14:textFill>
        </w:rPr>
        <w:t>：</w:t>
      </w:r>
    </w:p>
    <w:p w14:paraId="5F423E68">
      <w:pPr>
        <w:tabs>
          <w:tab w:val="left" w:pos="180"/>
          <w:tab w:val="left" w:pos="360"/>
          <w:tab w:val="left" w:pos="540"/>
          <w:tab w:val="left" w:pos="8280"/>
        </w:tabs>
        <w:autoSpaceDE w:val="0"/>
        <w:autoSpaceDN w:val="0"/>
        <w:adjustRightIn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1.投标保证金金额：</w:t>
      </w:r>
      <w:r>
        <w:rPr>
          <w:rFonts w:hint="eastAsia" w:ascii="宋体" w:hAnsi="宋体" w:cs="宋体"/>
          <w:bCs/>
          <w:color w:val="000000" w:themeColor="text1"/>
          <w:kern w:val="0"/>
          <w:sz w:val="24"/>
          <w:highlight w:val="none"/>
          <w:lang w:val="en-US" w:eastAsia="zh-CN"/>
          <w14:textFill>
            <w14:solidFill>
              <w14:schemeClr w14:val="tx1"/>
            </w14:solidFill>
          </w14:textFill>
        </w:rPr>
        <w:t>13000</w:t>
      </w:r>
      <w:r>
        <w:rPr>
          <w:rFonts w:hint="eastAsia" w:ascii="宋体" w:hAnsi="宋体" w:cs="宋体"/>
          <w:bCs/>
          <w:color w:val="000000" w:themeColor="text1"/>
          <w:kern w:val="0"/>
          <w:sz w:val="24"/>
          <w:highlight w:val="none"/>
          <w14:textFill>
            <w14:solidFill>
              <w14:schemeClr w14:val="tx1"/>
            </w14:solidFill>
          </w14:textFill>
        </w:rPr>
        <w:t>元。</w:t>
      </w:r>
    </w:p>
    <w:p w14:paraId="08764534">
      <w:pPr>
        <w:pStyle w:val="2"/>
        <w:spacing w:after="0" w:line="360" w:lineRule="auto"/>
        <w:ind w:left="0" w:leftChars="0" w:firstLine="480"/>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2.投标保证金缴纳方式（任选一种）：现金转账、银行保函、保险机构保证保险保单、融资担保公司保函。</w:t>
      </w:r>
    </w:p>
    <w:p w14:paraId="55187476">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14:paraId="6428F592">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394C98B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75DCFF40">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14:paraId="2A31A416">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：台州循环经济发展有限公司</w:t>
      </w:r>
      <w:r>
        <w:rPr>
          <w:rFonts w:hint="eastAsia" w:ascii="宋体" w:hAnsi="宋体" w:cs="宋体"/>
          <w:bCs/>
          <w:kern w:val="0"/>
          <w:sz w:val="24"/>
          <w:highlight w:val="none"/>
        </w:rPr>
        <w:t>（招标人名称）；</w:t>
      </w:r>
    </w:p>
    <w:p w14:paraId="6C861907">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14:paraId="784F0C13">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14:paraId="7926069E">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14:paraId="53C9A489">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14:paraId="1106F56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14:paraId="4B84048D">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14:paraId="60741CC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14:paraId="181EE51F">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14:paraId="62D5F8C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14:paraId="36F14017">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08</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09</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09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 xml:space="preserve">00 </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 xml:space="preserve">30 </w:t>
      </w:r>
    </w:p>
    <w:p w14:paraId="3CC3973D">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14:paraId="070CF25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88517791</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14:paraId="71478C5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投标人须知三（</w:t>
      </w:r>
      <w:r>
        <w:rPr>
          <w:rFonts w:hint="eastAsia" w:ascii="宋体" w:hAnsi="宋体" w:cs="宋体"/>
          <w:bCs/>
          <w:kern w:val="0"/>
          <w:sz w:val="24"/>
          <w:highlight w:val="none"/>
          <w:lang w:val="en-US" w:eastAsia="zh-CN"/>
        </w:rPr>
        <w:t>五</w:t>
      </w:r>
      <w:r>
        <w:rPr>
          <w:rFonts w:hint="eastAsia" w:ascii="宋体" w:hAnsi="宋体" w:cs="宋体"/>
          <w:bCs/>
          <w:kern w:val="0"/>
          <w:sz w:val="24"/>
          <w:highlight w:val="none"/>
        </w:rPr>
        <w:t>）4”所列条款。</w:t>
      </w:r>
    </w:p>
    <w:p w14:paraId="4A022D2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3、注意事项</w:t>
      </w:r>
    </w:p>
    <w:p w14:paraId="6B8BE5DD">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①若招标文件允许联合体投标且投标人以联合体身份投标的，由联合体牵头人提交投标保证金；</w:t>
      </w:r>
    </w:p>
    <w:p w14:paraId="78921E72">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②以银行转账形式提交的投标保证金应当从投标人基本账户转出，购买工程保函的费用应当从投标人基本账户支付；</w:t>
      </w:r>
    </w:p>
    <w:p w14:paraId="5748FDDC">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③若有疑问，请咨询技术服务热线：13454667697</w:t>
      </w:r>
    </w:p>
    <w:p w14:paraId="41FA15ED">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④以上未按要求提供或提供不清晰的，评标委员会可能做出不利于投标人的评审结果，由此造成的风险由投标人自行承担。</w:t>
      </w:r>
    </w:p>
    <w:p w14:paraId="0CB5C131">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08</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08</w:t>
      </w:r>
      <w:r>
        <w:rPr>
          <w:rFonts w:hint="eastAsia" w:ascii="宋体" w:hAnsi="宋体" w:cs="宋体"/>
          <w:b/>
          <w:bCs/>
          <w:color w:val="000000"/>
          <w:kern w:val="0"/>
          <w:sz w:val="24"/>
          <w:highlight w:val="none"/>
        </w:rPr>
        <w:t>下午16点前</w:t>
      </w:r>
    </w:p>
    <w:p w14:paraId="45383761">
      <w:pPr>
        <w:spacing w:line="360" w:lineRule="auto"/>
        <w:ind w:firstLine="482" w:firstLineChars="200"/>
        <w:rPr>
          <w:rFonts w:hint="eastAsia" w:ascii="宋体" w:hAnsi="宋体" w:cs="宋体"/>
          <w:b/>
          <w:kern w:val="0"/>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w:t>
      </w:r>
      <w:r>
        <w:rPr>
          <w:rFonts w:hint="eastAsia" w:ascii="宋体" w:hAnsi="宋体" w:cs="宋体"/>
          <w:b/>
          <w:kern w:val="0"/>
          <w:sz w:val="24"/>
          <w:highlight w:val="none"/>
        </w:rPr>
        <w:t>公告期限</w:t>
      </w:r>
    </w:p>
    <w:p w14:paraId="5ADB0401">
      <w:pPr>
        <w:spacing w:line="360" w:lineRule="auto"/>
        <w:ind w:firstLine="480" w:firstLineChars="200"/>
        <w:rPr>
          <w:rFonts w:hint="eastAsia"/>
          <w:highlight w:val="none"/>
        </w:rPr>
      </w:pPr>
      <w:r>
        <w:rPr>
          <w:rFonts w:hint="eastAsia" w:ascii="宋体" w:hAnsi="宋体" w:cs="宋体"/>
          <w:sz w:val="24"/>
          <w:highlight w:val="none"/>
        </w:rPr>
        <w:t>自本公告发布之日起5个工作日。</w:t>
      </w:r>
    </w:p>
    <w:p w14:paraId="4F8387E8">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十</w:t>
      </w:r>
      <w:r>
        <w:rPr>
          <w:rFonts w:hint="eastAsia" w:ascii="宋体" w:hAnsi="宋体" w:cs="宋体"/>
          <w:b/>
          <w:kern w:val="0"/>
          <w:sz w:val="24"/>
          <w:highlight w:val="none"/>
          <w:lang w:val="en-US" w:eastAsia="zh-CN"/>
        </w:rPr>
        <w:t>二</w:t>
      </w:r>
      <w:r>
        <w:rPr>
          <w:rFonts w:hint="eastAsia" w:ascii="宋体" w:hAnsi="宋体" w:cs="宋体"/>
          <w:b/>
          <w:kern w:val="0"/>
          <w:sz w:val="24"/>
          <w:highlight w:val="none"/>
        </w:rPr>
        <w:t>、相关注意事项：</w:t>
      </w:r>
    </w:p>
    <w:p w14:paraId="56D2254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认为采购文件使自己的权益受到损害的，可以自获取采购文件之日或者采购文件公告期限届满之日（公告期限届满后获取采购文件的，以公告期限届满之日为准）起3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监督管理部门投诉。质疑函范本、投诉书范本请到浙江政府采购网下载专区下载。</w:t>
      </w:r>
    </w:p>
    <w:p w14:paraId="23BFDE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2、本项目所有公告发布网站：“台州湾新区小额工程电子交易平台</w:t>
      </w:r>
      <w:r>
        <w:rPr>
          <w:rFonts w:ascii="宋体" w:hAnsi="宋体" w:cs="宋体"/>
          <w:sz w:val="24"/>
          <w:highlight w:val="none"/>
        </w:rPr>
        <w:t>”</w:t>
      </w:r>
      <w:r>
        <w:rPr>
          <w:rFonts w:hint="eastAsia" w:ascii="宋体" w:hAnsi="宋体" w:cs="宋体"/>
          <w:sz w:val="24"/>
          <w:highlight w:val="none"/>
        </w:rPr>
        <w:t>（http://www.tzwztb.com）及“浙江省政府采购网”（http:// www.zjzfcg.gov.cn）。</w:t>
      </w:r>
    </w:p>
    <w:p w14:paraId="79C623F0">
      <w:pPr>
        <w:snapToGrid w:val="0"/>
        <w:spacing w:line="360" w:lineRule="auto"/>
        <w:ind w:firstLine="241" w:firstLineChars="100"/>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、联系方式：</w:t>
      </w:r>
    </w:p>
    <w:p w14:paraId="7DA86256">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（一）采购代理机构</w:t>
      </w:r>
    </w:p>
    <w:p w14:paraId="6F6478A0">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lang w:eastAsia="zh-CN"/>
          <w14:textFill>
            <w14:solidFill>
              <w14:schemeClr w14:val="tx1"/>
            </w14:solidFill>
          </w14:textFill>
        </w:rPr>
        <w:t>台州市建设咨询有限公司</w:t>
      </w:r>
    </w:p>
    <w:p w14:paraId="43BB519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洪璇</w:t>
      </w:r>
      <w:r>
        <w:rPr>
          <w:rFonts w:hint="eastAsia" w:ascii="宋体" w:hAnsi="宋体" w:cs="宋体"/>
          <w:color w:val="000000" w:themeColor="text1"/>
          <w:sz w:val="24"/>
          <w:highlight w:val="none"/>
          <w14:textFill>
            <w14:solidFill>
              <w14:schemeClr w14:val="tx1"/>
            </w14:solidFill>
          </w14:textFill>
        </w:rPr>
        <w:t>　</w:t>
      </w:r>
    </w:p>
    <w:p w14:paraId="4B2BD2FF">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0576-88517791</w:t>
      </w:r>
    </w:p>
    <w:p w14:paraId="676CEC4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地址：台州市市府大道507号台州国际商务广场1幢（北门）11楼</w:t>
      </w:r>
    </w:p>
    <w:p w14:paraId="2E473E7A">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（二）采购人</w:t>
      </w:r>
    </w:p>
    <w:p w14:paraId="189C65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采购人名称：台州循环经济发展有限公司</w:t>
      </w:r>
    </w:p>
    <w:p w14:paraId="2D57E5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联系人：罗先生、章女士  </w:t>
      </w:r>
    </w:p>
    <w:p w14:paraId="2610656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联系电话：0576-88902255</w:t>
      </w:r>
    </w:p>
    <w:p w14:paraId="255D3B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采购人地址：台州湾新区甲南大道东段9号</w:t>
      </w:r>
    </w:p>
    <w:p w14:paraId="2648DA34">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ascii="微软雅黑" w:hAnsi="微软雅黑" w:eastAsia="微软雅黑" w:cs="微软雅黑"/>
          <w:i w:val="0"/>
          <w:caps w:val="0"/>
          <w:color w:val="000000"/>
          <w:spacing w:val="0"/>
          <w:sz w:val="27"/>
          <w:szCs w:val="27"/>
          <w:highlight w:val="none"/>
        </w:rPr>
      </w:pPr>
      <w:r>
        <w:rPr>
          <w:rStyle w:val="40"/>
          <w:rFonts w:hint="eastAsia" w:ascii="宋体" w:hAnsi="宋体" w:eastAsia="宋体" w:cs="宋体"/>
          <w:i w:val="0"/>
          <w:caps w:val="0"/>
          <w:color w:val="000000"/>
          <w:spacing w:val="0"/>
          <w:sz w:val="24"/>
          <w:szCs w:val="24"/>
          <w:highlight w:val="none"/>
          <w:shd w:val="clear" w:fill="FFFFFF"/>
        </w:rPr>
        <w:t>（三）同级政府采购监管机构</w:t>
      </w:r>
    </w:p>
    <w:p w14:paraId="2FC289A4">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名 称：</w:t>
      </w:r>
      <w:r>
        <w:rPr>
          <w:rFonts w:hint="eastAsia" w:ascii="宋体" w:hAnsi="宋体" w:eastAsia="宋体" w:cs="宋体"/>
          <w:i w:val="0"/>
          <w:caps w:val="0"/>
          <w:color w:val="000000"/>
          <w:spacing w:val="0"/>
          <w:sz w:val="24"/>
          <w:szCs w:val="24"/>
          <w:highlight w:val="none"/>
          <w:u w:val="single"/>
          <w:shd w:val="clear" w:fill="FFFFFF"/>
        </w:rPr>
        <w:t>台州湾新区行政审批与投资服务局</w:t>
      </w:r>
    </w:p>
    <w:p w14:paraId="010F13F2">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地 址：</w:t>
      </w:r>
      <w:r>
        <w:rPr>
          <w:rFonts w:hint="eastAsia" w:ascii="宋体" w:hAnsi="宋体" w:eastAsia="宋体" w:cs="宋体"/>
          <w:i w:val="0"/>
          <w:caps w:val="0"/>
          <w:color w:val="000000"/>
          <w:spacing w:val="0"/>
          <w:sz w:val="24"/>
          <w:szCs w:val="24"/>
          <w:highlight w:val="none"/>
          <w:u w:val="single"/>
          <w:shd w:val="clear" w:fill="FFFFFF"/>
        </w:rPr>
        <w:t>台州市甲南大道东段9号</w:t>
      </w:r>
    </w:p>
    <w:p w14:paraId="39049B06">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联系人：</w:t>
      </w:r>
      <w:r>
        <w:rPr>
          <w:rFonts w:hint="eastAsia" w:ascii="宋体" w:hAnsi="宋体" w:eastAsia="宋体" w:cs="宋体"/>
          <w:i w:val="0"/>
          <w:caps w:val="0"/>
          <w:color w:val="000000"/>
          <w:spacing w:val="0"/>
          <w:sz w:val="24"/>
          <w:szCs w:val="24"/>
          <w:highlight w:val="none"/>
          <w:u w:val="single"/>
          <w:shd w:val="clear" w:fill="FFFFFF"/>
        </w:rPr>
        <w:t>徐先生 </w:t>
      </w:r>
      <w:r>
        <w:rPr>
          <w:rFonts w:hint="eastAsia" w:ascii="宋体" w:hAnsi="宋体" w:eastAsia="宋体" w:cs="宋体"/>
          <w:i w:val="0"/>
          <w:caps w:val="0"/>
          <w:color w:val="000000"/>
          <w:spacing w:val="0"/>
          <w:sz w:val="24"/>
          <w:szCs w:val="24"/>
          <w:highlight w:val="none"/>
          <w:shd w:val="clear" w:fill="FFFFFF"/>
        </w:rPr>
        <w:t>           </w:t>
      </w:r>
    </w:p>
    <w:p w14:paraId="24552707">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电  话：</w:t>
      </w:r>
      <w:r>
        <w:rPr>
          <w:rFonts w:hint="eastAsia" w:ascii="宋体" w:hAnsi="宋体" w:eastAsia="宋体" w:cs="宋体"/>
          <w:i w:val="0"/>
          <w:caps w:val="0"/>
          <w:color w:val="000000"/>
          <w:spacing w:val="0"/>
          <w:sz w:val="24"/>
          <w:szCs w:val="24"/>
          <w:highlight w:val="none"/>
          <w:u w:val="single"/>
          <w:shd w:val="clear" w:fill="FFFFFF"/>
        </w:rPr>
        <w:t>0576-88538849</w:t>
      </w:r>
    </w:p>
    <w:p w14:paraId="575266E5">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     </w:t>
      </w:r>
      <w:r>
        <w:rPr>
          <w:rStyle w:val="40"/>
          <w:rFonts w:hint="eastAsia" w:ascii="宋体" w:hAnsi="宋体" w:eastAsia="宋体" w:cs="宋体"/>
          <w:i w:val="0"/>
          <w:caps w:val="0"/>
          <w:color w:val="000000"/>
          <w:spacing w:val="0"/>
          <w:sz w:val="24"/>
          <w:szCs w:val="24"/>
          <w:highlight w:val="none"/>
          <w:shd w:val="clear" w:fill="FFFFFF"/>
        </w:rPr>
        <w:t>（四）台州湾新区小额工程电子交易平台</w:t>
      </w:r>
    </w:p>
    <w:p w14:paraId="3FDB952C">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联系人：</w:t>
      </w:r>
      <w:r>
        <w:rPr>
          <w:rFonts w:hint="eastAsia" w:ascii="宋体" w:hAnsi="宋体" w:eastAsia="宋体" w:cs="宋体"/>
          <w:i w:val="0"/>
          <w:caps w:val="0"/>
          <w:color w:val="000000"/>
          <w:spacing w:val="0"/>
          <w:sz w:val="24"/>
          <w:szCs w:val="24"/>
          <w:highlight w:val="none"/>
          <w:u w:val="single"/>
          <w:shd w:val="clear" w:fill="FFFFFF"/>
        </w:rPr>
        <w:t>蔡永正、王明月</w:t>
      </w:r>
    </w:p>
    <w:p w14:paraId="3984C800">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联系电话：</w:t>
      </w:r>
      <w:r>
        <w:rPr>
          <w:rFonts w:hint="eastAsia" w:ascii="宋体" w:hAnsi="宋体" w:eastAsia="宋体" w:cs="宋体"/>
          <w:i w:val="0"/>
          <w:caps w:val="0"/>
          <w:color w:val="000000"/>
          <w:spacing w:val="0"/>
          <w:sz w:val="24"/>
          <w:szCs w:val="24"/>
          <w:highlight w:val="none"/>
          <w:u w:val="single"/>
          <w:shd w:val="clear" w:fill="FFFFFF"/>
        </w:rPr>
        <w:t>13454667697、13757680207</w:t>
      </w:r>
    </w:p>
    <w:p w14:paraId="612ECC73">
      <w:pPr>
        <w:spacing w:line="360" w:lineRule="auto"/>
        <w:ind w:firstLine="480" w:firstLineChars="200"/>
        <w:jc w:val="right"/>
        <w:rPr>
          <w:rFonts w:ascii="宋体" w:hAnsi="宋体" w:cs="宋体"/>
          <w:color w:val="000000" w:themeColor="text1"/>
          <w:sz w:val="24"/>
          <w:highlight w:val="none"/>
          <w14:textFill>
            <w14:solidFill>
              <w14:schemeClr w14:val="tx1"/>
            </w14:solidFill>
          </w14:textFill>
        </w:rPr>
      </w:pPr>
    </w:p>
    <w:p w14:paraId="3D75E36F">
      <w:pPr>
        <w:snapToGrid w:val="0"/>
        <w:spacing w:line="360" w:lineRule="auto"/>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台州市建设咨询有限公司</w:t>
      </w:r>
    </w:p>
    <w:p w14:paraId="09BD7447">
      <w:pPr>
        <w:snapToGrid w:val="0"/>
        <w:spacing w:line="360" w:lineRule="auto"/>
        <w:ind w:left="238" w:firstLine="4980" w:firstLineChars="20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08</w:t>
      </w:r>
      <w:r>
        <w:rPr>
          <w:rFonts w:hint="eastAsia" w:ascii="宋体" w:hAnsi="宋体" w:cs="宋体"/>
          <w:color w:val="000000" w:themeColor="text1"/>
          <w:sz w:val="24"/>
          <w:highlight w:val="none"/>
          <w14:textFill>
            <w14:solidFill>
              <w14:schemeClr w14:val="tx1"/>
            </w14:solidFill>
          </w14:textFill>
        </w:rPr>
        <w:t>月</w:t>
      </w:r>
    </w:p>
    <w:p w14:paraId="559F622C">
      <w:pPr>
        <w:pStyle w:val="21"/>
        <w:tabs>
          <w:tab w:val="left" w:pos="1620"/>
        </w:tabs>
        <w:snapToGrid w:val="0"/>
        <w:spacing w:before="120" w:beforeLines="0" w:after="120" w:afterLines="0"/>
        <w:jc w:val="center"/>
        <w:rPr>
          <w:rFonts w:hint="default" w:hAnsi="宋体" w:cs="宋体"/>
          <w:color w:val="000000" w:themeColor="text1"/>
          <w:sz w:val="36"/>
          <w:szCs w:val="36"/>
          <w:highlight w:val="none"/>
          <w14:textFill>
            <w14:solidFill>
              <w14:schemeClr w14:val="tx1"/>
            </w14:solidFill>
          </w14:textFill>
        </w:rPr>
        <w:sectPr>
          <w:footerReference r:id="rId5" w:type="default"/>
          <w:pgSz w:w="11906" w:h="16838"/>
          <w:pgMar w:top="1134" w:right="1587" w:bottom="1134" w:left="158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064D1BAB">
      <w:pPr>
        <w:pStyle w:val="21"/>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3" w:name="_Toc28376_WPSOffice_Level1"/>
      <w:bookmarkStart w:id="4" w:name="第三章"/>
      <w:r>
        <w:rPr>
          <w:rFonts w:hAnsi="宋体" w:cs="宋体"/>
          <w:color w:val="000000" w:themeColor="text1"/>
          <w:sz w:val="32"/>
          <w:szCs w:val="32"/>
          <w:highlight w:val="none"/>
          <w14:textFill>
            <w14:solidFill>
              <w14:schemeClr w14:val="tx1"/>
            </w14:solidFill>
          </w14:textFill>
        </w:rPr>
        <w:t xml:space="preserve">第二章  </w:t>
      </w:r>
      <w:bookmarkStart w:id="5" w:name="_Toc373154496"/>
      <w:r>
        <w:rPr>
          <w:rFonts w:hint="eastAsia" w:hAnsi="宋体" w:cs="宋体"/>
          <w:color w:val="000000" w:themeColor="text1"/>
          <w:sz w:val="32"/>
          <w:szCs w:val="32"/>
          <w:highlight w:val="none"/>
          <w:lang w:val="en-US" w:eastAsia="zh-CN"/>
          <w14:textFill>
            <w14:solidFill>
              <w14:schemeClr w14:val="tx1"/>
            </w14:solidFill>
          </w14:textFill>
        </w:rPr>
        <w:t>招标</w:t>
      </w:r>
      <w:r>
        <w:rPr>
          <w:rFonts w:hAnsi="宋体" w:cs="宋体"/>
          <w:color w:val="000000" w:themeColor="text1"/>
          <w:sz w:val="32"/>
          <w:szCs w:val="32"/>
          <w:highlight w:val="none"/>
          <w14:textFill>
            <w14:solidFill>
              <w14:schemeClr w14:val="tx1"/>
            </w14:solidFill>
          </w14:textFill>
        </w:rPr>
        <w:t>需求</w:t>
      </w:r>
    </w:p>
    <w:bookmarkEnd w:id="5"/>
    <w:p w14:paraId="7405B0D8">
      <w:pPr>
        <w:tabs>
          <w:tab w:val="left" w:pos="8280"/>
        </w:tabs>
        <w:autoSpaceDE w:val="0"/>
        <w:autoSpaceDN w:val="0"/>
        <w:adjustRightInd w:val="0"/>
        <w:spacing w:line="360" w:lineRule="auto"/>
        <w:ind w:right="25"/>
        <w:rPr>
          <w:color w:val="auto"/>
          <w:sz w:val="24"/>
          <w:highlight w:val="none"/>
        </w:rPr>
      </w:pPr>
      <w:r>
        <w:rPr>
          <w:rFonts w:hint="eastAsia"/>
          <w:b/>
          <w:color w:val="auto"/>
          <w:sz w:val="24"/>
          <w:highlight w:val="none"/>
        </w:rPr>
        <w:t>一、招标项目一览表</w:t>
      </w:r>
    </w:p>
    <w:p w14:paraId="283FAAA4">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37"/>
        <w:tblW w:w="5083"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2823"/>
        <w:gridCol w:w="817"/>
        <w:gridCol w:w="853"/>
        <w:gridCol w:w="1735"/>
        <w:gridCol w:w="1420"/>
        <w:gridCol w:w="2060"/>
      </w:tblGrid>
      <w:tr w14:paraId="6D4C294F">
        <w:tblPrEx>
          <w:tblCellMar>
            <w:top w:w="0" w:type="dxa"/>
            <w:left w:w="108" w:type="dxa"/>
            <w:bottom w:w="0" w:type="dxa"/>
            <w:right w:w="108" w:type="dxa"/>
          </w:tblCellMar>
        </w:tblPrEx>
        <w:trPr>
          <w:trHeight w:val="723" w:hRule="atLeast"/>
        </w:trPr>
        <w:tc>
          <w:tcPr>
            <w:tcW w:w="207" w:type="pct"/>
            <w:tcBorders>
              <w:top w:val="single" w:color="auto" w:sz="4" w:space="0"/>
              <w:left w:val="single" w:color="auto" w:sz="4" w:space="0"/>
              <w:bottom w:val="single" w:color="auto" w:sz="4" w:space="0"/>
              <w:right w:val="single" w:color="auto" w:sz="4" w:space="0"/>
            </w:tcBorders>
            <w:vAlign w:val="center"/>
          </w:tcPr>
          <w:p w14:paraId="6D02099A">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1393" w:type="pct"/>
            <w:tcBorders>
              <w:top w:val="single" w:color="auto" w:sz="4" w:space="0"/>
              <w:left w:val="single" w:color="auto" w:sz="4" w:space="0"/>
              <w:bottom w:val="single" w:color="auto" w:sz="4" w:space="0"/>
              <w:right w:val="single" w:color="auto" w:sz="4" w:space="0"/>
            </w:tcBorders>
            <w:vAlign w:val="center"/>
          </w:tcPr>
          <w:p w14:paraId="188B0C62">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403" w:type="pct"/>
            <w:tcBorders>
              <w:top w:val="single" w:color="auto" w:sz="4" w:space="0"/>
              <w:left w:val="single" w:color="auto" w:sz="4" w:space="0"/>
              <w:bottom w:val="single" w:color="auto" w:sz="4" w:space="0"/>
              <w:right w:val="single" w:color="auto" w:sz="4" w:space="0"/>
            </w:tcBorders>
            <w:vAlign w:val="center"/>
          </w:tcPr>
          <w:p w14:paraId="4B35BD39">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421" w:type="pct"/>
            <w:tcBorders>
              <w:top w:val="single" w:color="auto" w:sz="4" w:space="0"/>
              <w:left w:val="single" w:color="auto" w:sz="4" w:space="0"/>
              <w:bottom w:val="single" w:color="auto" w:sz="4" w:space="0"/>
              <w:right w:val="single" w:color="auto" w:sz="4" w:space="0"/>
            </w:tcBorders>
            <w:vAlign w:val="center"/>
          </w:tcPr>
          <w:p w14:paraId="5D583D54">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856" w:type="pct"/>
            <w:tcBorders>
              <w:top w:val="single" w:color="auto" w:sz="4" w:space="0"/>
              <w:left w:val="single" w:color="auto" w:sz="4" w:space="0"/>
              <w:bottom w:val="single" w:color="auto" w:sz="4" w:space="0"/>
              <w:right w:val="single" w:color="auto" w:sz="4" w:space="0"/>
            </w:tcBorders>
            <w:vAlign w:val="center"/>
          </w:tcPr>
          <w:p w14:paraId="44B07889">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700" w:type="pct"/>
            <w:tcBorders>
              <w:top w:val="single" w:color="auto" w:sz="4" w:space="0"/>
              <w:left w:val="single" w:color="auto" w:sz="4" w:space="0"/>
              <w:bottom w:val="single" w:color="auto" w:sz="4" w:space="0"/>
              <w:right w:val="single" w:color="auto" w:sz="4" w:space="0"/>
            </w:tcBorders>
            <w:vAlign w:val="center"/>
          </w:tcPr>
          <w:p w14:paraId="08FD31A3">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1016" w:type="pct"/>
            <w:tcBorders>
              <w:top w:val="single" w:color="auto" w:sz="4" w:space="0"/>
              <w:left w:val="single" w:color="auto" w:sz="4" w:space="0"/>
              <w:bottom w:val="single" w:color="auto" w:sz="4" w:space="0"/>
              <w:right w:val="single" w:color="auto" w:sz="4" w:space="0"/>
            </w:tcBorders>
            <w:vAlign w:val="center"/>
          </w:tcPr>
          <w:p w14:paraId="5295F6A8">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7871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7" w:type="pct"/>
            <w:tcBorders>
              <w:top w:val="single" w:color="auto" w:sz="4" w:space="0"/>
              <w:left w:val="single" w:color="auto" w:sz="4" w:space="0"/>
              <w:bottom w:val="single" w:color="auto" w:sz="4" w:space="0"/>
              <w:right w:val="single" w:color="auto" w:sz="4" w:space="0"/>
            </w:tcBorders>
            <w:vAlign w:val="center"/>
          </w:tcPr>
          <w:p w14:paraId="45AAADA0">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1393" w:type="pct"/>
            <w:tcBorders>
              <w:top w:val="single" w:color="auto" w:sz="4" w:space="0"/>
              <w:left w:val="single" w:color="auto" w:sz="4" w:space="0"/>
              <w:bottom w:val="single" w:color="auto" w:sz="4" w:space="0"/>
              <w:right w:val="single" w:color="auto" w:sz="4" w:space="0"/>
            </w:tcBorders>
            <w:vAlign w:val="center"/>
          </w:tcPr>
          <w:p w14:paraId="3E53D80A">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工业服务中心二期（开元曼居—台州湾新区店）酒店电器采购</w:t>
            </w:r>
          </w:p>
        </w:tc>
        <w:tc>
          <w:tcPr>
            <w:tcW w:w="403" w:type="pct"/>
            <w:tcBorders>
              <w:top w:val="single" w:color="auto" w:sz="4" w:space="0"/>
              <w:left w:val="single" w:color="auto" w:sz="4" w:space="0"/>
              <w:bottom w:val="single" w:color="auto" w:sz="4" w:space="0"/>
              <w:right w:val="single" w:color="auto" w:sz="4" w:space="0"/>
            </w:tcBorders>
            <w:vAlign w:val="center"/>
          </w:tcPr>
          <w:p w14:paraId="3598A54A">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421" w:type="pct"/>
            <w:tcBorders>
              <w:top w:val="single" w:color="auto" w:sz="4" w:space="0"/>
              <w:left w:val="single" w:color="auto" w:sz="4" w:space="0"/>
              <w:right w:val="single" w:color="auto" w:sz="4" w:space="0"/>
            </w:tcBorders>
            <w:vAlign w:val="center"/>
          </w:tcPr>
          <w:p w14:paraId="7A2C0DA6">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856" w:type="pct"/>
            <w:tcBorders>
              <w:top w:val="single" w:color="auto" w:sz="4" w:space="0"/>
              <w:left w:val="single" w:color="auto" w:sz="4" w:space="0"/>
              <w:right w:val="single" w:color="auto" w:sz="4" w:space="0"/>
            </w:tcBorders>
            <w:vAlign w:val="center"/>
          </w:tcPr>
          <w:p w14:paraId="278BF9AB">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685675元</w:t>
            </w:r>
          </w:p>
        </w:tc>
        <w:tc>
          <w:tcPr>
            <w:tcW w:w="700" w:type="pct"/>
            <w:tcBorders>
              <w:top w:val="single" w:color="auto" w:sz="4" w:space="0"/>
              <w:left w:val="single" w:color="auto" w:sz="4" w:space="0"/>
              <w:right w:val="single" w:color="auto" w:sz="4" w:space="0"/>
            </w:tcBorders>
            <w:vAlign w:val="center"/>
          </w:tcPr>
          <w:p w14:paraId="2502B65E">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详</w:t>
            </w:r>
            <w:r>
              <w:rPr>
                <w:rFonts w:ascii="宋体" w:hAnsi="宋体"/>
                <w:color w:val="000000" w:themeColor="text1"/>
                <w:szCs w:val="24"/>
                <w:highlight w:val="none"/>
                <w14:textFill>
                  <w14:solidFill>
                    <w14:schemeClr w14:val="tx1"/>
                  </w14:solidFill>
                </w14:textFill>
              </w:rPr>
              <w:t>见招标文件第</w:t>
            </w:r>
            <w:r>
              <w:rPr>
                <w:rFonts w:hint="eastAsia" w:ascii="宋体" w:hAnsi="宋体"/>
                <w:color w:val="000000" w:themeColor="text1"/>
                <w:szCs w:val="24"/>
                <w:highlight w:val="none"/>
                <w14:textFill>
                  <w14:solidFill>
                    <w14:schemeClr w14:val="tx1"/>
                  </w14:solidFill>
                </w14:textFill>
              </w:rPr>
              <w:t>二</w:t>
            </w:r>
            <w:r>
              <w:rPr>
                <w:rFonts w:ascii="宋体" w:hAnsi="宋体"/>
                <w:color w:val="000000" w:themeColor="text1"/>
                <w:szCs w:val="24"/>
                <w:highlight w:val="none"/>
                <w14:textFill>
                  <w14:solidFill>
                    <w14:schemeClr w14:val="tx1"/>
                  </w14:solidFill>
                </w14:textFill>
              </w:rPr>
              <w:t>章</w:t>
            </w:r>
          </w:p>
        </w:tc>
        <w:tc>
          <w:tcPr>
            <w:tcW w:w="1016" w:type="pct"/>
            <w:tcBorders>
              <w:top w:val="single" w:color="auto" w:sz="4" w:space="0"/>
              <w:left w:val="single" w:color="auto" w:sz="4" w:space="0"/>
              <w:right w:val="single" w:color="auto" w:sz="4" w:space="0"/>
            </w:tcBorders>
            <w:vAlign w:val="center"/>
          </w:tcPr>
          <w:p w14:paraId="02228A85">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收到采购人书面通知的</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15</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天内交货</w:t>
            </w:r>
          </w:p>
        </w:tc>
      </w:tr>
    </w:tbl>
    <w:p w14:paraId="024E1D5C">
      <w:pPr>
        <w:rPr>
          <w:color w:val="auto"/>
          <w:sz w:val="24"/>
          <w:highlight w:val="none"/>
        </w:rPr>
      </w:pPr>
    </w:p>
    <w:p w14:paraId="0ADC4793">
      <w:pPr>
        <w:tabs>
          <w:tab w:val="left" w:pos="8280"/>
        </w:tabs>
        <w:autoSpaceDE w:val="0"/>
        <w:autoSpaceDN w:val="0"/>
        <w:adjustRightInd w:val="0"/>
        <w:spacing w:line="360" w:lineRule="auto"/>
        <w:ind w:right="25"/>
        <w:rPr>
          <w:rFonts w:hint="eastAsia" w:eastAsia="宋体"/>
          <w:b/>
          <w:color w:val="auto"/>
          <w:sz w:val="24"/>
          <w:highlight w:val="none"/>
          <w:lang w:val="en-US" w:eastAsia="zh-CN"/>
        </w:rPr>
      </w:pPr>
      <w:r>
        <w:rPr>
          <w:rFonts w:hint="eastAsia" w:eastAsia="宋体"/>
          <w:b/>
          <w:color w:val="auto"/>
          <w:sz w:val="24"/>
          <w:highlight w:val="none"/>
          <w:lang w:val="en-US" w:eastAsia="zh-CN"/>
        </w:rPr>
        <w:t>二、</w:t>
      </w:r>
      <w:r>
        <w:rPr>
          <w:rFonts w:hint="eastAsia" w:eastAsia="宋体"/>
          <w:b/>
          <w:color w:val="auto"/>
          <w:sz w:val="24"/>
          <w:highlight w:val="none"/>
        </w:rPr>
        <w:t>技术需求</w:t>
      </w:r>
    </w:p>
    <w:tbl>
      <w:tblPr>
        <w:tblStyle w:val="37"/>
        <w:tblW w:w="10205"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
        <w:gridCol w:w="740"/>
        <w:gridCol w:w="4054"/>
        <w:gridCol w:w="753"/>
        <w:gridCol w:w="822"/>
        <w:gridCol w:w="1932"/>
        <w:gridCol w:w="1452"/>
      </w:tblGrid>
      <w:tr w14:paraId="227B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52"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1418C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74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51C207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产品名称</w:t>
            </w:r>
          </w:p>
        </w:tc>
        <w:tc>
          <w:tcPr>
            <w:tcW w:w="405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C1F19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75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BB294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82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2F593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1932"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A0A2F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产品参考样图</w:t>
            </w:r>
          </w:p>
        </w:tc>
        <w:tc>
          <w:tcPr>
            <w:tcW w:w="1452"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24CAAF3">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推荐品牌</w:t>
            </w:r>
          </w:p>
        </w:tc>
      </w:tr>
      <w:tr w14:paraId="59F9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4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78AD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2ED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消毒柜</w:t>
            </w:r>
          </w:p>
        </w:tc>
        <w:tc>
          <w:tcPr>
            <w:tcW w:w="4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025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1、消洗间消毒柜:多功能保洁柜、紫外线、臭氧双重保洁，PTC热风中温烘干。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2、工作方式：中温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3、门材质：铝合金配玻璃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4、储存空间：双门单室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5、外壳材质：不锈钢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6、功率（W）：1200W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7、容积（L)：570L</w:t>
            </w:r>
          </w:p>
        </w:tc>
        <w:tc>
          <w:tcPr>
            <w:tcW w:w="7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CAA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AF1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B50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295275</wp:posOffset>
                  </wp:positionV>
                  <wp:extent cx="969645" cy="635"/>
                  <wp:effectExtent l="0" t="0" r="0" b="0"/>
                  <wp:wrapNone/>
                  <wp:docPr id="9" name="Picture_2"/>
                  <wp:cNvGraphicFramePr/>
                  <a:graphic xmlns:a="http://schemas.openxmlformats.org/drawingml/2006/main">
                    <a:graphicData uri="http://schemas.openxmlformats.org/drawingml/2006/picture">
                      <pic:pic xmlns:pic="http://schemas.openxmlformats.org/drawingml/2006/picture">
                        <pic:nvPicPr>
                          <pic:cNvPr id="9" name="Picture_2"/>
                          <pic:cNvPicPr/>
                        </pic:nvPicPr>
                        <pic:blipFill>
                          <a:blip r:embed="rId13"/>
                          <a:stretch>
                            <a:fillRect/>
                          </a:stretch>
                        </pic:blipFill>
                        <pic:spPr>
                          <a:xfrm>
                            <a:off x="0" y="0"/>
                            <a:ext cx="969645" cy="6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209550</wp:posOffset>
                  </wp:positionV>
                  <wp:extent cx="1169670" cy="0"/>
                  <wp:effectExtent l="0" t="0" r="0" b="0"/>
                  <wp:wrapNone/>
                  <wp:docPr id="5" name="Picture_2_SpCnt_1"/>
                  <wp:cNvGraphicFramePr/>
                  <a:graphic xmlns:a="http://schemas.openxmlformats.org/drawingml/2006/main">
                    <a:graphicData uri="http://schemas.openxmlformats.org/drawingml/2006/picture">
                      <pic:pic xmlns:pic="http://schemas.openxmlformats.org/drawingml/2006/picture">
                        <pic:nvPicPr>
                          <pic:cNvPr id="5" name="Picture_2_SpCnt_1"/>
                          <pic:cNvPicPr/>
                        </pic:nvPicPr>
                        <pic:blipFill>
                          <a:blip r:embed="rId14"/>
                          <a:stretch>
                            <a:fillRect/>
                          </a:stretch>
                        </pic:blipFill>
                        <pic:spPr>
                          <a:xfrm>
                            <a:off x="0" y="0"/>
                            <a:ext cx="1169670" cy="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240030</wp:posOffset>
                  </wp:positionH>
                  <wp:positionV relativeFrom="paragraph">
                    <wp:posOffset>57785</wp:posOffset>
                  </wp:positionV>
                  <wp:extent cx="830580" cy="1200785"/>
                  <wp:effectExtent l="0" t="0" r="7620" b="18415"/>
                  <wp:wrapNone/>
                  <wp:docPr id="6" name="Picture_1"/>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15"/>
                          <a:stretch>
                            <a:fillRect/>
                          </a:stretch>
                        </pic:blipFill>
                        <pic:spPr>
                          <a:xfrm>
                            <a:off x="0" y="0"/>
                            <a:ext cx="830580" cy="1200785"/>
                          </a:xfrm>
                          <a:prstGeom prst="rect">
                            <a:avLst/>
                          </a:prstGeom>
                          <a:noFill/>
                          <a:ln>
                            <a:noFill/>
                          </a:ln>
                        </pic:spPr>
                      </pic:pic>
                    </a:graphicData>
                  </a:graphic>
                </wp:anchor>
              </w:drawing>
            </w:r>
          </w:p>
        </w:tc>
        <w:tc>
          <w:tcPr>
            <w:tcW w:w="14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B34A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康宝/奥克斯/德玛士或相当于</w:t>
            </w:r>
          </w:p>
        </w:tc>
      </w:tr>
      <w:tr w14:paraId="3BD9B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4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12D3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110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吹风机</w:t>
            </w:r>
          </w:p>
        </w:tc>
        <w:tc>
          <w:tcPr>
            <w:tcW w:w="4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D7B5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1.颜色:粉、黄、蓝、绿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2.额定电压:220V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3.产品功率:1800W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4.功能:速干护发冷热风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5.温度调档:3挡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6.双重过热保护，负离子护发，六翼扇叶设计</w:t>
            </w:r>
          </w:p>
        </w:tc>
        <w:tc>
          <w:tcPr>
            <w:tcW w:w="7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D6D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035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w:t>
            </w:r>
          </w:p>
        </w:tc>
        <w:tc>
          <w:tcPr>
            <w:tcW w:w="1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D45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322580</wp:posOffset>
                  </wp:positionH>
                  <wp:positionV relativeFrom="paragraph">
                    <wp:posOffset>264795</wp:posOffset>
                  </wp:positionV>
                  <wp:extent cx="737235" cy="645795"/>
                  <wp:effectExtent l="0" t="0" r="5715" b="1905"/>
                  <wp:wrapNone/>
                  <wp:docPr id="8" name="Picture_2_SpCnt_2"/>
                  <wp:cNvGraphicFramePr/>
                  <a:graphic xmlns:a="http://schemas.openxmlformats.org/drawingml/2006/main">
                    <a:graphicData uri="http://schemas.openxmlformats.org/drawingml/2006/picture">
                      <pic:pic xmlns:pic="http://schemas.openxmlformats.org/drawingml/2006/picture">
                        <pic:nvPicPr>
                          <pic:cNvPr id="8" name="Picture_2_SpCnt_2"/>
                          <pic:cNvPicPr/>
                        </pic:nvPicPr>
                        <pic:blipFill>
                          <a:blip r:embed="rId16"/>
                          <a:stretch>
                            <a:fillRect/>
                          </a:stretch>
                        </pic:blipFill>
                        <pic:spPr>
                          <a:xfrm>
                            <a:off x="0" y="0"/>
                            <a:ext cx="737235" cy="645795"/>
                          </a:xfrm>
                          <a:prstGeom prst="rect">
                            <a:avLst/>
                          </a:prstGeom>
                          <a:noFill/>
                          <a:ln>
                            <a:noFill/>
                          </a:ln>
                        </pic:spPr>
                      </pic:pic>
                    </a:graphicData>
                  </a:graphic>
                </wp:anchor>
              </w:drawing>
            </w:r>
          </w:p>
        </w:tc>
        <w:tc>
          <w:tcPr>
            <w:tcW w:w="14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8669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美爵信达/肯特/科瑞德或相当于</w:t>
            </w:r>
          </w:p>
        </w:tc>
      </w:tr>
      <w:tr w14:paraId="69D7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4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45CC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A68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电热水壶</w:t>
            </w:r>
          </w:p>
        </w:tc>
        <w:tc>
          <w:tcPr>
            <w:tcW w:w="4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A5A8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1.黑色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2.功率:1800W ；容量1升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3.材质:不锈钢304</w:t>
            </w:r>
          </w:p>
        </w:tc>
        <w:tc>
          <w:tcPr>
            <w:tcW w:w="7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7D3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224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w:t>
            </w:r>
          </w:p>
        </w:tc>
        <w:tc>
          <w:tcPr>
            <w:tcW w:w="1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50A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306070</wp:posOffset>
                  </wp:positionH>
                  <wp:positionV relativeFrom="paragraph">
                    <wp:posOffset>90805</wp:posOffset>
                  </wp:positionV>
                  <wp:extent cx="714375" cy="866775"/>
                  <wp:effectExtent l="0" t="0" r="9525" b="9525"/>
                  <wp:wrapNone/>
                  <wp:docPr id="14" name="Picture_4"/>
                  <wp:cNvGraphicFramePr/>
                  <a:graphic xmlns:a="http://schemas.openxmlformats.org/drawingml/2006/main">
                    <a:graphicData uri="http://schemas.openxmlformats.org/drawingml/2006/picture">
                      <pic:pic xmlns:pic="http://schemas.openxmlformats.org/drawingml/2006/picture">
                        <pic:nvPicPr>
                          <pic:cNvPr id="14" name="Picture_4"/>
                          <pic:cNvPicPr/>
                        </pic:nvPicPr>
                        <pic:blipFill>
                          <a:blip r:embed="rId17"/>
                          <a:stretch>
                            <a:fillRect/>
                          </a:stretch>
                        </pic:blipFill>
                        <pic:spPr>
                          <a:xfrm>
                            <a:off x="0" y="0"/>
                            <a:ext cx="714375" cy="866775"/>
                          </a:xfrm>
                          <a:prstGeom prst="rect">
                            <a:avLst/>
                          </a:prstGeom>
                          <a:noFill/>
                          <a:ln>
                            <a:noFill/>
                          </a:ln>
                        </pic:spPr>
                      </pic:pic>
                    </a:graphicData>
                  </a:graphic>
                </wp:anchor>
              </w:drawing>
            </w:r>
          </w:p>
        </w:tc>
        <w:tc>
          <w:tcPr>
            <w:tcW w:w="14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83161">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bdr w:val="single" w:color="000000" w:sz="4" w:space="0"/>
                <w:shd w:val="clear" w:fill="FFFFFF"/>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r>
      <w:tr w14:paraId="73CA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4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A10E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9A8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迷你冰箱</w:t>
            </w:r>
          </w:p>
        </w:tc>
        <w:tc>
          <w:tcPr>
            <w:tcW w:w="4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A4B9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1.迷你冰箱,容量28L，尺寸：宽400×深390×高440mm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2.静音吸收式冰箱；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3.电子温控 自动除霜；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4.门开启左、右可选；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5.玻璃门；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6.内部隔板为白色塑料材质。</w:t>
            </w:r>
          </w:p>
        </w:tc>
        <w:tc>
          <w:tcPr>
            <w:tcW w:w="7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40C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15E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186</w:t>
            </w:r>
          </w:p>
        </w:tc>
        <w:tc>
          <w:tcPr>
            <w:tcW w:w="19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2963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66040</wp:posOffset>
                  </wp:positionH>
                  <wp:positionV relativeFrom="paragraph">
                    <wp:posOffset>181610</wp:posOffset>
                  </wp:positionV>
                  <wp:extent cx="838200" cy="866775"/>
                  <wp:effectExtent l="0" t="0" r="0" b="9525"/>
                  <wp:wrapNone/>
                  <wp:docPr id="13" name="Picture_3"/>
                  <wp:cNvGraphicFramePr/>
                  <a:graphic xmlns:a="http://schemas.openxmlformats.org/drawingml/2006/main">
                    <a:graphicData uri="http://schemas.openxmlformats.org/drawingml/2006/picture">
                      <pic:pic xmlns:pic="http://schemas.openxmlformats.org/drawingml/2006/picture">
                        <pic:nvPicPr>
                          <pic:cNvPr id="13" name="Picture_3"/>
                          <pic:cNvPicPr/>
                        </pic:nvPicPr>
                        <pic:blipFill>
                          <a:blip r:embed="rId18"/>
                          <a:stretch>
                            <a:fillRect/>
                          </a:stretch>
                        </pic:blipFill>
                        <pic:spPr>
                          <a:xfrm>
                            <a:off x="0" y="0"/>
                            <a:ext cx="838200" cy="8667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523875</wp:posOffset>
                  </wp:positionV>
                  <wp:extent cx="1196975" cy="1905"/>
                  <wp:effectExtent l="0" t="0" r="0" b="0"/>
                  <wp:wrapNone/>
                  <wp:docPr id="4" name="Picture_1_SpCnt_1"/>
                  <wp:cNvGraphicFramePr/>
                  <a:graphic xmlns:a="http://schemas.openxmlformats.org/drawingml/2006/main">
                    <a:graphicData uri="http://schemas.openxmlformats.org/drawingml/2006/picture">
                      <pic:pic xmlns:pic="http://schemas.openxmlformats.org/drawingml/2006/picture">
                        <pic:nvPicPr>
                          <pic:cNvPr id="4" name="Picture_1_SpCnt_1"/>
                          <pic:cNvPicPr/>
                        </pic:nvPicPr>
                        <pic:blipFill>
                          <a:blip r:embed="rId19"/>
                          <a:stretch>
                            <a:fillRect/>
                          </a:stretch>
                        </pic:blipFill>
                        <pic:spPr>
                          <a:xfrm>
                            <a:off x="0" y="0"/>
                            <a:ext cx="1196975" cy="1905"/>
                          </a:xfrm>
                          <a:prstGeom prst="rect">
                            <a:avLst/>
                          </a:prstGeom>
                          <a:noFill/>
                          <a:ln>
                            <a:noFill/>
                          </a:ln>
                        </pic:spPr>
                      </pic:pic>
                    </a:graphicData>
                  </a:graphic>
                </wp:anchor>
              </w:drawing>
            </w:r>
          </w:p>
        </w:tc>
        <w:tc>
          <w:tcPr>
            <w:tcW w:w="145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7D98D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bdr w:val="single" w:color="000000" w:sz="4" w:space="0"/>
                <w:shd w:val="clear" w:fill="FFFFFF"/>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r>
      <w:tr w14:paraId="3FBB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4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CD05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2C3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LED灯圆形化妆镜</w:t>
            </w:r>
          </w:p>
        </w:tc>
        <w:tc>
          <w:tcPr>
            <w:tcW w:w="4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B9F2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1.雅黑色铜+不锈钢，表面过国标盐雾测试                                              2、8寸镜面，双面镜，3倍放大</w:t>
            </w:r>
          </w:p>
        </w:tc>
        <w:tc>
          <w:tcPr>
            <w:tcW w:w="7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551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623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w:t>
            </w:r>
          </w:p>
        </w:tc>
        <w:tc>
          <w:tcPr>
            <w:tcW w:w="19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EC1F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165100</wp:posOffset>
                  </wp:positionH>
                  <wp:positionV relativeFrom="paragraph">
                    <wp:posOffset>231775</wp:posOffset>
                  </wp:positionV>
                  <wp:extent cx="933450" cy="1009650"/>
                  <wp:effectExtent l="0" t="0" r="0" b="0"/>
                  <wp:wrapNone/>
                  <wp:docPr id="10" name="Picture_1_SpCnt_2"/>
                  <wp:cNvGraphicFramePr/>
                  <a:graphic xmlns:a="http://schemas.openxmlformats.org/drawingml/2006/main">
                    <a:graphicData uri="http://schemas.openxmlformats.org/drawingml/2006/picture">
                      <pic:pic xmlns:pic="http://schemas.openxmlformats.org/drawingml/2006/picture">
                        <pic:nvPicPr>
                          <pic:cNvPr id="10" name="Picture_1_SpCnt_2"/>
                          <pic:cNvPicPr/>
                        </pic:nvPicPr>
                        <pic:blipFill>
                          <a:blip r:embed="rId20"/>
                          <a:stretch>
                            <a:fillRect/>
                          </a:stretch>
                        </pic:blipFill>
                        <pic:spPr>
                          <a:xfrm>
                            <a:off x="0" y="0"/>
                            <a:ext cx="933450" cy="1009650"/>
                          </a:xfrm>
                          <a:prstGeom prst="rect">
                            <a:avLst/>
                          </a:prstGeom>
                          <a:noFill/>
                          <a:ln>
                            <a:noFill/>
                          </a:ln>
                        </pic:spPr>
                      </pic:pic>
                    </a:graphicData>
                  </a:graphic>
                </wp:anchor>
              </w:drawing>
            </w:r>
          </w:p>
        </w:tc>
        <w:tc>
          <w:tcPr>
            <w:tcW w:w="145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0B96F3">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bdr w:val="single" w:color="000000" w:sz="4" w:space="0"/>
                <w:shd w:val="clear" w:fill="FFFFFF"/>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r>
      <w:tr w14:paraId="7873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5" w:hRule="atLeast"/>
        </w:trPr>
        <w:tc>
          <w:tcPr>
            <w:tcW w:w="4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57C8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4AC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客房电话机</w:t>
            </w:r>
          </w:p>
        </w:tc>
        <w:tc>
          <w:tcPr>
            <w:tcW w:w="4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9C87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1.采用进口的音响级芯片；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2.可设10/5组一键通速拨服务键，速拨键一键呼出；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3.话机外壳采用ABS优质防火材料；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4.线路板采用环氧树脂双面玻纤板；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5.速拨键采用EEPROM电可擦写技术，断电信息不会丢失；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6.一键式提取留言灯；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7.具备闪断、静音、重拨、保持等功能；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8.重拨32位号码，30分钟后重拨号码自动消失；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9.听筒兼容助听器</w:t>
            </w:r>
          </w:p>
        </w:tc>
        <w:tc>
          <w:tcPr>
            <w:tcW w:w="7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C9E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486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w:t>
            </w:r>
          </w:p>
        </w:tc>
        <w:tc>
          <w:tcPr>
            <w:tcW w:w="19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0A99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248285</wp:posOffset>
                  </wp:positionH>
                  <wp:positionV relativeFrom="paragraph">
                    <wp:posOffset>372110</wp:posOffset>
                  </wp:positionV>
                  <wp:extent cx="843280" cy="1474470"/>
                  <wp:effectExtent l="0" t="0" r="13970" b="11430"/>
                  <wp:wrapNone/>
                  <wp:docPr id="12" name="Picture_2_SpCnt_3"/>
                  <wp:cNvGraphicFramePr/>
                  <a:graphic xmlns:a="http://schemas.openxmlformats.org/drawingml/2006/main">
                    <a:graphicData uri="http://schemas.openxmlformats.org/drawingml/2006/picture">
                      <pic:pic xmlns:pic="http://schemas.openxmlformats.org/drawingml/2006/picture">
                        <pic:nvPicPr>
                          <pic:cNvPr id="12" name="Picture_2_SpCnt_3"/>
                          <pic:cNvPicPr/>
                        </pic:nvPicPr>
                        <pic:blipFill>
                          <a:blip r:embed="rId21"/>
                          <a:stretch>
                            <a:fillRect/>
                          </a:stretch>
                        </pic:blipFill>
                        <pic:spPr>
                          <a:xfrm>
                            <a:off x="0" y="0"/>
                            <a:ext cx="843280" cy="1474470"/>
                          </a:xfrm>
                          <a:prstGeom prst="rect">
                            <a:avLst/>
                          </a:prstGeom>
                          <a:noFill/>
                          <a:ln>
                            <a:noFill/>
                          </a:ln>
                        </pic:spPr>
                      </pic:pic>
                    </a:graphicData>
                  </a:graphic>
                </wp:anchor>
              </w:drawing>
            </w:r>
          </w:p>
        </w:tc>
        <w:tc>
          <w:tcPr>
            <w:tcW w:w="145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8A1F4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美爵信达/肯特/比特或相当于</w:t>
            </w:r>
          </w:p>
        </w:tc>
      </w:tr>
      <w:tr w14:paraId="2B11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A201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8DA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前厅电话机</w:t>
            </w:r>
          </w:p>
        </w:tc>
        <w:tc>
          <w:tcPr>
            <w:tcW w:w="40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91BB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1.适用FSK和DTMF双制式来电显示；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2.10个单键储存快速拨号键，EEPROM存储号码永不丢失；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3.手柄/免提/耳机互转通话；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4.留言信息灯一键式提取；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5.具用重拨，转接，HOLD(保持)和MUTE(静音)功能；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6.单键循环4级音量调节，手柄/免提/耳机共用音量调节键，铃声音量三档调节；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7.多达两百组电话簿功能；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8.来电显示屏幕可九级调整角度可根据客户使用习惯调整；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9.配有便利的数据接口DataPort，可接驳分机和传真机。</w:t>
            </w:r>
          </w:p>
        </w:tc>
        <w:tc>
          <w:tcPr>
            <w:tcW w:w="7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5E4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D12A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932" w:type="dxa"/>
            <w:vMerge w:val="restart"/>
            <w:tcBorders>
              <w:top w:val="single" w:color="000000" w:sz="4" w:space="0"/>
              <w:left w:val="single" w:color="000000" w:sz="4" w:space="0"/>
              <w:bottom w:val="single" w:color="000000" w:sz="4" w:space="0"/>
              <w:right w:val="single" w:color="000000" w:sz="8" w:space="0"/>
            </w:tcBorders>
            <w:shd w:val="clear" w:color="FFFFFF" w:fill="FFFFFF"/>
            <w:vAlign w:val="center"/>
          </w:tcPr>
          <w:p w14:paraId="48A0DC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231775</wp:posOffset>
                  </wp:positionH>
                  <wp:positionV relativeFrom="paragraph">
                    <wp:posOffset>363855</wp:posOffset>
                  </wp:positionV>
                  <wp:extent cx="843280" cy="1476375"/>
                  <wp:effectExtent l="0" t="0" r="13970" b="9525"/>
                  <wp:wrapNone/>
                  <wp:docPr id="7" name="Picture_2_SpCnt_4"/>
                  <wp:cNvGraphicFramePr/>
                  <a:graphic xmlns:a="http://schemas.openxmlformats.org/drawingml/2006/main">
                    <a:graphicData uri="http://schemas.openxmlformats.org/drawingml/2006/picture">
                      <pic:pic xmlns:pic="http://schemas.openxmlformats.org/drawingml/2006/picture">
                        <pic:nvPicPr>
                          <pic:cNvPr id="7" name="Picture_2_SpCnt_4"/>
                          <pic:cNvPicPr/>
                        </pic:nvPicPr>
                        <pic:blipFill>
                          <a:blip r:embed="rId21"/>
                          <a:stretch>
                            <a:fillRect/>
                          </a:stretch>
                        </pic:blipFill>
                        <pic:spPr>
                          <a:xfrm>
                            <a:off x="0" y="0"/>
                            <a:ext cx="843280" cy="1476375"/>
                          </a:xfrm>
                          <a:prstGeom prst="rect">
                            <a:avLst/>
                          </a:prstGeom>
                          <a:noFill/>
                          <a:ln>
                            <a:noFill/>
                          </a:ln>
                        </pic:spPr>
                      </pic:pic>
                    </a:graphicData>
                  </a:graphic>
                </wp:anchor>
              </w:drawing>
            </w:r>
          </w:p>
        </w:tc>
        <w:tc>
          <w:tcPr>
            <w:tcW w:w="1452" w:type="dxa"/>
            <w:vMerge w:val="restart"/>
            <w:tcBorders>
              <w:top w:val="single" w:color="000000" w:sz="4" w:space="0"/>
              <w:left w:val="single" w:color="000000" w:sz="4" w:space="0"/>
              <w:right w:val="single" w:color="000000" w:sz="8" w:space="0"/>
            </w:tcBorders>
            <w:shd w:val="clear" w:color="FFFFFF" w:fill="FFFFFF"/>
            <w:vAlign w:val="center"/>
          </w:tcPr>
          <w:p w14:paraId="031E3F9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美爵信达/肯特/比特或相当于</w:t>
            </w:r>
          </w:p>
        </w:tc>
      </w:tr>
      <w:tr w14:paraId="01F3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4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0E0E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14A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办公室电话机</w:t>
            </w:r>
          </w:p>
        </w:tc>
        <w:tc>
          <w:tcPr>
            <w:tcW w:w="40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8A0829">
            <w:pPr>
              <w:jc w:val="left"/>
              <w:rPr>
                <w:rFonts w:hint="eastAsia" w:ascii="宋体" w:hAnsi="宋体" w:eastAsia="宋体" w:cs="宋体"/>
                <w:i w:val="0"/>
                <w:iCs w:val="0"/>
                <w:color w:val="000000"/>
                <w:sz w:val="20"/>
                <w:szCs w:val="20"/>
                <w:highlight w:val="none"/>
                <w:u w:val="none"/>
              </w:rPr>
            </w:pPr>
          </w:p>
        </w:tc>
        <w:tc>
          <w:tcPr>
            <w:tcW w:w="7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571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61E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932" w:type="dxa"/>
            <w:vMerge w:val="continue"/>
            <w:tcBorders>
              <w:top w:val="single" w:color="000000" w:sz="4" w:space="0"/>
              <w:left w:val="single" w:color="000000" w:sz="4" w:space="0"/>
              <w:bottom w:val="single" w:color="000000" w:sz="4" w:space="0"/>
              <w:right w:val="single" w:color="000000" w:sz="8" w:space="0"/>
            </w:tcBorders>
            <w:shd w:val="clear" w:color="FFFFFF" w:fill="FFFFFF"/>
            <w:vAlign w:val="center"/>
          </w:tcPr>
          <w:p w14:paraId="3A8DC32D">
            <w:pPr>
              <w:jc w:val="center"/>
              <w:rPr>
                <w:rFonts w:hint="eastAsia" w:ascii="宋体" w:hAnsi="宋体" w:eastAsia="宋体" w:cs="宋体"/>
                <w:i w:val="0"/>
                <w:iCs w:val="0"/>
                <w:color w:val="000000"/>
                <w:sz w:val="18"/>
                <w:szCs w:val="18"/>
                <w:highlight w:val="none"/>
                <w:u w:val="none"/>
              </w:rPr>
            </w:pPr>
          </w:p>
        </w:tc>
        <w:tc>
          <w:tcPr>
            <w:tcW w:w="1452" w:type="dxa"/>
            <w:vMerge w:val="continue"/>
            <w:tcBorders>
              <w:left w:val="single" w:color="000000" w:sz="4" w:space="0"/>
              <w:bottom w:val="single" w:color="000000" w:sz="4" w:space="0"/>
              <w:right w:val="single" w:color="000000" w:sz="8" w:space="0"/>
            </w:tcBorders>
            <w:shd w:val="clear" w:color="FFFFFF" w:fill="FFFFFF"/>
            <w:vAlign w:val="center"/>
          </w:tcPr>
          <w:p w14:paraId="53F13C27">
            <w:pPr>
              <w:jc w:val="center"/>
              <w:rPr>
                <w:rFonts w:hint="eastAsia" w:ascii="宋体" w:hAnsi="宋体" w:eastAsia="宋体" w:cs="宋体"/>
                <w:i w:val="0"/>
                <w:iCs w:val="0"/>
                <w:color w:val="000000"/>
                <w:sz w:val="18"/>
                <w:szCs w:val="18"/>
                <w:highlight w:val="none"/>
                <w:u w:val="none"/>
              </w:rPr>
            </w:pPr>
          </w:p>
        </w:tc>
      </w:tr>
      <w:tr w14:paraId="0A94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5" w:hRule="atLeast"/>
        </w:trPr>
        <w:tc>
          <w:tcPr>
            <w:tcW w:w="4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CB65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E21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显示设备</w:t>
            </w:r>
          </w:p>
        </w:tc>
        <w:tc>
          <w:tcPr>
            <w:tcW w:w="4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A4A9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1.名称:55寸智能电视机（含支架等）安装；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2.监视器数量:全面屏设计,全金属后盖；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3.分辨率：支持3840×2160，4K；64位4核处理器 安卓系统；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4.运行内存：≥1.5G；内部存储空间：≥8G；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5.酒店功能（除常规商用功能以外包含酒店适用的商用电视系统，定制开机画面/开机视频等功能，无开机广告或其他系统产生的广告，可实现无机顶盒观看电视功能）。</w:t>
            </w:r>
          </w:p>
        </w:tc>
        <w:tc>
          <w:tcPr>
            <w:tcW w:w="7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8B3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D29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w:t>
            </w:r>
          </w:p>
        </w:tc>
        <w:tc>
          <w:tcPr>
            <w:tcW w:w="19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AB9F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165100</wp:posOffset>
                  </wp:positionH>
                  <wp:positionV relativeFrom="paragraph">
                    <wp:posOffset>753110</wp:posOffset>
                  </wp:positionV>
                  <wp:extent cx="969010" cy="695960"/>
                  <wp:effectExtent l="0" t="0" r="2540" b="8890"/>
                  <wp:wrapNone/>
                  <wp:docPr id="11" name="Picture_6"/>
                  <wp:cNvGraphicFramePr/>
                  <a:graphic xmlns:a="http://schemas.openxmlformats.org/drawingml/2006/main">
                    <a:graphicData uri="http://schemas.openxmlformats.org/drawingml/2006/picture">
                      <pic:pic xmlns:pic="http://schemas.openxmlformats.org/drawingml/2006/picture">
                        <pic:nvPicPr>
                          <pic:cNvPr id="11" name="Picture_6"/>
                          <pic:cNvPicPr/>
                        </pic:nvPicPr>
                        <pic:blipFill>
                          <a:blip r:embed="rId22"/>
                          <a:stretch>
                            <a:fillRect/>
                          </a:stretch>
                        </pic:blipFill>
                        <pic:spPr>
                          <a:xfrm>
                            <a:off x="0" y="0"/>
                            <a:ext cx="969010" cy="695960"/>
                          </a:xfrm>
                          <a:prstGeom prst="rect">
                            <a:avLst/>
                          </a:prstGeom>
                          <a:noFill/>
                          <a:ln>
                            <a:noFill/>
                          </a:ln>
                        </pic:spPr>
                      </pic:pic>
                    </a:graphicData>
                  </a:graphic>
                </wp:anchor>
              </w:drawing>
            </w:r>
          </w:p>
        </w:tc>
        <w:tc>
          <w:tcPr>
            <w:tcW w:w="145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F764BC">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bdr w:val="single" w:color="000000" w:sz="4" w:space="0"/>
                <w:shd w:val="clear" w:fill="FFFFFF"/>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海信/tcl/东芝或相当于</w:t>
            </w:r>
          </w:p>
        </w:tc>
      </w:tr>
    </w:tbl>
    <w:p w14:paraId="6554EF49">
      <w:pPr>
        <w:pStyle w:val="21"/>
        <w:snapToGrid w:val="0"/>
        <w:spacing w:before="0" w:beforeLines="0" w:after="0" w:afterLines="0" w:line="240" w:lineRule="auto"/>
        <w:rPr>
          <w:rFonts w:hAnsi="宋体" w:cs="宋体"/>
          <w:b w:val="0"/>
          <w:bCs/>
          <w:color w:val="auto"/>
          <w:highlight w:val="none"/>
        </w:rPr>
      </w:pPr>
      <w:r>
        <w:rPr>
          <w:rFonts w:hAnsi="宋体" w:cs="宋体"/>
          <w:bCs/>
          <w:color w:val="auto"/>
          <w:highlight w:val="none"/>
        </w:rPr>
        <w:t>注</w:t>
      </w:r>
      <w:r>
        <w:rPr>
          <w:rFonts w:hAnsi="宋体" w:cs="宋体"/>
          <w:b w:val="0"/>
          <w:bCs/>
          <w:color w:val="auto"/>
          <w:highlight w:val="none"/>
        </w:rPr>
        <w:t>：1、实际供货数量以采购人发出的定单为准；</w:t>
      </w:r>
    </w:p>
    <w:p w14:paraId="6F705DDE">
      <w:pPr>
        <w:pStyle w:val="21"/>
        <w:snapToGrid w:val="0"/>
        <w:spacing w:before="0" w:beforeLines="0" w:after="0" w:afterLines="0" w:line="240" w:lineRule="auto"/>
        <w:ind w:firstLine="480" w:firstLineChars="200"/>
        <w:rPr>
          <w:rFonts w:ascii="宋体" w:hAnsi="宋体" w:eastAsia="宋体" w:cs="宋体"/>
          <w:b w:val="0"/>
          <w:bCs/>
          <w:color w:val="auto"/>
          <w:highlight w:val="none"/>
        </w:rPr>
      </w:pPr>
      <w:r>
        <w:rPr>
          <w:rFonts w:hint="eastAsia" w:hAnsi="宋体" w:cs="宋体"/>
          <w:b w:val="0"/>
          <w:bCs/>
          <w:color w:val="auto"/>
          <w:highlight w:val="none"/>
          <w:lang w:val="en-US" w:eastAsia="zh-CN"/>
        </w:rPr>
        <w:t>2、</w:t>
      </w:r>
      <w:r>
        <w:rPr>
          <w:rFonts w:hAnsi="宋体" w:cs="宋体"/>
          <w:b w:val="0"/>
          <w:bCs/>
          <w:color w:val="auto"/>
          <w:highlight w:val="none"/>
        </w:rPr>
        <w:t>▲工</w:t>
      </w:r>
      <w:r>
        <w:rPr>
          <w:rFonts w:ascii="宋体" w:hAnsi="宋体" w:eastAsia="宋体" w:cs="宋体"/>
          <w:b w:val="0"/>
          <w:bCs/>
          <w:color w:val="auto"/>
          <w:highlight w:val="none"/>
        </w:rPr>
        <w:t>程量清单数量按照招标文件提供的数量报价，不得增减。</w:t>
      </w:r>
    </w:p>
    <w:p w14:paraId="077CCFCE">
      <w:pPr>
        <w:pStyle w:val="21"/>
        <w:snapToGrid w:val="0"/>
        <w:spacing w:before="0" w:beforeLines="0" w:after="0" w:afterLines="0" w:line="240" w:lineRule="auto"/>
        <w:ind w:firstLine="480" w:firstLineChars="200"/>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3、采购人应优先采用以上品牌、生产厂家的产品，若采用其他品牌（或相当于以上品牌档次）、生产厂家的产品时，替代产品品质不低于原有产品并经招标人签证认可。</w:t>
      </w:r>
    </w:p>
    <w:p w14:paraId="04907718">
      <w:pPr>
        <w:autoSpaceDE w:val="0"/>
        <w:autoSpaceDN w:val="0"/>
        <w:adjustRightInd w:val="0"/>
        <w:rPr>
          <w:rFonts w:hint="eastAsia" w:ascii="宋体" w:hAnsi="宋体" w:cs="宋体"/>
          <w:b/>
          <w:bCs/>
          <w:color w:val="auto"/>
          <w:sz w:val="24"/>
          <w:highlight w:val="none"/>
        </w:rPr>
      </w:pPr>
      <w:r>
        <w:rPr>
          <w:rFonts w:hint="eastAsia" w:ascii="宋体" w:hAnsi="宋体" w:cs="宋体"/>
          <w:b/>
          <w:bCs/>
          <w:color w:val="auto"/>
          <w:sz w:val="24"/>
          <w:highlight w:val="none"/>
        </w:rPr>
        <w:t>三、工作范围：</w:t>
      </w:r>
    </w:p>
    <w:p w14:paraId="074A8FD0">
      <w:pPr>
        <w:autoSpaceDE w:val="0"/>
        <w:autoSpaceDN w:val="0"/>
        <w:adjustRightIn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根据招标文件要求，投标人须按国家有关标准及规范完成下列工作：</w:t>
      </w:r>
    </w:p>
    <w:p w14:paraId="5143DDB5">
      <w:pPr>
        <w:autoSpaceDE w:val="0"/>
        <w:autoSpaceDN w:val="0"/>
        <w:adjustRightIn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（一）材料及相关附件的提供、运输、安装、检验、通过验收，供应商须按国家有关规定及标准完成本次招标设备的提供、运输、安装、检验、通过有关部门验收。</w:t>
      </w:r>
    </w:p>
    <w:p w14:paraId="3FF08AC4">
      <w:pPr>
        <w:autoSpaceDE w:val="0"/>
        <w:autoSpaceDN w:val="0"/>
        <w:adjustRightIn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（二）售后服务的措施及承诺，维保期上门服务、</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终身维修等各项工作，并保证</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使用的安全性能与检测结果的可靠性。</w:t>
      </w:r>
    </w:p>
    <w:p w14:paraId="4C40363C">
      <w:pP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四、质量保证</w:t>
      </w:r>
    </w:p>
    <w:p w14:paraId="0D956799">
      <w:pPr>
        <w:ind w:firstLine="480" w:firstLineChars="20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lang w:bidi="ar"/>
        </w:rPr>
        <w:t>1、中标单位须按国家有关规定及标准完成本次采购</w:t>
      </w:r>
      <w:r>
        <w:rPr>
          <w:rFonts w:hint="eastAsia" w:ascii="宋体" w:hAnsi="宋体" w:cs="宋体"/>
          <w:color w:val="auto"/>
          <w:kern w:val="0"/>
          <w:sz w:val="24"/>
          <w:szCs w:val="22"/>
          <w:highlight w:val="none"/>
          <w:lang w:eastAsia="zh-CN" w:bidi="ar"/>
        </w:rPr>
        <w:t>货物</w:t>
      </w:r>
      <w:r>
        <w:rPr>
          <w:rFonts w:hint="eastAsia" w:ascii="宋体" w:hAnsi="宋体" w:cs="宋体"/>
          <w:color w:val="auto"/>
          <w:kern w:val="0"/>
          <w:sz w:val="24"/>
          <w:szCs w:val="22"/>
          <w:highlight w:val="none"/>
          <w:lang w:bidi="ar"/>
        </w:rPr>
        <w:t>的供货、运输、安装、调试、检验、通过有关部门验收、培训、质保期上门服务、</w:t>
      </w:r>
      <w:r>
        <w:rPr>
          <w:rFonts w:hint="eastAsia" w:ascii="宋体" w:hAnsi="宋体" w:cs="宋体"/>
          <w:color w:val="auto"/>
          <w:kern w:val="0"/>
          <w:sz w:val="24"/>
          <w:szCs w:val="22"/>
          <w:highlight w:val="none"/>
          <w:lang w:eastAsia="zh-CN" w:bidi="ar"/>
        </w:rPr>
        <w:t>货物</w:t>
      </w:r>
      <w:r>
        <w:rPr>
          <w:rFonts w:hint="eastAsia" w:ascii="宋体" w:hAnsi="宋体" w:cs="宋体"/>
          <w:color w:val="auto"/>
          <w:kern w:val="0"/>
          <w:sz w:val="24"/>
          <w:szCs w:val="22"/>
          <w:highlight w:val="none"/>
          <w:lang w:bidi="ar"/>
        </w:rPr>
        <w:t>终身维修等各项工作，并保证</w:t>
      </w:r>
      <w:r>
        <w:rPr>
          <w:rFonts w:hint="eastAsia" w:ascii="宋体" w:hAnsi="宋体" w:cs="宋体"/>
          <w:color w:val="auto"/>
          <w:kern w:val="0"/>
          <w:sz w:val="24"/>
          <w:szCs w:val="22"/>
          <w:highlight w:val="none"/>
          <w:lang w:eastAsia="zh-CN" w:bidi="ar"/>
        </w:rPr>
        <w:t>货物</w:t>
      </w:r>
      <w:r>
        <w:rPr>
          <w:rFonts w:hint="eastAsia" w:ascii="宋体" w:hAnsi="宋体" w:cs="宋体"/>
          <w:color w:val="auto"/>
          <w:kern w:val="0"/>
          <w:sz w:val="24"/>
          <w:szCs w:val="22"/>
          <w:highlight w:val="none"/>
          <w:lang w:bidi="ar"/>
        </w:rPr>
        <w:t>使用的安全性能与检测结果的可靠性。</w:t>
      </w:r>
      <w:r>
        <w:rPr>
          <w:rFonts w:hint="eastAsia" w:ascii="宋体" w:hAnsi="宋体" w:cs="宋体"/>
          <w:color w:val="auto"/>
          <w:kern w:val="0"/>
          <w:sz w:val="24"/>
          <w:szCs w:val="22"/>
          <w:highlight w:val="none"/>
          <w:lang w:val="en-US" w:eastAsia="zh-CN" w:bidi="ar"/>
        </w:rPr>
        <w:t>货物</w:t>
      </w:r>
      <w:r>
        <w:rPr>
          <w:rFonts w:hint="eastAsia" w:ascii="宋体" w:hAnsi="宋体" w:cs="宋体"/>
          <w:color w:val="auto"/>
          <w:kern w:val="0"/>
          <w:sz w:val="24"/>
          <w:szCs w:val="22"/>
          <w:highlight w:val="none"/>
          <w:lang w:bidi="ar"/>
        </w:rPr>
        <w:t>验收过程中，由于质量不合格或运输等原因所造成的一切费用均由中标单位负责。</w:t>
      </w:r>
    </w:p>
    <w:p w14:paraId="148A23B6">
      <w:pPr>
        <w:rPr>
          <w:rFonts w:hint="eastAsia" w:ascii="宋体" w:hAnsi="宋体" w:cs="宋体"/>
          <w:b/>
          <w:color w:val="auto"/>
          <w:kern w:val="0"/>
          <w:sz w:val="24"/>
          <w:highlight w:val="none"/>
        </w:rPr>
      </w:pPr>
      <w:bookmarkStart w:id="6" w:name="_Toc525049748"/>
      <w:r>
        <w:rPr>
          <w:rFonts w:hint="eastAsia" w:ascii="宋体" w:hAnsi="宋体" w:cs="宋体"/>
          <w:b/>
          <w:color w:val="auto"/>
          <w:kern w:val="0"/>
          <w:sz w:val="24"/>
          <w:highlight w:val="none"/>
          <w:lang w:val="en-US" w:eastAsia="zh-CN" w:bidi="ar"/>
        </w:rPr>
        <w:t>五</w:t>
      </w:r>
      <w:r>
        <w:rPr>
          <w:rFonts w:hint="eastAsia" w:ascii="宋体" w:hAnsi="宋体" w:cs="宋体"/>
          <w:b/>
          <w:color w:val="auto"/>
          <w:kern w:val="0"/>
          <w:sz w:val="24"/>
          <w:highlight w:val="none"/>
          <w:lang w:bidi="ar"/>
        </w:rPr>
        <w:t>、项目质保与售后服务要求</w:t>
      </w:r>
      <w:bookmarkEnd w:id="6"/>
    </w:p>
    <w:p w14:paraId="255B7AAD">
      <w:pPr>
        <w:widowControl/>
        <w:ind w:right="60" w:firstLine="470" w:firstLineChars="196"/>
        <w:jc w:val="left"/>
        <w:outlineLvl w:val="0"/>
        <w:rPr>
          <w:rFonts w:hint="eastAsia" w:ascii="宋体" w:hAnsi="宋体" w:cs="宋体"/>
          <w:color w:val="auto"/>
          <w:kern w:val="0"/>
          <w:sz w:val="24"/>
          <w:szCs w:val="22"/>
          <w:highlight w:val="none"/>
          <w:lang w:val="zh-CN"/>
        </w:rPr>
      </w:pPr>
      <w:bookmarkStart w:id="7" w:name="_Toc525049749"/>
      <w:bookmarkStart w:id="8" w:name="_Toc525049674"/>
      <w:r>
        <w:rPr>
          <w:rFonts w:hint="eastAsia" w:ascii="宋体" w:hAnsi="宋体" w:cs="宋体"/>
          <w:color w:val="auto"/>
          <w:kern w:val="0"/>
          <w:sz w:val="24"/>
          <w:szCs w:val="22"/>
          <w:highlight w:val="none"/>
          <w:lang w:val="zh-CN" w:bidi="ar"/>
        </w:rPr>
        <w:t>（一）项目质保要求：</w:t>
      </w:r>
      <w:bookmarkEnd w:id="7"/>
      <w:bookmarkEnd w:id="8"/>
    </w:p>
    <w:p w14:paraId="706A8B62">
      <w:pPr>
        <w:widowControl/>
        <w:ind w:right="60" w:firstLine="470" w:firstLineChars="196"/>
        <w:jc w:val="left"/>
        <w:outlineLvl w:val="0"/>
        <w:rPr>
          <w:rFonts w:hint="eastAsia" w:ascii="宋体" w:hAnsi="宋体" w:cs="宋体"/>
          <w:color w:val="auto"/>
          <w:sz w:val="24"/>
          <w:szCs w:val="22"/>
          <w:highlight w:val="none"/>
        </w:rPr>
      </w:pPr>
      <w:bookmarkStart w:id="9" w:name="_Toc525049675"/>
      <w:bookmarkStart w:id="10" w:name="_Toc525049750"/>
      <w:r>
        <w:rPr>
          <w:rFonts w:hint="eastAsia" w:ascii="宋体" w:hAnsi="宋体" w:cs="宋体"/>
          <w:color w:val="auto"/>
          <w:sz w:val="24"/>
          <w:szCs w:val="22"/>
          <w:highlight w:val="none"/>
          <w:lang w:bidi="ar"/>
        </w:rPr>
        <w:t>本项目所有产品</w:t>
      </w:r>
      <w:r>
        <w:rPr>
          <w:rFonts w:hint="eastAsia" w:ascii="宋体" w:hAnsi="宋体" w:cs="宋体"/>
          <w:color w:val="auto"/>
          <w:sz w:val="24"/>
          <w:szCs w:val="22"/>
          <w:highlight w:val="none"/>
          <w:lang w:val="en-US" w:eastAsia="zh-CN" w:bidi="ar"/>
        </w:rPr>
        <w:t>主要部件和屏体质保期不少于3年</w:t>
      </w:r>
      <w:r>
        <w:rPr>
          <w:rFonts w:hint="eastAsia" w:ascii="宋体" w:hAnsi="宋体" w:cs="宋体"/>
          <w:color w:val="auto"/>
          <w:sz w:val="24"/>
          <w:szCs w:val="22"/>
          <w:highlight w:val="none"/>
          <w:lang w:bidi="ar"/>
        </w:rPr>
        <w:t>。所有质保期自项目验收合格次日起计算</w:t>
      </w:r>
      <w:r>
        <w:rPr>
          <w:rFonts w:hint="eastAsia" w:ascii="宋体" w:hAnsi="宋体" w:cs="宋体"/>
          <w:color w:val="auto"/>
          <w:sz w:val="24"/>
          <w:szCs w:val="22"/>
          <w:highlight w:val="none"/>
          <w:lang w:eastAsia="zh-CN" w:bidi="ar"/>
        </w:rPr>
        <w:t>，中标人供货的产品出厂时间需在一年以内</w:t>
      </w:r>
      <w:r>
        <w:rPr>
          <w:rFonts w:hint="eastAsia" w:ascii="宋体" w:hAnsi="宋体" w:cs="宋体"/>
          <w:color w:val="auto"/>
          <w:sz w:val="24"/>
          <w:szCs w:val="22"/>
          <w:highlight w:val="none"/>
          <w:lang w:bidi="ar"/>
        </w:rPr>
        <w:t>。</w:t>
      </w:r>
      <w:r>
        <w:rPr>
          <w:rFonts w:hint="eastAsia" w:ascii="宋体" w:hAnsi="宋体" w:cs="宋体"/>
          <w:color w:val="auto"/>
          <w:kern w:val="0"/>
          <w:sz w:val="24"/>
          <w:szCs w:val="22"/>
          <w:highlight w:val="none"/>
          <w:lang w:val="zh-CN" w:bidi="ar"/>
        </w:rPr>
        <w:t>质保期内要求免费上门服务，并</w:t>
      </w:r>
      <w:r>
        <w:rPr>
          <w:rFonts w:hint="eastAsia" w:ascii="宋体" w:hAnsi="宋体" w:cs="宋体"/>
          <w:color w:val="auto"/>
          <w:sz w:val="24"/>
          <w:szCs w:val="22"/>
          <w:highlight w:val="none"/>
          <w:lang w:bidi="ar"/>
        </w:rPr>
        <w:t>严格按照国家三包规定执行。</w:t>
      </w:r>
      <w:bookmarkEnd w:id="9"/>
      <w:bookmarkEnd w:id="10"/>
    </w:p>
    <w:p w14:paraId="663D7708">
      <w:pPr>
        <w:ind w:firstLine="480" w:firstLineChars="20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lang w:bidi="ar"/>
        </w:rPr>
        <w:t>（二）项目售后服务要求：</w:t>
      </w:r>
    </w:p>
    <w:p w14:paraId="02589340">
      <w:pPr>
        <w:ind w:firstLine="480" w:firstLineChars="200"/>
        <w:rPr>
          <w:rFonts w:hint="eastAsia" w:ascii="宋体" w:hAnsi="宋体" w:cs="宋体"/>
          <w:color w:val="auto"/>
          <w:kern w:val="0"/>
          <w:sz w:val="24"/>
          <w:szCs w:val="22"/>
          <w:highlight w:val="none"/>
          <w:lang w:bidi="ar"/>
        </w:rPr>
      </w:pPr>
      <w:r>
        <w:rPr>
          <w:rFonts w:hint="eastAsia" w:ascii="宋体" w:hAnsi="宋体" w:cs="宋体"/>
          <w:color w:val="auto"/>
          <w:kern w:val="0"/>
          <w:sz w:val="24"/>
          <w:szCs w:val="22"/>
          <w:highlight w:val="none"/>
          <w:lang w:bidi="ar"/>
        </w:rPr>
        <w:t>中标单位在接到采购人的报修电话后应在2小时内作出响应，维护人员应在8小时内到达现场，一般维护应在4小时内完毕，如24小时内不能修复，必须采取提供备品、备件或备机等措施，以保证采购人的正常使用。若在24小时内未到达现场的，采购人（或使用单位）有权从其它的供应商中得到服务，由此造成的全部费用由中标单位承担。</w:t>
      </w:r>
    </w:p>
    <w:p w14:paraId="561C297A">
      <w:pPr>
        <w:rPr>
          <w:rFonts w:hint="eastAsia" w:ascii="宋体" w:hAnsi="宋体" w:cs="宋体"/>
          <w:color w:val="auto"/>
          <w:kern w:val="0"/>
          <w:sz w:val="24"/>
          <w:szCs w:val="22"/>
          <w:highlight w:val="none"/>
          <w:lang w:bidi="ar"/>
        </w:rPr>
      </w:pPr>
      <w:r>
        <w:rPr>
          <w:rFonts w:hint="eastAsia" w:ascii="宋体" w:hAnsi="宋体" w:cs="宋体"/>
          <w:color w:val="auto"/>
          <w:kern w:val="0"/>
          <w:sz w:val="24"/>
          <w:szCs w:val="22"/>
          <w:highlight w:val="none"/>
          <w:lang w:bidi="ar"/>
        </w:rPr>
        <w:br w:type="page"/>
      </w:r>
    </w:p>
    <w:p w14:paraId="0FE813AB">
      <w:pPr>
        <w:snapToGrid w:val="0"/>
        <w:spacing w:before="120" w:beforeLines="50" w:after="120" w:afterLines="50"/>
        <w:jc w:val="center"/>
        <w:rPr>
          <w:rFonts w:ascii="宋体" w:hAnsi="宋体"/>
          <w:b/>
          <w:bCs/>
          <w:color w:val="000000" w:themeColor="text1"/>
          <w:sz w:val="36"/>
          <w:szCs w:val="36"/>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 xml:space="preserve">第三章  </w:t>
      </w:r>
      <w:r>
        <w:rPr>
          <w:rFonts w:hint="eastAsia" w:ascii="宋体" w:hAnsi="宋体"/>
          <w:b/>
          <w:bCs/>
          <w:color w:val="000000" w:themeColor="text1"/>
          <w:sz w:val="36"/>
          <w:szCs w:val="36"/>
          <w:highlight w:val="none"/>
          <w:lang w:val="en-US" w:eastAsia="zh-CN"/>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投标人须知</w:t>
      </w:r>
      <w:bookmarkEnd w:id="3"/>
    </w:p>
    <w:bookmarkEnd w:id="4"/>
    <w:p w14:paraId="1E039D76">
      <w:pPr>
        <w:snapToGrid w:val="0"/>
        <w:spacing w:before="120" w:beforeLines="50" w:after="120" w:afterLines="50"/>
        <w:ind w:left="238"/>
        <w:jc w:val="center"/>
        <w:outlineLvl w:val="1"/>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前 附 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6BC8B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6E882B3">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724A4DC9">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内容、要求</w:t>
            </w:r>
          </w:p>
        </w:tc>
      </w:tr>
      <w:tr w14:paraId="56ABE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4390540">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371" w:type="dxa"/>
            <w:tcBorders>
              <w:top w:val="single" w:color="auto" w:sz="4" w:space="0"/>
              <w:left w:val="single" w:color="auto" w:sz="4" w:space="0"/>
              <w:bottom w:val="single" w:color="auto" w:sz="4" w:space="0"/>
              <w:right w:val="single" w:color="auto" w:sz="4" w:space="0"/>
            </w:tcBorders>
            <w:vAlign w:val="center"/>
          </w:tcPr>
          <w:p w14:paraId="6D1A5285">
            <w:pPr>
              <w:snapToGrid w:val="0"/>
              <w:ind w:left="1200" w:hanging="1200" w:hangingChars="5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 xml:space="preserve"> 工业服务中心二期（开元曼居—台州湾新区店）酒店电器采购</w:t>
            </w:r>
          </w:p>
        </w:tc>
      </w:tr>
      <w:tr w14:paraId="336B2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B903B7E">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371" w:type="dxa"/>
            <w:tcBorders>
              <w:top w:val="single" w:color="auto" w:sz="4" w:space="0"/>
              <w:left w:val="single" w:color="auto" w:sz="4" w:space="0"/>
              <w:bottom w:val="single" w:color="auto" w:sz="4" w:space="0"/>
              <w:right w:val="single" w:color="auto" w:sz="4" w:space="0"/>
            </w:tcBorders>
            <w:vAlign w:val="center"/>
          </w:tcPr>
          <w:p w14:paraId="39D8150C">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采购内容及数量：详见第二章“招标需求”</w:t>
            </w:r>
          </w:p>
        </w:tc>
      </w:tr>
      <w:tr w14:paraId="3D897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D251B3F">
            <w:pPr>
              <w:snapToGrid w:val="0"/>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w:t>
            </w:r>
          </w:p>
        </w:tc>
        <w:tc>
          <w:tcPr>
            <w:tcW w:w="8371" w:type="dxa"/>
            <w:tcBorders>
              <w:top w:val="single" w:color="auto" w:sz="4" w:space="0"/>
              <w:left w:val="single" w:color="auto" w:sz="4" w:space="0"/>
              <w:bottom w:val="single" w:color="auto" w:sz="4" w:space="0"/>
              <w:right w:val="single" w:color="auto" w:sz="4" w:space="0"/>
            </w:tcBorders>
            <w:vAlign w:val="center"/>
          </w:tcPr>
          <w:p w14:paraId="4367F472">
            <w:pPr>
              <w:pStyle w:val="35"/>
              <w:spacing w:before="0" w:beforeAutospacing="0" w:after="0" w:afterAutospacing="0" w:line="400" w:lineRule="exact"/>
              <w:rPr>
                <w:rFonts w:hint="default"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cs="Arial"/>
                <w:color w:val="000000" w:themeColor="text1"/>
                <w:kern w:val="2"/>
                <w:highlight w:val="none"/>
                <w14:textFill>
                  <w14:solidFill>
                    <w14:schemeClr w14:val="tx1"/>
                  </w14:solidFill>
                </w14:textFill>
              </w:rPr>
              <w:t>交货期：</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收到采购人书面通知的</w:t>
            </w:r>
            <w:r>
              <w:rPr>
                <w:rFonts w:hint="eastAsia" w:cs="Times New Roman"/>
                <w:color w:val="000000" w:themeColor="text1"/>
                <w:kern w:val="0"/>
                <w:sz w:val="24"/>
                <w:szCs w:val="24"/>
                <w:highlight w:val="none"/>
                <w:lang w:val="en-US" w:eastAsia="zh-CN" w:bidi="ar-SA"/>
                <w14:textFill>
                  <w14:solidFill>
                    <w14:schemeClr w14:val="tx1"/>
                  </w14:solidFill>
                </w14:textFill>
              </w:rPr>
              <w:t>15</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天内交货</w:t>
            </w:r>
          </w:p>
        </w:tc>
      </w:tr>
      <w:tr w14:paraId="128FB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3CC72B5">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371" w:type="dxa"/>
            <w:tcBorders>
              <w:top w:val="single" w:color="auto" w:sz="4" w:space="0"/>
              <w:left w:val="single" w:color="auto" w:sz="4" w:space="0"/>
              <w:bottom w:val="single" w:color="auto" w:sz="4" w:space="0"/>
              <w:right w:val="single" w:color="auto" w:sz="4" w:space="0"/>
            </w:tcBorders>
            <w:vAlign w:val="center"/>
          </w:tcPr>
          <w:p w14:paraId="2ACFE2EC">
            <w:pPr>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投标报价及费用：</w:t>
            </w:r>
          </w:p>
          <w:p w14:paraId="6C12ECB9">
            <w:pPr>
              <w:snapToGrid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1、本项目投标应以人民币报价；</w:t>
            </w:r>
          </w:p>
          <w:p w14:paraId="22901AF4">
            <w:pPr>
              <w:snapToGrid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2、不论投标结果如何，投标人均应自行承担所有与投标有关的全部费用； </w:t>
            </w:r>
          </w:p>
          <w:p w14:paraId="1D7E52A3">
            <w:pPr>
              <w:snapToGrid w:val="0"/>
              <w:rPr>
                <w:rFonts w:hint="eastAsia"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3、本项目招标代理服务费6000元由中标人在领取中标通知书前支付。</w:t>
            </w:r>
          </w:p>
        </w:tc>
      </w:tr>
      <w:tr w14:paraId="67A0F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5B2E37B">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371" w:type="dxa"/>
            <w:tcBorders>
              <w:top w:val="single" w:color="auto" w:sz="4" w:space="0"/>
              <w:left w:val="single" w:color="auto" w:sz="4" w:space="0"/>
              <w:bottom w:val="single" w:color="auto" w:sz="4" w:space="0"/>
              <w:right w:val="single" w:color="auto" w:sz="4" w:space="0"/>
            </w:tcBorders>
            <w:vAlign w:val="center"/>
          </w:tcPr>
          <w:p w14:paraId="7A15BCB6">
            <w:pPr>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w:t>
            </w: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13000 </w:t>
            </w:r>
            <w:r>
              <w:rPr>
                <w:rFonts w:hint="eastAsia" w:ascii="宋体" w:hAnsi="宋体" w:cs="宋体"/>
                <w:color w:val="000000" w:themeColor="text1"/>
                <w:sz w:val="24"/>
                <w:highlight w:val="none"/>
                <w14:textFill>
                  <w14:solidFill>
                    <w14:schemeClr w14:val="tx1"/>
                  </w14:solidFill>
                </w14:textFill>
              </w:rPr>
              <w:t>元</w:t>
            </w:r>
          </w:p>
          <w:p w14:paraId="78ADCFFB">
            <w:pPr>
              <w:rPr>
                <w:color w:val="000000" w:themeColor="text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投标保证金缴纳方式（任选一种）：</w:t>
            </w:r>
            <w:r>
              <w:rPr>
                <w:rFonts w:hint="eastAsia" w:ascii="宋体" w:hAnsi="宋体" w:eastAsia="宋体" w:cs="宋体"/>
                <w:bCs/>
                <w:color w:val="000000" w:themeColor="text1"/>
                <w:kern w:val="0"/>
                <w:sz w:val="24"/>
                <w:highlight w:val="none"/>
                <w14:textFill>
                  <w14:solidFill>
                    <w14:schemeClr w14:val="tx1"/>
                  </w14:solidFill>
                </w14:textFill>
              </w:rPr>
              <w:t>现金转账、银行保函、保险机构保证保险保单、融资担保公司保函</w:t>
            </w:r>
            <w:r>
              <w:rPr>
                <w:rFonts w:hint="eastAsia" w:ascii="宋体" w:hAnsi="宋体" w:cs="宋体"/>
                <w:bCs/>
                <w:color w:val="000000" w:themeColor="text1"/>
                <w:kern w:val="0"/>
                <w:sz w:val="24"/>
                <w:highlight w:val="none"/>
                <w14:textFill>
                  <w14:solidFill>
                    <w14:schemeClr w14:val="tx1"/>
                  </w14:solidFill>
                </w14:textFill>
              </w:rPr>
              <w:t>。</w:t>
            </w:r>
          </w:p>
        </w:tc>
      </w:tr>
      <w:tr w14:paraId="28AF5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E1774C7">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371" w:type="dxa"/>
            <w:tcBorders>
              <w:top w:val="single" w:color="auto" w:sz="4" w:space="0"/>
              <w:left w:val="single" w:color="auto" w:sz="4" w:space="0"/>
              <w:bottom w:val="single" w:color="auto" w:sz="4" w:space="0"/>
              <w:right w:val="single" w:color="auto" w:sz="4" w:space="0"/>
            </w:tcBorders>
            <w:vAlign w:val="center"/>
          </w:tcPr>
          <w:p w14:paraId="15244F87">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现场踏勘：</w:t>
            </w:r>
            <w:r>
              <w:rPr>
                <w:rFonts w:hint="eastAsia" w:ascii="宋体" w:hAnsi="宋体" w:cs="宋体"/>
                <w:sz w:val="24"/>
                <w:highlight w:val="none"/>
              </w:rPr>
              <w:t>本项目不设置现场踏勘</w:t>
            </w:r>
            <w:r>
              <w:rPr>
                <w:rFonts w:hint="eastAsia" w:ascii="宋体" w:hAnsi="宋体"/>
                <w:color w:val="000000" w:themeColor="text1"/>
                <w:sz w:val="24"/>
                <w:highlight w:val="none"/>
                <w14:textFill>
                  <w14:solidFill>
                    <w14:schemeClr w14:val="tx1"/>
                  </w14:solidFill>
                </w14:textFill>
              </w:rPr>
              <w:t>。</w:t>
            </w:r>
          </w:p>
        </w:tc>
      </w:tr>
      <w:tr w14:paraId="0445E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939181A">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371" w:type="dxa"/>
            <w:tcBorders>
              <w:top w:val="single" w:color="auto" w:sz="4" w:space="0"/>
              <w:left w:val="single" w:color="auto" w:sz="4" w:space="0"/>
              <w:bottom w:val="single" w:color="auto" w:sz="4" w:space="0"/>
              <w:right w:val="single" w:color="auto" w:sz="4" w:space="0"/>
            </w:tcBorders>
            <w:vAlign w:val="center"/>
          </w:tcPr>
          <w:p w14:paraId="48607C43">
            <w:pPr>
              <w:snapToGrid w:val="0"/>
              <w:rPr>
                <w:rFonts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bidi="ar"/>
                <w14:textFill>
                  <w14:solidFill>
                    <w14:schemeClr w14:val="tx1"/>
                  </w14:solidFill>
                </w14:textFill>
              </w:rPr>
              <w:t>招标文件的澄清：投标人获取招标文件后，若有问题需要澄清，应自招标文件发布在交易场所（发布招标公告的媒体上）3日内，通过台州湾新区小额工程电子交易平台（</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bCs/>
                <w:color w:val="000000" w:themeColor="text1"/>
                <w:sz w:val="24"/>
                <w:highlight w:val="none"/>
                <w:lang w:bidi="ar"/>
                <w14:textFill>
                  <w14:solidFill>
                    <w14:schemeClr w14:val="tx1"/>
                  </w14:solidFill>
                </w14:textFill>
              </w:rPr>
              <w:t>)向招标人（招标代理）提出。</w:t>
            </w:r>
          </w:p>
        </w:tc>
      </w:tr>
      <w:tr w14:paraId="5C9CE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0E82F18C">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371" w:type="dxa"/>
            <w:tcBorders>
              <w:top w:val="single" w:color="auto" w:sz="4" w:space="0"/>
              <w:left w:val="single" w:color="auto" w:sz="4" w:space="0"/>
              <w:bottom w:val="single" w:color="auto" w:sz="4" w:space="0"/>
              <w:right w:val="single" w:color="auto" w:sz="4" w:space="0"/>
            </w:tcBorders>
            <w:vAlign w:val="center"/>
          </w:tcPr>
          <w:p w14:paraId="5D1C7D4A">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投标截止时间及地点：</w:t>
            </w:r>
            <w:r>
              <w:rPr>
                <w:rFonts w:hint="eastAsia" w:ascii="宋体" w:hAnsi="宋体" w:cs="宋体"/>
                <w:color w:val="000000" w:themeColor="text1"/>
                <w:sz w:val="24"/>
                <w:highlight w:val="none"/>
                <w:u w:val="single"/>
                <w14:textFill>
                  <w14:solidFill>
                    <w14:schemeClr w14:val="tx1"/>
                  </w14:solidFill>
                </w14:textFill>
              </w:rPr>
              <w:t>见招标公告；</w:t>
            </w:r>
          </w:p>
        </w:tc>
      </w:tr>
      <w:tr w14:paraId="19683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402F1FDD">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371" w:type="dxa"/>
            <w:tcBorders>
              <w:top w:val="single" w:color="auto" w:sz="4" w:space="0"/>
              <w:left w:val="single" w:color="auto" w:sz="4" w:space="0"/>
              <w:bottom w:val="single" w:color="auto" w:sz="4" w:space="0"/>
              <w:right w:val="single" w:color="auto" w:sz="4" w:space="0"/>
            </w:tcBorders>
            <w:vAlign w:val="center"/>
          </w:tcPr>
          <w:p w14:paraId="43832779">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u w:val="single"/>
                <w14:textFill>
                  <w14:solidFill>
                    <w14:schemeClr w14:val="tx1"/>
                  </w14:solidFill>
                </w14:textFill>
              </w:rPr>
              <w:t>见招标公告；</w:t>
            </w:r>
            <w:r>
              <w:rPr>
                <w:rFonts w:hint="eastAsia" w:ascii="宋体" w:hAnsi="宋体" w:cs="宋体"/>
                <w:color w:val="000000" w:themeColor="text1"/>
                <w:sz w:val="24"/>
                <w:highlight w:val="none"/>
                <w14:textFill>
                  <w14:solidFill>
                    <w14:schemeClr w14:val="tx1"/>
                  </w14:solidFill>
                </w14:textFill>
              </w:rPr>
              <w:t xml:space="preserve"> </w:t>
            </w:r>
          </w:p>
        </w:tc>
      </w:tr>
      <w:tr w14:paraId="396CB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6D3A5824">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371" w:type="dxa"/>
            <w:tcBorders>
              <w:top w:val="single" w:color="auto" w:sz="4" w:space="0"/>
              <w:left w:val="single" w:color="auto" w:sz="4" w:space="0"/>
              <w:bottom w:val="single" w:color="auto" w:sz="4" w:space="0"/>
              <w:right w:val="single" w:color="auto" w:sz="4" w:space="0"/>
            </w:tcBorders>
            <w:vAlign w:val="center"/>
          </w:tcPr>
          <w:p w14:paraId="08E6DF4C">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评标办法及评分标准：详见本招标文件第四章《评标办法及评分标准》</w:t>
            </w:r>
          </w:p>
        </w:tc>
      </w:tr>
      <w:tr w14:paraId="703E1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0762F4D">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371" w:type="dxa"/>
            <w:tcBorders>
              <w:top w:val="single" w:color="auto" w:sz="4" w:space="0"/>
              <w:left w:val="single" w:color="auto" w:sz="4" w:space="0"/>
              <w:bottom w:val="single" w:color="auto" w:sz="4" w:space="0"/>
              <w:right w:val="single" w:color="auto" w:sz="4" w:space="0"/>
            </w:tcBorders>
            <w:vAlign w:val="center"/>
          </w:tcPr>
          <w:p w14:paraId="207ED64A">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▲投标有效期：自投标截止日起 90 天投标文件应保持有效</w:t>
            </w:r>
            <w:r>
              <w:rPr>
                <w:rFonts w:hint="eastAsia" w:ascii="宋体" w:hAnsi="宋体" w:cs="宋体"/>
                <w:color w:val="000000" w:themeColor="text1"/>
                <w:sz w:val="24"/>
                <w:highlight w:val="none"/>
                <w14:textFill>
                  <w14:solidFill>
                    <w14:schemeClr w14:val="tx1"/>
                  </w14:solidFill>
                </w14:textFill>
              </w:rPr>
              <w:tab/>
            </w:r>
          </w:p>
        </w:tc>
      </w:tr>
      <w:tr w14:paraId="1B120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E2848F1">
            <w:pPr>
              <w:snapToGrid w:val="0"/>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12</w:t>
            </w:r>
          </w:p>
        </w:tc>
        <w:tc>
          <w:tcPr>
            <w:tcW w:w="8371" w:type="dxa"/>
            <w:tcBorders>
              <w:top w:val="single" w:color="auto" w:sz="4" w:space="0"/>
              <w:left w:val="single" w:color="auto" w:sz="4" w:space="0"/>
              <w:bottom w:val="single" w:color="auto" w:sz="4" w:space="0"/>
              <w:right w:val="single" w:color="auto" w:sz="4" w:space="0"/>
            </w:tcBorders>
            <w:vAlign w:val="center"/>
          </w:tcPr>
          <w:p w14:paraId="030F947E">
            <w:pPr>
              <w:autoSpaceDE w:val="0"/>
              <w:autoSpaceDN w:val="0"/>
              <w:snapToGrid w:val="0"/>
              <w:spacing w:line="36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实质性条款：带▲是实质性条款，投标人不得负偏离，否则为无效标。</w:t>
            </w:r>
          </w:p>
        </w:tc>
      </w:tr>
      <w:tr w14:paraId="1BF92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6DA77080">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371" w:type="dxa"/>
            <w:tcBorders>
              <w:top w:val="single" w:color="auto" w:sz="4" w:space="0"/>
              <w:left w:val="single" w:color="auto" w:sz="4" w:space="0"/>
              <w:bottom w:val="single" w:color="auto" w:sz="4" w:space="0"/>
              <w:right w:val="single" w:color="auto" w:sz="4" w:space="0"/>
            </w:tcBorders>
            <w:vAlign w:val="center"/>
          </w:tcPr>
          <w:p w14:paraId="6067DF15">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签订合同时间：中标通知书发出后30日内。</w:t>
            </w:r>
          </w:p>
        </w:tc>
      </w:tr>
      <w:tr w14:paraId="7FC26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4421CA5">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371" w:type="dxa"/>
            <w:tcBorders>
              <w:top w:val="single" w:color="auto" w:sz="4" w:space="0"/>
              <w:left w:val="single" w:color="auto" w:sz="4" w:space="0"/>
              <w:bottom w:val="single" w:color="auto" w:sz="4" w:space="0"/>
              <w:right w:val="single" w:color="auto" w:sz="4" w:space="0"/>
            </w:tcBorders>
            <w:vAlign w:val="center"/>
          </w:tcPr>
          <w:p w14:paraId="5F0EE84E">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eastAsia="黑体"/>
                <w:b/>
                <w:color w:val="000000" w:themeColor="text1"/>
                <w:sz w:val="24"/>
                <w:highlight w:val="none"/>
                <w14:textFill>
                  <w14:solidFill>
                    <w14:schemeClr w14:val="tx1"/>
                  </w14:solidFill>
                </w14:textFill>
              </w:rPr>
              <w:t>履约担保金额为中标合同金额的2%，如不能办理工程保函采用现金的，中标人必须通过其基本账户转出，以转帐、电汇或银行汇票方式存入招标人指定帐户。</w:t>
            </w:r>
          </w:p>
        </w:tc>
      </w:tr>
      <w:tr w14:paraId="037D0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5"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353F3794">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371" w:type="dxa"/>
            <w:tcBorders>
              <w:top w:val="single" w:color="auto" w:sz="4" w:space="0"/>
              <w:left w:val="single" w:color="auto" w:sz="4" w:space="0"/>
              <w:bottom w:val="single" w:color="auto" w:sz="4" w:space="0"/>
              <w:right w:val="single" w:color="auto" w:sz="4" w:space="0"/>
            </w:tcBorders>
            <w:vAlign w:val="center"/>
          </w:tcPr>
          <w:p w14:paraId="457D30E1">
            <w:pPr>
              <w:pStyle w:val="9"/>
              <w:snapToGrid w:val="0"/>
              <w:spacing w:before="120" w:after="120"/>
              <w:ind w:firstLine="0"/>
              <w:rPr>
                <w:rFonts w:hint="eastAsia" w:ascii="宋体" w:hAnsi="宋体" w:cs="宋体"/>
                <w:b/>
                <w:bCs/>
                <w:sz w:val="24"/>
                <w:szCs w:val="24"/>
                <w:highlight w:val="none"/>
              </w:rPr>
            </w:pPr>
            <w:r>
              <w:rPr>
                <w:rFonts w:hint="eastAsia" w:ascii="宋体" w:hAnsi="宋体" w:cs="宋体"/>
                <w:b/>
                <w:bCs/>
                <w:sz w:val="24"/>
                <w:szCs w:val="24"/>
                <w:highlight w:val="none"/>
              </w:rPr>
              <w:t>投标文件递交要求：</w:t>
            </w:r>
          </w:p>
          <w:p w14:paraId="71211B83">
            <w:pPr>
              <w:pStyle w:val="9"/>
              <w:snapToGrid w:val="0"/>
              <w:spacing w:before="120" w:after="120"/>
              <w:ind w:firstLine="480" w:firstLineChars="200"/>
              <w:rPr>
                <w:rFonts w:hint="eastAsia" w:ascii="宋体" w:hAnsi="宋体" w:cs="宋体"/>
                <w:sz w:val="24"/>
                <w:szCs w:val="24"/>
                <w:highlight w:val="none"/>
              </w:rPr>
            </w:pPr>
            <w:r>
              <w:rPr>
                <w:rFonts w:hint="eastAsia" w:ascii="宋体" w:hAnsi="宋体" w:cs="宋体"/>
                <w:sz w:val="24"/>
                <w:szCs w:val="24"/>
                <w:highlight w:val="none"/>
              </w:rPr>
              <w:t>1、投标人无需到开标现场，电子投标文件上传至台州湾新区小额工程电子交易平台。如遇有问题的请联系蔡先生，13454667697；王女士，13757680207。</w:t>
            </w:r>
          </w:p>
          <w:p w14:paraId="1FEB4591">
            <w:pPr>
              <w:pStyle w:val="9"/>
              <w:snapToGrid w:val="0"/>
              <w:spacing w:before="120" w:after="120"/>
              <w:ind w:firstLine="480" w:firstLineChars="200"/>
              <w:rPr>
                <w:rFonts w:hint="eastAsia" w:ascii="宋体" w:hAnsi="宋体" w:cs="宋体"/>
                <w:sz w:val="24"/>
                <w:szCs w:val="24"/>
                <w:highlight w:val="none"/>
              </w:rPr>
            </w:pPr>
            <w:r>
              <w:rPr>
                <w:rFonts w:hint="eastAsia" w:ascii="宋体" w:hAnsi="宋体" w:cs="宋体"/>
                <w:sz w:val="24"/>
                <w:szCs w:val="24"/>
                <w:highlight w:val="none"/>
              </w:rPr>
              <w:t>2、电子投标文件上传步骤：</w:t>
            </w:r>
          </w:p>
          <w:p w14:paraId="00956A68">
            <w:pPr>
              <w:pStyle w:val="9"/>
              <w:snapToGrid w:val="0"/>
              <w:spacing w:before="120" w:after="120"/>
              <w:ind w:firstLine="480" w:firstLineChars="200"/>
              <w:rPr>
                <w:rFonts w:hint="eastAsia" w:ascii="宋体" w:hAnsi="宋体" w:cs="宋体"/>
                <w:sz w:val="24"/>
                <w:szCs w:val="24"/>
                <w:highlight w:val="none"/>
              </w:rPr>
            </w:pPr>
            <w:r>
              <w:rPr>
                <w:rFonts w:hint="eastAsia" w:ascii="宋体" w:hAnsi="宋体" w:cs="宋体"/>
                <w:sz w:val="24"/>
                <w:szCs w:val="24"/>
                <w:highlight w:val="none"/>
              </w:rPr>
              <w:t>1) 台州湾新区小额工程电子交易平台（网址：http://www.tzwztb.com/）；</w:t>
            </w:r>
          </w:p>
          <w:p w14:paraId="10E505CB">
            <w:pPr>
              <w:pStyle w:val="9"/>
              <w:snapToGrid w:val="0"/>
              <w:spacing w:before="120" w:after="120"/>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 投标人应提前办好ca锁（办理网址：http://www.tseal.cn/tcloud/common.xhtml?projId=295），绑定平台账户。</w:t>
            </w:r>
          </w:p>
          <w:p w14:paraId="02EFC86C">
            <w:pPr>
              <w:pStyle w:val="9"/>
              <w:snapToGrid w:val="0"/>
              <w:spacing w:before="120" w:after="120"/>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3)缴纳保证金（或购买、上传电子保函）后，点击“电子投标文件制作工具”，进入制作页面，签章并加密上传电子投标文件。</w:t>
            </w:r>
          </w:p>
        </w:tc>
      </w:tr>
      <w:tr w14:paraId="7C74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72CEBA09">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371" w:type="dxa"/>
            <w:tcBorders>
              <w:top w:val="single" w:color="auto" w:sz="4" w:space="0"/>
              <w:left w:val="single" w:color="auto" w:sz="4" w:space="0"/>
              <w:bottom w:val="single" w:color="auto" w:sz="4" w:space="0"/>
              <w:right w:val="single" w:color="auto" w:sz="4" w:space="0"/>
            </w:tcBorders>
            <w:vAlign w:val="center"/>
          </w:tcPr>
          <w:p w14:paraId="4B2AD0F5">
            <w:pPr>
              <w:autoSpaceDE w:val="0"/>
              <w:autoSpaceDN w:val="0"/>
              <w:snapToGrid w:val="0"/>
              <w:textAlignment w:val="bottom"/>
              <w:rPr>
                <w:rFonts w:hint="eastAsia" w:ascii="宋体" w:hAnsi="宋体" w:eastAsia="宋体" w:cs="宋体"/>
                <w:kern w:val="2"/>
                <w:sz w:val="24"/>
                <w:szCs w:val="24"/>
                <w:highlight w:val="none"/>
                <w:lang w:val="en-US" w:eastAsia="zh-CN" w:bidi="ar-SA"/>
              </w:rPr>
            </w:pPr>
            <w:r>
              <w:rPr>
                <w:rFonts w:hint="eastAsia" w:ascii="宋体" w:hAnsi="宋体" w:cs="宋体"/>
                <w:b/>
                <w:sz w:val="24"/>
                <w:highlight w:val="none"/>
              </w:rPr>
              <w:t>本工程为电子招投标，电子投标文件格式中注明盖章的，均应按要求使用CA锁加盖公章和法定代表人章。</w:t>
            </w:r>
          </w:p>
        </w:tc>
      </w:tr>
      <w:tr w14:paraId="4C4B3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0DD648F8">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371" w:type="dxa"/>
            <w:tcBorders>
              <w:top w:val="single" w:color="auto" w:sz="4" w:space="0"/>
              <w:left w:val="single" w:color="auto" w:sz="4" w:space="0"/>
              <w:bottom w:val="single" w:color="auto" w:sz="4" w:space="0"/>
              <w:right w:val="single" w:color="auto" w:sz="4" w:space="0"/>
            </w:tcBorders>
            <w:vAlign w:val="center"/>
          </w:tcPr>
          <w:p w14:paraId="77EE1EF9">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解释：本招标文件的解释权属于招标采购单位。</w:t>
            </w:r>
          </w:p>
        </w:tc>
      </w:tr>
    </w:tbl>
    <w:p w14:paraId="3830FBCB">
      <w:pPr>
        <w:pStyle w:val="21"/>
        <w:snapToGrid w:val="0"/>
        <w:spacing w:before="120" w:beforeLines="0" w:after="120" w:afterLines="0" w:line="240" w:lineRule="auto"/>
        <w:jc w:val="left"/>
        <w:rPr>
          <w:rFonts w:hint="default" w:hAnsi="宋体"/>
          <w:b w:val="0"/>
          <w:color w:val="000000" w:themeColor="text1"/>
          <w:sz w:val="30"/>
          <w:szCs w:val="30"/>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bCs/>
          <w:color w:val="000000" w:themeColor="text1"/>
          <w:sz w:val="28"/>
          <w:szCs w:val="28"/>
          <w:highlight w:val="none"/>
          <w14:textFill>
            <w14:solidFill>
              <w14:schemeClr w14:val="tx1"/>
            </w14:solidFill>
          </w14:textFill>
        </w:rPr>
        <w:t>一、总  则</w:t>
      </w:r>
    </w:p>
    <w:p w14:paraId="1343F74B">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w:t>
      </w:r>
      <w:r>
        <w:rPr>
          <w:rFonts w:ascii="宋体" w:hAnsi="宋体"/>
          <w:b/>
          <w:color w:val="000000" w:themeColor="text1"/>
          <w:sz w:val="24"/>
          <w:highlight w:val="none"/>
          <w14:textFill>
            <w14:solidFill>
              <w14:schemeClr w14:val="tx1"/>
            </w14:solidFill>
          </w14:textFill>
        </w:rPr>
        <w:t xml:space="preserve"> 适用范围</w:t>
      </w:r>
    </w:p>
    <w:p w14:paraId="6008B69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本招标文件适用于本项目的招标、投标、评标、定标、验收、合同履约、付款等行为（法律、法规另有规定的，从其规定）。</w:t>
      </w:r>
    </w:p>
    <w:p w14:paraId="65EC699A">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（二）定义</w:t>
      </w:r>
    </w:p>
    <w:p w14:paraId="36E82C6E">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招标采购单位系指组织本次招标的代理机构（“招标人”）和采购</w:t>
      </w:r>
      <w:r>
        <w:rPr>
          <w:rFonts w:hint="eastAsia" w:ascii="宋体" w:hAnsi="宋体"/>
          <w:color w:val="000000" w:themeColor="text1"/>
          <w:sz w:val="24"/>
          <w:highlight w:val="none"/>
          <w14:textFill>
            <w14:solidFill>
              <w14:schemeClr w14:val="tx1"/>
            </w14:solidFill>
          </w14:textFill>
        </w:rPr>
        <w:t>人</w:t>
      </w:r>
      <w:r>
        <w:rPr>
          <w:rFonts w:ascii="宋体" w:hAnsi="宋体"/>
          <w:color w:val="000000" w:themeColor="text1"/>
          <w:sz w:val="24"/>
          <w:highlight w:val="none"/>
          <w14:textFill>
            <w14:solidFill>
              <w14:schemeClr w14:val="tx1"/>
            </w14:solidFill>
          </w14:textFill>
        </w:rPr>
        <w:t>。</w:t>
      </w:r>
    </w:p>
    <w:p w14:paraId="253A136D">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投标人”系指向招标方提交投标文件的单位或个人。</w:t>
      </w:r>
    </w:p>
    <w:p w14:paraId="7207929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“产品”系指供方按招标文件规定，须向采购人提供的一切设备、保险、税金、备品备件、工具、手册及其它有关技术资料和材料。</w:t>
      </w:r>
    </w:p>
    <w:p w14:paraId="755BD68C">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“服务”系指招标文件规定投标人须承担的安装、调试、技术协助、校准、培训、技术指导以及其他类似的义务。</w:t>
      </w:r>
    </w:p>
    <w:p w14:paraId="1A48BF19">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“项目”系指投标人按招标文件规定向采购人提供的产品和服务。</w:t>
      </w:r>
    </w:p>
    <w:p w14:paraId="2970F8AA">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“书面形式”包括信函、传真、电报等。</w:t>
      </w:r>
    </w:p>
    <w:p w14:paraId="7E87D2C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“▲”系指实质性要求条款。</w:t>
      </w:r>
    </w:p>
    <w:p w14:paraId="7DB78D6A">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（三）招标方式</w:t>
      </w:r>
    </w:p>
    <w:p w14:paraId="4334ED16">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本次招标采用公开招标方式进行。</w:t>
      </w:r>
    </w:p>
    <w:p w14:paraId="40811853">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（四）投标委托</w:t>
      </w:r>
    </w:p>
    <w:p w14:paraId="588E3DCA">
      <w:pPr>
        <w:pStyle w:val="3"/>
        <w:snapToGrid w:val="0"/>
        <w:spacing w:line="360" w:lineRule="auto"/>
        <w:ind w:firstLine="482" w:firstLineChars="200"/>
        <w:rPr>
          <w:rFonts w:hAnsi="宋体"/>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投标人代表须</w:t>
      </w:r>
      <w:r>
        <w:rPr>
          <w:rFonts w:hint="eastAsia" w:hAnsi="宋体"/>
          <w:b/>
          <w:bCs/>
          <w:color w:val="000000" w:themeColor="text1"/>
          <w:sz w:val="24"/>
          <w:highlight w:val="none"/>
          <w14:textFill>
            <w14:solidFill>
              <w14:schemeClr w14:val="tx1"/>
            </w14:solidFill>
          </w14:textFill>
        </w:rPr>
        <w:t>提供</w:t>
      </w:r>
      <w:r>
        <w:rPr>
          <w:rFonts w:hAnsi="宋体"/>
          <w:b/>
          <w:bCs/>
          <w:color w:val="000000" w:themeColor="text1"/>
          <w:sz w:val="24"/>
          <w:highlight w:val="none"/>
          <w14:textFill>
            <w14:solidFill>
              <w14:schemeClr w14:val="tx1"/>
            </w14:solidFill>
          </w14:textFill>
        </w:rPr>
        <w:t>有效身份证件。如投标人代表不是法定代表人，须有法定代表人出具的授权委托书</w:t>
      </w:r>
      <w:r>
        <w:rPr>
          <w:rFonts w:hint="eastAsia" w:hAnsi="宋体"/>
          <w:b/>
          <w:bCs/>
          <w:color w:val="000000" w:themeColor="text1"/>
          <w:sz w:val="24"/>
          <w:highlight w:val="none"/>
          <w14:textFill>
            <w14:solidFill>
              <w14:schemeClr w14:val="tx1"/>
            </w14:solidFill>
          </w14:textFill>
        </w:rPr>
        <w:t>。</w:t>
      </w:r>
    </w:p>
    <w:p w14:paraId="5C21E929">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（五）投标费用</w:t>
      </w:r>
      <w:r>
        <w:rPr>
          <w:rFonts w:hint="eastAsia" w:ascii="宋体" w:hAnsi="宋体"/>
          <w:b/>
          <w:color w:val="000000" w:themeColor="text1"/>
          <w:sz w:val="24"/>
          <w:highlight w:val="none"/>
          <w:lang w:bidi="ar"/>
          <w14:textFill>
            <w14:solidFill>
              <w14:schemeClr w14:val="tx1"/>
            </w14:solidFill>
          </w14:textFill>
        </w:rPr>
        <w:t>及结算</w:t>
      </w:r>
    </w:p>
    <w:p w14:paraId="39CE6017">
      <w:pPr>
        <w:snapToGrid w:val="0"/>
        <w:spacing w:line="360" w:lineRule="auto"/>
        <w:ind w:firstLine="480" w:firstLineChars="200"/>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1）不论投标结果如何，投标人均应自行承担所有与投标有关的全部费用。</w:t>
      </w:r>
    </w:p>
    <w:p w14:paraId="59D78DA8">
      <w:pPr>
        <w:snapToGrid w:val="0"/>
        <w:spacing w:line="360" w:lineRule="auto"/>
        <w:ind w:firstLine="480" w:firstLineChars="200"/>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2）投标时工程量按照招标文件中提供的工程量进行投标报价，结算时数量按实结算。</w:t>
      </w:r>
    </w:p>
    <w:p w14:paraId="318CB23C">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（六）联合体投标</w:t>
      </w:r>
    </w:p>
    <w:p w14:paraId="0444E415">
      <w:pPr>
        <w:snapToGrid w:val="0"/>
        <w:spacing w:line="360" w:lineRule="auto"/>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本项目不接受联合体投标。</w:t>
      </w:r>
    </w:p>
    <w:p w14:paraId="4DE8729D">
      <w:pPr>
        <w:snapToGrid w:val="0"/>
        <w:spacing w:line="360" w:lineRule="auto"/>
        <w:ind w:firstLine="482" w:firstLineChars="200"/>
        <w:rPr>
          <w:rFonts w:ascii="宋体" w:hAnsi="宋体" w:cs="宋体"/>
          <w:b/>
          <w:color w:val="000000" w:themeColor="text1"/>
          <w:kern w:val="0"/>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w:t>
      </w:r>
      <w:r>
        <w:rPr>
          <w:rFonts w:hint="eastAsia" w:ascii="宋体" w:hAnsi="宋体" w:cs="宋体"/>
          <w:b/>
          <w:color w:val="000000" w:themeColor="text1"/>
          <w:kern w:val="0"/>
          <w:sz w:val="24"/>
          <w:highlight w:val="none"/>
          <w14:textFill>
            <w14:solidFill>
              <w14:schemeClr w14:val="tx1"/>
            </w14:solidFill>
          </w14:textFill>
        </w:rPr>
        <w:t>转包与分包</w:t>
      </w:r>
    </w:p>
    <w:p w14:paraId="2F9326BF">
      <w:pPr>
        <w:snapToGrid w:val="0"/>
        <w:spacing w:line="360" w:lineRule="auto"/>
        <w:ind w:firstLine="480" w:firstLineChars="200"/>
        <w:rPr>
          <w:rFonts w:ascii="宋体" w:hAnsi="宋体" w:cs="宋体"/>
          <w:color w:val="000000" w:themeColor="text1"/>
          <w:kern w:val="0"/>
          <w:sz w:val="24"/>
          <w:szCs w:val="20"/>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本项目不允许转包。</w:t>
      </w:r>
    </w:p>
    <w:p w14:paraId="0E7FA887">
      <w:pPr>
        <w:snapToGrid w:val="0"/>
        <w:spacing w:line="360" w:lineRule="auto"/>
        <w:ind w:firstLine="482" w:firstLineChars="200"/>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（八）特别说明：</w:t>
      </w:r>
    </w:p>
    <w:p w14:paraId="70B3D2C6">
      <w:pPr>
        <w:pStyle w:val="21"/>
        <w:snapToGrid w:val="0"/>
        <w:spacing w:before="0" w:beforeLines="0" w:after="0" w:afterLines="0" w:line="360" w:lineRule="auto"/>
        <w:ind w:left="3" w:leftChars="1" w:firstLine="480" w:firstLineChars="200"/>
        <w:jc w:val="left"/>
        <w:rPr>
          <w:rFonts w:hAnsi="宋体" w:cs="宋体"/>
          <w:b w:val="0"/>
          <w:kern w:val="0"/>
          <w:highlight w:val="none"/>
        </w:rPr>
      </w:pPr>
      <w:r>
        <w:rPr>
          <w:rFonts w:hAnsi="宋体" w:cs="宋体"/>
          <w:b w:val="0"/>
          <w:bCs/>
          <w:kern w:val="0"/>
          <w:highlight w:val="none"/>
        </w:rPr>
        <w:t>1、</w:t>
      </w:r>
      <w:r>
        <w:rPr>
          <w:rFonts w:hAnsi="宋体" w:cs="宋体"/>
          <w:b w:val="0"/>
          <w:kern w:val="0"/>
          <w:highlight w:val="none"/>
        </w:rPr>
        <w:t>非单一产品采购项目，采购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投标供应商提供的核心产品品牌相同的，按前两款规定处理。本项目无核心产品。</w:t>
      </w:r>
    </w:p>
    <w:p w14:paraId="1C6E9D91">
      <w:pPr>
        <w:pStyle w:val="21"/>
        <w:snapToGrid w:val="0"/>
        <w:spacing w:before="0" w:beforeLines="0" w:after="0" w:afterLines="0" w:line="360" w:lineRule="auto"/>
        <w:ind w:firstLine="480" w:firstLineChars="200"/>
        <w:jc w:val="left"/>
        <w:rPr>
          <w:rFonts w:hAnsi="宋体" w:cs="宋体"/>
          <w:b w:val="0"/>
          <w:bCs/>
          <w:highlight w:val="none"/>
        </w:rPr>
      </w:pPr>
      <w:r>
        <w:rPr>
          <w:rFonts w:hAnsi="宋体" w:cs="宋体"/>
          <w:b w:val="0"/>
          <w:bCs/>
          <w:highlight w:val="none"/>
        </w:rPr>
        <w:t>2、投标人投标所使用的资格、信誉、荣誉、业绩与企业认证必须为本法人所拥有。投标人投标所使用的采购项目实施人员必须为本法人员工（或必须为本法人或控股公司正式员工）。</w:t>
      </w:r>
    </w:p>
    <w:p w14:paraId="403DC87D">
      <w:pPr>
        <w:pStyle w:val="21"/>
        <w:snapToGrid w:val="0"/>
        <w:spacing w:before="0" w:beforeLines="0" w:after="0" w:afterLines="0" w:line="360" w:lineRule="auto"/>
        <w:ind w:left="3" w:leftChars="1" w:firstLine="480" w:firstLineChars="200"/>
        <w:jc w:val="left"/>
        <w:rPr>
          <w:rFonts w:hAnsi="宋体" w:cs="宋体"/>
          <w:b w:val="0"/>
          <w:bCs/>
          <w:highlight w:val="none"/>
        </w:rPr>
      </w:pPr>
      <w:r>
        <w:rPr>
          <w:rFonts w:hAnsi="宋体" w:cs="宋体"/>
          <w:b w:val="0"/>
          <w:bCs/>
          <w:highlight w:val="none"/>
        </w:rPr>
        <w:t>3、投标人应仔细阅读招标文件的所有内容，按照招标文件的要求提交投标文件，并对所提供的全部资料的真实性承担法律责任。</w:t>
      </w:r>
    </w:p>
    <w:p w14:paraId="29357A8E">
      <w:pPr>
        <w:pStyle w:val="76"/>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4、投标人在投标活动中提供任何虚假材料,其投标无效，并报监管部门查处；中标后发现的,根据《中华人民共和国招标投标法》，有违法所得的，并处没收违法所得，情节严重的，由工商行政管理机关吊销营业执照；构成犯罪的，依法追究刑事责任。</w:t>
      </w:r>
    </w:p>
    <w:p w14:paraId="5D98D928">
      <w:pPr>
        <w:pStyle w:val="21"/>
        <w:snapToGrid w:val="0"/>
        <w:spacing w:before="0" w:beforeLines="0" w:after="0" w:afterLines="0" w:line="360" w:lineRule="auto"/>
        <w:ind w:left="3" w:leftChars="1" w:firstLine="480" w:firstLineChars="200"/>
        <w:jc w:val="left"/>
        <w:rPr>
          <w:rFonts w:hAnsi="宋体" w:cs="宋体"/>
          <w:b w:val="0"/>
          <w:bCs/>
          <w:highlight w:val="none"/>
        </w:rPr>
      </w:pPr>
      <w:r>
        <w:rPr>
          <w:rFonts w:hAnsi="宋体" w:cs="宋体"/>
          <w:b w:val="0"/>
          <w:bCs/>
          <w:highlight w:val="none"/>
        </w:rPr>
        <w:t>5、投标人被列入“黑名单”的，采购组织单位将根据《浙江省政府采购供应商注册及诚信管理暂行办法》第四十六条之规定，在处罚有效期内，资格审查时不予通过。</w:t>
      </w:r>
    </w:p>
    <w:p w14:paraId="46B15DA6">
      <w:pPr>
        <w:pStyle w:val="21"/>
        <w:snapToGrid w:val="0"/>
        <w:spacing w:before="0" w:beforeLines="0" w:after="0" w:afterLines="0" w:line="360" w:lineRule="auto"/>
        <w:ind w:firstLine="482" w:firstLineChars="200"/>
        <w:outlineLvl w:val="1"/>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（九）质疑和投诉</w:t>
      </w:r>
    </w:p>
    <w:p w14:paraId="00732D75">
      <w:pPr>
        <w:pStyle w:val="21"/>
        <w:snapToGrid w:val="0"/>
        <w:spacing w:before="0" w:beforeLines="0" w:after="0" w:afterLines="0" w:line="360" w:lineRule="auto"/>
        <w:ind w:firstLine="482" w:firstLineChars="200"/>
        <w:rPr>
          <w:rFonts w:hint="default"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1.投标人认为招标文件、招标过程或中标结果使自己的合法权益受到损害的，应当在知道或者应知其权益受到损害之日起</w:t>
      </w:r>
      <w:r>
        <w:rPr>
          <w:rFonts w:hint="eastAsia" w:hAnsi="宋体"/>
          <w:bCs/>
          <w:color w:val="000000" w:themeColor="text1"/>
          <w:highlight w:val="none"/>
          <w:lang w:val="en-US" w:eastAsia="zh-CN"/>
          <w14:textFill>
            <w14:solidFill>
              <w14:schemeClr w14:val="tx1"/>
            </w14:solidFill>
          </w14:textFill>
        </w:rPr>
        <w:t>七</w:t>
      </w:r>
      <w:r>
        <w:rPr>
          <w:rFonts w:hAnsi="宋体"/>
          <w:bCs/>
          <w:color w:val="000000" w:themeColor="text1"/>
          <w:highlight w:val="none"/>
          <w14:textFill>
            <w14:solidFill>
              <w14:schemeClr w14:val="tx1"/>
            </w14:solidFill>
          </w14:textFill>
        </w:rPr>
        <w:t>个工作日内，以书面形式向采购人、采购代理机构提出质疑。</w:t>
      </w:r>
    </w:p>
    <w:p w14:paraId="2F63B85A">
      <w:pPr>
        <w:pStyle w:val="21"/>
        <w:snapToGrid w:val="0"/>
        <w:spacing w:before="0" w:beforeLines="0" w:after="0" w:afterLines="0" w:line="360" w:lineRule="auto"/>
        <w:ind w:firstLine="482" w:firstLineChars="200"/>
        <w:rPr>
          <w:rFonts w:hint="default"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2.质疑应当采用书面形式，质疑书应明确阐述招标文件、招标过程或中标结果中使自己合法权益受到损害的实质性内容，提供相关事实、依据和证据及其来源或线索，便于有关单位调查、答复和处理。</w:t>
      </w:r>
    </w:p>
    <w:p w14:paraId="4BD8B473">
      <w:pPr>
        <w:pStyle w:val="21"/>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二、招标文件</w:t>
      </w:r>
    </w:p>
    <w:p w14:paraId="6058FDA2">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（一）招标文件的构成。本招标文件由以下部份组成：</w:t>
      </w:r>
    </w:p>
    <w:p w14:paraId="6319F4B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招标公告</w:t>
      </w:r>
    </w:p>
    <w:p w14:paraId="65DF58A3">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招标需求</w:t>
      </w:r>
    </w:p>
    <w:p w14:paraId="7AB857A0">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投标人须知</w:t>
      </w:r>
    </w:p>
    <w:p w14:paraId="295CEE8E">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评标办法及标准</w:t>
      </w:r>
    </w:p>
    <w:p w14:paraId="0AE8F7DB">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合同主要条款</w:t>
      </w:r>
    </w:p>
    <w:p w14:paraId="63273D6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投标文件格式</w:t>
      </w:r>
    </w:p>
    <w:p w14:paraId="578C1C3D">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7.本项目</w:t>
      </w:r>
      <w:r>
        <w:rPr>
          <w:rFonts w:ascii="宋体" w:hAnsi="宋体"/>
          <w:color w:val="000000" w:themeColor="text1"/>
          <w:sz w:val="24"/>
          <w:highlight w:val="none"/>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14:textFill>
            <w14:solidFill>
              <w14:schemeClr w14:val="tx1"/>
            </w14:solidFill>
          </w14:textFill>
        </w:rPr>
        <w:t>澄清、答复、修改、补充的内容</w:t>
      </w:r>
    </w:p>
    <w:p w14:paraId="5AF7D1F4">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（二）投标人的风险</w:t>
      </w:r>
    </w:p>
    <w:p w14:paraId="1C0F9E45">
      <w:pPr>
        <w:snapToGrid w:val="0"/>
        <w:spacing w:line="360" w:lineRule="auto"/>
        <w:ind w:firstLine="480" w:firstLineChars="200"/>
        <w:rPr>
          <w:rFonts w:ascii="宋体" w:hAnsi="宋体"/>
          <w:color w:val="000000" w:themeColor="text1"/>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5472B4A6">
      <w:pPr>
        <w:pStyle w:val="8"/>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（三）招标文件的澄清与修改</w:t>
      </w:r>
      <w:r>
        <w:rPr>
          <w:rFonts w:ascii="宋体" w:hAnsi="宋体"/>
          <w:b/>
          <w:color w:val="000000" w:themeColor="text1"/>
          <w:szCs w:val="24"/>
          <w:highlight w:val="none"/>
          <w14:textFill>
            <w14:solidFill>
              <w14:schemeClr w14:val="tx1"/>
            </w14:solidFill>
          </w14:textFill>
        </w:rPr>
        <w:t xml:space="preserve"> </w:t>
      </w:r>
    </w:p>
    <w:p w14:paraId="4C9CF47B">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int="eastAsia" w:hAnsi="宋体" w:cs="宋体"/>
          <w:highlight w:val="none"/>
          <w:lang w:val="en-US" w:eastAsia="zh-CN"/>
        </w:rPr>
        <w:t>1.</w:t>
      </w:r>
      <w:r>
        <w:rPr>
          <w:rFonts w:hAnsi="宋体" w:cs="宋体"/>
          <w:highlight w:val="none"/>
        </w:rPr>
        <w:t>投标人获取招标文件后，若有问题需要澄清，应自招标文件发布在交易场所（发布招标公告的媒体上）、浙江省政府采购网”（http:// www.zjzfcg.gov.cn）3日内，通过台州湾新区小额工程电子交易平台（http://www.tzwztb.com/)向招标人（招标代理）提出。招标人的答复将发布在台州湾新区小额工程电子交易平台（http://www.tzwztb.com/)、浙江省政府采购网”（http:// www.zjzfcg.gov.cn）。如在该时间后提出问题需要澄清的，招标人不作答复。招标人及招标代理机构的任何工作人员对投标人所作的任何口头解释、介绍、答复，只能供投标人参考，对招标人无任何约束力。</w:t>
      </w:r>
      <w:r>
        <w:rPr>
          <w:rFonts w:hAnsi="宋体" w:cs="宋体"/>
          <w:bCs/>
          <w:highlight w:val="none"/>
        </w:rPr>
        <w:t>投标人应认真阅读本招标文件，发现其中有误或有不合理要求的，投标人必须在前附表规定的时间内以书面形式要求招标采购单位澄清</w:t>
      </w:r>
      <w:r>
        <w:rPr>
          <w:rFonts w:hAnsi="宋体" w:cs="宋体"/>
          <w:highlight w:val="none"/>
        </w:rPr>
        <w:t>。采购代理机构对已发出的招标文件进行必要澄清、答复、修改或补充的，应当在招标文件要求提交投标文件截止时间5日前，发布更正公告，并以书面形式通知所有招标文件收受人。</w:t>
      </w:r>
    </w:p>
    <w:p w14:paraId="7F309B35">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38A92F54">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261B4E70">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4.招标文件的澄清、答复、修改或补充都应该通过本代理机构以法定形式发布，采购人非通过本机构，不得擅自澄清、答复、修改或补充招标文件。</w:t>
      </w:r>
    </w:p>
    <w:p w14:paraId="5BA0F0A8">
      <w:pPr>
        <w:pStyle w:val="21"/>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三、投标文件的编制</w:t>
      </w:r>
    </w:p>
    <w:p w14:paraId="44AB9915">
      <w:pPr>
        <w:snapToGrid w:val="0"/>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（一）投标文件的组成</w:t>
      </w:r>
    </w:p>
    <w:p w14:paraId="6A33AB90">
      <w:pPr>
        <w:autoSpaceDE w:val="0"/>
        <w:autoSpaceDN w:val="0"/>
        <w:adjustRightInd w:val="0"/>
        <w:spacing w:line="360" w:lineRule="auto"/>
        <w:ind w:firstLine="482" w:firstLineChars="200"/>
        <w:rPr>
          <w:rFonts w:hint="eastAsia" w:ascii="宋体" w:hAnsi="宋体" w:eastAsia="宋体"/>
          <w:b/>
          <w:color w:val="000000" w:themeColor="text1"/>
          <w:kern w:val="0"/>
          <w:sz w:val="24"/>
          <w:highlight w:val="none"/>
          <w:lang w:eastAsia="zh-CN"/>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1、</w:t>
      </w:r>
      <w:r>
        <w:rPr>
          <w:rFonts w:hint="eastAsia" w:ascii="宋体" w:hAnsi="宋体"/>
          <w:b/>
          <w:color w:val="000000" w:themeColor="text1"/>
          <w:kern w:val="0"/>
          <w:sz w:val="24"/>
          <w:highlight w:val="none"/>
          <w:lang w:eastAsia="zh-CN"/>
          <w14:textFill>
            <w14:solidFill>
              <w14:schemeClr w14:val="tx1"/>
            </w14:solidFill>
          </w14:textFill>
        </w:rPr>
        <w:t>资信技术标</w:t>
      </w:r>
    </w:p>
    <w:p w14:paraId="19817BF1">
      <w:pPr>
        <w:pStyle w:val="21"/>
        <w:snapToGrid w:val="0"/>
        <w:spacing w:before="0" w:beforeLines="0" w:after="0" w:afterLines="0" w:line="360" w:lineRule="auto"/>
        <w:ind w:firstLine="480" w:firstLineChars="200"/>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各投标人根据自身对本项目的解读，按照本招标文件第四章“评标办法”中资信技术标的打分内容，并结合第二章“采购需求”，由各投标人自行编制资信技术标：</w:t>
      </w:r>
    </w:p>
    <w:p w14:paraId="4C3DD0E4">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default" w:hAnsi="宋体" w:cs="宋体"/>
          <w:b w:val="0"/>
          <w:color w:val="000000" w:themeColor="text1"/>
          <w:highlight w:val="none"/>
          <w14:textFill>
            <w14:solidFill>
              <w14:schemeClr w14:val="tx1"/>
            </w14:solidFill>
          </w14:textFill>
        </w:rPr>
        <w:t>1</w:t>
      </w:r>
      <w:r>
        <w:rPr>
          <w:rFonts w:hAnsi="宋体" w:cs="宋体"/>
          <w:b w:val="0"/>
          <w:color w:val="000000" w:themeColor="text1"/>
          <w:highlight w:val="none"/>
          <w14:textFill>
            <w14:solidFill>
              <w14:schemeClr w14:val="tx1"/>
            </w14:solidFill>
          </w14:textFill>
        </w:rPr>
        <w:t>）法定代表人身份证扫描件（如为法人投标）或法定代表人授权委托书（如为委托代理人投标）（格式见附件）；</w:t>
      </w:r>
    </w:p>
    <w:p w14:paraId="75E4B7E3">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default" w:hAnsi="宋体" w:cs="宋体"/>
          <w:b w:val="0"/>
          <w:color w:val="000000" w:themeColor="text1"/>
          <w:highlight w:val="none"/>
          <w14:textFill>
            <w14:solidFill>
              <w14:schemeClr w14:val="tx1"/>
            </w14:solidFill>
          </w14:textFill>
        </w:rPr>
        <w:t>2</w:t>
      </w: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14:textFill>
            <w14:solidFill>
              <w14:schemeClr w14:val="tx1"/>
            </w14:solidFill>
          </w14:textFill>
        </w:rPr>
        <w:t>投标人诚信投标承诺书</w:t>
      </w:r>
      <w:r>
        <w:rPr>
          <w:rFonts w:hAnsi="宋体" w:cs="宋体"/>
          <w:b w:val="0"/>
          <w:color w:val="000000" w:themeColor="text1"/>
          <w:highlight w:val="none"/>
          <w14:textFill>
            <w14:solidFill>
              <w14:schemeClr w14:val="tx1"/>
            </w14:solidFill>
          </w14:textFill>
        </w:rPr>
        <w:t xml:space="preserve">（格式见附件）； </w:t>
      </w:r>
    </w:p>
    <w:p w14:paraId="1F155FB3">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hAnsi="宋体" w:eastAsia="宋体" w:cs="宋体"/>
          <w:b w:val="0"/>
          <w:color w:val="000000" w:themeColor="text1"/>
          <w:highlight w:val="none"/>
          <w:lang w:val="en-US" w:eastAsia="zh-CN"/>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default" w:hAnsi="宋体" w:cs="宋体"/>
          <w:b w:val="0"/>
          <w:color w:val="000000" w:themeColor="text1"/>
          <w:highlight w:val="none"/>
          <w14:textFill>
            <w14:solidFill>
              <w14:schemeClr w14:val="tx1"/>
            </w14:solidFill>
          </w14:textFill>
        </w:rPr>
        <w:t>3</w:t>
      </w:r>
      <w:r>
        <w:rPr>
          <w:rFonts w:hAnsi="宋体" w:cs="宋体"/>
          <w:b w:val="0"/>
          <w:color w:val="000000" w:themeColor="text1"/>
          <w:highlight w:val="none"/>
          <w14:textFill>
            <w14:solidFill>
              <w14:schemeClr w14:val="tx1"/>
            </w14:solidFill>
          </w14:textFill>
        </w:rPr>
        <w:t>）</w:t>
      </w:r>
      <w:r>
        <w:rPr>
          <w:rFonts w:hint="eastAsia" w:ascii="宋体" w:hAnsi="宋体" w:eastAsia="宋体" w:cs="宋体"/>
          <w:b w:val="0"/>
          <w:color w:val="000000" w:themeColor="text1"/>
          <w:highlight w:val="none"/>
          <w14:textFill>
            <w14:solidFill>
              <w14:schemeClr w14:val="tx1"/>
            </w14:solidFill>
          </w14:textFill>
        </w:rPr>
        <w:t>营业执照副本</w:t>
      </w:r>
      <w:r>
        <w:rPr>
          <w:rFonts w:hint="eastAsia" w:hAnsi="宋体" w:cs="宋体"/>
          <w:b w:val="0"/>
          <w:color w:val="000000" w:themeColor="text1"/>
          <w:highlight w:val="none"/>
          <w:lang w:val="en-US" w:eastAsia="zh-CN"/>
          <w14:textFill>
            <w14:solidFill>
              <w14:schemeClr w14:val="tx1"/>
            </w14:solidFill>
          </w14:textFill>
        </w:rPr>
        <w:t>；</w:t>
      </w:r>
    </w:p>
    <w:p w14:paraId="7209E22B">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（4）</w:t>
      </w:r>
      <w:r>
        <w:rPr>
          <w:rFonts w:hint="eastAsia" w:ascii="宋体" w:hAnsi="宋体" w:eastAsia="宋体" w:cs="宋体"/>
          <w:b w:val="0"/>
          <w:color w:val="000000" w:themeColor="text1"/>
          <w:highlight w:val="none"/>
          <w:lang w:val="en-US" w:eastAsia="zh-CN"/>
          <w14:textFill>
            <w14:solidFill>
              <w14:schemeClr w14:val="tx1"/>
            </w14:solidFill>
          </w14:textFill>
        </w:rPr>
        <w:t>投</w:t>
      </w:r>
      <w:r>
        <w:rPr>
          <w:rFonts w:hint="eastAsia" w:hAnsi="宋体" w:cs="宋体"/>
          <w:b w:val="0"/>
          <w:color w:val="000000" w:themeColor="text1"/>
          <w:highlight w:val="none"/>
          <w:lang w:val="en-US" w:eastAsia="zh-CN"/>
          <w14:textFill>
            <w14:solidFill>
              <w14:schemeClr w14:val="tx1"/>
            </w14:solidFill>
          </w14:textFill>
        </w:rPr>
        <w:t>标声明书</w:t>
      </w:r>
      <w:r>
        <w:rPr>
          <w:rFonts w:hAnsi="宋体" w:cs="宋体"/>
          <w:b w:val="0"/>
          <w:color w:val="000000" w:themeColor="text1"/>
          <w:highlight w:val="none"/>
          <w14:textFill>
            <w14:solidFill>
              <w14:schemeClr w14:val="tx1"/>
            </w14:solidFill>
          </w14:textFill>
        </w:rPr>
        <w:t>（格式见附件）；</w:t>
      </w:r>
    </w:p>
    <w:p w14:paraId="30E1221D">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ascii="宋体" w:hAnsi="宋体" w:eastAsia="宋体" w:cs="宋体"/>
          <w:b w:val="0"/>
          <w:color w:val="000000" w:themeColor="text1"/>
          <w:highlight w:val="none"/>
          <w:lang w:val="en-US" w:eastAsia="zh-CN"/>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lang w:val="en-US" w:eastAsia="zh-CN"/>
          <w14:textFill>
            <w14:solidFill>
              <w14:schemeClr w14:val="tx1"/>
            </w14:solidFill>
          </w14:textFill>
        </w:rPr>
        <w:t>5</w:t>
      </w: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14:textFill>
            <w14:solidFill>
              <w14:schemeClr w14:val="tx1"/>
            </w14:solidFill>
          </w14:textFill>
        </w:rPr>
        <w:t>投标</w:t>
      </w:r>
      <w:r>
        <w:rPr>
          <w:rFonts w:hint="eastAsia" w:ascii="宋体" w:hAnsi="宋体" w:eastAsia="宋体" w:cs="宋体"/>
          <w:b w:val="0"/>
          <w:color w:val="000000" w:themeColor="text1"/>
          <w:highlight w:val="none"/>
          <w:lang w:val="en-US" w:eastAsia="zh-CN"/>
          <w14:textFill>
            <w14:solidFill>
              <w14:schemeClr w14:val="tx1"/>
            </w14:solidFill>
          </w14:textFill>
        </w:rPr>
        <w:t>产品技术参数响应表（格式见附件）；</w:t>
      </w:r>
    </w:p>
    <w:p w14:paraId="488862DC">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color w:val="000000" w:themeColor="text1"/>
          <w:highlight w:val="none"/>
          <w:lang w:val="en-US" w:eastAsia="zh-CN"/>
          <w14:textFill>
            <w14:solidFill>
              <w14:schemeClr w14:val="tx1"/>
            </w14:solidFill>
          </w14:textFill>
        </w:rPr>
      </w:pPr>
      <w:r>
        <w:rPr>
          <w:rFonts w:hint="eastAsia" w:ascii="宋体" w:hAnsi="宋体" w:eastAsia="宋体" w:cs="宋体"/>
          <w:b w:val="0"/>
          <w:color w:val="000000" w:themeColor="text1"/>
          <w:highlight w:val="none"/>
          <w:lang w:val="en-US" w:eastAsia="zh-CN"/>
          <w14:textFill>
            <w14:solidFill>
              <w14:schemeClr w14:val="tx1"/>
            </w14:solidFill>
          </w14:textFill>
        </w:rPr>
        <w:t>（6）业绩一览表</w:t>
      </w:r>
      <w:r>
        <w:rPr>
          <w:rFonts w:hAnsi="宋体" w:cs="宋体"/>
          <w:b w:val="0"/>
          <w:color w:val="000000" w:themeColor="text1"/>
          <w:highlight w:val="none"/>
          <w14:textFill>
            <w14:solidFill>
              <w14:schemeClr w14:val="tx1"/>
            </w14:solidFill>
          </w14:textFill>
        </w:rPr>
        <w:t>（格式见附件）；</w:t>
      </w:r>
    </w:p>
    <w:p w14:paraId="2DA81590">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hAnsi="宋体" w:cs="宋体"/>
          <w:b w:val="0"/>
          <w:color w:val="000000" w:themeColor="text1"/>
          <w:highlight w:val="none"/>
          <w:lang w:val="en-US" w:eastAsia="zh-CN"/>
          <w14:textFill>
            <w14:solidFill>
              <w14:schemeClr w14:val="tx1"/>
            </w14:solidFill>
          </w14:textFill>
        </w:rPr>
        <w:t>（7）</w:t>
      </w:r>
      <w:r>
        <w:rPr>
          <w:rFonts w:hint="eastAsia" w:ascii="宋体" w:hAnsi="宋体" w:eastAsia="宋体" w:cs="宋体"/>
          <w:b w:val="0"/>
          <w:color w:val="000000" w:themeColor="text1"/>
          <w:highlight w:val="none"/>
          <w:lang w:val="en-US" w:eastAsia="zh-CN"/>
          <w14:textFill>
            <w14:solidFill>
              <w14:schemeClr w14:val="tx1"/>
            </w14:solidFill>
          </w14:textFill>
        </w:rPr>
        <w:t>投标人认为可以证明自身实力的其他相关材料（如有）。</w:t>
      </w:r>
    </w:p>
    <w:p w14:paraId="0E038D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b/>
          <w:color w:val="000000" w:themeColor="text1"/>
          <w:kern w:val="0"/>
          <w:sz w:val="24"/>
          <w:highlight w:val="none"/>
          <w:lang w:eastAsia="zh-CN"/>
          <w14:textFill>
            <w14:solidFill>
              <w14:schemeClr w14:val="tx1"/>
            </w14:solidFill>
          </w14:textFill>
        </w:rPr>
        <w:t>商务标</w:t>
      </w:r>
    </w:p>
    <w:p w14:paraId="2229A190">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（1）开标一览表（格式见附件）；</w:t>
      </w:r>
    </w:p>
    <w:p w14:paraId="5BDBCE20">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lang w:val="en-US" w:eastAsia="zh-CN"/>
          <w14:textFill>
            <w14:solidFill>
              <w14:schemeClr w14:val="tx1"/>
            </w14:solidFill>
          </w14:textFill>
        </w:rPr>
        <w:t>2</w:t>
      </w:r>
      <w:r>
        <w:rPr>
          <w:rFonts w:hAnsi="宋体" w:cs="宋体"/>
          <w:b w:val="0"/>
          <w:color w:val="000000" w:themeColor="text1"/>
          <w:highlight w:val="none"/>
          <w14:textFill>
            <w14:solidFill>
              <w14:schemeClr w14:val="tx1"/>
            </w14:solidFill>
          </w14:textFill>
        </w:rPr>
        <w:t>）投标报价明细清单（格式见附件）；</w:t>
      </w:r>
    </w:p>
    <w:p w14:paraId="0A4FAD61">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二</w:t>
      </w:r>
      <w:r>
        <w:rPr>
          <w:rFonts w:hint="eastAsia" w:ascii="宋体" w:hAnsi="宋体"/>
          <w:b/>
          <w:color w:val="000000" w:themeColor="text1"/>
          <w:sz w:val="24"/>
          <w:highlight w:val="none"/>
          <w14:textFill>
            <w14:solidFill>
              <w14:schemeClr w14:val="tx1"/>
            </w14:solidFill>
          </w14:textFill>
        </w:rPr>
        <w:t>）投标文件的语言及计量</w:t>
      </w:r>
    </w:p>
    <w:p w14:paraId="6A768D8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投标文件以及投标人与招标人就有关投标事宜的所有来往函电，均应以中文汉语书写。除签名、盖章、专用名称等特殊情形外，以中文汉语以外的文字表述的投标文件视同未提供。</w:t>
      </w:r>
    </w:p>
    <w:p w14:paraId="4CD0B11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投标计量单位，招标文件已有明确规定的，使用招标文件规定的计量单位；招标文件没有规定的，应采用中华人民共和国法定计量单位（货币单位：人民币元），否则视同未响应。</w:t>
      </w:r>
    </w:p>
    <w:p w14:paraId="4F9AF09B">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）投标报价</w:t>
      </w:r>
    </w:p>
    <w:p w14:paraId="77868CC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1.投标报价应按招标文件中相关附表格式填写。</w:t>
      </w:r>
    </w:p>
    <w:p w14:paraId="7349305A">
      <w:pPr>
        <w:pStyle w:val="21"/>
        <w:snapToGrid w:val="0"/>
        <w:spacing w:before="0" w:beforeLines="0" w:after="0" w:afterLines="0" w:line="360" w:lineRule="auto"/>
        <w:ind w:firstLine="482" w:firstLineChars="200"/>
        <w:rPr>
          <w:rFonts w:hint="default"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▲2.投标报价是履行合同的最终价格，</w:t>
      </w:r>
      <w:r>
        <w:rPr>
          <w:rFonts w:hint="eastAsia" w:hAnsi="宋体" w:cs="宋体"/>
          <w:color w:val="000000" w:themeColor="text1"/>
          <w:highlight w:val="none"/>
          <w:lang w:val="en-US" w:eastAsia="zh-CN"/>
          <w14:textFill>
            <w14:solidFill>
              <w14:schemeClr w14:val="tx1"/>
            </w14:solidFill>
          </w14:textFill>
        </w:rPr>
        <w:t>该</w:t>
      </w:r>
      <w:r>
        <w:rPr>
          <w:rFonts w:hint="eastAsia" w:hAnsi="宋体"/>
          <w:color w:val="auto"/>
          <w:highlight w:val="none"/>
          <w:lang w:val="en-US" w:eastAsia="zh-CN"/>
        </w:rPr>
        <w:t>费用</w:t>
      </w:r>
      <w:r>
        <w:rPr>
          <w:rFonts w:hint="eastAsia" w:hAnsi="宋体"/>
          <w:color w:val="auto"/>
          <w:highlight w:val="none"/>
        </w:rPr>
        <w:t>已包含本项目加工、安装、运输、连接配件、施工设备、劳务、管理、材料、安装、仓储、售后服务、保险、利润、税金、规费、技术措施费、安全措施费、风险费等所有工作的一切费用。该单价中已综合考虑了在合同有效期内的材料设备、机械、人工等所有市场价格波动的风险，在合同有效期内不做任何调整。</w:t>
      </w:r>
    </w:p>
    <w:p w14:paraId="1EE9B64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投标文件只允许有一个报价，有选择的</w:t>
      </w:r>
      <w:r>
        <w:rPr>
          <w:rFonts w:hint="eastAsia" w:ascii="宋体" w:hAnsi="宋体"/>
          <w:color w:val="000000" w:themeColor="text1"/>
          <w:sz w:val="24"/>
          <w:highlight w:val="none"/>
          <w14:textFill>
            <w14:solidFill>
              <w14:schemeClr w14:val="tx1"/>
            </w14:solidFill>
          </w14:textFill>
        </w:rPr>
        <w:t>或有条件的</w:t>
      </w:r>
      <w:r>
        <w:rPr>
          <w:rFonts w:ascii="宋体" w:hAnsi="宋体"/>
          <w:color w:val="000000" w:themeColor="text1"/>
          <w:sz w:val="24"/>
          <w:highlight w:val="none"/>
          <w14:textFill>
            <w14:solidFill>
              <w14:schemeClr w14:val="tx1"/>
            </w14:solidFill>
          </w14:textFill>
        </w:rPr>
        <w:t>报价将不予接受。</w:t>
      </w:r>
    </w:p>
    <w:p w14:paraId="7A60C062">
      <w:pPr>
        <w:pStyle w:val="8"/>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w:t>
      </w:r>
      <w:r>
        <w:rPr>
          <w:rFonts w:hint="eastAsia" w:ascii="宋体" w:hAnsi="宋体"/>
          <w:b/>
          <w:color w:val="000000" w:themeColor="text1"/>
          <w:szCs w:val="24"/>
          <w:highlight w:val="none"/>
          <w:lang w:val="en-US" w:eastAsia="zh-CN"/>
          <w14:textFill>
            <w14:solidFill>
              <w14:schemeClr w14:val="tx1"/>
            </w14:solidFill>
          </w14:textFill>
        </w:rPr>
        <w:t>四</w:t>
      </w:r>
      <w:r>
        <w:rPr>
          <w:rFonts w:hint="eastAsia" w:ascii="宋体" w:hAnsi="宋体"/>
          <w:b/>
          <w:color w:val="000000" w:themeColor="text1"/>
          <w:szCs w:val="24"/>
          <w:highlight w:val="none"/>
          <w14:textFill>
            <w14:solidFill>
              <w14:schemeClr w14:val="tx1"/>
            </w14:solidFill>
          </w14:textFill>
        </w:rPr>
        <w:t>）投标文件的有效期</w:t>
      </w:r>
    </w:p>
    <w:p w14:paraId="4269DA8D">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1</w:t>
      </w: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 xml:space="preserve">自投标截止日起 </w:t>
      </w:r>
      <w:r>
        <w:rPr>
          <w:rFonts w:hint="eastAsia"/>
          <w:color w:val="000000" w:themeColor="text1"/>
          <w:sz w:val="24"/>
          <w:szCs w:val="22"/>
          <w:highlight w:val="none"/>
          <w14:textFill>
            <w14:solidFill>
              <w14:schemeClr w14:val="tx1"/>
            </w14:solidFill>
          </w14:textFill>
        </w:rPr>
        <w:t>90</w:t>
      </w:r>
      <w:r>
        <w:rPr>
          <w:color w:val="000000" w:themeColor="text1"/>
          <w:sz w:val="24"/>
          <w:szCs w:val="22"/>
          <w:highlight w:val="none"/>
          <w14:textFill>
            <w14:solidFill>
              <w14:schemeClr w14:val="tx1"/>
            </w14:solidFill>
          </w14:textFill>
        </w:rPr>
        <w:t>天投标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应保持有效。</w:t>
      </w:r>
      <w:r>
        <w:rPr>
          <w:rFonts w:hint="eastAsia"/>
          <w:color w:val="000000" w:themeColor="text1"/>
          <w:sz w:val="24"/>
          <w:szCs w:val="22"/>
          <w:highlight w:val="none"/>
          <w14:textFill>
            <w14:solidFill>
              <w14:schemeClr w14:val="tx1"/>
            </w14:solidFill>
          </w14:textFill>
        </w:rPr>
        <w:t>中标人投标文件有效期延长至合同有效期。</w:t>
      </w:r>
      <w:r>
        <w:rPr>
          <w:color w:val="000000" w:themeColor="text1"/>
          <w:sz w:val="24"/>
          <w:szCs w:val="22"/>
          <w:highlight w:val="none"/>
          <w14:textFill>
            <w14:solidFill>
              <w14:schemeClr w14:val="tx1"/>
            </w14:solidFill>
          </w14:textFill>
        </w:rPr>
        <w:t>有效期</w:t>
      </w:r>
      <w:r>
        <w:rPr>
          <w:rFonts w:hint="eastAsia"/>
          <w:color w:val="000000" w:themeColor="text1"/>
          <w:sz w:val="24"/>
          <w:szCs w:val="22"/>
          <w:highlight w:val="none"/>
          <w14:textFill>
            <w14:solidFill>
              <w14:schemeClr w14:val="tx1"/>
            </w14:solidFill>
          </w14:textFill>
        </w:rPr>
        <w:t>不足</w:t>
      </w:r>
      <w:r>
        <w:rPr>
          <w:color w:val="000000" w:themeColor="text1"/>
          <w:sz w:val="24"/>
          <w:szCs w:val="22"/>
          <w:highlight w:val="none"/>
          <w14:textFill>
            <w14:solidFill>
              <w14:schemeClr w14:val="tx1"/>
            </w14:solidFill>
          </w14:textFill>
        </w:rPr>
        <w:t>的投标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将被拒绝。</w:t>
      </w:r>
    </w:p>
    <w:p w14:paraId="16F06BE1">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2.</w:t>
      </w:r>
      <w:r>
        <w:rPr>
          <w:color w:val="000000" w:themeColor="text1"/>
          <w:sz w:val="24"/>
          <w:szCs w:val="22"/>
          <w:highlight w:val="none"/>
          <w14:textFill>
            <w14:solidFill>
              <w14:schemeClr w14:val="tx1"/>
            </w14:solidFill>
          </w14:textFill>
        </w:rPr>
        <w:t>在特殊情况下，招标人可与投标人协商延长投标书的有效期，这种要求和答复均以书面形式进行。</w:t>
      </w:r>
    </w:p>
    <w:p w14:paraId="38EDC3E2">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 xml:space="preserve">3.投标人可拒绝接受延期要求而不会导致投标保证金不被退回。同意延长有效期的投标人需要相应延长投标保证金的有效期，但不能修改投标文件内容。 </w:t>
      </w:r>
    </w:p>
    <w:p w14:paraId="605987BD">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4.</w:t>
      </w:r>
      <w:r>
        <w:rPr>
          <w:color w:val="000000" w:themeColor="text1"/>
          <w:sz w:val="24"/>
          <w:szCs w:val="22"/>
          <w:highlight w:val="none"/>
          <w14:textFill>
            <w14:solidFill>
              <w14:schemeClr w14:val="tx1"/>
            </w14:solidFill>
          </w14:textFill>
        </w:rPr>
        <w:t>中标人的投标文件自开标之日起至合同履行完毕止均应保持有效。</w:t>
      </w:r>
    </w:p>
    <w:p w14:paraId="266B047F">
      <w:pPr>
        <w:pStyle w:val="8"/>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w:t>
      </w:r>
      <w:r>
        <w:rPr>
          <w:rFonts w:hint="eastAsia" w:ascii="宋体" w:hAnsi="宋体"/>
          <w:b/>
          <w:color w:val="000000" w:themeColor="text1"/>
          <w:szCs w:val="24"/>
          <w:highlight w:val="none"/>
          <w:lang w:val="en-US" w:eastAsia="zh-CN"/>
          <w14:textFill>
            <w14:solidFill>
              <w14:schemeClr w14:val="tx1"/>
            </w14:solidFill>
          </w14:textFill>
        </w:rPr>
        <w:t>五</w:t>
      </w:r>
      <w:r>
        <w:rPr>
          <w:rFonts w:hint="eastAsia" w:ascii="宋体" w:hAnsi="宋体"/>
          <w:b/>
          <w:color w:val="000000" w:themeColor="text1"/>
          <w:szCs w:val="24"/>
          <w:highlight w:val="none"/>
          <w14:textFill>
            <w14:solidFill>
              <w14:schemeClr w14:val="tx1"/>
            </w14:solidFill>
          </w14:textFill>
        </w:rPr>
        <w:t>）投标保证金</w:t>
      </w:r>
    </w:p>
    <w:p w14:paraId="06E5201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1.投标人须按规定提交投标保证金。否则，其投标将被拒绝。</w:t>
      </w:r>
    </w:p>
    <w:p w14:paraId="7792DB7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2.保证金形式：</w:t>
      </w:r>
      <w:r>
        <w:rPr>
          <w:rFonts w:hint="eastAsia" w:ascii="宋体" w:hAnsi="宋体"/>
          <w:color w:val="000000" w:themeColor="text1"/>
          <w:sz w:val="24"/>
          <w:highlight w:val="none"/>
          <w:lang w:val="en-US" w:eastAsia="zh-CN"/>
          <w14:textFill>
            <w14:solidFill>
              <w14:schemeClr w14:val="tx1"/>
            </w14:solidFill>
          </w14:textFill>
        </w:rPr>
        <w:t>详见公告</w:t>
      </w:r>
      <w:r>
        <w:rPr>
          <w:rFonts w:hint="eastAsia" w:ascii="宋体" w:hAnsi="宋体"/>
          <w:color w:val="000000" w:themeColor="text1"/>
          <w:sz w:val="24"/>
          <w:highlight w:val="none"/>
          <w14:textFill>
            <w14:solidFill>
              <w14:schemeClr w14:val="tx1"/>
            </w14:solidFill>
          </w14:textFill>
        </w:rPr>
        <w:t>。</w:t>
      </w:r>
    </w:p>
    <w:p w14:paraId="44747ADE">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3.保证金不计息。</w:t>
      </w:r>
    </w:p>
    <w:p w14:paraId="1F94AA1D">
      <w:pPr>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4.投标人有下列情形之一的，投标保证金将不予退还：</w:t>
      </w:r>
    </w:p>
    <w:p w14:paraId="268A72D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（1）投标人在投标有效期内撤回投标文件的；</w:t>
      </w:r>
    </w:p>
    <w:p w14:paraId="67D9209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（2）未按规定提交履约保证金的；</w:t>
      </w:r>
    </w:p>
    <w:p w14:paraId="320371B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（3）投标人在投标过程中弄虚作假，提供虚假材料的；</w:t>
      </w:r>
    </w:p>
    <w:p w14:paraId="51E1EE1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（4）中标人无正当理由不与采购单位签订合同的；</w:t>
      </w:r>
    </w:p>
    <w:p w14:paraId="4F4EEED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将中标项目转让给他人或者在投标文件中未说明且未经招标人同意，将中标项目分包给他人的；</w:t>
      </w:r>
    </w:p>
    <w:p w14:paraId="593F069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（6）拒绝履行合同义务的；</w:t>
      </w:r>
    </w:p>
    <w:p w14:paraId="70D9B3F0">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（7）有《关于印发&lt;台州市工程建设投标保函管理规定&gt;的通知》（台公管办〔2022〕2号）第十一条规定情形的。</w:t>
      </w:r>
    </w:p>
    <w:p w14:paraId="09B67A9C">
      <w:pPr>
        <w:snapToGrid w:val="0"/>
        <w:spacing w:line="360" w:lineRule="auto"/>
        <w:ind w:firstLine="482" w:firstLineChars="200"/>
        <w:outlineLvl w:val="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六</w:t>
      </w:r>
      <w:r>
        <w:rPr>
          <w:rFonts w:hint="eastAsia" w:ascii="宋体" w:hAnsi="宋体"/>
          <w:b/>
          <w:color w:val="000000" w:themeColor="text1"/>
          <w:sz w:val="24"/>
          <w:highlight w:val="none"/>
          <w14:textFill>
            <w14:solidFill>
              <w14:schemeClr w14:val="tx1"/>
            </w14:solidFill>
          </w14:textFill>
        </w:rPr>
        <w:t>）投标文件的签署和份数</w:t>
      </w:r>
    </w:p>
    <w:p w14:paraId="292A9397">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投标人按本招标文件规定的要求使用电子投标文件，投标文件内容不完整、编排混乱导致投标文件被误读、漏读或者查找不到相关内容的，是投标人的责任。</w:t>
      </w:r>
    </w:p>
    <w:p w14:paraId="66EBEC26">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投标文件须由投标人在规定位置盖章并由法定代表人或法定代表</w:t>
      </w:r>
      <w:r>
        <w:rPr>
          <w:rFonts w:hint="eastAsia" w:ascii="宋体" w:hAnsi="宋体"/>
          <w:color w:val="000000" w:themeColor="text1"/>
          <w:sz w:val="24"/>
          <w:highlight w:val="none"/>
          <w14:textFill>
            <w14:solidFill>
              <w14:schemeClr w14:val="tx1"/>
            </w14:solidFill>
          </w14:textFill>
        </w:rPr>
        <w:t>人的</w:t>
      </w:r>
      <w:r>
        <w:rPr>
          <w:rFonts w:ascii="宋体" w:hAnsi="宋体"/>
          <w:color w:val="000000" w:themeColor="text1"/>
          <w:sz w:val="24"/>
          <w:highlight w:val="none"/>
          <w14:textFill>
            <w14:solidFill>
              <w14:schemeClr w14:val="tx1"/>
            </w14:solidFill>
          </w14:textFill>
        </w:rPr>
        <w:t>授权</w:t>
      </w:r>
      <w:r>
        <w:rPr>
          <w:rFonts w:hint="eastAsia" w:ascii="宋体" w:hAnsi="宋体"/>
          <w:color w:val="000000" w:themeColor="text1"/>
          <w:sz w:val="24"/>
          <w:highlight w:val="none"/>
          <w14:textFill>
            <w14:solidFill>
              <w14:schemeClr w14:val="tx1"/>
            </w14:solidFill>
          </w14:textFill>
        </w:rPr>
        <w:t>委托</w:t>
      </w:r>
      <w:r>
        <w:rPr>
          <w:rFonts w:ascii="宋体" w:hAnsi="宋体"/>
          <w:color w:val="000000" w:themeColor="text1"/>
          <w:sz w:val="24"/>
          <w:highlight w:val="none"/>
          <w14:textFill>
            <w14:solidFill>
              <w14:schemeClr w14:val="tx1"/>
            </w14:solidFill>
          </w14:textFill>
        </w:rPr>
        <w:t>人签署</w:t>
      </w:r>
      <w:r>
        <w:rPr>
          <w:rFonts w:hint="eastAsia" w:ascii="宋体" w:hAnsi="宋体"/>
          <w:color w:val="000000" w:themeColor="text1"/>
          <w:sz w:val="24"/>
          <w:highlight w:val="none"/>
          <w14:textFill>
            <w14:solidFill>
              <w14:schemeClr w14:val="tx1"/>
            </w14:solidFill>
          </w14:textFill>
        </w:rPr>
        <w:t>或盖章</w:t>
      </w:r>
      <w:r>
        <w:rPr>
          <w:rFonts w:ascii="宋体" w:hAnsi="宋体"/>
          <w:color w:val="000000" w:themeColor="text1"/>
          <w:sz w:val="24"/>
          <w:highlight w:val="none"/>
          <w14:textFill>
            <w14:solidFill>
              <w14:schemeClr w14:val="tx1"/>
            </w14:solidFill>
          </w14:textFill>
        </w:rPr>
        <w:t>，投标人应写全称。</w:t>
      </w:r>
    </w:p>
    <w:p w14:paraId="7BD2A94C">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14:paraId="5436EA78">
      <w:pPr>
        <w:snapToGrid w:val="0"/>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）投标文件的包装、递交、修改和撤回</w:t>
      </w:r>
    </w:p>
    <w:p w14:paraId="1DE6268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1.本工程采用电子投标，无需纸质投标文件；</w:t>
      </w:r>
    </w:p>
    <w:p w14:paraId="652D6F1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2.投标人应在投标截止时间前上传投标文件。逾期上传的或者未上传指定系统的，视为投标文件未送达。</w:t>
      </w:r>
    </w:p>
    <w:p w14:paraId="7583E7D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3.在规定的投标截止时间前，投标人可以修改或撤回已递交的电子投标文件；修改好后重新上传加密电子投标文件。</w:t>
      </w:r>
    </w:p>
    <w:p w14:paraId="18AE0C3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4.在投标截止时间至投标有效期满之前，投标人不得撤回其投标文件，否则其投标担保将被没收。投标人已现场签到但未解密的，等同于撤回。</w:t>
      </w:r>
    </w:p>
    <w:p w14:paraId="6C2D48C1">
      <w:pPr>
        <w:snapToGrid w:val="0"/>
        <w:spacing w:line="360" w:lineRule="auto"/>
        <w:ind w:firstLine="482" w:firstLineChars="200"/>
        <w:outlineLvl w:val="2"/>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八</w:t>
      </w:r>
      <w:r>
        <w:rPr>
          <w:rFonts w:hint="eastAsia" w:ascii="宋体" w:hAnsi="宋体"/>
          <w:b/>
          <w:color w:val="000000" w:themeColor="text1"/>
          <w:sz w:val="24"/>
          <w:highlight w:val="none"/>
          <w14:textFill>
            <w14:solidFill>
              <w14:schemeClr w14:val="tx1"/>
            </w14:solidFill>
          </w14:textFill>
        </w:rPr>
        <w:t>）投标无效的情形</w:t>
      </w:r>
    </w:p>
    <w:p w14:paraId="11396BBC">
      <w:pPr>
        <w:snapToGrid w:val="0"/>
        <w:spacing w:line="360" w:lineRule="auto"/>
        <w:ind w:firstLine="480" w:firstLineChars="200"/>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133219C">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在符合性审查和</w:t>
      </w:r>
      <w:r>
        <w:rPr>
          <w:rFonts w:hint="eastAsia" w:ascii="宋体" w:hAnsi="宋体"/>
          <w:b/>
          <w:bCs/>
          <w:color w:val="000000" w:themeColor="text1"/>
          <w:sz w:val="24"/>
          <w:highlight w:val="none"/>
          <w14:textFill>
            <w14:solidFill>
              <w14:schemeClr w14:val="tx1"/>
            </w14:solidFill>
          </w14:textFill>
        </w:rPr>
        <w:t>资信技术</w:t>
      </w:r>
      <w:r>
        <w:rPr>
          <w:rFonts w:ascii="宋体" w:hAnsi="宋体"/>
          <w:b/>
          <w:bCs/>
          <w:color w:val="000000" w:themeColor="text1"/>
          <w:sz w:val="24"/>
          <w:highlight w:val="none"/>
          <w14:textFill>
            <w14:solidFill>
              <w14:schemeClr w14:val="tx1"/>
            </w14:solidFill>
          </w14:textFill>
        </w:rPr>
        <w:t>评审时，如发现下列情形之一的，投标文件将被视为无效：</w:t>
      </w:r>
    </w:p>
    <w:p w14:paraId="7A6EAD5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bidi="ar"/>
          <w14:textFill>
            <w14:solidFill>
              <w14:schemeClr w14:val="tx1"/>
            </w14:solidFill>
          </w14:textFill>
        </w:rPr>
        <w:t>资格证明文件不全的，或者不符合招标文件标明的资格要求的；</w:t>
      </w:r>
    </w:p>
    <w:p w14:paraId="2578DEF8">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bidi="ar"/>
          <w14:textFill>
            <w14:solidFill>
              <w14:schemeClr w14:val="tx1"/>
            </w14:solidFill>
          </w14:textFill>
        </w:rPr>
        <w:t>投标文件</w:t>
      </w:r>
      <w:r>
        <w:rPr>
          <w:rFonts w:hint="eastAsia" w:ascii="宋体" w:hAnsi="宋体"/>
          <w:b/>
          <w:bCs/>
          <w:color w:val="000000" w:themeColor="text1"/>
          <w:sz w:val="24"/>
          <w:highlight w:val="none"/>
          <w:lang w:bidi="ar"/>
          <w14:textFill>
            <w14:solidFill>
              <w14:schemeClr w14:val="tx1"/>
            </w14:solidFill>
          </w14:textFill>
        </w:rPr>
        <w:t>在指定页面</w:t>
      </w:r>
      <w:r>
        <w:rPr>
          <w:rFonts w:hint="eastAsia" w:ascii="宋体" w:hAnsi="宋体"/>
          <w:bCs/>
          <w:color w:val="000000" w:themeColor="text1"/>
          <w:sz w:val="24"/>
          <w:highlight w:val="none"/>
          <w:lang w:bidi="ar"/>
          <w14:textFill>
            <w14:solidFill>
              <w14:schemeClr w14:val="tx1"/>
            </w14:solidFill>
          </w14:textFill>
        </w:rPr>
        <w:t>无法定代表人或授权委托人盖章或签字、</w:t>
      </w:r>
      <w:r>
        <w:rPr>
          <w:rFonts w:hint="eastAsia" w:ascii="宋体" w:hAnsi="宋体"/>
          <w:b/>
          <w:bCs/>
          <w:color w:val="000000" w:themeColor="text1"/>
          <w:sz w:val="24"/>
          <w:highlight w:val="none"/>
          <w:lang w:bidi="ar"/>
          <w14:textFill>
            <w14:solidFill>
              <w14:schemeClr w14:val="tx1"/>
            </w14:solidFill>
          </w14:textFill>
        </w:rPr>
        <w:t>未在指定页面盖公章、未提供法定代表人授权委托书、未提供投标函或者投标函格式不符合要求或填写项目不齐全的；</w:t>
      </w:r>
    </w:p>
    <w:p w14:paraId="48DA224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投标代表人未能出具身份证明或与法定代表人授权委托人身份不符的；</w:t>
      </w:r>
      <w:r>
        <w:rPr>
          <w:rFonts w:ascii="宋体" w:hAnsi="宋体"/>
          <w:color w:val="000000" w:themeColor="text1"/>
          <w:sz w:val="24"/>
          <w:highlight w:val="none"/>
          <w14:textFill>
            <w14:solidFill>
              <w14:schemeClr w14:val="tx1"/>
            </w14:solidFill>
          </w14:textFill>
        </w:rPr>
        <w:t xml:space="preserve"> </w:t>
      </w:r>
    </w:p>
    <w:p w14:paraId="7B9BB9A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（4）投标文件份数不符合招标文件要求的；</w:t>
      </w:r>
    </w:p>
    <w:p w14:paraId="7DE0E5F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）投标文件的实质性内容未使用中文表述、意思表述不明确、前后矛盾或者使用计量单位不符合招标文件要求的（经评标委员会认定</w:t>
      </w:r>
      <w:r>
        <w:rPr>
          <w:rFonts w:hint="eastAsia" w:ascii="宋体" w:hAnsi="宋体"/>
          <w:color w:val="000000" w:themeColor="text1"/>
          <w:sz w:val="24"/>
          <w:highlight w:val="none"/>
          <w14:textFill>
            <w14:solidFill>
              <w14:schemeClr w14:val="tx1"/>
            </w14:solidFill>
          </w14:textFill>
        </w:rPr>
        <w:t>并</w:t>
      </w:r>
      <w:r>
        <w:rPr>
          <w:rFonts w:ascii="宋体" w:hAnsi="宋体"/>
          <w:color w:val="000000" w:themeColor="text1"/>
          <w:sz w:val="24"/>
          <w:highlight w:val="none"/>
          <w14:textFill>
            <w14:solidFill>
              <w14:schemeClr w14:val="tx1"/>
            </w14:solidFill>
          </w14:textFill>
        </w:rPr>
        <w:t>允许其当场更正的笔误除外）</w:t>
      </w:r>
    </w:p>
    <w:p w14:paraId="71D8F30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）投标有效期、</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时间等条款不能满足招标文件要求的；</w:t>
      </w:r>
    </w:p>
    <w:p w14:paraId="27E9430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未实质性</w:t>
      </w:r>
      <w:r>
        <w:rPr>
          <w:rFonts w:ascii="宋体" w:hAnsi="宋体"/>
          <w:color w:val="000000" w:themeColor="text1"/>
          <w:sz w:val="24"/>
          <w:highlight w:val="none"/>
          <w14:textFill>
            <w14:solidFill>
              <w14:schemeClr w14:val="tx1"/>
            </w14:solidFill>
          </w14:textFill>
        </w:rPr>
        <w:t>响应招标文件要求或者投标文件有</w:t>
      </w:r>
      <w:r>
        <w:rPr>
          <w:rFonts w:hint="eastAsia" w:ascii="宋体" w:hAnsi="宋体"/>
          <w:color w:val="000000" w:themeColor="text1"/>
          <w:sz w:val="24"/>
          <w:highlight w:val="none"/>
          <w14:textFill>
            <w14:solidFill>
              <w14:schemeClr w14:val="tx1"/>
            </w14:solidFill>
          </w14:textFill>
        </w:rPr>
        <w:t>采购人</w:t>
      </w:r>
      <w:r>
        <w:rPr>
          <w:rFonts w:ascii="宋体" w:hAnsi="宋体"/>
          <w:color w:val="000000" w:themeColor="text1"/>
          <w:sz w:val="24"/>
          <w:highlight w:val="none"/>
          <w14:textFill>
            <w14:solidFill>
              <w14:schemeClr w14:val="tx1"/>
            </w14:solidFill>
          </w14:textFill>
        </w:rPr>
        <w:t>不能接受的附加条件的；</w:t>
      </w:r>
    </w:p>
    <w:p w14:paraId="36120ACE">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（8）两家或两家以上投标单位上传投标文件的ip地址（或工程清单锁地址）相同</w:t>
      </w:r>
      <w:r>
        <w:rPr>
          <w:rFonts w:hint="eastAsia" w:ascii="宋体" w:hAnsi="宋体"/>
          <w:color w:val="000000" w:themeColor="text1"/>
          <w:sz w:val="24"/>
          <w:highlight w:val="none"/>
          <w:lang w:val="en-US"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，视为串标行为，取消评标资格。</w:t>
      </w:r>
    </w:p>
    <w:p w14:paraId="6754136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（9）法律法规或规章规定属无效标情形的。</w:t>
      </w:r>
    </w:p>
    <w:p w14:paraId="2093DC33">
      <w:pPr>
        <w:pStyle w:val="3"/>
        <w:snapToGrid w:val="0"/>
        <w:spacing w:line="360" w:lineRule="auto"/>
        <w:ind w:firstLine="482" w:firstLineChars="200"/>
        <w:rPr>
          <w:rFonts w:hAnsi="宋体"/>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2.在</w:t>
      </w:r>
      <w:r>
        <w:rPr>
          <w:rFonts w:hint="eastAsia" w:hAnsi="宋体"/>
          <w:b/>
          <w:bCs/>
          <w:color w:val="000000" w:themeColor="text1"/>
          <w:sz w:val="24"/>
          <w:highlight w:val="none"/>
          <w:lang w:eastAsia="zh-CN"/>
          <w14:textFill>
            <w14:solidFill>
              <w14:schemeClr w14:val="tx1"/>
            </w14:solidFill>
          </w14:textFill>
        </w:rPr>
        <w:t>商务标</w:t>
      </w:r>
      <w:r>
        <w:rPr>
          <w:rFonts w:hAnsi="宋体"/>
          <w:b/>
          <w:bCs/>
          <w:color w:val="000000" w:themeColor="text1"/>
          <w:sz w:val="24"/>
          <w:highlight w:val="none"/>
          <w14:textFill>
            <w14:solidFill>
              <w14:schemeClr w14:val="tx1"/>
            </w14:solidFill>
          </w14:textFill>
        </w:rPr>
        <w:t>评审时，如发现下列情形之一的，投标文件将被视为无效：</w:t>
      </w:r>
    </w:p>
    <w:p w14:paraId="0DDFC2F7">
      <w:pPr>
        <w:pStyle w:val="3"/>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（1）未采用人民币报价或者未按照招标文件标明的币种报价的；</w:t>
      </w:r>
    </w:p>
    <w:p w14:paraId="0A10D288">
      <w:pPr>
        <w:pStyle w:val="3"/>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（2）投标报价具有选择性，或者开标价格与投标文件承诺的优惠（折扣）价格不一致的；</w:t>
      </w:r>
    </w:p>
    <w:p w14:paraId="5C5E5B74">
      <w:pPr>
        <w:pStyle w:val="3"/>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（3）投标报价高于最高投标限价的。</w:t>
      </w:r>
    </w:p>
    <w:p w14:paraId="658BF39F">
      <w:pPr>
        <w:pStyle w:val="3"/>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3.被拒绝的投标文件为无效。</w:t>
      </w:r>
    </w:p>
    <w:p w14:paraId="31F58787">
      <w:pPr>
        <w:pStyle w:val="21"/>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四、开标</w:t>
      </w:r>
    </w:p>
    <w:p w14:paraId="1F61984F">
      <w:pPr>
        <w:pStyle w:val="21"/>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（一）开标</w:t>
      </w:r>
    </w:p>
    <w:p w14:paraId="7231C850">
      <w:pPr>
        <w:pStyle w:val="35"/>
        <w:widowControl w:val="0"/>
        <w:snapToGrid w:val="0"/>
        <w:spacing w:before="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rStyle w:val="43"/>
          <w:color w:val="000000" w:themeColor="text1"/>
          <w:highlight w:val="none"/>
          <w14:textFill>
            <w14:solidFill>
              <w14:schemeClr w14:val="tx1"/>
            </w14:solidFill>
          </w14:textFill>
        </w:rPr>
        <w:t>http://www.tzwztb.com/live/</w:t>
      </w:r>
      <w:r>
        <w:rPr>
          <w:rStyle w:val="43"/>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14:paraId="5043D51B">
      <w:pPr>
        <w:pStyle w:val="21"/>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（二） 开标程序：</w:t>
      </w:r>
    </w:p>
    <w:p w14:paraId="428253D2">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1、开标由采购代理机构工作人员主持。</w:t>
      </w:r>
    </w:p>
    <w:p w14:paraId="4484C2E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2、投标人可进行在线沟通。</w:t>
      </w:r>
    </w:p>
    <w:p w14:paraId="21D27806">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3、评标委员会对投标文件符合性审查。</w:t>
      </w:r>
    </w:p>
    <w:p w14:paraId="540F99F8">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4、符合性审查完成后，评标委员会对</w:t>
      </w:r>
      <w:r>
        <w:rPr>
          <w:rFonts w:hint="eastAsia" w:ascii="宋体" w:hAnsi="宋体" w:cs="宋体"/>
          <w:sz w:val="24"/>
          <w:highlight w:val="none"/>
          <w:lang w:val="en-US" w:eastAsia="zh-CN"/>
        </w:rPr>
        <w:t>资格技术</w:t>
      </w:r>
      <w:r>
        <w:rPr>
          <w:rFonts w:hint="eastAsia" w:ascii="宋体" w:hAnsi="宋体" w:cs="宋体"/>
          <w:sz w:val="24"/>
          <w:highlight w:val="none"/>
        </w:rPr>
        <w:t>进行评审，主持人宣告</w:t>
      </w:r>
      <w:r>
        <w:rPr>
          <w:rFonts w:hint="eastAsia" w:ascii="宋体" w:hAnsi="宋体" w:cs="宋体"/>
          <w:sz w:val="24"/>
          <w:highlight w:val="none"/>
          <w:lang w:val="en-US" w:eastAsia="zh-CN"/>
        </w:rPr>
        <w:t>资格技术</w:t>
      </w:r>
      <w:r>
        <w:rPr>
          <w:rFonts w:hint="eastAsia" w:ascii="宋体" w:hAnsi="宋体" w:cs="宋体"/>
          <w:sz w:val="24"/>
          <w:highlight w:val="none"/>
        </w:rPr>
        <w:t>评审无效投标人名称及理由，公布经</w:t>
      </w:r>
      <w:r>
        <w:rPr>
          <w:rFonts w:hint="eastAsia" w:ascii="宋体" w:hAnsi="宋体" w:cs="宋体"/>
          <w:sz w:val="24"/>
          <w:highlight w:val="none"/>
          <w:lang w:val="en-US" w:eastAsia="zh-CN"/>
        </w:rPr>
        <w:t>资格技术标</w:t>
      </w:r>
      <w:r>
        <w:rPr>
          <w:rFonts w:hint="eastAsia" w:ascii="宋体" w:hAnsi="宋体" w:cs="宋体"/>
          <w:sz w:val="24"/>
          <w:highlight w:val="none"/>
        </w:rPr>
        <w:t>评审符合采购需求的投标人名单以及</w:t>
      </w:r>
      <w:r>
        <w:rPr>
          <w:rFonts w:hint="eastAsia" w:ascii="宋体" w:hAnsi="宋体" w:cs="宋体"/>
          <w:sz w:val="24"/>
          <w:highlight w:val="none"/>
          <w:lang w:val="en-US" w:eastAsia="zh-CN"/>
        </w:rPr>
        <w:t>资格技术</w:t>
      </w:r>
      <w:r>
        <w:rPr>
          <w:rFonts w:hint="eastAsia" w:ascii="宋体" w:hAnsi="宋体" w:cs="宋体"/>
          <w:sz w:val="24"/>
          <w:highlight w:val="none"/>
        </w:rPr>
        <w:t>得分情况。</w:t>
      </w:r>
    </w:p>
    <w:p w14:paraId="0A184A67">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5、开启各投标人商务标。</w:t>
      </w:r>
    </w:p>
    <w:p w14:paraId="3C5F717F">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rPr>
        <w:t>6、当场制作并打印开标记录表，由唱标人、记录人、监督人当场签字确认。唱标结束后，由评标委员会对报价的合理性、准确性等进行审查核实。</w:t>
      </w:r>
    </w:p>
    <w:p w14:paraId="4ED65D2E">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7、评标结束后，主持人公布投标商务标得分、综合得分以及推荐中标候选人排序名单。</w:t>
      </w:r>
    </w:p>
    <w:p w14:paraId="727EC2EC">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8、开标会议结束。</w:t>
      </w:r>
    </w:p>
    <w:p w14:paraId="40C7A059">
      <w:pPr>
        <w:pStyle w:val="21"/>
        <w:spacing w:before="0" w:beforeLines="0" w:after="0" w:afterLines="0" w:line="360" w:lineRule="auto"/>
        <w:ind w:firstLine="540" w:firstLineChars="225"/>
        <w:jc w:val="left"/>
        <w:rPr>
          <w:rFonts w:hAnsi="宋体" w:cs="宋体"/>
          <w:b w:val="0"/>
          <w:bCs/>
          <w:highlight w:val="none"/>
        </w:rPr>
      </w:pPr>
      <w:r>
        <w:rPr>
          <w:rFonts w:hAnsi="宋体" w:cs="宋体"/>
          <w:b w:val="0"/>
          <w:bCs/>
          <w:highlight w:val="none"/>
        </w:rPr>
        <w:t>9、其他注意事项：</w:t>
      </w:r>
    </w:p>
    <w:p w14:paraId="4EE0B28E">
      <w:pPr>
        <w:pStyle w:val="21"/>
        <w:spacing w:before="0" w:beforeLines="0" w:after="0" w:afterLines="0" w:line="360" w:lineRule="auto"/>
        <w:ind w:firstLine="540" w:firstLineChars="225"/>
        <w:jc w:val="left"/>
        <w:rPr>
          <w:rFonts w:hAnsi="宋体" w:cs="宋体"/>
          <w:b w:val="0"/>
          <w:bCs/>
          <w:highlight w:val="none"/>
        </w:rPr>
      </w:pPr>
      <w:r>
        <w:rPr>
          <w:rFonts w:hAnsi="宋体" w:cs="宋体"/>
          <w:b w:val="0"/>
          <w:bCs/>
          <w:highlight w:val="none"/>
        </w:rPr>
        <w:t xml:space="preserve">1）、投标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2F422ED8">
      <w:pPr>
        <w:pStyle w:val="21"/>
        <w:spacing w:before="0" w:beforeLines="0" w:after="0" w:afterLines="0" w:line="360" w:lineRule="auto"/>
        <w:ind w:firstLine="540" w:firstLineChars="225"/>
        <w:jc w:val="left"/>
        <w:rPr>
          <w:rFonts w:hAnsi="宋体" w:cs="宋体"/>
          <w:b w:val="0"/>
          <w:bCs/>
          <w:highlight w:val="none"/>
        </w:rPr>
      </w:pPr>
      <w:r>
        <w:rPr>
          <w:rFonts w:hAnsi="宋体" w:cs="宋体"/>
          <w:b w:val="0"/>
          <w:bCs/>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63220665">
      <w:pPr>
        <w:autoSpaceDE w:val="0"/>
        <w:autoSpaceDN w:val="0"/>
        <w:adjustRightInd w:val="0"/>
        <w:spacing w:line="360" w:lineRule="auto"/>
        <w:ind w:right="-14" w:firstLine="480" w:firstLineChars="200"/>
        <w:jc w:val="left"/>
        <w:rPr>
          <w:rFonts w:hint="eastAsia" w:ascii="宋体" w:hAnsi="宋体" w:cs="宋体"/>
          <w:bCs/>
          <w:sz w:val="24"/>
          <w:highlight w:val="none"/>
        </w:rPr>
      </w:pPr>
      <w:r>
        <w:rPr>
          <w:rFonts w:hint="eastAsia" w:ascii="宋体" w:hAnsi="宋体" w:cs="宋体"/>
          <w:bCs/>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20DE56C1">
      <w:pPr>
        <w:autoSpaceDE w:val="0"/>
        <w:autoSpaceDN w:val="0"/>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14:paraId="32C52B7E">
      <w:pPr>
        <w:autoSpaceDE w:val="0"/>
        <w:autoSpaceDN w:val="0"/>
        <w:adjustRightIn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（1）开标项目的时间均以国家授时中心发布的时间为准。</w:t>
      </w:r>
    </w:p>
    <w:p w14:paraId="00525E5B">
      <w:pPr>
        <w:autoSpaceDE w:val="0"/>
        <w:autoSpaceDN w:val="0"/>
        <w:adjustRightIn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（2）若投标人已申请多把CA锁，请注意使用差别。因ca锁使用错误引发的问题，由投标人自己负责。</w:t>
      </w:r>
    </w:p>
    <w:p w14:paraId="79A9B654">
      <w:pPr>
        <w:pStyle w:val="21"/>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（3）如有疑问，请咨询平台技术服务电话：</w:t>
      </w:r>
      <w:r>
        <w:rPr>
          <w:rFonts w:hAnsi="宋体"/>
          <w:b w:val="0"/>
          <w:color w:val="000000" w:themeColor="text1"/>
          <w:highlight w:val="none"/>
          <w14:textFill>
            <w14:solidFill>
              <w14:schemeClr w14:val="tx1"/>
            </w14:solidFill>
          </w14:textFill>
        </w:rPr>
        <w:t>蔡先生，13454667697；王女士，</w:t>
      </w:r>
      <w:r>
        <w:rPr>
          <w:rFonts w:hint="eastAsia" w:hAnsi="宋体"/>
          <w:b w:val="0"/>
          <w:color w:val="000000" w:themeColor="text1"/>
          <w:highlight w:val="none"/>
          <w:lang w:eastAsia="zh-CN"/>
          <w14:textFill>
            <w14:solidFill>
              <w14:schemeClr w14:val="tx1"/>
            </w14:solidFill>
          </w14:textFill>
        </w:rPr>
        <w:t>13757680207</w:t>
      </w:r>
      <w:r>
        <w:rPr>
          <w:rFonts w:hAnsi="宋体"/>
          <w:b w:val="0"/>
          <w:bCs/>
          <w:color w:val="000000" w:themeColor="text1"/>
          <w:highlight w:val="none"/>
          <w14:textFill>
            <w14:solidFill>
              <w14:schemeClr w14:val="tx1"/>
            </w14:solidFill>
          </w14:textFill>
        </w:rPr>
        <w:t>。QQ “台州湾新区小额工程交易平台交流”（群号：435057190），进行业务咨询。此群也作为不见面开标的备用远程交互群。</w:t>
      </w:r>
    </w:p>
    <w:p w14:paraId="4E76C538">
      <w:pPr>
        <w:snapToGri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14:paraId="0E4D7F3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4B4AAB0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14:paraId="2C841398">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14:paraId="1943C85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14:paraId="58A7F3A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14:paraId="33958EEA">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14:paraId="1614D617">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w:t>
      </w:r>
    </w:p>
    <w:p w14:paraId="6E8A2407">
      <w:pPr>
        <w:pStyle w:val="21"/>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五、评标</w:t>
      </w:r>
    </w:p>
    <w:p w14:paraId="330EAAD7">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（一）组建评标委员会</w:t>
      </w:r>
    </w:p>
    <w:p w14:paraId="7AD555AE">
      <w:pPr>
        <w:pStyle w:val="35"/>
        <w:widowControl w:val="0"/>
        <w:snapToGrid w:val="0"/>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评标由招标人依法组建的评标委员会负责。</w:t>
      </w:r>
    </w:p>
    <w:p w14:paraId="056EED3C">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（二）评标的方式</w:t>
      </w:r>
    </w:p>
    <w:p w14:paraId="6747D788">
      <w:pPr>
        <w:pStyle w:val="21"/>
        <w:snapToGrid w:val="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本项目采用不公开方式评标，评标的依据为招标文件和投标文件。</w:t>
      </w:r>
    </w:p>
    <w:p w14:paraId="5B2BDAD8">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（三）评标程序</w:t>
      </w:r>
    </w:p>
    <w:p w14:paraId="1CA021D2">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形式审查</w:t>
      </w:r>
    </w:p>
    <w:p w14:paraId="31EF1707">
      <w:pPr>
        <w:snapToGrid w:val="0"/>
        <w:spacing w:line="360" w:lineRule="auto"/>
        <w:ind w:firstLine="480"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采购人代表和代理机构工作人员协助评标委员会对投标人的资格</w:t>
      </w:r>
      <w:r>
        <w:rPr>
          <w:rFonts w:ascii="宋体" w:hAnsi="宋体"/>
          <w:color w:val="000000" w:themeColor="text1"/>
          <w:sz w:val="24"/>
          <w:highlight w:val="none"/>
          <w14:textFill>
            <w14:solidFill>
              <w14:schemeClr w14:val="tx1"/>
            </w14:solidFill>
          </w14:textFill>
        </w:rPr>
        <w:t>和投标文件的完整性、合法性等进行审查。</w:t>
      </w:r>
    </w:p>
    <w:p w14:paraId="212C585A">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实质审查与比较</w:t>
      </w:r>
    </w:p>
    <w:p w14:paraId="275D42B9">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1）评标委员会审查投标文件的实质性内容是否符合招标文件的实质性要求。</w:t>
      </w:r>
    </w:p>
    <w:p w14:paraId="642066BE">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w:t>
      </w:r>
      <w:r>
        <w:rPr>
          <w:rFonts w:hint="eastAsia" w:ascii="宋体" w:hAnsi="宋体"/>
          <w:color w:val="000000" w:themeColor="text1"/>
          <w:sz w:val="24"/>
          <w:highlight w:val="none"/>
          <w14:textFill>
            <w14:solidFill>
              <w14:schemeClr w14:val="tx1"/>
            </w14:solidFill>
          </w14:textFill>
        </w:rPr>
        <w:t>投标人代表未到场或者拒绝澄清或者澄清的内容改变了投标文件的实质性内容的，评标委员会有权对该投标文件作出不利于投标人的评判。</w:t>
      </w:r>
    </w:p>
    <w:p w14:paraId="5FE2D8AE">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代理机构工作人员协助</w:t>
      </w:r>
      <w:r>
        <w:rPr>
          <w:rFonts w:ascii="宋体" w:hAnsi="宋体"/>
          <w:color w:val="000000" w:themeColor="text1"/>
          <w:sz w:val="24"/>
          <w:highlight w:val="none"/>
          <w14:textFill>
            <w14:solidFill>
              <w14:schemeClr w14:val="tx1"/>
            </w14:solidFill>
          </w14:textFill>
        </w:rPr>
        <w:t>评标委员会根据</w:t>
      </w:r>
      <w:r>
        <w:rPr>
          <w:rFonts w:hint="eastAsia" w:ascii="宋体" w:hAnsi="宋体"/>
          <w:color w:val="000000" w:themeColor="text1"/>
          <w:sz w:val="24"/>
          <w:highlight w:val="none"/>
          <w14:textFill>
            <w14:solidFill>
              <w14:schemeClr w14:val="tx1"/>
            </w14:solidFill>
          </w14:textFill>
        </w:rPr>
        <w:t>本项目的评分标准</w:t>
      </w:r>
      <w:r>
        <w:rPr>
          <w:rFonts w:ascii="宋体" w:hAnsi="宋体"/>
          <w:color w:val="000000" w:themeColor="text1"/>
          <w:sz w:val="24"/>
          <w:highlight w:val="none"/>
          <w14:textFill>
            <w14:solidFill>
              <w14:schemeClr w14:val="tx1"/>
            </w14:solidFill>
          </w14:textFill>
        </w:rPr>
        <w:t>计算各投标人的商务报价得分</w:t>
      </w:r>
      <w:r>
        <w:rPr>
          <w:rFonts w:hint="eastAsia" w:ascii="宋体" w:hAnsi="宋体"/>
          <w:color w:val="000000" w:themeColor="text1"/>
          <w:sz w:val="24"/>
          <w:highlight w:val="none"/>
          <w14:textFill>
            <w14:solidFill>
              <w14:schemeClr w14:val="tx1"/>
            </w14:solidFill>
          </w14:textFill>
        </w:rPr>
        <w:t>。</w:t>
      </w:r>
    </w:p>
    <w:p w14:paraId="65032DF0">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）评标委员会完成评标后,评委对各部分得分汇总,</w:t>
      </w:r>
      <w:r>
        <w:rPr>
          <w:rFonts w:hint="eastAsia" w:ascii="宋体" w:hAnsi="宋体"/>
          <w:color w:val="000000" w:themeColor="text1"/>
          <w:sz w:val="24"/>
          <w:highlight w:val="none"/>
          <w14:textFill>
            <w14:solidFill>
              <w14:schemeClr w14:val="tx1"/>
            </w14:solidFill>
          </w14:textFill>
        </w:rPr>
        <w:t>计算</w:t>
      </w:r>
      <w:r>
        <w:rPr>
          <w:rFonts w:ascii="宋体" w:hAnsi="宋体"/>
          <w:color w:val="000000" w:themeColor="text1"/>
          <w:sz w:val="24"/>
          <w:highlight w:val="none"/>
          <w14:textFill>
            <w14:solidFill>
              <w14:schemeClr w14:val="tx1"/>
            </w14:solidFill>
          </w14:textFill>
        </w:rPr>
        <w:t>出本项目</w:t>
      </w:r>
      <w:r>
        <w:rPr>
          <w:rFonts w:hint="eastAsia" w:ascii="宋体" w:hAnsi="宋体"/>
          <w:color w:val="000000" w:themeColor="text1"/>
          <w:sz w:val="24"/>
          <w:highlight w:val="none"/>
          <w14:textFill>
            <w14:solidFill>
              <w14:schemeClr w14:val="tx1"/>
            </w14:solidFill>
          </w14:textFill>
        </w:rPr>
        <w:t>最终得分</w:t>
      </w:r>
      <w:r>
        <w:rPr>
          <w:rFonts w:ascii="宋体" w:hAnsi="宋体"/>
          <w:color w:val="000000" w:themeColor="text1"/>
          <w:sz w:val="24"/>
          <w:highlight w:val="none"/>
          <w14:textFill>
            <w14:solidFill>
              <w14:schemeClr w14:val="tx1"/>
            </w14:solidFill>
          </w14:textFill>
        </w:rPr>
        <w:t>。评标委员会按评标原则推荐中标候选人同时起草评标报告。</w:t>
      </w:r>
    </w:p>
    <w:p w14:paraId="615ECEE6">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（四）澄清问题的形式</w:t>
      </w:r>
    </w:p>
    <w:p w14:paraId="46BDE9BC">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4D99140B">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（五）错误修正</w:t>
      </w:r>
    </w:p>
    <w:p w14:paraId="46960927">
      <w:pPr>
        <w:pStyle w:val="35"/>
        <w:spacing w:before="0" w:beforeAutospacing="0" w:after="0" w:afterAutospacing="0" w:line="360" w:lineRule="auto"/>
        <w:ind w:firstLine="480" w:firstLineChars="200"/>
        <w:jc w:val="both"/>
        <w:rPr>
          <w:rFonts w:cs="宋体"/>
          <w:highlight w:val="none"/>
        </w:rPr>
      </w:pPr>
      <w:r>
        <w:rPr>
          <w:rFonts w:cs="宋体"/>
          <w:highlight w:val="none"/>
        </w:rPr>
        <w:t>投标文件报价出现前后不一致的，除招标文件另有规定外，按照下列规定修正：</w:t>
      </w:r>
    </w:p>
    <w:p w14:paraId="5E3EC58A">
      <w:pPr>
        <w:pStyle w:val="35"/>
        <w:spacing w:before="0" w:beforeAutospacing="0" w:after="0" w:afterAutospacing="0" w:line="360" w:lineRule="auto"/>
        <w:jc w:val="both"/>
        <w:rPr>
          <w:rFonts w:cs="宋体"/>
          <w:highlight w:val="none"/>
        </w:rPr>
      </w:pPr>
      <w:r>
        <w:rPr>
          <w:rFonts w:cs="宋体"/>
          <w:highlight w:val="none"/>
        </w:rPr>
        <w:t>　　1、台州湾新区小额工程电子交易平台”上开启的投标报价与电子投标文件中</w:t>
      </w:r>
      <w:r>
        <w:rPr>
          <w:rFonts w:hint="eastAsia" w:cs="宋体"/>
          <w:highlight w:val="none"/>
          <w:lang w:eastAsia="zh-CN"/>
        </w:rPr>
        <w:t>开标一览表</w:t>
      </w:r>
      <w:r>
        <w:rPr>
          <w:rFonts w:cs="宋体"/>
          <w:highlight w:val="none"/>
        </w:rPr>
        <w:t>内容不一致的，以电子投标文件中</w:t>
      </w:r>
      <w:r>
        <w:rPr>
          <w:rFonts w:hint="eastAsia" w:cs="宋体"/>
          <w:highlight w:val="none"/>
          <w:lang w:eastAsia="zh-CN"/>
        </w:rPr>
        <w:t>开标一览表</w:t>
      </w:r>
      <w:r>
        <w:rPr>
          <w:rFonts w:cs="宋体"/>
          <w:highlight w:val="none"/>
        </w:rPr>
        <w:t>为准；</w:t>
      </w:r>
    </w:p>
    <w:p w14:paraId="6D6BAD7A">
      <w:pPr>
        <w:pStyle w:val="35"/>
        <w:spacing w:before="0" w:beforeAutospacing="0" w:after="0" w:afterAutospacing="0" w:line="360" w:lineRule="auto"/>
        <w:ind w:firstLine="480" w:firstLineChars="200"/>
        <w:jc w:val="both"/>
        <w:rPr>
          <w:rFonts w:cs="宋体"/>
          <w:highlight w:val="none"/>
        </w:rPr>
      </w:pPr>
      <w:r>
        <w:rPr>
          <w:rFonts w:cs="宋体"/>
          <w:highlight w:val="none"/>
        </w:rPr>
        <w:t>2、投标文件中</w:t>
      </w:r>
      <w:r>
        <w:rPr>
          <w:rFonts w:hint="eastAsia" w:cs="宋体"/>
          <w:highlight w:val="none"/>
          <w:lang w:eastAsia="zh-CN"/>
        </w:rPr>
        <w:t>开标一览表</w:t>
      </w:r>
      <w:r>
        <w:rPr>
          <w:rFonts w:cs="宋体"/>
          <w:highlight w:val="none"/>
        </w:rPr>
        <w:t>内容与投标文件中相应内容不一致的，以</w:t>
      </w:r>
      <w:r>
        <w:rPr>
          <w:rFonts w:hint="eastAsia" w:cs="宋体"/>
          <w:highlight w:val="none"/>
          <w:lang w:eastAsia="zh-CN"/>
        </w:rPr>
        <w:t>开标一览表</w:t>
      </w:r>
      <w:r>
        <w:rPr>
          <w:rFonts w:cs="宋体"/>
          <w:highlight w:val="none"/>
        </w:rPr>
        <w:t>为准；</w:t>
      </w:r>
    </w:p>
    <w:p w14:paraId="4174C306">
      <w:pPr>
        <w:pStyle w:val="35"/>
        <w:spacing w:before="0" w:beforeAutospacing="0" w:after="0" w:afterAutospacing="0" w:line="360" w:lineRule="auto"/>
        <w:jc w:val="both"/>
        <w:rPr>
          <w:rFonts w:cs="宋体"/>
          <w:highlight w:val="none"/>
        </w:rPr>
      </w:pPr>
      <w:r>
        <w:rPr>
          <w:rFonts w:cs="宋体"/>
          <w:highlight w:val="none"/>
        </w:rPr>
        <w:t>　　3、大写金额和小写金额不一致的，以大写金额为准；</w:t>
      </w:r>
    </w:p>
    <w:p w14:paraId="15E00782">
      <w:pPr>
        <w:pStyle w:val="35"/>
        <w:spacing w:before="0" w:beforeAutospacing="0" w:after="0" w:afterAutospacing="0" w:line="360" w:lineRule="auto"/>
        <w:jc w:val="both"/>
        <w:rPr>
          <w:rFonts w:cs="宋体"/>
          <w:highlight w:val="none"/>
        </w:rPr>
      </w:pPr>
      <w:r>
        <w:rPr>
          <w:rFonts w:cs="宋体"/>
          <w:highlight w:val="none"/>
        </w:rPr>
        <w:t>　　4、单价金额小数点或者百分比有明显错位的，以投标承诺书的总价为准，并修改单价；</w:t>
      </w:r>
    </w:p>
    <w:p w14:paraId="6C7E4D75">
      <w:pPr>
        <w:pStyle w:val="35"/>
        <w:spacing w:before="0" w:beforeAutospacing="0" w:after="0" w:afterAutospacing="0" w:line="360" w:lineRule="auto"/>
        <w:jc w:val="both"/>
        <w:rPr>
          <w:rFonts w:cs="宋体"/>
          <w:highlight w:val="none"/>
        </w:rPr>
      </w:pPr>
      <w:r>
        <w:rPr>
          <w:rFonts w:cs="宋体"/>
          <w:highlight w:val="none"/>
        </w:rPr>
        <w:t>　　5、总价金额与按单价汇总金额不一致的，以单价金额计算结果为准。</w:t>
      </w:r>
    </w:p>
    <w:p w14:paraId="7145AA93">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rFonts w:hint="eastAsia" w:ascii="宋体" w:hAnsi="宋体" w:cs="宋体"/>
          <w:kern w:val="0"/>
          <w:sz w:val="24"/>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0E4B497B">
      <w:pPr>
        <w:autoSpaceDE w:val="0"/>
        <w:autoSpaceDN w:val="0"/>
        <w:adjustRightIn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（六）有下列情况之一的，本次招标作为废标处理，除采购任务取消外，由采购人重新组织招标：</w:t>
      </w:r>
    </w:p>
    <w:p w14:paraId="62747D4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1、符合专业条件的供应商或者对招标文件作实质响应的供应商不足三家，评标委员会认定投标明显缺乏竞争的；</w:t>
      </w:r>
    </w:p>
    <w:p w14:paraId="6CC28C6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2、出现影响采购公正的违法、违规行为的；</w:t>
      </w:r>
    </w:p>
    <w:p w14:paraId="0443379A">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3、投标人的报价均超过了采购预算，采购人不能支付的；</w:t>
      </w:r>
    </w:p>
    <w:p w14:paraId="5EA0B23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4、因重大变故，采购任务取消的。</w:t>
      </w:r>
    </w:p>
    <w:p w14:paraId="55CA7AAA">
      <w:pPr>
        <w:pStyle w:val="21"/>
        <w:tabs>
          <w:tab w:val="left" w:pos="630"/>
        </w:tabs>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（七）评标原则和评标办法</w:t>
      </w:r>
    </w:p>
    <w:p w14:paraId="525C1D55">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2C3A7EB">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2、评标办法。具体评标内容及评分标准等详见《第四章：评标办法及评分标准》。</w:t>
      </w:r>
    </w:p>
    <w:p w14:paraId="7A957EBE">
      <w:pPr>
        <w:pStyle w:val="21"/>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（八）评标过程的监控</w:t>
      </w:r>
    </w:p>
    <w:p w14:paraId="2084AFEC">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48EC2ADA">
      <w:pPr>
        <w:pStyle w:val="21"/>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六、定标</w:t>
      </w:r>
    </w:p>
    <w:p w14:paraId="047318C6">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lang w:val="en-GB"/>
          <w14:textFill>
            <w14:solidFill>
              <w14:schemeClr w14:val="tx1"/>
            </w14:solidFill>
          </w14:textFill>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推荐评审报告中的中标候选人为确定中标人。</w:t>
      </w:r>
    </w:p>
    <w:p w14:paraId="03E0C1D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发布</w:t>
      </w:r>
      <w:r>
        <w:rPr>
          <w:rFonts w:hint="eastAsia" w:cs="宋体"/>
          <w:color w:val="000000" w:themeColor="text1"/>
          <w:sz w:val="24"/>
          <w:highlight w:val="none"/>
          <w:lang w:bidi="ar"/>
          <w14:textFill>
            <w14:solidFill>
              <w14:schemeClr w14:val="tx1"/>
            </w14:solidFill>
          </w14:textFill>
        </w:rPr>
        <w:t>中标</w:t>
      </w:r>
      <w:r>
        <w:rPr>
          <w:rFonts w:hint="eastAsia" w:ascii="宋体" w:hAnsi="宋体" w:cs="宋体"/>
          <w:color w:val="000000" w:themeColor="text1"/>
          <w:kern w:val="0"/>
          <w:sz w:val="24"/>
          <w:highlight w:val="none"/>
          <w:lang w:bidi="ar"/>
          <w14:textFill>
            <w14:solidFill>
              <w14:schemeClr w14:val="tx1"/>
            </w14:solidFill>
          </w14:textFill>
        </w:rPr>
        <w:t>结果公告。采购组织机构应当自中标人确定之日起2个工作日内，在相关网站上公告中标结果，招标文件应当随中标结果同时公告。</w:t>
      </w:r>
    </w:p>
    <w:p w14:paraId="24C0CA7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3、发出中标通知书。采购组织机构在发布中标结果的同时，向中标人发出中标通知书。</w:t>
      </w:r>
    </w:p>
    <w:p w14:paraId="3A4010C2">
      <w:pPr>
        <w:pStyle w:val="21"/>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七、合同授予</w:t>
      </w:r>
    </w:p>
    <w:p w14:paraId="243F3719">
      <w:pPr>
        <w:spacing w:line="360" w:lineRule="auto"/>
        <w:ind w:firstLine="482" w:firstLineChars="200"/>
        <w:rPr>
          <w:rFonts w:hAns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24"/>
          <w:highlight w:val="none"/>
          <w:lang w:bidi="ar"/>
          <w14:textFill>
            <w14:solidFill>
              <w14:schemeClr w14:val="tx1"/>
            </w14:solidFill>
          </w14:textFill>
        </w:rPr>
        <w:t>（一）签订合同</w:t>
      </w:r>
    </w:p>
    <w:p w14:paraId="4F4A65F7">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4B42A1B9">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14:paraId="3EC8B9AC">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3、中标供应商无故拖延、拒签合同的,投标保证金将不予退回并取消中标资格。</w:t>
      </w:r>
    </w:p>
    <w:p w14:paraId="37F6C80D">
      <w:pPr>
        <w:pStyle w:val="35"/>
        <w:spacing w:before="0" w:beforeAutospacing="0" w:after="0" w:afterAutospacing="0" w:line="360" w:lineRule="auto"/>
        <w:ind w:firstLine="600" w:firstLineChars="250"/>
        <w:rPr>
          <w:rFonts w:cs="宋体"/>
          <w:highlight w:val="none"/>
        </w:rPr>
      </w:pPr>
      <w:r>
        <w:rPr>
          <w:rFonts w:cs="宋体"/>
          <w:highlight w:val="none"/>
        </w:rPr>
        <w:t>4、中标供应商拒绝与采购人签订合同的，采购人可以按照评审报告推荐的中标候选人名单排序，确定下一候选人为中标供应商，也可以重新开展采购活动。同时，拒绝与采购人签订合同的供应商，由同级监管部门依法作出处理。</w:t>
      </w:r>
    </w:p>
    <w:p w14:paraId="18C3DA88">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54BB1A46">
      <w:pPr>
        <w:pStyle w:val="21"/>
        <w:snapToGrid w:val="0"/>
        <w:spacing w:before="120" w:after="120" w:line="240" w:lineRule="auto"/>
        <w:ind w:firstLine="600" w:firstLineChars="200"/>
        <w:jc w:val="center"/>
        <w:outlineLvl w:val="0"/>
        <w:rPr>
          <w:rFonts w:hint="default" w:hAnsi="宋体"/>
          <w:color w:val="000000" w:themeColor="text1"/>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color w:val="000000" w:themeColor="text1"/>
          <w:sz w:val="30"/>
          <w:szCs w:val="30"/>
          <w:highlight w:val="none"/>
          <w14:textFill>
            <w14:solidFill>
              <w14:schemeClr w14:val="tx1"/>
            </w14:solidFill>
          </w14:textFill>
        </w:rPr>
        <w:t xml:space="preserve"> 第四章  评标办法及评分标准</w:t>
      </w:r>
    </w:p>
    <w:p w14:paraId="7C9AE2CF">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为公正、公平、科学地选择中标人，根据有关法律法规的规定，并结合本项目的实际，制定本办法。</w:t>
      </w:r>
    </w:p>
    <w:p w14:paraId="5E8707A3">
      <w:pPr>
        <w:spacing w:line="360" w:lineRule="auto"/>
        <w:ind w:firstLine="482" w:firstLineChars="200"/>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一、总则</w:t>
      </w:r>
    </w:p>
    <w:p w14:paraId="3D0A787D">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14:paraId="319547F6">
      <w:pPr>
        <w:spacing w:line="360" w:lineRule="auto"/>
        <w:ind w:firstLine="482" w:firstLineChars="200"/>
        <w:outlineLvl w:val="1"/>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二、评标内容及标准</w:t>
      </w:r>
    </w:p>
    <w:p w14:paraId="4EAEACC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本次招标项目的评标方法为</w:t>
      </w:r>
      <w:r>
        <w:rPr>
          <w:rFonts w:hint="eastAsia"/>
          <w:b/>
          <w:color w:val="000000" w:themeColor="text1"/>
          <w:sz w:val="24"/>
          <w:highlight w:val="none"/>
          <w14:textFill>
            <w14:solidFill>
              <w14:schemeClr w14:val="tx1"/>
            </w14:solidFill>
          </w14:textFill>
        </w:rPr>
        <w:t>综合评分法</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pacing w:val="-4"/>
          <w:sz w:val="24"/>
          <w:highlight w:val="none"/>
          <w14:textFill>
            <w14:solidFill>
              <w14:schemeClr w14:val="tx1"/>
            </w14:solidFill>
          </w14:textFill>
        </w:rPr>
        <w:t>供应商的总得分＝资信技术标得分＋商务标得分，</w:t>
      </w:r>
      <w:r>
        <w:rPr>
          <w:rFonts w:hint="eastAsia"/>
          <w:color w:val="000000" w:themeColor="text1"/>
          <w:sz w:val="24"/>
          <w:highlight w:val="none"/>
          <w14:textFill>
            <w14:solidFill>
              <w14:schemeClr w14:val="tx1"/>
            </w14:solidFill>
          </w14:textFill>
        </w:rPr>
        <w:t>按以下评标标准进行评审：</w:t>
      </w:r>
    </w:p>
    <w:p w14:paraId="4E202AE5">
      <w:pPr>
        <w:spacing w:line="360" w:lineRule="auto"/>
        <w:ind w:firstLine="482" w:firstLineChars="200"/>
        <w:outlineLvl w:val="1"/>
        <w:rPr>
          <w:b/>
          <w:color w:val="000000" w:themeColor="text1"/>
          <w:sz w:val="24"/>
          <w:highlight w:val="none"/>
          <w14:textFill>
            <w14:solidFill>
              <w14:schemeClr w14:val="tx1"/>
            </w14:solidFill>
          </w14:textFill>
        </w:rPr>
      </w:pPr>
      <w:bookmarkStart w:id="11" w:name="_Toc221356901"/>
      <w:bookmarkStart w:id="12" w:name="_Toc221356964"/>
      <w:r>
        <w:rPr>
          <w:rFonts w:hint="eastAsia"/>
          <w:b/>
          <w:color w:val="000000" w:themeColor="text1"/>
          <w:sz w:val="24"/>
          <w:highlight w:val="none"/>
          <w14:textFill>
            <w14:solidFill>
              <w14:schemeClr w14:val="tx1"/>
            </w14:solidFill>
          </w14:textFill>
        </w:rPr>
        <w:t>三、评标办法</w:t>
      </w:r>
      <w:bookmarkEnd w:id="11"/>
      <w:bookmarkEnd w:id="12"/>
    </w:p>
    <w:p w14:paraId="445F4C90">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次采购采用百分制综合评分法，即投标供应商最大限度地满足招标文件实质性要求的基础上，按照招标文件的各项因素进行综合评审后，以评标综合得分最高的投标人为中标候选人的评标方法。根据采购要求，总分设定为100分；其中资信技术分</w:t>
      </w:r>
      <w:r>
        <w:rPr>
          <w:rFonts w:hint="eastAsia"/>
          <w:color w:val="000000" w:themeColor="text1"/>
          <w:sz w:val="24"/>
          <w:highlight w:val="none"/>
          <w:lang w:val="en-US" w:eastAsia="zh-CN"/>
          <w14:textFill>
            <w14:solidFill>
              <w14:schemeClr w14:val="tx1"/>
            </w14:solidFill>
          </w14:textFill>
        </w:rPr>
        <w:t>30</w:t>
      </w:r>
      <w:r>
        <w:rPr>
          <w:rFonts w:hint="eastAsia"/>
          <w:color w:val="000000" w:themeColor="text1"/>
          <w:sz w:val="24"/>
          <w:highlight w:val="none"/>
          <w14:textFill>
            <w14:solidFill>
              <w14:schemeClr w14:val="tx1"/>
            </w14:solidFill>
          </w14:textFill>
        </w:rPr>
        <w:t>分，商务分</w:t>
      </w:r>
      <w:r>
        <w:rPr>
          <w:rFonts w:hint="eastAsia"/>
          <w:color w:val="000000" w:themeColor="text1"/>
          <w:sz w:val="24"/>
          <w:highlight w:val="none"/>
          <w:lang w:val="en-US" w:eastAsia="zh-CN"/>
          <w14:textFill>
            <w14:solidFill>
              <w14:schemeClr w14:val="tx1"/>
            </w14:solidFill>
          </w14:textFill>
        </w:rPr>
        <w:t>70</w:t>
      </w:r>
      <w:r>
        <w:rPr>
          <w:rFonts w:hint="eastAsia"/>
          <w:color w:val="000000" w:themeColor="text1"/>
          <w:sz w:val="24"/>
          <w:highlight w:val="none"/>
          <w14:textFill>
            <w14:solidFill>
              <w14:schemeClr w14:val="tx1"/>
            </w14:solidFill>
          </w14:textFill>
        </w:rPr>
        <w:t>分。</w:t>
      </w:r>
    </w:p>
    <w:p w14:paraId="52361B9C">
      <w:pPr>
        <w:spacing w:line="360" w:lineRule="auto"/>
        <w:ind w:firstLine="482" w:firstLineChars="200"/>
        <w:outlineLvl w:val="1"/>
        <w:rPr>
          <w:b/>
          <w:color w:val="000000" w:themeColor="text1"/>
          <w:sz w:val="24"/>
          <w:highlight w:val="none"/>
          <w14:textFill>
            <w14:solidFill>
              <w14:schemeClr w14:val="tx1"/>
            </w14:solidFill>
          </w14:textFill>
        </w:rPr>
      </w:pPr>
      <w:bookmarkStart w:id="13" w:name="_Toc221356902"/>
      <w:bookmarkStart w:id="14" w:name="_Toc221356965"/>
      <w:r>
        <w:rPr>
          <w:rFonts w:hint="eastAsia"/>
          <w:b/>
          <w:color w:val="000000" w:themeColor="text1"/>
          <w:sz w:val="24"/>
          <w:highlight w:val="none"/>
          <w14:textFill>
            <w14:solidFill>
              <w14:schemeClr w14:val="tx1"/>
            </w14:solidFill>
          </w14:textFill>
        </w:rPr>
        <w:t>四、评分细则</w:t>
      </w:r>
      <w:bookmarkEnd w:id="13"/>
      <w:bookmarkEnd w:id="14"/>
    </w:p>
    <w:p w14:paraId="0504A037">
      <w:pPr>
        <w:spacing w:line="360" w:lineRule="auto"/>
        <w:ind w:firstLine="482" w:firstLineChars="200"/>
        <w:outlineLvl w:val="2"/>
        <w:rPr>
          <w:b/>
          <w:bCs/>
          <w:color w:val="000000" w:themeColor="text1"/>
          <w:sz w:val="24"/>
          <w:highlight w:val="none"/>
          <w14:textFill>
            <w14:solidFill>
              <w14:schemeClr w14:val="tx1"/>
            </w14:solidFill>
          </w14:textFill>
        </w:rPr>
      </w:pPr>
      <w:r>
        <w:rPr>
          <w:rFonts w:hint="eastAsia"/>
          <w:b/>
          <w:bCs/>
          <w:color w:val="000000" w:themeColor="text1"/>
          <w:sz w:val="24"/>
          <w:highlight w:val="none"/>
          <w:lang w:eastAsia="zh-CN"/>
          <w14:textFill>
            <w14:solidFill>
              <w14:schemeClr w14:val="tx1"/>
            </w14:solidFill>
          </w14:textFill>
        </w:rPr>
        <w:t>（</w:t>
      </w:r>
      <w:r>
        <w:rPr>
          <w:rFonts w:hint="eastAsia"/>
          <w:b/>
          <w:bCs/>
          <w:color w:val="000000" w:themeColor="text1"/>
          <w:sz w:val="24"/>
          <w:highlight w:val="none"/>
          <w:lang w:val="en-US" w:eastAsia="zh-CN"/>
          <w14:textFill>
            <w14:solidFill>
              <w14:schemeClr w14:val="tx1"/>
            </w14:solidFill>
          </w14:textFill>
        </w:rPr>
        <w:t>一</w:t>
      </w:r>
      <w:r>
        <w:rPr>
          <w:rFonts w:hint="eastAsia"/>
          <w:b/>
          <w:bCs/>
          <w:color w:val="000000" w:themeColor="text1"/>
          <w:sz w:val="24"/>
          <w:highlight w:val="none"/>
          <w:lang w:eastAsia="zh-CN"/>
          <w14:textFill>
            <w14:solidFill>
              <w14:schemeClr w14:val="tx1"/>
            </w14:solidFill>
          </w14:textFill>
        </w:rPr>
        <w:t>）</w:t>
      </w:r>
      <w:r>
        <w:rPr>
          <w:rFonts w:hint="eastAsia"/>
          <w:b/>
          <w:bCs/>
          <w:color w:val="000000" w:themeColor="text1"/>
          <w:sz w:val="24"/>
          <w:highlight w:val="none"/>
          <w14:textFill>
            <w14:solidFill>
              <w14:schemeClr w14:val="tx1"/>
            </w14:solidFill>
          </w14:textFill>
        </w:rPr>
        <w:t>、资信技术部分的评定(</w:t>
      </w:r>
      <w:r>
        <w:rPr>
          <w:rFonts w:hint="eastAsia"/>
          <w:b/>
          <w:bCs/>
          <w:color w:val="000000" w:themeColor="text1"/>
          <w:sz w:val="24"/>
          <w:highlight w:val="none"/>
          <w:lang w:val="en-US" w:eastAsia="zh-CN"/>
          <w14:textFill>
            <w14:solidFill>
              <w14:schemeClr w14:val="tx1"/>
            </w14:solidFill>
          </w14:textFill>
        </w:rPr>
        <w:t>30</w:t>
      </w:r>
      <w:r>
        <w:rPr>
          <w:rFonts w:hint="eastAsia"/>
          <w:b/>
          <w:bCs/>
          <w:color w:val="000000" w:themeColor="text1"/>
          <w:sz w:val="24"/>
          <w:highlight w:val="none"/>
          <w14:textFill>
            <w14:solidFill>
              <w14:schemeClr w14:val="tx1"/>
            </w14:solidFill>
          </w14:textFill>
        </w:rPr>
        <w:t>分)</w:t>
      </w:r>
    </w:p>
    <w:p w14:paraId="6C584B90">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各评委成员按下列评分表的评分项目进行评定，每人一张评分计算表，由评标委员会成员各自评定打分并记实名。如任何一张表的一项评分内容分值超过规定的范围，则该张表无效。评标委员会成员对各投标供应商的各项评分内容评分合计值的算术平均值为该投标供应商技术部分的最终得分(四舍五入，保留小数点后二位)。</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84"/>
        <w:gridCol w:w="6908"/>
        <w:gridCol w:w="696"/>
      </w:tblGrid>
      <w:tr w14:paraId="1AD1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6" w:type="dxa"/>
            <w:noWrap w:val="0"/>
            <w:vAlign w:val="center"/>
          </w:tcPr>
          <w:p w14:paraId="2561F69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84" w:type="dxa"/>
            <w:noWrap w:val="0"/>
            <w:vAlign w:val="center"/>
          </w:tcPr>
          <w:p w14:paraId="1B20324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6908" w:type="dxa"/>
            <w:noWrap w:val="0"/>
            <w:vAlign w:val="center"/>
          </w:tcPr>
          <w:p w14:paraId="0F2F22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696" w:type="dxa"/>
            <w:noWrap w:val="0"/>
            <w:vAlign w:val="center"/>
          </w:tcPr>
          <w:p w14:paraId="42E6AF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73B9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96" w:type="dxa"/>
            <w:noWrap w:val="0"/>
            <w:vAlign w:val="center"/>
          </w:tcPr>
          <w:p w14:paraId="03C10E6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4" w:type="dxa"/>
            <w:noWrap w:val="0"/>
            <w:vAlign w:val="center"/>
          </w:tcPr>
          <w:p w14:paraId="658A028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000000"/>
                <w:sz w:val="24"/>
                <w:szCs w:val="24"/>
                <w:highlight w:val="none"/>
              </w:rPr>
              <w:t>实施方案</w:t>
            </w:r>
          </w:p>
        </w:tc>
        <w:tc>
          <w:tcPr>
            <w:tcW w:w="6908" w:type="dxa"/>
            <w:noWrap w:val="0"/>
            <w:vAlign w:val="center"/>
          </w:tcPr>
          <w:p w14:paraId="3EF4B91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切合实际的项目实施方案，方案包括但不限于以下几个要素：技术方案、生产（或组货）方案、进度计划、安全预防措施、包装储存和运输方案、所投产品技术指标完全响应文件要求，主材及辅材是否等同或优于招标要求等。评分如下：</w:t>
            </w:r>
          </w:p>
          <w:p w14:paraId="23B2D56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方案内容完善全面、计划和措施切实可行，得</w:t>
            </w: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rPr>
              <w:t>分；</w:t>
            </w:r>
          </w:p>
          <w:p w14:paraId="32E7DB4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方案内容较完整、计划和措施基本可行，得</w:t>
            </w:r>
            <w:r>
              <w:rPr>
                <w:rFonts w:hint="eastAsia" w:ascii="宋体" w:hAnsi="宋体" w:cs="宋体"/>
                <w:color w:val="auto"/>
                <w:sz w:val="24"/>
                <w:szCs w:val="24"/>
                <w:highlight w:val="none"/>
                <w:lang w:val="en-US" w:eastAsia="zh-CN"/>
              </w:rPr>
              <w:t>3-4.9</w:t>
            </w:r>
            <w:r>
              <w:rPr>
                <w:rFonts w:hint="eastAsia" w:ascii="宋体" w:hAnsi="宋体" w:eastAsia="宋体" w:cs="宋体"/>
                <w:color w:val="auto"/>
                <w:sz w:val="24"/>
                <w:szCs w:val="24"/>
                <w:highlight w:val="none"/>
              </w:rPr>
              <w:t>分；</w:t>
            </w:r>
          </w:p>
          <w:p w14:paraId="5223A49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方案内容简单、计划和措施粗略，制度简单或没有的，得</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分。未提供不得分。</w:t>
            </w:r>
          </w:p>
        </w:tc>
        <w:tc>
          <w:tcPr>
            <w:tcW w:w="696" w:type="dxa"/>
            <w:noWrap w:val="0"/>
            <w:vAlign w:val="center"/>
          </w:tcPr>
          <w:p w14:paraId="12AA3B36">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0E8D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0"/>
            <w:vAlign w:val="center"/>
          </w:tcPr>
          <w:p w14:paraId="560067BD">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1284" w:type="dxa"/>
            <w:noWrap w:val="0"/>
            <w:vAlign w:val="center"/>
          </w:tcPr>
          <w:p w14:paraId="26022F7C">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企业资质及认证</w:t>
            </w:r>
          </w:p>
        </w:tc>
        <w:tc>
          <w:tcPr>
            <w:tcW w:w="6908" w:type="dxa"/>
            <w:noWrap w:val="0"/>
            <w:vAlign w:val="center"/>
          </w:tcPr>
          <w:p w14:paraId="526AF049">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投标人具有</w:t>
            </w:r>
            <w:r>
              <w:rPr>
                <w:rFonts w:hint="eastAsia" w:ascii="宋体" w:hAnsi="宋体" w:eastAsia="宋体" w:cs="宋体"/>
                <w:color w:val="auto"/>
                <w:sz w:val="24"/>
                <w:szCs w:val="24"/>
                <w:highlight w:val="none"/>
                <w:lang w:val="en-US" w:eastAsia="zh-CN"/>
              </w:rPr>
              <w:t>有效的</w:t>
            </w:r>
            <w:r>
              <w:rPr>
                <w:rFonts w:hint="eastAsia" w:ascii="宋体" w:hAnsi="宋体" w:eastAsia="宋体" w:cs="宋体"/>
                <w:color w:val="auto"/>
                <w:sz w:val="24"/>
                <w:szCs w:val="24"/>
                <w:highlight w:val="none"/>
              </w:rPr>
              <w:t>质量管理体系认证、环境管理体系认证、职业健康安全管理体系认证得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分；没有得0分，缺一个扣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696" w:type="dxa"/>
            <w:noWrap w:val="0"/>
            <w:vAlign w:val="center"/>
          </w:tcPr>
          <w:p w14:paraId="0B3B8201">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6D7E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96" w:type="dxa"/>
            <w:noWrap w:val="0"/>
            <w:vAlign w:val="center"/>
          </w:tcPr>
          <w:p w14:paraId="6E09896F">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284" w:type="dxa"/>
            <w:noWrap w:val="0"/>
            <w:vAlign w:val="center"/>
          </w:tcPr>
          <w:p w14:paraId="0A6F11B3">
            <w:pPr>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企业业绩</w:t>
            </w:r>
          </w:p>
        </w:tc>
        <w:tc>
          <w:tcPr>
            <w:tcW w:w="6908" w:type="dxa"/>
            <w:noWrap w:val="0"/>
            <w:vAlign w:val="center"/>
          </w:tcPr>
          <w:p w14:paraId="25FE30DD">
            <w:pPr>
              <w:numPr>
                <w:ilvl w:val="0"/>
                <w:numId w:val="0"/>
              </w:numPr>
              <w:adjustRightInd w:val="0"/>
              <w:snapToGrid w:val="0"/>
              <w:spacing w:line="3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投标人自</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年1月1日（以合同签订时间为准）至今</w:t>
            </w:r>
            <w:r>
              <w:rPr>
                <w:rFonts w:hint="eastAsia" w:ascii="宋体" w:hAnsi="宋体" w:eastAsia="宋体" w:cs="宋体"/>
                <w:color w:val="auto"/>
                <w:sz w:val="24"/>
                <w:szCs w:val="24"/>
                <w:highlight w:val="none"/>
                <w:lang w:val="en-US" w:eastAsia="zh-CN"/>
              </w:rPr>
              <w:t>完成过同类型业绩，且</w:t>
            </w:r>
            <w:r>
              <w:rPr>
                <w:rFonts w:hint="eastAsia" w:ascii="宋体" w:hAnsi="宋体" w:cs="宋体"/>
                <w:color w:val="auto"/>
                <w:sz w:val="24"/>
                <w:szCs w:val="24"/>
                <w:highlight w:val="none"/>
                <w:lang w:val="en-US" w:eastAsia="zh-CN"/>
              </w:rPr>
              <w:t>合同金额</w:t>
            </w:r>
            <w:r>
              <w:rPr>
                <w:rFonts w:hint="eastAsia" w:ascii="宋体" w:hAnsi="宋体" w:eastAsia="宋体" w:cs="宋体"/>
                <w:color w:val="auto"/>
                <w:sz w:val="24"/>
                <w:szCs w:val="24"/>
                <w:highlight w:val="none"/>
                <w:lang w:val="en-US" w:eastAsia="zh-CN"/>
              </w:rPr>
              <w:t>大于</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等于30万元，每提供一个合同得1分，最多得4分。</w:t>
            </w:r>
          </w:p>
          <w:p w14:paraId="5133A4B8">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注；投标人所提供</w:t>
            </w:r>
            <w:r>
              <w:rPr>
                <w:rFonts w:hint="eastAsia" w:ascii="宋体" w:hAnsi="宋体" w:cs="宋体"/>
                <w:b/>
                <w:bCs/>
                <w:color w:val="auto"/>
                <w:sz w:val="24"/>
                <w:szCs w:val="24"/>
                <w:highlight w:val="none"/>
                <w:lang w:val="en-US" w:eastAsia="zh-CN"/>
              </w:rPr>
              <w:t>的业绩材料不符合要求</w:t>
            </w:r>
            <w:r>
              <w:rPr>
                <w:rFonts w:hint="eastAsia" w:ascii="宋体" w:hAnsi="宋体" w:eastAsia="宋体" w:cs="宋体"/>
                <w:b/>
                <w:bCs/>
                <w:color w:val="auto"/>
                <w:sz w:val="24"/>
                <w:szCs w:val="24"/>
                <w:highlight w:val="none"/>
                <w:lang w:val="en-US" w:eastAsia="zh-CN"/>
              </w:rPr>
              <w:t>，该业绩</w:t>
            </w:r>
            <w:r>
              <w:rPr>
                <w:rFonts w:hint="eastAsia" w:ascii="宋体" w:hAnsi="宋体" w:eastAsia="宋体" w:cs="Times New Roman"/>
                <w:b/>
                <w:bCs/>
                <w:color w:val="auto"/>
                <w:kern w:val="2"/>
                <w:sz w:val="24"/>
                <w:szCs w:val="24"/>
                <w:highlight w:val="none"/>
                <w:lang w:val="en-US" w:eastAsia="zh-CN" w:bidi="ar-SA"/>
              </w:rPr>
              <w:t>不予认可</w:t>
            </w:r>
            <w:r>
              <w:rPr>
                <w:rFonts w:hint="eastAsia" w:ascii="宋体" w:hAnsi="宋体" w:eastAsia="宋体" w:cs="宋体"/>
                <w:b/>
                <w:bCs/>
                <w:color w:val="auto"/>
                <w:sz w:val="24"/>
                <w:szCs w:val="24"/>
                <w:highlight w:val="none"/>
                <w:lang w:val="en-US" w:eastAsia="zh-CN"/>
              </w:rPr>
              <w:t>。</w:t>
            </w:r>
          </w:p>
        </w:tc>
        <w:tc>
          <w:tcPr>
            <w:tcW w:w="696" w:type="dxa"/>
            <w:noWrap w:val="0"/>
            <w:vAlign w:val="center"/>
          </w:tcPr>
          <w:p w14:paraId="6341CF82">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0A8C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96" w:type="dxa"/>
            <w:noWrap w:val="0"/>
            <w:vAlign w:val="center"/>
          </w:tcPr>
          <w:p w14:paraId="51732873">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284" w:type="dxa"/>
            <w:noWrap w:val="0"/>
            <w:vAlign w:val="center"/>
          </w:tcPr>
          <w:p w14:paraId="64031A89">
            <w:pPr>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售后服务</w:t>
            </w:r>
          </w:p>
        </w:tc>
        <w:tc>
          <w:tcPr>
            <w:tcW w:w="6908" w:type="dxa"/>
            <w:noWrap w:val="0"/>
            <w:vAlign w:val="center"/>
          </w:tcPr>
          <w:p w14:paraId="411DD299">
            <w:pPr>
              <w:numPr>
                <w:ilvl w:val="0"/>
                <w:numId w:val="0"/>
              </w:numPr>
              <w:adjustRightInd w:val="0"/>
              <w:snapToGrid w:val="0"/>
              <w:spacing w:line="3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质保期限优于采购要求的，</w:t>
            </w:r>
          </w:p>
          <w:p w14:paraId="6913378B">
            <w:pPr>
              <w:numPr>
                <w:ilvl w:val="0"/>
                <w:numId w:val="0"/>
              </w:numPr>
              <w:adjustRightInd w:val="0"/>
              <w:snapToGrid w:val="0"/>
              <w:spacing w:line="3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消毒柜：每延长1年得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w:t>
            </w:r>
          </w:p>
          <w:p w14:paraId="5AA4A61B">
            <w:pPr>
              <w:numPr>
                <w:ilvl w:val="0"/>
                <w:numId w:val="0"/>
              </w:numPr>
              <w:adjustRightInd w:val="0"/>
              <w:snapToGrid w:val="0"/>
              <w:spacing w:line="3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2.吹风机：</w:t>
            </w:r>
            <w:r>
              <w:rPr>
                <w:rFonts w:hint="eastAsia" w:ascii="宋体" w:hAnsi="宋体" w:eastAsia="宋体" w:cs="宋体"/>
                <w:color w:val="auto"/>
                <w:sz w:val="24"/>
                <w:szCs w:val="24"/>
                <w:highlight w:val="none"/>
                <w:lang w:val="zh-CN"/>
              </w:rPr>
              <w:t>每延长1年得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630957C6">
            <w:pPr>
              <w:numPr>
                <w:ilvl w:val="0"/>
                <w:numId w:val="0"/>
              </w:numPr>
              <w:adjustRightInd w:val="0"/>
              <w:snapToGrid w:val="0"/>
              <w:spacing w:line="3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3.电热水壶：</w:t>
            </w:r>
            <w:r>
              <w:rPr>
                <w:rFonts w:hint="eastAsia" w:ascii="宋体" w:hAnsi="宋体" w:eastAsia="宋体" w:cs="宋体"/>
                <w:color w:val="auto"/>
                <w:sz w:val="24"/>
                <w:szCs w:val="24"/>
                <w:highlight w:val="none"/>
                <w:lang w:val="zh-CN"/>
              </w:rPr>
              <w:t>每延长1年得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0A4BB477">
            <w:pPr>
              <w:numPr>
                <w:ilvl w:val="0"/>
                <w:numId w:val="0"/>
              </w:numPr>
              <w:adjustRightInd w:val="0"/>
              <w:snapToGrid w:val="0"/>
              <w:spacing w:line="3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4.冰箱：</w:t>
            </w:r>
            <w:r>
              <w:rPr>
                <w:rFonts w:hint="eastAsia" w:ascii="宋体" w:hAnsi="宋体" w:eastAsia="宋体" w:cs="宋体"/>
                <w:color w:val="auto"/>
                <w:sz w:val="24"/>
                <w:szCs w:val="24"/>
                <w:highlight w:val="none"/>
                <w:lang w:val="zh-CN"/>
              </w:rPr>
              <w:t>每延长1年得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719C71F6">
            <w:pPr>
              <w:numPr>
                <w:ilvl w:val="0"/>
                <w:numId w:val="0"/>
              </w:numPr>
              <w:adjustRightInd w:val="0"/>
              <w:snapToGrid w:val="0"/>
              <w:spacing w:line="3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5.电话机：</w:t>
            </w:r>
            <w:r>
              <w:rPr>
                <w:rFonts w:hint="eastAsia" w:ascii="宋体" w:hAnsi="宋体" w:eastAsia="宋体" w:cs="宋体"/>
                <w:color w:val="auto"/>
                <w:sz w:val="24"/>
                <w:szCs w:val="24"/>
                <w:highlight w:val="none"/>
                <w:lang w:val="zh-CN"/>
              </w:rPr>
              <w:t>每延长1年得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306E5750">
            <w:pPr>
              <w:numPr>
                <w:ilvl w:val="0"/>
                <w:numId w:val="0"/>
              </w:numPr>
              <w:adjustRightInd w:val="0"/>
              <w:snapToGrid w:val="0"/>
              <w:spacing w:line="380" w:lineRule="exact"/>
              <w:ind w:left="0" w:leftChars="0" w:firstLine="0" w:firstLine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color w:val="auto"/>
                <w:sz w:val="24"/>
                <w:szCs w:val="24"/>
                <w:highlight w:val="none"/>
                <w:lang w:val="en-US" w:eastAsia="zh-CN"/>
              </w:rPr>
              <w:t>6.显示设备：</w:t>
            </w:r>
            <w:r>
              <w:rPr>
                <w:rFonts w:hint="eastAsia" w:ascii="宋体" w:hAnsi="宋体" w:eastAsia="宋体" w:cs="宋体"/>
                <w:color w:val="auto"/>
                <w:sz w:val="24"/>
                <w:szCs w:val="24"/>
                <w:highlight w:val="none"/>
                <w:lang w:val="zh-CN"/>
              </w:rPr>
              <w:t>每延长1年得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w:t>
            </w:r>
          </w:p>
        </w:tc>
        <w:tc>
          <w:tcPr>
            <w:tcW w:w="696" w:type="dxa"/>
            <w:noWrap w:val="0"/>
            <w:vAlign w:val="center"/>
          </w:tcPr>
          <w:p w14:paraId="7C21B2DA">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14分</w:t>
            </w:r>
          </w:p>
        </w:tc>
      </w:tr>
    </w:tbl>
    <w:p w14:paraId="4D65D76D">
      <w:pPr>
        <w:spacing w:line="360" w:lineRule="auto"/>
        <w:ind w:firstLine="240" w:firstLineChars="100"/>
        <w:rPr>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注：资信技术标内容缺项的，该项得0分。</w:t>
      </w:r>
    </w:p>
    <w:p w14:paraId="6B985A6F">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w:t>
      </w:r>
      <w:r>
        <w:rPr>
          <w:rFonts w:hint="eastAsia" w:ascii="宋体" w:hAnsi="宋体" w:cs="宋体"/>
          <w:b/>
          <w:color w:val="000000"/>
          <w:sz w:val="24"/>
          <w:szCs w:val="24"/>
          <w:highlight w:val="none"/>
          <w:lang w:val="en-US" w:eastAsia="zh-CN"/>
        </w:rPr>
        <w:t>二</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w:t>
      </w:r>
      <w:r>
        <w:rPr>
          <w:rFonts w:hint="eastAsia" w:ascii="宋体" w:hAnsi="宋体" w:eastAsia="宋体" w:cs="宋体"/>
          <w:b/>
          <w:snapToGrid w:val="0"/>
          <w:color w:val="000000"/>
          <w:sz w:val="24"/>
          <w:szCs w:val="24"/>
          <w:highlight w:val="none"/>
        </w:rPr>
        <w:t>商务</w:t>
      </w:r>
      <w:r>
        <w:rPr>
          <w:rFonts w:hint="eastAsia" w:ascii="宋体" w:hAnsi="宋体" w:eastAsia="宋体" w:cs="宋体"/>
          <w:b/>
          <w:color w:val="000000"/>
          <w:sz w:val="24"/>
          <w:szCs w:val="24"/>
          <w:highlight w:val="none"/>
        </w:rPr>
        <w:t>标评审标准（</w:t>
      </w:r>
      <w:r>
        <w:rPr>
          <w:rFonts w:hint="eastAsia" w:ascii="宋体" w:hAnsi="宋体" w:cs="宋体"/>
          <w:b/>
          <w:color w:val="000000"/>
          <w:sz w:val="24"/>
          <w:szCs w:val="24"/>
          <w:highlight w:val="none"/>
          <w:lang w:val="en-US" w:eastAsia="zh-CN"/>
        </w:rPr>
        <w:t>70</w:t>
      </w:r>
      <w:r>
        <w:rPr>
          <w:rFonts w:hint="eastAsia" w:ascii="宋体" w:hAnsi="宋体" w:eastAsia="宋体" w:cs="宋体"/>
          <w:b/>
          <w:color w:val="000000"/>
          <w:sz w:val="24"/>
          <w:szCs w:val="24"/>
          <w:highlight w:val="none"/>
        </w:rPr>
        <w:t>分）(小数点后保留2位小数，小数点后第3位四舍五入）</w:t>
      </w:r>
    </w:p>
    <w:p w14:paraId="0D3967E0">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1、</w:t>
      </w:r>
      <w:r>
        <w:rPr>
          <w:rFonts w:hint="eastAsia" w:ascii="宋体" w:hAnsi="宋体" w:eastAsia="宋体" w:cs="宋体"/>
          <w:b/>
          <w:snapToGrid w:val="0"/>
          <w:color w:val="000000"/>
          <w:sz w:val="24"/>
          <w:szCs w:val="24"/>
          <w:highlight w:val="none"/>
        </w:rPr>
        <w:t>成本价</w:t>
      </w:r>
      <w:r>
        <w:rPr>
          <w:rFonts w:hint="eastAsia" w:ascii="宋体" w:hAnsi="宋体" w:eastAsia="宋体" w:cs="宋体"/>
          <w:b/>
          <w:color w:val="000000"/>
          <w:sz w:val="24"/>
          <w:szCs w:val="24"/>
          <w:highlight w:val="none"/>
        </w:rPr>
        <w:t>评审：</w:t>
      </w:r>
      <w:r>
        <w:rPr>
          <w:rFonts w:hint="eastAsia" w:ascii="宋体" w:hAnsi="宋体" w:eastAsia="宋体" w:cs="宋体"/>
          <w:color w:val="000000"/>
          <w:sz w:val="24"/>
          <w:szCs w:val="24"/>
          <w:highlight w:val="none"/>
        </w:rPr>
        <w:t>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被认定低于成本报价竞标的，其投标作无效标处理。</w:t>
      </w:r>
    </w:p>
    <w:p w14:paraId="35F04224">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w:t>
      </w:r>
      <w:r>
        <w:rPr>
          <w:rFonts w:hint="eastAsia" w:ascii="宋体" w:hAnsi="宋体" w:eastAsia="宋体" w:cs="宋体"/>
          <w:b/>
          <w:snapToGrid w:val="0"/>
          <w:color w:val="000000"/>
          <w:sz w:val="24"/>
          <w:szCs w:val="24"/>
          <w:highlight w:val="none"/>
        </w:rPr>
        <w:t>评标</w:t>
      </w:r>
      <w:r>
        <w:rPr>
          <w:rFonts w:hint="eastAsia" w:ascii="宋体" w:hAnsi="宋体" w:eastAsia="宋体" w:cs="宋体"/>
          <w:b/>
          <w:color w:val="000000"/>
          <w:sz w:val="24"/>
          <w:szCs w:val="24"/>
          <w:highlight w:val="none"/>
        </w:rPr>
        <w:t>标底价的确定。</w:t>
      </w:r>
    </w:p>
    <w:p w14:paraId="35C4F33E">
      <w:pPr>
        <w:spacing w:line="360" w:lineRule="auto"/>
        <w:ind w:firstLine="240" w:firstLineChars="1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取所有有效报价的算术平均值作为评标标底价；（评标标底价计算结果以元为单位，小数点后一位四舍五入）</w:t>
      </w:r>
    </w:p>
    <w:p w14:paraId="25B4117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投标人的投标报价等于评标标底价的得</w:t>
      </w:r>
      <w:r>
        <w:rPr>
          <w:rFonts w:hint="eastAsia" w:ascii="宋体" w:hAnsi="宋体" w:cs="宋体"/>
          <w:color w:val="000000"/>
          <w:sz w:val="24"/>
          <w:szCs w:val="24"/>
          <w:highlight w:val="none"/>
          <w:lang w:val="en-US" w:eastAsia="zh-CN"/>
        </w:rPr>
        <w:t>70</w:t>
      </w:r>
      <w:r>
        <w:rPr>
          <w:rFonts w:hint="eastAsia" w:ascii="宋体" w:hAnsi="宋体" w:eastAsia="宋体" w:cs="宋体"/>
          <w:color w:val="000000"/>
          <w:sz w:val="24"/>
          <w:szCs w:val="24"/>
          <w:highlight w:val="none"/>
        </w:rPr>
        <w:t>分，各投标报价与评标标底价相比，采用线性插入法计算，每高于1%扣1分（商务标分值＝</w:t>
      </w:r>
      <w:r>
        <w:rPr>
          <w:rFonts w:hint="eastAsia" w:ascii="宋体" w:hAnsi="宋体" w:cs="宋体"/>
          <w:color w:val="000000"/>
          <w:sz w:val="24"/>
          <w:szCs w:val="24"/>
          <w:highlight w:val="none"/>
          <w:lang w:val="en-US" w:eastAsia="zh-CN"/>
        </w:rPr>
        <w:t>70</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\F(投标报价-评标标底价,评标标底价) </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|×100×1），每低于1%扣0.5分（商务标分值＝</w:t>
      </w:r>
      <w:r>
        <w:rPr>
          <w:rFonts w:hint="eastAsia" w:ascii="宋体" w:hAnsi="宋体" w:cs="宋体"/>
          <w:color w:val="000000"/>
          <w:sz w:val="24"/>
          <w:szCs w:val="24"/>
          <w:highlight w:val="none"/>
          <w:lang w:val="en-US" w:eastAsia="zh-CN"/>
        </w:rPr>
        <w:t>70</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\F(投标报价-评标标底价,评标标底价) </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|×100×0.5）。</w:t>
      </w:r>
      <w:r>
        <w:rPr>
          <w:rFonts w:hint="eastAsia" w:ascii="宋体" w:hAnsi="宋体" w:cs="宋体"/>
          <w:color w:val="000000"/>
          <w:sz w:val="24"/>
          <w:szCs w:val="24"/>
          <w:highlight w:val="none"/>
          <w:lang w:val="en-US" w:eastAsia="zh-CN"/>
        </w:rPr>
        <w:t>商务</w:t>
      </w:r>
      <w:r>
        <w:rPr>
          <w:rFonts w:hint="eastAsia" w:ascii="宋体" w:hAnsi="宋体" w:eastAsia="宋体" w:cs="宋体"/>
          <w:color w:val="000000"/>
          <w:sz w:val="24"/>
          <w:szCs w:val="24"/>
          <w:highlight w:val="none"/>
        </w:rPr>
        <w:t>得分最多扣10分，</w:t>
      </w:r>
      <w:r>
        <w:rPr>
          <w:rFonts w:hint="eastAsia" w:ascii="宋体" w:hAnsi="宋体" w:cs="宋体"/>
          <w:color w:val="000000"/>
          <w:sz w:val="24"/>
          <w:szCs w:val="24"/>
          <w:highlight w:val="none"/>
          <w:lang w:val="en-US" w:eastAsia="zh-CN"/>
        </w:rPr>
        <w:t>商务</w:t>
      </w:r>
      <w:r>
        <w:rPr>
          <w:rFonts w:hint="eastAsia" w:ascii="宋体" w:hAnsi="宋体" w:eastAsia="宋体" w:cs="宋体"/>
          <w:color w:val="000000"/>
          <w:sz w:val="24"/>
          <w:szCs w:val="24"/>
          <w:highlight w:val="none"/>
        </w:rPr>
        <w:t>分最低为20分。</w:t>
      </w:r>
    </w:p>
    <w:p w14:paraId="5869F45D">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w:t>
      </w:r>
      <w:r>
        <w:rPr>
          <w:rFonts w:hint="eastAsia" w:ascii="宋体" w:hAnsi="宋体" w:eastAsia="宋体" w:cs="宋体"/>
          <w:b/>
          <w:snapToGrid w:val="0"/>
          <w:color w:val="000000"/>
          <w:sz w:val="24"/>
          <w:szCs w:val="24"/>
          <w:highlight w:val="none"/>
        </w:rPr>
        <w:t>评标</w:t>
      </w:r>
      <w:r>
        <w:rPr>
          <w:rFonts w:hint="eastAsia" w:ascii="宋体" w:hAnsi="宋体" w:eastAsia="宋体" w:cs="宋体"/>
          <w:b/>
          <w:color w:val="000000"/>
          <w:sz w:val="24"/>
          <w:szCs w:val="24"/>
          <w:highlight w:val="none"/>
        </w:rPr>
        <w:t>总得分（满分为100分，最后结果保留2位小数，小数点后第3位四舍五入）</w:t>
      </w:r>
    </w:p>
    <w:p w14:paraId="21DB520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投标人的评标总得分＝</w:t>
      </w:r>
      <w:r>
        <w:rPr>
          <w:rFonts w:hint="eastAsia" w:ascii="宋体" w:hAnsi="宋体" w:cs="宋体"/>
          <w:color w:val="000000"/>
          <w:sz w:val="24"/>
          <w:szCs w:val="24"/>
          <w:highlight w:val="none"/>
          <w:lang w:eastAsia="zh-CN"/>
        </w:rPr>
        <w:t>资信技术标</w:t>
      </w:r>
      <w:r>
        <w:rPr>
          <w:rFonts w:hint="eastAsia" w:ascii="宋体" w:hAnsi="宋体" w:eastAsia="宋体" w:cs="宋体"/>
          <w:color w:val="000000"/>
          <w:sz w:val="24"/>
          <w:szCs w:val="24"/>
          <w:highlight w:val="none"/>
        </w:rPr>
        <w:t>得分+商务标得分。</w:t>
      </w:r>
    </w:p>
    <w:p w14:paraId="6BBCEF39">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六</w:t>
      </w:r>
      <w:r>
        <w:rPr>
          <w:rFonts w:hint="eastAsia" w:ascii="宋体" w:hAnsi="宋体" w:eastAsia="宋体" w:cs="宋体"/>
          <w:b/>
          <w:color w:val="000000"/>
          <w:sz w:val="24"/>
          <w:szCs w:val="24"/>
          <w:highlight w:val="none"/>
        </w:rPr>
        <w:t>、中标候选人的确定</w:t>
      </w:r>
    </w:p>
    <w:p w14:paraId="7FEF8F9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评标委员会按评标总得分确定中标候选人，即总得分最高者为第一中标候选人，次高者为第二中标候选人。如出现总得分相同的，按以下优先顺序确定中标候选人推荐次序：</w:t>
      </w:r>
    </w:p>
    <w:p w14:paraId="09F982E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cs="宋体"/>
          <w:color w:val="000000"/>
          <w:sz w:val="24"/>
          <w:szCs w:val="24"/>
          <w:highlight w:val="none"/>
          <w:lang w:eastAsia="zh-CN"/>
        </w:rPr>
        <w:t>资信技术标</w:t>
      </w:r>
      <w:r>
        <w:rPr>
          <w:rFonts w:hint="eastAsia" w:ascii="宋体" w:hAnsi="宋体" w:eastAsia="宋体" w:cs="宋体"/>
          <w:color w:val="000000"/>
          <w:sz w:val="24"/>
          <w:szCs w:val="24"/>
          <w:highlight w:val="none"/>
        </w:rPr>
        <w:t>得分高者；</w:t>
      </w:r>
    </w:p>
    <w:p w14:paraId="0C863CC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（二）投标报价低者；</w:t>
      </w:r>
    </w:p>
    <w:p w14:paraId="61A5DCBD">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highlight w:val="none"/>
        </w:rPr>
        <w:t>（三）抽签确定。</w:t>
      </w:r>
    </w:p>
    <w:p w14:paraId="1232A8A8">
      <w:pPr>
        <w:adjustRightInd w:val="0"/>
        <w:spacing w:line="360" w:lineRule="auto"/>
        <w:ind w:firstLine="960" w:firstLineChars="300"/>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br w:type="page"/>
      </w:r>
    </w:p>
    <w:p w14:paraId="7AB700AD">
      <w:pPr>
        <w:adjustRightInd w:val="0"/>
        <w:spacing w:line="360" w:lineRule="auto"/>
        <w:jc w:val="center"/>
        <w:outlineLvl w:val="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第五章 合同主要条款</w:t>
      </w:r>
    </w:p>
    <w:p w14:paraId="1C8682F8">
      <w:pPr>
        <w:pStyle w:val="35"/>
        <w:widowControl w:val="0"/>
        <w:snapToGrid w:val="0"/>
        <w:spacing w:before="120" w:beforeLines="50" w:beforeAutospacing="0" w:after="0" w:afterAutospacing="0"/>
        <w:jc w:val="both"/>
        <w:rPr>
          <w:color w:val="auto"/>
          <w:highlight w:val="none"/>
          <w:lang w:bidi="ar"/>
        </w:rPr>
      </w:pPr>
    </w:p>
    <w:p w14:paraId="54F60D73">
      <w:pPr>
        <w:pStyle w:val="35"/>
        <w:widowControl w:val="0"/>
        <w:snapToGrid w:val="0"/>
        <w:spacing w:before="120" w:beforeLines="50" w:beforeAutospacing="0" w:after="0" w:afterAutospacing="0"/>
        <w:jc w:val="both"/>
        <w:rPr>
          <w:color w:val="auto"/>
          <w:highlight w:val="none"/>
        </w:rPr>
      </w:pPr>
      <w:r>
        <w:rPr>
          <w:color w:val="auto"/>
          <w:highlight w:val="none"/>
          <w:lang w:bidi="ar"/>
        </w:rPr>
        <w:t>项目名称：                                  项目编号：</w:t>
      </w:r>
    </w:p>
    <w:p w14:paraId="4591F258">
      <w:pPr>
        <w:pStyle w:val="35"/>
        <w:widowControl w:val="0"/>
        <w:snapToGrid w:val="0"/>
        <w:spacing w:before="120" w:beforeLines="50" w:beforeAutospacing="0" w:after="0" w:afterAutospacing="0"/>
        <w:jc w:val="both"/>
        <w:rPr>
          <w:color w:val="auto"/>
          <w:highlight w:val="none"/>
        </w:rPr>
      </w:pPr>
      <w:r>
        <w:rPr>
          <w:color w:val="auto"/>
          <w:highlight w:val="none"/>
          <w:lang w:bidi="ar"/>
        </w:rPr>
        <w:t>甲方：（买方）                              乙方：（卖方）</w:t>
      </w:r>
    </w:p>
    <w:p w14:paraId="1A71FDA0">
      <w:pPr>
        <w:pStyle w:val="35"/>
        <w:widowControl w:val="0"/>
        <w:snapToGrid w:val="0"/>
        <w:spacing w:before="120" w:beforeLines="50" w:beforeAutospacing="0" w:after="0" w:afterAutospacing="0"/>
        <w:ind w:firstLine="480" w:firstLineChars="200"/>
        <w:jc w:val="both"/>
        <w:rPr>
          <w:color w:val="auto"/>
          <w:highlight w:val="none"/>
          <w:lang w:bidi="ar"/>
        </w:rPr>
      </w:pPr>
    </w:p>
    <w:p w14:paraId="6586BC8F">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480" w:firstLineChars="200"/>
        <w:jc w:val="both"/>
        <w:textAlignment w:val="auto"/>
        <w:rPr>
          <w:b/>
          <w:color w:val="auto"/>
          <w:highlight w:val="none"/>
        </w:rPr>
      </w:pPr>
      <w:r>
        <w:rPr>
          <w:color w:val="auto"/>
          <w:highlight w:val="none"/>
          <w:lang w:bidi="ar"/>
        </w:rPr>
        <w:t>甲、乙双方根据《中华人民共和国政府采购法》、《中华人民共和国民法典》和_______________________项目招标文件的相关规定，双方达成一致签署本合同。</w:t>
      </w:r>
    </w:p>
    <w:p w14:paraId="2EF2C072">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一、货物内容</w:t>
      </w:r>
    </w:p>
    <w:p w14:paraId="32FF597F">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1. 货物名称：</w:t>
      </w:r>
    </w:p>
    <w:p w14:paraId="660E4894">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2. 型号规格：</w:t>
      </w:r>
    </w:p>
    <w:p w14:paraId="5CA0B72D">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3. 技术参数：</w:t>
      </w:r>
    </w:p>
    <w:p w14:paraId="06B365B4">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4. 数量（单位）：</w:t>
      </w:r>
    </w:p>
    <w:p w14:paraId="415367A0">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二、合同金额</w:t>
      </w:r>
    </w:p>
    <w:p w14:paraId="5BB21855">
      <w:pPr>
        <w:pStyle w:val="35"/>
        <w:keepNext w:val="0"/>
        <w:keepLines w:val="0"/>
        <w:pageBreakBefore w:val="0"/>
        <w:widowControl w:val="0"/>
        <w:kinsoku/>
        <w:wordWrap/>
        <w:overflowPunct/>
        <w:topLinePunct w:val="0"/>
        <w:autoSpaceDE/>
        <w:autoSpaceDN/>
        <w:bidi w:val="0"/>
        <w:snapToGrid w:val="0"/>
        <w:spacing w:before="0" w:beforeAutospacing="0" w:after="0" w:afterAutospacing="0" w:line="360" w:lineRule="auto"/>
        <w:jc w:val="both"/>
        <w:textAlignment w:val="auto"/>
        <w:rPr>
          <w:color w:val="auto"/>
          <w:highlight w:val="none"/>
          <w:lang w:bidi="ar"/>
        </w:rPr>
      </w:pPr>
      <w:r>
        <w:rPr>
          <w:rFonts w:hint="eastAsia"/>
          <w:color w:val="auto"/>
          <w:highlight w:val="none"/>
          <w:lang w:val="en-US" w:eastAsia="zh-CN" w:bidi="ar"/>
        </w:rPr>
        <w:t>1、</w:t>
      </w:r>
      <w:r>
        <w:rPr>
          <w:color w:val="auto"/>
          <w:highlight w:val="none"/>
          <w:lang w:bidi="ar"/>
        </w:rPr>
        <w:t>本合同金额为（大写）：_____________________________元（</w:t>
      </w:r>
      <w:r>
        <w:rPr>
          <w:rFonts w:hint="eastAsia"/>
          <w:color w:val="auto"/>
          <w:highlight w:val="none"/>
          <w:lang w:bidi="ar"/>
        </w:rPr>
        <w:t>¥</w:t>
      </w:r>
      <w:r>
        <w:rPr>
          <w:color w:val="auto"/>
          <w:highlight w:val="none"/>
          <w:lang w:bidi="ar"/>
        </w:rPr>
        <w:t>_____元）人民币（含税价</w:t>
      </w:r>
      <w:r>
        <w:rPr>
          <w:rFonts w:hint="eastAsia"/>
          <w:color w:val="auto"/>
          <w:highlight w:val="none"/>
          <w:lang w:eastAsia="zh-CN" w:bidi="ar"/>
        </w:rPr>
        <w:t>，税率为13%</w:t>
      </w:r>
      <w:r>
        <w:rPr>
          <w:color w:val="auto"/>
          <w:highlight w:val="none"/>
          <w:lang w:bidi="ar"/>
        </w:rPr>
        <w:t>）。</w:t>
      </w:r>
    </w:p>
    <w:p w14:paraId="314BD719">
      <w:pPr>
        <w:pStyle w:val="2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rPr>
        <w:t>乙方投标承诺货物的全费用综合单价一次性包死（若因国家增值税税率政策，含税价款按本合同第十一条调整），数量按实计量。该</w:t>
      </w:r>
      <w:r>
        <w:rPr>
          <w:rFonts w:hint="eastAsia" w:hAnsi="宋体"/>
          <w:color w:val="auto"/>
          <w:highlight w:val="none"/>
          <w:lang w:val="en-US" w:eastAsia="zh-CN"/>
        </w:rPr>
        <w:t>费用</w:t>
      </w:r>
      <w:r>
        <w:rPr>
          <w:rFonts w:hint="eastAsia" w:hAnsi="宋体"/>
          <w:color w:val="auto"/>
          <w:highlight w:val="none"/>
        </w:rPr>
        <w:t>已包含本项目加工、安装、运输、连接配件、施工设备、劳务、管理、材料、安装、仓储、售后服务、保险、利润、税金、规费、技术措施费、安全措施费、风险费等所有工作的一切费用。该单价中已综合考虑了在合同有效期内的材料设备、机械、人工等所有市场价格波动的风险，在合同有效期内不做任何调整。</w:t>
      </w:r>
    </w:p>
    <w:p w14:paraId="47DF557F">
      <w:pPr>
        <w:pStyle w:val="2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hAnsi="宋体"/>
          <w:color w:val="auto"/>
          <w:highlight w:val="none"/>
        </w:rPr>
      </w:pPr>
      <w:r>
        <w:rPr>
          <w:rFonts w:hint="eastAsia" w:hAnsi="宋体"/>
          <w:color w:val="auto"/>
          <w:highlight w:val="none"/>
          <w:lang w:val="en-US" w:eastAsia="zh-CN"/>
        </w:rPr>
        <w:t>3、</w:t>
      </w:r>
      <w:r>
        <w:rPr>
          <w:rFonts w:hint="eastAsia" w:hAnsi="宋体"/>
          <w:color w:val="auto"/>
          <w:highlight w:val="none"/>
        </w:rPr>
        <w:t>甲方有权增加或减少采购的货物数量，乙方应无条件按投标承诺综合单价供货，不得拒绝。</w:t>
      </w:r>
    </w:p>
    <w:p w14:paraId="36050FBC">
      <w:pPr>
        <w:pStyle w:val="2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Ansi="宋体"/>
          <w:color w:val="auto"/>
          <w:highlight w:val="none"/>
        </w:rPr>
      </w:pPr>
      <w:r>
        <w:rPr>
          <w:rFonts w:hint="eastAsia" w:hAnsi="宋体"/>
          <w:color w:val="auto"/>
          <w:highlight w:val="none"/>
          <w:lang w:val="en-US" w:eastAsia="zh-CN"/>
        </w:rPr>
        <w:t>4、</w:t>
      </w:r>
      <w:r>
        <w:rPr>
          <w:rFonts w:hint="eastAsia" w:hAnsi="宋体"/>
          <w:color w:val="auto"/>
          <w:highlight w:val="none"/>
        </w:rPr>
        <w:t>为保证货物正常运行，所需的所有辅助材料，投标人在报价时综合考虑，结算时不予调整。</w:t>
      </w:r>
    </w:p>
    <w:p w14:paraId="5892324B">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三、技术资料</w:t>
      </w:r>
    </w:p>
    <w:p w14:paraId="0694B29B">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10" w:hanging="410" w:hangingChars="171"/>
        <w:jc w:val="both"/>
        <w:textAlignment w:val="auto"/>
        <w:rPr>
          <w:color w:val="auto"/>
          <w:highlight w:val="none"/>
        </w:rPr>
      </w:pPr>
      <w:r>
        <w:rPr>
          <w:color w:val="auto"/>
          <w:highlight w:val="none"/>
          <w:lang w:bidi="ar"/>
        </w:rPr>
        <w:t>1.乙方应按招标文件规定的时间向甲方提供使用货物的有关技术资料。</w:t>
      </w:r>
    </w:p>
    <w:p w14:paraId="43080260">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2.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14:paraId="125D6EED">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12" w:hanging="412" w:hangingChars="171"/>
        <w:jc w:val="both"/>
        <w:textAlignment w:val="auto"/>
        <w:rPr>
          <w:b/>
          <w:color w:val="auto"/>
          <w:highlight w:val="none"/>
        </w:rPr>
      </w:pPr>
      <w:r>
        <w:rPr>
          <w:b/>
          <w:color w:val="auto"/>
          <w:highlight w:val="none"/>
          <w:lang w:bidi="ar"/>
        </w:rPr>
        <w:t>四、知识产权</w:t>
      </w:r>
    </w:p>
    <w:p w14:paraId="45F405C7">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Cs/>
          <w:color w:val="auto"/>
          <w:highlight w:val="none"/>
        </w:rPr>
      </w:pPr>
      <w:r>
        <w:rPr>
          <w:color w:val="auto"/>
          <w:highlight w:val="none"/>
          <w:lang w:bidi="ar"/>
        </w:rPr>
        <w:t>乙方应保证所提供的货物或其任何一部分均不会侵犯任何第三方的知识产权</w:t>
      </w:r>
      <w:r>
        <w:rPr>
          <w:bCs/>
          <w:color w:val="auto"/>
          <w:highlight w:val="none"/>
          <w:lang w:bidi="ar"/>
        </w:rPr>
        <w:t>。</w:t>
      </w:r>
    </w:p>
    <w:p w14:paraId="005F3FAB">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u w:val="single"/>
        </w:rPr>
      </w:pPr>
      <w:r>
        <w:rPr>
          <w:b/>
          <w:color w:val="auto"/>
          <w:highlight w:val="none"/>
          <w:lang w:bidi="ar"/>
        </w:rPr>
        <w:t>五、产权担保</w:t>
      </w:r>
    </w:p>
    <w:p w14:paraId="4C84B0B6">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08" w:hanging="408" w:hangingChars="170"/>
        <w:jc w:val="both"/>
        <w:textAlignment w:val="auto"/>
        <w:rPr>
          <w:color w:val="auto"/>
          <w:highlight w:val="none"/>
          <w:u w:val="single"/>
        </w:rPr>
      </w:pPr>
      <w:r>
        <w:rPr>
          <w:color w:val="auto"/>
          <w:highlight w:val="none"/>
          <w:lang w:bidi="ar"/>
        </w:rPr>
        <w:t>乙方保证所交付的货物的所有权完全属于乙方且无任何抵押、查封等产权瑕疵。</w:t>
      </w:r>
    </w:p>
    <w:p w14:paraId="79B9B449">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10" w:hanging="410" w:hangingChars="170"/>
        <w:jc w:val="both"/>
        <w:textAlignment w:val="auto"/>
        <w:rPr>
          <w:b/>
          <w:color w:val="auto"/>
          <w:highlight w:val="none"/>
        </w:rPr>
      </w:pPr>
      <w:r>
        <w:rPr>
          <w:b/>
          <w:color w:val="auto"/>
          <w:highlight w:val="none"/>
          <w:lang w:bidi="ar"/>
        </w:rPr>
        <w:t>六、履约保证金</w:t>
      </w:r>
    </w:p>
    <w:p w14:paraId="22333E2B">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rFonts w:cs="宋体"/>
          <w:color w:val="auto"/>
          <w:highlight w:val="none"/>
        </w:rPr>
        <w:t>乙方按合同总金额的</w:t>
      </w:r>
      <w:r>
        <w:rPr>
          <w:rFonts w:cs="宋体"/>
          <w:color w:val="auto"/>
          <w:highlight w:val="none"/>
          <w:u w:val="single"/>
        </w:rPr>
        <w:t>2</w:t>
      </w:r>
      <w:r>
        <w:rPr>
          <w:rFonts w:cs="宋体"/>
          <w:color w:val="auto"/>
          <w:highlight w:val="none"/>
        </w:rPr>
        <w:t>%</w:t>
      </w:r>
      <w:r>
        <w:rPr>
          <w:rFonts w:cs="宋体"/>
          <w:highlight w:val="none"/>
          <w:shd w:val="clear" w:color="auto" w:fill="auto"/>
        </w:rPr>
        <w:t>（</w:t>
      </w:r>
      <w:r>
        <w:rPr>
          <w:rFonts w:eastAsia="黑体"/>
          <w:b/>
          <w:highlight w:val="none"/>
          <w:shd w:val="clear" w:color="auto" w:fill="auto"/>
        </w:rPr>
        <w:t>采用</w:t>
      </w:r>
      <w:r>
        <w:rPr>
          <w:rFonts w:hint="eastAsia" w:eastAsia="黑体"/>
          <w:b/>
          <w:highlight w:val="none"/>
          <w:shd w:val="clear" w:color="auto" w:fill="auto"/>
          <w:lang w:val="en-US" w:eastAsia="zh-CN"/>
        </w:rPr>
        <w:t>工程保函或转账</w:t>
      </w:r>
      <w:r>
        <w:rPr>
          <w:rFonts w:cs="宋体"/>
          <w:highlight w:val="none"/>
          <w:shd w:val="clear" w:color="auto" w:fill="auto"/>
        </w:rPr>
        <w:t>）</w:t>
      </w:r>
      <w:r>
        <w:rPr>
          <w:rFonts w:cs="宋体"/>
          <w:color w:val="auto"/>
          <w:highlight w:val="none"/>
        </w:rPr>
        <w:t>提交给甲方，合同履行完毕并验收合格后5日内无息退还。</w:t>
      </w:r>
    </w:p>
    <w:p w14:paraId="016EEA7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lang w:bidi="ar"/>
        </w:rPr>
        <w:t>七、转包或分包</w:t>
      </w:r>
    </w:p>
    <w:p w14:paraId="3F9838A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bidi="ar"/>
        </w:rPr>
        <w:t>1.本合同范围的货物，应由乙方直接供应，不得转让他人供应；</w:t>
      </w:r>
    </w:p>
    <w:p w14:paraId="67BE1A4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bidi="ar"/>
        </w:rPr>
        <w:t>2.除非得到甲方的书面同意，乙方不得将本合同范围的货物全部或部分分包给他人供应；</w:t>
      </w:r>
    </w:p>
    <w:p w14:paraId="20D8A5D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bidi="ar"/>
        </w:rPr>
        <w:t>3.如有转让和未经甲方同意的分包行为，甲方有权解除合同，履约保证金不予退回并追究乙方的违约责任。</w:t>
      </w:r>
    </w:p>
    <w:p w14:paraId="49529483">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b/>
          <w:color w:val="auto"/>
          <w:highlight w:val="none"/>
          <w:lang w:bidi="ar"/>
        </w:rPr>
        <w:t>八、保修期和质保金</w:t>
      </w:r>
    </w:p>
    <w:p w14:paraId="78A87915">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10" w:hanging="410" w:hangingChars="171"/>
        <w:jc w:val="both"/>
        <w:textAlignment w:val="auto"/>
        <w:rPr>
          <w:color w:val="auto"/>
          <w:highlight w:val="none"/>
        </w:rPr>
      </w:pPr>
      <w:r>
        <w:rPr>
          <w:color w:val="auto"/>
          <w:highlight w:val="none"/>
          <w:lang w:bidi="ar"/>
        </w:rPr>
        <w:t>1.保修期</w:t>
      </w:r>
      <w:r>
        <w:rPr>
          <w:color w:val="auto"/>
          <w:highlight w:val="none"/>
          <w:u w:val="single"/>
          <w:lang w:bidi="ar"/>
        </w:rPr>
        <w:t xml:space="preserve">    </w:t>
      </w:r>
      <w:r>
        <w:rPr>
          <w:color w:val="auto"/>
          <w:highlight w:val="none"/>
          <w:lang w:bidi="ar"/>
        </w:rPr>
        <w:t>年。（自交货验收合格之日起计）</w:t>
      </w:r>
    </w:p>
    <w:p w14:paraId="698704BA">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九、交货期、交货方式及交货地点</w:t>
      </w:r>
    </w:p>
    <w:p w14:paraId="1CA3A037">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Cs/>
          <w:color w:val="auto"/>
          <w:highlight w:val="none"/>
        </w:rPr>
      </w:pPr>
      <w:r>
        <w:rPr>
          <w:bCs/>
          <w:color w:val="auto"/>
          <w:highlight w:val="none"/>
          <w:lang w:bidi="ar"/>
        </w:rPr>
        <w:t>1. 交货期：</w:t>
      </w:r>
    </w:p>
    <w:p w14:paraId="7FC016D3">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rFonts w:hint="eastAsia" w:eastAsia="宋体"/>
          <w:bCs/>
          <w:color w:val="auto"/>
          <w:highlight w:val="none"/>
          <w:lang w:eastAsia="zh-CN"/>
        </w:rPr>
      </w:pPr>
      <w:r>
        <w:rPr>
          <w:bCs/>
          <w:color w:val="auto"/>
          <w:highlight w:val="none"/>
          <w:lang w:bidi="ar"/>
        </w:rPr>
        <w:t>2. 交货方式：</w:t>
      </w:r>
      <w:r>
        <w:rPr>
          <w:rFonts w:hint="eastAsia"/>
          <w:bCs/>
          <w:color w:val="auto"/>
          <w:highlight w:val="none"/>
          <w:lang w:eastAsia="zh-CN" w:bidi="ar"/>
        </w:rPr>
        <w:t>现场交货</w:t>
      </w:r>
    </w:p>
    <w:p w14:paraId="3114F2DF">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Cs/>
          <w:color w:val="auto"/>
          <w:highlight w:val="none"/>
          <w:lang w:bidi="ar"/>
        </w:rPr>
        <w:t>3. 交货地点：甲方指定地点</w:t>
      </w:r>
    </w:p>
    <w:p w14:paraId="35D80392">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lang w:bidi="ar"/>
        </w:rPr>
      </w:pPr>
      <w:r>
        <w:rPr>
          <w:b/>
          <w:color w:val="auto"/>
          <w:highlight w:val="none"/>
          <w:lang w:bidi="ar"/>
        </w:rPr>
        <w:t>十、货款支付</w:t>
      </w:r>
    </w:p>
    <w:p w14:paraId="2B34E9F7">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480" w:firstLineChars="200"/>
        <w:jc w:val="both"/>
        <w:textAlignment w:val="auto"/>
        <w:rPr>
          <w:rFonts w:hint="eastAsia" w:hAnsi="Courier New"/>
          <w:b w:val="0"/>
          <w:bCs/>
          <w:color w:val="auto"/>
          <w:highlight w:val="none"/>
          <w:lang w:bidi="ar"/>
        </w:rPr>
      </w:pPr>
      <w:r>
        <w:rPr>
          <w:rFonts w:hint="eastAsia" w:hAnsi="Courier New"/>
          <w:b w:val="0"/>
          <w:bCs/>
          <w:color w:val="auto"/>
          <w:highlight w:val="none"/>
          <w:lang w:bidi="ar"/>
        </w:rPr>
        <w:t>合同签订后，货到安装验收合格后支付至实际结算价的</w:t>
      </w:r>
      <w:r>
        <w:rPr>
          <w:rFonts w:hint="eastAsia" w:hAnsi="Courier New"/>
          <w:b w:val="0"/>
          <w:bCs/>
          <w:color w:val="auto"/>
          <w:highlight w:val="none"/>
          <w:lang w:val="en-US" w:eastAsia="zh-CN" w:bidi="ar"/>
        </w:rPr>
        <w:t>98.5</w:t>
      </w:r>
      <w:r>
        <w:rPr>
          <w:rFonts w:hint="eastAsia" w:hAnsi="Courier New"/>
          <w:b w:val="0"/>
          <w:bCs/>
          <w:color w:val="auto"/>
          <w:highlight w:val="none"/>
          <w:lang w:bidi="ar"/>
        </w:rPr>
        <w:t>%，剩余</w:t>
      </w:r>
      <w:r>
        <w:rPr>
          <w:rFonts w:hint="eastAsia" w:hAnsi="Courier New"/>
          <w:b w:val="0"/>
          <w:bCs/>
          <w:color w:val="auto"/>
          <w:highlight w:val="none"/>
          <w:lang w:val="en-US" w:eastAsia="zh-CN" w:bidi="ar"/>
        </w:rPr>
        <w:t>1.5</w:t>
      </w:r>
      <w:r>
        <w:rPr>
          <w:rFonts w:hint="eastAsia" w:hAnsi="Courier New"/>
          <w:b w:val="0"/>
          <w:bCs/>
          <w:color w:val="auto"/>
          <w:highlight w:val="none"/>
          <w:lang w:bidi="ar"/>
        </w:rPr>
        <w:t>%作为质量保修金，质量保修金待质保期满后15个工作日内结清（无息）。</w:t>
      </w:r>
    </w:p>
    <w:p w14:paraId="31763D05">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rFonts w:hAnsi="Courier New"/>
          <w:b/>
          <w:color w:val="auto"/>
          <w:highlight w:val="none"/>
          <w:lang w:bidi="ar"/>
        </w:rPr>
        <w:t>十一、税费</w:t>
      </w:r>
    </w:p>
    <w:p w14:paraId="579BFDD3">
      <w:pPr>
        <w:keepNext w:val="0"/>
        <w:keepLines w:val="0"/>
        <w:pageBreakBefore w:val="0"/>
        <w:widowControl w:val="0"/>
        <w:kinsoku/>
        <w:wordWrap/>
        <w:overflowPunct/>
        <w:topLinePunct w:val="0"/>
        <w:autoSpaceDE/>
        <w:autoSpaceDN/>
        <w:bidi w:val="0"/>
        <w:spacing w:line="360" w:lineRule="auto"/>
        <w:textAlignment w:val="auto"/>
        <w:rPr>
          <w:rFonts w:hint="eastAsia" w:cs="宋体"/>
          <w:color w:val="auto"/>
          <w:sz w:val="24"/>
          <w:highlight w:val="none"/>
          <w:lang w:bidi="ar"/>
        </w:rPr>
      </w:pPr>
      <w:r>
        <w:rPr>
          <w:rFonts w:hint="eastAsia" w:ascii="宋体" w:hAnsi="宋体" w:eastAsia="宋体" w:cs="Times New Roman"/>
          <w:color w:val="auto"/>
          <w:kern w:val="0"/>
          <w:sz w:val="24"/>
          <w:szCs w:val="24"/>
          <w:highlight w:val="none"/>
          <w:lang w:val="en-US" w:eastAsia="zh-CN" w:bidi="ar"/>
        </w:rPr>
        <w:t>1.</w:t>
      </w:r>
      <w:r>
        <w:rPr>
          <w:rFonts w:hint="eastAsia" w:cs="宋体"/>
          <w:color w:val="auto"/>
          <w:sz w:val="24"/>
          <w:highlight w:val="none"/>
          <w:lang w:bidi="ar"/>
        </w:rPr>
        <w:t>本合同执行中相关的一切税费均由乙方负担。</w:t>
      </w:r>
    </w:p>
    <w:p w14:paraId="46AF4297">
      <w:pPr>
        <w:keepNext w:val="0"/>
        <w:keepLines w:val="0"/>
        <w:pageBreakBefore w:val="0"/>
        <w:widowControl w:val="0"/>
        <w:kinsoku/>
        <w:wordWrap/>
        <w:overflowPunct/>
        <w:topLinePunct w:val="0"/>
        <w:autoSpaceDE/>
        <w:autoSpaceDN/>
        <w:bidi w:val="0"/>
        <w:spacing w:line="360" w:lineRule="auto"/>
        <w:textAlignment w:val="auto"/>
        <w:rPr>
          <w:color w:val="auto"/>
          <w:sz w:val="24"/>
          <w:highlight w:val="none"/>
        </w:rPr>
      </w:pPr>
      <w:r>
        <w:rPr>
          <w:rFonts w:hint="eastAsia" w:ascii="宋体" w:hAnsi="宋体" w:eastAsia="宋体" w:cs="Times New Roman"/>
          <w:color w:val="auto"/>
          <w:kern w:val="0"/>
          <w:sz w:val="24"/>
          <w:szCs w:val="24"/>
          <w:highlight w:val="none"/>
          <w:lang w:val="en-US" w:eastAsia="zh-CN" w:bidi="ar"/>
        </w:rPr>
        <w:t>2.</w:t>
      </w:r>
      <w:r>
        <w:rPr>
          <w:rFonts w:hint="eastAsia" w:cs="宋体"/>
          <w:color w:val="auto"/>
          <w:sz w:val="24"/>
          <w:highlight w:val="none"/>
          <w:lang w:bidi="ar"/>
        </w:rPr>
        <w:t>乙方向甲方提供合规的增值税专用发票，增值税专用发票的税率为13%。如未能按要求提供增值税专用发票的，应向甲方赔偿由此造成的进项税额不能抵扣的损失，损失金额以正常提供增值税专用发票的进项税额为准。</w:t>
      </w:r>
    </w:p>
    <w:p w14:paraId="2C4F8D6E">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12" w:hanging="412" w:hangingChars="171"/>
        <w:jc w:val="both"/>
        <w:textAlignment w:val="auto"/>
        <w:rPr>
          <w:color w:val="auto"/>
          <w:highlight w:val="none"/>
        </w:rPr>
      </w:pPr>
      <w:r>
        <w:rPr>
          <w:b/>
          <w:color w:val="auto"/>
          <w:highlight w:val="none"/>
          <w:lang w:bidi="ar"/>
        </w:rPr>
        <w:t>十二、质量保证及售后服务</w:t>
      </w:r>
    </w:p>
    <w:p w14:paraId="1A6A058B">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1. 乙方应按招标文件规定的货物性能、技术要求、质量标准向甲方提供未经使用的全新产品。</w:t>
      </w:r>
    </w:p>
    <w:p w14:paraId="213C3CB5">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2.乙方提供的货物在保修期内因货物本身的质量问题发生故障，乙方应负责免费更换。</w:t>
      </w:r>
    </w:p>
    <w:p w14:paraId="147A2477">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80" w:hanging="480" w:hangingChars="200"/>
        <w:jc w:val="both"/>
        <w:textAlignment w:val="auto"/>
        <w:rPr>
          <w:color w:val="auto"/>
          <w:highlight w:val="none"/>
        </w:rPr>
      </w:pPr>
      <w:r>
        <w:rPr>
          <w:color w:val="auto"/>
          <w:highlight w:val="none"/>
          <w:lang w:bidi="ar"/>
        </w:rPr>
        <w:t>对达不到技术要求者，甲方有权按以下办法处理：</w:t>
      </w:r>
    </w:p>
    <w:p w14:paraId="07E1B7B1">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420"/>
        <w:jc w:val="both"/>
        <w:textAlignment w:val="auto"/>
        <w:rPr>
          <w:color w:val="auto"/>
          <w:highlight w:val="none"/>
        </w:rPr>
      </w:pPr>
      <w:r>
        <w:rPr>
          <w:color w:val="auto"/>
          <w:highlight w:val="none"/>
          <w:lang w:bidi="ar"/>
        </w:rPr>
        <w:t>⑴更换：由乙方承担所发生的全部费用。</w:t>
      </w:r>
    </w:p>
    <w:p w14:paraId="32A68A9A">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420"/>
        <w:jc w:val="both"/>
        <w:textAlignment w:val="auto"/>
        <w:rPr>
          <w:color w:val="auto"/>
          <w:highlight w:val="none"/>
        </w:rPr>
      </w:pPr>
      <w:r>
        <w:rPr>
          <w:color w:val="auto"/>
          <w:highlight w:val="none"/>
          <w:lang w:bidi="ar"/>
        </w:rPr>
        <w:t>⑵贬值处理：由甲乙双方合议定价。</w:t>
      </w:r>
    </w:p>
    <w:p w14:paraId="33F0BBAF">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560" w:leftChars="200"/>
        <w:jc w:val="both"/>
        <w:textAlignment w:val="auto"/>
        <w:rPr>
          <w:color w:val="auto"/>
          <w:highlight w:val="none"/>
        </w:rPr>
      </w:pPr>
      <w:r>
        <w:rPr>
          <w:color w:val="auto"/>
          <w:highlight w:val="none"/>
          <w:lang w:bidi="ar"/>
        </w:rPr>
        <w:t>⑶退货处理：乙方应退还甲方支付的合同款，同时应承担该货物的直接费用（运输、保险、检验、货款利息及银行手续费等）。</w:t>
      </w:r>
    </w:p>
    <w:p w14:paraId="2D534D0E">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Cs/>
          <w:color w:val="auto"/>
          <w:highlight w:val="none"/>
        </w:rPr>
      </w:pPr>
      <w:r>
        <w:rPr>
          <w:bCs/>
          <w:color w:val="auto"/>
          <w:highlight w:val="none"/>
          <w:lang w:bidi="ar"/>
        </w:rPr>
        <w:t>3.如在使用过程中发生质量问题，乙方在接到甲方通知后在</w:t>
      </w:r>
      <w:r>
        <w:rPr>
          <w:bCs/>
          <w:color w:val="auto"/>
          <w:highlight w:val="none"/>
          <w:u w:val="single"/>
          <w:lang w:bidi="ar"/>
        </w:rPr>
        <w:t xml:space="preserve">   </w:t>
      </w:r>
      <w:r>
        <w:rPr>
          <w:bCs/>
          <w:color w:val="auto"/>
          <w:highlight w:val="none"/>
          <w:lang w:bidi="ar"/>
        </w:rPr>
        <w:t>小时内到达甲方现场。</w:t>
      </w:r>
    </w:p>
    <w:p w14:paraId="76F61DF6">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Cs/>
          <w:color w:val="auto"/>
          <w:highlight w:val="none"/>
        </w:rPr>
      </w:pPr>
      <w:r>
        <w:rPr>
          <w:bCs/>
          <w:color w:val="auto"/>
          <w:highlight w:val="none"/>
          <w:lang w:bidi="ar"/>
        </w:rPr>
        <w:t>4.在保修期内，乙方应对货物出现的质量及安全问题负责处理解决并承担一切费用。</w:t>
      </w:r>
    </w:p>
    <w:p w14:paraId="33050A43">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Cs/>
          <w:color w:val="auto"/>
          <w:highlight w:val="none"/>
        </w:rPr>
      </w:pPr>
      <w:r>
        <w:rPr>
          <w:bCs/>
          <w:color w:val="auto"/>
          <w:highlight w:val="none"/>
          <w:lang w:bidi="ar"/>
        </w:rPr>
        <w:t>5.上述的货物免费保修期为</w:t>
      </w:r>
      <w:r>
        <w:rPr>
          <w:bCs/>
          <w:color w:val="auto"/>
          <w:highlight w:val="none"/>
          <w:u w:val="single"/>
          <w:lang w:bidi="ar"/>
        </w:rPr>
        <w:t xml:space="preserve">   </w:t>
      </w:r>
      <w:r>
        <w:rPr>
          <w:bCs/>
          <w:color w:val="auto"/>
          <w:highlight w:val="none"/>
          <w:lang w:bidi="ar"/>
        </w:rPr>
        <w:t>年，超过保修期的机器</w:t>
      </w:r>
      <w:r>
        <w:rPr>
          <w:rFonts w:hint="eastAsia"/>
          <w:bCs/>
          <w:color w:val="auto"/>
          <w:highlight w:val="none"/>
          <w:lang w:eastAsia="zh-CN" w:bidi="ar"/>
        </w:rPr>
        <w:t>货物</w:t>
      </w:r>
      <w:r>
        <w:rPr>
          <w:bCs/>
          <w:color w:val="auto"/>
          <w:highlight w:val="none"/>
          <w:lang w:bidi="ar"/>
        </w:rPr>
        <w:t>，终生维修，维修时只收部件成本费。</w:t>
      </w:r>
    </w:p>
    <w:p w14:paraId="1E3A2470">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十三、调试和验收</w:t>
      </w:r>
    </w:p>
    <w:p w14:paraId="2E3AC050">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textAlignment w:val="auto"/>
        <w:rPr>
          <w:color w:val="auto"/>
          <w:highlight w:val="none"/>
          <w:lang w:bidi="ar"/>
        </w:rPr>
      </w:pPr>
      <w:r>
        <w:rPr>
          <w:rFonts w:hint="eastAsia"/>
          <w:color w:val="auto"/>
          <w:highlight w:val="none"/>
          <w:lang w:val="en-US" w:eastAsia="zh-CN" w:bidi="ar"/>
        </w:rPr>
        <w:t>1.</w:t>
      </w:r>
      <w:r>
        <w:rPr>
          <w:rFonts w:hint="eastAsia"/>
          <w:color w:val="auto"/>
          <w:highlight w:val="none"/>
          <w:lang w:bidi="ar"/>
        </w:rPr>
        <w:t>乙方供货前，需根据投标承诺及招标文件技术要求提供货物供甲方选样校对，甲方选样校对完成后，乙方可正常供货；若乙方未按投标承诺及招标文件技术要求提供货物的，须无条件进行更换。</w:t>
      </w:r>
    </w:p>
    <w:p w14:paraId="413F95AB">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textAlignment w:val="auto"/>
        <w:rPr>
          <w:color w:val="auto"/>
          <w:highlight w:val="none"/>
        </w:rPr>
      </w:pPr>
      <w:r>
        <w:rPr>
          <w:rFonts w:hint="eastAsia"/>
          <w:color w:val="auto"/>
          <w:highlight w:val="none"/>
          <w:lang w:val="en-US" w:eastAsia="zh-CN" w:bidi="ar"/>
        </w:rPr>
        <w:t>2</w:t>
      </w:r>
      <w:r>
        <w:rPr>
          <w:color w:val="auto"/>
          <w:highlight w:val="none"/>
          <w:lang w:bidi="ar"/>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6B47FE93">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rFonts w:hint="eastAsia"/>
          <w:color w:val="auto"/>
          <w:highlight w:val="none"/>
          <w:lang w:val="en-US" w:eastAsia="zh-CN" w:bidi="ar"/>
        </w:rPr>
        <w:t>3</w:t>
      </w:r>
      <w:r>
        <w:rPr>
          <w:color w:val="auto"/>
          <w:highlight w:val="none"/>
          <w:lang w:bidi="ar"/>
        </w:rPr>
        <w:t>.乙方交货前应对产品作出全面检查和对验收文件进行整理，并列出清单，作为甲方收货验收和使用的技术条件依据，检验的结果应随货物交甲方。</w:t>
      </w:r>
    </w:p>
    <w:p w14:paraId="05E3090E">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rFonts w:hint="eastAsia"/>
          <w:color w:val="auto"/>
          <w:highlight w:val="none"/>
          <w:lang w:val="en-US" w:eastAsia="zh-CN" w:bidi="ar"/>
        </w:rPr>
        <w:t>4</w:t>
      </w:r>
      <w:r>
        <w:rPr>
          <w:color w:val="auto"/>
          <w:highlight w:val="none"/>
          <w:lang w:bidi="ar"/>
        </w:rPr>
        <w:t>.甲方对乙方提供的货物在使用前进行调试时，乙方需负责安装并培训甲方的使用操作人员，并协助甲方一起调试，直到符合技术要求，甲方才做最终验收。</w:t>
      </w:r>
    </w:p>
    <w:p w14:paraId="6F153193">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rFonts w:hint="eastAsia"/>
          <w:color w:val="auto"/>
          <w:highlight w:val="none"/>
          <w:lang w:val="en-US" w:eastAsia="zh-CN" w:bidi="ar"/>
        </w:rPr>
        <w:t>5</w:t>
      </w:r>
      <w:r>
        <w:rPr>
          <w:color w:val="auto"/>
          <w:highlight w:val="none"/>
          <w:lang w:bidi="ar"/>
        </w:rPr>
        <w:t>.对技术复杂的货物，甲方应请国家认可的专业检测机构参与初步验收及最终验收，并由其出具质量检测报告。</w:t>
      </w:r>
    </w:p>
    <w:p w14:paraId="30F851C9">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lang w:bidi="ar"/>
        </w:rPr>
      </w:pPr>
      <w:r>
        <w:rPr>
          <w:rFonts w:hint="eastAsia"/>
          <w:color w:val="auto"/>
          <w:highlight w:val="none"/>
          <w:lang w:val="en-US" w:eastAsia="zh-CN" w:bidi="ar"/>
        </w:rPr>
        <w:t>6</w:t>
      </w:r>
      <w:r>
        <w:rPr>
          <w:color w:val="auto"/>
          <w:highlight w:val="none"/>
          <w:lang w:bidi="ar"/>
        </w:rPr>
        <w:t>.验收时乙方必须在现场，验收完毕后作出验收结果报告；验收费用由乙方负责。</w:t>
      </w:r>
    </w:p>
    <w:p w14:paraId="4C05170D">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rFonts w:hint="default" w:eastAsia="宋体"/>
          <w:color w:val="auto"/>
          <w:highlight w:val="none"/>
          <w:lang w:val="en-US" w:eastAsia="zh-CN" w:bidi="ar"/>
        </w:rPr>
      </w:pPr>
      <w:r>
        <w:rPr>
          <w:rFonts w:hint="eastAsia"/>
          <w:color w:val="auto"/>
          <w:highlight w:val="none"/>
          <w:lang w:val="en-US" w:eastAsia="zh-CN" w:bidi="ar"/>
        </w:rPr>
        <w:t>7.验收时，乙方需提供厂家供货来源凭证以便甲方验收。</w:t>
      </w:r>
    </w:p>
    <w:p w14:paraId="2862C7DF">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十四、货物包装、发运及运输</w:t>
      </w:r>
    </w:p>
    <w:p w14:paraId="6B782E56">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1.乙方应在货物发运前对其进行满足运输距离、防潮、防震、防锈和防破损装卸等要求包装，以保证货物安全运达甲方指定地点。</w:t>
      </w:r>
    </w:p>
    <w:p w14:paraId="1189E78E">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80" w:hanging="480" w:hangingChars="200"/>
        <w:jc w:val="both"/>
        <w:textAlignment w:val="auto"/>
        <w:rPr>
          <w:color w:val="auto"/>
          <w:highlight w:val="none"/>
        </w:rPr>
      </w:pPr>
      <w:r>
        <w:rPr>
          <w:color w:val="auto"/>
          <w:highlight w:val="none"/>
          <w:lang w:bidi="ar"/>
        </w:rPr>
        <w:t>2.使用说明书、质量检验证明书、随配附件和工具以及清单一并附于货物内。</w:t>
      </w:r>
    </w:p>
    <w:p w14:paraId="3BC8E6D6">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3.乙方在货物发运手续办理完毕后</w:t>
      </w:r>
      <w:r>
        <w:rPr>
          <w:color w:val="auto"/>
          <w:highlight w:val="none"/>
          <w:u w:val="single"/>
          <w:lang w:bidi="ar"/>
        </w:rPr>
        <w:t xml:space="preserve"> 24 </w:t>
      </w:r>
      <w:r>
        <w:rPr>
          <w:color w:val="auto"/>
          <w:highlight w:val="none"/>
          <w:lang w:bidi="ar"/>
        </w:rPr>
        <w:t>小时内或货到甲方</w:t>
      </w:r>
      <w:r>
        <w:rPr>
          <w:color w:val="auto"/>
          <w:highlight w:val="none"/>
          <w:u w:val="single"/>
          <w:lang w:bidi="ar"/>
        </w:rPr>
        <w:t xml:space="preserve"> 48 </w:t>
      </w:r>
      <w:r>
        <w:rPr>
          <w:color w:val="auto"/>
          <w:highlight w:val="none"/>
          <w:lang w:bidi="ar"/>
        </w:rPr>
        <w:t>小时前通知甲方，以准备接货。</w:t>
      </w:r>
    </w:p>
    <w:p w14:paraId="6AE8530D">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80" w:hanging="480" w:hangingChars="200"/>
        <w:jc w:val="both"/>
        <w:textAlignment w:val="auto"/>
        <w:rPr>
          <w:color w:val="auto"/>
          <w:highlight w:val="none"/>
        </w:rPr>
      </w:pPr>
      <w:r>
        <w:rPr>
          <w:color w:val="auto"/>
          <w:highlight w:val="none"/>
          <w:lang w:bidi="ar"/>
        </w:rPr>
        <w:t>4.货物在交付甲方前发生的风险均由乙方负责。</w:t>
      </w:r>
    </w:p>
    <w:p w14:paraId="34D703D2">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lang w:bidi="ar"/>
        </w:rPr>
      </w:pPr>
      <w:r>
        <w:rPr>
          <w:color w:val="auto"/>
          <w:highlight w:val="none"/>
          <w:lang w:bidi="ar"/>
        </w:rPr>
        <w:t>5.货物在规定的交付期限内由乙方送达甲方指定的地点视为交付，乙方同时需通知甲方货物已送达。</w:t>
      </w:r>
    </w:p>
    <w:p w14:paraId="1C8AC76D">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rFonts w:hint="default"/>
          <w:b/>
          <w:color w:val="auto"/>
          <w:highlight w:val="none"/>
          <w:lang w:val="zh-CN" w:bidi="ar"/>
        </w:rPr>
      </w:pPr>
      <w:r>
        <w:rPr>
          <w:b/>
          <w:color w:val="auto"/>
          <w:highlight w:val="none"/>
          <w:lang w:val="zh-CN" w:bidi="ar"/>
        </w:rPr>
        <w:t>十五、</w:t>
      </w:r>
      <w:r>
        <w:rPr>
          <w:b/>
          <w:color w:val="auto"/>
          <w:highlight w:val="none"/>
          <w:lang w:bidi="ar"/>
        </w:rPr>
        <w:t>安全文明施工</w:t>
      </w:r>
    </w:p>
    <w:p w14:paraId="203861B1">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10" w:hanging="410" w:hangingChars="171"/>
        <w:jc w:val="both"/>
        <w:textAlignment w:val="auto"/>
        <w:rPr>
          <w:color w:val="auto"/>
          <w:highlight w:val="none"/>
          <w:lang w:bidi="ar"/>
        </w:rPr>
      </w:pPr>
      <w:r>
        <w:rPr>
          <w:color w:val="auto"/>
          <w:highlight w:val="none"/>
          <w:lang w:bidi="ar"/>
        </w:rPr>
        <w:t>1、乙方应遵守安全生产有关管理规定，严格按照安全生产标准组织施工，并接受有关部门的监督检查，采取必要的安全措施，消除事故隐患。由于乙方安全防护措施不力造成事故的责任和由此产生的费用由乙方承担；</w:t>
      </w:r>
    </w:p>
    <w:p w14:paraId="65A3D35B">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10" w:hanging="410" w:hangingChars="171"/>
        <w:jc w:val="both"/>
        <w:textAlignment w:val="auto"/>
        <w:rPr>
          <w:color w:val="auto"/>
          <w:highlight w:val="none"/>
          <w:lang w:bidi="ar"/>
        </w:rPr>
      </w:pPr>
      <w:r>
        <w:rPr>
          <w:color w:val="auto"/>
          <w:highlight w:val="none"/>
          <w:lang w:bidi="ar"/>
        </w:rPr>
        <w:t>2、乙方必须加强施工区域范围内的安全管理工作，禁止本项目</w:t>
      </w:r>
      <w:r>
        <w:rPr>
          <w:rFonts w:hint="eastAsia"/>
          <w:color w:val="auto"/>
          <w:highlight w:val="none"/>
          <w:lang w:eastAsia="zh-CN" w:bidi="ar"/>
        </w:rPr>
        <w:t>货物</w:t>
      </w:r>
      <w:r>
        <w:rPr>
          <w:color w:val="auto"/>
          <w:highlight w:val="none"/>
          <w:lang w:bidi="ar"/>
        </w:rPr>
        <w:t>安装以外的闲杂人员进入，若发生安全事故责任</w:t>
      </w:r>
      <w:r>
        <w:rPr>
          <w:rFonts w:hint="eastAsia"/>
          <w:color w:val="auto"/>
          <w:highlight w:val="none"/>
          <w:lang w:eastAsia="zh-CN" w:bidi="ar"/>
        </w:rPr>
        <w:t>，</w:t>
      </w:r>
      <w:r>
        <w:rPr>
          <w:color w:val="auto"/>
          <w:highlight w:val="none"/>
          <w:lang w:bidi="ar"/>
        </w:rPr>
        <w:t>由此产生的费用由乙方承担；</w:t>
      </w:r>
    </w:p>
    <w:p w14:paraId="3CD6909A">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10" w:hanging="410" w:hangingChars="171"/>
        <w:jc w:val="both"/>
        <w:textAlignment w:val="auto"/>
        <w:rPr>
          <w:rFonts w:hint="eastAsia" w:eastAsia="宋体"/>
          <w:color w:val="auto"/>
          <w:highlight w:val="none"/>
          <w:lang w:val="en-US" w:eastAsia="zh-CN" w:bidi="ar"/>
        </w:rPr>
      </w:pPr>
      <w:r>
        <w:rPr>
          <w:rFonts w:hint="eastAsia"/>
          <w:color w:val="auto"/>
          <w:highlight w:val="none"/>
          <w:lang w:val="en-US" w:eastAsia="zh-CN" w:bidi="ar"/>
        </w:rPr>
        <w:t>3、乙方负责组织施工现场安全、成品保护等可能发生的其他费用由乙方承担。乙方应在移交前负责完成工作范围内的卫生清理、保洁工作，费用由乙方负责。</w:t>
      </w:r>
    </w:p>
    <w:p w14:paraId="125273D8">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十六、违约责任</w:t>
      </w:r>
    </w:p>
    <w:p w14:paraId="180E7E23">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10" w:hanging="410" w:hangingChars="171"/>
        <w:jc w:val="both"/>
        <w:textAlignment w:val="auto"/>
        <w:rPr>
          <w:color w:val="auto"/>
          <w:highlight w:val="none"/>
          <w:lang w:bidi="ar"/>
        </w:rPr>
      </w:pPr>
      <w:r>
        <w:rPr>
          <w:color w:val="auto"/>
          <w:highlight w:val="none"/>
          <w:lang w:bidi="ar"/>
        </w:rPr>
        <w:t>1.甲方无正当理由拒收货物的，甲方向乙方偿付拒收货款总值的百分之五违约金。</w:t>
      </w:r>
    </w:p>
    <w:p w14:paraId="3C19CA71">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10" w:hanging="410" w:hangingChars="171"/>
        <w:jc w:val="both"/>
        <w:textAlignment w:val="auto"/>
        <w:rPr>
          <w:color w:val="auto"/>
          <w:highlight w:val="none"/>
          <w:lang w:bidi="ar"/>
        </w:rPr>
      </w:pPr>
      <w:r>
        <w:rPr>
          <w:color w:val="auto"/>
          <w:highlight w:val="none"/>
          <w:lang w:bidi="ar"/>
        </w:rPr>
        <w:t>2.甲方无故逾期验收和办理货款支付手续的,甲方应按逾期付款总额每日万分之五向乙</w:t>
      </w:r>
    </w:p>
    <w:p w14:paraId="1C7C7730">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10" w:hanging="410" w:hangingChars="171"/>
        <w:jc w:val="both"/>
        <w:textAlignment w:val="auto"/>
        <w:rPr>
          <w:color w:val="auto"/>
          <w:highlight w:val="none"/>
          <w:lang w:bidi="ar"/>
        </w:rPr>
      </w:pPr>
      <w:r>
        <w:rPr>
          <w:color w:val="auto"/>
          <w:highlight w:val="none"/>
          <w:lang w:bidi="ar"/>
        </w:rPr>
        <w:t>方支付违约金。</w:t>
      </w:r>
    </w:p>
    <w:p w14:paraId="2E257CCD">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lang w:bidi="ar"/>
        </w:rPr>
      </w:pPr>
      <w:r>
        <w:rPr>
          <w:color w:val="auto"/>
          <w:highlight w:val="none"/>
          <w:lang w:bidi="ar"/>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履约保证金不予退回。 </w:t>
      </w:r>
    </w:p>
    <w:p w14:paraId="167180E7">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lang w:bidi="ar"/>
        </w:rPr>
      </w:pPr>
      <w:r>
        <w:rPr>
          <w:color w:val="auto"/>
          <w:highlight w:val="none"/>
          <w:lang w:bidi="ar"/>
        </w:rPr>
        <w:t>4.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由此造成的损失有乙方承担。</w:t>
      </w:r>
    </w:p>
    <w:p w14:paraId="36B42283">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十七、不可抗力事件处理</w:t>
      </w:r>
    </w:p>
    <w:p w14:paraId="4A3FCE35">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lang w:bidi="ar"/>
        </w:rPr>
      </w:pPr>
      <w:r>
        <w:rPr>
          <w:color w:val="auto"/>
          <w:highlight w:val="none"/>
          <w:lang w:bidi="ar"/>
        </w:rPr>
        <w:t>1.在合同有效期内，任何一方因不可抗力事件致使合同目标不能实现的，甲方有权解除合同。</w:t>
      </w:r>
    </w:p>
    <w:p w14:paraId="50BBF30D">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2.不可抗力事件发生后，应立即通知对方，并寄送有关权威机构出具的证明。</w:t>
      </w:r>
    </w:p>
    <w:p w14:paraId="17A4C02D">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十八、诉讼</w:t>
      </w:r>
    </w:p>
    <w:p w14:paraId="77451AF5">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480" w:firstLineChars="200"/>
        <w:jc w:val="both"/>
        <w:textAlignment w:val="auto"/>
        <w:rPr>
          <w:color w:val="auto"/>
          <w:highlight w:val="none"/>
        </w:rPr>
      </w:pPr>
      <w:r>
        <w:rPr>
          <w:color w:val="auto"/>
          <w:highlight w:val="none"/>
          <w:lang w:bidi="ar"/>
        </w:rPr>
        <w:t>双方在执行合同中所发生的一切争议，应通过协商解决。如协商不成，可向甲方所在地人民法院起诉。</w:t>
      </w:r>
    </w:p>
    <w:p w14:paraId="47EE74BC">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十九、合同生效及其它</w:t>
      </w:r>
    </w:p>
    <w:p w14:paraId="3C890879">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240" w:firstLineChars="100"/>
        <w:jc w:val="both"/>
        <w:textAlignment w:val="auto"/>
        <w:rPr>
          <w:color w:val="auto"/>
          <w:highlight w:val="none"/>
        </w:rPr>
      </w:pPr>
      <w:r>
        <w:rPr>
          <w:color w:val="auto"/>
          <w:highlight w:val="none"/>
          <w:lang w:bidi="ar"/>
        </w:rPr>
        <w:t>1.合同经双方法定代表人或授权代表签字并加盖单位公章后生效。</w:t>
      </w:r>
    </w:p>
    <w:p w14:paraId="3325AA01">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78" w:leftChars="85" w:hanging="240" w:hangingChars="100"/>
        <w:jc w:val="both"/>
        <w:textAlignment w:val="auto"/>
        <w:rPr>
          <w:color w:val="auto"/>
          <w:highlight w:val="none"/>
        </w:rPr>
      </w:pPr>
      <w:r>
        <w:rPr>
          <w:color w:val="auto"/>
          <w:highlight w:val="none"/>
          <w:lang w:bidi="ar"/>
        </w:rPr>
        <w:t>2.本合同未尽事宜，遵照《民法典》有关条文执行。</w:t>
      </w:r>
    </w:p>
    <w:p w14:paraId="5303F9F2">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240" w:firstLineChars="100"/>
        <w:jc w:val="both"/>
        <w:textAlignment w:val="auto"/>
        <w:rPr>
          <w:color w:val="auto"/>
          <w:highlight w:val="none"/>
        </w:rPr>
      </w:pPr>
      <w:r>
        <w:rPr>
          <w:color w:val="auto"/>
          <w:highlight w:val="none"/>
          <w:lang w:bidi="ar"/>
        </w:rPr>
        <w:t xml:space="preserve">甲方：                                   乙方： </w:t>
      </w:r>
    </w:p>
    <w:p w14:paraId="32DCC027">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 xml:space="preserve">  地址：                                   地址： </w:t>
      </w:r>
    </w:p>
    <w:p w14:paraId="7ECF9CC0">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 xml:space="preserve">  法定（授权）代表人：                     法定（授权）代表人：</w:t>
      </w:r>
    </w:p>
    <w:p w14:paraId="08719070">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360" w:firstLineChars="150"/>
        <w:jc w:val="both"/>
        <w:textAlignment w:val="auto"/>
        <w:rPr>
          <w:color w:val="auto"/>
          <w:highlight w:val="none"/>
        </w:rPr>
      </w:pPr>
      <w:r>
        <w:rPr>
          <w:color w:val="auto"/>
          <w:highlight w:val="none"/>
          <w:lang w:bidi="ar"/>
        </w:rPr>
        <w:t>签订日期：     年　  月　 日            签订日期：     年　  月　 日</w:t>
      </w:r>
    </w:p>
    <w:p w14:paraId="69993AB0">
      <w:pPr>
        <w:pStyle w:val="21"/>
        <w:snapToGrid w:val="0"/>
        <w:spacing w:before="120" w:after="120"/>
        <w:rPr>
          <w:rFonts w:hint="default" w:hAnsi="宋体"/>
          <w:b w:val="0"/>
          <w:bCs/>
          <w:color w:val="000000" w:themeColor="text1"/>
          <w:highlight w:val="none"/>
          <w14:textFill>
            <w14:solidFill>
              <w14:schemeClr w14:val="tx1"/>
            </w14:solidFill>
          </w14:textFill>
        </w:rPr>
      </w:pPr>
    </w:p>
    <w:p w14:paraId="470469FB">
      <w:pPr>
        <w:adjustRightInd w:val="0"/>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sectPr>
          <w:headerReference r:id="rId6" w:type="default"/>
          <w:footerReference r:id="rId7" w:type="default"/>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04CA94AC">
      <w:pPr>
        <w:autoSpaceDE w:val="0"/>
        <w:autoSpaceDN w:val="0"/>
        <w:spacing w:line="360" w:lineRule="exact"/>
        <w:jc w:val="center"/>
        <w:outlineLvl w:val="0"/>
        <w:rPr>
          <w:rFonts w:hAnsi="宋体"/>
          <w:b/>
          <w:color w:val="000000" w:themeColor="text1"/>
          <w:sz w:val="30"/>
          <w:szCs w:val="30"/>
          <w:highlight w:val="none"/>
          <w14:textFill>
            <w14:solidFill>
              <w14:schemeClr w14:val="tx1"/>
            </w14:solidFill>
          </w14:textFill>
        </w:rPr>
      </w:pPr>
      <w:r>
        <w:rPr>
          <w:rFonts w:hAnsi="宋体"/>
          <w:b/>
          <w:color w:val="000000" w:themeColor="text1"/>
          <w:sz w:val="30"/>
          <w:szCs w:val="30"/>
          <w:highlight w:val="none"/>
          <w14:textFill>
            <w14:solidFill>
              <w14:schemeClr w14:val="tx1"/>
            </w14:solidFill>
          </w14:textFill>
        </w:rPr>
        <w:t>第六章　投标文件格式</w:t>
      </w:r>
    </w:p>
    <w:p w14:paraId="261CE9DA">
      <w:pPr>
        <w:spacing w:line="500" w:lineRule="exact"/>
        <w:jc w:val="left"/>
        <w:outlineLvl w:val="0"/>
        <w:rPr>
          <w:rFonts w:ascii="宋体" w:hAnsi="宋体"/>
          <w:color w:val="000000" w:themeColor="text1"/>
          <w:sz w:val="24"/>
          <w:highlight w:val="none"/>
          <w14:textFill>
            <w14:solidFill>
              <w14:schemeClr w14:val="tx1"/>
            </w14:solidFill>
          </w14:textFill>
        </w:rPr>
      </w:pPr>
    </w:p>
    <w:p w14:paraId="7FF2F510">
      <w:pPr>
        <w:spacing w:line="500" w:lineRule="exact"/>
        <w:jc w:val="left"/>
        <w:outlineLvl w:val="0"/>
        <w:rPr>
          <w:rFonts w:ascii="宋体" w:hAnsi="宋体"/>
          <w:color w:val="000000" w:themeColor="text1"/>
          <w:sz w:val="24"/>
          <w:highlight w:val="none"/>
          <w14:textFill>
            <w14:solidFill>
              <w14:schemeClr w14:val="tx1"/>
            </w14:solidFill>
          </w14:textFill>
        </w:rPr>
      </w:pPr>
    </w:p>
    <w:p w14:paraId="54304086">
      <w:pPr>
        <w:spacing w:line="500" w:lineRule="exact"/>
        <w:jc w:val="left"/>
        <w:outlineLvl w:val="0"/>
        <w:rPr>
          <w:rFonts w:ascii="宋体" w:hAnsi="宋体"/>
          <w:color w:val="000000" w:themeColor="text1"/>
          <w:sz w:val="24"/>
          <w:highlight w:val="none"/>
          <w14:textFill>
            <w14:solidFill>
              <w14:schemeClr w14:val="tx1"/>
            </w14:solidFill>
          </w14:textFill>
        </w:rPr>
      </w:pPr>
    </w:p>
    <w:p w14:paraId="7D6D59FF">
      <w:pPr>
        <w:spacing w:line="500" w:lineRule="exact"/>
        <w:jc w:val="left"/>
        <w:outlineLvl w:val="0"/>
        <w:rPr>
          <w:rFonts w:ascii="宋体" w:hAnsi="宋体"/>
          <w:color w:val="000000" w:themeColor="text1"/>
          <w:sz w:val="24"/>
          <w:highlight w:val="none"/>
          <w14:textFill>
            <w14:solidFill>
              <w14:schemeClr w14:val="tx1"/>
            </w14:solidFill>
          </w14:textFill>
        </w:rPr>
      </w:pPr>
    </w:p>
    <w:p w14:paraId="48CB39B3">
      <w:pPr>
        <w:spacing w:line="500" w:lineRule="exact"/>
        <w:jc w:val="left"/>
        <w:outlineLvl w:val="0"/>
        <w:rPr>
          <w:rFonts w:ascii="宋体" w:hAnsi="宋体"/>
          <w:color w:val="000000" w:themeColor="text1"/>
          <w:sz w:val="24"/>
          <w:highlight w:val="none"/>
          <w14:textFill>
            <w14:solidFill>
              <w14:schemeClr w14:val="tx1"/>
            </w14:solidFill>
          </w14:textFill>
        </w:rPr>
      </w:pPr>
    </w:p>
    <w:p w14:paraId="255EA342">
      <w:pPr>
        <w:spacing w:line="500" w:lineRule="exact"/>
        <w:jc w:val="left"/>
        <w:outlineLvl w:val="0"/>
        <w:rPr>
          <w:rFonts w:ascii="宋体" w:hAnsi="宋体"/>
          <w:color w:val="000000" w:themeColor="text1"/>
          <w:sz w:val="24"/>
          <w:highlight w:val="none"/>
          <w14:textFill>
            <w14:solidFill>
              <w14:schemeClr w14:val="tx1"/>
            </w14:solidFill>
          </w14:textFill>
        </w:rPr>
      </w:pPr>
    </w:p>
    <w:p w14:paraId="23A94C0D">
      <w:pPr>
        <w:spacing w:line="500" w:lineRule="exact"/>
        <w:jc w:val="left"/>
        <w:outlineLvl w:val="0"/>
        <w:rPr>
          <w:rFonts w:ascii="宋体" w:hAnsi="宋体"/>
          <w:color w:val="000000" w:themeColor="text1"/>
          <w:sz w:val="24"/>
          <w:highlight w:val="none"/>
          <w14:textFill>
            <w14:solidFill>
              <w14:schemeClr w14:val="tx1"/>
            </w14:solidFill>
          </w14:textFill>
        </w:rPr>
      </w:pPr>
    </w:p>
    <w:p w14:paraId="6D11E023">
      <w:pPr>
        <w:spacing w:line="500" w:lineRule="exact"/>
        <w:jc w:val="left"/>
        <w:outlineLvl w:val="0"/>
        <w:rPr>
          <w:rFonts w:ascii="宋体" w:hAnsi="宋体"/>
          <w:color w:val="000000" w:themeColor="text1"/>
          <w:sz w:val="24"/>
          <w:highlight w:val="none"/>
          <w14:textFill>
            <w14:solidFill>
              <w14:schemeClr w14:val="tx1"/>
            </w14:solidFill>
          </w14:textFill>
        </w:rPr>
      </w:pPr>
    </w:p>
    <w:p w14:paraId="19B5132E">
      <w:pPr>
        <w:spacing w:line="500" w:lineRule="exact"/>
        <w:jc w:val="left"/>
        <w:outlineLvl w:val="0"/>
        <w:rPr>
          <w:rFonts w:ascii="宋体" w:hAnsi="宋体"/>
          <w:color w:val="000000" w:themeColor="text1"/>
          <w:sz w:val="24"/>
          <w:highlight w:val="none"/>
          <w14:textFill>
            <w14:solidFill>
              <w14:schemeClr w14:val="tx1"/>
            </w14:solidFill>
          </w14:textFill>
        </w:rPr>
      </w:pPr>
    </w:p>
    <w:p w14:paraId="53862D57">
      <w:pPr>
        <w:spacing w:line="500" w:lineRule="exact"/>
        <w:jc w:val="left"/>
        <w:outlineLvl w:val="0"/>
        <w:rPr>
          <w:rFonts w:ascii="宋体" w:hAnsi="宋体"/>
          <w:color w:val="000000" w:themeColor="text1"/>
          <w:sz w:val="24"/>
          <w:highlight w:val="none"/>
          <w14:textFill>
            <w14:solidFill>
              <w14:schemeClr w14:val="tx1"/>
            </w14:solidFill>
          </w14:textFill>
        </w:rPr>
      </w:pPr>
    </w:p>
    <w:p w14:paraId="605EA41D">
      <w:pPr>
        <w:spacing w:line="500" w:lineRule="exact"/>
        <w:jc w:val="left"/>
        <w:outlineLvl w:val="0"/>
        <w:rPr>
          <w:rFonts w:ascii="宋体" w:hAnsi="宋体"/>
          <w:color w:val="000000" w:themeColor="text1"/>
          <w:sz w:val="24"/>
          <w:highlight w:val="none"/>
          <w14:textFill>
            <w14:solidFill>
              <w14:schemeClr w14:val="tx1"/>
            </w14:solidFill>
          </w14:textFill>
        </w:rPr>
      </w:pPr>
    </w:p>
    <w:p w14:paraId="08D93114">
      <w:pPr>
        <w:spacing w:line="500" w:lineRule="exact"/>
        <w:jc w:val="left"/>
        <w:outlineLvl w:val="0"/>
        <w:rPr>
          <w:rFonts w:ascii="宋体" w:hAnsi="宋体"/>
          <w:color w:val="000000" w:themeColor="text1"/>
          <w:sz w:val="24"/>
          <w:highlight w:val="none"/>
          <w14:textFill>
            <w14:solidFill>
              <w14:schemeClr w14:val="tx1"/>
            </w14:solidFill>
          </w14:textFill>
        </w:rPr>
      </w:pPr>
    </w:p>
    <w:p w14:paraId="5DEC7052">
      <w:pPr>
        <w:spacing w:line="500" w:lineRule="exact"/>
        <w:jc w:val="left"/>
        <w:outlineLvl w:val="0"/>
        <w:rPr>
          <w:rFonts w:ascii="宋体" w:hAnsi="宋体"/>
          <w:color w:val="000000" w:themeColor="text1"/>
          <w:sz w:val="24"/>
          <w:highlight w:val="none"/>
          <w14:textFill>
            <w14:solidFill>
              <w14:schemeClr w14:val="tx1"/>
            </w14:solidFill>
          </w14:textFill>
        </w:rPr>
      </w:pPr>
    </w:p>
    <w:p w14:paraId="746C4893">
      <w:pPr>
        <w:spacing w:line="500" w:lineRule="exact"/>
        <w:jc w:val="left"/>
        <w:outlineLvl w:val="0"/>
        <w:rPr>
          <w:rFonts w:ascii="宋体" w:hAnsi="宋体"/>
          <w:color w:val="000000" w:themeColor="text1"/>
          <w:sz w:val="24"/>
          <w:highlight w:val="none"/>
          <w14:textFill>
            <w14:solidFill>
              <w14:schemeClr w14:val="tx1"/>
            </w14:solidFill>
          </w14:textFill>
        </w:rPr>
      </w:pPr>
    </w:p>
    <w:p w14:paraId="27FD7D6C">
      <w:pPr>
        <w:spacing w:line="500" w:lineRule="exact"/>
        <w:jc w:val="left"/>
        <w:outlineLvl w:val="0"/>
        <w:rPr>
          <w:rFonts w:ascii="宋体" w:hAnsi="宋体"/>
          <w:color w:val="000000" w:themeColor="text1"/>
          <w:sz w:val="24"/>
          <w:highlight w:val="none"/>
          <w14:textFill>
            <w14:solidFill>
              <w14:schemeClr w14:val="tx1"/>
            </w14:solidFill>
          </w14:textFill>
        </w:rPr>
      </w:pPr>
    </w:p>
    <w:p w14:paraId="70643998">
      <w:pPr>
        <w:spacing w:line="500" w:lineRule="exact"/>
        <w:jc w:val="left"/>
        <w:outlineLvl w:val="0"/>
        <w:rPr>
          <w:rFonts w:ascii="宋体" w:hAnsi="宋体"/>
          <w:color w:val="000000" w:themeColor="text1"/>
          <w:sz w:val="24"/>
          <w:highlight w:val="none"/>
          <w14:textFill>
            <w14:solidFill>
              <w14:schemeClr w14:val="tx1"/>
            </w14:solidFill>
          </w14:textFill>
        </w:rPr>
      </w:pPr>
    </w:p>
    <w:p w14:paraId="2DD28F9B">
      <w:pPr>
        <w:spacing w:line="500" w:lineRule="exact"/>
        <w:jc w:val="left"/>
        <w:outlineLvl w:val="0"/>
        <w:rPr>
          <w:rFonts w:ascii="宋体" w:hAnsi="宋体"/>
          <w:color w:val="000000" w:themeColor="text1"/>
          <w:sz w:val="24"/>
          <w:highlight w:val="none"/>
          <w14:textFill>
            <w14:solidFill>
              <w14:schemeClr w14:val="tx1"/>
            </w14:solidFill>
          </w14:textFill>
        </w:rPr>
      </w:pPr>
    </w:p>
    <w:p w14:paraId="323D0299">
      <w:pPr>
        <w:spacing w:line="500" w:lineRule="exact"/>
        <w:jc w:val="left"/>
        <w:outlineLvl w:val="0"/>
        <w:rPr>
          <w:rFonts w:ascii="宋体" w:hAnsi="宋体"/>
          <w:color w:val="000000" w:themeColor="text1"/>
          <w:sz w:val="24"/>
          <w:highlight w:val="none"/>
          <w14:textFill>
            <w14:solidFill>
              <w14:schemeClr w14:val="tx1"/>
            </w14:solidFill>
          </w14:textFill>
        </w:rPr>
      </w:pPr>
    </w:p>
    <w:p w14:paraId="043EDFB1">
      <w:pPr>
        <w:spacing w:line="500" w:lineRule="exact"/>
        <w:jc w:val="left"/>
        <w:outlineLvl w:val="0"/>
        <w:rPr>
          <w:rFonts w:ascii="宋体" w:hAnsi="宋体"/>
          <w:color w:val="000000" w:themeColor="text1"/>
          <w:sz w:val="24"/>
          <w:highlight w:val="none"/>
          <w14:textFill>
            <w14:solidFill>
              <w14:schemeClr w14:val="tx1"/>
            </w14:solidFill>
          </w14:textFill>
        </w:rPr>
      </w:pPr>
    </w:p>
    <w:p w14:paraId="1E22316D">
      <w:pPr>
        <w:spacing w:line="500" w:lineRule="exact"/>
        <w:jc w:val="left"/>
        <w:outlineLvl w:val="0"/>
        <w:rPr>
          <w:rFonts w:ascii="宋体" w:hAnsi="宋体"/>
          <w:color w:val="000000" w:themeColor="text1"/>
          <w:sz w:val="24"/>
          <w:highlight w:val="none"/>
          <w14:textFill>
            <w14:solidFill>
              <w14:schemeClr w14:val="tx1"/>
            </w14:solidFill>
          </w14:textFill>
        </w:rPr>
      </w:pPr>
    </w:p>
    <w:p w14:paraId="08F6BAA4">
      <w:pPr>
        <w:spacing w:line="500" w:lineRule="exact"/>
        <w:jc w:val="left"/>
        <w:outlineLvl w:val="0"/>
        <w:rPr>
          <w:rFonts w:ascii="宋体" w:hAnsi="宋体"/>
          <w:color w:val="000000" w:themeColor="text1"/>
          <w:sz w:val="24"/>
          <w:highlight w:val="none"/>
          <w14:textFill>
            <w14:solidFill>
              <w14:schemeClr w14:val="tx1"/>
            </w14:solidFill>
          </w14:textFill>
        </w:rPr>
      </w:pPr>
    </w:p>
    <w:p w14:paraId="6CB5F54C">
      <w:pPr>
        <w:spacing w:line="500" w:lineRule="exact"/>
        <w:jc w:val="left"/>
        <w:outlineLvl w:val="0"/>
        <w:rPr>
          <w:rFonts w:ascii="宋体" w:hAnsi="宋体"/>
          <w:color w:val="000000" w:themeColor="text1"/>
          <w:sz w:val="24"/>
          <w:highlight w:val="none"/>
          <w14:textFill>
            <w14:solidFill>
              <w14:schemeClr w14:val="tx1"/>
            </w14:solidFill>
          </w14:textFill>
        </w:rPr>
      </w:pPr>
    </w:p>
    <w:p w14:paraId="4ED85F17">
      <w:pPr>
        <w:spacing w:line="500" w:lineRule="exact"/>
        <w:jc w:val="left"/>
        <w:outlineLvl w:val="0"/>
        <w:rPr>
          <w:rFonts w:ascii="宋体" w:hAnsi="宋体"/>
          <w:color w:val="000000" w:themeColor="text1"/>
          <w:sz w:val="24"/>
          <w:highlight w:val="none"/>
          <w14:textFill>
            <w14:solidFill>
              <w14:schemeClr w14:val="tx1"/>
            </w14:solidFill>
          </w14:textFill>
        </w:rPr>
      </w:pPr>
    </w:p>
    <w:p w14:paraId="57559709">
      <w:pPr>
        <w:spacing w:line="500" w:lineRule="exact"/>
        <w:jc w:val="left"/>
        <w:outlineLvl w:val="0"/>
        <w:rPr>
          <w:rFonts w:ascii="宋体" w:hAnsi="宋体"/>
          <w:color w:val="000000" w:themeColor="text1"/>
          <w:sz w:val="24"/>
          <w:highlight w:val="none"/>
          <w14:textFill>
            <w14:solidFill>
              <w14:schemeClr w14:val="tx1"/>
            </w14:solidFill>
          </w14:textFill>
        </w:rPr>
      </w:pPr>
    </w:p>
    <w:p w14:paraId="50068441">
      <w:pPr>
        <w:spacing w:line="500" w:lineRule="exact"/>
        <w:jc w:val="left"/>
        <w:outlineLvl w:val="0"/>
        <w:rPr>
          <w:rFonts w:ascii="宋体" w:hAnsi="宋体"/>
          <w:color w:val="000000" w:themeColor="text1"/>
          <w:sz w:val="24"/>
          <w:highlight w:val="none"/>
          <w14:textFill>
            <w14:solidFill>
              <w14:schemeClr w14:val="tx1"/>
            </w14:solidFill>
          </w14:textFill>
        </w:rPr>
      </w:pPr>
    </w:p>
    <w:p w14:paraId="7AD1C4F8">
      <w:pPr>
        <w:spacing w:line="500" w:lineRule="exact"/>
        <w:jc w:val="left"/>
        <w:outlineLvl w:val="0"/>
        <w:rPr>
          <w:rFonts w:ascii="宋体" w:hAnsi="宋体"/>
          <w:color w:val="000000" w:themeColor="text1"/>
          <w:sz w:val="24"/>
          <w:highlight w:val="none"/>
          <w14:textFill>
            <w14:solidFill>
              <w14:schemeClr w14:val="tx1"/>
            </w14:solidFill>
          </w14:textFill>
        </w:rPr>
      </w:pPr>
    </w:p>
    <w:p w14:paraId="06E9A7EF">
      <w:pPr>
        <w:spacing w:line="500" w:lineRule="exact"/>
        <w:jc w:val="left"/>
        <w:outlineLvl w:val="0"/>
        <w:rPr>
          <w:rFonts w:ascii="宋体" w:hAnsi="宋体"/>
          <w:color w:val="000000" w:themeColor="text1"/>
          <w:sz w:val="24"/>
          <w:highlight w:val="none"/>
          <w14:textFill>
            <w14:solidFill>
              <w14:schemeClr w14:val="tx1"/>
            </w14:solidFill>
          </w14:textFill>
        </w:rPr>
      </w:pPr>
    </w:p>
    <w:p w14:paraId="584FDB2E">
      <w:pPr>
        <w:spacing w:line="5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附件1：</w:t>
      </w:r>
    </w:p>
    <w:p w14:paraId="0D3F7E3A">
      <w:pPr>
        <w:spacing w:line="500" w:lineRule="exact"/>
        <w:jc w:val="center"/>
        <w:outlineLvl w:val="1"/>
        <w:rPr>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法定代表人授权书</w:t>
      </w:r>
    </w:p>
    <w:p w14:paraId="605B40CF">
      <w:pPr>
        <w:spacing w:line="360" w:lineRule="auto"/>
        <w:rPr>
          <w:color w:val="000000" w:themeColor="text1"/>
          <w:sz w:val="24"/>
          <w:highlight w:val="none"/>
          <w14:textFill>
            <w14:solidFill>
              <w14:schemeClr w14:val="tx1"/>
            </w14:solidFill>
          </w14:textFill>
        </w:rPr>
      </w:pPr>
    </w:p>
    <w:p w14:paraId="55F9AD92">
      <w:pPr>
        <w:pStyle w:val="14"/>
        <w:rPr>
          <w:color w:val="000000" w:themeColor="text1"/>
          <w:highlight w:val="none"/>
          <w14:textFill>
            <w14:solidFill>
              <w14:schemeClr w14:val="tx1"/>
            </w14:solidFill>
          </w14:textFill>
        </w:rPr>
      </w:pPr>
    </w:p>
    <w:p w14:paraId="528C8BCB">
      <w:pPr>
        <w:spacing w:line="360" w:lineRule="auto"/>
        <w:rPr>
          <w:rFonts w:asci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台州循环经济发展有限公司  </w:t>
      </w:r>
      <w:r>
        <w:rPr>
          <w:rFonts w:hint="eastAsia" w:ascii="宋体"/>
          <w:color w:val="000000" w:themeColor="text1"/>
          <w:sz w:val="24"/>
          <w:highlight w:val="none"/>
          <w14:textFill>
            <w14:solidFill>
              <w14:schemeClr w14:val="tx1"/>
            </w14:solidFill>
          </w14:textFill>
        </w:rPr>
        <w:t>：（采购单位）</w:t>
      </w:r>
    </w:p>
    <w:p w14:paraId="6A3CBAC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本人</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（姓名）</w:t>
      </w:r>
      <w:r>
        <w:rPr>
          <w:rFonts w:hint="eastAsia"/>
          <w:color w:val="000000" w:themeColor="text1"/>
          <w:sz w:val="24"/>
          <w:highlight w:val="none"/>
          <w14:textFill>
            <w14:solidFill>
              <w14:schemeClr w14:val="tx1"/>
            </w14:solidFill>
          </w14:textFill>
        </w:rPr>
        <w:t>系</w:t>
      </w:r>
      <w:r>
        <w:rPr>
          <w:color w:val="000000" w:themeColor="text1"/>
          <w:sz w:val="24"/>
          <w:highlight w:val="non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（投标人全称）法定代表人，现授权委托</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投标人代表名称）为全权代表，参加贵处组织的</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 xml:space="preserve"> 工业服务中心二期（开元曼居—台州湾新区店）酒店电器采购</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项目投标活动，并代表我公司全权办理针对上述项目的</w:t>
      </w:r>
      <w:r>
        <w:rPr>
          <w:rFonts w:hint="eastAsia" w:ascii="宋体"/>
          <w:b/>
          <w:color w:val="000000" w:themeColor="text1"/>
          <w:sz w:val="24"/>
          <w:highlight w:val="none"/>
          <w14:textFill>
            <w14:solidFill>
              <w14:schemeClr w14:val="tx1"/>
            </w14:solidFill>
          </w14:textFill>
        </w:rPr>
        <w:t>投标全程各事项、投标文件签署、合同签订及项目实施</w:t>
      </w:r>
      <w:r>
        <w:rPr>
          <w:rFonts w:hint="eastAsia" w:ascii="宋体"/>
          <w:color w:val="000000" w:themeColor="text1"/>
          <w:sz w:val="24"/>
          <w:highlight w:val="none"/>
          <w14:textFill>
            <w14:solidFill>
              <w14:schemeClr w14:val="tx1"/>
            </w14:solidFill>
          </w14:textFill>
        </w:rPr>
        <w:t>等涉及的一切事宜，我公司</w:t>
      </w:r>
      <w:r>
        <w:rPr>
          <w:rFonts w:hint="eastAsia" w:ascii="宋体" w:hAnsi="宋体"/>
          <w:color w:val="000000" w:themeColor="text1"/>
          <w:sz w:val="24"/>
          <w:highlight w:val="none"/>
          <w14:textFill>
            <w14:solidFill>
              <w14:schemeClr w14:val="tx1"/>
            </w14:solidFill>
          </w14:textFill>
        </w:rPr>
        <w:t>对被授权人的签名等行为均予以</w:t>
      </w:r>
      <w:r>
        <w:rPr>
          <w:rFonts w:ascii="宋体" w:hAnsi="宋体"/>
          <w:color w:val="000000" w:themeColor="text1"/>
          <w:sz w:val="24"/>
          <w:highlight w:val="none"/>
          <w14:textFill>
            <w14:solidFill>
              <w14:schemeClr w14:val="tx1"/>
            </w14:solidFill>
          </w14:textFill>
        </w:rPr>
        <w:t>承</w:t>
      </w:r>
      <w:r>
        <w:rPr>
          <w:rFonts w:hint="eastAsia" w:ascii="宋体" w:hAnsi="宋体"/>
          <w:color w:val="000000" w:themeColor="text1"/>
          <w:sz w:val="24"/>
          <w:highlight w:val="none"/>
          <w14:textFill>
            <w14:solidFill>
              <w14:schemeClr w14:val="tx1"/>
            </w14:solidFill>
          </w14:textFill>
        </w:rPr>
        <w:t>认，由此所产生的一切法律后果和法律责任，均由</w:t>
      </w:r>
      <w:r>
        <w:rPr>
          <w:rFonts w:hint="eastAsia" w:ascii="宋体"/>
          <w:color w:val="000000" w:themeColor="text1"/>
          <w:sz w:val="24"/>
          <w:highlight w:val="none"/>
          <w14:textFill>
            <w14:solidFill>
              <w14:schemeClr w14:val="tx1"/>
            </w14:solidFill>
          </w14:textFill>
        </w:rPr>
        <w:t>我公司</w:t>
      </w:r>
      <w:r>
        <w:rPr>
          <w:rFonts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同时宣布承诺如下：</w:t>
      </w:r>
    </w:p>
    <w:p w14:paraId="649961C9">
      <w:pPr>
        <w:numPr>
          <w:ilvl w:val="0"/>
          <w:numId w:val="4"/>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我公司已详细阅读全部招标文件（含补充修改文件），并理解其实质性内容，同意承担招标文件规定的全部义务和相关责任。</w:t>
      </w:r>
    </w:p>
    <w:p w14:paraId="7E73F2D6">
      <w:pPr>
        <w:numPr>
          <w:ilvl w:val="0"/>
          <w:numId w:val="4"/>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我公司同意提供采购人可能要求的与其投标有关的一切数据或资料。</w:t>
      </w:r>
    </w:p>
    <w:p w14:paraId="6CF9FF95">
      <w:pPr>
        <w:numPr>
          <w:ilvl w:val="0"/>
          <w:numId w:val="4"/>
        </w:numPr>
        <w:spacing w:line="360" w:lineRule="auto"/>
        <w:ind w:left="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我公司所提交的一切投标资料均为合法且真实有效。</w:t>
      </w:r>
    </w:p>
    <w:p w14:paraId="04A9F385">
      <w:pPr>
        <w:spacing w:line="360" w:lineRule="auto"/>
        <w:rPr>
          <w:color w:val="000000" w:themeColor="text1"/>
          <w:sz w:val="24"/>
          <w:highlight w:val="none"/>
          <w14:textFill>
            <w14:solidFill>
              <w14:schemeClr w14:val="tx1"/>
            </w14:solidFill>
          </w14:textFill>
        </w:rPr>
      </w:pPr>
    </w:p>
    <w:p w14:paraId="55C82E32">
      <w:pPr>
        <w:pStyle w:val="1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4AE7D09F">
      <w:pPr>
        <w:pStyle w:val="15"/>
        <w:ind w:firstLine="210"/>
        <w:rPr>
          <w:color w:val="000000" w:themeColor="text1"/>
          <w:highlight w:val="none"/>
          <w14:textFill>
            <w14:solidFill>
              <w14:schemeClr w14:val="tx1"/>
            </w14:solidFill>
          </w14:textFill>
        </w:rPr>
      </w:pPr>
    </w:p>
    <w:p w14:paraId="1632C1B6">
      <w:pPr>
        <w:pStyle w:val="15"/>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5AAAA7DA">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6B76A895">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0E480BAA">
      <w:pPr>
        <w:jc w:val="center"/>
        <w:rPr>
          <w:color w:val="000000" w:themeColor="text1"/>
          <w:sz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99EC941">
      <w:pPr>
        <w:spacing w:line="360" w:lineRule="atLeast"/>
        <w:jc w:val="left"/>
        <w:outlineLvl w:val="0"/>
        <w:rPr>
          <w:b/>
          <w:bCs/>
          <w:color w:val="000000" w:themeColor="text1"/>
          <w:sz w:val="24"/>
          <w:highlight w:val="none"/>
          <w14:textFill>
            <w14:solidFill>
              <w14:schemeClr w14:val="tx1"/>
            </w14:solidFill>
          </w14:textFill>
        </w:rPr>
      </w:pPr>
      <w:bookmarkStart w:id="15" w:name="_Toc20791_WPSOffice_Level1"/>
      <w:r>
        <w:rPr>
          <w:rFonts w:hint="eastAsia"/>
          <w:b/>
          <w:bCs/>
          <w:color w:val="000000" w:themeColor="text1"/>
          <w:sz w:val="24"/>
          <w:highlight w:val="none"/>
          <w14:textFill>
            <w14:solidFill>
              <w14:schemeClr w14:val="tx1"/>
            </w14:solidFill>
          </w14:textFill>
        </w:rPr>
        <w:t>附件2：</w:t>
      </w:r>
    </w:p>
    <w:p w14:paraId="4B5D89BB">
      <w:pPr>
        <w:widowControl/>
        <w:spacing w:line="360" w:lineRule="auto"/>
        <w:jc w:val="center"/>
        <w:rPr>
          <w:rFonts w:hint="eastAsia" w:ascii="黑体" w:hAnsi="黑体" w:eastAsia="黑体" w:cs="黑体"/>
          <w:b/>
          <w:bCs/>
          <w:color w:val="auto"/>
          <w:sz w:val="32"/>
          <w:szCs w:val="32"/>
          <w:highlight w:val="none"/>
        </w:rPr>
      </w:pPr>
    </w:p>
    <w:p w14:paraId="3AA2471B">
      <w:pPr>
        <w:widowControl/>
        <w:spacing w:line="360" w:lineRule="auto"/>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法定代表人身份证明</w:t>
      </w:r>
      <w:bookmarkEnd w:id="15"/>
    </w:p>
    <w:p w14:paraId="38A9682A">
      <w:pPr>
        <w:adjustRightInd w:val="0"/>
        <w:snapToGrid w:val="0"/>
        <w:spacing w:before="120" w:beforeLines="50" w:line="360" w:lineRule="auto"/>
        <w:jc w:val="center"/>
        <w:rPr>
          <w:rFonts w:hint="eastAsia"/>
          <w:color w:val="auto"/>
          <w:highlight w:val="none"/>
        </w:rPr>
      </w:pPr>
      <w:bookmarkStart w:id="16" w:name="_Toc31220_WPSOffice_Level1"/>
      <w:r>
        <w:rPr>
          <w:rFonts w:hint="eastAsia"/>
          <w:color w:val="auto"/>
          <w:highlight w:val="none"/>
        </w:rPr>
        <w:t>（参考样张）</w:t>
      </w:r>
      <w:bookmarkEnd w:id="16"/>
    </w:p>
    <w:p w14:paraId="3E520437">
      <w:pPr>
        <w:widowControl/>
        <w:spacing w:line="360" w:lineRule="auto"/>
        <w:jc w:val="center"/>
        <w:rPr>
          <w:rFonts w:hint="eastAsia" w:ascii="方正小标宋简体" w:hAnsi="方正小标宋简体"/>
          <w:color w:val="auto"/>
          <w:sz w:val="44"/>
          <w:szCs w:val="44"/>
          <w:highlight w:val="none"/>
        </w:rPr>
      </w:pPr>
    </w:p>
    <w:p w14:paraId="6BB1EC4C">
      <w:pPr>
        <w:autoSpaceDE w:val="0"/>
        <w:autoSpaceDN w:val="0"/>
        <w:adjustRightInd w:val="0"/>
        <w:snapToGrid w:val="0"/>
        <w:spacing w:line="360" w:lineRule="auto"/>
        <w:ind w:firstLine="560" w:firstLineChars="200"/>
        <w:textAlignment w:val="baseline"/>
        <w:rPr>
          <w:rFonts w:ascii="宋体" w:hAnsi="宋体"/>
          <w:color w:val="auto"/>
          <w:kern w:val="0"/>
          <w:szCs w:val="28"/>
          <w:highlight w:val="none"/>
          <w:u w:val="single"/>
        </w:rPr>
      </w:pPr>
      <w:r>
        <w:rPr>
          <w:rFonts w:hint="eastAsia" w:ascii="宋体" w:hAnsi="宋体"/>
          <w:color w:val="auto"/>
          <w:kern w:val="0"/>
          <w:szCs w:val="28"/>
          <w:highlight w:val="none"/>
        </w:rPr>
        <w:t>投标人名称：</w:t>
      </w:r>
      <w:r>
        <w:rPr>
          <w:rFonts w:hint="eastAsia" w:ascii="宋体" w:hAnsi="宋体"/>
          <w:color w:val="auto"/>
          <w:kern w:val="0"/>
          <w:szCs w:val="28"/>
          <w:highlight w:val="none"/>
          <w:u w:val="single"/>
        </w:rPr>
        <w:t xml:space="preserve">                              </w:t>
      </w:r>
    </w:p>
    <w:p w14:paraId="4DB08DEA">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单位性质：</w:t>
      </w:r>
      <w:r>
        <w:rPr>
          <w:rFonts w:hint="eastAsia" w:ascii="宋体" w:hAnsi="宋体"/>
          <w:color w:val="auto"/>
          <w:kern w:val="0"/>
          <w:szCs w:val="28"/>
          <w:highlight w:val="none"/>
          <w:u w:val="single"/>
        </w:rPr>
        <w:t xml:space="preserve">                                </w:t>
      </w:r>
    </w:p>
    <w:p w14:paraId="7CA98E9D">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地址：</w:t>
      </w:r>
      <w:r>
        <w:rPr>
          <w:rFonts w:hint="eastAsia" w:ascii="宋体" w:hAnsi="宋体"/>
          <w:color w:val="auto"/>
          <w:kern w:val="0"/>
          <w:szCs w:val="28"/>
          <w:highlight w:val="none"/>
          <w:u w:val="single"/>
        </w:rPr>
        <w:t xml:space="preserve">                                  </w:t>
      </w:r>
    </w:p>
    <w:p w14:paraId="19F0462D">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成立时间：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月</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日</w:t>
      </w:r>
    </w:p>
    <w:p w14:paraId="71A42D2B">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经营期限：</w:t>
      </w:r>
      <w:r>
        <w:rPr>
          <w:rFonts w:hint="eastAsia" w:ascii="宋体" w:hAnsi="宋体"/>
          <w:color w:val="auto"/>
          <w:kern w:val="0"/>
          <w:szCs w:val="28"/>
          <w:highlight w:val="none"/>
          <w:u w:val="single"/>
        </w:rPr>
        <w:t xml:space="preserve">                                </w:t>
      </w:r>
    </w:p>
    <w:p w14:paraId="0F8F732E">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姓名：</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性别：</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年龄：</w:t>
      </w:r>
      <w:r>
        <w:rPr>
          <w:rFonts w:hint="eastAsia" w:ascii="宋体" w:hAnsi="宋体"/>
          <w:color w:val="auto"/>
          <w:kern w:val="0"/>
          <w:szCs w:val="28"/>
          <w:highlight w:val="none"/>
          <w:u w:val="single"/>
        </w:rPr>
        <w:t xml:space="preserve">       </w:t>
      </w:r>
    </w:p>
    <w:p w14:paraId="5426EE72">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身份证号码：</w:t>
      </w:r>
      <w:r>
        <w:rPr>
          <w:rFonts w:hint="eastAsia" w:ascii="宋体" w:hAnsi="宋体"/>
          <w:color w:val="auto"/>
          <w:kern w:val="0"/>
          <w:szCs w:val="28"/>
          <w:highlight w:val="none"/>
          <w:u w:val="single"/>
        </w:rPr>
        <w:t xml:space="preserve">                              </w:t>
      </w:r>
    </w:p>
    <w:p w14:paraId="3BEE8EFA">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联系电话：</w:t>
      </w:r>
      <w:r>
        <w:rPr>
          <w:rFonts w:hint="eastAsia" w:ascii="宋体" w:hAnsi="宋体"/>
          <w:color w:val="auto"/>
          <w:kern w:val="0"/>
          <w:szCs w:val="28"/>
          <w:highlight w:val="none"/>
          <w:u w:val="single"/>
        </w:rPr>
        <w:t xml:space="preserve">                                </w:t>
      </w:r>
    </w:p>
    <w:p w14:paraId="368036E5">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职务：</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系</w:t>
      </w:r>
      <w:r>
        <w:rPr>
          <w:rFonts w:hint="eastAsia" w:ascii="宋体" w:hAnsi="宋体"/>
          <w:color w:val="auto"/>
          <w:kern w:val="0"/>
          <w:szCs w:val="28"/>
          <w:highlight w:val="none"/>
          <w:u w:val="single"/>
        </w:rPr>
        <w:t xml:space="preserve">       （投标人名称）</w:t>
      </w:r>
      <w:r>
        <w:rPr>
          <w:rFonts w:hint="eastAsia" w:ascii="宋体" w:hAnsi="宋体"/>
          <w:color w:val="auto"/>
          <w:kern w:val="0"/>
          <w:szCs w:val="28"/>
          <w:highlight w:val="none"/>
        </w:rPr>
        <w:t>的法定代表人。</w:t>
      </w:r>
    </w:p>
    <w:p w14:paraId="12EC13BE">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p>
    <w:p w14:paraId="4CBF870D">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特此证明。</w:t>
      </w:r>
    </w:p>
    <w:p w14:paraId="6F820CD2">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p>
    <w:p w14:paraId="212A86B7">
      <w:pPr>
        <w:autoSpaceDE w:val="0"/>
        <w:autoSpaceDN w:val="0"/>
        <w:adjustRightInd w:val="0"/>
        <w:snapToGrid w:val="0"/>
        <w:spacing w:line="360" w:lineRule="auto"/>
        <w:textAlignment w:val="baseline"/>
        <w:rPr>
          <w:rFonts w:hint="eastAsia" w:ascii="宋体" w:hAnsi="宋体"/>
          <w:color w:val="auto"/>
          <w:kern w:val="0"/>
          <w:szCs w:val="28"/>
          <w:highlight w:val="none"/>
        </w:rPr>
      </w:pPr>
      <w:r>
        <w:rPr>
          <w:rFonts w:hint="eastAsia" w:ascii="宋体" w:hAnsi="宋体"/>
          <w:color w:val="auto"/>
          <w:kern w:val="0"/>
          <w:szCs w:val="28"/>
          <w:highlight w:val="none"/>
        </w:rPr>
        <w:t xml:space="preserve">                                      投标人：（盖章）</w:t>
      </w:r>
    </w:p>
    <w:p w14:paraId="0FB00055">
      <w:pPr>
        <w:autoSpaceDE w:val="0"/>
        <w:autoSpaceDN w:val="0"/>
        <w:adjustRightInd w:val="0"/>
        <w:snapToGrid w:val="0"/>
        <w:spacing w:line="360" w:lineRule="auto"/>
        <w:ind w:firstLine="6020" w:firstLineChars="2150"/>
        <w:textAlignment w:val="baseline"/>
        <w:rPr>
          <w:rFonts w:hint="eastAsia" w:ascii="宋体" w:hAnsi="宋体"/>
          <w:color w:val="auto"/>
          <w:kern w:val="0"/>
          <w:szCs w:val="28"/>
          <w:highlight w:val="none"/>
          <w:u w:val="single"/>
        </w:rPr>
      </w:pPr>
    </w:p>
    <w:p w14:paraId="772562B0">
      <w:pPr>
        <w:jc w:val="right"/>
        <w:rPr>
          <w:color w:val="auto"/>
          <w:highlight w:val="none"/>
        </w:rPr>
      </w:pP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年</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月</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日</w:t>
      </w:r>
    </w:p>
    <w:p w14:paraId="45BD10E5">
      <w:pPr>
        <w:pStyle w:val="191"/>
        <w:rPr>
          <w:highlight w:val="none"/>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2AC1EB61">
      <w:pPr>
        <w:spacing w:line="360" w:lineRule="atLeast"/>
        <w:jc w:val="left"/>
        <w:outlineLvl w:val="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w:t>
      </w:r>
      <w:r>
        <w:rPr>
          <w:rFonts w:hint="eastAsia"/>
          <w:b/>
          <w:bCs/>
          <w:color w:val="000000" w:themeColor="text1"/>
          <w:sz w:val="24"/>
          <w:highlight w:val="none"/>
          <w:lang w:val="en-US" w:eastAsia="zh-CN"/>
          <w14:textFill>
            <w14:solidFill>
              <w14:schemeClr w14:val="tx1"/>
            </w14:solidFill>
          </w14:textFill>
        </w:rPr>
        <w:t>3</w:t>
      </w:r>
      <w:r>
        <w:rPr>
          <w:rFonts w:hint="eastAsia"/>
          <w:b/>
          <w:bCs/>
          <w:color w:val="000000" w:themeColor="text1"/>
          <w:sz w:val="24"/>
          <w:highlight w:val="none"/>
          <w14:textFill>
            <w14:solidFill>
              <w14:schemeClr w14:val="tx1"/>
            </w14:solidFill>
          </w14:textFill>
        </w:rPr>
        <w:t>：</w:t>
      </w:r>
    </w:p>
    <w:p w14:paraId="29BF5C8A">
      <w:pPr>
        <w:spacing w:line="360" w:lineRule="atLeast"/>
        <w:jc w:val="center"/>
        <w:outlineLvl w:val="0"/>
        <w:rPr>
          <w:rFonts w:hint="eastAsia" w:ascii="宋体" w:hAnsi="宋体" w:cs="宋体"/>
          <w:b/>
          <w:bCs/>
          <w:color w:val="000000" w:themeColor="text1"/>
          <w:szCs w:val="28"/>
          <w:highlight w:val="none"/>
          <w:lang w:eastAsia="zh-CN"/>
          <w14:textFill>
            <w14:solidFill>
              <w14:schemeClr w14:val="tx1"/>
            </w14:solidFill>
          </w14:textFill>
        </w:rPr>
      </w:pPr>
    </w:p>
    <w:p w14:paraId="60116960">
      <w:pPr>
        <w:spacing w:line="360" w:lineRule="atLeast"/>
        <w:jc w:val="center"/>
        <w:outlineLvl w:val="0"/>
        <w:rPr>
          <w:rFonts w:hint="eastAsia" w:ascii="宋体" w:hAnsi="宋体" w:eastAsia="宋体" w:cs="宋体"/>
          <w:b/>
          <w:bCs/>
          <w:color w:val="000000" w:themeColor="text1"/>
          <w:szCs w:val="28"/>
          <w:highlight w:val="none"/>
          <w:lang w:eastAsia="zh-CN"/>
          <w14:textFill>
            <w14:solidFill>
              <w14:schemeClr w14:val="tx1"/>
            </w14:solidFill>
          </w14:textFill>
        </w:rPr>
      </w:pPr>
      <w:r>
        <w:rPr>
          <w:rFonts w:hint="eastAsia" w:ascii="宋体" w:hAnsi="宋体" w:cs="宋体"/>
          <w:b/>
          <w:bCs/>
          <w:color w:val="000000" w:themeColor="text1"/>
          <w:szCs w:val="28"/>
          <w:highlight w:val="none"/>
          <w:lang w:eastAsia="zh-CN"/>
          <w14:textFill>
            <w14:solidFill>
              <w14:schemeClr w14:val="tx1"/>
            </w14:solidFill>
          </w14:textFill>
        </w:rPr>
        <w:t xml:space="preserve"> 工业服务中心二期（开元曼居—台州湾新区店）酒店电器采购</w:t>
      </w:r>
    </w:p>
    <w:p w14:paraId="2A4044CA">
      <w:pPr>
        <w:spacing w:line="360" w:lineRule="atLeast"/>
        <w:ind w:left="641" w:leftChars="229" w:firstLine="2957" w:firstLineChars="1052"/>
        <w:outlineLvl w:val="0"/>
        <w:rPr>
          <w:rFonts w:ascii="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开标一览表</w:t>
      </w:r>
    </w:p>
    <w:p w14:paraId="75B5CC03">
      <w:pPr>
        <w:snapToGrid w:val="0"/>
        <w:spacing w:before="50" w:after="50" w:line="360" w:lineRule="auto"/>
        <w:jc w:val="left"/>
        <w:rPr>
          <w:rFonts w:hint="eastAsia" w:ascii="Arial" w:hAnsi="Arial" w:cs="宋体"/>
          <w:color w:val="000000" w:themeColor="text1"/>
          <w:sz w:val="24"/>
          <w:highlight w:val="none"/>
          <w14:textFill>
            <w14:solidFill>
              <w14:schemeClr w14:val="tx1"/>
            </w14:solidFill>
          </w14:textFill>
        </w:rPr>
      </w:pPr>
    </w:p>
    <w:p w14:paraId="62B85587">
      <w:pPr>
        <w:snapToGrid w:val="0"/>
        <w:spacing w:before="50" w:after="50" w:line="360" w:lineRule="auto"/>
        <w:jc w:val="left"/>
        <w:rPr>
          <w:rFonts w:ascii="Arial" w:hAnsi="Arial" w:cs="Arial"/>
          <w:color w:val="000000" w:themeColor="text1"/>
          <w:sz w:val="24"/>
          <w:highlight w:val="none"/>
          <w:u w:val="single"/>
          <w14:textFill>
            <w14:solidFill>
              <w14:schemeClr w14:val="tx1"/>
            </w14:solidFill>
          </w14:textFill>
        </w:rPr>
      </w:pPr>
      <w:r>
        <w:rPr>
          <w:rFonts w:hint="eastAsia" w:ascii="Arial" w:hAnsi="Arial" w:cs="宋体"/>
          <w:color w:val="000000" w:themeColor="text1"/>
          <w:sz w:val="24"/>
          <w:highlight w:val="none"/>
          <w14:textFill>
            <w14:solidFill>
              <w14:schemeClr w14:val="tx1"/>
            </w14:solidFill>
          </w14:textFill>
        </w:rPr>
        <w:t>致：</w:t>
      </w:r>
      <w:r>
        <w:rPr>
          <w:rFonts w:hint="eastAsia" w:ascii="Arial" w:hAnsi="Arial" w:cs="宋体"/>
          <w:color w:val="000000" w:themeColor="text1"/>
          <w:sz w:val="24"/>
          <w:highlight w:val="none"/>
          <w:u w:val="single"/>
          <w14:textFill>
            <w14:solidFill>
              <w14:schemeClr w14:val="tx1"/>
            </w14:solidFill>
          </w14:textFill>
        </w:rPr>
        <w:t xml:space="preserve">台州循环经济发展有限公司 </w:t>
      </w:r>
      <w:r>
        <w:rPr>
          <w:rFonts w:hint="eastAsia" w:ascii="宋体"/>
          <w:color w:val="000000" w:themeColor="text1"/>
          <w:sz w:val="24"/>
          <w:highlight w:val="none"/>
          <w14:textFill>
            <w14:solidFill>
              <w14:schemeClr w14:val="tx1"/>
            </w14:solidFill>
          </w14:textFill>
        </w:rPr>
        <w:t>（采购单位）</w:t>
      </w:r>
    </w:p>
    <w:p w14:paraId="1EB57F22">
      <w:pPr>
        <w:snapToGrid w:val="0"/>
        <w:spacing w:line="360" w:lineRule="auto"/>
        <w:ind w:firstLine="480" w:firstLineChars="200"/>
        <w:jc w:val="left"/>
        <w:rPr>
          <w:rFonts w:ascii="新宋体" w:hAnsi="新宋体" w:eastAsia="新宋体"/>
          <w:color w:val="000000" w:themeColor="text1"/>
          <w:sz w:val="22"/>
          <w:szCs w:val="22"/>
          <w:highlight w:val="none"/>
          <w14:textFill>
            <w14:solidFill>
              <w14:schemeClr w14:val="tx1"/>
            </w14:solidFill>
          </w14:textFill>
        </w:rPr>
      </w:pPr>
      <w:r>
        <w:rPr>
          <w:rFonts w:hint="eastAsia" w:ascii="Arial" w:hAnsi="Arial" w:cs="宋体"/>
          <w:color w:val="000000" w:themeColor="text1"/>
          <w:sz w:val="24"/>
          <w:highlight w:val="none"/>
          <w14:textFill>
            <w14:solidFill>
              <w14:schemeClr w14:val="tx1"/>
            </w14:solidFill>
          </w14:textFill>
        </w:rPr>
        <w:t>经研究，我们决定参加你单位的</w:t>
      </w:r>
      <w:r>
        <w:rPr>
          <w:rFonts w:hint="eastAsia" w:ascii="Arial" w:hAnsi="Arial" w:cs="宋体"/>
          <w:color w:val="000000" w:themeColor="text1"/>
          <w:sz w:val="24"/>
          <w:highlight w:val="none"/>
          <w:u w:val="single"/>
          <w:lang w:eastAsia="zh-CN"/>
          <w14:textFill>
            <w14:solidFill>
              <w14:schemeClr w14:val="tx1"/>
            </w14:solidFill>
          </w14:textFill>
        </w:rPr>
        <w:t xml:space="preserve"> 工业服务中心二期（开元曼居—台州湾新区店）酒店电器采购</w:t>
      </w:r>
      <w:r>
        <w:rPr>
          <w:rFonts w:hint="eastAsia" w:ascii="Arial" w:hAnsi="Arial" w:cs="宋体"/>
          <w:color w:val="000000" w:themeColor="text1"/>
          <w:sz w:val="24"/>
          <w:highlight w:val="none"/>
          <w14:textFill>
            <w14:solidFill>
              <w14:schemeClr w14:val="tx1"/>
            </w14:solidFill>
          </w14:textFill>
        </w:rPr>
        <w:t>的招标采购活动并提交投标文件。为此，我方郑重声明以下诸点，并负法律责任。</w:t>
      </w:r>
    </w:p>
    <w:p w14:paraId="17EE9422">
      <w:pPr>
        <w:pStyle w:val="3"/>
        <w:adjustRightInd w:val="0"/>
        <w:snapToGrid w:val="0"/>
        <w:spacing w:after="120" w:line="360" w:lineRule="auto"/>
        <w:ind w:firstLine="48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1</w:t>
      </w:r>
      <w:r>
        <w:rPr>
          <w:rFonts w:ascii="Arial" w:hAnsi="Arial"/>
          <w:color w:val="000000" w:themeColor="text1"/>
          <w:sz w:val="24"/>
          <w:highlight w:val="none"/>
          <w14:textFill>
            <w14:solidFill>
              <w14:schemeClr w14:val="tx1"/>
            </w14:solidFill>
          </w14:textFill>
        </w:rPr>
        <w:t>、如果我们的招标文件被接受，我们将履行招标文件中规定的每一项要求，并按我们投标文件中的承诺按期、按质、按量提供服务。</w:t>
      </w:r>
    </w:p>
    <w:p w14:paraId="1E59CDD3">
      <w:pPr>
        <w:pStyle w:val="3"/>
        <w:adjustRightInd w:val="0"/>
        <w:snapToGrid w:val="0"/>
        <w:spacing w:after="120" w:line="360" w:lineRule="auto"/>
        <w:ind w:firstLine="547" w:firstLineChars="228"/>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2</w:t>
      </w:r>
      <w:r>
        <w:rPr>
          <w:rFonts w:ascii="Arial" w:hAnsi="Arial"/>
          <w:color w:val="000000" w:themeColor="text1"/>
          <w:sz w:val="24"/>
          <w:highlight w:val="none"/>
          <w14:textFill>
            <w14:solidFill>
              <w14:schemeClr w14:val="tx1"/>
            </w14:solidFill>
          </w14:textFill>
        </w:rPr>
        <w:t>、我们同意按采购文件规定遵守采购人有关采购的各项规定。</w:t>
      </w:r>
    </w:p>
    <w:p w14:paraId="25724FEA">
      <w:pPr>
        <w:pStyle w:val="3"/>
        <w:adjustRightInd w:val="0"/>
        <w:snapToGrid w:val="0"/>
        <w:spacing w:after="120" w:line="360" w:lineRule="auto"/>
        <w:ind w:firstLine="540" w:firstLineChars="225"/>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3</w:t>
      </w:r>
      <w:r>
        <w:rPr>
          <w:rFonts w:ascii="Arial" w:hAnsi="Arial"/>
          <w:color w:val="000000" w:themeColor="text1"/>
          <w:sz w:val="24"/>
          <w:highlight w:val="none"/>
          <w14:textFill>
            <w14:solidFill>
              <w14:schemeClr w14:val="tx1"/>
            </w14:solidFill>
          </w14:textFill>
        </w:rPr>
        <w:t>、我方同意提供按照贵方可能要求的与投标有关的一切数据或资料，我方若未成为成交投标人，采购人有权不做任何解释。</w:t>
      </w:r>
    </w:p>
    <w:p w14:paraId="6E7D4AC9">
      <w:pPr>
        <w:spacing w:line="360" w:lineRule="auto"/>
        <w:ind w:firstLine="600" w:firstLineChars="250"/>
        <w:rPr>
          <w:rFonts w:ascii="Arial" w:hAnsi="Arial" w:cs="宋体"/>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4</w:t>
      </w:r>
      <w:r>
        <w:rPr>
          <w:rFonts w:hint="eastAsia" w:ascii="Arial" w:hAnsi="Arial" w:cs="宋体"/>
          <w:color w:val="000000" w:themeColor="text1"/>
          <w:sz w:val="24"/>
          <w:highlight w:val="none"/>
          <w14:textFill>
            <w14:solidFill>
              <w14:schemeClr w14:val="tx1"/>
            </w14:solidFill>
          </w14:textFill>
        </w:rPr>
        <w:t>、我方如果中标，将保证履行招标文件以及招标文件修改书（如有）中的全部责任和义务，按质、按量、按期完成《合同书》中的全部任务。</w:t>
      </w:r>
    </w:p>
    <w:tbl>
      <w:tblPr>
        <w:tblStyle w:val="3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284A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2A6F6A6D">
            <w:pPr>
              <w:spacing w:line="360" w:lineRule="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1、投标总报价</w:t>
            </w:r>
          </w:p>
        </w:tc>
        <w:tc>
          <w:tcPr>
            <w:tcW w:w="6338" w:type="dxa"/>
            <w:vAlign w:val="center"/>
          </w:tcPr>
          <w:p w14:paraId="5D9116BE">
            <w:pPr>
              <w:wordWrap w:val="0"/>
              <w:spacing w:line="360" w:lineRule="auto"/>
              <w:ind w:right="420"/>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大写：</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 xml:space="preserve"> 元；小写：</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元</w:t>
            </w:r>
          </w:p>
        </w:tc>
      </w:tr>
      <w:tr w14:paraId="15FA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4792D09E">
            <w:pPr>
              <w:snapToGrid w:val="0"/>
              <w:spacing w:before="50" w:after="50"/>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2、时间要求</w:t>
            </w:r>
          </w:p>
        </w:tc>
        <w:tc>
          <w:tcPr>
            <w:tcW w:w="6338" w:type="dxa"/>
            <w:vAlign w:val="center"/>
          </w:tcPr>
          <w:p w14:paraId="59DD5C4E">
            <w:pPr>
              <w:spacing w:line="50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收到采购人书面通知的</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15</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天内交货</w:t>
            </w:r>
          </w:p>
        </w:tc>
      </w:tr>
      <w:tr w14:paraId="137A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16604E89">
            <w:pPr>
              <w:snapToGrid w:val="0"/>
              <w:spacing w:before="50" w:after="50"/>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3、质量等级</w:t>
            </w:r>
          </w:p>
        </w:tc>
        <w:tc>
          <w:tcPr>
            <w:tcW w:w="6338" w:type="dxa"/>
            <w:vAlign w:val="center"/>
          </w:tcPr>
          <w:p w14:paraId="0A0E6D50">
            <w:pPr>
              <w:snapToGrid w:val="0"/>
              <w:spacing w:before="50" w:after="50"/>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符合要求</w:t>
            </w:r>
          </w:p>
        </w:tc>
      </w:tr>
    </w:tbl>
    <w:p w14:paraId="2DDF63D9">
      <w:pPr>
        <w:snapToGrid w:val="0"/>
        <w:spacing w:line="320" w:lineRule="exact"/>
        <w:ind w:firstLine="400" w:firstLineChars="200"/>
        <w:rPr>
          <w:rFonts w:ascii="Arial" w:hAnsi="Arial" w:cs="宋体"/>
          <w:color w:val="000000" w:themeColor="text1"/>
          <w:sz w:val="20"/>
          <w:szCs w:val="20"/>
          <w:highlight w:val="none"/>
          <w14:textFill>
            <w14:solidFill>
              <w14:schemeClr w14:val="tx1"/>
            </w14:solidFill>
          </w14:textFill>
        </w:rPr>
      </w:pPr>
      <w:r>
        <w:rPr>
          <w:rFonts w:hint="eastAsia" w:ascii="Arial" w:hAnsi="Arial" w:cs="宋体"/>
          <w:color w:val="000000" w:themeColor="text1"/>
          <w:sz w:val="20"/>
          <w:szCs w:val="20"/>
          <w:highlight w:val="none"/>
          <w14:textFill>
            <w14:solidFill>
              <w14:schemeClr w14:val="tx1"/>
            </w14:solidFill>
          </w14:textFill>
        </w:rPr>
        <w:t>注</w:t>
      </w:r>
      <w:r>
        <w:rPr>
          <w:rFonts w:ascii="Arial" w:hAnsi="Arial" w:cs="宋体"/>
          <w:color w:val="000000" w:themeColor="text1"/>
          <w:sz w:val="20"/>
          <w:szCs w:val="20"/>
          <w:highlight w:val="none"/>
          <w14:textFill>
            <w14:solidFill>
              <w14:schemeClr w14:val="tx1"/>
            </w14:solidFill>
          </w14:textFill>
        </w:rPr>
        <w:t>: 1</w:t>
      </w:r>
      <w:r>
        <w:rPr>
          <w:rFonts w:hint="eastAsia" w:ascii="Arial" w:hAnsi="Arial" w:cs="宋体"/>
          <w:color w:val="000000" w:themeColor="text1"/>
          <w:sz w:val="20"/>
          <w:szCs w:val="20"/>
          <w:highlight w:val="none"/>
          <w14:textFill>
            <w14:solidFill>
              <w14:schemeClr w14:val="tx1"/>
            </w14:solidFill>
          </w14:textFill>
        </w:rPr>
        <w:t>、报价一经涂改，应在涂改处加盖单位公章或者由法定代表人或授权委托人签字或盖章，否则其投标作无效标处理。</w:t>
      </w:r>
    </w:p>
    <w:p w14:paraId="676B1F2A">
      <w:pPr>
        <w:snapToGrid w:val="0"/>
        <w:spacing w:line="320" w:lineRule="exact"/>
        <w:ind w:firstLine="400" w:firstLineChars="200"/>
        <w:rPr>
          <w:rFonts w:ascii="Arial" w:hAnsi="Arial" w:cs="宋体"/>
          <w:color w:val="000000" w:themeColor="text1"/>
          <w:sz w:val="20"/>
          <w:szCs w:val="20"/>
          <w:highlight w:val="none"/>
          <w14:textFill>
            <w14:solidFill>
              <w14:schemeClr w14:val="tx1"/>
            </w14:solidFill>
          </w14:textFill>
        </w:rPr>
      </w:pPr>
      <w:r>
        <w:rPr>
          <w:rFonts w:hint="eastAsia" w:ascii="Arial" w:hAnsi="Arial" w:cs="宋体"/>
          <w:color w:val="000000" w:themeColor="text1"/>
          <w:sz w:val="20"/>
          <w:szCs w:val="20"/>
          <w:highlight w:val="none"/>
          <w14:textFill>
            <w14:solidFill>
              <w14:schemeClr w14:val="tx1"/>
            </w14:solidFill>
          </w14:textFill>
        </w:rPr>
        <w:t>2、投标报价其应包括本项目加工、安装、运输、连接配件、施工设备、劳务、管理、材料、安装、仓储、售后服务、保险、利润、税金、规费、技术措施费、安全措施费、风险费等所有工作的一切费用。该单价中已综合考虑了在合同有效期内的材料设备、机械、人工等所有市场价格波动的风险，在合同有效期内不做任何调整。</w:t>
      </w:r>
    </w:p>
    <w:p w14:paraId="48BD9F23">
      <w:pPr>
        <w:pStyle w:val="14"/>
        <w:rPr>
          <w:color w:val="000000" w:themeColor="text1"/>
          <w:highlight w:val="none"/>
          <w14:textFill>
            <w14:solidFill>
              <w14:schemeClr w14:val="tx1"/>
            </w14:solidFill>
          </w14:textFill>
        </w:rPr>
      </w:pPr>
    </w:p>
    <w:p w14:paraId="25325FF2">
      <w:pPr>
        <w:pStyle w:val="14"/>
        <w:rPr>
          <w:color w:val="000000" w:themeColor="text1"/>
          <w:highlight w:val="none"/>
          <w14:textFill>
            <w14:solidFill>
              <w14:schemeClr w14:val="tx1"/>
            </w14:solidFill>
          </w14:textFill>
        </w:rPr>
      </w:pPr>
    </w:p>
    <w:p w14:paraId="52F4068A">
      <w:pPr>
        <w:pStyle w:val="15"/>
        <w:ind w:firstLine="5760" w:firstLineChars="24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0A49EA8E">
      <w:pPr>
        <w:spacing w:line="360" w:lineRule="auto"/>
        <w:ind w:firstLine="5760" w:firstLineChars="2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4145BFEC">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日期：  年    月    日</w:t>
      </w:r>
    </w:p>
    <w:p w14:paraId="0ED8B481">
      <w:pPr>
        <w:pStyle w:val="14"/>
        <w:rPr>
          <w:color w:val="000000" w:themeColor="text1"/>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7C942F76">
      <w:pPr>
        <w:snapToGrid w:val="0"/>
        <w:spacing w:before="50" w:after="50"/>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 xml:space="preserve">： </w:t>
      </w:r>
    </w:p>
    <w:p w14:paraId="6CFA707F">
      <w:pPr>
        <w:spacing w:line="360" w:lineRule="atLeast"/>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投标报价明细清单</w:t>
      </w:r>
    </w:p>
    <w:p w14:paraId="33FE0415">
      <w:pPr>
        <w:pStyle w:val="14"/>
        <w:rPr>
          <w:color w:val="000000" w:themeColor="text1"/>
          <w:highlight w:val="none"/>
          <w14:textFill>
            <w14:solidFill>
              <w14:schemeClr w14:val="tx1"/>
            </w14:solidFill>
          </w14:textFill>
        </w:rPr>
      </w:pPr>
    </w:p>
    <w:p w14:paraId="3D999AC9">
      <w:pPr>
        <w:spacing w:line="320" w:lineRule="exact"/>
        <w:rPr>
          <w:rFonts w:hint="eastAsia" w:ascii="宋体" w:hAnsi="宋体" w:eastAsia="宋体"/>
          <w:color w:val="auto"/>
          <w:highlight w:val="none"/>
          <w:lang w:eastAsia="zh-CN"/>
        </w:rPr>
      </w:pPr>
      <w:r>
        <w:rPr>
          <w:rFonts w:hint="eastAsia" w:ascii="宋体" w:hAnsi="宋体"/>
          <w:b/>
          <w:bCs/>
          <w:color w:val="auto"/>
          <w:highlight w:val="none"/>
        </w:rPr>
        <w:t>项目名称</w:t>
      </w:r>
      <w:r>
        <w:rPr>
          <w:rFonts w:hint="eastAsia" w:ascii="宋体" w:hAnsi="宋体"/>
          <w:color w:val="auto"/>
          <w:highlight w:val="none"/>
        </w:rPr>
        <w:t>：</w:t>
      </w:r>
      <w:r>
        <w:rPr>
          <w:rFonts w:hint="eastAsia" w:ascii="宋体" w:hAnsi="宋体"/>
          <w:color w:val="auto"/>
          <w:highlight w:val="none"/>
          <w:lang w:eastAsia="zh-CN"/>
        </w:rPr>
        <w:t>工业服务中心二期（开元曼居—台州湾新区店）酒店电器采购</w:t>
      </w:r>
    </w:p>
    <w:p w14:paraId="0B2007A8">
      <w:pPr>
        <w:spacing w:line="400" w:lineRule="atLeast"/>
        <w:rPr>
          <w:rFonts w:hint="eastAsia" w:ascii="宋体" w:hAnsi="宋体"/>
          <w:b/>
          <w:bCs/>
          <w:color w:val="auto"/>
          <w:highlight w:val="none"/>
        </w:rPr>
      </w:pPr>
      <w:r>
        <w:rPr>
          <w:rFonts w:hint="eastAsia" w:ascii="宋体" w:hAnsi="宋体"/>
          <w:b/>
          <w:bCs/>
          <w:color w:val="auto"/>
          <w:highlight w:val="none"/>
        </w:rPr>
        <w:t>项目编号：</w:t>
      </w:r>
    </w:p>
    <w:tbl>
      <w:tblPr>
        <w:tblStyle w:val="37"/>
        <w:tblW w:w="14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2444"/>
        <w:gridCol w:w="4997"/>
        <w:gridCol w:w="779"/>
        <w:gridCol w:w="837"/>
        <w:gridCol w:w="1667"/>
        <w:gridCol w:w="1283"/>
        <w:gridCol w:w="1329"/>
      </w:tblGrid>
      <w:tr w14:paraId="71DD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714" w:type="dxa"/>
            <w:tcBorders>
              <w:top w:val="single" w:color="000000" w:sz="4" w:space="0"/>
              <w:left w:val="single" w:color="000000" w:sz="8" w:space="0"/>
              <w:bottom w:val="single" w:color="000000" w:sz="4" w:space="0"/>
              <w:right w:val="single" w:color="000000" w:sz="4" w:space="0"/>
            </w:tcBorders>
            <w:shd w:val="clear" w:color="auto" w:fill="C0C0C0"/>
            <w:noWrap/>
            <w:vAlign w:val="center"/>
          </w:tcPr>
          <w:p w14:paraId="3BF3C33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44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B94EDB6">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cs="宋体"/>
                <w:b/>
                <w:bCs/>
                <w:i w:val="0"/>
                <w:iCs w:val="0"/>
                <w:color w:val="auto"/>
                <w:kern w:val="0"/>
                <w:sz w:val="22"/>
                <w:szCs w:val="22"/>
                <w:highlight w:val="none"/>
                <w:u w:val="none"/>
                <w:lang w:val="en-US" w:eastAsia="zh-CN" w:bidi="ar"/>
              </w:rPr>
              <w:t>项目名称</w:t>
            </w:r>
          </w:p>
        </w:tc>
        <w:tc>
          <w:tcPr>
            <w:tcW w:w="499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ECE56B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项目特征</w:t>
            </w:r>
          </w:p>
        </w:tc>
        <w:tc>
          <w:tcPr>
            <w:tcW w:w="77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E8D5A5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37FD84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66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744FA91">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全费用综合单价（元）</w:t>
            </w:r>
          </w:p>
        </w:tc>
        <w:tc>
          <w:tcPr>
            <w:tcW w:w="128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4017901">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合计（元）</w:t>
            </w:r>
          </w:p>
        </w:tc>
        <w:tc>
          <w:tcPr>
            <w:tcW w:w="132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E4100D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0B3F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F5A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DA9B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消毒柜</w:t>
            </w:r>
          </w:p>
        </w:tc>
        <w:tc>
          <w:tcPr>
            <w:tcW w:w="49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3D493">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1、消洗间消毒柜:多功能保洁柜、紫外线、臭氧双重保洁，PTC热风中温烘干。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2、工作方式：中温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3、门材质：铝合金配玻璃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4、储存空间：双门单室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5、外壳材质：不锈钢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6、功率（W）：1200W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7、容积（L)：570L</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B4EB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F316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4CA45">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6B481">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5E8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37B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122B">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5637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吹风机</w:t>
            </w:r>
          </w:p>
        </w:tc>
        <w:tc>
          <w:tcPr>
            <w:tcW w:w="49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66EE2">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1.颜色:粉、黄、蓝、绿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2.额定电压:220V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3.产品功率:1800W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4.功能:速干护发冷热风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5.温度调档:3挡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6.双重过热保护，负离子护发，六翼扇叶设计</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45E2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5BFC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198</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D215F">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838AF">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518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AFC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B38F">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48AF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电热水壶</w:t>
            </w:r>
          </w:p>
        </w:tc>
        <w:tc>
          <w:tcPr>
            <w:tcW w:w="49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847D9">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1.黑色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2.功率:1800W ；容量1升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3.材质:不锈钢304</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5E40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15C1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198</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F37D0">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BEC2A">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82AC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6C2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8467">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4</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DF06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迷你冰箱</w:t>
            </w:r>
          </w:p>
        </w:tc>
        <w:tc>
          <w:tcPr>
            <w:tcW w:w="49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92B33">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1.迷你冰箱,容量28L，尺寸：宽400×深390×高440mm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2.静音吸收式冰箱；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3.电子温控 自动除霜；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4.门开启左、右可选；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5.玻璃门；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6.内部隔板为白色塑料材质。</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134F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64B2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186</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929D2">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01428">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E35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423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B31A">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5</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503E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LED灯圆形化妆镜</w:t>
            </w:r>
          </w:p>
        </w:tc>
        <w:tc>
          <w:tcPr>
            <w:tcW w:w="49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10BB2">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1.雅黑色铜+不锈钢，表面过国标盐雾测试                                              2、8寸镜面，双面镜，3倍放大</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4DFD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9CF0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200</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8AF62">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F2921">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137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DC7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A709">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6</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63BB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客房电话机</w:t>
            </w:r>
          </w:p>
        </w:tc>
        <w:tc>
          <w:tcPr>
            <w:tcW w:w="49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21FC2">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1.采用进口的音响级芯片；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2.可设10/5组一键通速拨服务键，速拨键一键呼出；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3.话机外壳采用ABS优质防火材料；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4.线路板采用环氧树脂双面玻纤板；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5.速拨键采用EEPROM电可擦写技术，断电信息不会丢失；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6.一键式提取留言灯；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7.具备闪断、静音、重拨、保持等功能；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8.重拨32位号码，30分钟后重拨号码自动消失；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9.听筒兼容助听器</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F311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4495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198</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07059">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83243">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ECB6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EFD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8313">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7</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9FBA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前厅电话机</w:t>
            </w:r>
          </w:p>
        </w:tc>
        <w:tc>
          <w:tcPr>
            <w:tcW w:w="4997" w:type="dxa"/>
            <w:vMerge w:val="restart"/>
            <w:tcBorders>
              <w:top w:val="single" w:color="000000" w:sz="4" w:space="0"/>
              <w:left w:val="single" w:color="000000" w:sz="4" w:space="0"/>
              <w:right w:val="single" w:color="000000" w:sz="4" w:space="0"/>
            </w:tcBorders>
            <w:shd w:val="clear" w:color="auto" w:fill="FFFFFF"/>
            <w:noWrap w:val="0"/>
            <w:vAlign w:val="center"/>
          </w:tcPr>
          <w:p w14:paraId="3C51B36C">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1.适用FSK和DTMF双制式来电显示；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2.10个单键储存快速拨号键，EEPROM存储号码永不丢失；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3.手柄/免提/耳机互转通话；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4.留言信息灯一键式提取；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5.具用重拨，转接，HOLD(保持)和MUTE(静音)功能；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6.单键循环4级音量调节，手柄/免提/耳机共用音量调节键，铃声音量三档调节；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7.多达两百组电话簿功能；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8.来电显示屏幕可九级调整角度可根据客户使用习惯调整；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9.配有便利的数据接口DataPort，可接驳分机和传真机。</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3719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B7BB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8D73E">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A88E3">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70D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5F3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E840">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8</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6B44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办公室电话机</w:t>
            </w:r>
          </w:p>
        </w:tc>
        <w:tc>
          <w:tcPr>
            <w:tcW w:w="4997" w:type="dxa"/>
            <w:vMerge w:val="continue"/>
            <w:tcBorders>
              <w:left w:val="single" w:color="000000" w:sz="4" w:space="0"/>
              <w:bottom w:val="single" w:color="000000" w:sz="4" w:space="0"/>
              <w:right w:val="single" w:color="000000" w:sz="4" w:space="0"/>
            </w:tcBorders>
            <w:shd w:val="clear" w:color="auto" w:fill="FFFFFF"/>
            <w:noWrap w:val="0"/>
            <w:vAlign w:val="center"/>
          </w:tcPr>
          <w:p w14:paraId="1C115756">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C01F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5208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3FB75">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9FDF3">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A2BC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19A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0B12">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9</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3AB0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显示设备</w:t>
            </w:r>
          </w:p>
        </w:tc>
        <w:tc>
          <w:tcPr>
            <w:tcW w:w="49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06D5C">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1.名称:55寸智能电视机（含支架等）安装；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2.监视器数量:全面屏设计,全金属后盖；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3.分辨率：支持3840×2160，4K；64位4核处理器 安卓系统；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4.运行内存：≥1.5G；内部存储空间：≥8G；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5.酒店功能（除常规商用功能以外包含酒店适用的商用电视系统，定制开机画面/开机视频等功能，无开机广告或其他系统产生的广告，可实现无机顶盒观看电视功能）。</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30C3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8DC4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200</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527D0">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4D99D">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E33B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9BE8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140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B802">
            <w:pPr>
              <w:jc w:val="both"/>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合计=1</w:t>
            </w:r>
            <w:r>
              <w:rPr>
                <w:rFonts w:hint="eastAsia" w:ascii="宋体" w:hAnsi="宋体" w:cs="宋体"/>
                <w:i w:val="0"/>
                <w:iCs w:val="0"/>
                <w:color w:val="000000"/>
                <w:sz w:val="24"/>
                <w:szCs w:val="24"/>
                <w:highlight w:val="none"/>
                <w:u w:val="none"/>
                <w:lang w:val="en-US" w:eastAsia="zh-CN"/>
              </w:rPr>
              <w:t>+2+3+...+7+8+9</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single"/>
                <w:lang w:val="en-US" w:eastAsia="zh-CN"/>
              </w:rPr>
              <w:t xml:space="preserve">             </w:t>
            </w:r>
            <w:r>
              <w:rPr>
                <w:rFonts w:hint="eastAsia" w:ascii="宋体" w:hAnsi="宋体" w:eastAsia="宋体" w:cs="宋体"/>
                <w:i w:val="0"/>
                <w:iCs w:val="0"/>
                <w:color w:val="000000"/>
                <w:sz w:val="24"/>
                <w:szCs w:val="24"/>
                <w:highlight w:val="none"/>
                <w:u w:val="none"/>
                <w:lang w:val="en-US" w:eastAsia="zh-CN"/>
              </w:rPr>
              <w:t>元               大写：</w:t>
            </w:r>
            <w:r>
              <w:rPr>
                <w:rFonts w:hint="eastAsia" w:ascii="宋体" w:hAnsi="宋体" w:eastAsia="宋体" w:cs="宋体"/>
                <w:i w:val="0"/>
                <w:iCs w:val="0"/>
                <w:color w:val="000000"/>
                <w:sz w:val="24"/>
                <w:szCs w:val="24"/>
                <w:highlight w:val="none"/>
                <w:u w:val="single"/>
                <w:lang w:val="en-US" w:eastAsia="zh-CN"/>
              </w:rPr>
              <w:t xml:space="preserve">                </w:t>
            </w:r>
            <w:r>
              <w:rPr>
                <w:rFonts w:hint="eastAsia" w:ascii="宋体" w:hAnsi="宋体" w:eastAsia="宋体" w:cs="宋体"/>
                <w:i w:val="0"/>
                <w:iCs w:val="0"/>
                <w:color w:val="000000"/>
                <w:sz w:val="24"/>
                <w:szCs w:val="24"/>
                <w:highlight w:val="none"/>
                <w:u w:val="none"/>
                <w:lang w:val="en-US" w:eastAsia="zh-CN"/>
              </w:rPr>
              <w:t>元</w:t>
            </w:r>
            <w:r>
              <w:rPr>
                <w:rFonts w:hint="eastAsia" w:ascii="宋体" w:hAnsi="宋体" w:cs="宋体"/>
                <w:i w:val="0"/>
                <w:iCs w:val="0"/>
                <w:color w:val="000000"/>
                <w:sz w:val="24"/>
                <w:szCs w:val="24"/>
                <w:highlight w:val="none"/>
                <w:u w:val="none"/>
                <w:lang w:val="en-US" w:eastAsia="zh-CN"/>
              </w:rPr>
              <w:t xml:space="preserve">     </w:t>
            </w:r>
            <w:r>
              <w:rPr>
                <w:rFonts w:hint="eastAsia" w:ascii="宋体" w:hAnsi="宋体" w:eastAsia="宋体" w:cs="宋体"/>
                <w:i w:val="0"/>
                <w:iCs w:val="0"/>
                <w:color w:val="000000"/>
                <w:sz w:val="24"/>
                <w:szCs w:val="24"/>
                <w:highlight w:val="none"/>
                <w:u w:val="none"/>
                <w:lang w:val="en-US" w:eastAsia="zh-CN"/>
              </w:rPr>
              <w:t>（转过结至附件3：开标一览表）</w:t>
            </w:r>
          </w:p>
        </w:tc>
      </w:tr>
    </w:tbl>
    <w:p w14:paraId="41748071">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 本表为《开标一览表》的报价明细表，如有缺项、漏项，视为投标报价中已包含相关费用，采购人无需另外支付任何费用。</w:t>
      </w:r>
    </w:p>
    <w:p w14:paraId="2718A836">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zh-CN"/>
          <w14:textFill>
            <w14:solidFill>
              <w14:schemeClr w14:val="tx1"/>
            </w14:solidFill>
          </w14:textFill>
        </w:rPr>
        <w:t>“投标报价明细清单”中的报价合计应与“开标一览表”中的投标总报价相一致，不一致时，以开标一览表为准。</w:t>
      </w:r>
    </w:p>
    <w:p w14:paraId="2BAAA252">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zh-CN"/>
          <w14:textFill>
            <w14:solidFill>
              <w14:schemeClr w14:val="tx1"/>
            </w14:solidFill>
          </w14:textFill>
        </w:rPr>
        <w:t>投标报价明细表所填内容按采购文件采购设备清单要求为准。如有漏报的，视同已包含在投标总价内或已作优惠处理。有重大缺项的将作无效标处理。</w:t>
      </w:r>
    </w:p>
    <w:p w14:paraId="309AB26E">
      <w:pPr>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zh-CN"/>
          <w14:textFill>
            <w14:solidFill>
              <w14:schemeClr w14:val="tx1"/>
            </w14:solidFill>
          </w14:textFill>
        </w:rPr>
        <w:t>4.本表中的型号规格必须明确，采购文件中明确要求定制的除外。</w:t>
      </w:r>
      <w:bookmarkStart w:id="17" w:name="_Hlk130423096"/>
    </w:p>
    <w:p w14:paraId="593D5D69">
      <w:pPr>
        <w:pStyle w:val="15"/>
        <w:spacing w:after="0" w:line="360" w:lineRule="auto"/>
        <w:ind w:firstLine="422" w:firstLineChars="200"/>
        <w:rPr>
          <w:rFonts w:hint="eastAsia"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5.本项目实行全费用综合单价报价，</w:t>
      </w:r>
      <w:r>
        <w:rPr>
          <w:rFonts w:hint="eastAsia" w:ascii="宋体" w:hAnsi="宋体" w:eastAsia="宋体"/>
          <w:b/>
          <w:color w:val="000000" w:themeColor="text1"/>
          <w:szCs w:val="21"/>
          <w:highlight w:val="none"/>
          <w:lang w:val="en-US" w:eastAsia="zh-CN"/>
          <w14:textFill>
            <w14:solidFill>
              <w14:schemeClr w14:val="tx1"/>
            </w14:solidFill>
          </w14:textFill>
        </w:rPr>
        <w:t>该全费用综合单价包</w:t>
      </w:r>
      <w:r>
        <w:rPr>
          <w:rFonts w:hint="eastAsia" w:ascii="宋体" w:hAnsi="宋体" w:eastAsia="宋体"/>
          <w:b/>
          <w:color w:val="000000" w:themeColor="text1"/>
          <w:szCs w:val="21"/>
          <w:highlight w:val="none"/>
          <w14:textFill>
            <w14:solidFill>
              <w14:schemeClr w14:val="tx1"/>
            </w14:solidFill>
          </w14:textFill>
        </w:rPr>
        <w:t>括本项目加工、安装、运输、连接配件、施工设备、劳务、管理、材料、安装、仓储、售后服务、保险、利润、税金、规费、技术措施费、安全措施费、风险费等所有工作的一切费用。该单价中已综合考虑了在合同有效期内的材料设备、机械、人工等所有市场价格波动的风险，在合同有效期内不做任何调整。</w:t>
      </w:r>
    </w:p>
    <w:p w14:paraId="56DAA694">
      <w:pPr>
        <w:pStyle w:val="16"/>
        <w:ind w:left="0" w:leftChars="0" w:firstLine="422" w:firstLineChars="200"/>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t>6.采购人应优先采用以上品牌、生产厂家的产品，若采用其他品牌（或相当于以上品牌档次）、生产厂家的产品时，替代产品品质不低于原有产品并经招标人签证认可。</w:t>
      </w:r>
    </w:p>
    <w:bookmarkEnd w:id="17"/>
    <w:p w14:paraId="4BD6460A">
      <w:pPr>
        <w:pStyle w:val="15"/>
        <w:ind w:firstLine="4320" w:firstLineChars="1800"/>
        <w:jc w:val="right"/>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5AC7EEC6">
      <w:pPr>
        <w:spacing w:line="360" w:lineRule="auto"/>
        <w:ind w:firstLine="4320" w:firstLineChars="1800"/>
        <w:jc w:val="righ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32576B27">
      <w:pPr>
        <w:spacing w:line="360" w:lineRule="auto"/>
        <w:ind w:firstLine="4080" w:firstLineChars="1700"/>
        <w:jc w:val="righ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0FB8F2A1">
      <w:pPr>
        <w:snapToGrid w:val="0"/>
        <w:spacing w:before="50" w:after="50"/>
        <w:ind w:left="-54" w:leftChars="-72" w:right="-1089" w:rightChars="-389" w:hanging="148" w:hangingChars="62"/>
        <w:jc w:val="right"/>
        <w:rPr>
          <w:rFonts w:ascii="宋体" w:hAnsi="宋体"/>
          <w:color w:val="000000" w:themeColor="text1"/>
          <w:sz w:val="24"/>
          <w:highlight w:val="none"/>
          <w14:textFill>
            <w14:solidFill>
              <w14:schemeClr w14:val="tx1"/>
            </w14:solidFill>
          </w14:textFill>
        </w:rPr>
        <w:sectPr>
          <w:pgSz w:w="16840" w:h="11907" w:orient="landscape"/>
          <w:pgMar w:top="1080" w:right="1440" w:bottom="108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280530D5">
      <w:pPr>
        <w:snapToGrid w:val="0"/>
        <w:spacing w:before="50" w:after="50"/>
        <w:rPr>
          <w:rFonts w:hint="eastAsia" w:ascii="宋体" w:hAnsi="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lang w:eastAsia="zh-CN"/>
          <w14:textFill>
            <w14:solidFill>
              <w14:schemeClr w14:val="tx1"/>
            </w14:solidFill>
          </w14:textFill>
        </w:rPr>
        <w:t>：</w:t>
      </w:r>
    </w:p>
    <w:p w14:paraId="7831D7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color w:val="auto"/>
          <w:sz w:val="28"/>
          <w:szCs w:val="24"/>
          <w:highlight w:val="none"/>
        </w:rPr>
      </w:pPr>
      <w:r>
        <w:rPr>
          <w:rFonts w:hint="eastAsia" w:ascii="宋体" w:hAnsi="宋体"/>
          <w:b/>
          <w:bCs/>
          <w:color w:val="auto"/>
          <w:sz w:val="28"/>
          <w:szCs w:val="24"/>
          <w:highlight w:val="none"/>
        </w:rPr>
        <w:t>投标产品技术参数响应表</w:t>
      </w:r>
    </w:p>
    <w:p w14:paraId="34206207">
      <w:pPr>
        <w:spacing w:line="320" w:lineRule="exact"/>
        <w:rPr>
          <w:rFonts w:hint="eastAsia" w:ascii="宋体" w:hAnsi="宋体"/>
          <w:color w:val="auto"/>
          <w:highlight w:val="none"/>
        </w:rPr>
      </w:pPr>
      <w:r>
        <w:rPr>
          <w:rFonts w:hint="eastAsia" w:ascii="宋体" w:hAnsi="宋体"/>
          <w:color w:val="auto"/>
          <w:highlight w:val="none"/>
        </w:rPr>
        <w:t xml:space="preserve">  </w:t>
      </w:r>
    </w:p>
    <w:p w14:paraId="5C6AD3FA">
      <w:pPr>
        <w:spacing w:line="320" w:lineRule="exact"/>
        <w:rPr>
          <w:rFonts w:hint="eastAsia" w:ascii="宋体" w:hAnsi="宋体"/>
          <w:color w:val="auto"/>
          <w:highlight w:val="none"/>
        </w:rPr>
      </w:pPr>
      <w:r>
        <w:rPr>
          <w:rFonts w:hint="eastAsia" w:ascii="宋体" w:hAnsi="宋体"/>
          <w:b/>
          <w:bCs/>
          <w:color w:val="auto"/>
          <w:highlight w:val="none"/>
        </w:rPr>
        <w:t>项目名称</w:t>
      </w:r>
      <w:r>
        <w:rPr>
          <w:rFonts w:hint="eastAsia" w:ascii="宋体" w:hAnsi="宋体"/>
          <w:color w:val="auto"/>
          <w:highlight w:val="none"/>
        </w:rPr>
        <w:t>：</w:t>
      </w:r>
    </w:p>
    <w:p w14:paraId="6C246B10">
      <w:pPr>
        <w:spacing w:line="400" w:lineRule="atLeast"/>
        <w:rPr>
          <w:rFonts w:hint="eastAsia"/>
          <w:color w:val="auto"/>
          <w:highlight w:val="none"/>
        </w:rPr>
      </w:pPr>
      <w:r>
        <w:rPr>
          <w:rFonts w:hint="eastAsia" w:ascii="宋体" w:hAnsi="宋体"/>
          <w:b/>
          <w:bCs/>
          <w:color w:val="auto"/>
          <w:highlight w:val="none"/>
        </w:rPr>
        <w:t>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58"/>
        <w:gridCol w:w="2853"/>
        <w:gridCol w:w="3018"/>
        <w:gridCol w:w="3011"/>
      </w:tblGrid>
      <w:tr w14:paraId="650DA6D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07181787">
            <w:pPr>
              <w:snapToGrid w:val="0"/>
              <w:spacing w:before="120" w:beforeLines="50" w:line="360" w:lineRule="auto"/>
              <w:jc w:val="center"/>
              <w:rPr>
                <w:rFonts w:hint="eastAsia" w:ascii="宋体" w:hAnsi="宋体" w:cs="宋体"/>
                <w:b/>
                <w:color w:val="auto"/>
                <w:szCs w:val="20"/>
                <w:highlight w:val="none"/>
              </w:rPr>
            </w:pPr>
            <w:r>
              <w:rPr>
                <w:rFonts w:hint="eastAsia" w:ascii="宋体" w:hAnsi="宋体" w:cs="宋体"/>
                <w:b/>
                <w:color w:val="auto"/>
                <w:highlight w:val="none"/>
                <w:lang w:bidi="ar"/>
              </w:rPr>
              <w:t>序号</w:t>
            </w:r>
          </w:p>
        </w:tc>
        <w:tc>
          <w:tcPr>
            <w:tcW w:w="2853" w:type="dxa"/>
            <w:tcBorders>
              <w:top w:val="single" w:color="auto" w:sz="4" w:space="0"/>
              <w:left w:val="single" w:color="auto" w:sz="4" w:space="0"/>
              <w:bottom w:val="single" w:color="auto" w:sz="4" w:space="0"/>
              <w:right w:val="single" w:color="auto" w:sz="4" w:space="0"/>
            </w:tcBorders>
            <w:noWrap w:val="0"/>
            <w:vAlign w:val="top"/>
          </w:tcPr>
          <w:p w14:paraId="54588FCF">
            <w:pPr>
              <w:snapToGrid w:val="0"/>
              <w:spacing w:before="120" w:beforeLines="50" w:line="360" w:lineRule="auto"/>
              <w:jc w:val="center"/>
              <w:rPr>
                <w:rFonts w:hint="eastAsia" w:ascii="宋体" w:hAnsi="宋体" w:cs="宋体"/>
                <w:b/>
                <w:color w:val="auto"/>
                <w:szCs w:val="20"/>
                <w:highlight w:val="none"/>
              </w:rPr>
            </w:pPr>
            <w:r>
              <w:rPr>
                <w:rFonts w:hint="eastAsia" w:ascii="宋体" w:hAnsi="宋体" w:cs="宋体"/>
                <w:b/>
                <w:color w:val="auto"/>
                <w:highlight w:val="none"/>
                <w:lang w:bidi="ar"/>
              </w:rPr>
              <w:t>招标文件要求</w:t>
            </w:r>
          </w:p>
        </w:tc>
        <w:tc>
          <w:tcPr>
            <w:tcW w:w="3018" w:type="dxa"/>
            <w:tcBorders>
              <w:top w:val="single" w:color="auto" w:sz="4" w:space="0"/>
              <w:left w:val="single" w:color="auto" w:sz="4" w:space="0"/>
              <w:bottom w:val="single" w:color="auto" w:sz="4" w:space="0"/>
              <w:right w:val="single" w:color="auto" w:sz="4" w:space="0"/>
            </w:tcBorders>
            <w:noWrap w:val="0"/>
            <w:vAlign w:val="top"/>
          </w:tcPr>
          <w:p w14:paraId="134774B9">
            <w:pPr>
              <w:snapToGrid w:val="0"/>
              <w:spacing w:before="120" w:beforeLines="50" w:line="360" w:lineRule="auto"/>
              <w:jc w:val="center"/>
              <w:rPr>
                <w:rFonts w:hint="eastAsia" w:ascii="宋体" w:hAnsi="宋体" w:cs="宋体"/>
                <w:b/>
                <w:color w:val="auto"/>
                <w:szCs w:val="20"/>
                <w:highlight w:val="none"/>
              </w:rPr>
            </w:pPr>
            <w:r>
              <w:rPr>
                <w:rFonts w:hint="eastAsia" w:ascii="宋体" w:hAnsi="宋体" w:cs="宋体"/>
                <w:b/>
                <w:color w:val="auto"/>
                <w:highlight w:val="none"/>
                <w:lang w:bidi="ar"/>
              </w:rPr>
              <w:t>投标人的承诺或说明</w:t>
            </w:r>
          </w:p>
        </w:tc>
        <w:tc>
          <w:tcPr>
            <w:tcW w:w="3011" w:type="dxa"/>
            <w:tcBorders>
              <w:top w:val="single" w:color="auto" w:sz="4" w:space="0"/>
              <w:left w:val="single" w:color="auto" w:sz="4" w:space="0"/>
              <w:bottom w:val="single" w:color="auto" w:sz="4" w:space="0"/>
              <w:right w:val="single" w:color="auto" w:sz="4" w:space="0"/>
            </w:tcBorders>
            <w:noWrap w:val="0"/>
            <w:vAlign w:val="top"/>
          </w:tcPr>
          <w:p w14:paraId="3E7E67A8">
            <w:pPr>
              <w:snapToGrid w:val="0"/>
              <w:spacing w:before="120" w:beforeLines="50" w:line="360" w:lineRule="auto"/>
              <w:jc w:val="center"/>
              <w:rPr>
                <w:rFonts w:hint="eastAsia" w:ascii="宋体" w:hAnsi="宋体" w:cs="宋体"/>
                <w:b/>
                <w:color w:val="auto"/>
                <w:highlight w:val="none"/>
              </w:rPr>
            </w:pPr>
            <w:r>
              <w:rPr>
                <w:rFonts w:hint="eastAsia" w:ascii="宋体" w:hAnsi="宋体" w:cs="宋体"/>
                <w:b/>
                <w:color w:val="auto"/>
                <w:highlight w:val="none"/>
                <w:lang w:bidi="ar"/>
              </w:rPr>
              <w:t>偏离情况（正偏离或负偏离）</w:t>
            </w:r>
          </w:p>
        </w:tc>
      </w:tr>
      <w:tr w14:paraId="53E0E4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110F9BF6">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28874E81">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402AE38A">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11836FAE">
            <w:pPr>
              <w:snapToGrid w:val="0"/>
              <w:spacing w:before="120" w:beforeLines="50" w:line="360" w:lineRule="auto"/>
              <w:rPr>
                <w:rFonts w:hint="eastAsia" w:ascii="宋体" w:hAnsi="宋体" w:cs="宋体"/>
                <w:color w:val="auto"/>
                <w:szCs w:val="20"/>
                <w:highlight w:val="none"/>
              </w:rPr>
            </w:pPr>
          </w:p>
        </w:tc>
      </w:tr>
      <w:tr w14:paraId="6B79C8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066B79C0">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6CF32561">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3138B9B6">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5993D470">
            <w:pPr>
              <w:snapToGrid w:val="0"/>
              <w:spacing w:before="120" w:beforeLines="50" w:line="360" w:lineRule="auto"/>
              <w:rPr>
                <w:rFonts w:hint="eastAsia" w:ascii="宋体" w:hAnsi="宋体" w:cs="宋体"/>
                <w:color w:val="auto"/>
                <w:szCs w:val="20"/>
                <w:highlight w:val="none"/>
              </w:rPr>
            </w:pPr>
          </w:p>
        </w:tc>
      </w:tr>
      <w:tr w14:paraId="5BB2BC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617B3E1A">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54F336F2">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1F47A483">
            <w:pPr>
              <w:snapToGrid w:val="0"/>
              <w:spacing w:before="120" w:beforeLines="50" w:line="360" w:lineRule="auto"/>
              <w:ind w:left="86"/>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381638B2">
            <w:pPr>
              <w:snapToGrid w:val="0"/>
              <w:spacing w:before="120" w:beforeLines="50" w:line="360" w:lineRule="auto"/>
              <w:ind w:left="86"/>
              <w:rPr>
                <w:rFonts w:hint="eastAsia" w:ascii="宋体" w:hAnsi="宋体" w:cs="宋体"/>
                <w:color w:val="auto"/>
                <w:szCs w:val="20"/>
                <w:highlight w:val="none"/>
              </w:rPr>
            </w:pPr>
          </w:p>
        </w:tc>
      </w:tr>
      <w:tr w14:paraId="27C6BC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3DF0F182">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1C400EB7">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409D32BB">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58011339">
            <w:pPr>
              <w:snapToGrid w:val="0"/>
              <w:spacing w:before="120" w:beforeLines="50" w:line="360" w:lineRule="auto"/>
              <w:rPr>
                <w:rFonts w:hint="eastAsia" w:ascii="宋体" w:hAnsi="宋体" w:cs="宋体"/>
                <w:color w:val="auto"/>
                <w:szCs w:val="20"/>
                <w:highlight w:val="none"/>
              </w:rPr>
            </w:pPr>
          </w:p>
        </w:tc>
      </w:tr>
      <w:tr w14:paraId="5F31AE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58" w:type="dxa"/>
            <w:tcBorders>
              <w:top w:val="single" w:color="auto" w:sz="4" w:space="0"/>
              <w:left w:val="single" w:color="auto" w:sz="4" w:space="0"/>
              <w:bottom w:val="single" w:color="auto" w:sz="4" w:space="0"/>
              <w:right w:val="single" w:color="auto" w:sz="4" w:space="0"/>
            </w:tcBorders>
            <w:noWrap w:val="0"/>
            <w:vAlign w:val="top"/>
          </w:tcPr>
          <w:p w14:paraId="1DE59DAA">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23DA0D7C">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473412E5">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0B3C03BC">
            <w:pPr>
              <w:snapToGrid w:val="0"/>
              <w:spacing w:before="120" w:beforeLines="50" w:line="360" w:lineRule="auto"/>
              <w:rPr>
                <w:rFonts w:hint="eastAsia" w:ascii="宋体" w:hAnsi="宋体" w:cs="宋体"/>
                <w:color w:val="auto"/>
                <w:szCs w:val="20"/>
                <w:highlight w:val="none"/>
              </w:rPr>
            </w:pPr>
          </w:p>
        </w:tc>
      </w:tr>
      <w:tr w14:paraId="4CB04F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58" w:type="dxa"/>
            <w:tcBorders>
              <w:top w:val="single" w:color="auto" w:sz="4" w:space="0"/>
              <w:left w:val="single" w:color="auto" w:sz="4" w:space="0"/>
              <w:bottom w:val="single" w:color="auto" w:sz="4" w:space="0"/>
              <w:right w:val="single" w:color="auto" w:sz="4" w:space="0"/>
            </w:tcBorders>
            <w:noWrap w:val="0"/>
            <w:vAlign w:val="top"/>
          </w:tcPr>
          <w:p w14:paraId="2BC06A7A">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09095019">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3A06DB1A">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3AFFC9DF">
            <w:pPr>
              <w:snapToGrid w:val="0"/>
              <w:spacing w:before="120" w:beforeLines="50" w:line="360" w:lineRule="auto"/>
              <w:rPr>
                <w:rFonts w:hint="eastAsia" w:ascii="宋体" w:hAnsi="宋体" w:cs="宋体"/>
                <w:color w:val="auto"/>
                <w:szCs w:val="20"/>
                <w:highlight w:val="none"/>
              </w:rPr>
            </w:pPr>
          </w:p>
        </w:tc>
      </w:tr>
      <w:tr w14:paraId="1FEA8B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4"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4F7D03CB">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43ECD9ED">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66BA5587">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62831F32">
            <w:pPr>
              <w:snapToGrid w:val="0"/>
              <w:spacing w:before="120" w:beforeLines="50" w:line="360" w:lineRule="auto"/>
              <w:rPr>
                <w:rFonts w:hint="eastAsia" w:ascii="宋体" w:hAnsi="宋体" w:cs="宋体"/>
                <w:color w:val="auto"/>
                <w:szCs w:val="20"/>
                <w:highlight w:val="none"/>
              </w:rPr>
            </w:pPr>
          </w:p>
        </w:tc>
      </w:tr>
      <w:tr w14:paraId="1CE9EA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4"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3E3569AF">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0950453C">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05CCC8DE">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3AAD64B8">
            <w:pPr>
              <w:snapToGrid w:val="0"/>
              <w:spacing w:before="120" w:beforeLines="50" w:line="360" w:lineRule="auto"/>
              <w:rPr>
                <w:rFonts w:hint="eastAsia" w:ascii="宋体" w:hAnsi="宋体" w:cs="宋体"/>
                <w:color w:val="auto"/>
                <w:szCs w:val="20"/>
                <w:highlight w:val="none"/>
              </w:rPr>
            </w:pPr>
          </w:p>
        </w:tc>
      </w:tr>
    </w:tbl>
    <w:p w14:paraId="47593246">
      <w:pPr>
        <w:pStyle w:val="104"/>
        <w:tabs>
          <w:tab w:val="left" w:pos="360"/>
        </w:tabs>
        <w:spacing w:line="360" w:lineRule="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要求：</w:t>
      </w:r>
      <w:r>
        <w:rPr>
          <w:rFonts w:hint="eastAsia" w:ascii="宋体" w:hAnsi="宋体" w:cs="宋体"/>
          <w:b/>
          <w:bCs w:val="0"/>
          <w:color w:val="000000" w:themeColor="text1"/>
          <w:sz w:val="24"/>
          <w:highlight w:val="none"/>
          <w14:textFill>
            <w14:solidFill>
              <w14:schemeClr w14:val="tx1"/>
            </w14:solidFill>
          </w14:textFill>
        </w:rPr>
        <w:t>如投标人没有填写偏离表，视作该投标人完全响应招标文件的技术要求。</w:t>
      </w:r>
    </w:p>
    <w:p w14:paraId="4FD34F52">
      <w:pPr>
        <w:spacing w:line="360" w:lineRule="auto"/>
        <w:ind w:left="420"/>
        <w:rPr>
          <w:rFonts w:ascii="宋体" w:hAnsi="宋体" w:cs="宋体"/>
          <w:b/>
          <w:bCs/>
          <w:color w:val="000000" w:themeColor="text1"/>
          <w:sz w:val="21"/>
          <w:szCs w:val="21"/>
          <w:highlight w:val="none"/>
          <w14:textFill>
            <w14:solidFill>
              <w14:schemeClr w14:val="tx1"/>
            </w14:solidFill>
          </w14:textFill>
        </w:rPr>
      </w:pPr>
    </w:p>
    <w:p w14:paraId="4470993E">
      <w:pPr>
        <w:pStyle w:val="15"/>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49ECDABF">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17A4951C">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5FEBF462">
      <w:pPr>
        <w:snapToGrid w:val="0"/>
        <w:spacing w:before="50" w:after="50"/>
        <w:ind w:left="-54" w:leftChars="-72" w:right="-1089" w:rightChars="-389" w:hanging="148" w:hangingChars="62"/>
        <w:rPr>
          <w:rFonts w:ascii="宋体" w:hAnsi="宋体"/>
          <w:color w:val="000000" w:themeColor="text1"/>
          <w:sz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0351D88C">
      <w:pPr>
        <w:snapToGrid w:val="0"/>
        <w:spacing w:before="50" w:after="50"/>
        <w:ind w:left="36" w:leftChars="13" w:right="-1089" w:rightChars="-389" w:firstLine="89" w:firstLineChars="37"/>
        <w:jc w:val="left"/>
        <w:rPr>
          <w:rFonts w:hint="eastAsia" w:ascii="宋体" w:hAnsi="宋体" w:eastAsia="宋体"/>
          <w:b/>
          <w:bCs/>
          <w:color w:val="000000" w:themeColor="text1"/>
          <w:sz w:val="24"/>
          <w:highlight w:val="none"/>
          <w:lang w:eastAsia="zh-CN"/>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附件</w:t>
      </w:r>
      <w:r>
        <w:rPr>
          <w:rFonts w:hint="eastAsia" w:ascii="宋体" w:hAnsi="宋体"/>
          <w:b/>
          <w:bCs/>
          <w:color w:val="000000" w:themeColor="text1"/>
          <w:sz w:val="24"/>
          <w:highlight w:val="none"/>
          <w:lang w:val="en-US" w:eastAsia="zh-CN"/>
          <w14:textFill>
            <w14:solidFill>
              <w14:schemeClr w14:val="tx1"/>
            </w14:solidFill>
          </w14:textFill>
        </w:rPr>
        <w:t>6</w:t>
      </w:r>
      <w:r>
        <w:rPr>
          <w:rFonts w:hint="eastAsia" w:ascii="宋体" w:hAnsi="宋体"/>
          <w:b/>
          <w:bCs/>
          <w:color w:val="000000" w:themeColor="text1"/>
          <w:sz w:val="24"/>
          <w:highlight w:val="none"/>
          <w:lang w:eastAsia="zh-CN"/>
          <w14:textFill>
            <w14:solidFill>
              <w14:schemeClr w14:val="tx1"/>
            </w14:solidFill>
          </w14:textFill>
        </w:rPr>
        <w:t>：</w:t>
      </w:r>
    </w:p>
    <w:p w14:paraId="499757E3">
      <w:pPr>
        <w:snapToGrid w:val="0"/>
        <w:spacing w:line="560" w:lineRule="exact"/>
        <w:jc w:val="center"/>
        <w:outlineLvl w:val="1"/>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lang w:bidi="ar"/>
          <w14:textFill>
            <w14:solidFill>
              <w14:schemeClr w14:val="tx1"/>
            </w14:solidFill>
          </w14:textFill>
        </w:rPr>
        <w:t>投标人诚信投标承诺书</w:t>
      </w:r>
    </w:p>
    <w:p w14:paraId="38A53049">
      <w:pPr>
        <w:spacing w:line="460" w:lineRule="exact"/>
        <w:rPr>
          <w:rFonts w:ascii="宋体" w:hAnsi="宋体" w:cs="宋体"/>
          <w:color w:val="000000" w:themeColor="text1"/>
          <w:sz w:val="24"/>
          <w:szCs w:val="20"/>
          <w:highlight w:val="none"/>
          <w14:textFill>
            <w14:solidFill>
              <w14:schemeClr w14:val="tx1"/>
            </w14:solidFill>
          </w14:textFill>
        </w:rPr>
      </w:pPr>
    </w:p>
    <w:p w14:paraId="4BFBD926">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本投标人郑重承诺：</w:t>
      </w:r>
    </w:p>
    <w:p w14:paraId="556B6657">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一、将遵循公开、公平、公正和诚实信用的原则参加</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工业服务中心二期（开元曼居—台州湾新区店）酒店电器采购</w:t>
      </w:r>
      <w:r>
        <w:rPr>
          <w:rFonts w:hint="eastAsia" w:ascii="宋体" w:hAnsi="宋体" w:cs="宋体"/>
          <w:color w:val="000000" w:themeColor="text1"/>
          <w:kern w:val="0"/>
          <w:sz w:val="24"/>
          <w:szCs w:val="20"/>
          <w:highlight w:val="none"/>
          <w:lang w:bidi="ar"/>
          <w14:textFill>
            <w14:solidFill>
              <w14:schemeClr w14:val="tx1"/>
            </w14:solidFill>
          </w14:textFill>
        </w:rPr>
        <w:t>的投标；</w:t>
      </w:r>
    </w:p>
    <w:p w14:paraId="7AF9AEB2">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二、不向采购人、招标代理机构和监管部门及其工作人员和评审人员贿赂，或采取其它不正当手段谋取中标或成交；</w:t>
      </w:r>
    </w:p>
    <w:p w14:paraId="75F2AEE9">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三、应公平竞争、诚实守信，不得采取不正当手段抵毁、排挤其他投标人，不提供虚假材料谋取中标或成交； </w:t>
      </w:r>
    </w:p>
    <w:p w14:paraId="0AA5ACC0">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四、中标成交后，不将招标项目非法转让他人，或未经采购人同意，将中标项目分包给他人；</w:t>
      </w:r>
    </w:p>
    <w:p w14:paraId="2EE0A578">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五、不与采购人、其它投标人和招标代理机构串通或恶意报价，哄抬招标价格；不在招标过程中与招标组织机构协商谈判；</w:t>
      </w:r>
    </w:p>
    <w:p w14:paraId="55E7D276">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六、中标成交后，按规定及时与采购人签订合同；无正当理由不拖延或拒绝与采购人签订合同，不与采购人订立有悖于招标结果的合同或协议</w:t>
      </w:r>
    </w:p>
    <w:p w14:paraId="30165658">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七、严格履行合同，不降低合同约定的产品质量和服务，不擅自变更、中止、终止合同，或拒绝履行合同义务；</w:t>
      </w:r>
    </w:p>
    <w:p w14:paraId="1BF0654D">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八、不捏造事实或者提供虚假材料，进行虚假、恶意质疑、投诉，扰乱招标工作；</w:t>
      </w:r>
    </w:p>
    <w:p w14:paraId="48271E6C">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九、自觉接受和配合有关政府招标监督部门的监督检查，不拒绝或在检查中提供虚假材料。</w:t>
      </w:r>
    </w:p>
    <w:p w14:paraId="2CC87C79">
      <w:pPr>
        <w:spacing w:line="360" w:lineRule="auto"/>
        <w:ind w:firstLine="480" w:firstLineChars="200"/>
        <w:rPr>
          <w:rFonts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本公司若有违反承诺内容的行为，自愿接受记入信用档案等有关处理，愿意承担法律责任。如已中标的，自动放弃中标资格给采购人造成损失的，依法承担赔偿责任。</w:t>
      </w:r>
    </w:p>
    <w:p w14:paraId="6A9E80E0">
      <w:pPr>
        <w:pStyle w:val="14"/>
        <w:rPr>
          <w:color w:val="000000" w:themeColor="text1"/>
          <w:highlight w:val="none"/>
          <w14:textFill>
            <w14:solidFill>
              <w14:schemeClr w14:val="tx1"/>
            </w14:solidFill>
          </w14:textFill>
        </w:rPr>
      </w:pPr>
    </w:p>
    <w:p w14:paraId="190A1B04">
      <w:pPr>
        <w:pStyle w:val="15"/>
        <w:ind w:firstLine="210"/>
        <w:rPr>
          <w:color w:val="000000" w:themeColor="text1"/>
          <w:highlight w:val="none"/>
          <w14:textFill>
            <w14:solidFill>
              <w14:schemeClr w14:val="tx1"/>
            </w14:solidFill>
          </w14:textFill>
        </w:rPr>
      </w:pPr>
    </w:p>
    <w:p w14:paraId="0B800182">
      <w:pPr>
        <w:rPr>
          <w:color w:val="000000" w:themeColor="text1"/>
          <w:highlight w:val="none"/>
          <w14:textFill>
            <w14:solidFill>
              <w14:schemeClr w14:val="tx1"/>
            </w14:solidFill>
          </w14:textFill>
        </w:rPr>
      </w:pPr>
    </w:p>
    <w:p w14:paraId="61EE330A">
      <w:pPr>
        <w:pStyle w:val="15"/>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5F9723E6">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2CD7F8C3">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263FAB2A">
      <w:pPr>
        <w:spacing w:line="400" w:lineRule="exact"/>
        <w:rPr>
          <w:rFonts w:ascii="宋体" w:hAnsi="宋体" w:cs="宋体"/>
          <w:color w:val="000000" w:themeColor="text1"/>
          <w:sz w:val="24"/>
          <w:highlight w:val="none"/>
          <w14:textFill>
            <w14:solidFill>
              <w14:schemeClr w14:val="tx1"/>
            </w14:solidFill>
          </w14:textFill>
        </w:rPr>
      </w:pPr>
    </w:p>
    <w:p w14:paraId="4C601501">
      <w:pPr>
        <w:spacing w:line="400" w:lineRule="exact"/>
        <w:rPr>
          <w:rFonts w:ascii="宋体" w:hAnsi="宋体" w:cs="宋体"/>
          <w:color w:val="000000" w:themeColor="text1"/>
          <w:sz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0C828E10">
      <w:pPr>
        <w:spacing w:line="360" w:lineRule="auto"/>
        <w:ind w:left="36" w:leftChars="13" w:right="-1089" w:rightChars="-389" w:firstLine="89" w:firstLineChars="37"/>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w:t>
      </w:r>
    </w:p>
    <w:p w14:paraId="030B1B77">
      <w:pPr>
        <w:adjustRightInd w:val="0"/>
        <w:snapToGrid w:val="0"/>
        <w:spacing w:line="360" w:lineRule="auto"/>
        <w:ind w:right="480"/>
        <w:jc w:val="center"/>
        <w:outlineLvl w:val="1"/>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14:paraId="13AFF662">
      <w:pPr>
        <w:snapToGrid w:val="0"/>
        <w:spacing w:before="120" w:beforeLines="50" w:after="50"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（采购代理机构名称）：</w:t>
      </w:r>
    </w:p>
    <w:p w14:paraId="35679E76">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9006B76">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）的法定代表人（机构负责人），我公司自愿参加贵方组织的</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工业服务中心二期（开元曼居—台州湾新区店）酒店电器采购</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720711BF">
      <w:pP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采购领域中的项目招标、投标和合同履约期间无任何不良行为记录；无重大违法记录（重大违法记录是指投标人因违法经营受到刑事处罚或者责令停产停业、吊销许可证或者执照、较大数额罚款等行政处罚）。</w:t>
      </w:r>
    </w:p>
    <w:p w14:paraId="1C8C06AF">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14:paraId="770E0AB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7B18EA0C">
      <w:pPr>
        <w:snapToGrid w:val="0"/>
        <w:spacing w:line="360"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233A1AC5">
      <w:pPr>
        <w:snapToGrid w:val="0"/>
        <w:spacing w:line="360" w:lineRule="auto"/>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严格履行采购合同，不降低合同约定的产品质量和服务，不擅自变更、中止、终止合同，或拒绝履行合同义务；</w:t>
      </w:r>
    </w:p>
    <w:p w14:paraId="25DEED9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5D7E6B4F">
      <w:pPr>
        <w:adjustRightInd w:val="0"/>
        <w:snapToGrid w:val="0"/>
        <w:spacing w:line="400" w:lineRule="exact"/>
        <w:ind w:firstLine="480"/>
        <w:rPr>
          <w:rFonts w:ascii="宋体" w:hAnsi="宋体" w:cs="仿宋_GB2312"/>
          <w:color w:val="000000" w:themeColor="text1"/>
          <w:kern w:val="0"/>
          <w:sz w:val="24"/>
          <w:highlight w:val="none"/>
          <w14:textFill>
            <w14:solidFill>
              <w14:schemeClr w14:val="tx1"/>
            </w14:solidFill>
          </w14:textFill>
        </w:rPr>
      </w:pPr>
    </w:p>
    <w:p w14:paraId="72DF79AA">
      <w:pPr>
        <w:pStyle w:val="15"/>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1AA865C2">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11737289">
      <w:pPr>
        <w:spacing w:line="360" w:lineRule="auto"/>
        <w:ind w:firstLine="4080" w:firstLineChars="170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4B705F94">
      <w:pPr>
        <w:pStyle w:val="3"/>
        <w:rPr>
          <w:rFonts w:hint="eastAsia" w:ascii="宋体"/>
          <w:color w:val="000000" w:themeColor="text1"/>
          <w:sz w:val="24"/>
          <w:highlight w:val="none"/>
          <w14:textFill>
            <w14:solidFill>
              <w14:schemeClr w14:val="tx1"/>
            </w14:solidFill>
          </w14:textFill>
        </w:rPr>
      </w:pPr>
    </w:p>
    <w:p w14:paraId="3CE482CD">
      <w:pPr>
        <w:pStyle w:val="26"/>
        <w:rPr>
          <w:rFonts w:hint="eastAsia" w:ascii="宋体"/>
          <w:color w:val="000000" w:themeColor="text1"/>
          <w:sz w:val="24"/>
          <w:highlight w:val="none"/>
          <w14:textFill>
            <w14:solidFill>
              <w14:schemeClr w14:val="tx1"/>
            </w14:solidFill>
          </w14:textFill>
        </w:rPr>
      </w:pPr>
    </w:p>
    <w:p w14:paraId="2D0F9BB5">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w:t>
      </w:r>
    </w:p>
    <w:p w14:paraId="29B093A5">
      <w:pPr>
        <w:spacing w:line="360" w:lineRule="auto"/>
        <w:jc w:val="center"/>
        <w:rPr>
          <w:rFonts w:hint="eastAsia" w:ascii="宋体" w:hAnsi="宋体"/>
          <w:b/>
          <w:color w:val="auto"/>
          <w:sz w:val="36"/>
          <w:szCs w:val="32"/>
          <w:highlight w:val="none"/>
        </w:rPr>
      </w:pPr>
      <w:r>
        <w:rPr>
          <w:rFonts w:hint="eastAsia" w:ascii="宋体" w:hAnsi="宋体"/>
          <w:b/>
          <w:color w:val="auto"/>
          <w:sz w:val="36"/>
          <w:szCs w:val="32"/>
          <w:highlight w:val="none"/>
        </w:rPr>
        <w:t>业绩一览表</w:t>
      </w:r>
    </w:p>
    <w:p w14:paraId="48D259F9">
      <w:pPr>
        <w:spacing w:line="320" w:lineRule="exact"/>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b/>
          <w:bCs/>
          <w:color w:val="auto"/>
          <w:highlight w:val="none"/>
        </w:rPr>
        <w:t>项目名称</w:t>
      </w:r>
      <w:r>
        <w:rPr>
          <w:rFonts w:hint="eastAsia" w:ascii="宋体" w:hAnsi="宋体"/>
          <w:color w:val="auto"/>
          <w:highlight w:val="none"/>
        </w:rPr>
        <w:t>：</w:t>
      </w:r>
    </w:p>
    <w:p w14:paraId="1B1260DE">
      <w:pPr>
        <w:spacing w:line="400" w:lineRule="atLeast"/>
        <w:ind w:firstLine="281" w:firstLineChars="100"/>
        <w:rPr>
          <w:rFonts w:hint="eastAsia"/>
          <w:color w:val="auto"/>
          <w:highlight w:val="none"/>
        </w:rPr>
      </w:pPr>
      <w:r>
        <w:rPr>
          <w:rFonts w:hint="eastAsia" w:ascii="宋体" w:hAnsi="宋体"/>
          <w:b/>
          <w:bCs/>
          <w:color w:val="auto"/>
          <w:highlight w:val="none"/>
        </w:rPr>
        <w:t>项目编号：</w:t>
      </w:r>
    </w:p>
    <w:tbl>
      <w:tblPr>
        <w:tblStyle w:val="37"/>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345"/>
        <w:gridCol w:w="1933"/>
        <w:gridCol w:w="2499"/>
        <w:gridCol w:w="2597"/>
      </w:tblGrid>
      <w:tr w14:paraId="2F5E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24" w:type="dxa"/>
            <w:noWrap w:val="0"/>
            <w:vAlign w:val="center"/>
          </w:tcPr>
          <w:p w14:paraId="790894A9">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2345" w:type="dxa"/>
            <w:noWrap w:val="0"/>
            <w:vAlign w:val="center"/>
          </w:tcPr>
          <w:p w14:paraId="1A341A61">
            <w:pPr>
              <w:spacing w:line="36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1933" w:type="dxa"/>
            <w:noWrap w:val="0"/>
            <w:vAlign w:val="center"/>
          </w:tcPr>
          <w:p w14:paraId="13A50CFB">
            <w:pPr>
              <w:spacing w:line="360" w:lineRule="auto"/>
              <w:jc w:val="center"/>
              <w:rPr>
                <w:rFonts w:hint="eastAsia" w:ascii="宋体" w:hAnsi="宋体"/>
                <w:color w:val="auto"/>
                <w:sz w:val="24"/>
                <w:highlight w:val="none"/>
              </w:rPr>
            </w:pPr>
            <w:r>
              <w:rPr>
                <w:rFonts w:hint="eastAsia" w:ascii="宋体" w:hAnsi="宋体"/>
                <w:color w:val="auto"/>
                <w:sz w:val="24"/>
                <w:highlight w:val="none"/>
              </w:rPr>
              <w:t>项目规模</w:t>
            </w:r>
          </w:p>
        </w:tc>
        <w:tc>
          <w:tcPr>
            <w:tcW w:w="2499" w:type="dxa"/>
            <w:noWrap w:val="0"/>
            <w:vAlign w:val="center"/>
          </w:tcPr>
          <w:p w14:paraId="2B7F4643">
            <w:pPr>
              <w:spacing w:line="360" w:lineRule="auto"/>
              <w:jc w:val="center"/>
              <w:rPr>
                <w:rFonts w:hint="eastAsia" w:ascii="宋体" w:hAnsi="宋体"/>
                <w:color w:val="auto"/>
                <w:sz w:val="24"/>
                <w:highlight w:val="none"/>
              </w:rPr>
            </w:pPr>
            <w:r>
              <w:rPr>
                <w:rFonts w:hint="eastAsia" w:ascii="宋体" w:hAnsi="宋体"/>
                <w:color w:val="auto"/>
                <w:sz w:val="24"/>
                <w:highlight w:val="none"/>
              </w:rPr>
              <w:t>业主单位名称</w:t>
            </w:r>
          </w:p>
          <w:p w14:paraId="32A865D6">
            <w:pPr>
              <w:spacing w:line="360" w:lineRule="auto"/>
              <w:jc w:val="center"/>
              <w:rPr>
                <w:rFonts w:hint="eastAsia" w:ascii="宋体" w:hAnsi="宋体"/>
                <w:color w:val="auto"/>
                <w:sz w:val="24"/>
                <w:highlight w:val="none"/>
              </w:rPr>
            </w:pPr>
            <w:r>
              <w:rPr>
                <w:rFonts w:hint="eastAsia" w:ascii="宋体" w:hAnsi="宋体"/>
                <w:color w:val="auto"/>
                <w:sz w:val="24"/>
                <w:highlight w:val="none"/>
              </w:rPr>
              <w:t>（联系人、联系电话）</w:t>
            </w:r>
          </w:p>
        </w:tc>
        <w:tc>
          <w:tcPr>
            <w:tcW w:w="2597" w:type="dxa"/>
            <w:noWrap w:val="0"/>
            <w:vAlign w:val="center"/>
          </w:tcPr>
          <w:p w14:paraId="250D63B3">
            <w:pPr>
              <w:spacing w:line="360" w:lineRule="auto"/>
              <w:jc w:val="center"/>
              <w:rPr>
                <w:rFonts w:hint="eastAsia" w:ascii="宋体" w:hAnsi="宋体"/>
                <w:color w:val="auto"/>
                <w:sz w:val="24"/>
                <w:highlight w:val="none"/>
              </w:rPr>
            </w:pPr>
            <w:r>
              <w:rPr>
                <w:rFonts w:hint="eastAsia" w:ascii="宋体" w:hAnsi="宋体"/>
                <w:color w:val="auto"/>
                <w:sz w:val="24"/>
                <w:highlight w:val="none"/>
              </w:rPr>
              <w:t>提供的资料</w:t>
            </w:r>
          </w:p>
        </w:tc>
      </w:tr>
      <w:tr w14:paraId="1A5A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752E9094">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2345" w:type="dxa"/>
            <w:noWrap w:val="0"/>
            <w:vAlign w:val="center"/>
          </w:tcPr>
          <w:p w14:paraId="0A47C91E">
            <w:pPr>
              <w:spacing w:line="360" w:lineRule="auto"/>
              <w:jc w:val="center"/>
              <w:rPr>
                <w:rFonts w:hint="eastAsia" w:ascii="宋体" w:hAnsi="宋体"/>
                <w:color w:val="auto"/>
                <w:sz w:val="24"/>
                <w:highlight w:val="none"/>
              </w:rPr>
            </w:pPr>
          </w:p>
        </w:tc>
        <w:tc>
          <w:tcPr>
            <w:tcW w:w="1933" w:type="dxa"/>
            <w:noWrap w:val="0"/>
            <w:vAlign w:val="center"/>
          </w:tcPr>
          <w:p w14:paraId="1FA30280">
            <w:pPr>
              <w:spacing w:line="360" w:lineRule="auto"/>
              <w:jc w:val="center"/>
              <w:rPr>
                <w:rFonts w:hint="eastAsia" w:ascii="宋体" w:hAnsi="宋体"/>
                <w:color w:val="auto"/>
                <w:sz w:val="24"/>
                <w:highlight w:val="none"/>
              </w:rPr>
            </w:pPr>
          </w:p>
        </w:tc>
        <w:tc>
          <w:tcPr>
            <w:tcW w:w="2499" w:type="dxa"/>
            <w:noWrap w:val="0"/>
            <w:vAlign w:val="center"/>
          </w:tcPr>
          <w:p w14:paraId="73ECF471">
            <w:pPr>
              <w:spacing w:line="360" w:lineRule="auto"/>
              <w:jc w:val="center"/>
              <w:rPr>
                <w:rFonts w:hint="eastAsia" w:ascii="宋体" w:hAnsi="宋体"/>
                <w:color w:val="auto"/>
                <w:sz w:val="24"/>
                <w:highlight w:val="none"/>
              </w:rPr>
            </w:pPr>
          </w:p>
        </w:tc>
        <w:tc>
          <w:tcPr>
            <w:tcW w:w="2597" w:type="dxa"/>
            <w:noWrap w:val="0"/>
            <w:vAlign w:val="center"/>
          </w:tcPr>
          <w:p w14:paraId="59519B3E">
            <w:pPr>
              <w:spacing w:line="360" w:lineRule="auto"/>
              <w:jc w:val="center"/>
              <w:rPr>
                <w:rFonts w:hint="eastAsia" w:ascii="宋体" w:hAnsi="宋体"/>
                <w:color w:val="auto"/>
                <w:sz w:val="24"/>
                <w:highlight w:val="none"/>
              </w:rPr>
            </w:pPr>
          </w:p>
        </w:tc>
      </w:tr>
      <w:tr w14:paraId="61B0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6260F1E2">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2345" w:type="dxa"/>
            <w:noWrap w:val="0"/>
            <w:vAlign w:val="center"/>
          </w:tcPr>
          <w:p w14:paraId="7DE8D123">
            <w:pPr>
              <w:spacing w:line="360" w:lineRule="auto"/>
              <w:jc w:val="center"/>
              <w:rPr>
                <w:rFonts w:hint="eastAsia" w:ascii="宋体" w:hAnsi="宋体"/>
                <w:color w:val="auto"/>
                <w:sz w:val="24"/>
                <w:highlight w:val="none"/>
              </w:rPr>
            </w:pPr>
          </w:p>
        </w:tc>
        <w:tc>
          <w:tcPr>
            <w:tcW w:w="1933" w:type="dxa"/>
            <w:noWrap w:val="0"/>
            <w:vAlign w:val="center"/>
          </w:tcPr>
          <w:p w14:paraId="51810080">
            <w:pPr>
              <w:spacing w:line="360" w:lineRule="auto"/>
              <w:jc w:val="center"/>
              <w:rPr>
                <w:rFonts w:hint="eastAsia" w:ascii="宋体" w:hAnsi="宋体"/>
                <w:color w:val="auto"/>
                <w:sz w:val="24"/>
                <w:highlight w:val="none"/>
              </w:rPr>
            </w:pPr>
          </w:p>
        </w:tc>
        <w:tc>
          <w:tcPr>
            <w:tcW w:w="2499" w:type="dxa"/>
            <w:noWrap w:val="0"/>
            <w:vAlign w:val="center"/>
          </w:tcPr>
          <w:p w14:paraId="155176C3">
            <w:pPr>
              <w:spacing w:line="360" w:lineRule="auto"/>
              <w:jc w:val="center"/>
              <w:rPr>
                <w:rFonts w:hint="eastAsia" w:ascii="宋体" w:hAnsi="宋体"/>
                <w:color w:val="auto"/>
                <w:sz w:val="24"/>
                <w:highlight w:val="none"/>
              </w:rPr>
            </w:pPr>
          </w:p>
        </w:tc>
        <w:tc>
          <w:tcPr>
            <w:tcW w:w="2597" w:type="dxa"/>
            <w:noWrap w:val="0"/>
            <w:vAlign w:val="center"/>
          </w:tcPr>
          <w:p w14:paraId="1A1412CF">
            <w:pPr>
              <w:spacing w:line="360" w:lineRule="auto"/>
              <w:jc w:val="center"/>
              <w:rPr>
                <w:rFonts w:hint="eastAsia" w:ascii="宋体" w:hAnsi="宋体"/>
                <w:color w:val="auto"/>
                <w:sz w:val="24"/>
                <w:highlight w:val="none"/>
              </w:rPr>
            </w:pPr>
          </w:p>
        </w:tc>
      </w:tr>
      <w:tr w14:paraId="3594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2D9179B3">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2345" w:type="dxa"/>
            <w:noWrap w:val="0"/>
            <w:vAlign w:val="center"/>
          </w:tcPr>
          <w:p w14:paraId="3E9ECB5E">
            <w:pPr>
              <w:spacing w:line="360" w:lineRule="auto"/>
              <w:jc w:val="center"/>
              <w:rPr>
                <w:rFonts w:hint="eastAsia" w:ascii="宋体" w:hAnsi="宋体"/>
                <w:color w:val="auto"/>
                <w:sz w:val="24"/>
                <w:highlight w:val="none"/>
              </w:rPr>
            </w:pPr>
          </w:p>
        </w:tc>
        <w:tc>
          <w:tcPr>
            <w:tcW w:w="1933" w:type="dxa"/>
            <w:noWrap w:val="0"/>
            <w:vAlign w:val="center"/>
          </w:tcPr>
          <w:p w14:paraId="6B297D85">
            <w:pPr>
              <w:spacing w:line="360" w:lineRule="auto"/>
              <w:jc w:val="center"/>
              <w:rPr>
                <w:rFonts w:hint="eastAsia" w:ascii="宋体" w:hAnsi="宋体"/>
                <w:color w:val="auto"/>
                <w:sz w:val="24"/>
                <w:highlight w:val="none"/>
              </w:rPr>
            </w:pPr>
          </w:p>
        </w:tc>
        <w:tc>
          <w:tcPr>
            <w:tcW w:w="2499" w:type="dxa"/>
            <w:noWrap w:val="0"/>
            <w:vAlign w:val="center"/>
          </w:tcPr>
          <w:p w14:paraId="7082740E">
            <w:pPr>
              <w:spacing w:line="360" w:lineRule="auto"/>
              <w:jc w:val="center"/>
              <w:rPr>
                <w:rFonts w:hint="eastAsia" w:ascii="宋体" w:hAnsi="宋体"/>
                <w:color w:val="auto"/>
                <w:sz w:val="24"/>
                <w:highlight w:val="none"/>
              </w:rPr>
            </w:pPr>
          </w:p>
        </w:tc>
        <w:tc>
          <w:tcPr>
            <w:tcW w:w="2597" w:type="dxa"/>
            <w:noWrap w:val="0"/>
            <w:vAlign w:val="center"/>
          </w:tcPr>
          <w:p w14:paraId="26B91138">
            <w:pPr>
              <w:spacing w:line="360" w:lineRule="auto"/>
              <w:jc w:val="center"/>
              <w:rPr>
                <w:rFonts w:hint="eastAsia" w:ascii="宋体" w:hAnsi="宋体"/>
                <w:color w:val="auto"/>
                <w:sz w:val="24"/>
                <w:highlight w:val="none"/>
              </w:rPr>
            </w:pPr>
          </w:p>
        </w:tc>
      </w:tr>
      <w:tr w14:paraId="7DF5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42FCABBB">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2345" w:type="dxa"/>
            <w:noWrap w:val="0"/>
            <w:vAlign w:val="center"/>
          </w:tcPr>
          <w:p w14:paraId="148004F9">
            <w:pPr>
              <w:spacing w:line="360" w:lineRule="auto"/>
              <w:jc w:val="center"/>
              <w:rPr>
                <w:rFonts w:hint="eastAsia" w:ascii="宋体" w:hAnsi="宋体"/>
                <w:color w:val="auto"/>
                <w:sz w:val="24"/>
                <w:highlight w:val="none"/>
              </w:rPr>
            </w:pPr>
          </w:p>
        </w:tc>
        <w:tc>
          <w:tcPr>
            <w:tcW w:w="1933" w:type="dxa"/>
            <w:noWrap w:val="0"/>
            <w:vAlign w:val="center"/>
          </w:tcPr>
          <w:p w14:paraId="1F2A1AE6">
            <w:pPr>
              <w:spacing w:line="360" w:lineRule="auto"/>
              <w:jc w:val="center"/>
              <w:rPr>
                <w:rFonts w:hint="eastAsia" w:ascii="宋体" w:hAnsi="宋体"/>
                <w:color w:val="auto"/>
                <w:sz w:val="24"/>
                <w:highlight w:val="none"/>
              </w:rPr>
            </w:pPr>
          </w:p>
        </w:tc>
        <w:tc>
          <w:tcPr>
            <w:tcW w:w="2499" w:type="dxa"/>
            <w:noWrap w:val="0"/>
            <w:vAlign w:val="center"/>
          </w:tcPr>
          <w:p w14:paraId="271C69D3">
            <w:pPr>
              <w:spacing w:line="360" w:lineRule="auto"/>
              <w:jc w:val="center"/>
              <w:rPr>
                <w:rFonts w:hint="eastAsia" w:ascii="宋体" w:hAnsi="宋体"/>
                <w:color w:val="auto"/>
                <w:sz w:val="24"/>
                <w:highlight w:val="none"/>
              </w:rPr>
            </w:pPr>
          </w:p>
        </w:tc>
        <w:tc>
          <w:tcPr>
            <w:tcW w:w="2597" w:type="dxa"/>
            <w:noWrap w:val="0"/>
            <w:vAlign w:val="center"/>
          </w:tcPr>
          <w:p w14:paraId="75033891">
            <w:pPr>
              <w:spacing w:line="360" w:lineRule="auto"/>
              <w:jc w:val="center"/>
              <w:rPr>
                <w:rFonts w:hint="eastAsia" w:ascii="宋体" w:hAnsi="宋体"/>
                <w:color w:val="auto"/>
                <w:sz w:val="24"/>
                <w:highlight w:val="none"/>
              </w:rPr>
            </w:pPr>
          </w:p>
        </w:tc>
      </w:tr>
      <w:tr w14:paraId="027A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24" w:type="dxa"/>
            <w:noWrap w:val="0"/>
            <w:vAlign w:val="center"/>
          </w:tcPr>
          <w:p w14:paraId="0A099E9B">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2345" w:type="dxa"/>
            <w:noWrap w:val="0"/>
            <w:vAlign w:val="center"/>
          </w:tcPr>
          <w:p w14:paraId="0E803746">
            <w:pPr>
              <w:spacing w:line="360" w:lineRule="auto"/>
              <w:jc w:val="center"/>
              <w:rPr>
                <w:rFonts w:hint="eastAsia" w:ascii="宋体" w:hAnsi="宋体"/>
                <w:color w:val="auto"/>
                <w:sz w:val="24"/>
                <w:highlight w:val="none"/>
              </w:rPr>
            </w:pPr>
          </w:p>
        </w:tc>
        <w:tc>
          <w:tcPr>
            <w:tcW w:w="1933" w:type="dxa"/>
            <w:noWrap w:val="0"/>
            <w:vAlign w:val="center"/>
          </w:tcPr>
          <w:p w14:paraId="5EF58139">
            <w:pPr>
              <w:spacing w:line="360" w:lineRule="auto"/>
              <w:jc w:val="center"/>
              <w:rPr>
                <w:rFonts w:hint="eastAsia" w:ascii="宋体" w:hAnsi="宋体"/>
                <w:color w:val="auto"/>
                <w:sz w:val="24"/>
                <w:highlight w:val="none"/>
              </w:rPr>
            </w:pPr>
          </w:p>
        </w:tc>
        <w:tc>
          <w:tcPr>
            <w:tcW w:w="2499" w:type="dxa"/>
            <w:noWrap w:val="0"/>
            <w:vAlign w:val="center"/>
          </w:tcPr>
          <w:p w14:paraId="175C6F54">
            <w:pPr>
              <w:spacing w:line="360" w:lineRule="auto"/>
              <w:jc w:val="center"/>
              <w:rPr>
                <w:rFonts w:hint="eastAsia" w:ascii="宋体" w:hAnsi="宋体"/>
                <w:color w:val="auto"/>
                <w:sz w:val="24"/>
                <w:highlight w:val="none"/>
              </w:rPr>
            </w:pPr>
          </w:p>
        </w:tc>
        <w:tc>
          <w:tcPr>
            <w:tcW w:w="2597" w:type="dxa"/>
            <w:noWrap w:val="0"/>
            <w:vAlign w:val="center"/>
          </w:tcPr>
          <w:p w14:paraId="56B900EC">
            <w:pPr>
              <w:spacing w:line="360" w:lineRule="auto"/>
              <w:jc w:val="center"/>
              <w:rPr>
                <w:rFonts w:hint="eastAsia" w:ascii="宋体" w:hAnsi="宋体"/>
                <w:color w:val="auto"/>
                <w:sz w:val="24"/>
                <w:highlight w:val="none"/>
              </w:rPr>
            </w:pPr>
          </w:p>
        </w:tc>
      </w:tr>
    </w:tbl>
    <w:p w14:paraId="0E5AB615">
      <w:pPr>
        <w:spacing w:line="360" w:lineRule="auto"/>
        <w:ind w:firstLine="211" w:firstLineChars="100"/>
        <w:rPr>
          <w:rFonts w:hint="eastAsia" w:ascii="宋体" w:hAnsi="宋体"/>
          <w:b/>
          <w:color w:val="auto"/>
          <w:sz w:val="21"/>
          <w:highlight w:val="none"/>
        </w:rPr>
      </w:pPr>
      <w:r>
        <w:rPr>
          <w:rFonts w:hint="eastAsia" w:ascii="宋体" w:hAnsi="宋体"/>
          <w:b/>
          <w:color w:val="auto"/>
          <w:sz w:val="21"/>
          <w:highlight w:val="none"/>
        </w:rPr>
        <w:t>注：投标人可根据需要扩展表格。</w:t>
      </w:r>
    </w:p>
    <w:p w14:paraId="11B88E2C">
      <w:pPr>
        <w:spacing w:line="360" w:lineRule="auto"/>
        <w:ind w:left="185" w:leftChars="66" w:firstLine="422" w:firstLineChars="200"/>
        <w:rPr>
          <w:rFonts w:hint="eastAsia" w:ascii="宋体" w:hAnsi="宋体"/>
          <w:b/>
          <w:color w:val="auto"/>
          <w:sz w:val="21"/>
          <w:highlight w:val="none"/>
        </w:rPr>
      </w:pPr>
      <w:r>
        <w:rPr>
          <w:rFonts w:hint="eastAsia" w:ascii="宋体" w:hAnsi="宋体"/>
          <w:b/>
          <w:color w:val="auto"/>
          <w:sz w:val="21"/>
          <w:highlight w:val="none"/>
        </w:rPr>
        <w:t>我方保证以上提供的资料是真实、准确的，如有虚假，愿接受被没收投标担保的处罚，并愿意承担法律责任。</w:t>
      </w:r>
    </w:p>
    <w:p w14:paraId="64EC4398">
      <w:pPr>
        <w:rPr>
          <w:rFonts w:hint="eastAsia" w:ascii="宋体" w:hAnsi="宋体" w:cs="仿宋_GB2312"/>
          <w:color w:val="auto"/>
          <w:highlight w:val="none"/>
        </w:rPr>
      </w:pPr>
    </w:p>
    <w:p w14:paraId="09E6C8C4">
      <w:pPr>
        <w:pStyle w:val="15"/>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71AA6F95">
      <w:pPr>
        <w:pStyle w:val="15"/>
        <w:ind w:firstLine="4320" w:firstLineChars="1800"/>
        <w:rPr>
          <w:rFonts w:hint="eastAsia" w:ascii="宋体" w:eastAsia="宋体"/>
          <w:color w:val="000000" w:themeColor="text1"/>
          <w:sz w:val="24"/>
          <w:highlight w:val="none"/>
          <w14:textFill>
            <w14:solidFill>
              <w14:schemeClr w14:val="tx1"/>
            </w14:solidFill>
          </w14:textFill>
        </w:rPr>
      </w:pPr>
    </w:p>
    <w:p w14:paraId="7C2B62C6">
      <w:pPr>
        <w:pStyle w:val="15"/>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法定代表人（签字或盖章）：     </w:t>
      </w:r>
    </w:p>
    <w:p w14:paraId="7C284167">
      <w:pPr>
        <w:pStyle w:val="15"/>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                                                          </w:t>
      </w:r>
      <w:bookmarkStart w:id="18" w:name="_Toc11529_WPSOffice_Level1"/>
    </w:p>
    <w:p w14:paraId="7C45CAC3">
      <w:pPr>
        <w:pStyle w:val="15"/>
        <w:ind w:firstLine="4320" w:firstLineChars="1800"/>
        <w:rPr>
          <w:rFonts w:hint="eastAsia"/>
          <w:b w:val="0"/>
          <w:bCs/>
          <w:color w:val="000000"/>
          <w:sz w:val="28"/>
          <w:szCs w:val="28"/>
          <w:highlight w:val="none"/>
        </w:rPr>
      </w:pPr>
      <w:r>
        <w:rPr>
          <w:rFonts w:hint="eastAsia" w:ascii="宋体" w:eastAsia="宋体"/>
          <w:color w:val="000000" w:themeColor="text1"/>
          <w:sz w:val="24"/>
          <w:highlight w:val="none"/>
          <w14:textFill>
            <w14:solidFill>
              <w14:schemeClr w14:val="tx1"/>
            </w14:solidFill>
          </w14:textFill>
        </w:rPr>
        <w:t xml:space="preserve">日期：   年   月   </w:t>
      </w:r>
      <w:bookmarkEnd w:id="18"/>
      <w:r>
        <w:rPr>
          <w:rFonts w:hint="eastAsia" w:ascii="宋体" w:eastAsia="宋体"/>
          <w:color w:val="000000" w:themeColor="text1"/>
          <w:sz w:val="24"/>
          <w:highlight w:val="none"/>
          <w:lang w:val="en-US" w:eastAsia="zh-CN"/>
          <w14:textFill>
            <w14:solidFill>
              <w14:schemeClr w14:val="tx1"/>
            </w14:solidFill>
          </w14:textFill>
        </w:rPr>
        <w:t>日</w:t>
      </w:r>
      <w:r>
        <w:rPr>
          <w:rFonts w:hint="eastAsia" w:ascii="宋体" w:hAnsi="宋体"/>
          <w:color w:val="auto"/>
          <w:highlight w:val="none"/>
          <w:lang w:val="en-US" w:eastAsia="zh-CN"/>
        </w:rPr>
        <w:t xml:space="preserve"> </w:t>
      </w:r>
    </w:p>
    <w:p w14:paraId="748DD829">
      <w:pPr>
        <w:pStyle w:val="7"/>
        <w:spacing w:before="0"/>
        <w:jc w:val="both"/>
        <w:rPr>
          <w:rFonts w:hint="eastAsia"/>
          <w:b w:val="0"/>
          <w:bCs/>
          <w:color w:val="000000"/>
          <w:sz w:val="28"/>
          <w:szCs w:val="28"/>
          <w:highlight w:val="none"/>
        </w:rPr>
      </w:pPr>
    </w:p>
    <w:p w14:paraId="40A31E76">
      <w:pPr>
        <w:pStyle w:val="26"/>
        <w:rPr>
          <w:rFonts w:hint="eastAsia" w:ascii="宋体"/>
          <w:color w:val="000000" w:themeColor="text1"/>
          <w:sz w:val="24"/>
          <w:highlight w:val="none"/>
          <w14:textFill>
            <w14:solidFill>
              <w14:schemeClr w14:val="tx1"/>
            </w14:solidFill>
          </w14:textFill>
        </w:rPr>
      </w:pPr>
    </w:p>
    <w:p w14:paraId="64E31DAE">
      <w:pPr>
        <w:pStyle w:val="7"/>
        <w:spacing w:before="0"/>
        <w:jc w:val="both"/>
        <w:rPr>
          <w:rFonts w:hint="eastAsia"/>
          <w:b w:val="0"/>
          <w:bCs/>
          <w:color w:val="000000"/>
          <w:sz w:val="28"/>
          <w:szCs w:val="28"/>
          <w:highlight w:val="none"/>
        </w:rPr>
      </w:pPr>
    </w:p>
    <w:sectPr>
      <w:headerReference r:id="rId9" w:type="first"/>
      <w:headerReference r:id="rId8" w:type="default"/>
      <w:footerReference r:id="rId10" w:type="default"/>
      <w:footerReference r:id="rId11" w:type="even"/>
      <w:pgSz w:w="11905" w:h="16838"/>
      <w:pgMar w:top="1134" w:right="1587" w:bottom="1134" w:left="1587"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D10C9">
    <w:pPr>
      <w:pStyle w:val="2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189F7">
    <w:pPr>
      <w:pStyle w:val="2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28CB6">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A28CB6">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861B8">
    <w:pPr>
      <w:pStyle w:val="25"/>
      <w:ind w:left="5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E6A41">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FE6A41">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p w14:paraId="683B1B4F">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1CF22">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FA09D">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8FA09D">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r>
      <w:rPr>
        <w:rFonts w:hint="eastAsia"/>
        <w:kern w:val="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46B2">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0D70A248">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4114E">
    <w:pPr>
      <w:pStyle w:val="27"/>
      <w:pBdr>
        <w:bottom w:val="single" w:color="auto" w:sz="4" w:space="1"/>
      </w:pBdr>
      <w:jc w:val="right"/>
      <w:rPr>
        <w:u w:val="none"/>
      </w:rPr>
    </w:pPr>
    <w:r>
      <w:rPr>
        <w:rFonts w:hint="eastAsia" w:ascii="宋体" w:hAnsi="宋体" w:cs="宋体"/>
        <w:bCs/>
        <w:u w:val="none"/>
        <w:lang w:val="en-US" w:eastAsia="zh-CN"/>
      </w:rPr>
      <w:t xml:space="preserve"> </w:t>
    </w:r>
    <w:r>
      <w:rPr>
        <w:rFonts w:hint="eastAsia" w:ascii="宋体" w:hAnsi="宋体" w:cs="宋体"/>
        <w:bCs/>
        <w:sz w:val="21"/>
        <w:szCs w:val="21"/>
        <w:u w:val="none"/>
        <w:lang w:eastAsia="zh-CN"/>
      </w:rPr>
      <w:t xml:space="preserve"> 工业服务中心二期（开元曼居—台州湾新区店）酒店电器采购</w:t>
    </w:r>
    <w:r>
      <w:rPr>
        <w:rFonts w:hint="eastAsia" w:ascii="宋体" w:hAnsi="宋体" w:cs="宋体"/>
        <w:bCs/>
        <w:sz w:val="21"/>
        <w:szCs w:val="21"/>
        <w:u w:val="none"/>
      </w:rPr>
      <w:t>文件</w:t>
    </w:r>
    <w:r>
      <w:rPr>
        <w:rFonts w:hint="eastAsia"/>
        <w:b/>
        <w:color w:val="808080"/>
        <w:w w:val="66"/>
        <w:u w:val="none"/>
      </w:rPr>
      <w:t xml:space="preserve"> </w:t>
    </w:r>
    <w:r>
      <w:rPr>
        <w:rFonts w:hint="eastAsia" w:ascii="宋体" w:hAnsi="宋体" w:cs="宋体"/>
        <w:bCs/>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F261">
    <w:pPr>
      <w:pBdr>
        <w:bottom w:val="none" w:color="auto" w:sz="0" w:space="0"/>
      </w:pBdr>
      <w:spacing w:line="20" w:lineRule="atLeast"/>
      <w:jc w:val="right"/>
      <w:rPr>
        <w:rFonts w:ascii="宋体" w:hAnsi="宋体" w:cs="宋体"/>
        <w:bCs/>
        <w:sz w:val="21"/>
        <w:szCs w:val="21"/>
      </w:rPr>
    </w:pPr>
    <w:r>
      <w:rPr>
        <w:rFonts w:hint="eastAsia" w:ascii="宋体" w:hAnsi="宋体" w:cs="宋体"/>
        <w:bCs/>
        <w:sz w:val="21"/>
        <w:szCs w:val="21"/>
        <w:u w:val="single"/>
        <w:lang w:eastAsia="zh-CN"/>
      </w:rPr>
      <w:t>工业服务中心二期（开元曼居—台州湾新区店）酒店电器采购</w:t>
    </w:r>
    <w:r>
      <w:rPr>
        <w:rFonts w:hint="eastAsia" w:ascii="宋体" w:hAnsi="宋体" w:cs="宋体"/>
        <w:bCs/>
        <w:sz w:val="21"/>
        <w:szCs w:val="21"/>
        <w:u w:val="single"/>
      </w:rPr>
      <w:t>采购文件</w:t>
    </w:r>
  </w:p>
  <w:p w14:paraId="0F4DDA1D">
    <w:pPr>
      <w:pBdr>
        <w:bottom w:val="single" w:color="auto" w:sz="4" w:space="0"/>
      </w:pBdr>
      <w:rPr>
        <w:b/>
        <w:color w:val="808080"/>
        <w:w w:val="66"/>
        <w:sz w:val="10"/>
      </w:rPr>
    </w:pPr>
    <w:r>
      <w:rPr>
        <w:rFonts w:hint="eastAsia"/>
        <w:b/>
        <w:color w:val="808080"/>
        <w:w w:val="66"/>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CCBFB">
    <w:pPr>
      <w:spacing w:line="20" w:lineRule="atLeast"/>
      <w:rPr>
        <w:b/>
        <w:color w:val="808080"/>
        <w:w w:val="66"/>
        <w:sz w:val="1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6BEDA">
    <w:pPr>
      <w:pStyle w:val="2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36A81"/>
    <w:multiLevelType w:val="singleLevel"/>
    <w:tmpl w:val="8CE36A81"/>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1">
    <w:nsid w:val="8E664F22"/>
    <w:multiLevelType w:val="singleLevel"/>
    <w:tmpl w:val="8E664F22"/>
    <w:lvl w:ilvl="0" w:tentative="0">
      <w:start w:val="1"/>
      <w:numFmt w:val="bullet"/>
      <w:pStyle w:val="20"/>
      <w:lvlText w:val=""/>
      <w:lvlJc w:val="left"/>
      <w:pPr>
        <w:tabs>
          <w:tab w:val="left" w:pos="780"/>
        </w:tabs>
        <w:ind w:left="780" w:hanging="360"/>
      </w:pPr>
      <w:rPr>
        <w:rFonts w:hint="default" w:ascii="Wingdings" w:hAnsi="Wingdings"/>
      </w:rPr>
    </w:lvl>
  </w:abstractNum>
  <w:abstractNum w:abstractNumId="2">
    <w:nsid w:val="0000000D"/>
    <w:multiLevelType w:val="multilevel"/>
    <w:tmpl w:val="0000000D"/>
    <w:lvl w:ilvl="0" w:tentative="0">
      <w:start w:val="1"/>
      <w:numFmt w:val="decimal"/>
      <w:pStyle w:val="17"/>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C"/>
    <w:multiLevelType w:val="multilevel"/>
    <w:tmpl w:val="0000001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MDc0ODI0ZWE0MTY3NzU2YmE0NDJiOGZmOWU3YWUifQ=="/>
    <w:docVar w:name="KSO_WPS_MARK_KEY" w:val="989cb5d9-4c2b-479b-b92d-2ee901cbdc1d"/>
  </w:docVars>
  <w:rsids>
    <w:rsidRoot w:val="00172A27"/>
    <w:rsid w:val="00021D95"/>
    <w:rsid w:val="00026F8B"/>
    <w:rsid w:val="00030D4A"/>
    <w:rsid w:val="00033F4E"/>
    <w:rsid w:val="00042144"/>
    <w:rsid w:val="0005534D"/>
    <w:rsid w:val="0006620D"/>
    <w:rsid w:val="00066544"/>
    <w:rsid w:val="00075E94"/>
    <w:rsid w:val="000766B3"/>
    <w:rsid w:val="00082601"/>
    <w:rsid w:val="00085DA6"/>
    <w:rsid w:val="00087430"/>
    <w:rsid w:val="0009680D"/>
    <w:rsid w:val="000974B5"/>
    <w:rsid w:val="000B360C"/>
    <w:rsid w:val="000B69A0"/>
    <w:rsid w:val="000B7ECB"/>
    <w:rsid w:val="000C1F0C"/>
    <w:rsid w:val="000C5B78"/>
    <w:rsid w:val="000F21D7"/>
    <w:rsid w:val="000F5645"/>
    <w:rsid w:val="0010299C"/>
    <w:rsid w:val="00113561"/>
    <w:rsid w:val="00121712"/>
    <w:rsid w:val="00121E02"/>
    <w:rsid w:val="00132D15"/>
    <w:rsid w:val="001437B6"/>
    <w:rsid w:val="001504CE"/>
    <w:rsid w:val="00150F01"/>
    <w:rsid w:val="00150F15"/>
    <w:rsid w:val="001568B5"/>
    <w:rsid w:val="0016032B"/>
    <w:rsid w:val="00170C3C"/>
    <w:rsid w:val="00172A27"/>
    <w:rsid w:val="00191058"/>
    <w:rsid w:val="00196123"/>
    <w:rsid w:val="001B613A"/>
    <w:rsid w:val="001C6683"/>
    <w:rsid w:val="001F5A7F"/>
    <w:rsid w:val="00225A92"/>
    <w:rsid w:val="00250F48"/>
    <w:rsid w:val="00270F20"/>
    <w:rsid w:val="00272931"/>
    <w:rsid w:val="00272D55"/>
    <w:rsid w:val="002772CB"/>
    <w:rsid w:val="002A3634"/>
    <w:rsid w:val="002A7BA2"/>
    <w:rsid w:val="002D4C35"/>
    <w:rsid w:val="002E3B75"/>
    <w:rsid w:val="002E4834"/>
    <w:rsid w:val="002E5FAD"/>
    <w:rsid w:val="002F431B"/>
    <w:rsid w:val="002F4922"/>
    <w:rsid w:val="00302939"/>
    <w:rsid w:val="003261CB"/>
    <w:rsid w:val="00333E30"/>
    <w:rsid w:val="003713FB"/>
    <w:rsid w:val="00390FE6"/>
    <w:rsid w:val="0039143B"/>
    <w:rsid w:val="00394CCD"/>
    <w:rsid w:val="003B546A"/>
    <w:rsid w:val="003B6AE8"/>
    <w:rsid w:val="003C1B5C"/>
    <w:rsid w:val="003D396D"/>
    <w:rsid w:val="003E1698"/>
    <w:rsid w:val="003E7030"/>
    <w:rsid w:val="003F1A09"/>
    <w:rsid w:val="003F7D9C"/>
    <w:rsid w:val="004004C2"/>
    <w:rsid w:val="0040061D"/>
    <w:rsid w:val="0040335B"/>
    <w:rsid w:val="00417175"/>
    <w:rsid w:val="0042178D"/>
    <w:rsid w:val="00422A41"/>
    <w:rsid w:val="00430663"/>
    <w:rsid w:val="004322FF"/>
    <w:rsid w:val="00443DD3"/>
    <w:rsid w:val="00457171"/>
    <w:rsid w:val="00475C05"/>
    <w:rsid w:val="00480E67"/>
    <w:rsid w:val="0048214E"/>
    <w:rsid w:val="004929F5"/>
    <w:rsid w:val="00496DA9"/>
    <w:rsid w:val="004B05D5"/>
    <w:rsid w:val="004C3A05"/>
    <w:rsid w:val="004F219E"/>
    <w:rsid w:val="004F278E"/>
    <w:rsid w:val="00512300"/>
    <w:rsid w:val="00512C60"/>
    <w:rsid w:val="00515927"/>
    <w:rsid w:val="00535D78"/>
    <w:rsid w:val="00541246"/>
    <w:rsid w:val="00557AEF"/>
    <w:rsid w:val="00573146"/>
    <w:rsid w:val="00580941"/>
    <w:rsid w:val="00582FF7"/>
    <w:rsid w:val="00586E81"/>
    <w:rsid w:val="005A5F5B"/>
    <w:rsid w:val="005B0799"/>
    <w:rsid w:val="005B18CB"/>
    <w:rsid w:val="005B2C80"/>
    <w:rsid w:val="005B3DB5"/>
    <w:rsid w:val="005C64DF"/>
    <w:rsid w:val="005E09D2"/>
    <w:rsid w:val="005E0DB1"/>
    <w:rsid w:val="005F348C"/>
    <w:rsid w:val="00611BD0"/>
    <w:rsid w:val="006325B8"/>
    <w:rsid w:val="0063394B"/>
    <w:rsid w:val="00643F3C"/>
    <w:rsid w:val="00667709"/>
    <w:rsid w:val="00680569"/>
    <w:rsid w:val="00681B8F"/>
    <w:rsid w:val="00682808"/>
    <w:rsid w:val="00682CEA"/>
    <w:rsid w:val="0068561E"/>
    <w:rsid w:val="006907F6"/>
    <w:rsid w:val="00691B4F"/>
    <w:rsid w:val="006958F4"/>
    <w:rsid w:val="006A2145"/>
    <w:rsid w:val="006A33BC"/>
    <w:rsid w:val="006A347B"/>
    <w:rsid w:val="006C2078"/>
    <w:rsid w:val="006C62A2"/>
    <w:rsid w:val="006E03CF"/>
    <w:rsid w:val="006E173A"/>
    <w:rsid w:val="006E5864"/>
    <w:rsid w:val="00700920"/>
    <w:rsid w:val="007035FD"/>
    <w:rsid w:val="0071020B"/>
    <w:rsid w:val="00737388"/>
    <w:rsid w:val="00742E88"/>
    <w:rsid w:val="007432E2"/>
    <w:rsid w:val="007600F2"/>
    <w:rsid w:val="00764A31"/>
    <w:rsid w:val="00774DCE"/>
    <w:rsid w:val="00783407"/>
    <w:rsid w:val="00794230"/>
    <w:rsid w:val="007A1223"/>
    <w:rsid w:val="007A5B00"/>
    <w:rsid w:val="007B0469"/>
    <w:rsid w:val="007D04BE"/>
    <w:rsid w:val="007E30F2"/>
    <w:rsid w:val="00810244"/>
    <w:rsid w:val="00811083"/>
    <w:rsid w:val="00835D3B"/>
    <w:rsid w:val="00835FFB"/>
    <w:rsid w:val="00842ECF"/>
    <w:rsid w:val="008505D9"/>
    <w:rsid w:val="008523D4"/>
    <w:rsid w:val="00856546"/>
    <w:rsid w:val="008577E0"/>
    <w:rsid w:val="008640D3"/>
    <w:rsid w:val="00867614"/>
    <w:rsid w:val="008A26FC"/>
    <w:rsid w:val="008C2449"/>
    <w:rsid w:val="008C49AE"/>
    <w:rsid w:val="008D1511"/>
    <w:rsid w:val="008D5AFE"/>
    <w:rsid w:val="008D61F0"/>
    <w:rsid w:val="008D7F85"/>
    <w:rsid w:val="008E4D62"/>
    <w:rsid w:val="008E75E0"/>
    <w:rsid w:val="008F687C"/>
    <w:rsid w:val="00904310"/>
    <w:rsid w:val="009100B1"/>
    <w:rsid w:val="00910AD9"/>
    <w:rsid w:val="00912467"/>
    <w:rsid w:val="00915A32"/>
    <w:rsid w:val="00931D3C"/>
    <w:rsid w:val="00941CEF"/>
    <w:rsid w:val="009443B9"/>
    <w:rsid w:val="00952335"/>
    <w:rsid w:val="00952B82"/>
    <w:rsid w:val="00974E89"/>
    <w:rsid w:val="0098363B"/>
    <w:rsid w:val="00997848"/>
    <w:rsid w:val="009B60A2"/>
    <w:rsid w:val="009D0340"/>
    <w:rsid w:val="009D4088"/>
    <w:rsid w:val="009E0D18"/>
    <w:rsid w:val="009F2978"/>
    <w:rsid w:val="009F6195"/>
    <w:rsid w:val="00A01749"/>
    <w:rsid w:val="00A04F07"/>
    <w:rsid w:val="00A23B42"/>
    <w:rsid w:val="00A37D19"/>
    <w:rsid w:val="00A5059E"/>
    <w:rsid w:val="00A622D8"/>
    <w:rsid w:val="00A73CA8"/>
    <w:rsid w:val="00A747F2"/>
    <w:rsid w:val="00A75607"/>
    <w:rsid w:val="00A76947"/>
    <w:rsid w:val="00A969DA"/>
    <w:rsid w:val="00AA28BD"/>
    <w:rsid w:val="00AA66A2"/>
    <w:rsid w:val="00B017C0"/>
    <w:rsid w:val="00B02C79"/>
    <w:rsid w:val="00B03BD8"/>
    <w:rsid w:val="00B12A15"/>
    <w:rsid w:val="00B15929"/>
    <w:rsid w:val="00B316CB"/>
    <w:rsid w:val="00B335BA"/>
    <w:rsid w:val="00B34546"/>
    <w:rsid w:val="00B51FB8"/>
    <w:rsid w:val="00B56FC6"/>
    <w:rsid w:val="00B57027"/>
    <w:rsid w:val="00B80055"/>
    <w:rsid w:val="00B863F6"/>
    <w:rsid w:val="00B86DC8"/>
    <w:rsid w:val="00BB10B2"/>
    <w:rsid w:val="00BD0748"/>
    <w:rsid w:val="00BD4CA4"/>
    <w:rsid w:val="00BE23FE"/>
    <w:rsid w:val="00BF4456"/>
    <w:rsid w:val="00C16E3D"/>
    <w:rsid w:val="00C2502E"/>
    <w:rsid w:val="00C42738"/>
    <w:rsid w:val="00C44574"/>
    <w:rsid w:val="00C553FE"/>
    <w:rsid w:val="00C611BA"/>
    <w:rsid w:val="00C75EE2"/>
    <w:rsid w:val="00C76673"/>
    <w:rsid w:val="00C8515B"/>
    <w:rsid w:val="00C85A35"/>
    <w:rsid w:val="00C868E3"/>
    <w:rsid w:val="00C91FAD"/>
    <w:rsid w:val="00CA23F0"/>
    <w:rsid w:val="00CB7D2E"/>
    <w:rsid w:val="00CC1B38"/>
    <w:rsid w:val="00CF5F3B"/>
    <w:rsid w:val="00D04F67"/>
    <w:rsid w:val="00D05226"/>
    <w:rsid w:val="00D0564E"/>
    <w:rsid w:val="00D1050C"/>
    <w:rsid w:val="00D21472"/>
    <w:rsid w:val="00D24718"/>
    <w:rsid w:val="00D26139"/>
    <w:rsid w:val="00D33C9F"/>
    <w:rsid w:val="00D3516F"/>
    <w:rsid w:val="00D406A9"/>
    <w:rsid w:val="00D512D8"/>
    <w:rsid w:val="00D51432"/>
    <w:rsid w:val="00D5562B"/>
    <w:rsid w:val="00D6029C"/>
    <w:rsid w:val="00D74C19"/>
    <w:rsid w:val="00DA7BA7"/>
    <w:rsid w:val="00DB1156"/>
    <w:rsid w:val="00DC15E4"/>
    <w:rsid w:val="00DE241C"/>
    <w:rsid w:val="00DF3837"/>
    <w:rsid w:val="00E04C31"/>
    <w:rsid w:val="00E234C2"/>
    <w:rsid w:val="00E33B1D"/>
    <w:rsid w:val="00E434A2"/>
    <w:rsid w:val="00E44DD8"/>
    <w:rsid w:val="00E528D9"/>
    <w:rsid w:val="00E677C4"/>
    <w:rsid w:val="00EA1595"/>
    <w:rsid w:val="00EB5C67"/>
    <w:rsid w:val="00EC7F27"/>
    <w:rsid w:val="00EE2E88"/>
    <w:rsid w:val="00EF3C16"/>
    <w:rsid w:val="00F27293"/>
    <w:rsid w:val="00F3787A"/>
    <w:rsid w:val="00F516AD"/>
    <w:rsid w:val="00F63855"/>
    <w:rsid w:val="00F7332B"/>
    <w:rsid w:val="00F751A8"/>
    <w:rsid w:val="00F830C6"/>
    <w:rsid w:val="00F8617B"/>
    <w:rsid w:val="00F86195"/>
    <w:rsid w:val="00F95416"/>
    <w:rsid w:val="00F96B84"/>
    <w:rsid w:val="00FA09B2"/>
    <w:rsid w:val="00FA5192"/>
    <w:rsid w:val="00FC30E1"/>
    <w:rsid w:val="00FD62FE"/>
    <w:rsid w:val="00FF3E97"/>
    <w:rsid w:val="00FF5E58"/>
    <w:rsid w:val="0156352C"/>
    <w:rsid w:val="017442FA"/>
    <w:rsid w:val="01747E56"/>
    <w:rsid w:val="01993D60"/>
    <w:rsid w:val="01A22B57"/>
    <w:rsid w:val="01FD1236"/>
    <w:rsid w:val="02251150"/>
    <w:rsid w:val="02B01361"/>
    <w:rsid w:val="030D5B68"/>
    <w:rsid w:val="03395486"/>
    <w:rsid w:val="034A57A3"/>
    <w:rsid w:val="03552729"/>
    <w:rsid w:val="03764DC8"/>
    <w:rsid w:val="03A74AAC"/>
    <w:rsid w:val="03B92498"/>
    <w:rsid w:val="03CB10DA"/>
    <w:rsid w:val="03CD2705"/>
    <w:rsid w:val="03D101EC"/>
    <w:rsid w:val="041B280B"/>
    <w:rsid w:val="04275653"/>
    <w:rsid w:val="04372E86"/>
    <w:rsid w:val="044A6E51"/>
    <w:rsid w:val="044B1342"/>
    <w:rsid w:val="04A11686"/>
    <w:rsid w:val="04D263BA"/>
    <w:rsid w:val="04DF5F2E"/>
    <w:rsid w:val="04EB042F"/>
    <w:rsid w:val="04EE7F1F"/>
    <w:rsid w:val="050564FC"/>
    <w:rsid w:val="051578B0"/>
    <w:rsid w:val="05404C1F"/>
    <w:rsid w:val="05465FAD"/>
    <w:rsid w:val="055E32F7"/>
    <w:rsid w:val="057E74F5"/>
    <w:rsid w:val="05DD4D06"/>
    <w:rsid w:val="05FB6D97"/>
    <w:rsid w:val="06344057"/>
    <w:rsid w:val="068D0EC2"/>
    <w:rsid w:val="06BC13FF"/>
    <w:rsid w:val="06C13ABA"/>
    <w:rsid w:val="06E45A8A"/>
    <w:rsid w:val="06FB4F06"/>
    <w:rsid w:val="074C5A93"/>
    <w:rsid w:val="07862691"/>
    <w:rsid w:val="07921036"/>
    <w:rsid w:val="07A5520D"/>
    <w:rsid w:val="07E94D14"/>
    <w:rsid w:val="081567C0"/>
    <w:rsid w:val="084542FA"/>
    <w:rsid w:val="08525996"/>
    <w:rsid w:val="08793FA4"/>
    <w:rsid w:val="088A3C0C"/>
    <w:rsid w:val="08DB055E"/>
    <w:rsid w:val="08E2382D"/>
    <w:rsid w:val="08F513DA"/>
    <w:rsid w:val="093F6086"/>
    <w:rsid w:val="09414AC1"/>
    <w:rsid w:val="095B4B22"/>
    <w:rsid w:val="097452BC"/>
    <w:rsid w:val="09A514F4"/>
    <w:rsid w:val="09A61ADA"/>
    <w:rsid w:val="09A73232"/>
    <w:rsid w:val="09CD45A7"/>
    <w:rsid w:val="09D803DC"/>
    <w:rsid w:val="09EB0ED1"/>
    <w:rsid w:val="0A0916CC"/>
    <w:rsid w:val="0A1F3B2F"/>
    <w:rsid w:val="0A2D14EA"/>
    <w:rsid w:val="0A446676"/>
    <w:rsid w:val="0A6273E5"/>
    <w:rsid w:val="0A6A631C"/>
    <w:rsid w:val="0A8665B7"/>
    <w:rsid w:val="0A904FBD"/>
    <w:rsid w:val="0AC97464"/>
    <w:rsid w:val="0AD020DC"/>
    <w:rsid w:val="0AE0724A"/>
    <w:rsid w:val="0AFA42C5"/>
    <w:rsid w:val="0AFB2E7F"/>
    <w:rsid w:val="0B3806D8"/>
    <w:rsid w:val="0B3D5FCB"/>
    <w:rsid w:val="0BEB51B8"/>
    <w:rsid w:val="0C1F65B3"/>
    <w:rsid w:val="0C7B02EA"/>
    <w:rsid w:val="0D1A24E3"/>
    <w:rsid w:val="0D286510"/>
    <w:rsid w:val="0D3B5CCB"/>
    <w:rsid w:val="0D4F2B8B"/>
    <w:rsid w:val="0D553231"/>
    <w:rsid w:val="0D682F64"/>
    <w:rsid w:val="0D7D30A3"/>
    <w:rsid w:val="0DBE0DD6"/>
    <w:rsid w:val="0DFC6E71"/>
    <w:rsid w:val="0ED807A8"/>
    <w:rsid w:val="0EE4486D"/>
    <w:rsid w:val="0F0C3DC3"/>
    <w:rsid w:val="0F853A69"/>
    <w:rsid w:val="0FE443F8"/>
    <w:rsid w:val="100735F1"/>
    <w:rsid w:val="10234F21"/>
    <w:rsid w:val="10967DE9"/>
    <w:rsid w:val="10A342B4"/>
    <w:rsid w:val="10BA3E29"/>
    <w:rsid w:val="10C83D1A"/>
    <w:rsid w:val="10F95DF7"/>
    <w:rsid w:val="114570F3"/>
    <w:rsid w:val="117C4C32"/>
    <w:rsid w:val="11916802"/>
    <w:rsid w:val="11943BFC"/>
    <w:rsid w:val="119A473B"/>
    <w:rsid w:val="11E44B84"/>
    <w:rsid w:val="122136E2"/>
    <w:rsid w:val="123664E8"/>
    <w:rsid w:val="126F6B43"/>
    <w:rsid w:val="1283669E"/>
    <w:rsid w:val="128505D7"/>
    <w:rsid w:val="129C766D"/>
    <w:rsid w:val="12A366F5"/>
    <w:rsid w:val="12CA21B0"/>
    <w:rsid w:val="12D405A0"/>
    <w:rsid w:val="13007405"/>
    <w:rsid w:val="130167D3"/>
    <w:rsid w:val="130628D8"/>
    <w:rsid w:val="131E75C7"/>
    <w:rsid w:val="13254054"/>
    <w:rsid w:val="13356C36"/>
    <w:rsid w:val="133D487F"/>
    <w:rsid w:val="134F427F"/>
    <w:rsid w:val="136B6D03"/>
    <w:rsid w:val="13746B1F"/>
    <w:rsid w:val="13905BC1"/>
    <w:rsid w:val="13985C26"/>
    <w:rsid w:val="13B53264"/>
    <w:rsid w:val="14107D1A"/>
    <w:rsid w:val="14107EB2"/>
    <w:rsid w:val="143C6801"/>
    <w:rsid w:val="145C30F7"/>
    <w:rsid w:val="14891876"/>
    <w:rsid w:val="148B7538"/>
    <w:rsid w:val="149779B1"/>
    <w:rsid w:val="14AB7BDB"/>
    <w:rsid w:val="14E629C1"/>
    <w:rsid w:val="14E87377"/>
    <w:rsid w:val="14F926F4"/>
    <w:rsid w:val="15373CDD"/>
    <w:rsid w:val="154176C4"/>
    <w:rsid w:val="154A4DA1"/>
    <w:rsid w:val="15A00DC2"/>
    <w:rsid w:val="15B45EF5"/>
    <w:rsid w:val="15EA3AD5"/>
    <w:rsid w:val="15F64E85"/>
    <w:rsid w:val="161F6358"/>
    <w:rsid w:val="16344267"/>
    <w:rsid w:val="163A7468"/>
    <w:rsid w:val="16491459"/>
    <w:rsid w:val="166958B5"/>
    <w:rsid w:val="16704C38"/>
    <w:rsid w:val="167364D6"/>
    <w:rsid w:val="16767C95"/>
    <w:rsid w:val="169A1CB5"/>
    <w:rsid w:val="16C84A74"/>
    <w:rsid w:val="1702695E"/>
    <w:rsid w:val="17035AAC"/>
    <w:rsid w:val="173E7BAD"/>
    <w:rsid w:val="17435EA8"/>
    <w:rsid w:val="1744610B"/>
    <w:rsid w:val="1754074B"/>
    <w:rsid w:val="176B26F1"/>
    <w:rsid w:val="179340C0"/>
    <w:rsid w:val="1798232A"/>
    <w:rsid w:val="17AE032B"/>
    <w:rsid w:val="17B47B13"/>
    <w:rsid w:val="17BB0135"/>
    <w:rsid w:val="17FA2967"/>
    <w:rsid w:val="18025D64"/>
    <w:rsid w:val="1819481A"/>
    <w:rsid w:val="18502FFE"/>
    <w:rsid w:val="185C7304"/>
    <w:rsid w:val="189C7F66"/>
    <w:rsid w:val="18AD3F21"/>
    <w:rsid w:val="1907573A"/>
    <w:rsid w:val="1931657F"/>
    <w:rsid w:val="193208CA"/>
    <w:rsid w:val="19407906"/>
    <w:rsid w:val="19A277FE"/>
    <w:rsid w:val="19A35324"/>
    <w:rsid w:val="19C13A96"/>
    <w:rsid w:val="1A165B79"/>
    <w:rsid w:val="1A257974"/>
    <w:rsid w:val="1A2F6BB8"/>
    <w:rsid w:val="1A37183F"/>
    <w:rsid w:val="1A5C63C4"/>
    <w:rsid w:val="1A8F74CF"/>
    <w:rsid w:val="1AAE3F81"/>
    <w:rsid w:val="1ADE7ECC"/>
    <w:rsid w:val="1AF36B7D"/>
    <w:rsid w:val="1B261D69"/>
    <w:rsid w:val="1B361E84"/>
    <w:rsid w:val="1B520DB0"/>
    <w:rsid w:val="1B8B1502"/>
    <w:rsid w:val="1BB03099"/>
    <w:rsid w:val="1BD47A17"/>
    <w:rsid w:val="1BF10299"/>
    <w:rsid w:val="1C931680"/>
    <w:rsid w:val="1CA92C52"/>
    <w:rsid w:val="1CCD4C51"/>
    <w:rsid w:val="1CDD0B4D"/>
    <w:rsid w:val="1CF13CFA"/>
    <w:rsid w:val="1CF934E4"/>
    <w:rsid w:val="1D11090B"/>
    <w:rsid w:val="1D183933"/>
    <w:rsid w:val="1D3A7D4E"/>
    <w:rsid w:val="1D594678"/>
    <w:rsid w:val="1D6F3E9B"/>
    <w:rsid w:val="1E1A5FA1"/>
    <w:rsid w:val="1E1C7862"/>
    <w:rsid w:val="1E2819A6"/>
    <w:rsid w:val="1E370CF6"/>
    <w:rsid w:val="1E5315D0"/>
    <w:rsid w:val="1EC12AD3"/>
    <w:rsid w:val="1F0B5C89"/>
    <w:rsid w:val="1F161A53"/>
    <w:rsid w:val="1F1D7927"/>
    <w:rsid w:val="1F576995"/>
    <w:rsid w:val="1FA12928"/>
    <w:rsid w:val="1FC5753E"/>
    <w:rsid w:val="1FE84E43"/>
    <w:rsid w:val="2004198F"/>
    <w:rsid w:val="201B0BB3"/>
    <w:rsid w:val="201B7029"/>
    <w:rsid w:val="20783067"/>
    <w:rsid w:val="209E05F3"/>
    <w:rsid w:val="20BD6CCC"/>
    <w:rsid w:val="213351E0"/>
    <w:rsid w:val="21532BAD"/>
    <w:rsid w:val="218D48F0"/>
    <w:rsid w:val="219F6BD1"/>
    <w:rsid w:val="21B92876"/>
    <w:rsid w:val="21DC1180"/>
    <w:rsid w:val="22123047"/>
    <w:rsid w:val="22165FC1"/>
    <w:rsid w:val="22237002"/>
    <w:rsid w:val="222E6F7B"/>
    <w:rsid w:val="224677CF"/>
    <w:rsid w:val="224D7A95"/>
    <w:rsid w:val="22757192"/>
    <w:rsid w:val="22934188"/>
    <w:rsid w:val="22EC1AEA"/>
    <w:rsid w:val="233D2346"/>
    <w:rsid w:val="235C5FCA"/>
    <w:rsid w:val="2370007A"/>
    <w:rsid w:val="23864A5D"/>
    <w:rsid w:val="23A572CA"/>
    <w:rsid w:val="23DF73E5"/>
    <w:rsid w:val="23EE53EE"/>
    <w:rsid w:val="240E783E"/>
    <w:rsid w:val="241636EE"/>
    <w:rsid w:val="241C1DA2"/>
    <w:rsid w:val="244135E2"/>
    <w:rsid w:val="244D4992"/>
    <w:rsid w:val="24757D5C"/>
    <w:rsid w:val="248D10AB"/>
    <w:rsid w:val="24920434"/>
    <w:rsid w:val="249C309C"/>
    <w:rsid w:val="24A8700F"/>
    <w:rsid w:val="24B36813"/>
    <w:rsid w:val="24BA0C41"/>
    <w:rsid w:val="24BB6DB1"/>
    <w:rsid w:val="24C148B0"/>
    <w:rsid w:val="24EB3156"/>
    <w:rsid w:val="25046A4F"/>
    <w:rsid w:val="2524556B"/>
    <w:rsid w:val="252E43BF"/>
    <w:rsid w:val="25357778"/>
    <w:rsid w:val="25445C0D"/>
    <w:rsid w:val="25606D56"/>
    <w:rsid w:val="25A8619C"/>
    <w:rsid w:val="25BD776E"/>
    <w:rsid w:val="25E03157"/>
    <w:rsid w:val="26127ABA"/>
    <w:rsid w:val="26543C2E"/>
    <w:rsid w:val="26695716"/>
    <w:rsid w:val="27550294"/>
    <w:rsid w:val="276B56D3"/>
    <w:rsid w:val="279413C6"/>
    <w:rsid w:val="279A1B15"/>
    <w:rsid w:val="27E965F8"/>
    <w:rsid w:val="280E1ADD"/>
    <w:rsid w:val="28210439"/>
    <w:rsid w:val="282D5314"/>
    <w:rsid w:val="2891502C"/>
    <w:rsid w:val="28BA1D43"/>
    <w:rsid w:val="28D904FE"/>
    <w:rsid w:val="28E514B5"/>
    <w:rsid w:val="290167D3"/>
    <w:rsid w:val="292518B2"/>
    <w:rsid w:val="29351F07"/>
    <w:rsid w:val="293C70E8"/>
    <w:rsid w:val="29B33B88"/>
    <w:rsid w:val="29F86FC6"/>
    <w:rsid w:val="2A1F27A5"/>
    <w:rsid w:val="2A262DDF"/>
    <w:rsid w:val="2A3C0690"/>
    <w:rsid w:val="2A3C7810"/>
    <w:rsid w:val="2A5A1A2F"/>
    <w:rsid w:val="2AB04F58"/>
    <w:rsid w:val="2AC82FD4"/>
    <w:rsid w:val="2AD02EB1"/>
    <w:rsid w:val="2AD03A9F"/>
    <w:rsid w:val="2AF66D70"/>
    <w:rsid w:val="2AF849C9"/>
    <w:rsid w:val="2B230073"/>
    <w:rsid w:val="2B2F07C6"/>
    <w:rsid w:val="2B360074"/>
    <w:rsid w:val="2B43287F"/>
    <w:rsid w:val="2B471FB3"/>
    <w:rsid w:val="2BA14CDC"/>
    <w:rsid w:val="2BDD5797"/>
    <w:rsid w:val="2C194708"/>
    <w:rsid w:val="2C536736"/>
    <w:rsid w:val="2C7963E8"/>
    <w:rsid w:val="2CA43435"/>
    <w:rsid w:val="2CC331FD"/>
    <w:rsid w:val="2CD83A18"/>
    <w:rsid w:val="2D0054ED"/>
    <w:rsid w:val="2D1C2FCC"/>
    <w:rsid w:val="2D39592C"/>
    <w:rsid w:val="2D550D9D"/>
    <w:rsid w:val="2D6C2CA7"/>
    <w:rsid w:val="2DAA6FC6"/>
    <w:rsid w:val="2DB05DB4"/>
    <w:rsid w:val="2DB651CE"/>
    <w:rsid w:val="2DD24D42"/>
    <w:rsid w:val="2DE9470A"/>
    <w:rsid w:val="2DED0D1F"/>
    <w:rsid w:val="2DEE09C8"/>
    <w:rsid w:val="2E0D2D76"/>
    <w:rsid w:val="2E15390D"/>
    <w:rsid w:val="2E451FD1"/>
    <w:rsid w:val="2E501652"/>
    <w:rsid w:val="2E5310EA"/>
    <w:rsid w:val="2E6311CC"/>
    <w:rsid w:val="2E6E7A46"/>
    <w:rsid w:val="2E8928E3"/>
    <w:rsid w:val="2EC43793"/>
    <w:rsid w:val="2ED77E99"/>
    <w:rsid w:val="2EDD4A44"/>
    <w:rsid w:val="2EFF2BA5"/>
    <w:rsid w:val="2F2A3BB5"/>
    <w:rsid w:val="2F486363"/>
    <w:rsid w:val="2F666343"/>
    <w:rsid w:val="2FA82F80"/>
    <w:rsid w:val="2FB219C5"/>
    <w:rsid w:val="2FD81D74"/>
    <w:rsid w:val="2FDD486F"/>
    <w:rsid w:val="2FEF6776"/>
    <w:rsid w:val="2FF124EE"/>
    <w:rsid w:val="2FF41FDE"/>
    <w:rsid w:val="2FF7387C"/>
    <w:rsid w:val="301B756B"/>
    <w:rsid w:val="30640F12"/>
    <w:rsid w:val="307F3F9D"/>
    <w:rsid w:val="308C0468"/>
    <w:rsid w:val="30BB7FBB"/>
    <w:rsid w:val="30ED6442"/>
    <w:rsid w:val="30F009F7"/>
    <w:rsid w:val="30F32296"/>
    <w:rsid w:val="30F549E6"/>
    <w:rsid w:val="30FF6E8C"/>
    <w:rsid w:val="317174A6"/>
    <w:rsid w:val="3175714F"/>
    <w:rsid w:val="31AD68E8"/>
    <w:rsid w:val="31D37F2A"/>
    <w:rsid w:val="31F005E4"/>
    <w:rsid w:val="31F0501F"/>
    <w:rsid w:val="322F72FD"/>
    <w:rsid w:val="327B0A59"/>
    <w:rsid w:val="32CC7242"/>
    <w:rsid w:val="32D459FD"/>
    <w:rsid w:val="32FF5E98"/>
    <w:rsid w:val="33003623"/>
    <w:rsid w:val="3364747B"/>
    <w:rsid w:val="336A38E6"/>
    <w:rsid w:val="33945FB2"/>
    <w:rsid w:val="33B026C0"/>
    <w:rsid w:val="33BD47D7"/>
    <w:rsid w:val="33F97BC3"/>
    <w:rsid w:val="343A22CA"/>
    <w:rsid w:val="345614B9"/>
    <w:rsid w:val="34880F47"/>
    <w:rsid w:val="34AA710F"/>
    <w:rsid w:val="34FD4E2A"/>
    <w:rsid w:val="35247840"/>
    <w:rsid w:val="354F32F4"/>
    <w:rsid w:val="355E0625"/>
    <w:rsid w:val="35CD2498"/>
    <w:rsid w:val="35D501BC"/>
    <w:rsid w:val="35E548A3"/>
    <w:rsid w:val="360F36CE"/>
    <w:rsid w:val="362C24D2"/>
    <w:rsid w:val="367D2A73"/>
    <w:rsid w:val="3684230E"/>
    <w:rsid w:val="36980FB7"/>
    <w:rsid w:val="36B7106E"/>
    <w:rsid w:val="36E374B2"/>
    <w:rsid w:val="3702065F"/>
    <w:rsid w:val="371B0D28"/>
    <w:rsid w:val="37294BDE"/>
    <w:rsid w:val="373C4996"/>
    <w:rsid w:val="375941C7"/>
    <w:rsid w:val="37887BDC"/>
    <w:rsid w:val="37950385"/>
    <w:rsid w:val="37A50775"/>
    <w:rsid w:val="37AF40B3"/>
    <w:rsid w:val="37F92931"/>
    <w:rsid w:val="37FE05E4"/>
    <w:rsid w:val="380A75AC"/>
    <w:rsid w:val="3810372D"/>
    <w:rsid w:val="38352256"/>
    <w:rsid w:val="386D5023"/>
    <w:rsid w:val="3870241E"/>
    <w:rsid w:val="38E724B8"/>
    <w:rsid w:val="38FE1FBD"/>
    <w:rsid w:val="392A24E0"/>
    <w:rsid w:val="3962620A"/>
    <w:rsid w:val="39721AED"/>
    <w:rsid w:val="39BC1DBE"/>
    <w:rsid w:val="39BF365D"/>
    <w:rsid w:val="39DD3AE3"/>
    <w:rsid w:val="3A3D50E8"/>
    <w:rsid w:val="3A4C083B"/>
    <w:rsid w:val="3A86400A"/>
    <w:rsid w:val="3A885DF8"/>
    <w:rsid w:val="3AFB06C4"/>
    <w:rsid w:val="3B12471E"/>
    <w:rsid w:val="3B252B62"/>
    <w:rsid w:val="3B471B5C"/>
    <w:rsid w:val="3BCB0097"/>
    <w:rsid w:val="3C700C3E"/>
    <w:rsid w:val="3C7B487F"/>
    <w:rsid w:val="3CC80A7A"/>
    <w:rsid w:val="3CD94A35"/>
    <w:rsid w:val="3CFB49AC"/>
    <w:rsid w:val="3D255ECD"/>
    <w:rsid w:val="3D65276D"/>
    <w:rsid w:val="3D665594"/>
    <w:rsid w:val="3D7125F1"/>
    <w:rsid w:val="3D7A6218"/>
    <w:rsid w:val="3D7F0546"/>
    <w:rsid w:val="3D9D3CB5"/>
    <w:rsid w:val="3DE73182"/>
    <w:rsid w:val="3DEB4A20"/>
    <w:rsid w:val="3DF53AF1"/>
    <w:rsid w:val="3E3C050B"/>
    <w:rsid w:val="3E600908"/>
    <w:rsid w:val="3EE3506A"/>
    <w:rsid w:val="3EEC4EF4"/>
    <w:rsid w:val="3F60143E"/>
    <w:rsid w:val="3F656A54"/>
    <w:rsid w:val="3F9614BE"/>
    <w:rsid w:val="3FDF0D9C"/>
    <w:rsid w:val="3FF96622"/>
    <w:rsid w:val="40591F07"/>
    <w:rsid w:val="407056B1"/>
    <w:rsid w:val="415E7BFF"/>
    <w:rsid w:val="4162149D"/>
    <w:rsid w:val="41807B75"/>
    <w:rsid w:val="41C102A8"/>
    <w:rsid w:val="41C23CEA"/>
    <w:rsid w:val="41E33C60"/>
    <w:rsid w:val="42031661"/>
    <w:rsid w:val="42084379"/>
    <w:rsid w:val="422B5D33"/>
    <w:rsid w:val="42666D6B"/>
    <w:rsid w:val="42A06A3C"/>
    <w:rsid w:val="42A954B6"/>
    <w:rsid w:val="432D1637"/>
    <w:rsid w:val="435272F0"/>
    <w:rsid w:val="435D160E"/>
    <w:rsid w:val="436D5ACF"/>
    <w:rsid w:val="43803E5D"/>
    <w:rsid w:val="43947908"/>
    <w:rsid w:val="43B40C00"/>
    <w:rsid w:val="43E47813"/>
    <w:rsid w:val="43E837B0"/>
    <w:rsid w:val="444D4EF7"/>
    <w:rsid w:val="44693E99"/>
    <w:rsid w:val="447079F7"/>
    <w:rsid w:val="44827761"/>
    <w:rsid w:val="44890AEF"/>
    <w:rsid w:val="449F6696"/>
    <w:rsid w:val="44B00772"/>
    <w:rsid w:val="44FE41E7"/>
    <w:rsid w:val="451A5F22"/>
    <w:rsid w:val="451F3698"/>
    <w:rsid w:val="4530540F"/>
    <w:rsid w:val="45356766"/>
    <w:rsid w:val="454C355D"/>
    <w:rsid w:val="45561F04"/>
    <w:rsid w:val="45614EB8"/>
    <w:rsid w:val="45765517"/>
    <w:rsid w:val="45975BC2"/>
    <w:rsid w:val="45B6577B"/>
    <w:rsid w:val="45DD7344"/>
    <w:rsid w:val="4613396A"/>
    <w:rsid w:val="4614088C"/>
    <w:rsid w:val="46283A22"/>
    <w:rsid w:val="4645243B"/>
    <w:rsid w:val="46480E02"/>
    <w:rsid w:val="46642713"/>
    <w:rsid w:val="4678706D"/>
    <w:rsid w:val="468278E6"/>
    <w:rsid w:val="4690085B"/>
    <w:rsid w:val="46957C1F"/>
    <w:rsid w:val="46BD2CD2"/>
    <w:rsid w:val="46C40099"/>
    <w:rsid w:val="476475F1"/>
    <w:rsid w:val="47881532"/>
    <w:rsid w:val="47C37B5D"/>
    <w:rsid w:val="47C85DD2"/>
    <w:rsid w:val="47EA3F9B"/>
    <w:rsid w:val="47ED5839"/>
    <w:rsid w:val="47F24BFD"/>
    <w:rsid w:val="48735D3E"/>
    <w:rsid w:val="489A776F"/>
    <w:rsid w:val="48A71E8C"/>
    <w:rsid w:val="48BB1493"/>
    <w:rsid w:val="490B5F77"/>
    <w:rsid w:val="492C17F1"/>
    <w:rsid w:val="492C413F"/>
    <w:rsid w:val="493041AC"/>
    <w:rsid w:val="493556E9"/>
    <w:rsid w:val="496164DE"/>
    <w:rsid w:val="498A0F3C"/>
    <w:rsid w:val="499C38AC"/>
    <w:rsid w:val="49A328EF"/>
    <w:rsid w:val="49AE3884"/>
    <w:rsid w:val="49F93B20"/>
    <w:rsid w:val="4A070A66"/>
    <w:rsid w:val="4A104E30"/>
    <w:rsid w:val="4A227E42"/>
    <w:rsid w:val="4A315EB1"/>
    <w:rsid w:val="4A5A3B51"/>
    <w:rsid w:val="4A673681"/>
    <w:rsid w:val="4A8E0D19"/>
    <w:rsid w:val="4AAF6DD6"/>
    <w:rsid w:val="4AB443EC"/>
    <w:rsid w:val="4AC24414"/>
    <w:rsid w:val="4AD6495A"/>
    <w:rsid w:val="4B3F510C"/>
    <w:rsid w:val="4B58121B"/>
    <w:rsid w:val="4B5D12AD"/>
    <w:rsid w:val="4B7E5126"/>
    <w:rsid w:val="4B81576F"/>
    <w:rsid w:val="4B91219E"/>
    <w:rsid w:val="4BB65798"/>
    <w:rsid w:val="4BBC17AA"/>
    <w:rsid w:val="4BF10A2C"/>
    <w:rsid w:val="4BFC24EE"/>
    <w:rsid w:val="4C2537F3"/>
    <w:rsid w:val="4C325F10"/>
    <w:rsid w:val="4C4208EE"/>
    <w:rsid w:val="4C9E7DEF"/>
    <w:rsid w:val="4D510618"/>
    <w:rsid w:val="4D612F58"/>
    <w:rsid w:val="4D6B3488"/>
    <w:rsid w:val="4D800D3B"/>
    <w:rsid w:val="4D875DE8"/>
    <w:rsid w:val="4D9F3131"/>
    <w:rsid w:val="4DB14BCF"/>
    <w:rsid w:val="4DCC2E9C"/>
    <w:rsid w:val="4DEE642A"/>
    <w:rsid w:val="4DF97B48"/>
    <w:rsid w:val="4DFA1815"/>
    <w:rsid w:val="4E164964"/>
    <w:rsid w:val="4E1E499E"/>
    <w:rsid w:val="4E3819D6"/>
    <w:rsid w:val="4E3C6BD2"/>
    <w:rsid w:val="4E40254C"/>
    <w:rsid w:val="4EA2737D"/>
    <w:rsid w:val="4EBD5F65"/>
    <w:rsid w:val="4F211687"/>
    <w:rsid w:val="4F426946"/>
    <w:rsid w:val="4F796605"/>
    <w:rsid w:val="4F8244F9"/>
    <w:rsid w:val="4F8B7E11"/>
    <w:rsid w:val="4F933D0F"/>
    <w:rsid w:val="4F952A3E"/>
    <w:rsid w:val="4F964A80"/>
    <w:rsid w:val="4F9B02BD"/>
    <w:rsid w:val="4FFE4A87"/>
    <w:rsid w:val="500815A3"/>
    <w:rsid w:val="50447FC0"/>
    <w:rsid w:val="504D156B"/>
    <w:rsid w:val="506D4592"/>
    <w:rsid w:val="50887115"/>
    <w:rsid w:val="50BE19FB"/>
    <w:rsid w:val="50F90771"/>
    <w:rsid w:val="512C1180"/>
    <w:rsid w:val="5172738F"/>
    <w:rsid w:val="51826FF2"/>
    <w:rsid w:val="51910044"/>
    <w:rsid w:val="519A433C"/>
    <w:rsid w:val="519B6306"/>
    <w:rsid w:val="51B60C07"/>
    <w:rsid w:val="51C13FBE"/>
    <w:rsid w:val="51C6120B"/>
    <w:rsid w:val="51C846F3"/>
    <w:rsid w:val="51D53635"/>
    <w:rsid w:val="51D54531"/>
    <w:rsid w:val="52042243"/>
    <w:rsid w:val="52385729"/>
    <w:rsid w:val="523B415E"/>
    <w:rsid w:val="52584BD7"/>
    <w:rsid w:val="527A23D6"/>
    <w:rsid w:val="52831274"/>
    <w:rsid w:val="5285409D"/>
    <w:rsid w:val="52A31916"/>
    <w:rsid w:val="52DA52F6"/>
    <w:rsid w:val="532E1E14"/>
    <w:rsid w:val="53307101"/>
    <w:rsid w:val="534B7B80"/>
    <w:rsid w:val="537B7E7C"/>
    <w:rsid w:val="5382777D"/>
    <w:rsid w:val="53915C12"/>
    <w:rsid w:val="53B316E5"/>
    <w:rsid w:val="53B80121"/>
    <w:rsid w:val="53C65239"/>
    <w:rsid w:val="53EB5322"/>
    <w:rsid w:val="53EE096F"/>
    <w:rsid w:val="540029D4"/>
    <w:rsid w:val="5415414D"/>
    <w:rsid w:val="54286CFD"/>
    <w:rsid w:val="54A31759"/>
    <w:rsid w:val="54E564A4"/>
    <w:rsid w:val="551E160F"/>
    <w:rsid w:val="5536081F"/>
    <w:rsid w:val="55545149"/>
    <w:rsid w:val="556E7FB9"/>
    <w:rsid w:val="557F77F3"/>
    <w:rsid w:val="55C7591B"/>
    <w:rsid w:val="55E34CE0"/>
    <w:rsid w:val="55EB785C"/>
    <w:rsid w:val="560721BC"/>
    <w:rsid w:val="564B6219"/>
    <w:rsid w:val="567E247E"/>
    <w:rsid w:val="56C64DC4"/>
    <w:rsid w:val="56F40992"/>
    <w:rsid w:val="57057D36"/>
    <w:rsid w:val="570D18EF"/>
    <w:rsid w:val="571E156B"/>
    <w:rsid w:val="572728F4"/>
    <w:rsid w:val="57354C81"/>
    <w:rsid w:val="5738418D"/>
    <w:rsid w:val="574036C7"/>
    <w:rsid w:val="574F7976"/>
    <w:rsid w:val="57830141"/>
    <w:rsid w:val="57AF2B0B"/>
    <w:rsid w:val="57B41ECF"/>
    <w:rsid w:val="57B503D9"/>
    <w:rsid w:val="57E427B4"/>
    <w:rsid w:val="57E722A5"/>
    <w:rsid w:val="58053921"/>
    <w:rsid w:val="58197612"/>
    <w:rsid w:val="582C7CB7"/>
    <w:rsid w:val="58B8154B"/>
    <w:rsid w:val="58D50AA5"/>
    <w:rsid w:val="58D91320"/>
    <w:rsid w:val="590803BD"/>
    <w:rsid w:val="590C30CF"/>
    <w:rsid w:val="590C3AC5"/>
    <w:rsid w:val="591E2269"/>
    <w:rsid w:val="591F662B"/>
    <w:rsid w:val="5943350B"/>
    <w:rsid w:val="595D173E"/>
    <w:rsid w:val="59C77C98"/>
    <w:rsid w:val="59FD5DAF"/>
    <w:rsid w:val="5A596738"/>
    <w:rsid w:val="5A64590F"/>
    <w:rsid w:val="5A7F67C4"/>
    <w:rsid w:val="5A8C0EE1"/>
    <w:rsid w:val="5AC31CBB"/>
    <w:rsid w:val="5ACA6DB3"/>
    <w:rsid w:val="5B016795"/>
    <w:rsid w:val="5B040ECB"/>
    <w:rsid w:val="5B0B44FC"/>
    <w:rsid w:val="5B316936"/>
    <w:rsid w:val="5B7C0F56"/>
    <w:rsid w:val="5C6A7000"/>
    <w:rsid w:val="5CB34F40"/>
    <w:rsid w:val="5CED41B0"/>
    <w:rsid w:val="5D1C6C66"/>
    <w:rsid w:val="5D2E2DF3"/>
    <w:rsid w:val="5D3F048D"/>
    <w:rsid w:val="5D4220C0"/>
    <w:rsid w:val="5D4D06C3"/>
    <w:rsid w:val="5D5552CD"/>
    <w:rsid w:val="5D5F6439"/>
    <w:rsid w:val="5D8B6EF7"/>
    <w:rsid w:val="5DAD53F7"/>
    <w:rsid w:val="5DBD392A"/>
    <w:rsid w:val="5DD913BA"/>
    <w:rsid w:val="5DE352BC"/>
    <w:rsid w:val="5DF9063C"/>
    <w:rsid w:val="5E0F7E5F"/>
    <w:rsid w:val="5E6131AA"/>
    <w:rsid w:val="5E622685"/>
    <w:rsid w:val="5E652175"/>
    <w:rsid w:val="5E653F23"/>
    <w:rsid w:val="5EC724E8"/>
    <w:rsid w:val="5ECD5376"/>
    <w:rsid w:val="5F780FF4"/>
    <w:rsid w:val="5F7A51A8"/>
    <w:rsid w:val="5F8D4569"/>
    <w:rsid w:val="5F9745B0"/>
    <w:rsid w:val="5FB827D3"/>
    <w:rsid w:val="5FE64E23"/>
    <w:rsid w:val="5FF473EE"/>
    <w:rsid w:val="60014FB6"/>
    <w:rsid w:val="60086116"/>
    <w:rsid w:val="60213E7A"/>
    <w:rsid w:val="60326087"/>
    <w:rsid w:val="60430294"/>
    <w:rsid w:val="60716BAF"/>
    <w:rsid w:val="61061269"/>
    <w:rsid w:val="61266058"/>
    <w:rsid w:val="615800B9"/>
    <w:rsid w:val="61634383"/>
    <w:rsid w:val="61931AD5"/>
    <w:rsid w:val="61965A39"/>
    <w:rsid w:val="61C40F61"/>
    <w:rsid w:val="61C927D1"/>
    <w:rsid w:val="61E01FB9"/>
    <w:rsid w:val="6223212B"/>
    <w:rsid w:val="622A1BC3"/>
    <w:rsid w:val="623C143F"/>
    <w:rsid w:val="62403F00"/>
    <w:rsid w:val="624B5B3C"/>
    <w:rsid w:val="625C0C79"/>
    <w:rsid w:val="625D2A79"/>
    <w:rsid w:val="62727400"/>
    <w:rsid w:val="62B40D3D"/>
    <w:rsid w:val="62C76440"/>
    <w:rsid w:val="62EB342A"/>
    <w:rsid w:val="63174ACA"/>
    <w:rsid w:val="6320666B"/>
    <w:rsid w:val="633A597E"/>
    <w:rsid w:val="63416D0D"/>
    <w:rsid w:val="63471E49"/>
    <w:rsid w:val="63655347"/>
    <w:rsid w:val="639A4212"/>
    <w:rsid w:val="63BA086D"/>
    <w:rsid w:val="63BD68CB"/>
    <w:rsid w:val="63C416EC"/>
    <w:rsid w:val="63D87E03"/>
    <w:rsid w:val="63F97123"/>
    <w:rsid w:val="6416146D"/>
    <w:rsid w:val="64202DC6"/>
    <w:rsid w:val="643F6D26"/>
    <w:rsid w:val="645C7B76"/>
    <w:rsid w:val="64794284"/>
    <w:rsid w:val="647A73BB"/>
    <w:rsid w:val="6493693E"/>
    <w:rsid w:val="64B21544"/>
    <w:rsid w:val="64F337E4"/>
    <w:rsid w:val="64F953C5"/>
    <w:rsid w:val="65155F79"/>
    <w:rsid w:val="651E6BDA"/>
    <w:rsid w:val="655F4BD9"/>
    <w:rsid w:val="65660CAD"/>
    <w:rsid w:val="656C3DE9"/>
    <w:rsid w:val="659B10A9"/>
    <w:rsid w:val="65C72CDF"/>
    <w:rsid w:val="65D04378"/>
    <w:rsid w:val="65DA6FA5"/>
    <w:rsid w:val="65E814B5"/>
    <w:rsid w:val="66091638"/>
    <w:rsid w:val="660F2DA7"/>
    <w:rsid w:val="66533FE7"/>
    <w:rsid w:val="6655487D"/>
    <w:rsid w:val="666106F4"/>
    <w:rsid w:val="66EA3218"/>
    <w:rsid w:val="67001B4B"/>
    <w:rsid w:val="671C4CE5"/>
    <w:rsid w:val="672C3830"/>
    <w:rsid w:val="67672D81"/>
    <w:rsid w:val="67EE0225"/>
    <w:rsid w:val="68103613"/>
    <w:rsid w:val="68AD274F"/>
    <w:rsid w:val="68D47C61"/>
    <w:rsid w:val="68FE744E"/>
    <w:rsid w:val="69384FEB"/>
    <w:rsid w:val="69565452"/>
    <w:rsid w:val="69726339"/>
    <w:rsid w:val="69807E63"/>
    <w:rsid w:val="69845BA5"/>
    <w:rsid w:val="69AD6EF9"/>
    <w:rsid w:val="69DC1C5D"/>
    <w:rsid w:val="69DD3507"/>
    <w:rsid w:val="6A346A83"/>
    <w:rsid w:val="6A413A96"/>
    <w:rsid w:val="6A63194C"/>
    <w:rsid w:val="6A8A4544"/>
    <w:rsid w:val="6A975464"/>
    <w:rsid w:val="6AF42ACD"/>
    <w:rsid w:val="6AF53D66"/>
    <w:rsid w:val="6B373FE9"/>
    <w:rsid w:val="6B7638B3"/>
    <w:rsid w:val="6B7C37AC"/>
    <w:rsid w:val="6B7C4F42"/>
    <w:rsid w:val="6B807728"/>
    <w:rsid w:val="6B8455B2"/>
    <w:rsid w:val="6B85074F"/>
    <w:rsid w:val="6B915026"/>
    <w:rsid w:val="6BA449DC"/>
    <w:rsid w:val="6BB169FA"/>
    <w:rsid w:val="6BCA3618"/>
    <w:rsid w:val="6BDF5F73"/>
    <w:rsid w:val="6BE83DFD"/>
    <w:rsid w:val="6BE87C52"/>
    <w:rsid w:val="6BFD2CE1"/>
    <w:rsid w:val="6C336835"/>
    <w:rsid w:val="6C3B5886"/>
    <w:rsid w:val="6C4C203A"/>
    <w:rsid w:val="6C690350"/>
    <w:rsid w:val="6CA80624"/>
    <w:rsid w:val="6CC717F3"/>
    <w:rsid w:val="6CD01102"/>
    <w:rsid w:val="6CF0796B"/>
    <w:rsid w:val="6CFB48B3"/>
    <w:rsid w:val="6D153EF8"/>
    <w:rsid w:val="6D174A55"/>
    <w:rsid w:val="6D4A2BEE"/>
    <w:rsid w:val="6D582400"/>
    <w:rsid w:val="6D7A1AA2"/>
    <w:rsid w:val="6D8A174E"/>
    <w:rsid w:val="6D940B27"/>
    <w:rsid w:val="6DA700C4"/>
    <w:rsid w:val="6DD21EDE"/>
    <w:rsid w:val="6E05302D"/>
    <w:rsid w:val="6E0C6169"/>
    <w:rsid w:val="6E275E4D"/>
    <w:rsid w:val="6E672A38"/>
    <w:rsid w:val="6E7C0E27"/>
    <w:rsid w:val="6E9C531E"/>
    <w:rsid w:val="6EAB5C0E"/>
    <w:rsid w:val="6EE601AB"/>
    <w:rsid w:val="6EFA06B8"/>
    <w:rsid w:val="6F4F2504"/>
    <w:rsid w:val="6F5140F5"/>
    <w:rsid w:val="6F715C7B"/>
    <w:rsid w:val="6F7E184F"/>
    <w:rsid w:val="6FAF14A2"/>
    <w:rsid w:val="6FB27E63"/>
    <w:rsid w:val="6FBF2B9C"/>
    <w:rsid w:val="6FE21452"/>
    <w:rsid w:val="6FEA072C"/>
    <w:rsid w:val="70103B63"/>
    <w:rsid w:val="702552C0"/>
    <w:rsid w:val="7027521C"/>
    <w:rsid w:val="706311B6"/>
    <w:rsid w:val="70687A06"/>
    <w:rsid w:val="70D91FB4"/>
    <w:rsid w:val="710B095A"/>
    <w:rsid w:val="716F0B64"/>
    <w:rsid w:val="717958C4"/>
    <w:rsid w:val="71836CDA"/>
    <w:rsid w:val="71B41CDC"/>
    <w:rsid w:val="71CF7BDA"/>
    <w:rsid w:val="71F72C8D"/>
    <w:rsid w:val="72080AD4"/>
    <w:rsid w:val="721E450C"/>
    <w:rsid w:val="72271FE2"/>
    <w:rsid w:val="726E2F4F"/>
    <w:rsid w:val="727017A2"/>
    <w:rsid w:val="727D3192"/>
    <w:rsid w:val="72C174C2"/>
    <w:rsid w:val="72C47013"/>
    <w:rsid w:val="72D354A8"/>
    <w:rsid w:val="72D6655E"/>
    <w:rsid w:val="72E43211"/>
    <w:rsid w:val="72EB2B55"/>
    <w:rsid w:val="72F53670"/>
    <w:rsid w:val="72F571CC"/>
    <w:rsid w:val="72FA0078"/>
    <w:rsid w:val="72FD2525"/>
    <w:rsid w:val="72FD6FCD"/>
    <w:rsid w:val="730613D9"/>
    <w:rsid w:val="73171838"/>
    <w:rsid w:val="734865BD"/>
    <w:rsid w:val="735A34D3"/>
    <w:rsid w:val="738D3A52"/>
    <w:rsid w:val="73B72B30"/>
    <w:rsid w:val="73F2195D"/>
    <w:rsid w:val="73F676A0"/>
    <w:rsid w:val="740D49E9"/>
    <w:rsid w:val="7421181D"/>
    <w:rsid w:val="74363F40"/>
    <w:rsid w:val="74416441"/>
    <w:rsid w:val="749837D1"/>
    <w:rsid w:val="74B81834"/>
    <w:rsid w:val="74D908CB"/>
    <w:rsid w:val="750C6A4F"/>
    <w:rsid w:val="750E0A19"/>
    <w:rsid w:val="751C396C"/>
    <w:rsid w:val="75864340"/>
    <w:rsid w:val="75E81314"/>
    <w:rsid w:val="762D19E3"/>
    <w:rsid w:val="76377AFB"/>
    <w:rsid w:val="76432269"/>
    <w:rsid w:val="764E3D4E"/>
    <w:rsid w:val="766308F1"/>
    <w:rsid w:val="769149E0"/>
    <w:rsid w:val="76D46F31"/>
    <w:rsid w:val="771630A2"/>
    <w:rsid w:val="77463779"/>
    <w:rsid w:val="77670EFF"/>
    <w:rsid w:val="77731088"/>
    <w:rsid w:val="77AD62C7"/>
    <w:rsid w:val="77B30FB2"/>
    <w:rsid w:val="77F47B34"/>
    <w:rsid w:val="77F739E6"/>
    <w:rsid w:val="780A371A"/>
    <w:rsid w:val="783C764B"/>
    <w:rsid w:val="785C6E37"/>
    <w:rsid w:val="786B5CE9"/>
    <w:rsid w:val="78813C7A"/>
    <w:rsid w:val="78B2790D"/>
    <w:rsid w:val="7908577F"/>
    <w:rsid w:val="790A76D6"/>
    <w:rsid w:val="79200D1B"/>
    <w:rsid w:val="79214144"/>
    <w:rsid w:val="796C3F60"/>
    <w:rsid w:val="796E7CD8"/>
    <w:rsid w:val="7973709D"/>
    <w:rsid w:val="79786860"/>
    <w:rsid w:val="79A22D49"/>
    <w:rsid w:val="79D20F2B"/>
    <w:rsid w:val="79D52367"/>
    <w:rsid w:val="79E9735F"/>
    <w:rsid w:val="7A803E13"/>
    <w:rsid w:val="7A951295"/>
    <w:rsid w:val="7AD94113"/>
    <w:rsid w:val="7ADA6E5C"/>
    <w:rsid w:val="7AE75F94"/>
    <w:rsid w:val="7AE91D0C"/>
    <w:rsid w:val="7B136D89"/>
    <w:rsid w:val="7B2C18C4"/>
    <w:rsid w:val="7B776EB0"/>
    <w:rsid w:val="7B7A265C"/>
    <w:rsid w:val="7B9A4DB4"/>
    <w:rsid w:val="7BB3231A"/>
    <w:rsid w:val="7C037D98"/>
    <w:rsid w:val="7C136915"/>
    <w:rsid w:val="7C727ADF"/>
    <w:rsid w:val="7C7750F6"/>
    <w:rsid w:val="7C813895"/>
    <w:rsid w:val="7C8B11D7"/>
    <w:rsid w:val="7CD97B5E"/>
    <w:rsid w:val="7CDB5685"/>
    <w:rsid w:val="7D0B0319"/>
    <w:rsid w:val="7D0F532E"/>
    <w:rsid w:val="7D133070"/>
    <w:rsid w:val="7D6E7A51"/>
    <w:rsid w:val="7D7E4745"/>
    <w:rsid w:val="7E010708"/>
    <w:rsid w:val="7E4360FD"/>
    <w:rsid w:val="7E6065D4"/>
    <w:rsid w:val="7E6E586D"/>
    <w:rsid w:val="7ED66A06"/>
    <w:rsid w:val="7F0D1EF0"/>
    <w:rsid w:val="7F201A75"/>
    <w:rsid w:val="7F3472CE"/>
    <w:rsid w:val="7F352976"/>
    <w:rsid w:val="7F413799"/>
    <w:rsid w:val="7F4C286A"/>
    <w:rsid w:val="7F5C4AE6"/>
    <w:rsid w:val="7F870B16"/>
    <w:rsid w:val="7FAC3308"/>
    <w:rsid w:val="7FD3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6"/>
    <w:next w:val="7"/>
    <w:qFormat/>
    <w:uiPriority w:val="0"/>
    <w:pPr>
      <w:keepNext/>
      <w:keepLines/>
      <w:spacing w:before="260" w:after="260" w:line="415" w:lineRule="auto"/>
      <w:outlineLvl w:val="1"/>
    </w:pPr>
    <w:rPr>
      <w:rFonts w:eastAsia="黑体"/>
      <w:b/>
      <w:bCs/>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rFonts w:ascii="等线" w:hAnsi="等线" w:eastAsia="等线"/>
    </w:rPr>
  </w:style>
  <w:style w:type="paragraph" w:styleId="3">
    <w:name w:val="Body Text Indent"/>
    <w:basedOn w:val="1"/>
    <w:next w:val="1"/>
    <w:link w:val="51"/>
    <w:qFormat/>
    <w:uiPriority w:val="0"/>
    <w:pPr>
      <w:spacing w:line="200" w:lineRule="atLeast"/>
      <w:ind w:firstLine="301"/>
    </w:pPr>
    <w:rPr>
      <w:sz w:val="21"/>
    </w:rPr>
  </w:style>
  <w:style w:type="paragraph" w:styleId="6">
    <w:name w:val="toa heading"/>
    <w:basedOn w:val="1"/>
    <w:next w:val="1"/>
    <w:semiHidden/>
    <w:qFormat/>
    <w:uiPriority w:val="0"/>
    <w:pPr>
      <w:spacing w:before="120"/>
    </w:pPr>
    <w:rPr>
      <w:rFonts w:ascii="Arial" w:hAnsi="Arial" w:cs="Arial"/>
      <w:sz w:val="24"/>
    </w:rPr>
  </w:style>
  <w:style w:type="paragraph" w:styleId="7">
    <w:name w:val="Title"/>
    <w:basedOn w:val="1"/>
    <w:next w:val="1"/>
    <w:link w:val="57"/>
    <w:qFormat/>
    <w:uiPriority w:val="0"/>
    <w:pPr>
      <w:spacing w:before="240" w:after="60"/>
      <w:jc w:val="center"/>
      <w:outlineLvl w:val="0"/>
    </w:pPr>
    <w:rPr>
      <w:rFonts w:ascii="Arial" w:hAnsi="Arial" w:cs="Arial"/>
      <w:b/>
      <w:bCs/>
      <w:sz w:val="32"/>
      <w:szCs w:val="32"/>
    </w:rPr>
  </w:style>
  <w:style w:type="paragraph" w:styleId="8">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9">
    <w:name w:val="Normal Indent"/>
    <w:basedOn w:val="1"/>
    <w:next w:val="1"/>
    <w:qFormat/>
    <w:uiPriority w:val="0"/>
    <w:pPr>
      <w:ind w:firstLine="420"/>
    </w:pPr>
    <w:rPr>
      <w:sz w:val="21"/>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List Bullet"/>
    <w:basedOn w:val="1"/>
    <w:next w:val="1"/>
    <w:semiHidden/>
    <w:unhideWhenUsed/>
    <w:qFormat/>
    <w:uiPriority w:val="99"/>
    <w:pPr>
      <w:numPr>
        <w:ilvl w:val="0"/>
        <w:numId w:val="1"/>
      </w:numPr>
    </w:pPr>
  </w:style>
  <w:style w:type="paragraph" w:styleId="12">
    <w:name w:val="annotation text"/>
    <w:basedOn w:val="1"/>
    <w:link w:val="50"/>
    <w:unhideWhenUsed/>
    <w:qFormat/>
    <w:uiPriority w:val="99"/>
    <w:pPr>
      <w:jc w:val="left"/>
    </w:pPr>
  </w:style>
  <w:style w:type="paragraph" w:styleId="13">
    <w:name w:val="Body Text 3"/>
    <w:basedOn w:val="1"/>
    <w:qFormat/>
    <w:uiPriority w:val="0"/>
    <w:pPr>
      <w:snapToGrid w:val="0"/>
      <w:spacing w:before="50" w:after="50"/>
    </w:pPr>
    <w:rPr>
      <w:rFonts w:hAnsi="宋体" w:eastAsia="仿宋_GB2312"/>
      <w:b/>
      <w:bCs/>
      <w:sz w:val="24"/>
      <w:szCs w:val="20"/>
    </w:rPr>
  </w:style>
  <w:style w:type="paragraph" w:styleId="14">
    <w:name w:val="Body Text"/>
    <w:basedOn w:val="1"/>
    <w:next w:val="15"/>
    <w:link w:val="49"/>
    <w:qFormat/>
    <w:uiPriority w:val="99"/>
    <w:pPr>
      <w:spacing w:after="120"/>
    </w:pPr>
    <w:rPr>
      <w:sz w:val="21"/>
    </w:rPr>
  </w:style>
  <w:style w:type="paragraph" w:styleId="15">
    <w:name w:val="Body Text First Indent"/>
    <w:basedOn w:val="14"/>
    <w:next w:val="16"/>
    <w:unhideWhenUsed/>
    <w:qFormat/>
    <w:uiPriority w:val="0"/>
    <w:pPr>
      <w:ind w:firstLine="420" w:firstLineChars="100"/>
    </w:pPr>
    <w:rPr>
      <w:rFonts w:eastAsia="仿宋_GB2312"/>
    </w:rPr>
  </w:style>
  <w:style w:type="paragraph" w:styleId="16">
    <w:name w:val="toc 6"/>
    <w:basedOn w:val="1"/>
    <w:next w:val="1"/>
    <w:qFormat/>
    <w:uiPriority w:val="39"/>
    <w:pPr>
      <w:widowControl/>
      <w:ind w:left="1000"/>
      <w:jc w:val="left"/>
    </w:pPr>
    <w:rPr>
      <w:kern w:val="0"/>
      <w:sz w:val="18"/>
      <w:szCs w:val="20"/>
    </w:rPr>
  </w:style>
  <w:style w:type="paragraph" w:styleId="17">
    <w:name w:val="List Number 3"/>
    <w:basedOn w:val="1"/>
    <w:qFormat/>
    <w:uiPriority w:val="0"/>
    <w:pPr>
      <w:numPr>
        <w:ilvl w:val="0"/>
        <w:numId w:val="2"/>
      </w:numPr>
      <w:tabs>
        <w:tab w:val="left" w:pos="1200"/>
      </w:tabs>
      <w:ind w:left="720"/>
    </w:pPr>
    <w:rPr>
      <w:sz w:val="21"/>
    </w:rPr>
  </w:style>
  <w:style w:type="paragraph" w:styleId="18">
    <w:name w:val="List 2"/>
    <w:basedOn w:val="1"/>
    <w:qFormat/>
    <w:uiPriority w:val="0"/>
    <w:pPr>
      <w:ind w:left="200" w:leftChars="200" w:hanging="200" w:hangingChars="200"/>
    </w:pPr>
  </w:style>
  <w:style w:type="paragraph" w:styleId="19">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20">
    <w:name w:val="List Bullet 2"/>
    <w:basedOn w:val="1"/>
    <w:next w:val="11"/>
    <w:semiHidden/>
    <w:unhideWhenUsed/>
    <w:qFormat/>
    <w:uiPriority w:val="99"/>
    <w:pPr>
      <w:numPr>
        <w:ilvl w:val="0"/>
        <w:numId w:val="3"/>
      </w:numPr>
    </w:pPr>
  </w:style>
  <w:style w:type="paragraph" w:styleId="21">
    <w:name w:val="Plain Text"/>
    <w:basedOn w:val="1"/>
    <w:next w:val="22"/>
    <w:link w:val="52"/>
    <w:qFormat/>
    <w:uiPriority w:val="0"/>
    <w:pPr>
      <w:spacing w:before="156" w:beforeLines="50" w:after="156" w:afterLines="50" w:line="400" w:lineRule="atLeast"/>
    </w:pPr>
    <w:rPr>
      <w:rFonts w:hint="eastAsia" w:ascii="宋体" w:hAnsi="Courier New"/>
      <w:b/>
      <w:sz w:val="24"/>
    </w:rPr>
  </w:style>
  <w:style w:type="paragraph" w:styleId="22">
    <w:name w:val="Date"/>
    <w:basedOn w:val="1"/>
    <w:next w:val="1"/>
    <w:qFormat/>
    <w:uiPriority w:val="0"/>
    <w:pPr>
      <w:ind w:left="2500" w:leftChars="2500"/>
    </w:pPr>
    <w:rPr>
      <w:rFonts w:eastAsia="楷体_GB2312"/>
      <w:sz w:val="32"/>
      <w:szCs w:val="20"/>
    </w:rPr>
  </w:style>
  <w:style w:type="paragraph" w:styleId="23">
    <w:name w:val="Body Text Indent 2"/>
    <w:basedOn w:val="1"/>
    <w:qFormat/>
    <w:uiPriority w:val="0"/>
    <w:pPr>
      <w:snapToGrid w:val="0"/>
      <w:ind w:firstLine="542" w:firstLineChars="225"/>
    </w:pPr>
    <w:rPr>
      <w:rFonts w:ascii="仿宋_GB2312" w:hAnsi="宋体" w:cs="Arial"/>
      <w:b/>
      <w:bCs/>
      <w:color w:val="000000"/>
      <w:sz w:val="24"/>
    </w:rPr>
  </w:style>
  <w:style w:type="paragraph" w:styleId="24">
    <w:name w:val="Balloon Text"/>
    <w:basedOn w:val="1"/>
    <w:link w:val="53"/>
    <w:qFormat/>
    <w:uiPriority w:val="0"/>
    <w:rPr>
      <w:sz w:val="18"/>
      <w:szCs w:val="18"/>
    </w:rPr>
  </w:style>
  <w:style w:type="paragraph" w:styleId="25">
    <w:name w:val="footer"/>
    <w:basedOn w:val="1"/>
    <w:link w:val="54"/>
    <w:qFormat/>
    <w:uiPriority w:val="99"/>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rPr>
      <w:sz w:val="21"/>
    </w:rPr>
  </w:style>
  <w:style w:type="paragraph" w:styleId="29">
    <w:name w:val="Subtitle"/>
    <w:basedOn w:val="1"/>
    <w:next w:val="1"/>
    <w:qFormat/>
    <w:uiPriority w:val="11"/>
    <w:pPr>
      <w:spacing w:after="60"/>
      <w:jc w:val="center"/>
      <w:outlineLvl w:val="1"/>
    </w:pPr>
    <w:rPr>
      <w:rFonts w:ascii="Cambria" w:hAnsi="Cambria"/>
    </w:rPr>
  </w:style>
  <w:style w:type="paragraph" w:styleId="30">
    <w:name w:val="List"/>
    <w:basedOn w:val="1"/>
    <w:qFormat/>
    <w:uiPriority w:val="0"/>
    <w:pPr>
      <w:ind w:left="200" w:hanging="200" w:hangingChars="200"/>
    </w:pPr>
  </w:style>
  <w:style w:type="paragraph" w:styleId="31">
    <w:name w:val="footnote text"/>
    <w:basedOn w:val="1"/>
    <w:qFormat/>
    <w:uiPriority w:val="0"/>
    <w:pPr>
      <w:snapToGrid w:val="0"/>
      <w:jc w:val="left"/>
    </w:pPr>
    <w:rPr>
      <w:rFonts w:eastAsia="仿宋_GB2312"/>
      <w:sz w:val="18"/>
      <w:szCs w:val="20"/>
    </w:rPr>
  </w:style>
  <w:style w:type="paragraph" w:styleId="32">
    <w:name w:val="Body Text Indent 3"/>
    <w:basedOn w:val="1"/>
    <w:qFormat/>
    <w:uiPriority w:val="0"/>
    <w:pPr>
      <w:spacing w:after="120"/>
      <w:ind w:left="420" w:leftChars="200"/>
    </w:pPr>
    <w:rPr>
      <w:sz w:val="16"/>
      <w:szCs w:val="16"/>
    </w:rPr>
  </w:style>
  <w:style w:type="paragraph" w:styleId="33">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link w:val="56"/>
    <w:qFormat/>
    <w:uiPriority w:val="0"/>
    <w:pPr>
      <w:widowControl/>
      <w:spacing w:before="100" w:beforeAutospacing="1" w:after="100" w:afterAutospacing="1"/>
      <w:jc w:val="left"/>
    </w:pPr>
    <w:rPr>
      <w:rFonts w:hint="eastAsia" w:ascii="宋体" w:hAnsi="宋体"/>
      <w:kern w:val="0"/>
      <w:sz w:val="24"/>
    </w:rPr>
  </w:style>
  <w:style w:type="paragraph" w:styleId="36">
    <w:name w:val="annotation subject"/>
    <w:basedOn w:val="12"/>
    <w:next w:val="12"/>
    <w:link w:val="58"/>
    <w:unhideWhenUsed/>
    <w:qFormat/>
    <w:uiPriority w:val="99"/>
    <w:rPr>
      <w:b/>
      <w:bCs/>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22"/>
    <w:rPr>
      <w:b/>
      <w:color w:val="000000"/>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paragraph" w:customStyle="1" w:styleId="46">
    <w:name w:val="BodyText1I"/>
    <w:basedOn w:val="47"/>
    <w:next w:val="48"/>
    <w:qFormat/>
    <w:uiPriority w:val="0"/>
    <w:pPr>
      <w:spacing w:after="120"/>
      <w:ind w:firstLine="100" w:firstLineChars="100"/>
      <w:jc w:val="both"/>
      <w:textAlignment w:val="baseline"/>
    </w:pPr>
  </w:style>
  <w:style w:type="paragraph" w:customStyle="1" w:styleId="47">
    <w:name w:val="BodyText"/>
    <w:basedOn w:val="1"/>
    <w:next w:val="46"/>
    <w:qFormat/>
    <w:uiPriority w:val="0"/>
    <w:rPr>
      <w:rFonts w:ascii="Times New Roman" w:hAnsi="Times New Roman" w:eastAsia="宋体"/>
      <w:kern w:val="2"/>
      <w:sz w:val="21"/>
      <w:szCs w:val="24"/>
      <w:lang w:val="en-US" w:eastAsia="zh-CN" w:bidi="ar-SA"/>
    </w:rPr>
  </w:style>
  <w:style w:type="paragraph" w:customStyle="1" w:styleId="48">
    <w:name w:val="TOC6"/>
    <w:basedOn w:val="1"/>
    <w:next w:val="1"/>
    <w:qFormat/>
    <w:uiPriority w:val="0"/>
    <w:pPr>
      <w:ind w:left="2100" w:leftChars="1000"/>
      <w:jc w:val="both"/>
      <w:textAlignment w:val="baseline"/>
    </w:pPr>
  </w:style>
  <w:style w:type="character" w:customStyle="1" w:styleId="49">
    <w:name w:val="正文文本 Char"/>
    <w:link w:val="14"/>
    <w:qFormat/>
    <w:uiPriority w:val="99"/>
    <w:rPr>
      <w:kern w:val="2"/>
      <w:sz w:val="21"/>
      <w:szCs w:val="24"/>
    </w:rPr>
  </w:style>
  <w:style w:type="character" w:customStyle="1" w:styleId="50">
    <w:name w:val="批注文字 Char"/>
    <w:link w:val="12"/>
    <w:semiHidden/>
    <w:qFormat/>
    <w:uiPriority w:val="99"/>
    <w:rPr>
      <w:kern w:val="2"/>
      <w:sz w:val="28"/>
      <w:szCs w:val="24"/>
    </w:rPr>
  </w:style>
  <w:style w:type="character" w:customStyle="1" w:styleId="51">
    <w:name w:val="正文文本缩进 Char"/>
    <w:link w:val="3"/>
    <w:qFormat/>
    <w:uiPriority w:val="0"/>
    <w:rPr>
      <w:kern w:val="2"/>
      <w:sz w:val="21"/>
      <w:szCs w:val="24"/>
    </w:rPr>
  </w:style>
  <w:style w:type="character" w:customStyle="1" w:styleId="52">
    <w:name w:val="纯文本 Char2"/>
    <w:link w:val="21"/>
    <w:qFormat/>
    <w:uiPriority w:val="0"/>
    <w:rPr>
      <w:rFonts w:hint="eastAsia" w:ascii="宋体" w:hAnsi="Courier New" w:eastAsia="宋体" w:cs="宋体"/>
      <w:b/>
      <w:kern w:val="2"/>
      <w:sz w:val="24"/>
      <w:szCs w:val="24"/>
    </w:rPr>
  </w:style>
  <w:style w:type="character" w:customStyle="1" w:styleId="53">
    <w:name w:val="批注框文本 Char"/>
    <w:link w:val="24"/>
    <w:qFormat/>
    <w:uiPriority w:val="0"/>
    <w:rPr>
      <w:kern w:val="2"/>
      <w:sz w:val="18"/>
      <w:szCs w:val="18"/>
    </w:rPr>
  </w:style>
  <w:style w:type="character" w:customStyle="1" w:styleId="54">
    <w:name w:val="页脚 Char"/>
    <w:link w:val="25"/>
    <w:qFormat/>
    <w:uiPriority w:val="99"/>
    <w:rPr>
      <w:kern w:val="2"/>
      <w:sz w:val="18"/>
      <w:szCs w:val="18"/>
    </w:rPr>
  </w:style>
  <w:style w:type="character" w:customStyle="1" w:styleId="55">
    <w:name w:val="页眉 Char"/>
    <w:link w:val="27"/>
    <w:qFormat/>
    <w:uiPriority w:val="0"/>
    <w:rPr>
      <w:kern w:val="2"/>
      <w:sz w:val="18"/>
      <w:szCs w:val="18"/>
    </w:rPr>
  </w:style>
  <w:style w:type="character" w:customStyle="1" w:styleId="56">
    <w:name w:val="普通(网站) Char"/>
    <w:link w:val="35"/>
    <w:qFormat/>
    <w:uiPriority w:val="0"/>
    <w:rPr>
      <w:rFonts w:hint="eastAsia" w:ascii="宋体" w:hAnsi="宋体" w:eastAsia="宋体" w:cs="宋体"/>
      <w:sz w:val="24"/>
      <w:szCs w:val="24"/>
    </w:rPr>
  </w:style>
  <w:style w:type="character" w:customStyle="1" w:styleId="57">
    <w:name w:val="标题 Char"/>
    <w:link w:val="7"/>
    <w:qFormat/>
    <w:uiPriority w:val="0"/>
    <w:rPr>
      <w:rFonts w:ascii="Cambria" w:hAnsi="Cambria" w:eastAsia="Cambria" w:cs="Times New Roman"/>
      <w:b/>
      <w:kern w:val="2"/>
      <w:sz w:val="32"/>
      <w:szCs w:val="32"/>
    </w:rPr>
  </w:style>
  <w:style w:type="character" w:customStyle="1" w:styleId="58">
    <w:name w:val="批注主题 Char"/>
    <w:link w:val="36"/>
    <w:semiHidden/>
    <w:qFormat/>
    <w:uiPriority w:val="99"/>
    <w:rPr>
      <w:b/>
      <w:bCs/>
      <w:kern w:val="2"/>
      <w:sz w:val="28"/>
      <w:szCs w:val="24"/>
    </w:rPr>
  </w:style>
  <w:style w:type="character" w:customStyle="1" w:styleId="59">
    <w:name w:val="font01"/>
    <w:basedOn w:val="39"/>
    <w:qFormat/>
    <w:uiPriority w:val="0"/>
    <w:rPr>
      <w:rFonts w:hint="eastAsia" w:ascii="宋体" w:hAnsi="宋体" w:eastAsia="宋体" w:cs="宋体"/>
      <w:b/>
      <w:color w:val="FF0000"/>
      <w:sz w:val="18"/>
      <w:szCs w:val="18"/>
      <w:u w:val="none"/>
    </w:rPr>
  </w:style>
  <w:style w:type="character" w:customStyle="1" w:styleId="60">
    <w:name w:val="正文文本缩进 Char1"/>
    <w:qFormat/>
    <w:uiPriority w:val="0"/>
    <w:rPr>
      <w:kern w:val="2"/>
      <w:sz w:val="21"/>
      <w:szCs w:val="24"/>
    </w:rPr>
  </w:style>
  <w:style w:type="character" w:customStyle="1" w:styleId="61">
    <w:name w:val="无"/>
    <w:qFormat/>
    <w:uiPriority w:val="0"/>
  </w:style>
  <w:style w:type="character" w:customStyle="1" w:styleId="62">
    <w:name w:val="font31"/>
    <w:qFormat/>
    <w:uiPriority w:val="0"/>
    <w:rPr>
      <w:rFonts w:hint="eastAsia" w:ascii="宋体" w:hAnsi="宋体" w:eastAsia="宋体" w:cs="宋体"/>
      <w:color w:val="FF0000"/>
      <w:sz w:val="18"/>
      <w:szCs w:val="18"/>
      <w:u w:val="none"/>
    </w:rPr>
  </w:style>
  <w:style w:type="character" w:customStyle="1" w:styleId="63">
    <w:name w:val="纯文本 Char"/>
    <w:qFormat/>
    <w:uiPriority w:val="0"/>
    <w:rPr>
      <w:rFonts w:hint="eastAsia" w:ascii="宋体" w:hAnsi="Courier New" w:eastAsia="宋体" w:cs="宋体"/>
      <w:sz w:val="24"/>
      <w:szCs w:val="24"/>
    </w:rPr>
  </w:style>
  <w:style w:type="character" w:customStyle="1" w:styleId="64">
    <w:name w:val="font51"/>
    <w:qFormat/>
    <w:uiPriority w:val="0"/>
    <w:rPr>
      <w:rFonts w:hint="eastAsia" w:ascii="宋体" w:hAnsi="宋体" w:eastAsia="宋体" w:cs="宋体"/>
      <w:color w:val="000000"/>
      <w:sz w:val="20"/>
      <w:szCs w:val="20"/>
      <w:u w:val="none"/>
    </w:rPr>
  </w:style>
  <w:style w:type="character" w:customStyle="1" w:styleId="65">
    <w:name w:val="标题 字符"/>
    <w:qFormat/>
    <w:uiPriority w:val="0"/>
    <w:rPr>
      <w:rFonts w:ascii="Arial" w:hAnsi="Arial" w:eastAsia="宋体" w:cs="Arial"/>
      <w:b/>
      <w:bCs/>
      <w:kern w:val="2"/>
      <w:sz w:val="32"/>
      <w:szCs w:val="32"/>
      <w:lang w:val="en-US" w:eastAsia="zh-CN" w:bidi="ar-SA"/>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font61"/>
    <w:qFormat/>
    <w:uiPriority w:val="0"/>
    <w:rPr>
      <w:rFonts w:hint="eastAsia" w:ascii="宋体" w:hAnsi="宋体" w:eastAsia="宋体" w:cs="宋体"/>
      <w:b/>
      <w:color w:val="FF0000"/>
      <w:sz w:val="20"/>
      <w:szCs w:val="20"/>
      <w:u w:val="none"/>
    </w:rPr>
  </w:style>
  <w:style w:type="character" w:customStyle="1" w:styleId="69">
    <w:name w:val="纯文本 Char11"/>
    <w:qFormat/>
    <w:uiPriority w:val="0"/>
    <w:rPr>
      <w:rFonts w:hint="eastAsia" w:ascii="宋体" w:hAnsi="Courier New" w:eastAsia="宋体" w:cs="Courier New"/>
      <w:kern w:val="2"/>
      <w:sz w:val="21"/>
      <w:szCs w:val="21"/>
    </w:rPr>
  </w:style>
  <w:style w:type="character" w:customStyle="1" w:styleId="70">
    <w:name w:val="font11"/>
    <w:basedOn w:val="39"/>
    <w:qFormat/>
    <w:uiPriority w:val="0"/>
    <w:rPr>
      <w:rFonts w:hint="eastAsia" w:ascii="宋体" w:hAnsi="宋体" w:eastAsia="宋体" w:cs="宋体"/>
      <w:color w:val="000000"/>
      <w:sz w:val="20"/>
      <w:szCs w:val="20"/>
      <w:u w:val="none"/>
    </w:rPr>
  </w:style>
  <w:style w:type="character" w:customStyle="1" w:styleId="71">
    <w:name w:val="正文文本 字符"/>
    <w:qFormat/>
    <w:uiPriority w:val="99"/>
    <w:rPr>
      <w:kern w:val="2"/>
      <w:sz w:val="21"/>
      <w:szCs w:val="24"/>
    </w:rPr>
  </w:style>
  <w:style w:type="character" w:customStyle="1" w:styleId="72">
    <w:name w:val="font41"/>
    <w:qFormat/>
    <w:uiPriority w:val="0"/>
    <w:rPr>
      <w:rFonts w:hint="eastAsia" w:ascii="宋体" w:hAnsi="宋体" w:eastAsia="宋体" w:cs="宋体"/>
      <w:color w:val="000000"/>
      <w:sz w:val="18"/>
      <w:szCs w:val="18"/>
      <w:u w:val="none"/>
    </w:rPr>
  </w:style>
  <w:style w:type="character" w:customStyle="1" w:styleId="73">
    <w:name w:val="正文缩进 Char"/>
    <w:qFormat/>
    <w:uiPriority w:val="0"/>
  </w:style>
  <w:style w:type="character" w:customStyle="1" w:styleId="74">
    <w:name w:val="纯文本 Char3"/>
    <w:qFormat/>
    <w:uiPriority w:val="0"/>
    <w:rPr>
      <w:rFonts w:ascii="宋体" w:hAnsi="Courier New" w:eastAsia="宋体"/>
      <w:kern w:val="2"/>
      <w:sz w:val="24"/>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6">
    <w:name w:val="List Paragraph"/>
    <w:basedOn w:val="1"/>
    <w:qFormat/>
    <w:uiPriority w:val="0"/>
    <w:pPr>
      <w:ind w:firstLine="420" w:firstLineChars="200"/>
    </w:pPr>
    <w:rPr>
      <w:rFonts w:ascii="Calibri" w:hAnsi="Calibri"/>
      <w:szCs w:val="22"/>
    </w:rPr>
  </w:style>
  <w:style w:type="paragraph" w:customStyle="1" w:styleId="7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Char Char Char1"/>
    <w:basedOn w:val="1"/>
    <w:qFormat/>
    <w:uiPriority w:val="0"/>
    <w:rPr>
      <w:sz w:val="21"/>
    </w:rPr>
  </w:style>
  <w:style w:type="paragraph" w:customStyle="1" w:styleId="7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纯文本1"/>
    <w:basedOn w:val="82"/>
    <w:qFormat/>
    <w:uiPriority w:val="0"/>
    <w:pPr>
      <w:widowControl/>
      <w:jc w:val="left"/>
    </w:pPr>
    <w:rPr>
      <w:rFonts w:ascii="宋体" w:hAnsi="Courier New"/>
    </w:rPr>
  </w:style>
  <w:style w:type="paragraph" w:customStyle="1" w:styleId="8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表格文字"/>
    <w:basedOn w:val="1"/>
    <w:next w:val="14"/>
    <w:qFormat/>
    <w:uiPriority w:val="0"/>
    <w:pPr>
      <w:adjustRightInd w:val="0"/>
      <w:spacing w:line="420" w:lineRule="atLeast"/>
      <w:jc w:val="left"/>
      <w:textAlignment w:val="baseline"/>
    </w:pPr>
    <w:rPr>
      <w:kern w:val="0"/>
    </w:rPr>
  </w:style>
  <w:style w:type="paragraph" w:customStyle="1" w:styleId="8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5">
    <w:name w:val="标准中文版式_正文"/>
    <w:basedOn w:val="1"/>
    <w:qFormat/>
    <w:uiPriority w:val="0"/>
    <w:pPr>
      <w:spacing w:before="30" w:line="360" w:lineRule="auto"/>
      <w:ind w:firstLine="200" w:firstLineChars="200"/>
    </w:pPr>
    <w:rPr>
      <w:rFonts w:ascii="Arial" w:hAnsi="Arial"/>
      <w:sz w:val="24"/>
    </w:rPr>
  </w:style>
  <w:style w:type="paragraph" w:customStyle="1" w:styleId="86">
    <w:name w:val="正文（首行缩进2字符）"/>
    <w:basedOn w:val="1"/>
    <w:qFormat/>
    <w:uiPriority w:val="0"/>
    <w:pPr>
      <w:spacing w:line="360" w:lineRule="auto"/>
      <w:ind w:firstLine="420" w:firstLineChars="200"/>
    </w:pPr>
    <w:rPr>
      <w:szCs w:val="21"/>
    </w:rPr>
  </w:style>
  <w:style w:type="paragraph" w:customStyle="1" w:styleId="87">
    <w:name w:val="_Style 1"/>
    <w:qFormat/>
    <w:uiPriority w:val="99"/>
    <w:rPr>
      <w:rFonts w:ascii="Calibri" w:hAnsi="Calibri" w:eastAsia="宋体" w:cs="Times New Roman"/>
      <w:kern w:val="2"/>
      <w:sz w:val="28"/>
      <w:szCs w:val="22"/>
      <w:lang w:val="en-US" w:eastAsia="zh-CN" w:bidi="ar-SA"/>
    </w:rPr>
  </w:style>
  <w:style w:type="paragraph" w:customStyle="1" w:styleId="88">
    <w:name w:val="Char1"/>
    <w:basedOn w:val="1"/>
    <w:qFormat/>
    <w:uiPriority w:val="0"/>
    <w:rPr>
      <w:rFonts w:ascii="Tahoma" w:hAnsi="Tahoma"/>
      <w:sz w:val="24"/>
      <w:szCs w:val="20"/>
    </w:rPr>
  </w:style>
  <w:style w:type="paragraph" w:customStyle="1" w:styleId="89">
    <w:name w:val="Char"/>
    <w:basedOn w:val="1"/>
    <w:qFormat/>
    <w:uiPriority w:val="0"/>
    <w:rPr>
      <w:sz w:val="21"/>
    </w:rPr>
  </w:style>
  <w:style w:type="paragraph" w:customStyle="1" w:styleId="9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91">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92">
    <w:name w:val="_Style 10"/>
    <w:basedOn w:val="1"/>
    <w:qFormat/>
    <w:uiPriority w:val="0"/>
    <w:rPr>
      <w:rFonts w:ascii="Tahoma" w:hAnsi="Tahoma"/>
      <w:sz w:val="24"/>
      <w:szCs w:val="20"/>
    </w:rPr>
  </w:style>
  <w:style w:type="paragraph" w:customStyle="1" w:styleId="9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5">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96">
    <w:name w:val="Char11"/>
    <w:basedOn w:val="1"/>
    <w:qFormat/>
    <w:uiPriority w:val="0"/>
    <w:pPr>
      <w:jc w:val="center"/>
    </w:pPr>
    <w:rPr>
      <w:rFonts w:ascii="仿宋_GB2312" w:eastAsia="仿宋_GB2312"/>
      <w:b/>
      <w:kern w:val="0"/>
      <w:sz w:val="32"/>
      <w:szCs w:val="32"/>
      <w:lang w:val="en-GB"/>
    </w:rPr>
  </w:style>
  <w:style w:type="paragraph" w:customStyle="1" w:styleId="97">
    <w:name w:val="Char2"/>
    <w:basedOn w:val="1"/>
    <w:next w:val="1"/>
    <w:qFormat/>
    <w:uiPriority w:val="0"/>
    <w:pPr>
      <w:spacing w:before="120" w:line="360" w:lineRule="auto"/>
      <w:ind w:firstLine="425"/>
    </w:pPr>
    <w:rPr>
      <w:sz w:val="24"/>
    </w:rPr>
  </w:style>
  <w:style w:type="paragraph" w:customStyle="1" w:styleId="98">
    <w:name w:val="Char3"/>
    <w:basedOn w:val="1"/>
    <w:qFormat/>
    <w:uiPriority w:val="0"/>
    <w:rPr>
      <w:sz w:val="24"/>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正文_14"/>
    <w:qFormat/>
    <w:uiPriority w:val="0"/>
    <w:rPr>
      <w:rFonts w:ascii="Times New Roman" w:hAnsi="Times New Roman" w:eastAsia="宋体" w:cs="Times New Roman"/>
      <w:sz w:val="21"/>
      <w:szCs w:val="22"/>
      <w:lang w:val="en-US" w:eastAsia="zh-CN" w:bidi="ar-SA"/>
    </w:rPr>
  </w:style>
  <w:style w:type="paragraph" w:customStyle="1" w:styleId="10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3">
    <w:name w:val="xl73"/>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1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1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1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1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7">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3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3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FF0000"/>
      <w:kern w:val="0"/>
      <w:sz w:val="24"/>
    </w:rPr>
  </w:style>
  <w:style w:type="paragraph" w:customStyle="1" w:styleId="14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53">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0"/>
      <w:szCs w:val="20"/>
    </w:rPr>
  </w:style>
  <w:style w:type="paragraph" w:customStyle="1" w:styleId="15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4"/>
    </w:rPr>
  </w:style>
  <w:style w:type="paragraph" w:customStyle="1" w:styleId="15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3">
    <w:name w:val="xl12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7">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2D050"/>
      <w:kern w:val="0"/>
      <w:sz w:val="20"/>
      <w:szCs w:val="20"/>
    </w:rPr>
  </w:style>
  <w:style w:type="paragraph" w:customStyle="1" w:styleId="173">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5">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79">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18"/>
      <w:szCs w:val="18"/>
    </w:rPr>
  </w:style>
  <w:style w:type="paragraph" w:customStyle="1" w:styleId="180">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1">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85">
    <w:name w:val="font81"/>
    <w:basedOn w:val="39"/>
    <w:qFormat/>
    <w:uiPriority w:val="0"/>
    <w:rPr>
      <w:rFonts w:hint="eastAsia" w:ascii="宋体" w:hAnsi="宋体" w:eastAsia="宋体" w:cs="宋体"/>
      <w:color w:val="000000"/>
      <w:sz w:val="20"/>
      <w:szCs w:val="20"/>
      <w:u w:val="none"/>
    </w:rPr>
  </w:style>
  <w:style w:type="character" w:customStyle="1" w:styleId="186">
    <w:name w:val="font141"/>
    <w:basedOn w:val="39"/>
    <w:qFormat/>
    <w:uiPriority w:val="0"/>
    <w:rPr>
      <w:rFonts w:hint="eastAsia" w:ascii="宋体" w:hAnsi="宋体" w:eastAsia="宋体" w:cs="宋体"/>
      <w:color w:val="FF0000"/>
      <w:sz w:val="20"/>
      <w:szCs w:val="20"/>
      <w:u w:val="none"/>
    </w:rPr>
  </w:style>
  <w:style w:type="character" w:customStyle="1" w:styleId="187">
    <w:name w:val="font101"/>
    <w:basedOn w:val="39"/>
    <w:qFormat/>
    <w:uiPriority w:val="0"/>
    <w:rPr>
      <w:rFonts w:hint="eastAsia" w:ascii="宋体" w:hAnsi="宋体" w:eastAsia="宋体" w:cs="宋体"/>
      <w:color w:val="000000"/>
      <w:sz w:val="22"/>
      <w:szCs w:val="22"/>
      <w:u w:val="none"/>
    </w:rPr>
  </w:style>
  <w:style w:type="character" w:customStyle="1" w:styleId="188">
    <w:name w:val="font71"/>
    <w:basedOn w:val="39"/>
    <w:qFormat/>
    <w:uiPriority w:val="0"/>
    <w:rPr>
      <w:rFonts w:hint="eastAsia" w:ascii="宋体" w:hAnsi="宋体" w:eastAsia="宋体" w:cs="宋体"/>
      <w:color w:val="000000"/>
      <w:sz w:val="20"/>
      <w:szCs w:val="20"/>
      <w:u w:val="none"/>
    </w:rPr>
  </w:style>
  <w:style w:type="character" w:customStyle="1" w:styleId="189">
    <w:name w:val="font121"/>
    <w:basedOn w:val="39"/>
    <w:qFormat/>
    <w:uiPriority w:val="0"/>
    <w:rPr>
      <w:rFonts w:hint="eastAsia" w:ascii="宋体" w:hAnsi="宋体" w:eastAsia="宋体" w:cs="宋体"/>
      <w:color w:val="FF0000"/>
      <w:sz w:val="20"/>
      <w:szCs w:val="20"/>
      <w:u w:val="none"/>
    </w:rPr>
  </w:style>
  <w:style w:type="character" w:customStyle="1" w:styleId="190">
    <w:name w:val="font212"/>
    <w:basedOn w:val="39"/>
    <w:qFormat/>
    <w:uiPriority w:val="0"/>
    <w:rPr>
      <w:rFonts w:hint="eastAsia" w:ascii="宋体" w:hAnsi="宋体" w:eastAsia="宋体" w:cs="宋体"/>
      <w:color w:val="000000"/>
      <w:sz w:val="22"/>
      <w:szCs w:val="22"/>
      <w:u w:val="none"/>
    </w:rPr>
  </w:style>
  <w:style w:type="paragraph" w:customStyle="1" w:styleId="191">
    <w:name w:val="正文缩进1"/>
    <w:basedOn w:val="1"/>
    <w:qFormat/>
    <w:uiPriority w:val="0"/>
    <w:pPr>
      <w:ind w:firstLine="420"/>
    </w:pPr>
  </w:style>
  <w:style w:type="paragraph" w:customStyle="1" w:styleId="192">
    <w:name w:val="样式 样式1 + 首行缩进:  2 字符"/>
    <w:basedOn w:val="1"/>
    <w:qFormat/>
    <w:uiPriority w:val="0"/>
    <w:pPr>
      <w:spacing w:line="360" w:lineRule="exact"/>
      <w:ind w:firstLine="420" w:firstLineChars="200"/>
    </w:pPr>
    <w:rPr>
      <w:rFonts w:ascii="Arial" w:hAnsi="Arial" w:cs="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522B5-7BF7-4DAB-9DDA-0FC0E851E18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40</Pages>
  <Words>20622</Words>
  <Characters>21725</Characters>
  <Lines>320</Lines>
  <Paragraphs>90</Paragraphs>
  <TotalTime>3</TotalTime>
  <ScaleCrop>false</ScaleCrop>
  <LinksUpToDate>false</LinksUpToDate>
  <CharactersWithSpaces>23012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2023-03-24T03:02:00Z</dcterms:created>
  <dc:creator>费国炎</dc:creator>
  <cp:lastModifiedBy>建设咨询</cp:lastModifiedBy>
  <cp:lastPrinted>2024-07-03T04:55:00Z</cp:lastPrinted>
  <dcterms:modified xsi:type="dcterms:W3CDTF">2024-07-31T09:38:50Z</dcterms:modified>
  <dc:title>浙江省政府采购招标文件（范本）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CFFB086887204DB2981F2A03D22C0AD7_13</vt:lpwstr>
  </property>
</Properties>
</file>