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p>
    <w:p>
      <w:pPr>
        <w:pStyle w:val="81"/>
        <w:jc w:val="center"/>
        <w:outlineLvl w:val="0"/>
        <w:rPr>
          <w:rFonts w:hint="eastAsia" w:eastAsia="宋体"/>
          <w:b/>
          <w:bCs/>
          <w:color w:val="auto"/>
          <w:sz w:val="36"/>
          <w:szCs w:val="40"/>
          <w:highlight w:val="none"/>
          <w:lang w:eastAsia="zh-CN"/>
        </w:rPr>
      </w:pPr>
      <w:r>
        <w:rPr>
          <w:rFonts w:hint="eastAsia"/>
          <w:b/>
          <w:bCs/>
          <w:color w:val="auto"/>
          <w:sz w:val="36"/>
          <w:szCs w:val="40"/>
          <w:highlight w:val="none"/>
          <w:lang w:eastAsia="zh-CN"/>
        </w:rPr>
        <w:t>台州市云湖小学午休躺睡桌椅采购项目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auto"/>
          <w:kern w:val="0"/>
          <w:sz w:val="24"/>
          <w:highlight w:val="none"/>
          <w:lang w:eastAsia="zh-CN"/>
        </w:rPr>
      </w:pPr>
      <w:r>
        <w:rPr>
          <w:rFonts w:hint="eastAsia" w:ascii="宋体" w:hAnsi="宋体" w:cs="Calibri Light"/>
          <w:color w:val="auto"/>
          <w:kern w:val="0"/>
          <w:sz w:val="24"/>
          <w:highlight w:val="none"/>
        </w:rPr>
        <w:t>采购编号：</w:t>
      </w:r>
      <w:r>
        <w:rPr>
          <w:rFonts w:ascii="宋体"/>
          <w:b/>
          <w:color w:val="auto"/>
          <w:kern w:val="0"/>
          <w:sz w:val="24"/>
          <w:highlight w:val="none"/>
        </w:rPr>
        <w:t xml:space="preserve"> </w:t>
      </w:r>
      <w:r>
        <w:rPr>
          <w:rFonts w:hint="eastAsia" w:ascii="宋体"/>
          <w:b/>
          <w:color w:val="auto"/>
          <w:kern w:val="0"/>
          <w:sz w:val="24"/>
          <w:highlight w:val="none"/>
          <w:lang w:eastAsia="zh-CN"/>
        </w:rPr>
        <w:t>TZYY-2407-010号</w:t>
      </w:r>
    </w:p>
    <w:p>
      <w:pPr>
        <w:tabs>
          <w:tab w:val="left" w:pos="1260"/>
        </w:tabs>
        <w:spacing w:line="640" w:lineRule="exact"/>
        <w:outlineLvl w:val="9"/>
        <w:rPr>
          <w:rFonts w:ascii="宋体" w:hAnsi="宋体"/>
          <w:color w:val="auto"/>
          <w:spacing w:val="20"/>
          <w:kern w:val="21"/>
          <w:sz w:val="30"/>
          <w:szCs w:val="30"/>
          <w:highlight w:val="none"/>
        </w:rPr>
      </w:pPr>
    </w:p>
    <w:p>
      <w:pPr>
        <w:tabs>
          <w:tab w:val="left" w:pos="1260"/>
        </w:tabs>
        <w:spacing w:line="640" w:lineRule="exact"/>
        <w:ind w:firstLine="1020" w:firstLineChars="300"/>
        <w:outlineLvl w:val="0"/>
        <w:rPr>
          <w:rFonts w:ascii="宋体" w:hAnsi="宋体"/>
          <w:color w:val="auto"/>
          <w:spacing w:val="20"/>
          <w:kern w:val="21"/>
          <w:sz w:val="30"/>
          <w:szCs w:val="30"/>
          <w:highlight w:val="none"/>
        </w:rPr>
      </w:pPr>
      <w:bookmarkStart w:id="0" w:name="_Toc30068"/>
      <w:r>
        <w:rPr>
          <w:rFonts w:hint="eastAsia" w:ascii="宋体" w:hAnsi="宋体"/>
          <w:color w:val="auto"/>
          <w:spacing w:val="20"/>
          <w:kern w:val="21"/>
          <w:sz w:val="30"/>
          <w:szCs w:val="30"/>
          <w:highlight w:val="none"/>
        </w:rPr>
        <w:t>采</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购</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人：</w:t>
      </w:r>
      <w:r>
        <w:rPr>
          <w:rFonts w:hint="eastAsia"/>
          <w:color w:val="auto"/>
          <w:sz w:val="28"/>
          <w:highlight w:val="none"/>
          <w:u w:val="single"/>
          <w:lang w:eastAsia="zh-CN"/>
        </w:rPr>
        <w:t>台州市云湖小学</w:t>
      </w:r>
      <w:r>
        <w:rPr>
          <w:rFonts w:hint="eastAsia" w:ascii="宋体" w:hAnsi="宋体"/>
          <w:color w:val="auto"/>
          <w:spacing w:val="20"/>
          <w:kern w:val="21"/>
          <w:sz w:val="30"/>
          <w:szCs w:val="30"/>
          <w:highlight w:val="none"/>
        </w:rPr>
        <w:t>（盖章）</w:t>
      </w:r>
      <w:bookmarkEnd w:id="0"/>
    </w:p>
    <w:p>
      <w:pPr>
        <w:spacing w:line="640" w:lineRule="exact"/>
        <w:ind w:firstLine="1020" w:firstLineChars="300"/>
        <w:outlineLvl w:val="0"/>
        <w:rPr>
          <w:rFonts w:ascii="宋体" w:hAnsi="宋体"/>
          <w:color w:val="auto"/>
          <w:spacing w:val="20"/>
          <w:kern w:val="21"/>
          <w:sz w:val="30"/>
          <w:szCs w:val="30"/>
          <w:highlight w:val="none"/>
        </w:rPr>
      </w:pPr>
      <w:bookmarkStart w:id="1" w:name="_Toc19623"/>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val="en-US" w:eastAsia="zh-CN"/>
        </w:rPr>
        <w:t>项</w:t>
      </w:r>
      <w:r>
        <w:rPr>
          <w:rFonts w:hint="eastAsia" w:hAnsi="宋体"/>
          <w:color w:val="auto"/>
          <w:sz w:val="28"/>
          <w:highlight w:val="none"/>
          <w:u w:val="single"/>
        </w:rPr>
        <w:t>老师</w:t>
      </w:r>
      <w:bookmarkEnd w:id="1"/>
    </w:p>
    <w:p>
      <w:pPr>
        <w:spacing w:line="640" w:lineRule="exact"/>
        <w:ind w:firstLine="1020" w:firstLineChars="300"/>
        <w:outlineLvl w:val="0"/>
        <w:rPr>
          <w:rFonts w:hint="default" w:ascii="宋体" w:hAnsi="宋体" w:eastAsia="宋体"/>
          <w:color w:val="auto"/>
          <w:spacing w:val="20"/>
          <w:kern w:val="21"/>
          <w:sz w:val="30"/>
          <w:szCs w:val="30"/>
          <w:highlight w:val="none"/>
          <w:lang w:val="en-US" w:eastAsia="zh-CN"/>
        </w:rPr>
      </w:pPr>
      <w:bookmarkStart w:id="2" w:name="_Toc30839"/>
      <w:r>
        <w:rPr>
          <w:rFonts w:hint="eastAsia" w:ascii="宋体" w:hAnsi="宋体"/>
          <w:color w:val="auto"/>
          <w:spacing w:val="20"/>
          <w:kern w:val="21"/>
          <w:sz w:val="30"/>
          <w:szCs w:val="30"/>
          <w:highlight w:val="none"/>
        </w:rPr>
        <w:t>联系电话：</w:t>
      </w:r>
      <w:bookmarkEnd w:id="2"/>
      <w:r>
        <w:rPr>
          <w:rFonts w:hint="eastAsia" w:hAnsi="宋体"/>
          <w:color w:val="auto"/>
          <w:sz w:val="28"/>
          <w:highlight w:val="none"/>
          <w:u w:val="single"/>
          <w:lang w:val="en-US" w:eastAsia="zh-CN"/>
        </w:rPr>
        <w:t>13736244656</w:t>
      </w:r>
    </w:p>
    <w:p>
      <w:pPr>
        <w:pStyle w:val="14"/>
        <w:numPr>
          <w:ilvl w:val="0"/>
          <w:numId w:val="0"/>
        </w:numPr>
        <w:rPr>
          <w:color w:val="auto"/>
          <w:highlight w:val="none"/>
        </w:rPr>
      </w:pPr>
    </w:p>
    <w:p>
      <w:pPr>
        <w:spacing w:line="640" w:lineRule="exact"/>
        <w:ind w:firstLine="1020" w:firstLineChars="300"/>
        <w:outlineLvl w:val="0"/>
        <w:rPr>
          <w:rFonts w:ascii="宋体" w:hAnsi="宋体"/>
          <w:color w:val="auto"/>
          <w:spacing w:val="20"/>
          <w:kern w:val="21"/>
          <w:sz w:val="30"/>
          <w:szCs w:val="30"/>
          <w:highlight w:val="none"/>
        </w:rPr>
      </w:pPr>
      <w:bookmarkStart w:id="3" w:name="_Toc28988"/>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lang w:eastAsia="zh-CN"/>
        </w:rPr>
        <w:t>台州市永阳科技有限公司</w:t>
      </w:r>
      <w:r>
        <w:rPr>
          <w:rFonts w:hint="eastAsia" w:ascii="宋体" w:hAnsi="宋体"/>
          <w:color w:val="auto"/>
          <w:spacing w:val="20"/>
          <w:kern w:val="21"/>
          <w:sz w:val="30"/>
          <w:szCs w:val="30"/>
          <w:highlight w:val="none"/>
        </w:rPr>
        <w:t>（盖章）</w:t>
      </w:r>
      <w:bookmarkEnd w:id="3"/>
    </w:p>
    <w:p>
      <w:pPr>
        <w:spacing w:line="640" w:lineRule="exact"/>
        <w:ind w:firstLine="1020" w:firstLineChars="300"/>
        <w:outlineLvl w:val="0"/>
        <w:rPr>
          <w:rFonts w:ascii="宋体" w:hAnsi="宋体"/>
          <w:color w:val="auto"/>
          <w:spacing w:val="20"/>
          <w:kern w:val="21"/>
          <w:sz w:val="30"/>
          <w:szCs w:val="30"/>
          <w:highlight w:val="none"/>
        </w:rPr>
      </w:pPr>
      <w:bookmarkStart w:id="4" w:name="_Toc8450"/>
      <w:r>
        <w:rPr>
          <w:rFonts w:hint="eastAsia" w:ascii="宋体" w:hAnsi="宋体"/>
          <w:color w:val="auto"/>
          <w:spacing w:val="20"/>
          <w:kern w:val="21"/>
          <w:sz w:val="30"/>
          <w:szCs w:val="30"/>
          <w:highlight w:val="none"/>
        </w:rPr>
        <w:t>联 系 人：</w:t>
      </w:r>
      <w:r>
        <w:rPr>
          <w:rFonts w:hint="eastAsia" w:ascii="宋体" w:hAnsi="宋体"/>
          <w:color w:val="auto"/>
          <w:sz w:val="28"/>
          <w:highlight w:val="none"/>
          <w:u w:val="single"/>
        </w:rPr>
        <w:t>周先生</w:t>
      </w:r>
      <w:bookmarkEnd w:id="4"/>
    </w:p>
    <w:p>
      <w:pPr>
        <w:spacing w:line="480" w:lineRule="auto"/>
        <w:ind w:firstLine="1020" w:firstLineChars="30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联系电话：</w:t>
      </w:r>
      <w:r>
        <w:rPr>
          <w:rFonts w:hint="eastAsia" w:ascii="宋体" w:hAnsi="宋体"/>
          <w:color w:val="auto"/>
          <w:sz w:val="28"/>
          <w:highlight w:val="none"/>
          <w:u w:val="single"/>
        </w:rPr>
        <w:t>18958682891</w:t>
      </w:r>
    </w:p>
    <w:p>
      <w:pPr>
        <w:spacing w:line="640" w:lineRule="exact"/>
        <w:ind w:firstLine="1020" w:firstLineChars="300"/>
        <w:outlineLvl w:val="0"/>
        <w:rPr>
          <w:rFonts w:ascii="宋体" w:hAnsi="宋体"/>
          <w:b/>
          <w:color w:val="auto"/>
          <w:sz w:val="36"/>
          <w:highlight w:val="none"/>
        </w:rPr>
        <w:sectPr>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5" w:name="_Toc22370"/>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4</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07</w:t>
      </w:r>
      <w:r>
        <w:rPr>
          <w:rFonts w:hint="eastAsia" w:ascii="宋体" w:hAnsi="宋体"/>
          <w:color w:val="auto"/>
          <w:spacing w:val="20"/>
          <w:kern w:val="21"/>
          <w:sz w:val="30"/>
          <w:szCs w:val="30"/>
          <w:highlight w:val="none"/>
        </w:rPr>
        <w:t>月</w:t>
      </w:r>
      <w:bookmarkEnd w:id="5"/>
    </w:p>
    <w:p>
      <w:pPr>
        <w:pStyle w:val="37"/>
        <w:rPr>
          <w:color w:val="auto"/>
          <w:highlight w:val="none"/>
        </w:rPr>
      </w:pPr>
    </w:p>
    <w:sdt>
      <w:sdtPr>
        <w:rPr>
          <w:rFonts w:ascii="宋体" w:hAnsi="宋体" w:eastAsia="宋体" w:cs="Times New Roman"/>
          <w:color w:val="auto"/>
          <w:kern w:val="2"/>
          <w:sz w:val="40"/>
          <w:szCs w:val="48"/>
          <w:highlight w:val="none"/>
          <w:lang w:val="en-US" w:eastAsia="zh-CN" w:bidi="ar-SA"/>
        </w:rPr>
        <w:id w:val="147463668"/>
        <w15:color w:val="DBDBDB"/>
        <w:docPartObj>
          <w:docPartGallery w:val="Table of Contents"/>
          <w:docPartUnique/>
        </w:docPartObj>
      </w:sdtPr>
      <w:sdtEndPr>
        <w:rPr>
          <w:rFonts w:ascii="Times New Roman" w:hAnsi="Times New Roman" w:eastAsia="宋体" w:cs="Times New Roman"/>
          <w:color w:val="auto"/>
          <w:kern w:val="2"/>
          <w:sz w:val="21"/>
          <w:szCs w:val="28"/>
          <w:highlight w:val="none"/>
          <w:lang w:val="en-US" w:eastAsia="zh-CN" w:bidi="ar-SA"/>
        </w:rPr>
      </w:sdtEndPr>
      <w:sdtContent>
        <w:p>
          <w:pPr>
            <w:spacing w:before="0" w:beforeLines="0" w:after="0" w:afterLines="0" w:line="360" w:lineRule="auto"/>
            <w:ind w:left="0" w:leftChars="0" w:right="0" w:rightChars="0" w:firstLine="0" w:firstLineChars="0"/>
            <w:jc w:val="center"/>
            <w:rPr>
              <w:color w:val="auto"/>
              <w:sz w:val="40"/>
              <w:szCs w:val="48"/>
              <w:highlight w:val="none"/>
            </w:rPr>
          </w:pPr>
          <w:r>
            <w:rPr>
              <w:rFonts w:ascii="宋体" w:hAnsi="宋体" w:eastAsia="宋体"/>
              <w:color w:val="auto"/>
              <w:sz w:val="40"/>
              <w:szCs w:val="48"/>
              <w:highlight w:val="none"/>
            </w:rPr>
            <w:t>目</w:t>
          </w:r>
          <w:r>
            <w:rPr>
              <w:rFonts w:hint="eastAsia" w:ascii="宋体" w:hAnsi="宋体"/>
              <w:color w:val="auto"/>
              <w:sz w:val="40"/>
              <w:szCs w:val="48"/>
              <w:highlight w:val="none"/>
              <w:lang w:val="en-US" w:eastAsia="zh-CN"/>
            </w:rPr>
            <w:t xml:space="preserve">  </w:t>
          </w:r>
          <w:r>
            <w:rPr>
              <w:rFonts w:ascii="宋体" w:hAnsi="宋体" w:eastAsia="宋体"/>
              <w:color w:val="auto"/>
              <w:sz w:val="40"/>
              <w:szCs w:val="48"/>
              <w:highlight w:val="none"/>
            </w:rPr>
            <w:t>录</w:t>
          </w:r>
        </w:p>
        <w:p>
          <w:pPr>
            <w:pStyle w:val="58"/>
            <w:tabs>
              <w:tab w:val="right" w:leader="dot" w:pos="9184"/>
            </w:tabs>
            <w:spacing w:line="360" w:lineRule="auto"/>
            <w:rPr>
              <w:color w:val="auto"/>
              <w:sz w:val="36"/>
              <w:szCs w:val="36"/>
              <w:highlight w:val="none"/>
            </w:rPr>
          </w:pPr>
          <w:r>
            <w:rPr>
              <w:color w:val="auto"/>
              <w:sz w:val="52"/>
              <w:szCs w:val="52"/>
              <w:highlight w:val="none"/>
            </w:rPr>
            <w:fldChar w:fldCharType="begin"/>
          </w:r>
          <w:r>
            <w:rPr>
              <w:color w:val="auto"/>
              <w:sz w:val="52"/>
              <w:szCs w:val="52"/>
              <w:highlight w:val="none"/>
            </w:rPr>
            <w:instrText xml:space="preserve">TOC \o "1-1" \h \u </w:instrText>
          </w:r>
          <w:r>
            <w:rPr>
              <w:color w:val="auto"/>
              <w:sz w:val="52"/>
              <w:szCs w:val="52"/>
              <w:highlight w:val="none"/>
            </w:rPr>
            <w:fldChar w:fldCharType="separate"/>
          </w:r>
          <w:r>
            <w:rPr>
              <w:color w:val="auto"/>
              <w:sz w:val="36"/>
              <w:szCs w:val="52"/>
              <w:highlight w:val="none"/>
            </w:rPr>
            <w:fldChar w:fldCharType="begin"/>
          </w:r>
          <w:r>
            <w:rPr>
              <w:color w:val="auto"/>
              <w:sz w:val="36"/>
              <w:szCs w:val="52"/>
              <w:highlight w:val="none"/>
            </w:rPr>
            <w:instrText xml:space="preserve"> HYPERLINK \l _Toc26456 </w:instrText>
          </w:r>
          <w:r>
            <w:rPr>
              <w:color w:val="auto"/>
              <w:sz w:val="36"/>
              <w:szCs w:val="52"/>
              <w:highlight w:val="none"/>
            </w:rPr>
            <w:fldChar w:fldCharType="separate"/>
          </w:r>
          <w:r>
            <w:rPr>
              <w:rFonts w:hint="eastAsia" w:ascii="宋体" w:hAnsi="宋体" w:cs="宋体"/>
              <w:color w:val="auto"/>
              <w:sz w:val="36"/>
              <w:szCs w:val="72"/>
              <w:highlight w:val="none"/>
            </w:rPr>
            <w:t xml:space="preserve">第一章 </w:t>
          </w:r>
          <w:r>
            <w:rPr>
              <w:rFonts w:hint="eastAsia" w:ascii="宋体" w:hAnsi="宋体" w:cs="宋体"/>
              <w:color w:val="auto"/>
              <w:kern w:val="0"/>
              <w:sz w:val="36"/>
              <w:szCs w:val="72"/>
              <w:highlight w:val="none"/>
            </w:rPr>
            <w:t>投标邀请</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_Toc26456 \h </w:instrText>
          </w:r>
          <w:r>
            <w:rPr>
              <w:color w:val="auto"/>
              <w:sz w:val="36"/>
              <w:szCs w:val="36"/>
              <w:highlight w:val="none"/>
            </w:rPr>
            <w:fldChar w:fldCharType="separate"/>
          </w:r>
          <w:r>
            <w:rPr>
              <w:color w:val="auto"/>
              <w:sz w:val="36"/>
              <w:szCs w:val="36"/>
              <w:highlight w:val="none"/>
            </w:rPr>
            <w:t>1</w:t>
          </w:r>
          <w:r>
            <w:rPr>
              <w:color w:val="auto"/>
              <w:sz w:val="36"/>
              <w:szCs w:val="36"/>
              <w:highlight w:val="none"/>
            </w:rPr>
            <w:fldChar w:fldCharType="end"/>
          </w:r>
          <w:r>
            <w:rPr>
              <w:color w:val="auto"/>
              <w:sz w:val="36"/>
              <w:szCs w:val="52"/>
              <w:highlight w:val="none"/>
            </w:rPr>
            <w:fldChar w:fldCharType="end"/>
          </w:r>
        </w:p>
        <w:p>
          <w:pPr>
            <w:pStyle w:val="58"/>
            <w:tabs>
              <w:tab w:val="right" w:leader="dot" w:pos="9184"/>
            </w:tabs>
            <w:spacing w:line="360" w:lineRule="auto"/>
            <w:rPr>
              <w:color w:val="auto"/>
              <w:sz w:val="36"/>
              <w:szCs w:val="36"/>
              <w:highlight w:val="none"/>
            </w:rPr>
          </w:pPr>
          <w:r>
            <w:rPr>
              <w:color w:val="auto"/>
              <w:sz w:val="36"/>
              <w:szCs w:val="52"/>
              <w:highlight w:val="none"/>
            </w:rPr>
            <w:fldChar w:fldCharType="begin"/>
          </w:r>
          <w:r>
            <w:rPr>
              <w:color w:val="auto"/>
              <w:sz w:val="36"/>
              <w:szCs w:val="52"/>
              <w:highlight w:val="none"/>
            </w:rPr>
            <w:instrText xml:space="preserve"> HYPERLINK \l _Toc20901 </w:instrText>
          </w:r>
          <w:r>
            <w:rPr>
              <w:color w:val="auto"/>
              <w:sz w:val="36"/>
              <w:szCs w:val="52"/>
              <w:highlight w:val="none"/>
            </w:rPr>
            <w:fldChar w:fldCharType="separate"/>
          </w:r>
          <w:r>
            <w:rPr>
              <w:rFonts w:hint="eastAsia" w:asciiTheme="minorEastAsia" w:hAnsiTheme="minorEastAsia" w:eastAsiaTheme="minorEastAsia"/>
              <w:color w:val="auto"/>
              <w:sz w:val="36"/>
              <w:szCs w:val="72"/>
              <w:highlight w:val="none"/>
            </w:rPr>
            <w:t>第二章 投标人须知</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_Toc20901 \h </w:instrText>
          </w:r>
          <w:r>
            <w:rPr>
              <w:color w:val="auto"/>
              <w:sz w:val="36"/>
              <w:szCs w:val="36"/>
              <w:highlight w:val="none"/>
            </w:rPr>
            <w:fldChar w:fldCharType="separate"/>
          </w:r>
          <w:r>
            <w:rPr>
              <w:color w:val="auto"/>
              <w:sz w:val="36"/>
              <w:szCs w:val="36"/>
              <w:highlight w:val="none"/>
            </w:rPr>
            <w:t>5</w:t>
          </w:r>
          <w:r>
            <w:rPr>
              <w:color w:val="auto"/>
              <w:sz w:val="36"/>
              <w:szCs w:val="36"/>
              <w:highlight w:val="none"/>
            </w:rPr>
            <w:fldChar w:fldCharType="end"/>
          </w:r>
          <w:r>
            <w:rPr>
              <w:color w:val="auto"/>
              <w:sz w:val="36"/>
              <w:szCs w:val="52"/>
              <w:highlight w:val="none"/>
            </w:rPr>
            <w:fldChar w:fldCharType="end"/>
          </w:r>
        </w:p>
        <w:p>
          <w:pPr>
            <w:pStyle w:val="58"/>
            <w:tabs>
              <w:tab w:val="right" w:leader="dot" w:pos="9184"/>
            </w:tabs>
            <w:spacing w:line="360" w:lineRule="auto"/>
            <w:rPr>
              <w:color w:val="auto"/>
              <w:sz w:val="36"/>
              <w:szCs w:val="36"/>
              <w:highlight w:val="none"/>
            </w:rPr>
          </w:pPr>
          <w:r>
            <w:rPr>
              <w:color w:val="auto"/>
              <w:sz w:val="36"/>
              <w:szCs w:val="52"/>
              <w:highlight w:val="none"/>
            </w:rPr>
            <w:fldChar w:fldCharType="begin"/>
          </w:r>
          <w:r>
            <w:rPr>
              <w:color w:val="auto"/>
              <w:sz w:val="36"/>
              <w:szCs w:val="52"/>
              <w:highlight w:val="none"/>
            </w:rPr>
            <w:instrText xml:space="preserve"> HYPERLINK \l _Toc27108 </w:instrText>
          </w:r>
          <w:r>
            <w:rPr>
              <w:color w:val="auto"/>
              <w:sz w:val="36"/>
              <w:szCs w:val="52"/>
              <w:highlight w:val="none"/>
            </w:rPr>
            <w:fldChar w:fldCharType="separate"/>
          </w:r>
          <w:r>
            <w:rPr>
              <w:rFonts w:hint="eastAsia" w:asciiTheme="minorEastAsia" w:hAnsiTheme="minorEastAsia" w:eastAsiaTheme="minorEastAsia"/>
              <w:color w:val="auto"/>
              <w:sz w:val="36"/>
              <w:szCs w:val="72"/>
              <w:highlight w:val="none"/>
            </w:rPr>
            <w:t>第三章 招标需求</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_Toc27108 \h </w:instrText>
          </w:r>
          <w:r>
            <w:rPr>
              <w:color w:val="auto"/>
              <w:sz w:val="36"/>
              <w:szCs w:val="36"/>
              <w:highlight w:val="none"/>
            </w:rPr>
            <w:fldChar w:fldCharType="separate"/>
          </w:r>
          <w:r>
            <w:rPr>
              <w:color w:val="auto"/>
              <w:sz w:val="36"/>
              <w:szCs w:val="36"/>
              <w:highlight w:val="none"/>
            </w:rPr>
            <w:t>14</w:t>
          </w:r>
          <w:r>
            <w:rPr>
              <w:color w:val="auto"/>
              <w:sz w:val="36"/>
              <w:szCs w:val="36"/>
              <w:highlight w:val="none"/>
            </w:rPr>
            <w:fldChar w:fldCharType="end"/>
          </w:r>
          <w:r>
            <w:rPr>
              <w:color w:val="auto"/>
              <w:sz w:val="36"/>
              <w:szCs w:val="52"/>
              <w:highlight w:val="none"/>
            </w:rPr>
            <w:fldChar w:fldCharType="end"/>
          </w:r>
        </w:p>
        <w:p>
          <w:pPr>
            <w:pStyle w:val="58"/>
            <w:tabs>
              <w:tab w:val="right" w:leader="dot" w:pos="9184"/>
            </w:tabs>
            <w:spacing w:line="360" w:lineRule="auto"/>
            <w:rPr>
              <w:color w:val="auto"/>
              <w:sz w:val="36"/>
              <w:szCs w:val="36"/>
              <w:highlight w:val="none"/>
            </w:rPr>
          </w:pPr>
          <w:r>
            <w:rPr>
              <w:color w:val="auto"/>
              <w:sz w:val="36"/>
              <w:szCs w:val="52"/>
              <w:highlight w:val="none"/>
            </w:rPr>
            <w:fldChar w:fldCharType="begin"/>
          </w:r>
          <w:r>
            <w:rPr>
              <w:color w:val="auto"/>
              <w:sz w:val="36"/>
              <w:szCs w:val="52"/>
              <w:highlight w:val="none"/>
            </w:rPr>
            <w:instrText xml:space="preserve"> HYPERLINK \l _Toc27298 </w:instrText>
          </w:r>
          <w:r>
            <w:rPr>
              <w:color w:val="auto"/>
              <w:sz w:val="36"/>
              <w:szCs w:val="52"/>
              <w:highlight w:val="none"/>
            </w:rPr>
            <w:fldChar w:fldCharType="separate"/>
          </w:r>
          <w:r>
            <w:rPr>
              <w:rFonts w:hint="eastAsia" w:asciiTheme="minorEastAsia" w:hAnsiTheme="minorEastAsia" w:eastAsiaTheme="minorEastAsia"/>
              <w:color w:val="auto"/>
              <w:sz w:val="36"/>
              <w:szCs w:val="72"/>
              <w:highlight w:val="none"/>
            </w:rPr>
            <w:t>第四章 评标</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_Toc27298 \h </w:instrText>
          </w:r>
          <w:r>
            <w:rPr>
              <w:color w:val="auto"/>
              <w:sz w:val="36"/>
              <w:szCs w:val="36"/>
              <w:highlight w:val="none"/>
            </w:rPr>
            <w:fldChar w:fldCharType="separate"/>
          </w:r>
          <w:r>
            <w:rPr>
              <w:color w:val="auto"/>
              <w:sz w:val="36"/>
              <w:szCs w:val="36"/>
              <w:highlight w:val="none"/>
            </w:rPr>
            <w:t>20</w:t>
          </w:r>
          <w:r>
            <w:rPr>
              <w:color w:val="auto"/>
              <w:sz w:val="36"/>
              <w:szCs w:val="36"/>
              <w:highlight w:val="none"/>
            </w:rPr>
            <w:fldChar w:fldCharType="end"/>
          </w:r>
          <w:r>
            <w:rPr>
              <w:color w:val="auto"/>
              <w:sz w:val="36"/>
              <w:szCs w:val="52"/>
              <w:highlight w:val="none"/>
            </w:rPr>
            <w:fldChar w:fldCharType="end"/>
          </w:r>
        </w:p>
        <w:p>
          <w:pPr>
            <w:pStyle w:val="58"/>
            <w:tabs>
              <w:tab w:val="right" w:leader="dot" w:pos="9184"/>
            </w:tabs>
            <w:spacing w:line="360" w:lineRule="auto"/>
            <w:rPr>
              <w:color w:val="auto"/>
              <w:sz w:val="36"/>
              <w:szCs w:val="36"/>
              <w:highlight w:val="none"/>
            </w:rPr>
          </w:pPr>
          <w:r>
            <w:rPr>
              <w:color w:val="auto"/>
              <w:sz w:val="36"/>
              <w:szCs w:val="52"/>
              <w:highlight w:val="none"/>
            </w:rPr>
            <w:fldChar w:fldCharType="begin"/>
          </w:r>
          <w:r>
            <w:rPr>
              <w:color w:val="auto"/>
              <w:sz w:val="36"/>
              <w:szCs w:val="52"/>
              <w:highlight w:val="none"/>
            </w:rPr>
            <w:instrText xml:space="preserve"> HYPERLINK \l _Toc24360 </w:instrText>
          </w:r>
          <w:r>
            <w:rPr>
              <w:color w:val="auto"/>
              <w:sz w:val="36"/>
              <w:szCs w:val="52"/>
              <w:highlight w:val="none"/>
            </w:rPr>
            <w:fldChar w:fldCharType="separate"/>
          </w:r>
          <w:r>
            <w:rPr>
              <w:rFonts w:hint="eastAsia" w:asciiTheme="minorEastAsia" w:hAnsiTheme="minorEastAsia" w:eastAsiaTheme="minorEastAsia"/>
              <w:color w:val="auto"/>
              <w:sz w:val="36"/>
              <w:szCs w:val="72"/>
              <w:highlight w:val="none"/>
            </w:rPr>
            <w:t>第五章 拟签订的合同文本</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_Toc24360 \h </w:instrText>
          </w:r>
          <w:r>
            <w:rPr>
              <w:color w:val="auto"/>
              <w:sz w:val="36"/>
              <w:szCs w:val="36"/>
              <w:highlight w:val="none"/>
            </w:rPr>
            <w:fldChar w:fldCharType="separate"/>
          </w:r>
          <w:r>
            <w:rPr>
              <w:color w:val="auto"/>
              <w:sz w:val="36"/>
              <w:szCs w:val="36"/>
              <w:highlight w:val="none"/>
            </w:rPr>
            <w:t>27</w:t>
          </w:r>
          <w:r>
            <w:rPr>
              <w:color w:val="auto"/>
              <w:sz w:val="36"/>
              <w:szCs w:val="36"/>
              <w:highlight w:val="none"/>
            </w:rPr>
            <w:fldChar w:fldCharType="end"/>
          </w:r>
          <w:r>
            <w:rPr>
              <w:color w:val="auto"/>
              <w:sz w:val="36"/>
              <w:szCs w:val="52"/>
              <w:highlight w:val="none"/>
            </w:rPr>
            <w:fldChar w:fldCharType="end"/>
          </w:r>
        </w:p>
        <w:p>
          <w:pPr>
            <w:pStyle w:val="58"/>
            <w:tabs>
              <w:tab w:val="right" w:leader="dot" w:pos="9184"/>
            </w:tabs>
            <w:spacing w:line="360" w:lineRule="auto"/>
            <w:rPr>
              <w:color w:val="auto"/>
              <w:sz w:val="36"/>
              <w:szCs w:val="36"/>
              <w:highlight w:val="none"/>
            </w:rPr>
          </w:pPr>
          <w:r>
            <w:rPr>
              <w:color w:val="auto"/>
              <w:sz w:val="36"/>
              <w:szCs w:val="52"/>
              <w:highlight w:val="none"/>
            </w:rPr>
            <w:fldChar w:fldCharType="begin"/>
          </w:r>
          <w:r>
            <w:rPr>
              <w:color w:val="auto"/>
              <w:sz w:val="36"/>
              <w:szCs w:val="52"/>
              <w:highlight w:val="none"/>
            </w:rPr>
            <w:instrText xml:space="preserve"> HYPERLINK \l _Toc7164 </w:instrText>
          </w:r>
          <w:r>
            <w:rPr>
              <w:color w:val="auto"/>
              <w:sz w:val="36"/>
              <w:szCs w:val="52"/>
              <w:highlight w:val="none"/>
            </w:rPr>
            <w:fldChar w:fldCharType="separate"/>
          </w:r>
          <w:r>
            <w:rPr>
              <w:rFonts w:hint="eastAsia" w:asciiTheme="minorEastAsia" w:hAnsiTheme="minorEastAsia" w:eastAsiaTheme="minorEastAsia"/>
              <w:color w:val="auto"/>
              <w:sz w:val="36"/>
              <w:szCs w:val="72"/>
              <w:highlight w:val="none"/>
            </w:rPr>
            <w:t>第六章 投标文件格式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_Toc7164 \h </w:instrText>
          </w:r>
          <w:r>
            <w:rPr>
              <w:color w:val="auto"/>
              <w:sz w:val="36"/>
              <w:szCs w:val="36"/>
              <w:highlight w:val="none"/>
            </w:rPr>
            <w:fldChar w:fldCharType="separate"/>
          </w:r>
          <w:r>
            <w:rPr>
              <w:color w:val="auto"/>
              <w:sz w:val="36"/>
              <w:szCs w:val="36"/>
              <w:highlight w:val="none"/>
            </w:rPr>
            <w:t>32</w:t>
          </w:r>
          <w:r>
            <w:rPr>
              <w:color w:val="auto"/>
              <w:sz w:val="36"/>
              <w:szCs w:val="36"/>
              <w:highlight w:val="none"/>
            </w:rPr>
            <w:fldChar w:fldCharType="end"/>
          </w:r>
          <w:r>
            <w:rPr>
              <w:color w:val="auto"/>
              <w:sz w:val="36"/>
              <w:szCs w:val="52"/>
              <w:highlight w:val="none"/>
            </w:rPr>
            <w:fldChar w:fldCharType="end"/>
          </w:r>
        </w:p>
        <w:p>
          <w:pPr>
            <w:pStyle w:val="58"/>
            <w:tabs>
              <w:tab w:val="right" w:leader="dot" w:pos="9184"/>
            </w:tabs>
            <w:spacing w:line="360" w:lineRule="auto"/>
            <w:rPr>
              <w:color w:val="auto"/>
              <w:sz w:val="36"/>
              <w:szCs w:val="36"/>
              <w:highlight w:val="none"/>
            </w:rPr>
          </w:pPr>
        </w:p>
        <w:p>
          <w:pPr>
            <w:spacing w:line="360" w:lineRule="auto"/>
            <w:rPr>
              <w:color w:val="auto"/>
              <w:sz w:val="28"/>
              <w:szCs w:val="28"/>
              <w:highlight w:val="none"/>
            </w:rPr>
          </w:pPr>
          <w:r>
            <w:rPr>
              <w:color w:val="auto"/>
              <w:sz w:val="40"/>
              <w:szCs w:val="52"/>
              <w:highlight w:val="none"/>
            </w:rPr>
            <w:fldChar w:fldCharType="end"/>
          </w:r>
        </w:p>
      </w:sdtContent>
    </w:sdt>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sectPr>
          <w:footerReference r:id="rId6" w:type="default"/>
          <w:pgSz w:w="11906" w:h="16838"/>
          <w:pgMar w:top="1247" w:right="1361" w:bottom="1247" w:left="1361"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6"/>
          <w:szCs w:val="36"/>
          <w:highlight w:val="none"/>
        </w:rPr>
      </w:pPr>
      <w:bookmarkStart w:id="6" w:name="_Toc26456"/>
      <w:r>
        <w:rPr>
          <w:rFonts w:hint="eastAsia" w:ascii="宋体" w:hAnsi="宋体" w:cs="宋体"/>
          <w:b/>
          <w:color w:val="auto"/>
          <w:kern w:val="0"/>
          <w:sz w:val="36"/>
          <w:szCs w:val="36"/>
          <w:highlight w:val="none"/>
        </w:rPr>
        <w:t>投标邀请</w:t>
      </w:r>
      <w:bookmarkEnd w:id="6"/>
    </w:p>
    <w:p>
      <w:pPr>
        <w:pStyle w:val="3"/>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cs="宋体"/>
          <w:b w:val="0"/>
          <w:color w:val="auto"/>
          <w:sz w:val="24"/>
          <w:szCs w:val="24"/>
          <w:highlight w:val="none"/>
        </w:rPr>
      </w:pPr>
      <w:bookmarkStart w:id="7" w:name="_Toc28359002"/>
      <w:bookmarkStart w:id="8" w:name="_Toc28359079"/>
      <w:bookmarkStart w:id="9" w:name="_Toc35393621"/>
      <w:bookmarkStart w:id="10" w:name="_Toc35393790"/>
      <w:bookmarkStart w:id="11" w:name="_Hlk24379207"/>
      <w:r>
        <w:rPr>
          <w:rFonts w:hint="eastAsia" w:cs="宋体"/>
          <w:b w:val="0"/>
          <w:color w:val="auto"/>
          <w:sz w:val="24"/>
          <w:szCs w:val="24"/>
          <w:highlight w:val="none"/>
          <w:u w:val="single"/>
          <w:lang w:eastAsia="zh-CN"/>
        </w:rPr>
        <w:t>台州市永阳科技有限公司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台州市云湖小学</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台州市云湖小学午休躺睡桌椅采购项目</w:t>
      </w:r>
      <w:r>
        <w:rPr>
          <w:rFonts w:hint="eastAsia" w:cs="宋体"/>
          <w:b w:val="0"/>
          <w:color w:val="auto"/>
          <w:sz w:val="24"/>
          <w:szCs w:val="24"/>
          <w:highlight w:val="none"/>
        </w:rPr>
        <w:t>进行公开招标，欢迎符合资格条件的国内投标人参加投标。</w:t>
      </w:r>
    </w:p>
    <w:p>
      <w:pPr>
        <w:pStyle w:val="3"/>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20" w:firstLineChars="0"/>
        <w:jc w:val="left"/>
        <w:textAlignment w:val="auto"/>
        <w:rPr>
          <w:rFonts w:cs="宋体"/>
          <w:bCs/>
          <w:color w:val="auto"/>
          <w:sz w:val="24"/>
          <w:szCs w:val="24"/>
          <w:highlight w:val="none"/>
        </w:rPr>
      </w:pPr>
      <w:r>
        <w:rPr>
          <w:rFonts w:hint="eastAsia" w:cs="宋体"/>
          <w:bCs/>
          <w:color w:val="auto"/>
          <w:sz w:val="24"/>
          <w:szCs w:val="24"/>
          <w:highlight w:val="none"/>
        </w:rPr>
        <w:t>项目基本情况</w:t>
      </w:r>
      <w:bookmarkEnd w:id="7"/>
      <w:bookmarkEnd w:id="8"/>
      <w:bookmarkEnd w:id="9"/>
      <w:bookmarkEnd w:id="10"/>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TZYY-2407-010号</w:t>
      </w:r>
      <w:r>
        <w:rPr>
          <w:rFonts w:ascii="宋体" w:hAnsi="宋体" w:cs="宋体"/>
          <w:color w:val="auto"/>
          <w:sz w:val="24"/>
          <w:highlight w:val="none"/>
        </w:rPr>
        <w:t xml:space="preserve"> </w:t>
      </w:r>
    </w:p>
    <w:bookmarkEnd w:id="11"/>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color w:val="auto"/>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台州市云湖小学午休躺睡桌椅采购项目</w:t>
      </w:r>
      <w:r>
        <w:rPr>
          <w:color w:val="auto"/>
          <w:highlight w:val="none"/>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3391"/>
        <w:gridCol w:w="196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42"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标</w:t>
            </w:r>
            <w:r>
              <w:rPr>
                <w:rFonts w:hint="eastAsia" w:ascii="宋体" w:hAnsi="宋体" w:cs="宋体"/>
                <w:color w:val="auto"/>
                <w:sz w:val="24"/>
                <w:highlight w:val="none"/>
                <w:lang w:val="en-US" w:eastAsia="zh-CN"/>
              </w:rPr>
              <w:t>段</w:t>
            </w:r>
            <w:r>
              <w:rPr>
                <w:rFonts w:hint="eastAsia" w:ascii="宋体" w:hAnsi="宋体" w:cs="宋体"/>
                <w:color w:val="auto"/>
                <w:sz w:val="24"/>
                <w:highlight w:val="none"/>
              </w:rPr>
              <w:t>号</w:t>
            </w:r>
          </w:p>
        </w:tc>
        <w:tc>
          <w:tcPr>
            <w:tcW w:w="3391"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标</w:t>
            </w:r>
            <w:r>
              <w:rPr>
                <w:rFonts w:hint="eastAsia" w:ascii="宋体" w:hAnsi="宋体" w:cs="宋体"/>
                <w:color w:val="auto"/>
                <w:sz w:val="24"/>
                <w:highlight w:val="none"/>
                <w:lang w:val="en-US" w:eastAsia="zh-CN"/>
              </w:rPr>
              <w:t>段</w:t>
            </w:r>
            <w:r>
              <w:rPr>
                <w:rFonts w:hint="eastAsia" w:ascii="宋体" w:hAnsi="宋体" w:cs="宋体"/>
                <w:color w:val="auto"/>
                <w:sz w:val="24"/>
                <w:highlight w:val="none"/>
              </w:rPr>
              <w:t>名称</w:t>
            </w:r>
          </w:p>
        </w:tc>
        <w:tc>
          <w:tcPr>
            <w:tcW w:w="1966"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预算金额（元）</w:t>
            </w:r>
          </w:p>
        </w:tc>
        <w:tc>
          <w:tcPr>
            <w:tcW w:w="2117"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42"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391"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台州市云湖小学午休躺睡桌椅采购项目</w:t>
            </w:r>
          </w:p>
        </w:tc>
        <w:tc>
          <w:tcPr>
            <w:tcW w:w="1966"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42万</w:t>
            </w:r>
          </w:p>
        </w:tc>
        <w:tc>
          <w:tcPr>
            <w:tcW w:w="2117" w:type="dxa"/>
            <w:vAlign w:val="center"/>
          </w:tcPr>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课桌650张，</w:t>
            </w:r>
          </w:p>
          <w:p>
            <w:pPr>
              <w:keepNext w:val="0"/>
              <w:keepLines w:val="0"/>
              <w:pageBreakBefore w:val="0"/>
              <w:widowControl w:val="0"/>
              <w:kinsoku/>
              <w:wordWrap/>
              <w:overflowPunct/>
              <w:topLinePunct w:val="0"/>
              <w:bidi w:val="0"/>
              <w:adjustRightInd/>
              <w:snapToGrid/>
              <w:spacing w:line="360" w:lineRule="auto"/>
              <w:ind w:right="0"/>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午休躺椅730张</w:t>
            </w:r>
          </w:p>
        </w:tc>
      </w:tr>
    </w:tbl>
    <w:p>
      <w:pPr>
        <w:pStyle w:val="3"/>
        <w:keepNext w:val="0"/>
        <w:keepLines w:val="0"/>
        <w:pageBreakBefore w:val="0"/>
        <w:widowControl w:val="0"/>
        <w:numPr>
          <w:ilvl w:val="0"/>
          <w:numId w:val="6"/>
        </w:numPr>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cs="宋体"/>
          <w:bCs/>
          <w:color w:val="auto"/>
          <w:sz w:val="24"/>
          <w:szCs w:val="24"/>
          <w:highlight w:val="none"/>
        </w:rPr>
      </w:pPr>
      <w:bookmarkStart w:id="12" w:name="_Toc35393622"/>
      <w:bookmarkStart w:id="13" w:name="_Toc28359003"/>
      <w:bookmarkStart w:id="14" w:name="_Toc28359080"/>
      <w:bookmarkStart w:id="15" w:name="_Toc35393791"/>
      <w:r>
        <w:rPr>
          <w:rFonts w:hint="eastAsia" w:cs="宋体"/>
          <w:bCs/>
          <w:color w:val="auto"/>
          <w:sz w:val="24"/>
          <w:szCs w:val="24"/>
          <w:highlight w:val="none"/>
        </w:rPr>
        <w:t>投标人的资格要求</w:t>
      </w:r>
      <w:bookmarkEnd w:id="12"/>
      <w:bookmarkEnd w:id="13"/>
      <w:bookmarkEnd w:id="14"/>
      <w:bookmarkEnd w:id="15"/>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满足《中华人民共和国政府采购法》第二十二条规定。</w:t>
      </w:r>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bookmarkStart w:id="16" w:name="_Toc35393792"/>
      <w:bookmarkStart w:id="17" w:name="_Toc28359081"/>
      <w:bookmarkStart w:id="18" w:name="_Toc28359004"/>
      <w:bookmarkStart w:id="19" w:name="_Toc35393623"/>
      <w:r>
        <w:rPr>
          <w:rFonts w:hint="eastAsia" w:ascii="宋体" w:hAnsi="宋体" w:cs="宋体"/>
          <w:color w:val="auto"/>
          <w:sz w:val="24"/>
          <w:szCs w:val="24"/>
          <w:highlight w:val="none"/>
        </w:rPr>
        <w:t>本项目的特定资格要求：</w:t>
      </w:r>
      <w:r>
        <w:rPr>
          <w:rFonts w:hint="eastAsia" w:ascii="宋体" w:hAnsi="宋体"/>
          <w:color w:val="auto"/>
          <w:sz w:val="24"/>
          <w:szCs w:val="24"/>
          <w:highlight w:val="none"/>
        </w:rPr>
        <w:t>无</w:t>
      </w:r>
      <w:r>
        <w:rPr>
          <w:rFonts w:hint="eastAsia" w:ascii="宋体" w:hAnsi="宋体" w:cs="宋体"/>
          <w:color w:val="auto"/>
          <w:sz w:val="24"/>
          <w:szCs w:val="24"/>
          <w:highlight w:val="none"/>
        </w:rPr>
        <w:t>。</w:t>
      </w:r>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信用记录：未被列入“信用中国”失信被执行人或重大税收违法案件当事人名单；未处于“中国政府采购网”</w:t>
      </w:r>
      <w:r>
        <w:rPr>
          <w:color w:val="auto"/>
          <w:sz w:val="24"/>
          <w:szCs w:val="24"/>
          <w:highlight w:val="none"/>
        </w:rPr>
        <w:fldChar w:fldCharType="begin"/>
      </w:r>
      <w:r>
        <w:rPr>
          <w:color w:val="auto"/>
          <w:sz w:val="24"/>
          <w:szCs w:val="24"/>
          <w:highlight w:val="none"/>
        </w:rPr>
        <w:instrText xml:space="preserve"> HYPERLINK "http://www.ccgp.gov.cn）政府采购严重违法失信行为信息记录中的禁止参加政府采购活动期间。/" </w:instrText>
      </w:r>
      <w:r>
        <w:rPr>
          <w:color w:val="auto"/>
          <w:sz w:val="24"/>
          <w:szCs w:val="24"/>
          <w:highlight w:val="none"/>
        </w:rPr>
        <w:fldChar w:fldCharType="separate"/>
      </w:r>
      <w:r>
        <w:rPr>
          <w:rFonts w:hint="eastAsia" w:ascii="宋体" w:hAnsi="宋体" w:cs="宋体"/>
          <w:color w:val="auto"/>
          <w:sz w:val="24"/>
          <w:szCs w:val="24"/>
          <w:highlight w:val="none"/>
        </w:rPr>
        <w:t>政府采购严重违法失信行为信息记录中的禁止参加政府采购活动期间。</w:t>
      </w:r>
      <w:r>
        <w:rPr>
          <w:rFonts w:ascii="宋体" w:hAnsi="宋体" w:cs="宋体"/>
          <w:color w:val="auto"/>
          <w:sz w:val="24"/>
          <w:szCs w:val="24"/>
          <w:highlight w:val="none"/>
        </w:rPr>
        <w:fldChar w:fldCharType="end"/>
      </w:r>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公益一类事业单位，既不属于政府购买服务的购买主体，也不属于承接主体，不得参与承接政府购买服务。</w:t>
      </w:r>
    </w:p>
    <w:p>
      <w:pPr>
        <w:keepNext w:val="0"/>
        <w:keepLines w:val="0"/>
        <w:pageBreakBefore w:val="0"/>
        <w:widowControl w:val="0"/>
        <w:numPr>
          <w:ilvl w:val="0"/>
          <w:numId w:val="7"/>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法律、行政法规规定的其他条件：单位负责人为同一人或者存在直接控股、管理关系的不同供应商，不得同时参加同一项目投标，不得再参与本项目投标。</w:t>
      </w:r>
    </w:p>
    <w:p>
      <w:pPr>
        <w:pStyle w:val="3"/>
        <w:keepNext w:val="0"/>
        <w:keepLines w:val="0"/>
        <w:pageBreakBefore w:val="0"/>
        <w:widowControl w:val="0"/>
        <w:numPr>
          <w:ilvl w:val="0"/>
          <w:numId w:val="6"/>
        </w:numPr>
        <w:tabs>
          <w:tab w:val="left" w:pos="9660"/>
          <w:tab w:val="clear" w:pos="8280"/>
        </w:tabs>
        <w:kinsoku/>
        <w:wordWrap/>
        <w:overflowPunct/>
        <w:topLinePunct w:val="0"/>
        <w:bidi w:val="0"/>
        <w:adjustRightInd/>
        <w:snapToGrid/>
        <w:spacing w:line="360" w:lineRule="auto"/>
        <w:ind w:left="0" w:leftChars="0" w:right="0" w:firstLine="482" w:firstLineChars="200"/>
        <w:jc w:val="left"/>
        <w:textAlignment w:val="auto"/>
        <w:rPr>
          <w:rFonts w:cs="宋体"/>
          <w:bCs/>
          <w:color w:val="auto"/>
          <w:sz w:val="24"/>
          <w:szCs w:val="24"/>
          <w:highlight w:val="none"/>
        </w:rPr>
      </w:pPr>
      <w:r>
        <w:rPr>
          <w:rFonts w:hint="eastAsia" w:cs="宋体"/>
          <w:bCs/>
          <w:color w:val="auto"/>
          <w:sz w:val="24"/>
          <w:szCs w:val="24"/>
          <w:highlight w:val="none"/>
        </w:rPr>
        <w:t>获取招标文件</w:t>
      </w:r>
      <w:bookmarkEnd w:id="16"/>
      <w:bookmarkEnd w:id="17"/>
      <w:bookmarkEnd w:id="18"/>
      <w:bookmarkEnd w:id="19"/>
    </w:p>
    <w:p>
      <w:pPr>
        <w:keepNext w:val="0"/>
        <w:keepLines w:val="0"/>
        <w:pageBreakBefore w:val="0"/>
        <w:widowControl w:val="0"/>
        <w:numPr>
          <w:ilvl w:val="0"/>
          <w:numId w:val="8"/>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时间：项目发布之日起至</w:t>
      </w:r>
      <w:r>
        <w:rPr>
          <w:rFonts w:hint="eastAsia" w:ascii="宋体" w:hAnsi="宋体" w:cs="宋体"/>
          <w:b w:val="0"/>
          <w:bCs w:val="0"/>
          <w:color w:val="auto"/>
          <w:sz w:val="24"/>
          <w:szCs w:val="24"/>
          <w:highlight w:val="none"/>
          <w:u w:val="single"/>
        </w:rPr>
        <w:t>开标截止时间</w:t>
      </w:r>
    </w:p>
    <w:p>
      <w:pPr>
        <w:keepNext w:val="0"/>
        <w:keepLines w:val="0"/>
        <w:pageBreakBefore w:val="0"/>
        <w:widowControl w:val="0"/>
        <w:numPr>
          <w:ilvl w:val="0"/>
          <w:numId w:val="8"/>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
          <w:color w:val="auto"/>
          <w:kern w:val="0"/>
          <w:sz w:val="24"/>
          <w:szCs w:val="24"/>
          <w:highlight w:val="none"/>
        </w:rPr>
      </w:pPr>
      <w:r>
        <w:rPr>
          <w:rFonts w:hint="eastAsia" w:ascii="宋体" w:hAnsi="宋体" w:cs="宋体"/>
          <w:b w:val="0"/>
          <w:bCs w:val="0"/>
          <w:color w:val="auto"/>
          <w:sz w:val="24"/>
          <w:szCs w:val="24"/>
          <w:highlight w:val="none"/>
        </w:rPr>
        <w:t>方式：</w:t>
      </w:r>
      <w:r>
        <w:rPr>
          <w:rFonts w:hint="eastAsia" w:ascii="宋体" w:hAnsi="宋体" w:cs="宋体"/>
          <w:b w:val="0"/>
          <w:bCs w:val="0"/>
          <w:color w:val="auto"/>
          <w:kern w:val="0"/>
          <w:sz w:val="24"/>
          <w:szCs w:val="24"/>
          <w:highlight w:val="none"/>
        </w:rPr>
        <w:t>网上下载-台州湾新区小额工程电子交易平台</w:t>
      </w:r>
      <w:r>
        <w:rPr>
          <w:rFonts w:hint="eastAsia" w:ascii="宋体" w:hAnsi="宋体" w:cs="宋体"/>
          <w:b/>
          <w:color w:val="auto"/>
          <w:kern w:val="0"/>
          <w:sz w:val="24"/>
          <w:szCs w:val="24"/>
          <w:highlight w:val="none"/>
        </w:rPr>
        <w:t>（</w:t>
      </w:r>
      <w:r>
        <w:rPr>
          <w:rFonts w:ascii="宋体" w:hAnsi="宋体" w:cs="宋体"/>
          <w:b/>
          <w:color w:val="auto"/>
          <w:kern w:val="0"/>
          <w:sz w:val="24"/>
          <w:szCs w:val="24"/>
          <w:highlight w:val="none"/>
        </w:rPr>
        <w:t>http://www.tzwztb.com/</w:t>
      </w:r>
      <w:r>
        <w:rPr>
          <w:rFonts w:hint="eastAsia" w:ascii="宋体" w:hAnsi="宋体" w:cs="宋体"/>
          <w:b/>
          <w:color w:val="auto"/>
          <w:kern w:val="0"/>
          <w:sz w:val="24"/>
          <w:szCs w:val="24"/>
          <w:highlight w:val="none"/>
          <w:lang w:eastAsia="zh-CN"/>
        </w:rPr>
        <w:t>）</w:t>
      </w:r>
    </w:p>
    <w:p>
      <w:pPr>
        <w:pStyle w:val="3"/>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color w:val="auto"/>
          <w:sz w:val="24"/>
          <w:szCs w:val="24"/>
          <w:highlight w:val="none"/>
        </w:rPr>
      </w:pPr>
      <w:bookmarkStart w:id="20" w:name="_Toc35393793"/>
      <w:bookmarkStart w:id="21" w:name="_Toc28359005"/>
      <w:bookmarkStart w:id="22" w:name="_Toc28359082"/>
      <w:bookmarkStart w:id="23" w:name="_Toc35393624"/>
      <w:r>
        <w:rPr>
          <w:rFonts w:hint="eastAsia" w:cs="宋体"/>
          <w:bCs/>
          <w:color w:val="auto"/>
          <w:sz w:val="24"/>
          <w:szCs w:val="24"/>
          <w:highlight w:val="none"/>
        </w:rPr>
        <w:t>提交投标文件</w:t>
      </w:r>
      <w:bookmarkEnd w:id="20"/>
      <w:bookmarkEnd w:id="21"/>
      <w:bookmarkEnd w:id="22"/>
      <w:bookmarkEnd w:id="23"/>
    </w:p>
    <w:p>
      <w:pPr>
        <w:keepNext w:val="0"/>
        <w:keepLines w:val="0"/>
        <w:pageBreakBefore w:val="0"/>
        <w:widowControl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bookmarkStart w:id="24" w:name="_Toc28359084"/>
      <w:bookmarkStart w:id="25" w:name="_Toc35393794"/>
      <w:bookmarkStart w:id="26" w:name="_Toc28359007"/>
      <w:bookmarkStart w:id="27" w:name="_Toc35393625"/>
      <w:r>
        <w:rPr>
          <w:rFonts w:hint="eastAsia" w:ascii="宋体" w:hAnsi="宋体" w:cs="宋体"/>
          <w:color w:val="auto"/>
          <w:sz w:val="24"/>
          <w:szCs w:val="24"/>
          <w:highlight w:val="none"/>
        </w:rPr>
        <w:t>截止时间（开标时间）：</w:t>
      </w:r>
      <w:r>
        <w:rPr>
          <w:rFonts w:hint="eastAsia" w:ascii="宋体" w:hAnsi="宋体" w:cs="宋体"/>
          <w:bCs/>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08月09</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14</w:t>
      </w:r>
      <w:r>
        <w:rPr>
          <w:rFonts w:hint="eastAsia" w:ascii="宋体" w:hAnsi="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3</w:t>
      </w:r>
      <w:r>
        <w:rPr>
          <w:rFonts w:hint="eastAsia" w:ascii="宋体" w:hAnsi="宋体" w:cs="宋体"/>
          <w:bCs/>
          <w:color w:val="auto"/>
          <w:sz w:val="24"/>
          <w:szCs w:val="24"/>
          <w:highlight w:val="none"/>
          <w:u w:val="single"/>
        </w:rPr>
        <w:t>0分</w:t>
      </w:r>
      <w:r>
        <w:rPr>
          <w:rFonts w:hint="eastAsia" w:ascii="宋体" w:hAnsi="宋体" w:cs="宋体"/>
          <w:color w:val="auto"/>
          <w:sz w:val="24"/>
          <w:szCs w:val="24"/>
          <w:highlight w:val="none"/>
        </w:rPr>
        <w:t>（北京时间）</w:t>
      </w:r>
    </w:p>
    <w:p>
      <w:pPr>
        <w:keepNext w:val="0"/>
        <w:keepLines w:val="0"/>
        <w:pageBreakBefore w:val="0"/>
        <w:widowControl w:val="0"/>
        <w:numPr>
          <w:ilvl w:val="0"/>
          <w:numId w:val="9"/>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投标网址：台州湾新区小额工程电子交易平台（网址：</w:t>
      </w:r>
      <w:r>
        <w:rPr>
          <w:color w:val="auto"/>
          <w:sz w:val="24"/>
          <w:szCs w:val="24"/>
          <w:highlight w:val="none"/>
        </w:rPr>
        <w:t>http://www.tzwztb.com/</w:t>
      </w:r>
      <w:r>
        <w:rPr>
          <w:rFonts w:hint="eastAsia" w:ascii="宋体" w:hAnsi="宋体" w:cs="宋体"/>
          <w:color w:val="auto"/>
          <w:sz w:val="24"/>
          <w:szCs w:val="24"/>
          <w:highlight w:val="none"/>
        </w:rPr>
        <w:t>）</w:t>
      </w:r>
    </w:p>
    <w:bookmarkEnd w:id="24"/>
    <w:bookmarkEnd w:id="25"/>
    <w:bookmarkEnd w:id="26"/>
    <w:bookmarkEnd w:id="27"/>
    <w:p>
      <w:pPr>
        <w:pStyle w:val="26"/>
        <w:keepNext w:val="0"/>
        <w:keepLines w:val="0"/>
        <w:pageBreakBefore w:val="0"/>
        <w:widowControl w:val="0"/>
        <w:numPr>
          <w:ilvl w:val="0"/>
          <w:numId w:val="6"/>
        </w:numPr>
        <w:kinsoku/>
        <w:wordWrap/>
        <w:overflowPunct/>
        <w:topLinePunct w:val="0"/>
        <w:bidi w:val="0"/>
        <w:adjustRightInd/>
        <w:snapToGrid/>
        <w:spacing w:after="0" w:line="360" w:lineRule="auto"/>
        <w:ind w:left="0" w:leftChars="0" w:right="0" w:firstLine="482" w:firstLineChars="200"/>
        <w:jc w:val="left"/>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发布公告</w:t>
      </w:r>
    </w:p>
    <w:p>
      <w:pPr>
        <w:pStyle w:val="26"/>
        <w:keepNext w:val="0"/>
        <w:keepLines w:val="0"/>
        <w:pageBreakBefore w:val="0"/>
        <w:widowControl w:val="0"/>
        <w:numPr>
          <w:ilvl w:val="0"/>
          <w:numId w:val="10"/>
        </w:numPr>
        <w:kinsoku/>
        <w:wordWrap/>
        <w:overflowPunct/>
        <w:topLinePunct w:val="0"/>
        <w:bidi w:val="0"/>
        <w:adjustRightInd/>
        <w:snapToGrid/>
        <w:spacing w:after="0" w:line="360" w:lineRule="auto"/>
        <w:ind w:left="0" w:leftChars="0" w:right="0"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公告网址：台州湾新区小额工程电子交易平台（http://www.tzwztb.com）、</w:t>
      </w:r>
      <w:r>
        <w:rPr>
          <w:rFonts w:hint="eastAsia" w:ascii="宋体" w:hAnsi="宋体" w:cs="宋体"/>
          <w:color w:val="auto"/>
          <w:kern w:val="0"/>
          <w:sz w:val="24"/>
          <w:szCs w:val="24"/>
          <w:highlight w:val="none"/>
        </w:rPr>
        <w:t>浙江政府采购网（</w:t>
      </w:r>
      <w:r>
        <w:rPr>
          <w:rFonts w:hint="eastAsia" w:ascii="宋体" w:hAnsi="宋体" w:cs="宋体"/>
          <w:color w:val="auto"/>
          <w:sz w:val="24"/>
          <w:szCs w:val="24"/>
          <w:highlight w:val="none"/>
        </w:rPr>
        <w:t>https://zfcg.czt.zj.gov.cn</w:t>
      </w:r>
      <w:r>
        <w:rPr>
          <w:rFonts w:hint="eastAsia" w:ascii="宋体" w:hAnsi="宋体" w:cs="宋体"/>
          <w:color w:val="auto"/>
          <w:kern w:val="0"/>
          <w:sz w:val="24"/>
          <w:szCs w:val="24"/>
          <w:highlight w:val="none"/>
        </w:rPr>
        <w:t>）</w:t>
      </w:r>
    </w:p>
    <w:p>
      <w:pPr>
        <w:pStyle w:val="26"/>
        <w:keepNext w:val="0"/>
        <w:keepLines w:val="0"/>
        <w:pageBreakBefore w:val="0"/>
        <w:widowControl w:val="0"/>
        <w:numPr>
          <w:ilvl w:val="0"/>
          <w:numId w:val="10"/>
        </w:numPr>
        <w:kinsoku/>
        <w:wordWrap/>
        <w:overflowPunct/>
        <w:topLinePunct w:val="0"/>
        <w:bidi w:val="0"/>
        <w:adjustRightInd/>
        <w:snapToGrid/>
        <w:spacing w:after="0" w:line="360" w:lineRule="auto"/>
        <w:ind w:left="0" w:leftChars="0" w:right="0"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公告期限：</w:t>
      </w:r>
      <w:r>
        <w:rPr>
          <w:rFonts w:hint="eastAsia" w:ascii="宋体" w:hAnsi="宋体" w:cs="宋体"/>
          <w:color w:val="auto"/>
          <w:kern w:val="0"/>
          <w:sz w:val="24"/>
          <w:szCs w:val="24"/>
          <w:highlight w:val="none"/>
        </w:rPr>
        <w:t>本公告期限自发布之日起五个工作日</w:t>
      </w:r>
    </w:p>
    <w:p>
      <w:pPr>
        <w:pStyle w:val="3"/>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color w:val="auto"/>
          <w:sz w:val="24"/>
          <w:szCs w:val="24"/>
          <w:highlight w:val="none"/>
        </w:rPr>
      </w:pPr>
      <w:r>
        <w:rPr>
          <w:rFonts w:hint="eastAsia" w:cs="宋体"/>
          <w:bCs/>
          <w:color w:val="auto"/>
          <w:sz w:val="24"/>
          <w:szCs w:val="24"/>
          <w:highlight w:val="none"/>
        </w:rPr>
        <w:t>注册报名</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投标人需登录</w:t>
      </w:r>
      <w:r>
        <w:rPr>
          <w:rFonts w:hint="eastAsia" w:ascii="宋体" w:hAnsi="宋体" w:cs="宋体"/>
          <w:b w:val="0"/>
          <w:bCs w:val="0"/>
          <w:color w:val="auto"/>
          <w:kern w:val="0"/>
          <w:sz w:val="24"/>
          <w:szCs w:val="24"/>
          <w:highlight w:val="none"/>
        </w:rPr>
        <w:t>台州湾新区小额工程电子交易平台（</w:t>
      </w:r>
      <w:r>
        <w:rPr>
          <w:rFonts w:ascii="宋体" w:hAnsi="宋体" w:cs="宋体"/>
          <w:b w:val="0"/>
          <w:bCs w:val="0"/>
          <w:color w:val="auto"/>
          <w:kern w:val="0"/>
          <w:sz w:val="24"/>
          <w:szCs w:val="24"/>
          <w:highlight w:val="none"/>
        </w:rPr>
        <w:t>http://www.tzwztb.com/</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sz w:val="24"/>
          <w:szCs w:val="24"/>
          <w:highlight w:val="none"/>
        </w:rPr>
        <w:t>进行注册后报名。</w:t>
      </w:r>
    </w:p>
    <w:p>
      <w:pPr>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投标保证金</w:t>
      </w:r>
      <w:r>
        <w:rPr>
          <w:rFonts w:hint="eastAsia" w:ascii="宋体" w:hAnsi="宋体" w:cs="宋体"/>
          <w:color w:val="auto"/>
          <w:sz w:val="24"/>
          <w:szCs w:val="24"/>
          <w:highlight w:val="none"/>
        </w:rPr>
        <w:t>：</w:t>
      </w:r>
    </w:p>
    <w:p>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rPr>
        <w:t>投标保证金金额：</w:t>
      </w:r>
      <w:r>
        <w:rPr>
          <w:rFonts w:hint="eastAsia" w:ascii="宋体" w:hAnsi="宋体" w:cs="宋体"/>
          <w:b/>
          <w:bCs w:val="0"/>
          <w:color w:val="auto"/>
          <w:kern w:val="0"/>
          <w:sz w:val="24"/>
          <w:szCs w:val="24"/>
          <w:highlight w:val="none"/>
          <w:u w:val="single"/>
          <w:lang w:val="en-US" w:eastAsia="zh-CN"/>
        </w:rPr>
        <w:t>5000</w:t>
      </w:r>
      <w:r>
        <w:rPr>
          <w:rFonts w:hint="eastAsia" w:ascii="宋体" w:hAnsi="宋体" w:cs="宋体"/>
          <w:b/>
          <w:bCs w:val="0"/>
          <w:color w:val="auto"/>
          <w:kern w:val="0"/>
          <w:sz w:val="24"/>
          <w:szCs w:val="24"/>
          <w:highlight w:val="none"/>
        </w:rPr>
        <w:t>元。</w:t>
      </w:r>
    </w:p>
    <w:p>
      <w:pPr>
        <w:pStyle w:val="26"/>
        <w:keepNext w:val="0"/>
        <w:keepLines w:val="0"/>
        <w:pageBreakBefore w:val="0"/>
        <w:widowControl w:val="0"/>
        <w:numPr>
          <w:ilvl w:val="0"/>
          <w:numId w:val="11"/>
        </w:numPr>
        <w:kinsoku/>
        <w:wordWrap/>
        <w:overflowPunct/>
        <w:topLinePunct w:val="0"/>
        <w:bidi w:val="0"/>
        <w:adjustRightInd/>
        <w:snapToGrid/>
        <w:spacing w:after="0" w:line="360" w:lineRule="auto"/>
        <w:ind w:left="0" w:leftChars="0" w:right="0" w:firstLine="482" w:firstLineChars="200"/>
        <w:jc w:val="left"/>
        <w:textAlignment w:val="auto"/>
        <w:rPr>
          <w:rFonts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rPr>
        <w:t>投标保证金缴纳方式：现金转账、银行保函、保险机构保证保险保单、融资担保公司保函。</w:t>
      </w:r>
    </w:p>
    <w:p>
      <w:pPr>
        <w:keepNext w:val="0"/>
        <w:keepLines w:val="0"/>
        <w:pageBreakBefore w:val="0"/>
        <w:widowControl w:val="0"/>
        <w:numPr>
          <w:ilvl w:val="0"/>
          <w:numId w:val="12"/>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现金转账</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 电汇或银行转账（请不要使用“支付宝”等第三方支付平台），通过“台州湾新区小额工程电子交易平台”取得相应的银行账号后支付，投标保证金收款账号根据不同</w:t>
      </w:r>
      <w:r>
        <w:rPr>
          <w:rFonts w:hint="eastAsia" w:ascii="宋体" w:hAnsi="宋体" w:cs="宋体"/>
          <w:bCs/>
          <w:color w:val="auto"/>
          <w:kern w:val="0"/>
          <w:sz w:val="24"/>
          <w:szCs w:val="24"/>
          <w:highlight w:val="none"/>
          <w:lang w:val="en-US" w:eastAsia="zh-CN"/>
        </w:rPr>
        <w:t>项目</w:t>
      </w:r>
      <w:r>
        <w:rPr>
          <w:rFonts w:hint="eastAsia" w:ascii="宋体" w:hAnsi="宋体" w:cs="宋体"/>
          <w:bCs/>
          <w:color w:val="auto"/>
          <w:kern w:val="0"/>
          <w:sz w:val="24"/>
          <w:szCs w:val="24"/>
          <w:highlight w:val="none"/>
        </w:rPr>
        <w:t>（标段）由系统随机生成，此账号只在本</w:t>
      </w:r>
      <w:r>
        <w:rPr>
          <w:rFonts w:hint="eastAsia" w:ascii="宋体" w:hAnsi="宋体" w:cs="宋体"/>
          <w:bCs/>
          <w:color w:val="auto"/>
          <w:kern w:val="0"/>
          <w:sz w:val="24"/>
          <w:szCs w:val="24"/>
          <w:highlight w:val="none"/>
          <w:lang w:val="en-US" w:eastAsia="zh-CN"/>
        </w:rPr>
        <w:t>项目</w:t>
      </w:r>
      <w:r>
        <w:rPr>
          <w:rFonts w:hint="eastAsia" w:ascii="宋体" w:hAnsi="宋体" w:cs="宋体"/>
          <w:bCs/>
          <w:color w:val="auto"/>
          <w:kern w:val="0"/>
          <w:sz w:val="24"/>
          <w:szCs w:val="24"/>
          <w:highlight w:val="none"/>
        </w:rPr>
        <w:t>（标段）中使用有效，请注意核对。</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②投标人缴纳的投标保证金必须在投标截止时间前到达上述指定账户，否则导致投标无效等后果由投标人自行承担。另外须注意双休日银行柜台休息</w:t>
      </w:r>
      <w:r>
        <w:rPr>
          <w:rFonts w:hint="eastAsia" w:ascii="宋体" w:hAnsi="宋体" w:cs="宋体"/>
          <w:bCs/>
          <w:color w:val="auto"/>
          <w:kern w:val="0"/>
          <w:sz w:val="24"/>
          <w:szCs w:val="24"/>
          <w:highlight w:val="none"/>
          <w:lang w:eastAsia="zh-CN"/>
        </w:rPr>
        <w:t>对公</w:t>
      </w:r>
      <w:r>
        <w:rPr>
          <w:rFonts w:hint="eastAsia" w:ascii="宋体" w:hAnsi="宋体" w:cs="宋体"/>
          <w:bCs/>
          <w:color w:val="auto"/>
          <w:kern w:val="0"/>
          <w:sz w:val="24"/>
          <w:szCs w:val="24"/>
          <w:highlight w:val="none"/>
        </w:rPr>
        <w:t>转账的影响。开标结束后，未中标</w:t>
      </w:r>
      <w:r>
        <w:rPr>
          <w:rFonts w:hint="eastAsia" w:ascii="宋体" w:hAnsi="宋体" w:cs="宋体"/>
          <w:bCs/>
          <w:color w:val="auto"/>
          <w:kern w:val="0"/>
          <w:sz w:val="24"/>
          <w:szCs w:val="24"/>
          <w:highlight w:val="none"/>
          <w:lang w:eastAsia="zh-CN"/>
        </w:rPr>
        <w:t>单位</w:t>
      </w:r>
      <w:r>
        <w:rPr>
          <w:rFonts w:hint="eastAsia" w:ascii="宋体" w:hAnsi="宋体" w:cs="宋体"/>
          <w:bCs/>
          <w:color w:val="auto"/>
          <w:kern w:val="0"/>
          <w:sz w:val="24"/>
          <w:szCs w:val="24"/>
          <w:highlight w:val="none"/>
          <w:lang w:val="en-US" w:eastAsia="zh-CN"/>
        </w:rPr>
        <w:t>十天内返还；</w:t>
      </w:r>
      <w:r>
        <w:rPr>
          <w:rFonts w:hint="eastAsia" w:ascii="宋体" w:hAnsi="宋体" w:cs="宋体"/>
          <w:bCs/>
          <w:color w:val="auto"/>
          <w:kern w:val="0"/>
          <w:sz w:val="24"/>
          <w:szCs w:val="24"/>
          <w:highlight w:val="none"/>
        </w:rPr>
        <w:t>中标人的投标保证金由</w:t>
      </w:r>
      <w:r>
        <w:rPr>
          <w:rFonts w:hint="eastAsia" w:ascii="宋体" w:hAnsi="宋体" w:cs="宋体"/>
          <w:bCs/>
          <w:color w:val="auto"/>
          <w:kern w:val="0"/>
          <w:sz w:val="24"/>
          <w:szCs w:val="24"/>
          <w:highlight w:val="none"/>
          <w:lang w:eastAsia="zh-CN"/>
        </w:rPr>
        <w:t>采购人</w:t>
      </w:r>
      <w:r>
        <w:rPr>
          <w:rFonts w:hint="eastAsia" w:ascii="宋体" w:hAnsi="宋体" w:cs="宋体"/>
          <w:bCs/>
          <w:color w:val="auto"/>
          <w:kern w:val="0"/>
          <w:sz w:val="24"/>
          <w:szCs w:val="24"/>
          <w:highlight w:val="none"/>
        </w:rPr>
        <w:t>暂时保管，待签订合同后，</w:t>
      </w:r>
      <w:r>
        <w:rPr>
          <w:rFonts w:hint="eastAsia" w:ascii="宋体" w:hAnsi="宋体" w:cs="宋体"/>
          <w:bCs/>
          <w:color w:val="auto"/>
          <w:kern w:val="0"/>
          <w:sz w:val="24"/>
          <w:szCs w:val="24"/>
          <w:highlight w:val="none"/>
          <w:lang w:eastAsia="zh-CN"/>
        </w:rPr>
        <w:t>采购人</w:t>
      </w:r>
      <w:r>
        <w:rPr>
          <w:rFonts w:hint="eastAsia" w:ascii="宋体" w:hAnsi="宋体" w:cs="宋体"/>
          <w:bCs/>
          <w:color w:val="auto"/>
          <w:kern w:val="0"/>
          <w:sz w:val="24"/>
          <w:szCs w:val="24"/>
          <w:highlight w:val="none"/>
        </w:rPr>
        <w:t xml:space="preserve">返还中标人 </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不计息</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w:t>
      </w:r>
    </w:p>
    <w:p>
      <w:pPr>
        <w:keepNext w:val="0"/>
        <w:keepLines w:val="0"/>
        <w:pageBreakBefore w:val="0"/>
        <w:widowControl w:val="0"/>
        <w:numPr>
          <w:ilvl w:val="0"/>
          <w:numId w:val="12"/>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银行保函、保险机构保证保险保单、融资担保公司保函（以下合称“保函”）</w:t>
      </w:r>
    </w:p>
    <w:p>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u w:val="single"/>
        </w:rPr>
      </w:pPr>
      <w:r>
        <w:rPr>
          <w:rFonts w:hint="eastAsia" w:ascii="宋体" w:hAnsi="宋体" w:cs="宋体"/>
          <w:bCs/>
          <w:color w:val="auto"/>
          <w:kern w:val="0"/>
          <w:sz w:val="24"/>
          <w:szCs w:val="24"/>
          <w:highlight w:val="none"/>
          <w:lang w:eastAsia="zh-CN"/>
        </w:rPr>
        <w:t>保函</w:t>
      </w:r>
      <w:r>
        <w:rPr>
          <w:rFonts w:hint="eastAsia" w:ascii="宋体" w:hAnsi="宋体" w:cs="宋体"/>
          <w:bCs/>
          <w:color w:val="auto"/>
          <w:kern w:val="0"/>
          <w:sz w:val="24"/>
          <w:szCs w:val="24"/>
          <w:highlight w:val="none"/>
        </w:rPr>
        <w:t>的受益人：</w:t>
      </w:r>
      <w:r>
        <w:rPr>
          <w:rFonts w:hint="eastAsia" w:ascii="宋体" w:hAnsi="宋体" w:cs="宋体"/>
          <w:bCs/>
          <w:color w:val="auto"/>
          <w:kern w:val="0"/>
          <w:sz w:val="24"/>
          <w:szCs w:val="24"/>
          <w:highlight w:val="none"/>
          <w:u w:val="single"/>
          <w:lang w:eastAsia="zh-CN"/>
        </w:rPr>
        <w:t>台州市云湖小学</w:t>
      </w:r>
      <w:r>
        <w:rPr>
          <w:rFonts w:hint="eastAsia" w:ascii="宋体" w:hAnsi="宋体" w:cs="宋体"/>
          <w:bCs/>
          <w:color w:val="auto"/>
          <w:kern w:val="0"/>
          <w:sz w:val="24"/>
          <w:szCs w:val="24"/>
          <w:highlight w:val="none"/>
        </w:rPr>
        <w:t>；</w:t>
      </w:r>
    </w:p>
    <w:p>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保函</w:t>
      </w:r>
      <w:r>
        <w:rPr>
          <w:rFonts w:hint="eastAsia" w:ascii="宋体" w:hAnsi="宋体" w:cs="宋体"/>
          <w:bCs/>
          <w:color w:val="auto"/>
          <w:kern w:val="0"/>
          <w:sz w:val="24"/>
          <w:szCs w:val="24"/>
          <w:highlight w:val="none"/>
        </w:rPr>
        <w:t>的有效期为1年；</w:t>
      </w:r>
    </w:p>
    <w:p>
      <w:pPr>
        <w:keepNext w:val="0"/>
        <w:keepLines w:val="0"/>
        <w:pageBreakBefore w:val="0"/>
        <w:widowControl w:val="0"/>
        <w:numPr>
          <w:ilvl w:val="0"/>
          <w:numId w:val="13"/>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递交方式：</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递交方式一（电子保函系统）：</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通过台州湾新区小额工程电子交易平台选择“电子保函”递交方式，并按系统流程进行操作、购买电子保函。</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u w:val="single"/>
        </w:rPr>
      </w:pPr>
      <w:r>
        <w:rPr>
          <w:rFonts w:hint="eastAsia" w:ascii="宋体" w:hAnsi="宋体" w:cs="宋体"/>
          <w:bCs/>
          <w:color w:val="auto"/>
          <w:kern w:val="0"/>
          <w:sz w:val="24"/>
          <w:szCs w:val="24"/>
          <w:highlight w:val="none"/>
        </w:rPr>
        <w:t>注：电子保单生效时间为投保第二天00:00</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各投标人须在投标截止时间前一工作日</w:t>
      </w:r>
      <w:r>
        <w:rPr>
          <w:rFonts w:hint="eastAsia" w:ascii="宋体" w:hAnsi="宋体" w:cs="宋体"/>
          <w:bCs/>
          <w:color w:val="auto"/>
          <w:kern w:val="0"/>
          <w:sz w:val="24"/>
          <w:szCs w:val="24"/>
          <w:highlight w:val="none"/>
          <w:lang w:eastAsia="zh-CN"/>
        </w:rPr>
        <w:t>下午4点</w:t>
      </w:r>
      <w:r>
        <w:rPr>
          <w:rFonts w:hint="eastAsia" w:ascii="宋体" w:hAnsi="宋体" w:cs="宋体"/>
          <w:bCs/>
          <w:color w:val="auto"/>
          <w:kern w:val="0"/>
          <w:sz w:val="24"/>
          <w:szCs w:val="24"/>
          <w:highlight w:val="none"/>
        </w:rPr>
        <w:t>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szCs w:val="24"/>
          <w:highlight w:val="none"/>
          <w:u w:val="single"/>
        </w:rPr>
        <w:t>投标电子保函针对具体项目标段的要求“一标段一保函”，每个标段对应相应的订单号，汇款时备注订单号。</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递交方式二（非电子保函系统）：</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投标人须在投标截止时间前将纸质</w:t>
      </w:r>
      <w:r>
        <w:rPr>
          <w:rFonts w:hint="eastAsia" w:ascii="宋体" w:hAnsi="宋体" w:cs="宋体"/>
          <w:bCs/>
          <w:color w:val="auto"/>
          <w:kern w:val="0"/>
          <w:sz w:val="24"/>
          <w:szCs w:val="24"/>
          <w:highlight w:val="none"/>
          <w:lang w:eastAsia="zh-CN"/>
        </w:rPr>
        <w:t>保函</w:t>
      </w:r>
      <w:r>
        <w:rPr>
          <w:rFonts w:hint="eastAsia" w:ascii="宋体" w:hAnsi="宋体" w:cs="宋体"/>
          <w:bCs/>
          <w:color w:val="auto"/>
          <w:kern w:val="0"/>
          <w:sz w:val="24"/>
          <w:szCs w:val="24"/>
          <w:highlight w:val="none"/>
        </w:rPr>
        <w:t xml:space="preserve">按要求递交。 </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递交方式：现场递交。</w:t>
      </w:r>
    </w:p>
    <w:p>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若是投标人的法定代表人递交</w:t>
      </w:r>
      <w:r>
        <w:rPr>
          <w:rFonts w:hint="eastAsia" w:ascii="宋体" w:hAnsi="宋体" w:cs="宋体"/>
          <w:bCs/>
          <w:color w:val="auto"/>
          <w:kern w:val="0"/>
          <w:sz w:val="24"/>
          <w:szCs w:val="24"/>
          <w:highlight w:val="none"/>
          <w:lang w:eastAsia="zh-CN"/>
        </w:rPr>
        <w:t>保函</w:t>
      </w:r>
      <w:r>
        <w:rPr>
          <w:rFonts w:hint="eastAsia" w:ascii="宋体" w:hAnsi="宋体" w:cs="宋体"/>
          <w:bCs/>
          <w:color w:val="auto"/>
          <w:kern w:val="0"/>
          <w:sz w:val="24"/>
          <w:szCs w:val="24"/>
          <w:highlight w:val="none"/>
        </w:rPr>
        <w:t>的，应持法定代表人身份证明原件，否则</w:t>
      </w:r>
      <w:r>
        <w:rPr>
          <w:rFonts w:hint="eastAsia" w:ascii="宋体" w:hAnsi="宋体" w:cs="宋体"/>
          <w:bCs/>
          <w:color w:val="auto"/>
          <w:kern w:val="0"/>
          <w:sz w:val="24"/>
          <w:szCs w:val="24"/>
          <w:highlight w:val="none"/>
          <w:lang w:eastAsia="zh-CN"/>
        </w:rPr>
        <w:t>保函</w:t>
      </w:r>
      <w:r>
        <w:rPr>
          <w:rFonts w:hint="eastAsia" w:ascii="宋体" w:hAnsi="宋体" w:cs="宋体"/>
          <w:bCs/>
          <w:color w:val="auto"/>
          <w:kern w:val="0"/>
          <w:sz w:val="24"/>
          <w:szCs w:val="24"/>
          <w:highlight w:val="none"/>
        </w:rPr>
        <w:t>不予签收。</w:t>
      </w:r>
    </w:p>
    <w:p>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若是投标人委托代理人递交</w:t>
      </w:r>
      <w:r>
        <w:rPr>
          <w:rFonts w:hint="eastAsia" w:ascii="宋体" w:hAnsi="宋体" w:cs="宋体"/>
          <w:bCs/>
          <w:color w:val="auto"/>
          <w:kern w:val="0"/>
          <w:sz w:val="24"/>
          <w:szCs w:val="24"/>
          <w:highlight w:val="none"/>
          <w:lang w:eastAsia="zh-CN"/>
        </w:rPr>
        <w:t>保函</w:t>
      </w:r>
      <w:r>
        <w:rPr>
          <w:rFonts w:hint="eastAsia" w:ascii="宋体" w:hAnsi="宋体" w:cs="宋体"/>
          <w:bCs/>
          <w:color w:val="auto"/>
          <w:kern w:val="0"/>
          <w:sz w:val="24"/>
          <w:szCs w:val="24"/>
          <w:highlight w:val="none"/>
        </w:rPr>
        <w:t>的，应持针对本</w:t>
      </w:r>
      <w:r>
        <w:rPr>
          <w:rFonts w:hint="eastAsia" w:ascii="宋体" w:hAnsi="宋体" w:cs="宋体"/>
          <w:bCs/>
          <w:color w:val="auto"/>
          <w:kern w:val="0"/>
          <w:sz w:val="24"/>
          <w:szCs w:val="24"/>
          <w:highlight w:val="none"/>
          <w:lang w:val="en-US" w:eastAsia="zh-CN"/>
        </w:rPr>
        <w:t>项目</w:t>
      </w:r>
      <w:r>
        <w:rPr>
          <w:rFonts w:hint="eastAsia" w:ascii="宋体" w:hAnsi="宋体" w:cs="宋体"/>
          <w:bCs/>
          <w:color w:val="auto"/>
          <w:kern w:val="0"/>
          <w:sz w:val="24"/>
          <w:szCs w:val="24"/>
          <w:highlight w:val="none"/>
        </w:rPr>
        <w:t>的法定代表人授权委托书原件（投标文件格式</w:t>
      </w:r>
      <w:r>
        <w:rPr>
          <w:rFonts w:hint="eastAsia" w:ascii="宋体" w:hAnsi="宋体" w:cs="宋体"/>
          <w:bCs/>
          <w:color w:val="auto"/>
          <w:kern w:val="0"/>
          <w:sz w:val="24"/>
          <w:szCs w:val="24"/>
          <w:highlight w:val="none"/>
          <w:lang w:val="en-US" w:eastAsia="zh-CN"/>
        </w:rPr>
        <w:t>-附件2</w:t>
      </w:r>
      <w:r>
        <w:rPr>
          <w:rFonts w:hint="eastAsia" w:ascii="宋体" w:hAnsi="宋体" w:cs="宋体"/>
          <w:bCs/>
          <w:color w:val="auto"/>
          <w:kern w:val="0"/>
          <w:sz w:val="24"/>
          <w:szCs w:val="24"/>
          <w:highlight w:val="none"/>
        </w:rPr>
        <w:t>）及身份证原件，否则</w:t>
      </w:r>
      <w:r>
        <w:rPr>
          <w:rFonts w:hint="eastAsia" w:ascii="宋体" w:hAnsi="宋体" w:cs="宋体"/>
          <w:bCs/>
          <w:color w:val="auto"/>
          <w:kern w:val="0"/>
          <w:sz w:val="24"/>
          <w:szCs w:val="24"/>
          <w:highlight w:val="none"/>
          <w:lang w:eastAsia="zh-CN"/>
        </w:rPr>
        <w:t>保函</w:t>
      </w:r>
      <w:r>
        <w:rPr>
          <w:rFonts w:hint="eastAsia" w:ascii="宋体" w:hAnsi="宋体" w:cs="宋体"/>
          <w:bCs/>
          <w:color w:val="auto"/>
          <w:kern w:val="0"/>
          <w:sz w:val="24"/>
          <w:szCs w:val="24"/>
          <w:highlight w:val="none"/>
        </w:rPr>
        <w:t>不予签收。</w:t>
      </w:r>
    </w:p>
    <w:p>
      <w:pPr>
        <w:keepNext w:val="0"/>
        <w:keepLines w:val="0"/>
        <w:pageBreakBefore w:val="0"/>
        <w:widowControl w:val="0"/>
        <w:numPr>
          <w:ilvl w:val="0"/>
          <w:numId w:val="14"/>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递交</w:t>
      </w:r>
      <w:r>
        <w:rPr>
          <w:rFonts w:hint="eastAsia" w:ascii="宋体" w:hAnsi="宋体" w:cs="宋体"/>
          <w:bCs/>
          <w:color w:val="auto"/>
          <w:kern w:val="0"/>
          <w:sz w:val="24"/>
          <w:szCs w:val="24"/>
          <w:highlight w:val="none"/>
          <w:lang w:eastAsia="zh-CN"/>
        </w:rPr>
        <w:t>保函</w:t>
      </w:r>
      <w:r>
        <w:rPr>
          <w:rFonts w:hint="eastAsia" w:ascii="宋体" w:hAnsi="宋体" w:cs="宋体"/>
          <w:bCs/>
          <w:color w:val="auto"/>
          <w:kern w:val="0"/>
          <w:sz w:val="24"/>
          <w:szCs w:val="24"/>
          <w:highlight w:val="none"/>
        </w:rPr>
        <w:t>时所要求提供的法定代表人授权委托书或法定代表人身份证明中的人员须与投标文件组成中提供的人员一致，若提供的不一致则以无效标处理。</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提交地点：</w:t>
      </w:r>
      <w:r>
        <w:rPr>
          <w:rFonts w:hint="eastAsia" w:ascii="宋体" w:hAnsi="宋体" w:cs="宋体"/>
          <w:bCs/>
          <w:color w:val="auto"/>
          <w:kern w:val="0"/>
          <w:sz w:val="24"/>
          <w:szCs w:val="24"/>
          <w:highlight w:val="none"/>
          <w:u w:val="single"/>
        </w:rPr>
        <w:t>台州湾新区海虹街道一楼大厅</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提交时间：</w:t>
      </w:r>
      <w:r>
        <w:rPr>
          <w:rFonts w:hint="eastAsia" w:ascii="宋体" w:hAnsi="宋体" w:cs="宋体"/>
          <w:bCs/>
          <w:color w:val="auto"/>
          <w:kern w:val="0"/>
          <w:sz w:val="24"/>
          <w:szCs w:val="24"/>
          <w:highlight w:val="none"/>
          <w:u w:val="single"/>
          <w:lang w:eastAsia="zh-CN"/>
        </w:rPr>
        <w:t>2024年</w:t>
      </w:r>
      <w:r>
        <w:rPr>
          <w:rFonts w:hint="eastAsia" w:ascii="宋体" w:hAnsi="宋体" w:cs="宋体"/>
          <w:color w:val="auto"/>
          <w:sz w:val="24"/>
          <w:szCs w:val="24"/>
          <w:highlight w:val="none"/>
          <w:u w:val="single"/>
          <w:lang w:val="en-US" w:eastAsia="zh-CN"/>
        </w:rPr>
        <w:t>08月09</w:t>
      </w:r>
      <w:r>
        <w:rPr>
          <w:rFonts w:hint="eastAsia" w:ascii="宋体" w:hAnsi="宋体" w:cs="宋体"/>
          <w:bCs/>
          <w:color w:val="auto"/>
          <w:sz w:val="24"/>
          <w:szCs w:val="24"/>
          <w:highlight w:val="none"/>
          <w:u w:val="single"/>
        </w:rPr>
        <w:t>日</w:t>
      </w:r>
      <w:r>
        <w:rPr>
          <w:rFonts w:hint="eastAsia" w:ascii="宋体" w:hAnsi="宋体" w:cs="宋体"/>
          <w:bCs/>
          <w:color w:val="auto"/>
          <w:kern w:val="0"/>
          <w:sz w:val="24"/>
          <w:szCs w:val="24"/>
          <w:highlight w:val="none"/>
          <w:u w:val="single"/>
          <w:lang w:val="en-US" w:eastAsia="zh-CN"/>
        </w:rPr>
        <w:t>14</w:t>
      </w:r>
      <w:r>
        <w:rPr>
          <w:rFonts w:ascii="宋体" w:hAnsi="宋体" w:cs="宋体"/>
          <w:bCs/>
          <w:color w:val="auto"/>
          <w:kern w:val="0"/>
          <w:sz w:val="24"/>
          <w:szCs w:val="24"/>
          <w:highlight w:val="none"/>
          <w:u w:val="single"/>
        </w:rPr>
        <w:t>：</w:t>
      </w:r>
      <w:r>
        <w:rPr>
          <w:rFonts w:hint="eastAsia" w:ascii="宋体" w:hAnsi="宋体" w:cs="宋体"/>
          <w:bCs/>
          <w:color w:val="auto"/>
          <w:kern w:val="0"/>
          <w:sz w:val="24"/>
          <w:szCs w:val="24"/>
          <w:highlight w:val="none"/>
          <w:u w:val="single"/>
          <w:lang w:val="en-US" w:eastAsia="zh-CN"/>
        </w:rPr>
        <w:t>0</w:t>
      </w:r>
      <w:r>
        <w:rPr>
          <w:rFonts w:hint="eastAsia" w:ascii="宋体" w:hAnsi="宋体" w:cs="宋体"/>
          <w:bCs/>
          <w:color w:val="auto"/>
          <w:kern w:val="0"/>
          <w:sz w:val="24"/>
          <w:szCs w:val="24"/>
          <w:highlight w:val="none"/>
          <w:u w:val="single"/>
        </w:rPr>
        <w:t>0-</w:t>
      </w:r>
      <w:r>
        <w:rPr>
          <w:rFonts w:hint="eastAsia" w:ascii="宋体" w:hAnsi="宋体" w:cs="宋体"/>
          <w:bCs/>
          <w:color w:val="auto"/>
          <w:kern w:val="0"/>
          <w:sz w:val="24"/>
          <w:szCs w:val="24"/>
          <w:highlight w:val="none"/>
          <w:u w:val="single"/>
          <w:lang w:val="en-US" w:eastAsia="zh-CN"/>
        </w:rPr>
        <w:t>14</w:t>
      </w:r>
      <w:r>
        <w:rPr>
          <w:rFonts w:hint="eastAsia" w:ascii="宋体" w:hAnsi="宋体" w:cs="宋体"/>
          <w:bCs/>
          <w:color w:val="auto"/>
          <w:kern w:val="0"/>
          <w:sz w:val="24"/>
          <w:szCs w:val="24"/>
          <w:highlight w:val="none"/>
          <w:u w:val="single"/>
        </w:rPr>
        <w:t>：</w:t>
      </w:r>
      <w:r>
        <w:rPr>
          <w:rFonts w:hint="eastAsia" w:ascii="宋体" w:hAnsi="宋体" w:cs="宋体"/>
          <w:bCs/>
          <w:color w:val="auto"/>
          <w:kern w:val="0"/>
          <w:sz w:val="24"/>
          <w:szCs w:val="24"/>
          <w:highlight w:val="none"/>
          <w:u w:val="single"/>
          <w:lang w:val="en-US" w:eastAsia="zh-CN"/>
        </w:rPr>
        <w:t>3</w:t>
      </w:r>
      <w:r>
        <w:rPr>
          <w:rFonts w:hint="eastAsia" w:ascii="宋体" w:hAnsi="宋体" w:cs="宋体"/>
          <w:bCs/>
          <w:color w:val="auto"/>
          <w:kern w:val="0"/>
          <w:sz w:val="24"/>
          <w:szCs w:val="24"/>
          <w:highlight w:val="none"/>
          <w:u w:val="single"/>
        </w:rPr>
        <w:t>0</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接收人：</w:t>
      </w:r>
      <w:r>
        <w:rPr>
          <w:rFonts w:hint="eastAsia" w:ascii="宋体" w:hAnsi="宋体" w:cs="宋体"/>
          <w:bCs/>
          <w:color w:val="auto"/>
          <w:kern w:val="0"/>
          <w:sz w:val="24"/>
          <w:szCs w:val="24"/>
          <w:highlight w:val="none"/>
          <w:u w:val="single"/>
          <w:lang w:eastAsia="zh-CN"/>
        </w:rPr>
        <w:t>台州市永阳科技有限公司（</w:t>
      </w:r>
      <w:r>
        <w:rPr>
          <w:rFonts w:hint="eastAsia" w:ascii="宋体" w:hAnsi="宋体" w:cs="宋体"/>
          <w:bCs/>
          <w:color w:val="auto"/>
          <w:kern w:val="0"/>
          <w:sz w:val="24"/>
          <w:szCs w:val="24"/>
          <w:highlight w:val="none"/>
          <w:u w:val="single"/>
          <w:lang w:val="en-US" w:eastAsia="zh-CN"/>
        </w:rPr>
        <w:t>周先生</w:t>
      </w:r>
      <w:r>
        <w:rPr>
          <w:rFonts w:hint="eastAsia" w:ascii="宋体" w:hAnsi="宋体" w:cs="宋体"/>
          <w:bCs/>
          <w:color w:val="auto"/>
          <w:kern w:val="0"/>
          <w:sz w:val="24"/>
          <w:szCs w:val="24"/>
          <w:highlight w:val="none"/>
          <w:u w:val="single"/>
          <w:lang w:eastAsia="zh-CN"/>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接收人联系方式：</w:t>
      </w:r>
      <w:r>
        <w:rPr>
          <w:rFonts w:hint="eastAsia" w:ascii="宋体" w:hAnsi="宋体" w:cs="宋体"/>
          <w:bCs/>
          <w:color w:val="auto"/>
          <w:kern w:val="0"/>
          <w:sz w:val="24"/>
          <w:szCs w:val="24"/>
          <w:highlight w:val="none"/>
          <w:u w:val="single"/>
          <w:lang w:val="en-US" w:eastAsia="zh-CN"/>
        </w:rPr>
        <w:t>18958682891</w:t>
      </w:r>
      <w:r>
        <w:rPr>
          <w:rFonts w:hint="eastAsia" w:ascii="宋体" w:hAnsi="宋体" w:cs="宋体"/>
          <w:bCs/>
          <w:color w:val="auto"/>
          <w:kern w:val="0"/>
          <w:sz w:val="24"/>
          <w:szCs w:val="24"/>
          <w:highlight w:val="none"/>
        </w:rPr>
        <w:t xml:space="preserve"> </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注：保函文件中必须包含</w:t>
      </w:r>
      <w:r>
        <w:rPr>
          <w:rFonts w:hint="eastAsia" w:ascii="宋体" w:hAnsi="宋体" w:cs="宋体"/>
          <w:bCs/>
          <w:color w:val="auto"/>
          <w:kern w:val="0"/>
          <w:sz w:val="24"/>
          <w:szCs w:val="24"/>
          <w:highlight w:val="none"/>
          <w:lang w:eastAsia="zh-CN"/>
        </w:rPr>
        <w:t>投标人</w:t>
      </w:r>
      <w:r>
        <w:rPr>
          <w:rFonts w:hint="eastAsia" w:ascii="宋体" w:hAnsi="宋体" w:cs="宋体"/>
          <w:bCs/>
          <w:color w:val="auto"/>
          <w:kern w:val="0"/>
          <w:sz w:val="24"/>
          <w:szCs w:val="24"/>
          <w:highlight w:val="none"/>
        </w:rPr>
        <w:t>的信息，包含但不仅限于投标</w:t>
      </w:r>
      <w:r>
        <w:rPr>
          <w:rFonts w:hint="eastAsia" w:ascii="宋体" w:hAnsi="宋体" w:cs="宋体"/>
          <w:bCs/>
          <w:color w:val="auto"/>
          <w:kern w:val="0"/>
          <w:sz w:val="24"/>
          <w:szCs w:val="24"/>
          <w:highlight w:val="none"/>
          <w:lang w:val="en-US" w:eastAsia="zh-CN"/>
        </w:rPr>
        <w:t>人</w:t>
      </w:r>
      <w:r>
        <w:rPr>
          <w:rFonts w:hint="eastAsia" w:ascii="宋体" w:hAnsi="宋体" w:cs="宋体"/>
          <w:bCs/>
          <w:color w:val="auto"/>
          <w:kern w:val="0"/>
          <w:sz w:val="24"/>
          <w:szCs w:val="24"/>
          <w:highlight w:val="none"/>
        </w:rPr>
        <w:t>名称、保证金额、保函获得时间、保证项目名称、保函有效期限等。</w:t>
      </w:r>
    </w:p>
    <w:p>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rPr>
        <w:t>注意事项</w:t>
      </w:r>
    </w:p>
    <w:p>
      <w:pPr>
        <w:pStyle w:val="3"/>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color w:val="auto"/>
          <w:kern w:val="0"/>
          <w:sz w:val="24"/>
          <w:szCs w:val="24"/>
          <w:highlight w:val="none"/>
        </w:rPr>
      </w:pPr>
      <w:r>
        <w:rPr>
          <w:rFonts w:hint="eastAsia" w:cs="宋体"/>
          <w:b w:val="0"/>
          <w:bCs/>
          <w:color w:val="auto"/>
          <w:kern w:val="0"/>
          <w:sz w:val="24"/>
          <w:szCs w:val="24"/>
          <w:highlight w:val="none"/>
        </w:rPr>
        <w:t>若招标文件允许联合体投标且投标人以联合体身份投标的，由联合体牵头人提交投标保证金；</w:t>
      </w:r>
    </w:p>
    <w:p>
      <w:pPr>
        <w:pStyle w:val="3"/>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color w:val="auto"/>
          <w:kern w:val="0"/>
          <w:sz w:val="24"/>
          <w:szCs w:val="24"/>
          <w:highlight w:val="none"/>
        </w:rPr>
      </w:pPr>
      <w:r>
        <w:rPr>
          <w:rFonts w:hint="eastAsia" w:cs="宋体"/>
          <w:b w:val="0"/>
          <w:bCs/>
          <w:color w:val="auto"/>
          <w:kern w:val="0"/>
          <w:sz w:val="24"/>
          <w:szCs w:val="24"/>
          <w:highlight w:val="none"/>
        </w:rPr>
        <w:t>现金转账账号根据不同</w:t>
      </w:r>
      <w:r>
        <w:rPr>
          <w:rFonts w:hint="eastAsia" w:cs="宋体"/>
          <w:b w:val="0"/>
          <w:bCs/>
          <w:color w:val="auto"/>
          <w:kern w:val="0"/>
          <w:sz w:val="24"/>
          <w:szCs w:val="24"/>
          <w:highlight w:val="none"/>
          <w:lang w:val="en-US" w:eastAsia="zh-CN"/>
        </w:rPr>
        <w:t>项目</w:t>
      </w:r>
      <w:r>
        <w:rPr>
          <w:rFonts w:hint="eastAsia" w:cs="宋体"/>
          <w:b w:val="0"/>
          <w:bCs/>
          <w:color w:val="auto"/>
          <w:kern w:val="0"/>
          <w:sz w:val="24"/>
          <w:szCs w:val="24"/>
          <w:highlight w:val="none"/>
        </w:rPr>
        <w:t>（标段）由系统随机生成，此账号只在本</w:t>
      </w:r>
      <w:r>
        <w:rPr>
          <w:rFonts w:hint="eastAsia" w:cs="宋体"/>
          <w:b w:val="0"/>
          <w:bCs/>
          <w:color w:val="auto"/>
          <w:kern w:val="0"/>
          <w:sz w:val="24"/>
          <w:szCs w:val="24"/>
          <w:highlight w:val="none"/>
          <w:lang w:val="en-US" w:eastAsia="zh-CN"/>
        </w:rPr>
        <w:t>项目</w:t>
      </w:r>
      <w:r>
        <w:rPr>
          <w:rFonts w:hint="eastAsia" w:cs="宋体"/>
          <w:b w:val="0"/>
          <w:bCs/>
          <w:color w:val="auto"/>
          <w:kern w:val="0"/>
          <w:sz w:val="24"/>
          <w:szCs w:val="24"/>
          <w:highlight w:val="none"/>
        </w:rPr>
        <w:t>（标段）中使用有效，请注意核对。账号漏填、混填或错填均视为未按时缴纳保证金。</w:t>
      </w:r>
    </w:p>
    <w:p>
      <w:pPr>
        <w:pStyle w:val="3"/>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color w:val="auto"/>
          <w:kern w:val="0"/>
          <w:sz w:val="24"/>
          <w:szCs w:val="24"/>
          <w:highlight w:val="none"/>
        </w:rPr>
      </w:pPr>
      <w:r>
        <w:rPr>
          <w:rFonts w:hint="eastAsia" w:cs="宋体"/>
          <w:b w:val="0"/>
          <w:bCs/>
          <w:color w:val="auto"/>
          <w:kern w:val="0"/>
          <w:sz w:val="24"/>
          <w:szCs w:val="24"/>
          <w:highlight w:val="none"/>
        </w:rPr>
        <w:t>以现金转账形式提交的投标保证金应当从投标人基本账户</w:t>
      </w:r>
      <w:r>
        <w:rPr>
          <w:rFonts w:hint="eastAsia" w:cs="宋体"/>
          <w:b w:val="0"/>
          <w:bCs/>
          <w:color w:val="auto"/>
          <w:kern w:val="0"/>
          <w:sz w:val="24"/>
          <w:szCs w:val="24"/>
          <w:highlight w:val="none"/>
          <w:lang w:eastAsia="zh-CN"/>
        </w:rPr>
        <w:t>（</w:t>
      </w:r>
      <w:r>
        <w:rPr>
          <w:rFonts w:hint="eastAsia" w:cs="宋体"/>
          <w:b w:val="0"/>
          <w:bCs/>
          <w:color w:val="auto"/>
          <w:kern w:val="0"/>
          <w:sz w:val="24"/>
          <w:szCs w:val="24"/>
          <w:highlight w:val="none"/>
          <w:lang w:val="en-US" w:eastAsia="zh-CN"/>
        </w:rPr>
        <w:t>个体户为经营者账户</w:t>
      </w:r>
      <w:r>
        <w:rPr>
          <w:rFonts w:hint="eastAsia" w:cs="宋体"/>
          <w:b w:val="0"/>
          <w:bCs/>
          <w:color w:val="auto"/>
          <w:kern w:val="0"/>
          <w:sz w:val="24"/>
          <w:szCs w:val="24"/>
          <w:highlight w:val="none"/>
          <w:lang w:eastAsia="zh-CN"/>
        </w:rPr>
        <w:t>）</w:t>
      </w:r>
      <w:r>
        <w:rPr>
          <w:rFonts w:hint="eastAsia" w:cs="宋体"/>
          <w:b w:val="0"/>
          <w:bCs/>
          <w:color w:val="auto"/>
          <w:kern w:val="0"/>
          <w:sz w:val="24"/>
          <w:szCs w:val="24"/>
          <w:highlight w:val="none"/>
        </w:rPr>
        <w:t>转出，购买</w:t>
      </w:r>
      <w:r>
        <w:rPr>
          <w:rFonts w:hint="eastAsia" w:cs="宋体"/>
          <w:b w:val="0"/>
          <w:bCs/>
          <w:color w:val="auto"/>
          <w:kern w:val="0"/>
          <w:sz w:val="24"/>
          <w:szCs w:val="24"/>
          <w:highlight w:val="none"/>
          <w:lang w:eastAsia="zh-CN"/>
        </w:rPr>
        <w:t>保函</w:t>
      </w:r>
      <w:r>
        <w:rPr>
          <w:rFonts w:hint="eastAsia" w:cs="宋体"/>
          <w:b w:val="0"/>
          <w:bCs/>
          <w:color w:val="auto"/>
          <w:kern w:val="0"/>
          <w:sz w:val="24"/>
          <w:szCs w:val="24"/>
          <w:highlight w:val="none"/>
        </w:rPr>
        <w:t>的费用应当从投标人基本账户</w:t>
      </w:r>
      <w:r>
        <w:rPr>
          <w:rFonts w:hint="eastAsia" w:cs="宋体"/>
          <w:b w:val="0"/>
          <w:bCs/>
          <w:color w:val="auto"/>
          <w:kern w:val="0"/>
          <w:sz w:val="24"/>
          <w:szCs w:val="24"/>
          <w:highlight w:val="none"/>
          <w:lang w:eastAsia="zh-CN"/>
        </w:rPr>
        <w:t>（</w:t>
      </w:r>
      <w:r>
        <w:rPr>
          <w:rFonts w:hint="eastAsia" w:cs="宋体"/>
          <w:b w:val="0"/>
          <w:bCs/>
          <w:color w:val="auto"/>
          <w:kern w:val="0"/>
          <w:sz w:val="24"/>
          <w:szCs w:val="24"/>
          <w:highlight w:val="none"/>
          <w:lang w:val="en-US" w:eastAsia="zh-CN"/>
        </w:rPr>
        <w:t>个体户为经营者账户</w:t>
      </w:r>
      <w:r>
        <w:rPr>
          <w:rFonts w:hint="eastAsia" w:cs="宋体"/>
          <w:b w:val="0"/>
          <w:bCs/>
          <w:color w:val="auto"/>
          <w:kern w:val="0"/>
          <w:sz w:val="24"/>
          <w:szCs w:val="24"/>
          <w:highlight w:val="none"/>
          <w:lang w:eastAsia="zh-CN"/>
        </w:rPr>
        <w:t>）</w:t>
      </w:r>
      <w:r>
        <w:rPr>
          <w:rFonts w:hint="eastAsia" w:cs="宋体"/>
          <w:b w:val="0"/>
          <w:bCs/>
          <w:color w:val="auto"/>
          <w:kern w:val="0"/>
          <w:sz w:val="24"/>
          <w:szCs w:val="24"/>
          <w:highlight w:val="none"/>
        </w:rPr>
        <w:t>支付；</w:t>
      </w:r>
    </w:p>
    <w:p>
      <w:pPr>
        <w:pStyle w:val="3"/>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color w:val="auto"/>
          <w:kern w:val="0"/>
          <w:sz w:val="24"/>
          <w:szCs w:val="24"/>
          <w:highlight w:val="none"/>
        </w:rPr>
      </w:pPr>
      <w:r>
        <w:rPr>
          <w:rFonts w:hint="eastAsia" w:cs="宋体"/>
          <w:b w:val="0"/>
          <w:bCs/>
          <w:color w:val="auto"/>
          <w:kern w:val="0"/>
          <w:sz w:val="24"/>
          <w:szCs w:val="24"/>
          <w:highlight w:val="none"/>
        </w:rPr>
        <w:t>若有疑问，请咨询技术服务热线：0576-88865501</w:t>
      </w:r>
    </w:p>
    <w:p>
      <w:pPr>
        <w:pStyle w:val="3"/>
        <w:keepNext w:val="0"/>
        <w:keepLines w:val="0"/>
        <w:pageBreakBefore w:val="0"/>
        <w:widowControl w:val="0"/>
        <w:numPr>
          <w:ilvl w:val="0"/>
          <w:numId w:val="15"/>
        </w:numPr>
        <w:kinsoku/>
        <w:wordWrap/>
        <w:overflowPunct/>
        <w:topLinePunct w:val="0"/>
        <w:bidi w:val="0"/>
        <w:adjustRightInd/>
        <w:snapToGrid/>
        <w:spacing w:line="360" w:lineRule="auto"/>
        <w:ind w:left="0" w:leftChars="0" w:right="0" w:firstLine="480" w:firstLineChars="200"/>
        <w:jc w:val="left"/>
        <w:textAlignment w:val="auto"/>
        <w:rPr>
          <w:rFonts w:cs="宋体"/>
          <w:b w:val="0"/>
          <w:bCs/>
          <w:color w:val="auto"/>
          <w:kern w:val="0"/>
          <w:sz w:val="24"/>
          <w:szCs w:val="24"/>
          <w:highlight w:val="none"/>
        </w:rPr>
      </w:pPr>
      <w:r>
        <w:rPr>
          <w:rFonts w:hint="eastAsia" w:cs="宋体"/>
          <w:b w:val="0"/>
          <w:bCs/>
          <w:color w:val="auto"/>
          <w:kern w:val="0"/>
          <w:sz w:val="24"/>
          <w:szCs w:val="24"/>
          <w:highlight w:val="none"/>
        </w:rPr>
        <w:t>以上未按要求提供或提供不清晰的，评标委员会可能做出不利于投标人的评审结果，由此造成的风险由投标人自行承担。</w:t>
      </w:r>
    </w:p>
    <w:p>
      <w:pPr>
        <w:keepNext w:val="0"/>
        <w:keepLines w:val="0"/>
        <w:pageBreakBefore w:val="0"/>
        <w:widowControl w:val="0"/>
        <w:numPr>
          <w:ilvl w:val="0"/>
          <w:numId w:val="11"/>
        </w:numPr>
        <w:tabs>
          <w:tab w:val="left" w:pos="180"/>
          <w:tab w:val="left" w:pos="360"/>
          <w:tab w:val="left" w:pos="540"/>
          <w:tab w:val="left" w:pos="828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cs="宋体"/>
          <w:b/>
          <w:bCs w:val="0"/>
          <w:color w:val="auto"/>
          <w:sz w:val="24"/>
          <w:szCs w:val="24"/>
          <w:highlight w:val="none"/>
        </w:rPr>
      </w:pPr>
      <w:r>
        <w:rPr>
          <w:rFonts w:hint="eastAsia" w:ascii="宋体" w:hAnsi="宋体" w:cs="宋体"/>
          <w:b/>
          <w:bCs w:val="0"/>
          <w:color w:val="auto"/>
          <w:kern w:val="0"/>
          <w:sz w:val="24"/>
          <w:szCs w:val="24"/>
          <w:highlight w:val="none"/>
        </w:rPr>
        <w:t>购买电子保函截止时间：</w:t>
      </w:r>
      <w:r>
        <w:rPr>
          <w:rFonts w:hint="eastAsia" w:ascii="宋体" w:hAnsi="宋体" w:cs="宋体"/>
          <w:b/>
          <w:bCs w:val="0"/>
          <w:color w:val="auto"/>
          <w:kern w:val="0"/>
          <w:sz w:val="24"/>
          <w:szCs w:val="24"/>
          <w:highlight w:val="none"/>
          <w:u w:val="single"/>
        </w:rPr>
        <w:t>202</w:t>
      </w:r>
      <w:r>
        <w:rPr>
          <w:rFonts w:hint="eastAsia" w:ascii="宋体" w:hAnsi="宋体" w:cs="宋体"/>
          <w:b/>
          <w:bCs w:val="0"/>
          <w:color w:val="auto"/>
          <w:kern w:val="0"/>
          <w:sz w:val="24"/>
          <w:szCs w:val="24"/>
          <w:highlight w:val="none"/>
          <w:u w:val="single"/>
          <w:lang w:val="en-US" w:eastAsia="zh-CN"/>
        </w:rPr>
        <w:t>4</w:t>
      </w:r>
      <w:r>
        <w:rPr>
          <w:rFonts w:hint="eastAsia" w:ascii="宋体" w:hAnsi="宋体" w:cs="宋体"/>
          <w:b/>
          <w:bCs w:val="0"/>
          <w:color w:val="auto"/>
          <w:kern w:val="0"/>
          <w:sz w:val="24"/>
          <w:szCs w:val="24"/>
          <w:highlight w:val="none"/>
          <w:u w:val="single"/>
        </w:rPr>
        <w:t>年</w:t>
      </w:r>
      <w:r>
        <w:rPr>
          <w:rFonts w:hint="eastAsia" w:ascii="宋体" w:hAnsi="宋体" w:cs="宋体"/>
          <w:b/>
          <w:bCs w:val="0"/>
          <w:color w:val="auto"/>
          <w:kern w:val="0"/>
          <w:sz w:val="24"/>
          <w:szCs w:val="24"/>
          <w:highlight w:val="none"/>
          <w:u w:val="single"/>
          <w:lang w:val="en-US" w:eastAsia="zh-CN"/>
        </w:rPr>
        <w:t>08月08</w:t>
      </w:r>
      <w:r>
        <w:rPr>
          <w:rFonts w:hint="eastAsia" w:ascii="宋体" w:hAnsi="宋体" w:cs="宋体"/>
          <w:b/>
          <w:bCs w:val="0"/>
          <w:color w:val="auto"/>
          <w:kern w:val="0"/>
          <w:sz w:val="24"/>
          <w:szCs w:val="24"/>
          <w:highlight w:val="none"/>
          <w:u w:val="single"/>
        </w:rPr>
        <w:t>日</w:t>
      </w:r>
      <w:r>
        <w:rPr>
          <w:rFonts w:hint="eastAsia" w:ascii="宋体" w:hAnsi="宋体" w:cs="宋体"/>
          <w:b/>
          <w:bCs w:val="0"/>
          <w:color w:val="auto"/>
          <w:kern w:val="0"/>
          <w:sz w:val="24"/>
          <w:szCs w:val="24"/>
          <w:highlight w:val="none"/>
          <w:u w:val="single"/>
          <w:lang w:eastAsia="zh-CN"/>
        </w:rPr>
        <w:t>下午4点</w:t>
      </w:r>
      <w:r>
        <w:rPr>
          <w:rFonts w:hint="eastAsia" w:ascii="宋体" w:hAnsi="宋体" w:cs="宋体"/>
          <w:b/>
          <w:bCs w:val="0"/>
          <w:color w:val="auto"/>
          <w:kern w:val="0"/>
          <w:sz w:val="24"/>
          <w:szCs w:val="24"/>
          <w:highlight w:val="none"/>
          <w:u w:val="single"/>
        </w:rPr>
        <w:t>前</w:t>
      </w:r>
    </w:p>
    <w:p>
      <w:pPr>
        <w:pStyle w:val="3"/>
        <w:keepNext w:val="0"/>
        <w:keepLines w:val="0"/>
        <w:pageBreakBefore w:val="0"/>
        <w:widowControl w:val="0"/>
        <w:numPr>
          <w:ilvl w:val="0"/>
          <w:numId w:val="6"/>
        </w:numPr>
        <w:kinsoku/>
        <w:wordWrap/>
        <w:overflowPunct/>
        <w:topLinePunct w:val="0"/>
        <w:bidi w:val="0"/>
        <w:adjustRightInd/>
        <w:snapToGrid/>
        <w:spacing w:line="360" w:lineRule="auto"/>
        <w:ind w:left="0" w:leftChars="0" w:right="0" w:firstLine="482" w:firstLineChars="200"/>
        <w:jc w:val="left"/>
        <w:textAlignment w:val="auto"/>
        <w:rPr>
          <w:rFonts w:cs="宋体"/>
          <w:bCs/>
          <w:color w:val="auto"/>
          <w:sz w:val="24"/>
          <w:szCs w:val="24"/>
          <w:highlight w:val="none"/>
        </w:rPr>
      </w:pPr>
      <w:r>
        <w:rPr>
          <w:rFonts w:hint="eastAsia" w:cs="宋体"/>
          <w:bCs/>
          <w:color w:val="auto"/>
          <w:sz w:val="24"/>
          <w:szCs w:val="24"/>
          <w:highlight w:val="none"/>
        </w:rPr>
        <w:t>联系方式</w:t>
      </w:r>
    </w:p>
    <w:p>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采购人（受理招标文件相关质疑及答复） </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名称：</w:t>
      </w:r>
      <w:r>
        <w:rPr>
          <w:rFonts w:hint="eastAsia" w:ascii="宋体" w:hAnsi="宋体" w:cs="宋体"/>
          <w:color w:val="auto"/>
          <w:sz w:val="24"/>
          <w:szCs w:val="24"/>
          <w:highlight w:val="none"/>
          <w:u w:val="none"/>
          <w:lang w:eastAsia="zh-CN"/>
        </w:rPr>
        <w:t>台州市云湖小学</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rPr>
        <w:t>地址：</w:t>
      </w:r>
      <w:bookmarkStart w:id="28" w:name="_Toc28359009"/>
      <w:bookmarkStart w:id="29" w:name="_Toc28359086"/>
      <w:r>
        <w:rPr>
          <w:rFonts w:hint="eastAsia" w:ascii="宋体" w:hAnsi="宋体" w:cs="宋体"/>
          <w:color w:val="auto"/>
          <w:sz w:val="24"/>
          <w:szCs w:val="24"/>
          <w:highlight w:val="none"/>
          <w:u w:val="none"/>
          <w:lang w:val="en-US" w:eastAsia="zh-CN"/>
        </w:rPr>
        <w:t>台州市台州湾新区荣和路281号</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联系人：项老师</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联系电话：13736244656</w:t>
      </w:r>
    </w:p>
    <w:bookmarkEnd w:id="28"/>
    <w:bookmarkEnd w:id="29"/>
    <w:p>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color w:val="auto"/>
          <w:sz w:val="24"/>
          <w:szCs w:val="24"/>
          <w:highlight w:val="none"/>
          <w:u w:val="none"/>
        </w:rPr>
      </w:pPr>
      <w:r>
        <w:rPr>
          <w:rFonts w:hint="eastAsia" w:ascii="宋体" w:hAnsi="宋体" w:cs="宋体"/>
          <w:b/>
          <w:bCs/>
          <w:color w:val="auto"/>
          <w:sz w:val="24"/>
          <w:szCs w:val="24"/>
          <w:highlight w:val="none"/>
          <w:u w:val="none"/>
        </w:rPr>
        <w:t>采购组织机构</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cs="宋体"/>
          <w:color w:val="auto"/>
          <w:sz w:val="24"/>
          <w:szCs w:val="24"/>
          <w:highlight w:val="none"/>
          <w:u w:val="none"/>
        </w:rPr>
      </w:pPr>
      <w:bookmarkStart w:id="30" w:name="_Toc28359010"/>
      <w:bookmarkStart w:id="31" w:name="_Toc28359087"/>
      <w:r>
        <w:rPr>
          <w:rFonts w:hint="eastAsia" w:ascii="宋体" w:hAnsi="宋体" w:cs="宋体"/>
          <w:color w:val="auto"/>
          <w:sz w:val="24"/>
          <w:szCs w:val="24"/>
          <w:highlight w:val="none"/>
          <w:u w:val="none"/>
        </w:rPr>
        <w:t>名称：台州市永阳科技有限公司</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rPr>
        <w:t>地址：台州市黄岩区劳动南路尚品南郡小区2号楼2单</w:t>
      </w:r>
      <w:r>
        <w:rPr>
          <w:rFonts w:hint="eastAsia" w:ascii="宋体" w:hAnsi="宋体" w:cs="宋体"/>
          <w:color w:val="auto"/>
          <w:sz w:val="24"/>
          <w:szCs w:val="24"/>
          <w:highlight w:val="none"/>
          <w:u w:val="none"/>
          <w:lang w:val="en-US" w:eastAsia="zh-CN"/>
        </w:rPr>
        <w:t>元</w:t>
      </w:r>
      <w:r>
        <w:rPr>
          <w:rFonts w:hint="eastAsia" w:ascii="宋体" w:hAnsi="宋体" w:cs="宋体"/>
          <w:color w:val="auto"/>
          <w:sz w:val="24"/>
          <w:szCs w:val="24"/>
          <w:highlight w:val="none"/>
          <w:u w:val="none"/>
        </w:rPr>
        <w:t>902室</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rPr>
        <w:t>项目联系人：周先生</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rPr>
        <w:t>联系电话：18958682891</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质疑</w:t>
      </w:r>
      <w:r>
        <w:rPr>
          <w:rFonts w:hint="eastAsia" w:ascii="宋体" w:hAnsi="宋体" w:cs="宋体"/>
          <w:color w:val="auto"/>
          <w:sz w:val="24"/>
          <w:szCs w:val="24"/>
          <w:highlight w:val="none"/>
          <w:u w:val="none"/>
        </w:rPr>
        <w:t>受理联系人：</w:t>
      </w:r>
      <w:r>
        <w:rPr>
          <w:rFonts w:hint="eastAsia" w:ascii="宋体" w:hAnsi="宋体" w:cs="宋体"/>
          <w:color w:val="auto"/>
          <w:sz w:val="24"/>
          <w:szCs w:val="24"/>
          <w:highlight w:val="none"/>
          <w:u w:val="none"/>
          <w:lang w:val="en-US" w:eastAsia="zh-CN"/>
        </w:rPr>
        <w:t>金先生</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rPr>
        <w:t>联系电话：15757655840</w:t>
      </w:r>
    </w:p>
    <w:p>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color w:val="auto"/>
          <w:sz w:val="24"/>
          <w:szCs w:val="24"/>
          <w:highlight w:val="none"/>
          <w:u w:val="none"/>
        </w:rPr>
      </w:pPr>
      <w:r>
        <w:rPr>
          <w:rFonts w:hint="eastAsia" w:ascii="宋体" w:hAnsi="宋体" w:cs="宋体"/>
          <w:b/>
          <w:color w:val="auto"/>
          <w:sz w:val="24"/>
          <w:szCs w:val="24"/>
          <w:highlight w:val="none"/>
          <w:u w:val="none"/>
        </w:rPr>
        <w:t>同级政府采购监管机构</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名称：</w:t>
      </w:r>
      <w:r>
        <w:rPr>
          <w:rFonts w:hint="eastAsia" w:asciiTheme="minorEastAsia" w:hAnsiTheme="minorEastAsia" w:eastAsiaTheme="minorEastAsia" w:cstheme="minorEastAsia"/>
          <w:color w:val="auto"/>
          <w:sz w:val="24"/>
          <w:szCs w:val="24"/>
          <w:highlight w:val="none"/>
          <w:u w:val="none"/>
          <w:lang w:eastAsia="zh-CN"/>
        </w:rPr>
        <w:t>台州湾新区行政审批与投资服务局</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rPr>
        <w:t>地址：台州市甲南大道东段9号</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rPr>
        <w:t>联系人：徐先生</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rPr>
        <w:t>联系电话：0576-88538849</w:t>
      </w:r>
    </w:p>
    <w:p>
      <w:pPr>
        <w:keepNext w:val="0"/>
        <w:keepLines w:val="0"/>
        <w:pageBreakBefore w:val="0"/>
        <w:widowControl w:val="0"/>
        <w:numPr>
          <w:ilvl w:val="0"/>
          <w:numId w:val="16"/>
        </w:numPr>
        <w:kinsoku/>
        <w:wordWrap/>
        <w:overflowPunct/>
        <w:topLinePunct w:val="0"/>
        <w:bidi w:val="0"/>
        <w:adjustRightInd/>
        <w:snapToGrid/>
        <w:spacing w:line="360" w:lineRule="auto"/>
        <w:ind w:left="0" w:leftChars="0" w:right="0" w:firstLine="482" w:firstLineChars="200"/>
        <w:jc w:val="left"/>
        <w:textAlignment w:val="auto"/>
        <w:rPr>
          <w:rFonts w:ascii="宋体" w:hAnsi="宋体" w:cs="宋体"/>
          <w:b/>
          <w:color w:val="auto"/>
          <w:sz w:val="24"/>
          <w:szCs w:val="24"/>
          <w:highlight w:val="none"/>
          <w:u w:val="none"/>
        </w:rPr>
      </w:pPr>
      <w:r>
        <w:rPr>
          <w:rFonts w:hint="eastAsia" w:ascii="宋体" w:hAnsi="宋体" w:cs="宋体"/>
          <w:b/>
          <w:color w:val="auto"/>
          <w:sz w:val="24"/>
          <w:szCs w:val="24"/>
          <w:highlight w:val="none"/>
          <w:u w:val="none"/>
        </w:rPr>
        <w:t>台州湾新区小额工程电子交易平台</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u w:val="none"/>
        </w:rPr>
      </w:pPr>
      <w:r>
        <w:rPr>
          <w:rFonts w:hint="eastAsia" w:ascii="宋体" w:hAnsi="宋体" w:cs="宋体"/>
          <w:color w:val="auto"/>
          <w:sz w:val="24"/>
          <w:szCs w:val="24"/>
          <w:highlight w:val="none"/>
          <w:u w:val="none"/>
        </w:rPr>
        <w:t>联系人：蔡先生、王女士</w:t>
      </w:r>
    </w:p>
    <w:p>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u w:val="none"/>
          <w:shd w:val="clear" w:color="auto" w:fill="FFFFFF"/>
        </w:rPr>
      </w:pPr>
      <w:r>
        <w:rPr>
          <w:rFonts w:hint="eastAsia" w:ascii="宋体" w:hAnsi="宋体" w:cs="宋体"/>
          <w:color w:val="auto"/>
          <w:sz w:val="24"/>
          <w:szCs w:val="24"/>
          <w:highlight w:val="none"/>
          <w:u w:val="none"/>
        </w:rPr>
        <w:t>联系电话：13454667697、13757680207</w:t>
      </w:r>
    </w:p>
    <w:p>
      <w:pPr>
        <w:pStyle w:val="35"/>
        <w:ind w:firstLine="480"/>
        <w:rPr>
          <w:rFonts w:asciiTheme="minorEastAsia" w:hAnsiTheme="minorEastAsia" w:eastAsiaTheme="minorEastAsia" w:cstheme="minorEastAsia"/>
          <w:color w:val="auto"/>
          <w:kern w:val="0"/>
          <w:highlight w:val="none"/>
        </w:rPr>
      </w:pPr>
    </w:p>
    <w:p>
      <w:pPr>
        <w:pStyle w:val="35"/>
        <w:ind w:firstLine="0" w:firstLineChars="0"/>
        <w:rPr>
          <w:rFonts w:hint="eastAsia" w:asciiTheme="minorEastAsia" w:hAnsiTheme="minorEastAsia" w:eastAsiaTheme="minorEastAsia" w:cstheme="minorEastAsia"/>
          <w:color w:val="auto"/>
          <w:kern w:val="0"/>
          <w:highlight w:val="none"/>
        </w:rPr>
      </w:pPr>
    </w:p>
    <w:bookmarkEnd w:id="30"/>
    <w:bookmarkEnd w:id="31"/>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17"/>
        </w:numPr>
        <w:spacing w:line="360" w:lineRule="auto"/>
        <w:jc w:val="center"/>
        <w:outlineLvl w:val="0"/>
        <w:rPr>
          <w:rFonts w:asciiTheme="minorEastAsia" w:hAnsiTheme="minorEastAsia" w:eastAsiaTheme="minorEastAsia"/>
          <w:b/>
          <w:color w:val="auto"/>
          <w:sz w:val="36"/>
          <w:szCs w:val="36"/>
          <w:highlight w:val="none"/>
        </w:rPr>
      </w:pPr>
      <w:bookmarkStart w:id="32" w:name="_Toc20901"/>
      <w:r>
        <w:rPr>
          <w:rFonts w:hint="eastAsia" w:asciiTheme="minorEastAsia" w:hAnsiTheme="minorEastAsia" w:eastAsiaTheme="minorEastAsia"/>
          <w:b/>
          <w:color w:val="auto"/>
          <w:sz w:val="36"/>
          <w:szCs w:val="36"/>
          <w:highlight w:val="none"/>
        </w:rPr>
        <w:t>投标人须知</w:t>
      </w:r>
      <w:bookmarkEnd w:id="32"/>
    </w:p>
    <w:p>
      <w:pPr>
        <w:numPr>
          <w:ilvl w:val="0"/>
          <w:numId w:val="18"/>
        </w:numPr>
        <w:ind w:left="0" w:leftChars="0" w:firstLine="420" w:firstLineChars="0"/>
        <w:rPr>
          <w:color w:val="auto"/>
          <w:highlight w:val="none"/>
        </w:rPr>
      </w:pPr>
      <w:r>
        <w:rPr>
          <w:rFonts w:hint="eastAsia" w:asciiTheme="minorEastAsia" w:hAnsiTheme="minorEastAsia" w:eastAsiaTheme="minorEastAsia"/>
          <w:b/>
          <w:color w:val="auto"/>
          <w:sz w:val="24"/>
          <w:highlight w:val="none"/>
        </w:rPr>
        <w:t>前附表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08"/>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auto"/>
                <w:highlight w:val="none"/>
              </w:rPr>
            </w:pP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auto"/>
                <w:highlight w:val="none"/>
              </w:rPr>
            </w:pPr>
            <w:r>
              <w:rPr>
                <w:rFonts w:hint="eastAsia" w:ascii="宋体" w:hAnsi="宋体" w:cs="宋体"/>
                <w:color w:val="auto"/>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2、电子投标文件上传步骤：</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信用信息</w:t>
            </w:r>
          </w:p>
          <w:p>
            <w:pPr>
              <w:spacing w:line="300" w:lineRule="auto"/>
              <w:jc w:val="center"/>
              <w:rPr>
                <w:rFonts w:ascii="宋体" w:hAnsi="宋体" w:cs="宋体"/>
                <w:color w:val="auto"/>
                <w:highlight w:val="none"/>
              </w:rPr>
            </w:pPr>
            <w:r>
              <w:rPr>
                <w:rFonts w:hint="eastAsia" w:ascii="宋体" w:hAnsi="宋体" w:cs="宋体"/>
                <w:color w:val="auto"/>
                <w:highlight w:val="none"/>
              </w:rPr>
              <w:t>查询渠道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ascii="宋体" w:hAnsi="宋体" w:cs="宋体"/>
                <w:color w:val="auto"/>
                <w:highlight w:val="none"/>
              </w:rPr>
              <w:fldChar w:fldCharType="end"/>
            </w:r>
            <w:r>
              <w:rPr>
                <w:rFonts w:hint="eastAsia" w:ascii="宋体" w:hAnsi="宋体" w:cs="宋体"/>
                <w:color w:val="auto"/>
                <w:highlight w:val="none"/>
              </w:rPr>
              <w:t>）</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8</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9</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11</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12</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auto"/>
                <w:highlight w:val="none"/>
              </w:rPr>
            </w:pPr>
            <w:r>
              <w:rPr>
                <w:rFonts w:hint="eastAsia" w:ascii="宋体" w:hAnsi="宋体" w:cs="宋体"/>
                <w:color w:val="auto"/>
                <w:highlight w:val="none"/>
              </w:rPr>
              <w:t>本项目投标应以人民币报价；</w:t>
            </w:r>
          </w:p>
          <w:p>
            <w:pPr>
              <w:spacing w:line="300" w:lineRule="auto"/>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w:t>
            </w:r>
            <w:r>
              <w:rPr>
                <w:rFonts w:hint="eastAsia" w:ascii="宋体" w:hAnsi="宋体" w:cs="宋体"/>
                <w:color w:val="auto"/>
                <w:szCs w:val="21"/>
                <w:highlight w:val="none"/>
              </w:rPr>
              <w:t>本项目招标代理服务费</w:t>
            </w:r>
            <w:r>
              <w:rPr>
                <w:rFonts w:hint="eastAsia" w:ascii="宋体" w:hAnsi="宋体" w:cs="宋体"/>
                <w:color w:val="auto"/>
                <w:szCs w:val="21"/>
                <w:highlight w:val="none"/>
                <w:lang w:val="en-US" w:eastAsia="zh-CN"/>
              </w:rPr>
              <w:t>6000</w:t>
            </w:r>
            <w:r>
              <w:rPr>
                <w:rFonts w:hint="eastAsia" w:ascii="宋体" w:hAnsi="宋体" w:cs="宋体"/>
                <w:color w:val="auto"/>
                <w:szCs w:val="21"/>
                <w:highlight w:val="none"/>
              </w:rPr>
              <w:t>元，由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支付，请各投标人报价时综合考虑。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投标人样品</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numPr>
                <w:ilvl w:val="0"/>
                <w:numId w:val="19"/>
              </w:numPr>
              <w:bidi w:val="0"/>
              <w:ind w:left="425" w:leftChars="0" w:hanging="425" w:firstLineChars="0"/>
              <w:rPr>
                <w:color w:val="auto"/>
                <w:highlight w:val="none"/>
              </w:rPr>
            </w:pPr>
            <w:r>
              <w:rPr>
                <w:rFonts w:hint="eastAsia"/>
                <w:color w:val="auto"/>
                <w:highlight w:val="none"/>
              </w:rPr>
              <w:t>样品清单及数量</w:t>
            </w:r>
            <w:r>
              <w:rPr>
                <w:rFonts w:hint="eastAsia"/>
                <w:color w:val="auto"/>
                <w:highlight w:val="none"/>
                <w:lang w:eastAsia="zh-CN"/>
              </w:rPr>
              <w:t>：</w:t>
            </w:r>
            <w:r>
              <w:rPr>
                <w:rFonts w:hint="eastAsia"/>
                <w:color w:val="auto"/>
                <w:highlight w:val="none"/>
                <w:lang w:val="en-US" w:eastAsia="zh-CN"/>
              </w:rPr>
              <w:t>课桌、午休躺椅各1张，桌面板（刨开一半）1块。</w:t>
            </w:r>
          </w:p>
          <w:p>
            <w:pPr>
              <w:numPr>
                <w:ilvl w:val="0"/>
                <w:numId w:val="19"/>
              </w:numPr>
              <w:bidi w:val="0"/>
              <w:ind w:left="425" w:leftChars="0" w:hanging="425" w:firstLineChars="0"/>
              <w:rPr>
                <w:rFonts w:hint="eastAsia"/>
                <w:color w:val="auto"/>
                <w:highlight w:val="none"/>
              </w:rPr>
            </w:pPr>
            <w:r>
              <w:rPr>
                <w:rFonts w:hint="eastAsia"/>
                <w:color w:val="auto"/>
                <w:highlight w:val="none"/>
              </w:rPr>
              <w:t>样品制作的标准和要求：应与采购需求一致。</w:t>
            </w:r>
          </w:p>
          <w:p>
            <w:pPr>
              <w:numPr>
                <w:ilvl w:val="0"/>
                <w:numId w:val="19"/>
              </w:numPr>
              <w:bidi w:val="0"/>
              <w:ind w:left="425" w:leftChars="0" w:hanging="425" w:firstLineChars="0"/>
              <w:rPr>
                <w:rFonts w:hint="eastAsia"/>
                <w:color w:val="auto"/>
                <w:highlight w:val="none"/>
              </w:rPr>
            </w:pPr>
            <w:r>
              <w:rPr>
                <w:rFonts w:hint="eastAsia"/>
                <w:color w:val="auto"/>
                <w:highlight w:val="none"/>
              </w:rPr>
              <w:t>接收时间：开标当天</w:t>
            </w:r>
            <w:r>
              <w:rPr>
                <w:rFonts w:hint="eastAsia"/>
                <w:color w:val="auto"/>
                <w:highlight w:val="none"/>
                <w:lang w:val="en-US" w:eastAsia="zh-CN"/>
              </w:rPr>
              <w:t>13</w:t>
            </w:r>
            <w:r>
              <w:rPr>
                <w:rFonts w:hint="eastAsia"/>
                <w:color w:val="auto"/>
                <w:highlight w:val="none"/>
              </w:rPr>
              <w:t>:</w:t>
            </w:r>
            <w:r>
              <w:rPr>
                <w:rFonts w:hint="eastAsia"/>
                <w:color w:val="auto"/>
                <w:highlight w:val="none"/>
                <w:lang w:val="en-US" w:eastAsia="zh-CN"/>
              </w:rPr>
              <w:t>30</w:t>
            </w:r>
            <w:r>
              <w:rPr>
                <w:rFonts w:hint="eastAsia"/>
                <w:color w:val="auto"/>
                <w:highlight w:val="none"/>
              </w:rPr>
              <w:t>-</w:t>
            </w:r>
            <w:r>
              <w:rPr>
                <w:rFonts w:hint="eastAsia"/>
                <w:color w:val="auto"/>
                <w:highlight w:val="none"/>
                <w:lang w:val="en-US" w:eastAsia="zh-CN"/>
              </w:rPr>
              <w:t>14</w:t>
            </w:r>
            <w:r>
              <w:rPr>
                <w:rFonts w:hint="eastAsia"/>
                <w:color w:val="auto"/>
                <w:highlight w:val="none"/>
              </w:rPr>
              <w:t>:</w:t>
            </w:r>
            <w:r>
              <w:rPr>
                <w:rFonts w:hint="eastAsia"/>
                <w:color w:val="auto"/>
                <w:highlight w:val="none"/>
                <w:lang w:val="en-US" w:eastAsia="zh-CN"/>
              </w:rPr>
              <w:t>30</w:t>
            </w:r>
            <w:r>
              <w:rPr>
                <w:rFonts w:hint="eastAsia"/>
                <w:color w:val="auto"/>
                <w:highlight w:val="none"/>
              </w:rPr>
              <w:t>接收样品</w:t>
            </w:r>
            <w:r>
              <w:rPr>
                <w:rFonts w:hint="eastAsia"/>
                <w:color w:val="auto"/>
                <w:highlight w:val="none"/>
                <w:lang w:eastAsia="zh-CN"/>
              </w:rPr>
              <w:t>（</w:t>
            </w:r>
            <w:r>
              <w:rPr>
                <w:rFonts w:hint="eastAsia"/>
                <w:color w:val="auto"/>
                <w:highlight w:val="none"/>
                <w:lang w:val="en-US" w:eastAsia="zh-CN"/>
              </w:rPr>
              <w:t>注明投标人名称</w:t>
            </w:r>
            <w:r>
              <w:rPr>
                <w:rFonts w:hint="eastAsia"/>
                <w:color w:val="auto"/>
                <w:highlight w:val="none"/>
                <w:lang w:eastAsia="zh-CN"/>
              </w:rPr>
              <w:t>），</w:t>
            </w:r>
            <w:r>
              <w:rPr>
                <w:rFonts w:hint="eastAsia"/>
                <w:color w:val="auto"/>
                <w:highlight w:val="none"/>
              </w:rPr>
              <w:t>投标人应提前留足时间，逾期</w:t>
            </w:r>
            <w:bookmarkStart w:id="83" w:name="_GoBack"/>
            <w:bookmarkEnd w:id="83"/>
            <w:r>
              <w:rPr>
                <w:rFonts w:hint="eastAsia"/>
                <w:color w:val="auto"/>
                <w:highlight w:val="none"/>
              </w:rPr>
              <w:t>的样品恕不</w:t>
            </w:r>
            <w:r>
              <w:rPr>
                <w:rFonts w:hint="eastAsia"/>
                <w:color w:val="auto"/>
                <w:highlight w:val="none"/>
                <w:lang w:eastAsia="zh-CN"/>
              </w:rPr>
              <w:t>接收</w:t>
            </w:r>
            <w:r>
              <w:rPr>
                <w:rFonts w:hint="eastAsia"/>
                <w:color w:val="auto"/>
                <w:highlight w:val="none"/>
              </w:rPr>
              <w:t>。</w:t>
            </w:r>
          </w:p>
          <w:p>
            <w:pPr>
              <w:numPr>
                <w:ilvl w:val="0"/>
                <w:numId w:val="19"/>
              </w:numPr>
              <w:bidi w:val="0"/>
              <w:ind w:left="425" w:leftChars="0" w:hanging="425" w:firstLineChars="0"/>
              <w:rPr>
                <w:rFonts w:hint="eastAsia"/>
                <w:color w:val="auto"/>
                <w:highlight w:val="none"/>
                <w:lang w:val="en-US" w:eastAsia="zh-CN"/>
              </w:rPr>
            </w:pPr>
            <w:r>
              <w:rPr>
                <w:rFonts w:hint="eastAsia"/>
                <w:color w:val="auto"/>
                <w:highlight w:val="none"/>
                <w:lang w:val="en-US" w:eastAsia="zh-CN"/>
              </w:rPr>
              <w:t>样品递交地点：台州湾新区海虹街道办事处一楼大厅</w:t>
            </w:r>
          </w:p>
          <w:p>
            <w:pPr>
              <w:numPr>
                <w:ilvl w:val="0"/>
                <w:numId w:val="19"/>
              </w:numPr>
              <w:bidi w:val="0"/>
              <w:ind w:left="425" w:leftChars="0" w:hanging="425" w:firstLineChars="0"/>
              <w:rPr>
                <w:rFonts w:hint="default"/>
                <w:color w:val="auto"/>
                <w:highlight w:val="none"/>
                <w:lang w:val="en-US" w:eastAsia="zh-CN"/>
              </w:rPr>
            </w:pPr>
            <w:r>
              <w:rPr>
                <w:rFonts w:hint="default"/>
                <w:color w:val="auto"/>
                <w:highlight w:val="none"/>
                <w:lang w:val="en-US" w:eastAsia="zh-CN"/>
              </w:rPr>
              <w:t>接收人：周正辉18958682891</w:t>
            </w:r>
          </w:p>
          <w:p>
            <w:pPr>
              <w:numPr>
                <w:ilvl w:val="0"/>
                <w:numId w:val="19"/>
              </w:numPr>
              <w:bidi w:val="0"/>
              <w:ind w:left="425" w:leftChars="0" w:hanging="425" w:firstLineChars="0"/>
              <w:rPr>
                <w:rFonts w:hint="eastAsia"/>
                <w:color w:val="auto"/>
                <w:highlight w:val="none"/>
                <w:lang w:val="en-US" w:eastAsia="zh-CN"/>
              </w:rPr>
            </w:pPr>
            <w:r>
              <w:rPr>
                <w:rFonts w:hint="eastAsia"/>
                <w:color w:val="auto"/>
                <w:highlight w:val="none"/>
              </w:rPr>
              <w:t>样品搭建要求：</w:t>
            </w:r>
            <w:r>
              <w:rPr>
                <w:rFonts w:hint="eastAsia"/>
                <w:color w:val="auto"/>
                <w:highlight w:val="none"/>
                <w:lang w:val="en-US" w:eastAsia="zh-CN"/>
              </w:rPr>
              <w:t>投标截止时间</w:t>
            </w:r>
            <w:r>
              <w:rPr>
                <w:rFonts w:hint="eastAsia"/>
                <w:color w:val="auto"/>
                <w:highlight w:val="none"/>
              </w:rPr>
              <w:t>之前自行完成样品拆封、搭建</w:t>
            </w:r>
            <w:r>
              <w:rPr>
                <w:rFonts w:hint="eastAsia"/>
                <w:color w:val="auto"/>
                <w:highlight w:val="none"/>
                <w:lang w:val="en-US" w:eastAsia="zh-CN"/>
              </w:rPr>
              <w:t>。超过截止时间的，采购人或采购代理机构将不予接收，并将清场。</w:t>
            </w:r>
          </w:p>
          <w:p>
            <w:pPr>
              <w:numPr>
                <w:ilvl w:val="0"/>
                <w:numId w:val="19"/>
              </w:numPr>
              <w:bidi w:val="0"/>
              <w:ind w:left="425" w:leftChars="0" w:hanging="425" w:firstLineChars="0"/>
              <w:rPr>
                <w:rFonts w:hint="default"/>
                <w:color w:val="auto"/>
                <w:highlight w:val="none"/>
                <w:lang w:val="en-US" w:eastAsia="zh-CN"/>
              </w:rPr>
            </w:pPr>
            <w:r>
              <w:rPr>
                <w:rFonts w:hint="default"/>
                <w:color w:val="auto"/>
                <w:highlight w:val="none"/>
                <w:lang w:val="en-US" w:eastAsia="zh-CN"/>
              </w:rPr>
              <w:t>样品属于投标文件的组成部分。样品的生产、运输、安装、保全等一切费用由投标人自理。</w:t>
            </w:r>
          </w:p>
          <w:p>
            <w:pPr>
              <w:numPr>
                <w:ilvl w:val="0"/>
                <w:numId w:val="19"/>
              </w:numPr>
              <w:bidi w:val="0"/>
              <w:ind w:left="425" w:leftChars="0" w:hanging="425" w:firstLineChars="0"/>
              <w:rPr>
                <w:rFonts w:hint="default"/>
                <w:color w:val="auto"/>
                <w:highlight w:val="none"/>
                <w:lang w:val="en-US" w:eastAsia="zh-CN"/>
              </w:rPr>
            </w:pPr>
            <w:r>
              <w:rPr>
                <w:rFonts w:hint="eastAsia"/>
                <w:color w:val="auto"/>
                <w:highlight w:val="none"/>
                <w:lang w:val="en-US" w:eastAsia="zh-CN"/>
              </w:rPr>
              <w:t>第一</w:t>
            </w:r>
            <w:r>
              <w:rPr>
                <w:rFonts w:hint="default"/>
                <w:color w:val="auto"/>
                <w:highlight w:val="none"/>
                <w:lang w:val="en-US" w:eastAsia="zh-CN"/>
              </w:rPr>
              <w:t>中标</w:t>
            </w:r>
            <w:r>
              <w:rPr>
                <w:rFonts w:hint="eastAsia"/>
                <w:color w:val="auto"/>
                <w:highlight w:val="none"/>
                <w:lang w:val="en-US" w:eastAsia="zh-CN"/>
              </w:rPr>
              <w:t>候选人</w:t>
            </w:r>
            <w:r>
              <w:rPr>
                <w:rFonts w:hint="default"/>
                <w:color w:val="auto"/>
                <w:highlight w:val="none"/>
                <w:lang w:val="en-US" w:eastAsia="zh-CN"/>
              </w:rPr>
              <w:t>的样品由采购人封存，作为履约验收的依据之一。</w:t>
            </w:r>
            <w:r>
              <w:rPr>
                <w:rFonts w:hint="eastAsia"/>
                <w:color w:val="auto"/>
                <w:highlight w:val="none"/>
                <w:lang w:val="en-US" w:eastAsia="zh-CN"/>
              </w:rPr>
              <w:t>评审结束后，其余投标人</w:t>
            </w:r>
            <w:r>
              <w:rPr>
                <w:rFonts w:hint="default"/>
                <w:color w:val="auto"/>
                <w:highlight w:val="none"/>
                <w:lang w:val="en-US" w:eastAsia="zh-CN"/>
              </w:rPr>
              <w:t>将样品自行取回</w:t>
            </w:r>
            <w:r>
              <w:rPr>
                <w:rFonts w:hint="eastAsia"/>
                <w:color w:val="auto"/>
                <w:highlight w:val="none"/>
                <w:lang w:val="en-US" w:eastAsia="zh-CN"/>
              </w:rPr>
              <w:t>，若未</w:t>
            </w:r>
            <w:r>
              <w:rPr>
                <w:rFonts w:hint="default"/>
                <w:color w:val="auto"/>
                <w:highlight w:val="none"/>
                <w:lang w:val="en-US" w:eastAsia="zh-CN"/>
              </w:rPr>
              <w:t>自行取回的，视为同意其样品由采购组织机构处理。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14</w:t>
            </w:r>
          </w:p>
        </w:tc>
        <w:tc>
          <w:tcPr>
            <w:tcW w:w="150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核心产品</w:t>
            </w:r>
          </w:p>
        </w:tc>
        <w:tc>
          <w:tcPr>
            <w:tcW w:w="622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jc w:val="left"/>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课桌、午休躺椅。</w:t>
            </w:r>
          </w:p>
        </w:tc>
      </w:tr>
    </w:tbl>
    <w:p>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pPr>
        <w:pStyle w:val="15"/>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说 明</w:t>
      </w:r>
    </w:p>
    <w:p>
      <w:pPr>
        <w:pStyle w:val="16"/>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pPr>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pStyle w:val="10"/>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color w:val="auto"/>
          <w:highlight w:val="none"/>
        </w:rPr>
      </w:pPr>
      <w:r>
        <w:rPr>
          <w:color w:val="auto"/>
          <w:highlight w:val="none"/>
        </w:rPr>
        <w:t>本招标文件仅适用于本次招标公告中所涉及的项目和内容。</w:t>
      </w:r>
    </w:p>
    <w:p>
      <w:pPr>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当事人</w:t>
      </w:r>
    </w:p>
    <w:p>
      <w:pPr>
        <w:pStyle w:val="4"/>
        <w:keepNext w:val="0"/>
        <w:keepLines w:val="0"/>
        <w:pageBreakBefore w:val="0"/>
        <w:numPr>
          <w:ilvl w:val="0"/>
          <w:numId w:val="21"/>
        </w:numPr>
        <w:tabs>
          <w:tab w:val="left" w:pos="0"/>
          <w:tab w:val="left" w:pos="851"/>
        </w:tabs>
        <w:kinsoku/>
        <w:wordWrap/>
        <w:overflowPunct/>
        <w:topLinePunct w:val="0"/>
        <w:bidi w:val="0"/>
        <w:adjustRightInd/>
        <w:snapToGrid/>
        <w:spacing w:before="0" w:after="0" w:line="360" w:lineRule="auto"/>
        <w:ind w:left="0" w:leftChars="0" w:right="0" w:firstLine="480" w:firstLineChars="200"/>
        <w:jc w:val="left"/>
        <w:textAlignment w:val="auto"/>
        <w:rPr>
          <w:rFonts w:asciiTheme="minorEastAsia" w:hAnsiTheme="minorEastAsia" w:eastAsiaTheme="minorEastAsia"/>
          <w:bCs w:val="0"/>
          <w:color w:val="auto"/>
          <w:sz w:val="24"/>
          <w:szCs w:val="24"/>
          <w:highlight w:val="none"/>
        </w:rPr>
      </w:pP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w:t>
      </w:r>
      <w:r>
        <w:rPr>
          <w:rFonts w:hint="eastAsia" w:ascii="宋体" w:hAnsi="宋体" w:cs="宋体"/>
          <w:color w:val="auto"/>
          <w:sz w:val="24"/>
          <w:szCs w:val="24"/>
          <w:highlight w:val="none"/>
          <w:lang w:eastAsia="zh-CN"/>
        </w:rPr>
        <w:t>台州市永阳科技有限公司</w:t>
      </w:r>
      <w:r>
        <w:rPr>
          <w:rFonts w:hint="eastAsia"/>
          <w:bCs w:val="0"/>
          <w:color w:val="auto"/>
          <w:sz w:val="24"/>
          <w:szCs w:val="24"/>
          <w:highlight w:val="none"/>
          <w:lang w:val="zh-CN"/>
        </w:rPr>
        <w:t>；</w:t>
      </w:r>
    </w:p>
    <w:p>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采购人：是指</w:t>
      </w:r>
      <w:r>
        <w:rPr>
          <w:rFonts w:hint="eastAsia" w:ascii="宋体" w:hAnsi="宋体" w:cs="宋体"/>
          <w:color w:val="auto"/>
          <w:sz w:val="24"/>
          <w:szCs w:val="24"/>
          <w:highlight w:val="none"/>
          <w:lang w:eastAsia="zh-CN"/>
        </w:rPr>
        <w:t>台州市云湖小学</w:t>
      </w:r>
      <w:r>
        <w:rPr>
          <w:rFonts w:hint="eastAsia" w:asciiTheme="minorEastAsia" w:hAnsiTheme="minorEastAsia" w:eastAsiaTheme="minorEastAsia"/>
          <w:color w:val="auto"/>
          <w:sz w:val="24"/>
          <w:highlight w:val="none"/>
        </w:rPr>
        <w:t>；</w:t>
      </w:r>
    </w:p>
    <w:p>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p>
    <w:p>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lang w:val="zh-CN"/>
        </w:rPr>
      </w:pP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p>
    <w:p>
      <w:pPr>
        <w:keepNext w:val="0"/>
        <w:keepLines w:val="0"/>
        <w:pageBreakBefore w:val="0"/>
        <w:numPr>
          <w:ilvl w:val="0"/>
          <w:numId w:val="21"/>
        </w:numPr>
        <w:kinsoku/>
        <w:wordWrap/>
        <w:overflowPunct/>
        <w:topLinePunct w:val="0"/>
        <w:bidi w:val="0"/>
        <w:adjustRightInd/>
        <w:snapToGrid/>
        <w:spacing w:line="360" w:lineRule="auto"/>
        <w:ind w:left="0" w:leftChars="0" w:right="0" w:firstLine="480" w:firstLineChars="200"/>
        <w:jc w:val="left"/>
        <w:textAlignment w:val="auto"/>
        <w:rPr>
          <w:color w:val="auto"/>
          <w:sz w:val="24"/>
          <w:highlight w:val="none"/>
        </w:rPr>
      </w:pP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pPr>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b/>
          <w:bCs/>
          <w:color w:val="auto"/>
          <w:sz w:val="24"/>
          <w:highlight w:val="none"/>
        </w:rPr>
      </w:pPr>
      <w:r>
        <w:rPr>
          <w:b/>
          <w:bCs/>
          <w:color w:val="auto"/>
          <w:sz w:val="24"/>
          <w:highlight w:val="none"/>
        </w:rPr>
        <w:t>以联合体形式投标的，应符合以下规定</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本项目不接受联合体投标。</w:t>
      </w:r>
    </w:p>
    <w:p>
      <w:pPr>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b/>
          <w:bCs/>
          <w:color w:val="auto"/>
          <w:sz w:val="24"/>
          <w:highlight w:val="none"/>
        </w:rPr>
      </w:pPr>
      <w:r>
        <w:rPr>
          <w:b/>
          <w:bCs/>
          <w:color w:val="auto"/>
          <w:sz w:val="24"/>
          <w:highlight w:val="none"/>
        </w:rPr>
        <w:t>语言文字以及度量衡单位</w:t>
      </w:r>
    </w:p>
    <w:p>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投标文件以及投标人与</w:t>
      </w:r>
      <w:r>
        <w:rPr>
          <w:rFonts w:hint="eastAsia" w:ascii="宋体" w:hAnsi="宋体" w:cs="宋体" w:eastAsiaTheme="minorEastAsia"/>
          <w:color w:val="auto"/>
          <w:kern w:val="0"/>
          <w:sz w:val="24"/>
          <w:highlight w:val="none"/>
          <w:lang w:eastAsia="zh-CN"/>
        </w:rPr>
        <w:t>台州市永阳科技有限公司</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所有计量均采用中国法定的计量单位。</w:t>
      </w:r>
    </w:p>
    <w:p>
      <w:pPr>
        <w:keepNext w:val="0"/>
        <w:keepLines w:val="0"/>
        <w:pageBreakBefore w:val="0"/>
        <w:numPr>
          <w:ilvl w:val="0"/>
          <w:numId w:val="22"/>
        </w:numPr>
        <w:kinsoku/>
        <w:wordWrap/>
        <w:overflowPunct/>
        <w:topLinePunct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heme="minorEastAsia" w:hAnsiTheme="minorEastAsia" w:eastAsiaTheme="minorEastAsia"/>
          <w:color w:val="auto"/>
          <w:sz w:val="24"/>
          <w:highlight w:val="none"/>
        </w:rPr>
        <w:t>所有</w:t>
      </w:r>
      <w:r>
        <w:rPr>
          <w:color w:val="auto"/>
          <w:sz w:val="24"/>
          <w:highlight w:val="none"/>
        </w:rPr>
        <w:t>报价一律使用人民币，货币单位：元。</w:t>
      </w:r>
    </w:p>
    <w:p>
      <w:pPr>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b/>
          <w:bCs/>
          <w:color w:val="auto"/>
          <w:sz w:val="24"/>
          <w:highlight w:val="none"/>
        </w:rPr>
      </w:pPr>
      <w:r>
        <w:rPr>
          <w:b/>
          <w:bCs/>
          <w:color w:val="auto"/>
          <w:sz w:val="24"/>
          <w:highlight w:val="none"/>
        </w:rPr>
        <w:t>现场踏勘</w:t>
      </w:r>
    </w:p>
    <w:p>
      <w:pPr>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本项目不组织现场踏勘。</w:t>
      </w:r>
    </w:p>
    <w:p>
      <w:pPr>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投标人自行承担踏勘现场发生的责任、风险和自身费用。</w:t>
      </w:r>
    </w:p>
    <w:p>
      <w:pPr>
        <w:keepNext w:val="0"/>
        <w:keepLines w:val="0"/>
        <w:pageBreakBefore w:val="0"/>
        <w:numPr>
          <w:ilvl w:val="0"/>
          <w:numId w:val="23"/>
        </w:numPr>
        <w:kinsoku/>
        <w:wordWrap/>
        <w:overflowPunct/>
        <w:topLinePunct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heme="minorEastAsia" w:hAnsiTheme="minorEastAsia" w:eastAsiaTheme="minorEastAsia"/>
          <w:color w:val="auto"/>
          <w:sz w:val="24"/>
          <w:highlight w:val="none"/>
        </w:rPr>
        <w:t>采购人</w:t>
      </w:r>
      <w:r>
        <w:rPr>
          <w:color w:val="auto"/>
          <w:sz w:val="24"/>
          <w:highlight w:val="none"/>
        </w:rPr>
        <w:t>在踏勘现场中介绍的资料和数据等，不构成对招标文件的修改或不作为投标人编制投标文件的依据。</w:t>
      </w:r>
    </w:p>
    <w:p>
      <w:pPr>
        <w:pStyle w:val="15"/>
        <w:keepNext w:val="0"/>
        <w:keepLines w:val="0"/>
        <w:pageBreakBefore w:val="0"/>
        <w:numPr>
          <w:ilvl w:val="0"/>
          <w:numId w:val="20"/>
        </w:numPr>
        <w:kinsoku/>
        <w:wordWrap/>
        <w:overflowPunct/>
        <w:topLinePunct w:val="0"/>
        <w:bidi w:val="0"/>
        <w:adjustRightInd/>
        <w:snapToGrid/>
        <w:spacing w:line="360" w:lineRule="auto"/>
        <w:ind w:left="0" w:leftChars="0" w:right="0" w:firstLine="482" w:firstLineChars="200"/>
        <w:jc w:val="left"/>
        <w:textAlignment w:val="auto"/>
        <w:rPr>
          <w:rFonts w:hAnsi="宋体"/>
          <w:b/>
          <w:color w:val="auto"/>
          <w:sz w:val="24"/>
          <w:highlight w:val="none"/>
        </w:rPr>
      </w:pPr>
      <w:r>
        <w:rPr>
          <w:rFonts w:hint="eastAsia" w:hAnsi="宋体"/>
          <w:b/>
          <w:color w:val="auto"/>
          <w:sz w:val="24"/>
          <w:highlight w:val="none"/>
        </w:rPr>
        <w:t>特别说明</w:t>
      </w:r>
    </w:p>
    <w:p>
      <w:pPr>
        <w:pStyle w:val="15"/>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招标文件另有说明的除外</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。投标人投标所使用的采购项目实施人员必须为本法人员工。</w:t>
      </w:r>
    </w:p>
    <w:p>
      <w:pPr>
        <w:pStyle w:val="38"/>
        <w:keepNext w:val="0"/>
        <w:keepLines w:val="0"/>
        <w:pageBreakBefore w:val="0"/>
        <w:numPr>
          <w:ilvl w:val="0"/>
          <w:numId w:val="24"/>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本招标文件中关于电子招投标的内容、流程，如与台州湾新区小额工程电子交易平台系统中最新的内容、操作不一致的，以台州湾新区小额工程电子交易平台系统中的要求为准。</w:t>
      </w:r>
    </w:p>
    <w:p>
      <w:pPr>
        <w:keepNext w:val="0"/>
        <w:keepLines w:val="0"/>
        <w:pageBreakBefore w:val="0"/>
        <w:numPr>
          <w:ilvl w:val="0"/>
          <w:numId w:val="18"/>
        </w:numP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招标文件</w:t>
      </w:r>
    </w:p>
    <w:p>
      <w:pPr>
        <w:pStyle w:val="38"/>
        <w:keepNext w:val="0"/>
        <w:keepLines w:val="0"/>
        <w:pageBreakBefore w:val="0"/>
        <w:numPr>
          <w:ilvl w:val="0"/>
          <w:numId w:val="25"/>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招标文件由招标文件目录所列内容组成。</w:t>
      </w:r>
    </w:p>
    <w:p>
      <w:pPr>
        <w:pStyle w:val="38"/>
        <w:keepNext w:val="0"/>
        <w:keepLines w:val="0"/>
        <w:pageBreakBefore w:val="0"/>
        <w:numPr>
          <w:ilvl w:val="0"/>
          <w:numId w:val="25"/>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投标人在规定的时间内未对招标文件提出疑问、质疑或要求澄清的，将视其为无异议。</w:t>
      </w:r>
    </w:p>
    <w:p>
      <w:pPr>
        <w:pStyle w:val="38"/>
        <w:keepNext w:val="0"/>
        <w:keepLines w:val="0"/>
        <w:pageBreakBefore w:val="0"/>
        <w:numPr>
          <w:ilvl w:val="0"/>
          <w:numId w:val="25"/>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对招标文件中描述有歧义或前后不一致的地方，评标委员会有权进行评判，但对同一条款的评判应适用于每个投标人。</w:t>
      </w:r>
    </w:p>
    <w:p>
      <w:pPr>
        <w:pStyle w:val="38"/>
        <w:keepNext w:val="0"/>
        <w:keepLines w:val="0"/>
        <w:pageBreakBefore w:val="0"/>
        <w:numPr>
          <w:ilvl w:val="0"/>
          <w:numId w:val="25"/>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采购组织机构对招标文件进行必要的澄清更正的，澄清或者修改的内容可能影响投标文件编制的，于投标截止时间的3日前在台州湾新区小额工程电子交易平台</w:t>
      </w:r>
      <w:r>
        <w:rPr>
          <w:rFonts w:hint="eastAsia" w:asciiTheme="minorEastAsia" w:hAnsiTheme="minorEastAsia" w:eastAsiaTheme="minorEastAsia" w:cstheme="minorBidi"/>
          <w:color w:val="auto"/>
          <w:sz w:val="24"/>
          <w:highlight w:val="none"/>
          <w:lang w:val="en-US" w:eastAsia="zh-CN"/>
        </w:rPr>
        <w:t>和</w:t>
      </w:r>
      <w:r>
        <w:rPr>
          <w:rFonts w:hint="eastAsia" w:asciiTheme="minorEastAsia" w:hAnsiTheme="minorEastAsia" w:eastAsiaTheme="minorEastAsia" w:cstheme="minorBidi"/>
          <w:color w:val="auto"/>
          <w:sz w:val="24"/>
          <w:highlight w:val="none"/>
          <w:lang w:eastAsia="zh-CN"/>
        </w:rPr>
        <w:t>浙江政府采购网</w:t>
      </w:r>
      <w:r>
        <w:rPr>
          <w:rFonts w:hint="eastAsia" w:asciiTheme="minorEastAsia" w:hAnsiTheme="minorEastAsia" w:eastAsiaTheme="minorEastAsia" w:cstheme="minorBidi"/>
          <w:color w:val="auto"/>
          <w:sz w:val="24"/>
          <w:highlight w:val="none"/>
        </w:rPr>
        <w:t>上以更正公告的形式通知各潜在的投标人；不足3日的，采购组织机构应当顺延提交投标文件的截止时间。</w:t>
      </w:r>
    </w:p>
    <w:p>
      <w:pPr>
        <w:keepNext w:val="0"/>
        <w:keepLines w:val="0"/>
        <w:pageBreakBefore w:val="0"/>
        <w:numPr>
          <w:ilvl w:val="0"/>
          <w:numId w:val="18"/>
        </w:numPr>
        <w:tabs>
          <w:tab w:val="left" w:pos="1418"/>
        </w:tabs>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w:t>
      </w:r>
    </w:p>
    <w:p>
      <w:pPr>
        <w:pStyle w:val="5"/>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投标文件的编制</w:t>
      </w:r>
    </w:p>
    <w:p>
      <w:pPr>
        <w:pStyle w:val="5"/>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投标人获取招标文件后，按照采购组织机构的要求提供：资格标、技术标和商务标</w:t>
      </w:r>
      <w:r>
        <w:rPr>
          <w:rFonts w:hint="eastAsia" w:asciiTheme="minorEastAsia" w:hAnsiTheme="minorEastAsia" w:eastAsiaTheme="minorEastAsia"/>
          <w:color w:val="auto"/>
          <w:kern w:val="0"/>
          <w:sz w:val="24"/>
          <w:highlight w:val="none"/>
          <w:lang w:val="zh-CN"/>
        </w:rPr>
        <w:t>。</w:t>
      </w:r>
    </w:p>
    <w:p>
      <w:pPr>
        <w:keepNext w:val="0"/>
        <w:keepLines w:val="0"/>
        <w:pageBreakBefore w:val="0"/>
        <w:numPr>
          <w:ilvl w:val="0"/>
          <w:numId w:val="27"/>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val="0"/>
          <w:color w:val="auto"/>
          <w:kern w:val="0"/>
          <w:sz w:val="24"/>
          <w:highlight w:val="none"/>
        </w:rPr>
      </w:pPr>
      <w:r>
        <w:rPr>
          <w:rFonts w:hint="eastAsia" w:asciiTheme="minorEastAsia" w:hAnsiTheme="minorEastAsia" w:eastAsiaTheme="minorEastAsia"/>
          <w:b/>
          <w:bCs w:val="0"/>
          <w:color w:val="auto"/>
          <w:sz w:val="24"/>
          <w:highlight w:val="none"/>
        </w:rPr>
        <w:t>资格标</w:t>
      </w:r>
      <w:r>
        <w:rPr>
          <w:rFonts w:hint="eastAsia" w:ascii="宋体" w:hAnsi="宋体"/>
          <w:b/>
          <w:bCs w:val="0"/>
          <w:color w:val="auto"/>
          <w:sz w:val="24"/>
          <w:highlight w:val="none"/>
        </w:rPr>
        <w:t>组成</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color w:val="auto"/>
          <w:sz w:val="24"/>
          <w:highlight w:val="none"/>
        </w:rPr>
      </w:pPr>
      <w:r>
        <w:rPr>
          <w:rFonts w:hint="eastAsia" w:ascii="宋体" w:hAnsi="宋体" w:cs="宋体"/>
          <w:b/>
          <w:bCs w:val="0"/>
          <w:color w:val="auto"/>
          <w:sz w:val="24"/>
          <w:highlight w:val="none"/>
        </w:rPr>
        <w:t>▲投标声明书（附件1）；</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color w:val="auto"/>
          <w:sz w:val="24"/>
          <w:highlight w:val="none"/>
        </w:rPr>
      </w:pPr>
      <w:r>
        <w:rPr>
          <w:rFonts w:hint="eastAsia" w:ascii="宋体" w:hAnsi="宋体" w:cs="宋体"/>
          <w:b/>
          <w:bCs w:val="0"/>
          <w:color w:val="auto"/>
          <w:sz w:val="24"/>
          <w:highlight w:val="none"/>
        </w:rPr>
        <w:t>▲授权委托书（法定代表人亲自办理投标事宜的，则无需提交；附件2）；</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color w:val="auto"/>
          <w:sz w:val="24"/>
          <w:highlight w:val="none"/>
        </w:rPr>
      </w:pPr>
      <w:r>
        <w:rPr>
          <w:rFonts w:hint="eastAsia" w:ascii="宋体" w:hAnsi="宋体" w:cs="宋体"/>
          <w:b/>
          <w:bCs w:val="0"/>
          <w:color w:val="auto"/>
          <w:sz w:val="24"/>
          <w:highlight w:val="none"/>
        </w:rPr>
        <w:t>▲法人或者其他组织的营业执照等证明文件，自然人的身份证明；</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color w:val="auto"/>
          <w:sz w:val="24"/>
          <w:highlight w:val="none"/>
        </w:rPr>
      </w:pPr>
      <w:r>
        <w:rPr>
          <w:rFonts w:hint="eastAsia" w:ascii="宋体" w:hAnsi="宋体" w:cs="宋体"/>
          <w:b/>
          <w:bCs w:val="0"/>
          <w:color w:val="auto"/>
          <w:sz w:val="24"/>
          <w:highlight w:val="none"/>
        </w:rPr>
        <w:t>▲具有依法缴纳税收和社会保障资金证明的承诺函（附件3）；</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b/>
          <w:bCs w:val="0"/>
          <w:color w:val="auto"/>
          <w:sz w:val="24"/>
          <w:highlight w:val="none"/>
        </w:rPr>
      </w:pPr>
      <w:r>
        <w:rPr>
          <w:rFonts w:hint="eastAsia" w:ascii="宋体" w:hAnsi="宋体" w:cs="宋体"/>
          <w:b/>
          <w:bCs w:val="0"/>
          <w:color w:val="auto"/>
          <w:sz w:val="24"/>
          <w:highlight w:val="none"/>
        </w:rPr>
        <w:t>▲具有良好的商业信誉和健全的财务会计制度的承诺函（附件4）；</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cs="宋体"/>
          <w:color w:val="auto"/>
          <w:sz w:val="24"/>
          <w:highlight w:val="none"/>
        </w:rPr>
      </w:pPr>
      <w:r>
        <w:rPr>
          <w:rFonts w:hint="eastAsia" w:ascii="宋体" w:hAnsi="宋体" w:cs="宋体"/>
          <w:b/>
          <w:bCs w:val="0"/>
          <w:color w:val="auto"/>
          <w:sz w:val="24"/>
          <w:highlight w:val="none"/>
        </w:rPr>
        <w:t>▲具有履行合同</w:t>
      </w:r>
      <w:r>
        <w:rPr>
          <w:rFonts w:hint="eastAsia" w:ascii="宋体" w:hAnsi="宋体" w:cs="宋体"/>
          <w:b/>
          <w:bCs w:val="0"/>
          <w:color w:val="auto"/>
          <w:sz w:val="24"/>
          <w:highlight w:val="none"/>
          <w:lang w:eastAsia="zh-CN"/>
        </w:rPr>
        <w:t>所必需的</w:t>
      </w:r>
      <w:r>
        <w:rPr>
          <w:rFonts w:hint="eastAsia" w:ascii="宋体" w:hAnsi="宋体" w:cs="宋体"/>
          <w:b/>
          <w:bCs w:val="0"/>
          <w:color w:val="auto"/>
          <w:sz w:val="24"/>
          <w:highlight w:val="none"/>
        </w:rPr>
        <w:t>设备和专业技术能力的承诺函（附件5）</w:t>
      </w:r>
      <w:r>
        <w:rPr>
          <w:rFonts w:hint="eastAsia" w:ascii="宋体" w:hAnsi="宋体" w:cs="宋体"/>
          <w:color w:val="auto"/>
          <w:sz w:val="24"/>
          <w:highlight w:val="none"/>
        </w:rPr>
        <w:t>。</w:t>
      </w:r>
    </w:p>
    <w:p>
      <w:pPr>
        <w:keepNext w:val="0"/>
        <w:keepLines w:val="0"/>
        <w:pageBreakBefore w:val="0"/>
        <w:numPr>
          <w:ilvl w:val="0"/>
          <w:numId w:val="27"/>
        </w:numPr>
        <w:kinsoku/>
        <w:wordWrap/>
        <w:overflowPunct/>
        <w:topLinePunct w:val="0"/>
        <w:bidi w:val="0"/>
        <w:adjustRightInd/>
        <w:snapToGrid/>
        <w:spacing w:line="360" w:lineRule="auto"/>
        <w:ind w:left="0" w:leftChars="0" w:right="0" w:firstLine="482" w:firstLineChars="200"/>
        <w:jc w:val="left"/>
        <w:textAlignment w:val="auto"/>
        <w:rPr>
          <w:rFonts w:ascii="宋体" w:hAnsi="宋体"/>
          <w:b/>
          <w:color w:val="auto"/>
          <w:sz w:val="24"/>
          <w:highlight w:val="none"/>
        </w:rPr>
      </w:pPr>
      <w:r>
        <w:rPr>
          <w:rFonts w:hint="eastAsia" w:ascii="宋体" w:hAnsi="宋体" w:eastAsiaTheme="minorEastAsia"/>
          <w:b/>
          <w:color w:val="auto"/>
          <w:sz w:val="24"/>
          <w:highlight w:val="none"/>
        </w:rPr>
        <w:t>技术标</w:t>
      </w:r>
      <w:r>
        <w:rPr>
          <w:rFonts w:hint="eastAsia" w:ascii="宋体" w:hAnsi="宋体"/>
          <w:b/>
          <w:color w:val="auto"/>
          <w:sz w:val="24"/>
          <w:highlight w:val="none"/>
        </w:rPr>
        <w:t>组成</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right="0" w:firstLine="482" w:firstLineChars="200"/>
        <w:jc w:val="left"/>
        <w:textAlignment w:val="auto"/>
        <w:rPr>
          <w:rFonts w:ascii="宋体" w:hAnsi="宋体"/>
          <w:b/>
          <w:bCs w:val="0"/>
          <w:color w:val="auto"/>
          <w:sz w:val="24"/>
          <w:highlight w:val="none"/>
        </w:rPr>
      </w:pPr>
      <w:r>
        <w:rPr>
          <w:rFonts w:hint="eastAsia" w:ascii="宋体" w:hAnsi="宋体"/>
          <w:b/>
          <w:bCs w:val="0"/>
          <w:color w:val="auto"/>
          <w:sz w:val="24"/>
          <w:highlight w:val="none"/>
        </w:rPr>
        <w:t>▲需求响应表（附件6）；</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bCs/>
          <w:color w:val="auto"/>
          <w:sz w:val="24"/>
          <w:highlight w:val="none"/>
        </w:rPr>
      </w:pPr>
      <w:r>
        <w:rPr>
          <w:rFonts w:hint="eastAsia" w:ascii="宋体" w:hAnsi="宋体"/>
          <w:bCs/>
          <w:color w:val="auto"/>
          <w:sz w:val="24"/>
          <w:highlight w:val="none"/>
        </w:rPr>
        <w:t>其余内容根据评标办法自拟；</w:t>
      </w:r>
    </w:p>
    <w:p>
      <w:pPr>
        <w:pStyle w:val="5"/>
        <w:keepNext w:val="0"/>
        <w:keepLines w:val="0"/>
        <w:pageBreakBefore w:val="0"/>
        <w:widowControl/>
        <w:numPr>
          <w:ilvl w:val="255"/>
          <w:numId w:val="0"/>
        </w:numPr>
        <w:kinsoku/>
        <w:wordWrap/>
        <w:overflowPunct/>
        <w:topLinePunct w:val="0"/>
        <w:bidi w:val="0"/>
        <w:adjustRightInd/>
        <w:snapToGrid/>
        <w:spacing w:line="360" w:lineRule="auto"/>
        <w:ind w:left="0" w:leftChars="0" w:right="0" w:firstLine="480" w:firstLineChars="200"/>
        <w:jc w:val="left"/>
        <w:textAlignment w:val="auto"/>
        <w:rPr>
          <w:rFonts w:ascii="宋体" w:hAnsi="宋体"/>
          <w:bCs/>
          <w:color w:val="auto"/>
          <w:sz w:val="24"/>
          <w:highlight w:val="none"/>
        </w:rPr>
      </w:pPr>
      <w:r>
        <w:rPr>
          <w:rFonts w:hint="eastAsia" w:ascii="宋体" w:hAnsi="宋体"/>
          <w:bCs/>
          <w:color w:val="auto"/>
          <w:sz w:val="24"/>
          <w:highlight w:val="none"/>
        </w:rPr>
        <w:t>招标需求中要求提供的相关证明材料及根据评标办法提供的证明材料均需在投标文件中提供。</w:t>
      </w:r>
    </w:p>
    <w:p>
      <w:pPr>
        <w:keepNext w:val="0"/>
        <w:keepLines w:val="0"/>
        <w:pageBreakBefore w:val="0"/>
        <w:numPr>
          <w:ilvl w:val="0"/>
          <w:numId w:val="27"/>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商务标组成</w:t>
      </w:r>
    </w:p>
    <w:p>
      <w:pPr>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b/>
          <w:bCs/>
          <w:color w:val="auto"/>
          <w:kern w:val="0"/>
          <w:sz w:val="24"/>
          <w:highlight w:val="none"/>
        </w:rPr>
      </w:pPr>
      <w:r>
        <w:rPr>
          <w:rFonts w:hint="eastAsia" w:ascii="宋体" w:hAnsi="宋体" w:cs="宋体"/>
          <w:b/>
          <w:bCs/>
          <w:color w:val="auto"/>
          <w:sz w:val="24"/>
          <w:highlight w:val="none"/>
        </w:rPr>
        <w:t>▲</w:t>
      </w:r>
      <w:r>
        <w:rPr>
          <w:rFonts w:hint="eastAsia" w:asciiTheme="minorEastAsia" w:hAnsiTheme="minorEastAsia" w:eastAsiaTheme="minorEastAsia"/>
          <w:b/>
          <w:bCs/>
          <w:color w:val="auto"/>
          <w:kern w:val="0"/>
          <w:sz w:val="24"/>
          <w:highlight w:val="none"/>
        </w:rPr>
        <w:t>开标一览表（附件</w:t>
      </w:r>
      <w:r>
        <w:rPr>
          <w:rFonts w:hint="eastAsia" w:asciiTheme="minorEastAsia" w:hAnsiTheme="minorEastAsia" w:eastAsiaTheme="minorEastAsia"/>
          <w:b/>
          <w:bCs/>
          <w:color w:val="auto"/>
          <w:kern w:val="0"/>
          <w:sz w:val="24"/>
          <w:highlight w:val="none"/>
          <w:lang w:val="en-US" w:eastAsia="zh-CN"/>
        </w:rPr>
        <w:t>7</w:t>
      </w:r>
      <w:r>
        <w:rPr>
          <w:rFonts w:hint="eastAsia" w:asciiTheme="minorEastAsia" w:hAnsiTheme="minorEastAsia" w:eastAsiaTheme="minorEastAsia"/>
          <w:b/>
          <w:bCs/>
          <w:color w:val="auto"/>
          <w:kern w:val="0"/>
          <w:sz w:val="24"/>
          <w:highlight w:val="none"/>
        </w:rPr>
        <w:t>）；</w:t>
      </w:r>
    </w:p>
    <w:p>
      <w:pPr>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eastAsiaTheme="minorEastAsia"/>
          <w:color w:val="auto"/>
          <w:kern w:val="0"/>
          <w:sz w:val="24"/>
          <w:highlight w:val="none"/>
        </w:rPr>
      </w:pPr>
      <w:r>
        <w:rPr>
          <w:rFonts w:hint="eastAsia" w:ascii="宋体" w:hAnsi="宋体" w:cs="宋体"/>
          <w:b/>
          <w:bCs/>
          <w:color w:val="auto"/>
          <w:sz w:val="24"/>
          <w:highlight w:val="none"/>
        </w:rPr>
        <w:t>▲</w:t>
      </w:r>
      <w:r>
        <w:rPr>
          <w:rFonts w:hint="eastAsia" w:asciiTheme="minorEastAsia" w:hAnsiTheme="minorEastAsia" w:eastAsiaTheme="minorEastAsia"/>
          <w:b/>
          <w:bCs/>
          <w:color w:val="auto"/>
          <w:kern w:val="0"/>
          <w:sz w:val="24"/>
          <w:highlight w:val="none"/>
        </w:rPr>
        <w:t>报价明细表</w:t>
      </w:r>
      <w:r>
        <w:rPr>
          <w:rFonts w:hint="eastAsia" w:asciiTheme="minorEastAsia" w:hAnsiTheme="minorEastAsia" w:eastAsiaTheme="minorEastAsia"/>
          <w:b/>
          <w:bCs/>
          <w:color w:val="auto"/>
          <w:kern w:val="0"/>
          <w:sz w:val="24"/>
          <w:highlight w:val="none"/>
          <w:lang w:eastAsia="zh-CN"/>
        </w:rPr>
        <w:t>（</w:t>
      </w:r>
      <w:r>
        <w:rPr>
          <w:rFonts w:hint="eastAsia" w:asciiTheme="minorEastAsia" w:hAnsiTheme="minorEastAsia" w:eastAsiaTheme="minorEastAsia"/>
          <w:b/>
          <w:bCs/>
          <w:color w:val="auto"/>
          <w:kern w:val="0"/>
          <w:sz w:val="24"/>
          <w:highlight w:val="none"/>
          <w:lang w:val="en-US" w:eastAsia="zh-CN"/>
        </w:rPr>
        <w:t>附件8</w:t>
      </w:r>
      <w:r>
        <w:rPr>
          <w:rFonts w:hint="eastAsia" w:asciiTheme="minorEastAsia" w:hAnsiTheme="minorEastAsia" w:eastAsiaTheme="minorEastAsia"/>
          <w:b/>
          <w:bCs/>
          <w:color w:val="auto"/>
          <w:kern w:val="0"/>
          <w:sz w:val="24"/>
          <w:highlight w:val="none"/>
          <w:lang w:eastAsia="zh-CN"/>
        </w:rPr>
        <w:t>）</w:t>
      </w:r>
      <w:r>
        <w:rPr>
          <w:rFonts w:hint="eastAsia" w:asciiTheme="minorEastAsia" w:hAnsiTheme="minorEastAsia" w:eastAsiaTheme="minorEastAsia"/>
          <w:color w:val="auto"/>
          <w:kern w:val="0"/>
          <w:sz w:val="24"/>
          <w:highlight w:val="none"/>
        </w:rPr>
        <w:t>。</w:t>
      </w:r>
    </w:p>
    <w:p>
      <w:pPr>
        <w:keepNext w:val="0"/>
        <w:keepLines w:val="0"/>
        <w:pageBreakBefore w:val="0"/>
        <w:numPr>
          <w:ilvl w:val="0"/>
          <w:numId w:val="26"/>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投标报价</w:t>
      </w:r>
    </w:p>
    <w:p>
      <w:pPr>
        <w:pStyle w:val="5"/>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投标人应按照招标需求内容、责任范围以及合同条款进行报价。并按“开标一览表”规定的格式报出总价。投标总价中不得包含招标文件要求以外的内容，否则，在评标时不予核减。</w:t>
      </w:r>
    </w:p>
    <w:p>
      <w:pPr>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投标报价是履行合同的最终价格</w:t>
      </w:r>
      <w:r>
        <w:rPr>
          <w:rFonts w:hint="eastAsia" w:asciiTheme="minorEastAsia" w:hAnsiTheme="minorEastAsia" w:eastAsiaTheme="minorEastAsia"/>
          <w:bCs/>
          <w:color w:val="auto"/>
          <w:kern w:val="0"/>
          <w:sz w:val="24"/>
          <w:highlight w:val="none"/>
          <w:lang w:eastAsia="zh-CN"/>
        </w:rPr>
        <w:t>，</w:t>
      </w:r>
      <w:r>
        <w:rPr>
          <w:rFonts w:hint="eastAsia" w:asciiTheme="minorEastAsia" w:hAnsiTheme="minorEastAsia" w:eastAsiaTheme="minorEastAsia"/>
          <w:bCs/>
          <w:color w:val="auto"/>
          <w:kern w:val="0"/>
          <w:sz w:val="24"/>
          <w:highlight w:val="none"/>
        </w:rPr>
        <w:t>各投标人应根据本</w:t>
      </w:r>
      <w:r>
        <w:rPr>
          <w:rFonts w:hint="eastAsia" w:asciiTheme="minorEastAsia" w:hAnsiTheme="minorEastAsia" w:eastAsiaTheme="minorEastAsia"/>
          <w:bCs/>
          <w:color w:val="auto"/>
          <w:kern w:val="0"/>
          <w:sz w:val="24"/>
          <w:highlight w:val="none"/>
          <w:lang w:val="en-US" w:eastAsia="zh-CN"/>
        </w:rPr>
        <w:t>项目</w:t>
      </w:r>
      <w:r>
        <w:rPr>
          <w:rFonts w:hint="eastAsia" w:asciiTheme="minorEastAsia" w:hAnsiTheme="minorEastAsia" w:eastAsiaTheme="minorEastAsia"/>
          <w:bCs/>
          <w:color w:val="auto"/>
          <w:kern w:val="0"/>
          <w:sz w:val="24"/>
          <w:highlight w:val="none"/>
        </w:rPr>
        <w:t>实际情况和自身的综合实力，竞报投标报价。总报价以人民币元计。</w:t>
      </w:r>
    </w:p>
    <w:p>
      <w:pPr>
        <w:pStyle w:val="5"/>
        <w:keepNext w:val="0"/>
        <w:keepLines w:val="0"/>
        <w:pageBreakBefore w:val="0"/>
        <w:numPr>
          <w:ilvl w:val="0"/>
          <w:numId w:val="31"/>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投标报价不得为选择性报价和附有条件的报价。</w:t>
      </w:r>
    </w:p>
    <w:p>
      <w:pPr>
        <w:pStyle w:val="5"/>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投标文件的有效期</w:t>
      </w:r>
    </w:p>
    <w:p>
      <w:pPr>
        <w:pStyle w:val="5"/>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投标文件有效期为</w:t>
      </w:r>
      <w:r>
        <w:rPr>
          <w:rFonts w:hint="eastAsia" w:asciiTheme="minorEastAsia" w:hAnsiTheme="minorEastAsia" w:eastAsiaTheme="minorEastAsia" w:cstheme="minorEastAsia"/>
          <w:color w:val="auto"/>
          <w:sz w:val="24"/>
          <w:highlight w:val="none"/>
          <w:lang w:val="en-GB"/>
        </w:rPr>
        <w:t>投标截止日起90天。</w:t>
      </w:r>
    </w:p>
    <w:p>
      <w:pPr>
        <w:pStyle w:val="5"/>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pPr>
        <w:keepNext w:val="0"/>
        <w:keepLines w:val="0"/>
        <w:pageBreakBefore w:val="0"/>
        <w:numPr>
          <w:ilvl w:val="0"/>
          <w:numId w:val="32"/>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中标人的投标文件自开标之日起至合同履行完毕均应保持有效。</w:t>
      </w:r>
    </w:p>
    <w:p>
      <w:pPr>
        <w:keepNext w:val="0"/>
        <w:keepLines w:val="0"/>
        <w:pageBreakBefore w:val="0"/>
        <w:numPr>
          <w:ilvl w:val="0"/>
          <w:numId w:val="26"/>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投标文件的签署</w:t>
      </w:r>
    </w:p>
    <w:p>
      <w:pPr>
        <w:pStyle w:val="5"/>
        <w:keepNext w:val="0"/>
        <w:keepLines w:val="0"/>
        <w:pageBreakBefore w:val="0"/>
        <w:numPr>
          <w:ilvl w:val="0"/>
          <w:numId w:val="3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投标文件需由法定代表人或经其正式授权的代表签字或盖章。授权代表须出具书面授权证明，其《法定代表人授权书》应附在投标文件中。</w:t>
      </w:r>
    </w:p>
    <w:p>
      <w:pPr>
        <w:pStyle w:val="5"/>
        <w:keepNext w:val="0"/>
        <w:keepLines w:val="0"/>
        <w:pageBreakBefore w:val="0"/>
        <w:numPr>
          <w:ilvl w:val="0"/>
          <w:numId w:val="3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投标文件中所有的插字、涂改和增删，必须由法定代表人或经其正式授权的代表在旁边签字或盖章才有效。</w:t>
      </w:r>
    </w:p>
    <w:p>
      <w:pPr>
        <w:pStyle w:val="5"/>
        <w:keepNext w:val="0"/>
        <w:keepLines w:val="0"/>
        <w:pageBreakBefore w:val="0"/>
        <w:numPr>
          <w:ilvl w:val="0"/>
          <w:numId w:val="33"/>
        </w:numPr>
        <w:kinsoku/>
        <w:wordWrap/>
        <w:overflowPunct/>
        <w:topLinePunct w:val="0"/>
        <w:bidi w:val="0"/>
        <w:adjustRightInd/>
        <w:snapToGrid/>
        <w:spacing w:line="360" w:lineRule="auto"/>
        <w:ind w:left="0" w:leftChars="0" w:right="0" w:firstLine="480" w:firstLineChars="200"/>
        <w:jc w:val="left"/>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投标文件中要求加盖公章处，可使用有效安全的电子签章替代。</w:t>
      </w:r>
    </w:p>
    <w:p>
      <w:pPr>
        <w:keepNext w:val="0"/>
        <w:keepLines w:val="0"/>
        <w:pageBreakBefore w:val="0"/>
        <w:numPr>
          <w:ilvl w:val="0"/>
          <w:numId w:val="26"/>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Theme="minorEastAsia" w:hAnsiTheme="minorEastAsia"/>
          <w:b/>
          <w:bCs/>
          <w:color w:val="auto"/>
          <w:sz w:val="24"/>
          <w:highlight w:val="none"/>
        </w:rPr>
      </w:pP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pPr>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开标</w:t>
      </w:r>
    </w:p>
    <w:p>
      <w:pPr>
        <w:pStyle w:val="15"/>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rPr>
          <w:rFonts w:hAnsi="宋体"/>
          <w:b/>
          <w:bCs/>
          <w:color w:val="auto"/>
          <w:sz w:val="24"/>
          <w:szCs w:val="32"/>
          <w:highlight w:val="none"/>
        </w:rPr>
      </w:pPr>
      <w:r>
        <w:rPr>
          <w:rFonts w:hAnsi="宋体"/>
          <w:b/>
          <w:bCs/>
          <w:color w:val="auto"/>
          <w:sz w:val="24"/>
          <w:szCs w:val="32"/>
          <w:highlight w:val="none"/>
        </w:rPr>
        <w:t>开标</w:t>
      </w:r>
    </w:p>
    <w:p>
      <w:pPr>
        <w:pStyle w:val="23"/>
        <w:keepNext w:val="0"/>
        <w:keepLines w:val="0"/>
        <w:pageBreakBefore w:val="0"/>
        <w:widowControl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bCs/>
          <w:color w:val="auto"/>
          <w:highlight w:val="none"/>
        </w:rPr>
      </w:pPr>
      <w:r>
        <w:rPr>
          <w:color w:val="auto"/>
          <w:szCs w:val="21"/>
          <w:highlight w:val="none"/>
        </w:rPr>
        <w:t>投标人代表一律不参加现场开标，通过在线直播参与监督开标过程。直播网络地址：</w:t>
      </w:r>
      <w:r>
        <w:rPr>
          <w:color w:val="auto"/>
          <w:highlight w:val="none"/>
        </w:rPr>
        <w:fldChar w:fldCharType="begin"/>
      </w:r>
      <w:r>
        <w:rPr>
          <w:color w:val="auto"/>
          <w:highlight w:val="none"/>
        </w:rPr>
        <w:instrText xml:space="preserve"> HYPERLINK "http://www.tzwztb.com/live/" </w:instrText>
      </w:r>
      <w:r>
        <w:rPr>
          <w:color w:val="auto"/>
          <w:highlight w:val="none"/>
        </w:rPr>
        <w:fldChar w:fldCharType="separate"/>
      </w:r>
      <w:r>
        <w:rPr>
          <w:rStyle w:val="30"/>
          <w:color w:val="auto"/>
          <w:highlight w:val="none"/>
        </w:rPr>
        <w:t>http://www.tzwztb.com/live/</w:t>
      </w:r>
      <w:r>
        <w:rPr>
          <w:rStyle w:val="30"/>
          <w:color w:val="auto"/>
          <w:highlight w:val="none"/>
        </w:rPr>
        <w:fldChar w:fldCharType="end"/>
      </w:r>
      <w:r>
        <w:rPr>
          <w:rFonts w:hint="default"/>
          <w:color w:val="auto"/>
          <w:highlight w:val="none"/>
        </w:rPr>
        <w:t xml:space="preserve"> </w:t>
      </w:r>
      <w:r>
        <w:rPr>
          <w:color w:val="auto"/>
          <w:highlight w:val="none"/>
        </w:rPr>
        <w:t>。</w:t>
      </w:r>
    </w:p>
    <w:p>
      <w:pPr>
        <w:pStyle w:val="15"/>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rPr>
          <w:rFonts w:hAnsi="宋体" w:cs="宋体"/>
          <w:b/>
          <w:bCs/>
          <w:color w:val="auto"/>
          <w:sz w:val="24"/>
          <w:highlight w:val="none"/>
        </w:rPr>
      </w:pPr>
      <w:r>
        <w:rPr>
          <w:rFonts w:hAnsi="宋体" w:cs="宋体"/>
          <w:b/>
          <w:bCs/>
          <w:color w:val="auto"/>
          <w:sz w:val="24"/>
          <w:highlight w:val="none"/>
        </w:rPr>
        <w:t>开标程序：</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开标由采购代理机构工作人员主持</w:t>
      </w:r>
      <w:r>
        <w:rPr>
          <w:rFonts w:hint="eastAsia" w:ascii="宋体" w:hAnsi="宋体" w:cs="宋体"/>
          <w:color w:val="auto"/>
          <w:sz w:val="24"/>
          <w:highlight w:val="none"/>
        </w:rPr>
        <w:t>。</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采购人依法对资格文件进行审查，评标委员会对技术文件进行评审。</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技术文件评审完成后，主持人宣告技术文件评审无效投标人名称及理由，公布经技术文件评审符合采购需求的投标人名单以及技术文件得分情况。</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开启各投标人</w:t>
      </w:r>
      <w:r>
        <w:rPr>
          <w:rFonts w:hint="eastAsia" w:ascii="宋体" w:hAnsi="宋体" w:cs="宋体"/>
          <w:color w:val="auto"/>
          <w:sz w:val="24"/>
          <w:highlight w:val="none"/>
        </w:rPr>
        <w:t>商务</w:t>
      </w:r>
      <w:r>
        <w:rPr>
          <w:rFonts w:ascii="宋体" w:hAnsi="宋体" w:cs="宋体"/>
          <w:color w:val="auto"/>
          <w:sz w:val="24"/>
          <w:highlight w:val="none"/>
        </w:rPr>
        <w:t>文件。</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lang w:val="zh-CN"/>
        </w:rPr>
      </w:pPr>
      <w:r>
        <w:rPr>
          <w:rFonts w:ascii="宋体" w:hAnsi="宋体" w:cs="宋体"/>
          <w:color w:val="auto"/>
          <w:sz w:val="24"/>
          <w:highlight w:val="none"/>
        </w:rPr>
        <w:t>当场制作并打印开标记录表，由记录人、监督人当场签字确认。唱标结束后，由评标委员会对报价的合理性、准确性等进行审查核实。</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评标结束后，主持人公布投标</w:t>
      </w:r>
      <w:r>
        <w:rPr>
          <w:rFonts w:hint="eastAsia" w:ascii="宋体" w:hAnsi="宋体" w:cs="宋体"/>
          <w:color w:val="auto"/>
          <w:sz w:val="24"/>
          <w:highlight w:val="none"/>
        </w:rPr>
        <w:t>商务</w:t>
      </w:r>
      <w:r>
        <w:rPr>
          <w:rFonts w:ascii="宋体" w:hAnsi="宋体" w:cs="宋体"/>
          <w:color w:val="auto"/>
          <w:sz w:val="24"/>
          <w:highlight w:val="none"/>
        </w:rPr>
        <w:t>得分、综合得分以及推荐中标候选人排序名单。</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开标会议结束。</w:t>
      </w:r>
    </w:p>
    <w:p>
      <w:pPr>
        <w:keepNext w:val="0"/>
        <w:keepLines w:val="0"/>
        <w:pageBreakBefore w:val="0"/>
        <w:numPr>
          <w:ilvl w:val="0"/>
          <w:numId w:val="35"/>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其他注意事项：</w:t>
      </w:r>
    </w:p>
    <w:p>
      <w:pPr>
        <w:keepNext w:val="0"/>
        <w:keepLines w:val="0"/>
        <w:pageBreakBefore w:val="0"/>
        <w:numPr>
          <w:ilvl w:val="0"/>
          <w:numId w:val="36"/>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开标当日，投标人不必抵达开标现场，通过台州湾新区小额工程电子交易平台不见面开标大厅参加开标会议，并根据需要使用开标系统与现场</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 xml:space="preserve">进行互动交流、澄清、质疑等活动。未能在开标会议区内全程参与交互的，视为放弃交互和放弃对开评标全过程提疑的权利。 </w:t>
      </w:r>
    </w:p>
    <w:p>
      <w:pPr>
        <w:keepNext w:val="0"/>
        <w:keepLines w:val="0"/>
        <w:pageBreakBefore w:val="0"/>
        <w:numPr>
          <w:ilvl w:val="0"/>
          <w:numId w:val="36"/>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因投标人网络与电源不稳定、未按操作手册要求配置软硬件等自身原因，导致投标文件未在规定时间内上传，视为投标人放弃投标；因</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原因或网上招投标平台发生故障等，导致无法按时完成投标文件解密或开、评标工作无法进行的，可根据实际情况相应延迟解密时间或调整开、评标时间。</w:t>
      </w:r>
    </w:p>
    <w:p>
      <w:pPr>
        <w:keepNext w:val="0"/>
        <w:keepLines w:val="0"/>
        <w:pageBreakBefore w:val="0"/>
        <w:numPr>
          <w:ilvl w:val="0"/>
          <w:numId w:val="36"/>
        </w:numPr>
        <w:kinsoku/>
        <w:wordWrap/>
        <w:overflowPunct/>
        <w:topLinePunct w:val="0"/>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keepNext w:val="0"/>
        <w:keepLines w:val="0"/>
        <w:pageBreakBefore w:val="0"/>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重要事项说明：</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开标项目的时间均以国家授时中心发布的时间为准。</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若投标人已申请多把CA锁，请注意使用差别。因ca锁使用错误引发的问题，由投标人自己负责。</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right="0" w:firstLine="480" w:firstLineChars="200"/>
        <w:jc w:val="left"/>
        <w:textAlignment w:val="auto"/>
        <w:rPr>
          <w:rFonts w:hAnsi="宋体"/>
          <w:bCs/>
          <w:color w:val="auto"/>
          <w:highlight w:val="none"/>
        </w:rPr>
      </w:pPr>
      <w:r>
        <w:rPr>
          <w:rFonts w:hint="eastAsia" w:ascii="宋体" w:hAnsi="宋体" w:cs="宋体"/>
          <w:color w:val="auto"/>
          <w:sz w:val="24"/>
          <w:highlight w:val="none"/>
        </w:rPr>
        <w:t>如有疑问，请咨询平台技术服务电话：蔡先生，13454667697；王女士，13757680207。QQ “台州湾新区小额工程交易平台交流”（群号：435057190），进行业务咨询。此群也作为不见面开标的备用远程交互群。</w:t>
      </w:r>
    </w:p>
    <w:p>
      <w:pPr>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异常情况处理：</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采购过程中出现以下情形，导致电子交易平台无法正常运行，或者无法保证电子交易的公平、公正和安全时，采购组织机构可中止电子交易活动：</w:t>
      </w:r>
    </w:p>
    <w:p>
      <w:pPr>
        <w:keepNext w:val="0"/>
        <w:keepLines w:val="0"/>
        <w:pageBreakBefore w:val="0"/>
        <w:numPr>
          <w:ilvl w:val="0"/>
          <w:numId w:val="38"/>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电子交易平台发生故障而无法登录访问的；</w:t>
      </w:r>
    </w:p>
    <w:p>
      <w:pPr>
        <w:keepNext w:val="0"/>
        <w:keepLines w:val="0"/>
        <w:pageBreakBefore w:val="0"/>
        <w:numPr>
          <w:ilvl w:val="0"/>
          <w:numId w:val="38"/>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电子交易平台应用或数据库出现错误，不能进行正常操作的；</w:t>
      </w:r>
    </w:p>
    <w:p>
      <w:pPr>
        <w:keepNext w:val="0"/>
        <w:keepLines w:val="0"/>
        <w:pageBreakBefore w:val="0"/>
        <w:numPr>
          <w:ilvl w:val="0"/>
          <w:numId w:val="38"/>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电子交易平台发现严重安全漏洞，有潜在泄密危险的；</w:t>
      </w:r>
    </w:p>
    <w:p>
      <w:pPr>
        <w:keepNext w:val="0"/>
        <w:keepLines w:val="0"/>
        <w:pageBreakBefore w:val="0"/>
        <w:numPr>
          <w:ilvl w:val="0"/>
          <w:numId w:val="38"/>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病毒发作导致不能进行正常操作的；</w:t>
      </w:r>
    </w:p>
    <w:p>
      <w:pPr>
        <w:keepNext w:val="0"/>
        <w:keepLines w:val="0"/>
        <w:pageBreakBefore w:val="0"/>
        <w:numPr>
          <w:ilvl w:val="0"/>
          <w:numId w:val="38"/>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其他无法保证电子交易的公平、公正和安全的情况。</w:t>
      </w:r>
    </w:p>
    <w:p>
      <w:pPr>
        <w:pStyle w:val="5"/>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出现前款规定情形，不影响采购公平、公正性的，采购组织机构可以待上述情形消除后继续组织电子交易活动。</w:t>
      </w:r>
    </w:p>
    <w:p>
      <w:pPr>
        <w:pStyle w:val="5"/>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rPr>
          <w:b/>
          <w:bCs/>
          <w:color w:val="auto"/>
          <w:sz w:val="24"/>
          <w:szCs w:val="22"/>
          <w:highlight w:val="none"/>
        </w:rPr>
      </w:pPr>
      <w:r>
        <w:rPr>
          <w:rFonts w:hint="eastAsia"/>
          <w:b/>
          <w:bCs/>
          <w:color w:val="auto"/>
          <w:sz w:val="24"/>
          <w:szCs w:val="22"/>
          <w:highlight w:val="none"/>
        </w:rPr>
        <w:t>开标异议</w:t>
      </w:r>
    </w:p>
    <w:p>
      <w:pPr>
        <w:pStyle w:val="5"/>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5"/>
        <w:keepNext w:val="0"/>
        <w:keepLines w:val="0"/>
        <w:pageBreakBefore w:val="0"/>
        <w:numPr>
          <w:ilvl w:val="0"/>
          <w:numId w:val="34"/>
        </w:numPr>
        <w:kinsoku/>
        <w:wordWrap/>
        <w:overflowPunct/>
        <w:topLinePunct w:val="0"/>
        <w:bidi w:val="0"/>
        <w:adjustRightInd/>
        <w:snapToGrid/>
        <w:spacing w:line="360" w:lineRule="auto"/>
        <w:ind w:left="0" w:leftChars="0" w:right="0" w:firstLine="482" w:firstLineChars="200"/>
        <w:jc w:val="left"/>
        <w:textAlignment w:val="auto"/>
        <w:rPr>
          <w:b/>
          <w:bCs/>
          <w:color w:val="auto"/>
          <w:sz w:val="24"/>
          <w:szCs w:val="22"/>
          <w:highlight w:val="none"/>
        </w:rPr>
      </w:pPr>
      <w:r>
        <w:rPr>
          <w:rFonts w:hint="eastAsia"/>
          <w:b/>
          <w:bCs/>
          <w:color w:val="auto"/>
          <w:sz w:val="24"/>
          <w:szCs w:val="22"/>
          <w:highlight w:val="none"/>
        </w:rPr>
        <w:t>投标人不足三家，不得开标。</w:t>
      </w:r>
    </w:p>
    <w:p>
      <w:pPr>
        <w:pStyle w:val="15"/>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评标（详见第四章）</w:t>
      </w:r>
    </w:p>
    <w:p>
      <w:pPr>
        <w:pStyle w:val="23"/>
        <w:keepNext w:val="0"/>
        <w:keepLines w:val="0"/>
        <w:pageBreakBefore w:val="0"/>
        <w:numPr>
          <w:ilvl w:val="0"/>
          <w:numId w:val="18"/>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定标</w:t>
      </w:r>
    </w:p>
    <w:p>
      <w:pPr>
        <w:keepNext w:val="0"/>
        <w:keepLines w:val="0"/>
        <w:pageBreakBefore w:val="0"/>
        <w:numPr>
          <w:ilvl w:val="0"/>
          <w:numId w:val="39"/>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color w:val="auto"/>
          <w:kern w:val="0"/>
          <w:sz w:val="24"/>
          <w:highlight w:val="none"/>
        </w:rPr>
      </w:pP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结果公示</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3"/>
        <w:keepNext w:val="0"/>
        <w:keepLines w:val="0"/>
        <w:pageBreakBefore w:val="0"/>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color w:val="auto"/>
          <w:highlight w:val="none"/>
        </w:rPr>
      </w:pPr>
      <w:r>
        <w:rPr>
          <w:color w:val="auto"/>
          <w:highlight w:val="none"/>
        </w:rPr>
        <w:t>采购组织机构自中标候选人确定之日起3日内，在</w:t>
      </w:r>
      <w:r>
        <w:rPr>
          <w:rFonts w:hint="eastAsia"/>
          <w:color w:val="auto"/>
          <w:highlight w:val="none"/>
          <w:lang w:eastAsia="zh-CN"/>
        </w:rPr>
        <w:t>浙江政府采购网</w:t>
      </w:r>
      <w:r>
        <w:rPr>
          <w:color w:val="auto"/>
          <w:highlight w:val="none"/>
        </w:rPr>
        <w:t>和</w:t>
      </w:r>
      <w:r>
        <w:rPr>
          <w:rFonts w:cs="宋体"/>
          <w:color w:val="auto"/>
          <w:highlight w:val="none"/>
        </w:rPr>
        <w:t>台州湾新区小额工程电子交易平台</w:t>
      </w:r>
      <w:r>
        <w:rPr>
          <w:rFonts w:hint="eastAsia" w:cs="宋体"/>
          <w:color w:val="auto"/>
          <w:highlight w:val="none"/>
          <w:lang w:val="en-US" w:eastAsia="zh-CN"/>
        </w:rPr>
        <w:t>进行</w:t>
      </w:r>
      <w:r>
        <w:rPr>
          <w:color w:val="auto"/>
          <w:highlight w:val="none"/>
        </w:rPr>
        <w:t>中标</w:t>
      </w:r>
      <w:r>
        <w:rPr>
          <w:rFonts w:hint="eastAsia"/>
          <w:color w:val="auto"/>
          <w:highlight w:val="none"/>
          <w:lang w:val="en-US" w:eastAsia="zh-CN"/>
        </w:rPr>
        <w:t>候选人公示</w:t>
      </w:r>
      <w:r>
        <w:rPr>
          <w:color w:val="auto"/>
          <w:highlight w:val="none"/>
        </w:rPr>
        <w:t>，公示期</w:t>
      </w:r>
      <w:r>
        <w:rPr>
          <w:rFonts w:hint="eastAsia"/>
          <w:color w:val="auto"/>
          <w:highlight w:val="none"/>
          <w:lang w:val="en-US" w:eastAsia="zh-CN"/>
        </w:rPr>
        <w:t>不少于</w:t>
      </w:r>
      <w:r>
        <w:rPr>
          <w:color w:val="auto"/>
          <w:highlight w:val="none"/>
        </w:rPr>
        <w:t>3日。</w:t>
      </w:r>
    </w:p>
    <w:p>
      <w:pPr>
        <w:pStyle w:val="23"/>
        <w:keepNext w:val="0"/>
        <w:keepLines w:val="0"/>
        <w:pageBreakBefore w:val="0"/>
        <w:numPr>
          <w:ilvl w:val="0"/>
          <w:numId w:val="39"/>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b/>
          <w:bCs/>
          <w:color w:val="auto"/>
          <w:highlight w:val="none"/>
        </w:rPr>
      </w:pPr>
      <w:r>
        <w:rPr>
          <w:b/>
          <w:bCs/>
          <w:color w:val="auto"/>
          <w:highlight w:val="none"/>
        </w:rPr>
        <w:t>确定中标人</w:t>
      </w:r>
    </w:p>
    <w:p>
      <w:pPr>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本项目确定一名中标人，公示期满后，采购人应确定本项目第一中标候选人为本项目中标人。</w:t>
      </w:r>
    </w:p>
    <w:p>
      <w:pPr>
        <w:pStyle w:val="9"/>
        <w:keepNext w:val="0"/>
        <w:keepLines w:val="0"/>
        <w:pageBreakBefore w:val="0"/>
        <w:numPr>
          <w:ilvl w:val="0"/>
          <w:numId w:val="39"/>
        </w:numPr>
        <w:kinsoku/>
        <w:wordWrap/>
        <w:overflowPunct/>
        <w:topLinePunct w:val="0"/>
        <w:bidi w:val="0"/>
        <w:adjustRightInd/>
        <w:snapToGrid/>
        <w:spacing w:line="360" w:lineRule="auto"/>
        <w:ind w:left="0" w:leftChars="0" w:right="0" w:firstLine="482" w:firstLineChars="200"/>
        <w:jc w:val="left"/>
        <w:textAlignment w:val="auto"/>
        <w:rPr>
          <w:b/>
          <w:bCs/>
          <w:color w:val="auto"/>
          <w:sz w:val="24"/>
          <w:highlight w:val="none"/>
        </w:rPr>
      </w:pPr>
      <w:r>
        <w:rPr>
          <w:rFonts w:hint="eastAsia"/>
          <w:b/>
          <w:bCs/>
          <w:color w:val="auto"/>
          <w:sz w:val="24"/>
          <w:highlight w:val="none"/>
        </w:rPr>
        <w:t>发放中标通知书</w:t>
      </w:r>
    </w:p>
    <w:p>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color w:val="auto"/>
          <w:highlight w:val="none"/>
        </w:rPr>
      </w:pPr>
      <w:r>
        <w:rPr>
          <w:rFonts w:hint="eastAsia"/>
          <w:color w:val="auto"/>
          <w:szCs w:val="32"/>
          <w:highlight w:val="none"/>
        </w:rPr>
        <w:t>采购人应当确定第一中标候选人为中标人。如涉及第二中标候选人和其他投标人资格无效的，评标结果不作调整。</w:t>
      </w:r>
    </w:p>
    <w:p>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color w:val="auto"/>
          <w:highlight w:val="none"/>
        </w:rPr>
      </w:pPr>
      <w:r>
        <w:rPr>
          <w:rFonts w:hint="eastAsia"/>
          <w:color w:val="auto"/>
          <w:szCs w:val="32"/>
          <w:highlight w:val="none"/>
        </w:rPr>
        <w:t>第一中标候选人放弃中标，或者因不可抗力提出不能履行合同，或者因违反规定造成其资格无效的，</w:t>
      </w:r>
      <w:r>
        <w:rPr>
          <w:rFonts w:hint="eastAsia"/>
          <w:color w:val="auto"/>
          <w:szCs w:val="32"/>
          <w:highlight w:val="none"/>
          <w:lang w:eastAsia="zh-CN"/>
        </w:rPr>
        <w:t>采购人</w:t>
      </w:r>
      <w:r>
        <w:rPr>
          <w:rFonts w:hint="eastAsia"/>
          <w:color w:val="auto"/>
          <w:szCs w:val="32"/>
          <w:highlight w:val="none"/>
        </w:rPr>
        <w:t>可以确定第二中标候选人为中标人。如涉及其他投标人资格无效的，评标结果不作调整。如第二中标候选人存在上述同样情形的，本次招标失败，重新组织招标。</w:t>
      </w:r>
    </w:p>
    <w:p>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color w:val="auto"/>
          <w:highlight w:val="none"/>
        </w:rPr>
      </w:pPr>
      <w:r>
        <w:rPr>
          <w:rFonts w:hint="eastAsia"/>
          <w:color w:val="auto"/>
          <w:szCs w:val="32"/>
          <w:highlight w:val="none"/>
        </w:rPr>
        <w:t>中标人确定后，采购人应当向中标人发出《中标通知书》。</w:t>
      </w:r>
    </w:p>
    <w:p>
      <w:pPr>
        <w:pStyle w:val="10"/>
        <w:keepNext w:val="0"/>
        <w:keepLines w:val="0"/>
        <w:pageBreakBefore w:val="0"/>
        <w:tabs>
          <w:tab w:val="left" w:pos="574"/>
        </w:tabs>
        <w:kinsoku/>
        <w:wordWrap/>
        <w:overflowPunct/>
        <w:topLinePunct w:val="0"/>
        <w:bidi w:val="0"/>
        <w:adjustRightInd/>
        <w:snapToGrid/>
        <w:spacing w:line="360" w:lineRule="auto"/>
        <w:ind w:left="0" w:leftChars="0" w:right="0" w:firstLine="480" w:firstLineChars="200"/>
        <w:jc w:val="left"/>
        <w:textAlignment w:val="auto"/>
        <w:rPr>
          <w:color w:val="auto"/>
          <w:szCs w:val="32"/>
          <w:highlight w:val="none"/>
        </w:rPr>
      </w:pPr>
      <w:r>
        <w:rPr>
          <w:rFonts w:hint="eastAsia"/>
          <w:color w:val="auto"/>
          <w:szCs w:val="32"/>
          <w:highlight w:val="none"/>
        </w:rPr>
        <w:t>《中标通知书》对采购人和中标人具有法律约束力。《中标通知书》发出后，如中标人因违反法律法规规定而中标无效的，应承担相应的法律责任，本次招标失败，应重新组织招标。</w:t>
      </w:r>
    </w:p>
    <w:p>
      <w:pPr>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宋体" w:hAnsi="宋体"/>
          <w:color w:val="auto"/>
          <w:kern w:val="0"/>
          <w:sz w:val="24"/>
          <w:highlight w:val="none"/>
        </w:rPr>
      </w:pPr>
      <w:r>
        <w:rPr>
          <w:rFonts w:hint="eastAsia" w:ascii="宋体" w:hAnsi="宋体"/>
          <w:b/>
          <w:color w:val="auto"/>
          <w:kern w:val="0"/>
          <w:sz w:val="24"/>
          <w:highlight w:val="none"/>
        </w:rPr>
        <w:t>合同签订</w:t>
      </w:r>
    </w:p>
    <w:p>
      <w:pPr>
        <w:pStyle w:val="23"/>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采购人应当自中标通知书发出之日起</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0日内</w:t>
      </w:r>
      <w:r>
        <w:rPr>
          <w:rFonts w:asciiTheme="minorEastAsia" w:hAnsiTheme="minorEastAsia" w:eastAsiaTheme="minorEastAsia" w:cstheme="minorEastAsia"/>
          <w:color w:val="auto"/>
          <w:highlight w:val="none"/>
        </w:rPr>
        <w:t>，按照招标文件和中标人投标文件内容要求，与中标人签订合同。所签订的合同不得对招标文件确定的事项和中标人投标文件作实质性修改。</w:t>
      </w:r>
    </w:p>
    <w:p>
      <w:pPr>
        <w:pStyle w:val="23"/>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采购人不得向中标人提出任何不合理的要求作为签订合同的条件。</w:t>
      </w:r>
    </w:p>
    <w:p>
      <w:pPr>
        <w:pStyle w:val="23"/>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中标人无故拖延、拒签合同的，将取消中标资格。</w:t>
      </w:r>
    </w:p>
    <w:p>
      <w:pPr>
        <w:pStyle w:val="23"/>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3"/>
        <w:keepNext w:val="0"/>
        <w:keepLines w:val="0"/>
        <w:pageBreakBefore w:val="0"/>
        <w:numPr>
          <w:ilvl w:val="0"/>
          <w:numId w:val="40"/>
        </w:numPr>
        <w:kinsoku/>
        <w:wordWrap/>
        <w:overflowPunct/>
        <w:topLinePunct w:val="0"/>
        <w:bidi w:val="0"/>
        <w:adjustRightInd/>
        <w:snapToGrid/>
        <w:spacing w:before="0" w:beforeAutospacing="0" w:after="0" w:afterAutospacing="0" w:line="360" w:lineRule="auto"/>
        <w:ind w:left="0" w:leftChars="0" w:right="0" w:firstLine="480" w:firstLineChars="200"/>
        <w:jc w:val="left"/>
        <w:textAlignment w:val="auto"/>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询问或者质疑事项可能影响中标结果的，采购人应当暂停签订合同，已经签订合同的，应当中止履行合同。</w:t>
      </w:r>
    </w:p>
    <w:p>
      <w:pPr>
        <w:pStyle w:val="9"/>
        <w:keepNext w:val="0"/>
        <w:keepLines w:val="0"/>
        <w:pageBreakBefore w:val="0"/>
        <w:numPr>
          <w:ilvl w:val="0"/>
          <w:numId w:val="18"/>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rPr>
        <w:t>询问、质疑与投诉</w:t>
      </w:r>
    </w:p>
    <w:p>
      <w:pPr>
        <w:pStyle w:val="9"/>
        <w:keepNext w:val="0"/>
        <w:keepLines w:val="0"/>
        <w:pageBreakBefore w:val="0"/>
        <w:numPr>
          <w:ilvl w:val="0"/>
          <w:numId w:val="41"/>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rPr>
        <w:t>询问</w:t>
      </w:r>
    </w:p>
    <w:p>
      <w:pPr>
        <w:pStyle w:val="9"/>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keepNext w:val="0"/>
        <w:keepLines w:val="0"/>
        <w:pageBreakBefore w:val="0"/>
        <w:numPr>
          <w:ilvl w:val="0"/>
          <w:numId w:val="41"/>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rPr>
        <w:t>质疑</w:t>
      </w:r>
    </w:p>
    <w:p>
      <w:pPr>
        <w:pStyle w:val="9"/>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报名本项目的投标人认为招标文件、采购过程和中标结果使自己的权益受到损害的，通过书面形式一次性向采购人或采购组织机构提出质疑：</w:t>
      </w:r>
    </w:p>
    <w:p>
      <w:pPr>
        <w:pStyle w:val="9"/>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投标人认为招标文件的内容损害其权益的，应当</w:t>
      </w:r>
      <w:r>
        <w:rPr>
          <w:rFonts w:hint="eastAsia" w:ascii="宋体" w:hAnsi="宋体"/>
          <w:color w:val="auto"/>
          <w:sz w:val="24"/>
          <w:highlight w:val="none"/>
          <w:lang w:val="en-US" w:eastAsia="zh-CN"/>
        </w:rPr>
        <w:t>在投标截止时间前</w:t>
      </w:r>
      <w:r>
        <w:rPr>
          <w:rFonts w:hint="eastAsia" w:ascii="宋体" w:hAnsi="宋体"/>
          <w:color w:val="auto"/>
          <w:sz w:val="24"/>
          <w:highlight w:val="none"/>
        </w:rPr>
        <w:t>提出质疑；</w:t>
      </w:r>
    </w:p>
    <w:p>
      <w:pPr>
        <w:pStyle w:val="9"/>
        <w:keepNext w:val="0"/>
        <w:keepLines w:val="0"/>
        <w:pageBreakBefore w:val="0"/>
        <w:numPr>
          <w:ilvl w:val="0"/>
          <w:numId w:val="43"/>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投标人对中标结果提出质疑的，应当在</w:t>
      </w:r>
      <w:r>
        <w:rPr>
          <w:rFonts w:hint="eastAsia" w:ascii="宋体" w:hAnsi="宋体"/>
          <w:color w:val="auto"/>
          <w:sz w:val="24"/>
          <w:highlight w:val="none"/>
          <w:lang w:val="en-US" w:eastAsia="zh-CN"/>
        </w:rPr>
        <w:t>公示期满前</w:t>
      </w:r>
      <w:r>
        <w:rPr>
          <w:rFonts w:hint="eastAsia" w:ascii="宋体" w:hAnsi="宋体"/>
          <w:color w:val="auto"/>
          <w:sz w:val="24"/>
          <w:highlight w:val="none"/>
        </w:rPr>
        <w:t>提出质疑。</w:t>
      </w:r>
    </w:p>
    <w:p>
      <w:pPr>
        <w:pStyle w:val="9"/>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采购人或采购组织机构在收到投标人的书面质疑后7个工作日内作出答复，并以书面形式回复质疑投标人和其他有关投标人，但答复内容不涉及商业秘密。</w:t>
      </w:r>
    </w:p>
    <w:p>
      <w:pPr>
        <w:pStyle w:val="9"/>
        <w:keepNext w:val="0"/>
        <w:keepLines w:val="0"/>
        <w:pageBreakBefore w:val="0"/>
        <w:numPr>
          <w:ilvl w:val="0"/>
          <w:numId w:val="42"/>
        </w:numPr>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keepNext w:val="0"/>
        <w:keepLines w:val="0"/>
        <w:pageBreakBefore w:val="0"/>
        <w:numPr>
          <w:ilvl w:val="0"/>
          <w:numId w:val="41"/>
        </w:numPr>
        <w:kinsoku/>
        <w:wordWrap/>
        <w:overflowPunct/>
        <w:topLinePunct w:val="0"/>
        <w:bidi w:val="0"/>
        <w:adjustRightInd/>
        <w:snapToGrid/>
        <w:spacing w:line="360" w:lineRule="auto"/>
        <w:ind w:left="0" w:leftChars="0" w:right="0"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rPr>
        <w:t>投诉</w:t>
      </w:r>
    </w:p>
    <w:p>
      <w:pPr>
        <w:pStyle w:val="9"/>
        <w:keepNext w:val="0"/>
        <w:keepLines w:val="0"/>
        <w:pageBreakBefore w:val="0"/>
        <w:kinsoku/>
        <w:wordWrap/>
        <w:overflowPunct/>
        <w:topLinePunct w:val="0"/>
        <w:bidi w:val="0"/>
        <w:adjustRightInd/>
        <w:snapToGrid/>
        <w:spacing w:line="360" w:lineRule="auto"/>
        <w:ind w:left="0" w:leftChars="0" w:right="0" w:firstLine="480" w:firstLineChars="200"/>
        <w:jc w:val="left"/>
        <w:textAlignment w:val="auto"/>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pPr>
        <w:numPr>
          <w:ilvl w:val="0"/>
          <w:numId w:val="17"/>
        </w:numPr>
        <w:spacing w:line="360" w:lineRule="auto"/>
        <w:jc w:val="center"/>
        <w:outlineLvl w:val="0"/>
        <w:rPr>
          <w:rFonts w:asciiTheme="minorEastAsia" w:hAnsiTheme="minorEastAsia" w:eastAsiaTheme="minorEastAsia"/>
          <w:b/>
          <w:color w:val="auto"/>
          <w:sz w:val="36"/>
          <w:szCs w:val="36"/>
          <w:highlight w:val="none"/>
        </w:rPr>
      </w:pPr>
      <w:bookmarkStart w:id="33" w:name="_Toc27108"/>
      <w:r>
        <w:rPr>
          <w:rFonts w:hint="eastAsia" w:asciiTheme="minorEastAsia" w:hAnsiTheme="minorEastAsia" w:eastAsiaTheme="minorEastAsia"/>
          <w:b/>
          <w:color w:val="auto"/>
          <w:sz w:val="36"/>
          <w:szCs w:val="36"/>
          <w:highlight w:val="none"/>
        </w:rPr>
        <w:t>招标需求</w:t>
      </w:r>
      <w:bookmarkEnd w:id="33"/>
    </w:p>
    <w:p>
      <w:pPr>
        <w:numPr>
          <w:ilvl w:val="0"/>
          <w:numId w:val="44"/>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color w:val="auto"/>
          <w:sz w:val="24"/>
          <w:szCs w:val="24"/>
          <w:highlight w:val="none"/>
        </w:rPr>
      </w:pPr>
      <w:bookmarkStart w:id="34" w:name="_Toc23116"/>
      <w:r>
        <w:rPr>
          <w:rFonts w:hint="eastAsia" w:ascii="宋体" w:hAnsi="宋体" w:eastAsia="宋体" w:cs="宋体"/>
          <w:b/>
          <w:color w:val="auto"/>
          <w:sz w:val="24"/>
          <w:szCs w:val="24"/>
          <w:highlight w:val="none"/>
        </w:rPr>
        <w:t>招标项目一览表</w:t>
      </w:r>
      <w:bookmarkEnd w:id="34"/>
    </w:p>
    <w:p>
      <w:pPr>
        <w:tabs>
          <w:tab w:val="left" w:pos="8280"/>
        </w:tabs>
        <w:autoSpaceDE w:val="0"/>
        <w:autoSpaceDN w:val="0"/>
        <w:adjustRightInd w:val="0"/>
        <w:spacing w:line="360" w:lineRule="auto"/>
        <w:ind w:right="25"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个标段，具体内容如下表：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362"/>
        <w:gridCol w:w="1791"/>
        <w:gridCol w:w="165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10"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标段号</w:t>
            </w:r>
          </w:p>
        </w:tc>
        <w:tc>
          <w:tcPr>
            <w:tcW w:w="2362" w:type="dxa"/>
            <w:vAlign w:val="center"/>
          </w:tcPr>
          <w:p>
            <w:pP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791"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1653"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500" w:type="dxa"/>
            <w:vAlign w:val="center"/>
          </w:tcPr>
          <w:p>
            <w:pPr>
              <w:tabs>
                <w:tab w:val="left" w:pos="8280"/>
              </w:tabs>
              <w:autoSpaceDE w:val="0"/>
              <w:autoSpaceDN w:val="0"/>
              <w:adjustRightInd w:val="0"/>
              <w:spacing w:line="360" w:lineRule="auto"/>
              <w:ind w:right="25"/>
              <w:jc w:val="center"/>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36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台州市云湖小学午休躺睡桌椅采购项目</w:t>
            </w:r>
          </w:p>
        </w:tc>
        <w:tc>
          <w:tcPr>
            <w:tcW w:w="179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详见“技术需求”</w:t>
            </w:r>
          </w:p>
        </w:tc>
        <w:tc>
          <w:tcPr>
            <w:tcW w:w="165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课桌650张，</w:t>
            </w:r>
          </w:p>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午休躺椅730张</w:t>
            </w:r>
          </w:p>
        </w:tc>
        <w:tc>
          <w:tcPr>
            <w:tcW w:w="1500" w:type="dxa"/>
            <w:vAlign w:val="center"/>
          </w:tcPr>
          <w:p>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42万</w:t>
            </w:r>
          </w:p>
        </w:tc>
      </w:tr>
    </w:tbl>
    <w:p>
      <w:pPr>
        <w:numPr>
          <w:ilvl w:val="0"/>
          <w:numId w:val="0"/>
        </w:numPr>
        <w:tabs>
          <w:tab w:val="left" w:pos="8280"/>
        </w:tabs>
        <w:autoSpaceDE w:val="0"/>
        <w:autoSpaceDN w:val="0"/>
        <w:adjustRightInd w:val="0"/>
        <w:spacing w:line="360" w:lineRule="auto"/>
        <w:ind w:left="420" w:leftChars="0" w:right="25" w:rightChars="0"/>
        <w:outlineLvl w:val="1"/>
        <w:rPr>
          <w:rFonts w:hint="default" w:ascii="宋体" w:hAnsi="宋体" w:eastAsia="宋体" w:cs="宋体"/>
          <w:b/>
          <w:color w:val="auto"/>
          <w:sz w:val="24"/>
          <w:szCs w:val="24"/>
          <w:highlight w:val="none"/>
          <w:lang w:val="en-US" w:eastAsia="zh-CN"/>
        </w:rPr>
      </w:pPr>
      <w:bookmarkStart w:id="35" w:name="_Toc19090"/>
      <w:bookmarkStart w:id="36" w:name="_Toc25444"/>
      <w:r>
        <w:rPr>
          <w:rFonts w:hint="eastAsia" w:ascii="宋体" w:hAnsi="宋体" w:cs="宋体"/>
          <w:b/>
          <w:color w:val="auto"/>
          <w:sz w:val="24"/>
          <w:szCs w:val="24"/>
          <w:highlight w:val="none"/>
          <w:lang w:val="en-US" w:eastAsia="zh-CN"/>
        </w:rPr>
        <w:t>注：本次采购产品的颜色在签订合同时由采购人确定，数量按实结算，结算单价不变。</w:t>
      </w:r>
    </w:p>
    <w:p>
      <w:pPr>
        <w:numPr>
          <w:ilvl w:val="0"/>
          <w:numId w:val="44"/>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color w:val="auto"/>
          <w:sz w:val="24"/>
          <w:szCs w:val="24"/>
          <w:highlight w:val="none"/>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numPr>
          <w:ilvl w:val="0"/>
          <w:numId w:val="44"/>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技术需求</w:t>
      </w:r>
      <w:bookmarkEnd w:id="35"/>
      <w:bookmarkEnd w:id="36"/>
    </w:p>
    <w:p>
      <w:pPr>
        <w:numPr>
          <w:ilvl w:val="0"/>
          <w:numId w:val="45"/>
        </w:numPr>
        <w:spacing w:line="360" w:lineRule="auto"/>
        <w:ind w:left="0" w:leftChars="0" w:firstLine="420" w:firstLineChars="0"/>
        <w:rPr>
          <w:rFonts w:hint="default"/>
          <w:b/>
          <w:bCs/>
          <w:color w:val="auto"/>
          <w:highlight w:val="none"/>
          <w:lang w:val="en-US" w:eastAsia="zh-CN"/>
        </w:rPr>
      </w:pPr>
      <w:r>
        <w:rPr>
          <w:rFonts w:hint="eastAsia"/>
          <w:b/>
          <w:bCs/>
          <w:color w:val="auto"/>
          <w:highlight w:val="none"/>
          <w:lang w:val="en-US" w:eastAsia="zh-CN"/>
        </w:rPr>
        <w:t>课桌</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651"/>
        <w:gridCol w:w="1231"/>
        <w:gridCol w:w="6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Arial" w:hAnsi="Arial" w:eastAsia="宋体" w:cs="Arial"/>
                <w:b/>
                <w:bCs/>
                <w:i w:val="0"/>
                <w:iCs w:val="0"/>
                <w:color w:val="auto"/>
                <w:sz w:val="18"/>
                <w:szCs w:val="18"/>
                <w:highlight w:val="none"/>
                <w:u w:val="none"/>
              </w:rPr>
            </w:pPr>
            <w:r>
              <w:rPr>
                <w:rFonts w:hint="default" w:ascii="Arial" w:hAnsi="Arial" w:eastAsia="宋体" w:cs="Arial"/>
                <w:b/>
                <w:bCs/>
                <w:i w:val="0"/>
                <w:iCs w:val="0"/>
                <w:color w:val="auto"/>
                <w:kern w:val="0"/>
                <w:sz w:val="18"/>
                <w:szCs w:val="18"/>
                <w:highlight w:val="none"/>
                <w:u w:val="none"/>
                <w:lang w:val="en-US" w:eastAsia="zh-CN" w:bidi="ar"/>
              </w:rPr>
              <w:t>序号</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b/>
                <w:bCs/>
                <w:i w:val="0"/>
                <w:iCs w:val="0"/>
                <w:color w:val="auto"/>
                <w:sz w:val="18"/>
                <w:szCs w:val="18"/>
                <w:highlight w:val="none"/>
                <w:u w:val="none"/>
              </w:rPr>
            </w:pPr>
            <w:r>
              <w:rPr>
                <w:rFonts w:hint="default" w:ascii="Arial" w:hAnsi="Arial" w:eastAsia="宋体" w:cs="Arial"/>
                <w:b/>
                <w:bCs/>
                <w:i w:val="0"/>
                <w:iCs w:val="0"/>
                <w:color w:val="auto"/>
                <w:kern w:val="0"/>
                <w:sz w:val="18"/>
                <w:szCs w:val="18"/>
                <w:highlight w:val="none"/>
                <w:u w:val="none"/>
                <w:lang w:val="en-US" w:eastAsia="zh-CN" w:bidi="ar"/>
              </w:rPr>
              <w:t>产品名称</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b/>
                <w:bCs/>
                <w:i w:val="0"/>
                <w:iCs w:val="0"/>
                <w:color w:val="auto"/>
                <w:sz w:val="18"/>
                <w:szCs w:val="18"/>
                <w:highlight w:val="none"/>
                <w:u w:val="none"/>
              </w:rPr>
            </w:pPr>
            <w:r>
              <w:rPr>
                <w:rFonts w:hint="default" w:ascii="Arial" w:hAnsi="Arial" w:eastAsia="宋体" w:cs="Arial"/>
                <w:b/>
                <w:bCs/>
                <w:i w:val="0"/>
                <w:iCs w:val="0"/>
                <w:color w:val="auto"/>
                <w:kern w:val="0"/>
                <w:sz w:val="18"/>
                <w:szCs w:val="18"/>
                <w:highlight w:val="none"/>
                <w:u w:val="none"/>
                <w:lang w:val="en-US" w:eastAsia="zh-CN" w:bidi="ar"/>
              </w:rPr>
              <w:t>规格描述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98"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 xml:space="preserve">1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规格尺寸</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桌面长宽：≥600mm×400mm</w:t>
            </w:r>
            <w:r>
              <w:rPr>
                <w:rFonts w:hint="eastAsia"/>
                <w:color w:val="auto"/>
                <w:highlight w:val="none"/>
                <w:lang w:val="en-US" w:eastAsia="zh-CN"/>
              </w:rPr>
              <w:t>。</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桌面距地面可调节高度</w:t>
            </w:r>
            <w:r>
              <w:rPr>
                <w:rFonts w:hint="eastAsia"/>
                <w:color w:val="auto"/>
                <w:highlight w:val="none"/>
                <w:lang w:eastAsia="zh-CN"/>
              </w:rPr>
              <w:t>：</w:t>
            </w:r>
            <w:r>
              <w:rPr>
                <w:color w:val="auto"/>
                <w:highlight w:val="none"/>
              </w:rPr>
              <w:t>包含610mm-730mm</w:t>
            </w:r>
            <w:r>
              <w:rPr>
                <w:rFonts w:hint="eastAsia"/>
                <w:color w:val="auto"/>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桌面</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桌面平整度</w:t>
            </w:r>
            <w:r>
              <w:rPr>
                <w:rFonts w:hint="eastAsia"/>
                <w:color w:val="auto"/>
                <w:highlight w:val="none"/>
                <w:lang w:eastAsia="zh-CN"/>
              </w:rPr>
              <w:t>：</w:t>
            </w:r>
            <w:r>
              <w:rPr>
                <w:color w:val="auto"/>
                <w:highlight w:val="none"/>
              </w:rPr>
              <w:t>≤0.30mm（不包含特殊斜边设计工艺部分）</w:t>
            </w:r>
            <w:r>
              <w:rPr>
                <w:rFonts w:hint="eastAsia"/>
                <w:color w:val="auto"/>
                <w:highlight w:val="none"/>
                <w:lang w:eastAsia="zh-CN"/>
              </w:rPr>
              <w:t>。</w:t>
            </w:r>
          </w:p>
          <w:p>
            <w:pPr>
              <w:numPr>
                <w:ilvl w:val="0"/>
                <w:numId w:val="46"/>
              </w:numPr>
              <w:bidi w:val="0"/>
              <w:ind w:left="425" w:leftChars="0" w:hanging="425" w:firstLineChars="0"/>
              <w:rPr>
                <w:color w:val="auto"/>
                <w:highlight w:val="none"/>
              </w:rPr>
            </w:pPr>
            <w:r>
              <w:rPr>
                <w:color w:val="auto"/>
                <w:highlight w:val="none"/>
              </w:rPr>
              <w:t>材质：材质采用环保全新ABS塑料的，桌面板成型厚度≥20mm，注塑厚度≥3mm，桌面板有加强钢设计。</w:t>
            </w:r>
          </w:p>
          <w:p>
            <w:pPr>
              <w:numPr>
                <w:ilvl w:val="0"/>
                <w:numId w:val="46"/>
              </w:numPr>
              <w:bidi w:val="0"/>
              <w:ind w:left="425" w:leftChars="0" w:hanging="425" w:firstLineChars="0"/>
              <w:rPr>
                <w:color w:val="auto"/>
                <w:highlight w:val="none"/>
              </w:rPr>
            </w:pPr>
            <w:r>
              <w:rPr>
                <w:color w:val="auto"/>
                <w:highlight w:val="none"/>
              </w:rPr>
              <w:t>样式：桌面板设计应有使用安全性，防棱角磕碰撞伤</w:t>
            </w:r>
            <w:r>
              <w:rPr>
                <w:rFonts w:hint="eastAsia"/>
                <w:color w:val="auto"/>
                <w:highlight w:val="none"/>
                <w:lang w:eastAsia="zh-CN"/>
              </w:rPr>
              <w:t>。</w:t>
            </w:r>
          </w:p>
          <w:p>
            <w:pPr>
              <w:numPr>
                <w:ilvl w:val="0"/>
                <w:numId w:val="46"/>
              </w:numPr>
              <w:bidi w:val="0"/>
              <w:ind w:left="425" w:leftChars="0" w:hanging="425" w:firstLineChars="0"/>
              <w:rPr>
                <w:color w:val="auto"/>
                <w:highlight w:val="none"/>
              </w:rPr>
            </w:pPr>
            <w:r>
              <w:rPr>
                <w:color w:val="auto"/>
                <w:highlight w:val="none"/>
              </w:rPr>
              <w:t>桌面柔和防聚光，表面应无裂纹、褶皱、污渍、不得有反光现象且无明显色差。</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桌面材料抗菌、抗污、抗褪色。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桌斗</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材料：采用环保ABS或PP耐冲击全新塑料，一次性一体注塑而成，不得采用回收料生产。</w:t>
            </w:r>
          </w:p>
          <w:p>
            <w:pPr>
              <w:numPr>
                <w:ilvl w:val="0"/>
                <w:numId w:val="46"/>
              </w:numPr>
              <w:bidi w:val="0"/>
              <w:ind w:left="425" w:leftChars="0" w:hanging="425" w:firstLineChars="0"/>
              <w:rPr>
                <w:color w:val="auto"/>
                <w:highlight w:val="none"/>
              </w:rPr>
            </w:pPr>
            <w:r>
              <w:rPr>
                <w:color w:val="auto"/>
                <w:highlight w:val="none"/>
              </w:rPr>
              <w:t>规格：（宽*深*高≥W450mm*D300mm*H100mm）</w:t>
            </w:r>
            <w:r>
              <w:rPr>
                <w:rFonts w:hint="eastAsia"/>
                <w:color w:val="auto"/>
                <w:highlight w:val="none"/>
                <w:lang w:eastAsia="zh-CN"/>
              </w:rPr>
              <w:t>。</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样式及其他要求：桌斗外围不得有毛边，有倒圆角制造工艺成圆弧面不刮手设计。表面应无裂纹、褶皱、污渍、不得有反光现象且无明显色差。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6"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书包挂钩</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课桌两侧有书包挂钩设计，与桌腿稳定连接，安装牢固，在静止状态下可以承载20KG的挂物承重，以便学生挂书包、茶具、雨具等，安全美观。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桌支架（含立柱/桌腿/桌脚/横管/托架等）</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桌腿和桌脚采用高强度结构钢管并使用手摇式升降或其他升降方式。</w:t>
            </w:r>
          </w:p>
          <w:p>
            <w:pPr>
              <w:numPr>
                <w:ilvl w:val="0"/>
                <w:numId w:val="46"/>
              </w:numPr>
              <w:bidi w:val="0"/>
              <w:ind w:left="425" w:leftChars="0" w:hanging="425" w:firstLineChars="0"/>
              <w:rPr>
                <w:color w:val="auto"/>
                <w:highlight w:val="none"/>
              </w:rPr>
            </w:pPr>
            <w:r>
              <w:rPr>
                <w:color w:val="auto"/>
                <w:highlight w:val="none"/>
              </w:rPr>
              <w:t>焊接部位要求：焊接部位需牢固，无脱焊、虚焊、假焊、焊穿。焊缝均匀无毛刺、裂纹等缺陷。</w:t>
            </w:r>
          </w:p>
          <w:p>
            <w:pPr>
              <w:numPr>
                <w:ilvl w:val="0"/>
                <w:numId w:val="46"/>
              </w:numPr>
              <w:bidi w:val="0"/>
              <w:ind w:left="425" w:leftChars="0" w:hanging="425" w:firstLineChars="0"/>
              <w:rPr>
                <w:color w:val="auto"/>
                <w:highlight w:val="none"/>
              </w:rPr>
            </w:pPr>
            <w:r>
              <w:rPr>
                <w:color w:val="auto"/>
                <w:highlight w:val="none"/>
              </w:rPr>
              <w:t>桌腿内钢管上印有升降高度的永久性刻度线和数字，要求标示或数字清晰醒目不易褪色。</w:t>
            </w:r>
          </w:p>
          <w:p>
            <w:pPr>
              <w:numPr>
                <w:ilvl w:val="0"/>
                <w:numId w:val="46"/>
              </w:numPr>
              <w:bidi w:val="0"/>
              <w:ind w:left="425" w:leftChars="0" w:hanging="425" w:firstLineChars="0"/>
              <w:rPr>
                <w:color w:val="auto"/>
                <w:highlight w:val="none"/>
              </w:rPr>
            </w:pPr>
            <w:r>
              <w:rPr>
                <w:color w:val="auto"/>
                <w:highlight w:val="none"/>
              </w:rPr>
              <w:t>钢管规格根据实际使用需求，确保承重符合学生使用实际要求。</w:t>
            </w:r>
          </w:p>
          <w:p>
            <w:pPr>
              <w:numPr>
                <w:ilvl w:val="0"/>
                <w:numId w:val="46"/>
              </w:numPr>
              <w:bidi w:val="0"/>
              <w:ind w:left="425" w:leftChars="0" w:hanging="425" w:firstLineChars="0"/>
              <w:rPr>
                <w:color w:val="auto"/>
                <w:highlight w:val="none"/>
              </w:rPr>
            </w:pPr>
            <w:r>
              <w:rPr>
                <w:color w:val="auto"/>
                <w:highlight w:val="none"/>
              </w:rPr>
              <w:t>桌斗下方两侧桌腿与桌脚设有横档，设计应从增加桌斗下方空间考虑。</w:t>
            </w:r>
          </w:p>
          <w:p>
            <w:pPr>
              <w:numPr>
                <w:ilvl w:val="0"/>
                <w:numId w:val="46"/>
              </w:numPr>
              <w:bidi w:val="0"/>
              <w:ind w:left="425" w:leftChars="0" w:hanging="425" w:firstLineChars="0"/>
              <w:rPr>
                <w:color w:val="auto"/>
                <w:highlight w:val="none"/>
              </w:rPr>
            </w:pPr>
            <w:r>
              <w:rPr>
                <w:color w:val="auto"/>
                <w:highlight w:val="none"/>
              </w:rPr>
              <w:t>桌脚四端配置高强度增强橡胶或塑料一体注塑成型脚套，并</w:t>
            </w:r>
            <w:r>
              <w:rPr>
                <w:rFonts w:hint="eastAsia"/>
                <w:color w:val="auto"/>
                <w:highlight w:val="none"/>
                <w:lang w:eastAsia="zh-CN"/>
              </w:rPr>
              <w:t>拥有</w:t>
            </w:r>
            <w:r>
              <w:rPr>
                <w:color w:val="auto"/>
                <w:highlight w:val="none"/>
              </w:rPr>
              <w:t>调节平衡功能及防脱落功能，防移动从而避免产生噪音或刮伤地板板面的功能。</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桌立柱钢管支架</w:t>
            </w:r>
            <w:r>
              <w:rPr>
                <w:rFonts w:hint="eastAsia"/>
                <w:color w:val="auto"/>
                <w:highlight w:val="none"/>
                <w:lang w:val="en-US" w:eastAsia="zh-CN"/>
              </w:rPr>
              <w:t>由</w:t>
            </w:r>
            <w:r>
              <w:rPr>
                <w:color w:val="auto"/>
                <w:highlight w:val="none"/>
              </w:rPr>
              <w:t>托架、上腿升降支架、下腿支架、横管等部分组成；边板上使用PP材质的装饰盖加以装饰；地脚管、立柱管、升降管，横档管等钢管的管壁厚度≥1.2mm。桌子可按要求在调节范围内</w:t>
            </w:r>
            <w:r>
              <w:rPr>
                <w:rFonts w:hint="eastAsia"/>
                <w:color w:val="auto"/>
                <w:highlight w:val="none"/>
                <w:lang w:eastAsia="zh-CN"/>
              </w:rPr>
              <w:t>无级</w:t>
            </w:r>
            <w:r>
              <w:rPr>
                <w:color w:val="auto"/>
                <w:highlight w:val="none"/>
              </w:rPr>
              <w:t>升降调节高度。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升降调节性</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0"/>
              </w:numPr>
              <w:bidi w:val="0"/>
              <w:ind w:leftChars="0"/>
              <w:rPr>
                <w:color w:val="auto"/>
                <w:highlight w:val="none"/>
              </w:rPr>
            </w:pPr>
            <w:r>
              <w:rPr>
                <w:color w:val="auto"/>
                <w:highlight w:val="none"/>
              </w:rPr>
              <w:t>升降调节装置采用手摇高低升降调节器或其他安全可靠升降方式完成：</w:t>
            </w:r>
          </w:p>
          <w:p>
            <w:pPr>
              <w:numPr>
                <w:ilvl w:val="0"/>
                <w:numId w:val="46"/>
              </w:numPr>
              <w:bidi w:val="0"/>
              <w:ind w:left="425" w:leftChars="0" w:hanging="425" w:firstLineChars="0"/>
              <w:rPr>
                <w:color w:val="auto"/>
                <w:highlight w:val="none"/>
              </w:rPr>
            </w:pPr>
            <w:r>
              <w:rPr>
                <w:color w:val="auto"/>
                <w:highlight w:val="none"/>
              </w:rPr>
              <w:t>采用手摇高低升降调节器，升降调节器传动齿轮采用优质铁合金材料或更优材质压铸，手摇上下升降时确保齿轮不跳牙或崩牙，暗藏调节保护装置，高度调整完毕，螺杆限位固定，手摇升降调节孔应有覆盖或保护装置。（每10套课桌椅配1套升降调整专业工具）</w:t>
            </w:r>
          </w:p>
          <w:p>
            <w:pPr>
              <w:numPr>
                <w:ilvl w:val="0"/>
                <w:numId w:val="46"/>
              </w:numPr>
              <w:bidi w:val="0"/>
              <w:ind w:left="425" w:leftChars="0" w:hanging="425" w:firstLineChars="0"/>
              <w:rPr>
                <w:color w:val="auto"/>
                <w:highlight w:val="none"/>
              </w:rPr>
            </w:pPr>
            <w:r>
              <w:rPr>
                <w:color w:val="auto"/>
                <w:highlight w:val="none"/>
              </w:rPr>
              <w:t>其他安全可靠的升降方式（采用非手摇升降方式的，请在投标文件中详细描述，并附图说明）。</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手摇式螺杆升降调节或其他快速升降调节方式的，调节锁定后不可产生晃动。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其他要求</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金属表面漆采用热固性粉末涂料，高温固化成型，喷涂层应无漏喷、锈蚀和脱色、掉色现象，涂层应光滑均匀，色泽一致</w:t>
            </w:r>
            <w:r>
              <w:rPr>
                <w:rFonts w:hint="eastAsia"/>
                <w:color w:val="auto"/>
                <w:highlight w:val="none"/>
                <w:lang w:eastAsia="zh-CN"/>
              </w:rPr>
              <w:t>，</w:t>
            </w:r>
            <w:r>
              <w:rPr>
                <w:color w:val="auto"/>
                <w:highlight w:val="none"/>
              </w:rPr>
              <w:t>应无流挂、疙瘩、皱皮、飞漆等缺陷</w:t>
            </w:r>
            <w:r>
              <w:rPr>
                <w:rFonts w:hint="eastAsia"/>
                <w:color w:val="auto"/>
                <w:highlight w:val="none"/>
                <w:lang w:eastAsia="zh-CN"/>
              </w:rPr>
              <w:t>。</w:t>
            </w:r>
          </w:p>
          <w:p>
            <w:pPr>
              <w:numPr>
                <w:ilvl w:val="0"/>
                <w:numId w:val="46"/>
              </w:numPr>
              <w:bidi w:val="0"/>
              <w:ind w:left="425" w:leftChars="0" w:hanging="425" w:firstLineChars="0"/>
              <w:rPr>
                <w:color w:val="auto"/>
                <w:highlight w:val="none"/>
              </w:rPr>
            </w:pPr>
            <w:r>
              <w:rPr>
                <w:color w:val="auto"/>
                <w:highlight w:val="none"/>
              </w:rPr>
              <w:t>所有金属部件</w:t>
            </w:r>
            <w:r>
              <w:rPr>
                <w:rFonts w:hint="eastAsia"/>
                <w:color w:val="auto"/>
                <w:highlight w:val="none"/>
                <w:lang w:eastAsia="zh-CN"/>
              </w:rPr>
              <w:t>均</w:t>
            </w:r>
            <w:r>
              <w:rPr>
                <w:color w:val="auto"/>
                <w:highlight w:val="none"/>
              </w:rPr>
              <w:t>焊接完成钢管架，经抛丸、喷塑、高温粉体烤漆。附着力特强，长时间使用也不会产生表面漆剥落现象。</w:t>
            </w:r>
          </w:p>
          <w:p>
            <w:pPr>
              <w:numPr>
                <w:ilvl w:val="0"/>
                <w:numId w:val="46"/>
              </w:numPr>
              <w:bidi w:val="0"/>
              <w:ind w:left="425" w:leftChars="0" w:hanging="425" w:firstLineChars="0"/>
              <w:rPr>
                <w:color w:val="auto"/>
                <w:highlight w:val="none"/>
              </w:rPr>
            </w:pPr>
            <w:r>
              <w:rPr>
                <w:color w:val="auto"/>
                <w:highlight w:val="none"/>
              </w:rPr>
              <w:t>整体桌子承重：能承受100Kg物体放置桌面，在侧面用力横推时桌子稳定可靠。</w:t>
            </w:r>
          </w:p>
          <w:p>
            <w:pPr>
              <w:numPr>
                <w:ilvl w:val="0"/>
                <w:numId w:val="46"/>
              </w:numPr>
              <w:bidi w:val="0"/>
              <w:ind w:left="425" w:leftChars="0" w:hanging="425" w:firstLineChars="0"/>
              <w:rPr>
                <w:color w:val="auto"/>
                <w:highlight w:val="none"/>
              </w:rPr>
            </w:pPr>
            <w:r>
              <w:rPr>
                <w:color w:val="auto"/>
                <w:highlight w:val="none"/>
              </w:rPr>
              <w:t>课桌设计应考虑课本和学习资料容纳量。</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课桌成品符合QB/T4071-2021《课桌椅》标准中所提及的金属件外观、塑料件外观、主要尺寸、形状与位置公差、表面理化性能要求</w:t>
            </w:r>
            <w:r>
              <w:rPr>
                <w:rFonts w:hint="eastAsia"/>
                <w:color w:val="auto"/>
                <w:highlight w:val="none"/>
                <w:lang w:eastAsia="zh-CN"/>
              </w:rPr>
              <w:t>（</w:t>
            </w:r>
            <w:r>
              <w:rPr>
                <w:color w:val="auto"/>
                <w:highlight w:val="none"/>
              </w:rPr>
              <w:t>金属件喷涂层、塑料理化性能</w:t>
            </w:r>
            <w:r>
              <w:rPr>
                <w:rFonts w:hint="eastAsia"/>
                <w:color w:val="auto"/>
                <w:highlight w:val="none"/>
                <w:lang w:eastAsia="zh-CN"/>
              </w:rPr>
              <w:t>）</w:t>
            </w:r>
            <w:r>
              <w:rPr>
                <w:color w:val="auto"/>
                <w:highlight w:val="none"/>
              </w:rPr>
              <w:t>、安全要求、力学性能、有害物质限量等要求，相应检测内容为合格。提供由具备CMA资质的第三方检测机构出具的检测报告。</w:t>
            </w:r>
          </w:p>
        </w:tc>
      </w:tr>
    </w:tbl>
    <w:p>
      <w:pPr>
        <w:numPr>
          <w:ilvl w:val="0"/>
          <w:numId w:val="45"/>
        </w:numPr>
        <w:spacing w:line="360" w:lineRule="auto"/>
        <w:ind w:left="0" w:leftChars="0" w:firstLine="420" w:firstLineChars="0"/>
        <w:rPr>
          <w:rFonts w:hint="default"/>
          <w:b/>
          <w:bCs/>
          <w:color w:val="auto"/>
          <w:highlight w:val="none"/>
          <w:lang w:val="en-US" w:eastAsia="zh-CN"/>
        </w:rPr>
      </w:pPr>
      <w:r>
        <w:rPr>
          <w:rFonts w:hint="default" w:ascii="宋体" w:hAnsi="宋体" w:eastAsia="宋体" w:cs="宋体"/>
          <w:i w:val="0"/>
          <w:iCs w:val="0"/>
          <w:color w:val="auto"/>
          <w:kern w:val="0"/>
          <w:sz w:val="20"/>
          <w:szCs w:val="20"/>
          <w:highlight w:val="none"/>
          <w:u w:val="none"/>
          <w:lang w:val="en-US" w:eastAsia="zh-CN" w:bidi="ar"/>
        </w:rPr>
        <w:t>午休躺椅</w:t>
      </w:r>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651"/>
        <w:gridCol w:w="1231"/>
        <w:gridCol w:w="6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Arial" w:hAnsi="Arial" w:eastAsia="宋体" w:cs="Arial"/>
                <w:b/>
                <w:bCs/>
                <w:i w:val="0"/>
                <w:iCs w:val="0"/>
                <w:color w:val="auto"/>
                <w:sz w:val="18"/>
                <w:szCs w:val="18"/>
                <w:highlight w:val="none"/>
                <w:u w:val="none"/>
              </w:rPr>
            </w:pPr>
            <w:r>
              <w:rPr>
                <w:rFonts w:hint="default" w:ascii="Arial" w:hAnsi="Arial" w:eastAsia="宋体" w:cs="Arial"/>
                <w:b/>
                <w:bCs/>
                <w:i w:val="0"/>
                <w:iCs w:val="0"/>
                <w:color w:val="auto"/>
                <w:kern w:val="0"/>
                <w:sz w:val="18"/>
                <w:szCs w:val="18"/>
                <w:highlight w:val="none"/>
                <w:u w:val="none"/>
                <w:lang w:val="en-US" w:eastAsia="zh-CN" w:bidi="ar"/>
              </w:rPr>
              <w:t>序号</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b/>
                <w:bCs/>
                <w:i w:val="0"/>
                <w:iCs w:val="0"/>
                <w:color w:val="auto"/>
                <w:sz w:val="18"/>
                <w:szCs w:val="18"/>
                <w:highlight w:val="none"/>
                <w:u w:val="none"/>
              </w:rPr>
            </w:pPr>
            <w:r>
              <w:rPr>
                <w:rFonts w:hint="default" w:ascii="Arial" w:hAnsi="Arial" w:eastAsia="宋体" w:cs="Arial"/>
                <w:b/>
                <w:bCs/>
                <w:i w:val="0"/>
                <w:iCs w:val="0"/>
                <w:color w:val="auto"/>
                <w:kern w:val="0"/>
                <w:sz w:val="18"/>
                <w:szCs w:val="18"/>
                <w:highlight w:val="none"/>
                <w:u w:val="none"/>
                <w:lang w:val="en-US" w:eastAsia="zh-CN" w:bidi="ar"/>
              </w:rPr>
              <w:t>产品名称</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b/>
                <w:bCs/>
                <w:i w:val="0"/>
                <w:iCs w:val="0"/>
                <w:color w:val="auto"/>
                <w:sz w:val="18"/>
                <w:szCs w:val="18"/>
                <w:highlight w:val="none"/>
                <w:u w:val="none"/>
              </w:rPr>
            </w:pPr>
            <w:r>
              <w:rPr>
                <w:rFonts w:hint="default" w:ascii="Arial" w:hAnsi="Arial" w:eastAsia="宋体" w:cs="Arial"/>
                <w:b/>
                <w:bCs/>
                <w:i w:val="0"/>
                <w:iCs w:val="0"/>
                <w:color w:val="auto"/>
                <w:kern w:val="0"/>
                <w:sz w:val="18"/>
                <w:szCs w:val="18"/>
                <w:highlight w:val="none"/>
                <w:u w:val="none"/>
                <w:lang w:val="en-US" w:eastAsia="zh-CN" w:bidi="ar"/>
              </w:rPr>
              <w:t>规格描述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规格尺寸</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座板规格：宽≥400mm，深≥380mm；宽度和深度搭配比例合理。</w:t>
            </w:r>
          </w:p>
          <w:p>
            <w:pPr>
              <w:numPr>
                <w:ilvl w:val="0"/>
                <w:numId w:val="46"/>
              </w:numPr>
              <w:bidi w:val="0"/>
              <w:ind w:left="425" w:leftChars="0" w:hanging="425" w:firstLineChars="0"/>
              <w:rPr>
                <w:color w:val="auto"/>
                <w:highlight w:val="none"/>
              </w:rPr>
            </w:pPr>
            <w:r>
              <w:rPr>
                <w:color w:val="auto"/>
                <w:highlight w:val="none"/>
              </w:rPr>
              <w:t>椅背板规格：高≥350mm，宽≥350mm</w:t>
            </w:r>
            <w:r>
              <w:rPr>
                <w:rFonts w:hint="eastAsia"/>
                <w:color w:val="auto"/>
                <w:highlight w:val="none"/>
                <w:lang w:eastAsia="zh-CN"/>
              </w:rPr>
              <w:t>；</w:t>
            </w:r>
            <w:r>
              <w:rPr>
                <w:color w:val="auto"/>
                <w:highlight w:val="none"/>
              </w:rPr>
              <w:t>有形状或躯体弧度设计的椅背，相应</w:t>
            </w:r>
            <w:r>
              <w:rPr>
                <w:rFonts w:hint="eastAsia"/>
                <w:color w:val="auto"/>
                <w:highlight w:val="none"/>
                <w:lang w:eastAsia="zh-CN"/>
              </w:rPr>
              <w:t>尺寸</w:t>
            </w:r>
            <w:r>
              <w:rPr>
                <w:color w:val="auto"/>
                <w:highlight w:val="none"/>
              </w:rPr>
              <w:t>包含在此范围内即可，上述尺寸不含枕形设计部分</w:t>
            </w:r>
            <w:r>
              <w:rPr>
                <w:rFonts w:hint="eastAsia"/>
                <w:color w:val="auto"/>
                <w:highlight w:val="none"/>
                <w:lang w:eastAsia="zh-CN"/>
              </w:rPr>
              <w:t>。</w:t>
            </w:r>
          </w:p>
          <w:p>
            <w:pPr>
              <w:numPr>
                <w:ilvl w:val="0"/>
                <w:numId w:val="46"/>
              </w:numPr>
              <w:bidi w:val="0"/>
              <w:ind w:left="425" w:leftChars="0" w:hanging="425" w:firstLineChars="0"/>
              <w:rPr>
                <w:color w:val="auto"/>
                <w:highlight w:val="none"/>
              </w:rPr>
            </w:pPr>
            <w:r>
              <w:rPr>
                <w:color w:val="auto"/>
                <w:highlight w:val="none"/>
              </w:rPr>
              <w:t>头枕上缘距背板与座面交线距离≥570mm</w:t>
            </w:r>
            <w:r>
              <w:rPr>
                <w:rFonts w:hint="eastAsia"/>
                <w:color w:val="auto"/>
                <w:highlight w:val="none"/>
                <w:lang w:eastAsia="zh-CN"/>
              </w:rPr>
              <w:t>。</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座椅面高：椅面距离地面距离，包含360mm至400mm的高度调节数值；调节高低区间≥60mm</w:t>
            </w:r>
            <w:r>
              <w:rPr>
                <w:rFonts w:hint="eastAsia"/>
                <w:color w:val="auto"/>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材质</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椅背座板材质：材质采用符合国家标准的PP耐冲击一级新料一体成型或其他符合环保标准的材料，防滑、抗压、耐磨、耐冲击</w:t>
            </w:r>
            <w:r>
              <w:rPr>
                <w:rFonts w:hint="eastAsia"/>
                <w:color w:val="auto"/>
                <w:highlight w:val="none"/>
                <w:lang w:eastAsia="zh-CN"/>
              </w:rPr>
              <w:t>。</w:t>
            </w:r>
          </w:p>
          <w:p>
            <w:pPr>
              <w:numPr>
                <w:ilvl w:val="0"/>
                <w:numId w:val="46"/>
              </w:numPr>
              <w:bidi w:val="0"/>
              <w:ind w:left="425" w:leftChars="0" w:hanging="425" w:firstLineChars="0"/>
              <w:rPr>
                <w:color w:val="auto"/>
                <w:highlight w:val="none"/>
              </w:rPr>
            </w:pPr>
            <w:r>
              <w:rPr>
                <w:color w:val="auto"/>
                <w:highlight w:val="none"/>
              </w:rPr>
              <w:t>椅子支撑架：采用优质冷轧钢管，包含地脚（贴地脚管）、升降内管、升降外管、横档、靠背管、坐垫支撑管等，部分部件</w:t>
            </w:r>
            <w:r>
              <w:rPr>
                <w:rFonts w:hint="eastAsia"/>
                <w:color w:val="auto"/>
                <w:highlight w:val="none"/>
                <w:lang w:val="en-US" w:eastAsia="zh-CN"/>
              </w:rPr>
              <w:t>要求</w:t>
            </w:r>
            <w:r>
              <w:rPr>
                <w:color w:val="auto"/>
                <w:highlight w:val="none"/>
              </w:rPr>
              <w:t>如下：贴地脚管尺寸≥50*30*1.2mm冷轧钢管，其他钢管尺寸根据设计标准有效稳定搭配，其中每个部件的钢管壁厚≥1.2mm</w:t>
            </w:r>
            <w:r>
              <w:rPr>
                <w:rFonts w:hint="eastAsia"/>
                <w:color w:val="auto"/>
                <w:highlight w:val="none"/>
                <w:lang w:eastAsia="zh-CN"/>
              </w:rPr>
              <w:t>。</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焊接部位保证无虚焊、漏焊；焊接完成的钢管架，经抛丸、喷塑、高温粉体烤漆。附着力特强，长时间使用也不会产生表面漆剥落现象。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躺睡设计</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有头枕设计；有扶手设计；有任意形式的腰托设计，增加坐和躺的舒适度</w:t>
            </w:r>
            <w:r>
              <w:rPr>
                <w:rFonts w:hint="eastAsia"/>
                <w:color w:val="auto"/>
                <w:highlight w:val="none"/>
                <w:lang w:eastAsia="zh-CN"/>
              </w:rPr>
              <w:t>。</w:t>
            </w:r>
          </w:p>
          <w:p>
            <w:pPr>
              <w:numPr>
                <w:ilvl w:val="0"/>
                <w:numId w:val="46"/>
              </w:numPr>
              <w:bidi w:val="0"/>
              <w:ind w:left="425" w:leftChars="0" w:hanging="425" w:firstLineChars="0"/>
              <w:rPr>
                <w:color w:val="auto"/>
                <w:highlight w:val="none"/>
              </w:rPr>
            </w:pPr>
            <w:r>
              <w:rPr>
                <w:color w:val="auto"/>
                <w:highlight w:val="none"/>
              </w:rPr>
              <w:t>躺椅靠背具备后躺结构，靠背倾斜角度可达到与座面板成≥135°角；在坐姿与躺姿范围内可任意角度调节。</w:t>
            </w:r>
          </w:p>
          <w:p>
            <w:pPr>
              <w:numPr>
                <w:ilvl w:val="0"/>
                <w:numId w:val="46"/>
              </w:numPr>
              <w:bidi w:val="0"/>
              <w:ind w:left="425" w:leftChars="0" w:hanging="425" w:firstLineChars="0"/>
              <w:rPr>
                <w:color w:val="auto"/>
                <w:highlight w:val="none"/>
              </w:rPr>
            </w:pPr>
            <w:r>
              <w:rPr>
                <w:color w:val="auto"/>
                <w:highlight w:val="none"/>
              </w:rPr>
              <w:t>腿托：托板采用符合国家标准的PP塑料耐冲击一级新料一体成型或其他符合环保标准的材料，耐冲击，耐抗压，耐磨，托板尺寸≥300*180mm，腿托板厚不小于5mm，午睡躺平的时候可从座板下拉伸出来通过翻转即可，承重托起腿部稳定不滑落，上课学习时可收缩放置，收放自如，且带有孔缝设计。</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躺睡背板高度可调节，也可以通过枕头的使用位置变化来增加靠背高度；高度可调节≥60mm，以满足不同身高学生的躺睡需求。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6"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脚套</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采用环保ABS塑料或采用PP塑料一体注塑成型。无松动、断裂、豁裂的情况。</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脚套底部具备调节和防倾倒功能设计。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舒适性</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椅子根据人体工程学原理设计，适应教育教学要求，具备日常上课实用性与午休舒适性。</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靠背设计符合人体坐姿特点，有助于学生形成良好坐姿习惯，进而达到长时间乘坐不压迫，不劳累，设有透气散热孔或缝。坐垫设有透气散热孔或缝，夏季使用久坐不闷。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5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置物篮</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椅子设有可拆装置物篮，置于座板下方，采用全新PP塑料注塑一体成型。有加强牢固度设计，增加使用寿命。设透水槽缝，方便内部清洁。置物篮可存放头枕、午休毯学习用品等物品。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升降调节性</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采用手摇高低升降调节器，在椅立柱架内设有高低调节装置包括设在两升降管内的螺杆、传动轴、摇柄及连接两传动轴的</w:t>
            </w:r>
            <w:r>
              <w:rPr>
                <w:rFonts w:hint="eastAsia"/>
                <w:color w:val="auto"/>
                <w:highlight w:val="none"/>
                <w:lang w:eastAsia="zh-CN"/>
              </w:rPr>
              <w:t>六角形</w:t>
            </w:r>
            <w:r>
              <w:rPr>
                <w:color w:val="auto"/>
                <w:highlight w:val="none"/>
              </w:rPr>
              <w:t>连杆，升降高度可自行调节，可在数秒内调节到最适合的高度，更大满足不同学生身高需求。</w:t>
            </w:r>
          </w:p>
          <w:p>
            <w:pPr>
              <w:numPr>
                <w:ilvl w:val="0"/>
                <w:numId w:val="46"/>
              </w:numPr>
              <w:bidi w:val="0"/>
              <w:ind w:left="425" w:leftChars="0" w:hanging="425" w:firstLineChars="0"/>
              <w:rPr>
                <w:color w:val="auto"/>
                <w:highlight w:val="none"/>
              </w:rPr>
            </w:pPr>
            <w:r>
              <w:rPr>
                <w:color w:val="auto"/>
                <w:highlight w:val="none"/>
              </w:rPr>
              <w:t>在升降管侧面印有永久性升降刻度标记，字迹清晰。</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椅子升降调节工具与桌子的调节工具一致，保证通用性。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Arial" w:hAnsi="Arial" w:eastAsia="宋体" w:cs="Arial"/>
                <w:i w:val="0"/>
                <w:iCs w:val="0"/>
                <w:color w:val="auto"/>
                <w:kern w:val="0"/>
                <w:sz w:val="20"/>
                <w:szCs w:val="20"/>
                <w:highlight w:val="none"/>
                <w:u w:val="none"/>
                <w:lang w:val="en-US" w:eastAsia="zh-CN" w:bidi="ar"/>
              </w:rPr>
            </w:pPr>
            <w:r>
              <w:rPr>
                <w:rFonts w:hint="eastAsia" w:ascii="Arial" w:hAnsi="Arial" w:cs="Arial"/>
                <w:i w:val="0"/>
                <w:iCs w:val="0"/>
                <w:color w:val="auto"/>
                <w:kern w:val="0"/>
                <w:sz w:val="20"/>
                <w:szCs w:val="20"/>
                <w:highlight w:val="none"/>
                <w:u w:val="none"/>
                <w:lang w:val="en-US" w:eastAsia="zh-CN" w:bidi="ar"/>
              </w:rPr>
              <w:t>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bidi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其他要求</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numPr>
                <w:ilvl w:val="0"/>
                <w:numId w:val="46"/>
              </w:numPr>
              <w:bidi w:val="0"/>
              <w:ind w:left="425" w:leftChars="0" w:hanging="425" w:firstLineChars="0"/>
              <w:rPr>
                <w:color w:val="auto"/>
                <w:highlight w:val="none"/>
              </w:rPr>
            </w:pPr>
            <w:r>
              <w:rPr>
                <w:color w:val="auto"/>
                <w:highlight w:val="none"/>
              </w:rPr>
              <w:t>午休课椅符合QB/T4071-2021《课桌椅》标准中所提及的外观、主要尺寸、形状与位置公差、表面理化性能要求、安全要求、力学性能、有害物质限量等要求，相应检测内容为合格。提供由具备CMA资质的第三方检测机构出具的检测报告。</w:t>
            </w:r>
          </w:p>
          <w:p>
            <w:pPr>
              <w:numPr>
                <w:ilvl w:val="0"/>
                <w:numId w:val="46"/>
              </w:numPr>
              <w:bidi w:val="0"/>
              <w:ind w:left="425" w:leftChars="0" w:hanging="425" w:firstLineChars="0"/>
              <w:rPr>
                <w:color w:val="auto"/>
                <w:highlight w:val="none"/>
              </w:rPr>
            </w:pPr>
            <w:r>
              <w:rPr>
                <w:color w:val="auto"/>
                <w:highlight w:val="none"/>
              </w:rPr>
              <w:t>午休课椅符合GB/T10357.8-2015《家具力学性能试验第8部分</w:t>
            </w:r>
            <w:r>
              <w:rPr>
                <w:rFonts w:hint="eastAsia"/>
                <w:color w:val="auto"/>
                <w:highlight w:val="none"/>
                <w:lang w:eastAsia="zh-CN"/>
              </w:rPr>
              <w:t>：</w:t>
            </w:r>
            <w:r>
              <w:rPr>
                <w:color w:val="auto"/>
                <w:highlight w:val="none"/>
              </w:rPr>
              <w:t>充分向后靠时具有倾斜和斜倚机械性能的椅子和摇椅稳定性》、GB/T10357.2-2013《家具力学性能试验第2部分：椅凳类稳定性》标准。其中：带有脚踏板的躺椅稳定性、扶手椅侧向倾翻试验，这两项检测内容均为合格。提供由具备CMA资质的第三方检测机构出具的检测报告。</w:t>
            </w:r>
          </w:p>
          <w:p>
            <w:pPr>
              <w:numPr>
                <w:ilvl w:val="0"/>
                <w:numId w:val="46"/>
              </w:numPr>
              <w:bidi w:val="0"/>
              <w:ind w:left="425" w:leftChars="0" w:hanging="425" w:firstLineChars="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午休课椅符合GB/T10357.3-2013《家具力学性能试验第3部分</w:t>
            </w:r>
            <w:r>
              <w:rPr>
                <w:rFonts w:hint="eastAsia"/>
                <w:color w:val="auto"/>
                <w:highlight w:val="none"/>
                <w:lang w:eastAsia="zh-CN"/>
              </w:rPr>
              <w:t>：</w:t>
            </w:r>
            <w:r>
              <w:rPr>
                <w:color w:val="auto"/>
                <w:highlight w:val="none"/>
              </w:rPr>
              <w:t>椅凳类强度和耐久性》标准。其中：椅凳类强度（椅背、座面的静载荷试验，脚部</w:t>
            </w:r>
            <w:r>
              <w:rPr>
                <w:rFonts w:hint="eastAsia"/>
                <w:color w:val="auto"/>
                <w:highlight w:val="none"/>
                <w:lang w:eastAsia="zh-CN"/>
              </w:rPr>
              <w:t>横挡</w:t>
            </w:r>
            <w:r>
              <w:rPr>
                <w:color w:val="auto"/>
                <w:highlight w:val="none"/>
              </w:rPr>
              <w:t>/脚部支托、腿部支托的静载荷测试</w:t>
            </w:r>
            <w:r>
              <w:rPr>
                <w:rFonts w:hint="eastAsia"/>
                <w:color w:val="auto"/>
                <w:highlight w:val="none"/>
                <w:lang w:eastAsia="zh-CN"/>
              </w:rPr>
              <w:t>）</w:t>
            </w:r>
            <w:r>
              <w:rPr>
                <w:color w:val="auto"/>
                <w:highlight w:val="none"/>
              </w:rPr>
              <w:t>等检测内容为合格。提供由具备CMA资质的第三方检测机构出具的检测报告。</w:t>
            </w:r>
          </w:p>
        </w:tc>
      </w:tr>
    </w:tbl>
    <w:p>
      <w:pPr>
        <w:numPr>
          <w:ilvl w:val="0"/>
          <w:numId w:val="0"/>
        </w:numPr>
        <w:tabs>
          <w:tab w:val="left" w:pos="8280"/>
        </w:tabs>
        <w:autoSpaceDE w:val="0"/>
        <w:autoSpaceDN w:val="0"/>
        <w:adjustRightInd w:val="0"/>
        <w:spacing w:line="360" w:lineRule="auto"/>
        <w:ind w:left="420" w:leftChars="0" w:right="25" w:rightChars="0"/>
        <w:outlineLvl w:val="1"/>
        <w:rPr>
          <w:rFonts w:hint="eastAsia" w:ascii="宋体" w:hAnsi="宋体" w:eastAsia="宋体" w:cs="宋体"/>
          <w:b/>
          <w:color w:val="auto"/>
          <w:sz w:val="24"/>
          <w:szCs w:val="24"/>
          <w:highlight w:val="none"/>
        </w:rPr>
      </w:pPr>
    </w:p>
    <w:p>
      <w:pPr>
        <w:numPr>
          <w:ilvl w:val="0"/>
          <w:numId w:val="44"/>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color w:val="auto"/>
          <w:sz w:val="24"/>
          <w:szCs w:val="24"/>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numPr>
          <w:ilvl w:val="0"/>
          <w:numId w:val="44"/>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其他要求</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采购人有权在中标人完成供货后，进行抽样</w:t>
      </w:r>
      <w:r>
        <w:rPr>
          <w:rFonts w:hint="eastAsia" w:ascii="宋体" w:hAnsi="宋体" w:cs="宋体"/>
          <w:b w:val="0"/>
          <w:bCs/>
          <w:color w:val="auto"/>
          <w:sz w:val="24"/>
          <w:szCs w:val="24"/>
          <w:highlight w:val="none"/>
          <w:lang w:val="en-US" w:eastAsia="zh-CN"/>
        </w:rPr>
        <w:t>送</w:t>
      </w:r>
      <w:r>
        <w:rPr>
          <w:rFonts w:hint="eastAsia" w:ascii="宋体" w:hAnsi="宋体" w:eastAsia="宋体" w:cs="宋体"/>
          <w:b w:val="0"/>
          <w:bCs/>
          <w:color w:val="auto"/>
          <w:sz w:val="24"/>
          <w:szCs w:val="24"/>
          <w:highlight w:val="none"/>
        </w:rPr>
        <w:t>检，检测费用由中标人支付。如检测后未达到</w:t>
      </w:r>
      <w:r>
        <w:rPr>
          <w:rFonts w:hint="eastAsia" w:ascii="宋体" w:hAnsi="宋体" w:cs="宋体"/>
          <w:b w:val="0"/>
          <w:bCs/>
          <w:color w:val="auto"/>
          <w:sz w:val="24"/>
          <w:szCs w:val="24"/>
          <w:highlight w:val="none"/>
          <w:lang w:val="en-US" w:eastAsia="zh-CN"/>
        </w:rPr>
        <w:t>上述</w:t>
      </w:r>
      <w:r>
        <w:rPr>
          <w:rFonts w:hint="eastAsia" w:ascii="宋体" w:hAnsi="宋体" w:eastAsia="宋体" w:cs="宋体"/>
          <w:b w:val="0"/>
          <w:bCs/>
          <w:color w:val="auto"/>
          <w:sz w:val="24"/>
          <w:szCs w:val="24"/>
          <w:highlight w:val="none"/>
        </w:rPr>
        <w:t>标准要求，采购人有权</w:t>
      </w:r>
      <w:r>
        <w:rPr>
          <w:rFonts w:hint="eastAsia" w:ascii="宋体" w:hAnsi="宋体" w:cs="宋体"/>
          <w:b w:val="0"/>
          <w:bCs/>
          <w:color w:val="auto"/>
          <w:sz w:val="24"/>
          <w:szCs w:val="24"/>
          <w:highlight w:val="none"/>
          <w:lang w:val="en-US" w:eastAsia="zh-CN"/>
        </w:rPr>
        <w:t>单方面</w:t>
      </w:r>
      <w:r>
        <w:rPr>
          <w:rFonts w:hint="eastAsia" w:ascii="宋体" w:hAnsi="宋体" w:eastAsia="宋体" w:cs="宋体"/>
          <w:b w:val="0"/>
          <w:bCs/>
          <w:color w:val="auto"/>
          <w:sz w:val="24"/>
          <w:szCs w:val="24"/>
          <w:highlight w:val="none"/>
        </w:rPr>
        <w:t>终止合同</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并由中标人承担违约责任</w:t>
      </w:r>
      <w:r>
        <w:rPr>
          <w:rFonts w:hint="eastAsia" w:ascii="宋体" w:hAnsi="宋体" w:eastAsia="宋体" w:cs="宋体"/>
          <w:b w:val="0"/>
          <w:bCs/>
          <w:color w:val="auto"/>
          <w:sz w:val="24"/>
          <w:szCs w:val="24"/>
          <w:highlight w:val="none"/>
        </w:rPr>
        <w:t>。</w:t>
      </w:r>
    </w:p>
    <w:p>
      <w:pPr>
        <w:widowControl w:val="0"/>
        <w:numPr>
          <w:ilvl w:val="0"/>
          <w:numId w:val="0"/>
        </w:numPr>
        <w:tabs>
          <w:tab w:val="left" w:pos="8280"/>
        </w:tabs>
        <w:autoSpaceDE w:val="0"/>
        <w:autoSpaceDN w:val="0"/>
        <w:adjustRightInd w:val="0"/>
        <w:spacing w:line="360" w:lineRule="auto"/>
        <w:ind w:right="25" w:rightChars="0"/>
        <w:jc w:val="both"/>
        <w:outlineLvl w:val="1"/>
        <w:rPr>
          <w:rFonts w:hint="eastAsia" w:ascii="宋体" w:hAnsi="宋体" w:eastAsia="宋体" w:cs="宋体"/>
          <w:b/>
          <w:color w:val="auto"/>
          <w:sz w:val="24"/>
          <w:szCs w:val="24"/>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numPr>
          <w:ilvl w:val="0"/>
          <w:numId w:val="44"/>
        </w:numPr>
        <w:ind w:left="0" w:leftChars="0" w:firstLine="420" w:firstLine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商务需求</w:t>
      </w:r>
    </w:p>
    <w:tbl>
      <w:tblPr>
        <w:tblStyle w:val="2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1"/>
        <w:gridCol w:w="71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事项</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▲交货期</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2024年8月22日前</w:t>
            </w:r>
            <w:r>
              <w:rPr>
                <w:rFonts w:hint="eastAsia" w:ascii="宋体" w:hAnsi="宋体" w:eastAsia="宋体" w:cs="宋体"/>
                <w:b/>
                <w:bCs/>
                <w:color w:val="auto"/>
                <w:kern w:val="0"/>
                <w:sz w:val="21"/>
                <w:szCs w:val="21"/>
                <w:highlight w:val="none"/>
                <w:lang w:eastAsia="zh-CN"/>
              </w:rPr>
              <w:t>完成供货</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安装，直至验收合格</w:t>
            </w:r>
            <w:r>
              <w:rPr>
                <w:rFonts w:hint="eastAsia" w:ascii="宋体" w:hAnsi="宋体" w:eastAsia="宋体" w:cs="宋体"/>
                <w:b/>
                <w:bCs/>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▲交货地点</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台州市云湖小学校园内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付款方式</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验收合格后一次性付清。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质保期</w:t>
            </w:r>
          </w:p>
        </w:tc>
        <w:tc>
          <w:tcPr>
            <w:tcW w:w="7057"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三年，自验收合格之日起开始计</w:t>
            </w:r>
          </w:p>
        </w:tc>
      </w:tr>
    </w:tbl>
    <w:p>
      <w:pPr>
        <w:pStyle w:val="2"/>
        <w:numPr>
          <w:ilvl w:val="0"/>
          <w:numId w:val="0"/>
        </w:numPr>
        <w:ind w:left="425" w:leftChars="0"/>
        <w:jc w:val="both"/>
        <w:outlineLvl w:val="9"/>
        <w:rPr>
          <w:color w:val="auto"/>
          <w:highlight w:val="none"/>
        </w:rPr>
      </w:pPr>
    </w:p>
    <w:p>
      <w:pPr>
        <w:snapToGrid w:val="0"/>
        <w:spacing w:line="360" w:lineRule="auto"/>
        <w:ind w:firstLine="354" w:firstLineChars="169"/>
        <w:jc w:val="left"/>
        <w:rPr>
          <w:color w:val="auto"/>
          <w:highlight w:val="none"/>
        </w:rPr>
      </w:pPr>
    </w:p>
    <w:p>
      <w:pPr>
        <w:pStyle w:val="35"/>
        <w:ind w:firstLine="0" w:firstLineChars="0"/>
        <w:rPr>
          <w:color w:val="auto"/>
          <w:highlight w:val="none"/>
        </w:rPr>
      </w:pPr>
    </w:p>
    <w:p>
      <w:pPr>
        <w:pStyle w:val="35"/>
        <w:ind w:firstLine="0" w:firstLineChars="0"/>
        <w:rPr>
          <w:color w:val="auto"/>
          <w:highlight w:val="none"/>
        </w:rPr>
      </w:pPr>
    </w:p>
    <w:p>
      <w:pPr>
        <w:pStyle w:val="35"/>
        <w:ind w:firstLine="0" w:firstLineChars="0"/>
        <w:rPr>
          <w:color w:val="auto"/>
          <w:highlight w:val="none"/>
        </w:rPr>
      </w:pPr>
    </w:p>
    <w:p>
      <w:pPr>
        <w:pStyle w:val="35"/>
        <w:ind w:firstLine="0" w:firstLineChars="0"/>
        <w:rPr>
          <w:color w:val="auto"/>
          <w:highlight w:val="none"/>
        </w:rPr>
      </w:pP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17"/>
        </w:numPr>
        <w:spacing w:line="360" w:lineRule="auto"/>
        <w:jc w:val="center"/>
        <w:outlineLvl w:val="0"/>
        <w:rPr>
          <w:rFonts w:asciiTheme="minorEastAsia" w:hAnsiTheme="minorEastAsia" w:eastAsiaTheme="minorEastAsia"/>
          <w:b/>
          <w:color w:val="auto"/>
          <w:sz w:val="36"/>
          <w:szCs w:val="36"/>
          <w:highlight w:val="none"/>
        </w:rPr>
      </w:pPr>
      <w:bookmarkStart w:id="37" w:name="_Toc27298"/>
      <w:r>
        <w:rPr>
          <w:rFonts w:hint="eastAsia" w:asciiTheme="minorEastAsia" w:hAnsiTheme="minorEastAsia" w:eastAsiaTheme="minorEastAsia"/>
          <w:b/>
          <w:color w:val="auto"/>
          <w:sz w:val="36"/>
          <w:szCs w:val="36"/>
          <w:highlight w:val="none"/>
        </w:rPr>
        <w:t>评标</w:t>
      </w:r>
      <w:bookmarkEnd w:id="37"/>
    </w:p>
    <w:p>
      <w:pPr>
        <w:keepNext w:val="0"/>
        <w:keepLines w:val="0"/>
        <w:pageBreakBefore w:val="0"/>
        <w:numPr>
          <w:ilvl w:val="0"/>
          <w:numId w:val="47"/>
        </w:numPr>
        <w:kinsoku/>
        <w:wordWrap/>
        <w:overflowPunct/>
        <w:topLinePunct w:val="0"/>
        <w:bidi w:val="0"/>
        <w:adjustRightInd/>
        <w:snapToGrid/>
        <w:spacing w:line="360" w:lineRule="auto"/>
        <w:ind w:left="0" w:leftChars="0"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评标原则</w:t>
      </w:r>
    </w:p>
    <w:p>
      <w:pPr>
        <w:keepNext w:val="0"/>
        <w:keepLines w:val="0"/>
        <w:pageBreakBefore w:val="0"/>
        <w:numPr>
          <w:ilvl w:val="0"/>
          <w:numId w:val="48"/>
        </w:numPr>
        <w:kinsoku/>
        <w:wordWrap/>
        <w:overflowPunct/>
        <w:topLinePunct w:val="0"/>
        <w:bidi w:val="0"/>
        <w:adjustRightInd/>
        <w:snapToGrid/>
        <w:spacing w:line="360" w:lineRule="auto"/>
        <w:ind w:left="0" w:lef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评标活动遵循公平、公正、科学和择优的原则，以招标文件和投标文件为评标的基本依据，并按照招标文件规定的评标方法和评标标准进行评标。</w:t>
      </w:r>
    </w:p>
    <w:p>
      <w:pPr>
        <w:keepNext w:val="0"/>
        <w:keepLines w:val="0"/>
        <w:pageBreakBefore w:val="0"/>
        <w:numPr>
          <w:ilvl w:val="0"/>
          <w:numId w:val="48"/>
        </w:numPr>
        <w:kinsoku/>
        <w:wordWrap/>
        <w:overflowPunct/>
        <w:topLinePunct w:val="0"/>
        <w:bidi w:val="0"/>
        <w:adjustRightInd/>
        <w:snapToGrid/>
        <w:spacing w:line="360" w:lineRule="auto"/>
        <w:ind w:left="0" w:lef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任何单位和个人不得干扰、影响评标的正常进行；评标委员会及有关工作人员应不带任何倾向性和启发性，不得向外界透露任何与评标有关的内容，不得私下与投标人接触。</w:t>
      </w:r>
    </w:p>
    <w:p>
      <w:pPr>
        <w:keepNext w:val="0"/>
        <w:keepLines w:val="0"/>
        <w:pageBreakBefore w:val="0"/>
        <w:numPr>
          <w:ilvl w:val="0"/>
          <w:numId w:val="47"/>
        </w:numPr>
        <w:kinsoku/>
        <w:wordWrap/>
        <w:overflowPunct/>
        <w:topLinePunct w:val="0"/>
        <w:bidi w:val="0"/>
        <w:adjustRightInd/>
        <w:snapToGrid/>
        <w:spacing w:line="360" w:lineRule="auto"/>
        <w:ind w:left="0" w:leftChars="0"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评标方法</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pPr>
        <w:pStyle w:val="26"/>
        <w:keepNext w:val="0"/>
        <w:keepLines w:val="0"/>
        <w:pageBreakBefore w:val="0"/>
        <w:numPr>
          <w:ilvl w:val="0"/>
          <w:numId w:val="47"/>
        </w:numPr>
        <w:kinsoku/>
        <w:wordWrap/>
        <w:overflowPunct/>
        <w:topLinePunct w:val="0"/>
        <w:bidi w:val="0"/>
        <w:adjustRightInd/>
        <w:snapToGrid/>
        <w:spacing w:after="0" w:line="360" w:lineRule="auto"/>
        <w:ind w:left="0" w:leftChars="0"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评标委员会</w:t>
      </w:r>
    </w:p>
    <w:p>
      <w:pPr>
        <w:pStyle w:val="5"/>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本项目评标委员会由采购人代表和评审专家组成。</w:t>
      </w:r>
    </w:p>
    <w:p>
      <w:pPr>
        <w:pStyle w:val="5"/>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评标委员会成员与参与投标的供应商有下列情形之一的，应当回避：</w:t>
      </w:r>
    </w:p>
    <w:p>
      <w:pPr>
        <w:pStyle w:val="5"/>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参加采购活动前3年内与供应商存在劳动关系；</w:t>
      </w:r>
    </w:p>
    <w:p>
      <w:pPr>
        <w:pStyle w:val="5"/>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参加采购活动前3年内担任供应商的董事、监事；</w:t>
      </w:r>
    </w:p>
    <w:p>
      <w:pPr>
        <w:pStyle w:val="5"/>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参加采购活动前3年内是供应商的控股股东或者实际控制人；</w:t>
      </w:r>
    </w:p>
    <w:p>
      <w:pPr>
        <w:pStyle w:val="5"/>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与供应商的法定代表人或者负责人有夫妻、直系血亲、三代以内旁系血亲或者近姻亲关系；</w:t>
      </w:r>
    </w:p>
    <w:p>
      <w:pPr>
        <w:pStyle w:val="5"/>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与供应商有其他可能影响政府采购活动公平、公正进行的关系；</w:t>
      </w:r>
    </w:p>
    <w:p>
      <w:pPr>
        <w:pStyle w:val="5"/>
        <w:keepNext w:val="0"/>
        <w:keepLines w:val="0"/>
        <w:pageBreakBefore w:val="0"/>
        <w:numPr>
          <w:ilvl w:val="0"/>
          <w:numId w:val="50"/>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法律法规规定的其他情形。</w:t>
      </w:r>
    </w:p>
    <w:p>
      <w:pPr>
        <w:pStyle w:val="5"/>
        <w:keepNext w:val="0"/>
        <w:keepLines w:val="0"/>
        <w:pageBreakBefore w:val="0"/>
        <w:numPr>
          <w:ilvl w:val="0"/>
          <w:numId w:val="49"/>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评标委员会负责具体评标事务，并独立履行下列职责：</w:t>
      </w:r>
    </w:p>
    <w:p>
      <w:pPr>
        <w:pStyle w:val="5"/>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审查、评价投标文件是否符合招标文件的商务、技术等实质性要求；</w:t>
      </w:r>
    </w:p>
    <w:p>
      <w:pPr>
        <w:pStyle w:val="5"/>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要求投标人对投标文件有关事项作出澄清或者说明；</w:t>
      </w:r>
    </w:p>
    <w:p>
      <w:pPr>
        <w:pStyle w:val="5"/>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对投标文件进行比较和评价；</w:t>
      </w:r>
    </w:p>
    <w:p>
      <w:pPr>
        <w:pStyle w:val="5"/>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确定中标候选人名单，以及根据采购人委托直接确定中标人；</w:t>
      </w:r>
    </w:p>
    <w:p>
      <w:pPr>
        <w:pStyle w:val="5"/>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向采购人、采购组织机构或者有关部门报告评标中发现的违法行为；</w:t>
      </w:r>
    </w:p>
    <w:p>
      <w:pPr>
        <w:pStyle w:val="5"/>
        <w:keepNext w:val="0"/>
        <w:keepLines w:val="0"/>
        <w:pageBreakBefore w:val="0"/>
        <w:numPr>
          <w:ilvl w:val="0"/>
          <w:numId w:val="51"/>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法律法规规定的其他职责。</w:t>
      </w:r>
    </w:p>
    <w:p>
      <w:pPr>
        <w:pStyle w:val="23"/>
        <w:keepNext w:val="0"/>
        <w:keepLines w:val="0"/>
        <w:pageBreakBefore w:val="0"/>
        <w:numPr>
          <w:ilvl w:val="0"/>
          <w:numId w:val="47"/>
        </w:numPr>
        <w:kinsoku/>
        <w:wordWrap/>
        <w:overflowPunct/>
        <w:topLinePunct w:val="0"/>
        <w:bidi w:val="0"/>
        <w:adjustRightInd/>
        <w:snapToGrid/>
        <w:spacing w:before="0" w:beforeAutospacing="0" w:after="0" w:afterAutospacing="0" w:line="360" w:lineRule="auto"/>
        <w:ind w:left="0" w:leftChars="0" w:firstLine="482" w:firstLineChars="200"/>
        <w:jc w:val="left"/>
        <w:textAlignment w:val="auto"/>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无效标情形</w:t>
      </w:r>
    </w:p>
    <w:p>
      <w:pPr>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在资格标或技术标中出现投标报价的，或者</w:t>
      </w:r>
      <w:r>
        <w:rPr>
          <w:rFonts w:hint="eastAsia" w:asciiTheme="minorEastAsia" w:hAnsiTheme="minorEastAsia" w:eastAsiaTheme="minorEastAsia"/>
          <w:color w:val="auto"/>
          <w:kern w:val="0"/>
          <w:sz w:val="24"/>
          <w:highlight w:val="none"/>
          <w:lang w:val="en-US" w:eastAsia="zh-CN"/>
        </w:rPr>
        <w:t>商务标</w:t>
      </w:r>
      <w:r>
        <w:rPr>
          <w:rFonts w:hint="eastAsia" w:asciiTheme="minorEastAsia" w:hAnsiTheme="minorEastAsia" w:eastAsiaTheme="minorEastAsia"/>
          <w:color w:val="auto"/>
          <w:kern w:val="0"/>
          <w:sz w:val="24"/>
          <w:highlight w:val="none"/>
        </w:rPr>
        <w:t>中报价的货物跟</w:t>
      </w:r>
      <w:r>
        <w:rPr>
          <w:rFonts w:hint="eastAsia" w:asciiTheme="minorEastAsia" w:hAnsiTheme="minorEastAsia" w:eastAsiaTheme="minorEastAsia"/>
          <w:color w:val="auto"/>
          <w:kern w:val="0"/>
          <w:sz w:val="24"/>
          <w:highlight w:val="none"/>
          <w:lang w:val="en-US" w:eastAsia="zh-CN"/>
        </w:rPr>
        <w:t>技术标</w:t>
      </w:r>
      <w:r>
        <w:rPr>
          <w:rFonts w:hint="eastAsia" w:asciiTheme="minorEastAsia" w:hAnsiTheme="minorEastAsia" w:eastAsiaTheme="minorEastAsia"/>
          <w:color w:val="auto"/>
          <w:kern w:val="0"/>
          <w:sz w:val="24"/>
          <w:highlight w:val="none"/>
        </w:rPr>
        <w:t>中的投标货物出现重大偏差的；</w:t>
      </w:r>
    </w:p>
    <w:p>
      <w:pPr>
        <w:pStyle w:val="23"/>
        <w:keepNext w:val="0"/>
        <w:keepLines w:val="0"/>
        <w:pageBreakBefore w:val="0"/>
        <w:numPr>
          <w:ilvl w:val="0"/>
          <w:numId w:val="52"/>
        </w:numPr>
        <w:tabs>
          <w:tab w:val="left" w:pos="7380"/>
        </w:tabs>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不具备招标文件中规定的资格要求的；</w:t>
      </w:r>
      <w:r>
        <w:rPr>
          <w:rFonts w:hint="default" w:asciiTheme="minorEastAsia" w:hAnsiTheme="minorEastAsia" w:eastAsiaTheme="minorEastAsia"/>
          <w:color w:val="auto"/>
          <w:highlight w:val="none"/>
        </w:rPr>
        <w:tab/>
      </w:r>
    </w:p>
    <w:p>
      <w:pPr>
        <w:pStyle w:val="23"/>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投标文件含有采购人不能接受的附加条件的；</w:t>
      </w:r>
    </w:p>
    <w:p>
      <w:pPr>
        <w:pStyle w:val="9"/>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3"/>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报价超过招标文件中规定的预算金额或未填写投标报价的；</w:t>
      </w:r>
    </w:p>
    <w:p>
      <w:pPr>
        <w:keepNext w:val="0"/>
        <w:keepLines w:val="0"/>
        <w:pageBreakBefore w:val="0"/>
        <w:numPr>
          <w:ilvl w:val="0"/>
          <w:numId w:val="52"/>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投标文件存在虚假材料的；</w:t>
      </w:r>
    </w:p>
    <w:p>
      <w:pPr>
        <w:keepNext w:val="0"/>
        <w:keepLines w:val="0"/>
        <w:pageBreakBefore w:val="0"/>
        <w:numPr>
          <w:ilvl w:val="0"/>
          <w:numId w:val="52"/>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keepNext w:val="0"/>
        <w:keepLines w:val="0"/>
        <w:pageBreakBefore w:val="0"/>
        <w:numPr>
          <w:ilvl w:val="0"/>
          <w:numId w:val="53"/>
        </w:numPr>
        <w:tabs>
          <w:tab w:val="left" w:pos="1898"/>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不同投标人的投标文件由同一单位或者个人编制；</w:t>
      </w:r>
    </w:p>
    <w:p>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不同投标人委托同一单位或者个人办理投标事宜；</w:t>
      </w:r>
    </w:p>
    <w:p>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不同投标人的投标文件载明的项目管理成员或者联系人员为同一人；</w:t>
      </w:r>
    </w:p>
    <w:p>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不同投标人的投标文件异常一致或者投标报价呈规律性差异；</w:t>
      </w:r>
    </w:p>
    <w:p>
      <w:pPr>
        <w:pStyle w:val="23"/>
        <w:keepNext w:val="0"/>
        <w:keepLines w:val="0"/>
        <w:pageBreakBefore w:val="0"/>
        <w:numPr>
          <w:ilvl w:val="0"/>
          <w:numId w:val="53"/>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不同投标人的投标文件相互混装。</w:t>
      </w:r>
    </w:p>
    <w:p>
      <w:pPr>
        <w:pStyle w:val="23"/>
        <w:keepNext w:val="0"/>
        <w:keepLines w:val="0"/>
        <w:pageBreakBefore w:val="0"/>
        <w:numPr>
          <w:ilvl w:val="0"/>
          <w:numId w:val="52"/>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asciiTheme="minorEastAsia" w:hAnsiTheme="minorEastAsia"/>
          <w:color w:val="auto"/>
          <w:highlight w:val="none"/>
        </w:rPr>
      </w:pPr>
      <w:r>
        <w:rPr>
          <w:rFonts w:cs="宋体"/>
          <w:color w:val="auto"/>
          <w:highlight w:val="none"/>
        </w:rPr>
        <w:t>实质性要求（招标文件中打“▲”内容）不响应的；</w:t>
      </w:r>
    </w:p>
    <w:p>
      <w:pPr>
        <w:pStyle w:val="5"/>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投标文件有效期不足的；</w:t>
      </w:r>
    </w:p>
    <w:p>
      <w:pPr>
        <w:pStyle w:val="5"/>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逾期或未按要求提交投标文件的；</w:t>
      </w:r>
    </w:p>
    <w:p>
      <w:pPr>
        <w:pStyle w:val="5"/>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两家或两家以上投标</w:t>
      </w:r>
      <w:r>
        <w:rPr>
          <w:rFonts w:hint="eastAsia" w:asciiTheme="minorEastAsia" w:hAnsiTheme="minorEastAsia" w:eastAsiaTheme="minorEastAsia"/>
          <w:color w:val="auto"/>
          <w:kern w:val="0"/>
          <w:sz w:val="24"/>
          <w:szCs w:val="24"/>
          <w:highlight w:val="none"/>
          <w:lang w:val="en-US" w:eastAsia="zh-CN"/>
        </w:rPr>
        <w:t>人</w:t>
      </w:r>
      <w:r>
        <w:rPr>
          <w:rFonts w:hint="eastAsia" w:asciiTheme="minorEastAsia" w:hAnsiTheme="minorEastAsia" w:eastAsiaTheme="minorEastAsia"/>
          <w:color w:val="auto"/>
          <w:kern w:val="0"/>
          <w:sz w:val="24"/>
          <w:szCs w:val="24"/>
          <w:highlight w:val="none"/>
        </w:rPr>
        <w:t>上传投标文件的ip地址相同，视为串标行为，取消评标资格。</w:t>
      </w:r>
    </w:p>
    <w:p>
      <w:pPr>
        <w:pStyle w:val="5"/>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被拒绝的投标文件为无效。</w:t>
      </w:r>
    </w:p>
    <w:p>
      <w:pPr>
        <w:pStyle w:val="5"/>
        <w:keepNext w:val="0"/>
        <w:keepLines w:val="0"/>
        <w:pageBreakBefore w:val="0"/>
        <w:numPr>
          <w:ilvl w:val="0"/>
          <w:numId w:val="52"/>
        </w:numPr>
        <w:kinsoku/>
        <w:wordWrap/>
        <w:overflowPunct/>
        <w:topLinePunct w:val="0"/>
        <w:bidi w:val="0"/>
        <w:adjustRightInd/>
        <w:snapToGrid/>
        <w:spacing w:line="360" w:lineRule="auto"/>
        <w:ind w:left="0" w:leftChars="0" w:firstLine="480" w:firstLineChars="200"/>
        <w:jc w:val="left"/>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其他不符合法律法规相关规定的。</w:t>
      </w:r>
    </w:p>
    <w:p>
      <w:pPr>
        <w:keepNext w:val="0"/>
        <w:keepLines w:val="0"/>
        <w:pageBreakBefore w:val="0"/>
        <w:numPr>
          <w:ilvl w:val="0"/>
          <w:numId w:val="47"/>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color w:val="auto"/>
          <w:kern w:val="0"/>
          <w:sz w:val="24"/>
          <w:highlight w:val="none"/>
        </w:rPr>
      </w:pPr>
      <w:r>
        <w:rPr>
          <w:rFonts w:hint="eastAsia" w:ascii="宋体" w:hAnsi="宋体" w:cs="宋体"/>
          <w:b/>
          <w:color w:val="auto"/>
          <w:kern w:val="0"/>
          <w:sz w:val="24"/>
          <w:highlight w:val="none"/>
        </w:rPr>
        <w:t>废标情形</w:t>
      </w:r>
    </w:p>
    <w:p>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color w:val="auto"/>
          <w:highlight w:val="none"/>
        </w:rPr>
      </w:pPr>
      <w:r>
        <w:rPr>
          <w:rFonts w:cs="宋体"/>
          <w:color w:val="auto"/>
          <w:highlight w:val="none"/>
        </w:rPr>
        <w:t>出现影响采购公正的违法、违规行为的；</w:t>
      </w:r>
    </w:p>
    <w:p>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b/>
          <w:bCs/>
          <w:color w:val="auto"/>
          <w:highlight w:val="none"/>
        </w:rPr>
      </w:pPr>
      <w:r>
        <w:rPr>
          <w:rFonts w:cs="宋体"/>
          <w:color w:val="auto"/>
          <w:highlight w:val="none"/>
        </w:rPr>
        <w:t>评标委员会发现招标文件存在歧义、重大缺陷导致评标工作无法进行，或者招标文件内容违反国家有关强制性规定的；</w:t>
      </w:r>
    </w:p>
    <w:p>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color w:val="auto"/>
          <w:highlight w:val="none"/>
        </w:rPr>
      </w:pPr>
      <w:r>
        <w:rPr>
          <w:rFonts w:cs="宋体"/>
          <w:color w:val="auto"/>
          <w:highlight w:val="none"/>
        </w:rPr>
        <w:t>因重大变故，采购任务取消的；</w:t>
      </w:r>
    </w:p>
    <w:p>
      <w:pPr>
        <w:pStyle w:val="23"/>
        <w:keepNext w:val="0"/>
        <w:keepLines w:val="0"/>
        <w:pageBreakBefore w:val="0"/>
        <w:numPr>
          <w:ilvl w:val="0"/>
          <w:numId w:val="54"/>
        </w:numPr>
        <w:kinsoku/>
        <w:wordWrap/>
        <w:overflowPunct/>
        <w:topLinePunct w:val="0"/>
        <w:bidi w:val="0"/>
        <w:adjustRightInd/>
        <w:snapToGrid/>
        <w:spacing w:before="0" w:beforeAutospacing="0" w:after="0" w:afterAutospacing="0" w:line="360" w:lineRule="auto"/>
        <w:ind w:left="0" w:leftChars="0" w:firstLine="480" w:firstLineChars="200"/>
        <w:jc w:val="left"/>
        <w:textAlignment w:val="auto"/>
        <w:rPr>
          <w:rFonts w:hint="default" w:cs="宋体"/>
          <w:color w:val="auto"/>
          <w:highlight w:val="none"/>
        </w:rPr>
      </w:pPr>
      <w:r>
        <w:rPr>
          <w:rFonts w:cs="宋体"/>
          <w:color w:val="auto"/>
          <w:highlight w:val="none"/>
        </w:rPr>
        <w:t>法律、法规和招标文件规定的其他导致评标结果无效的。</w:t>
      </w:r>
    </w:p>
    <w:p>
      <w:pPr>
        <w:keepNext w:val="0"/>
        <w:keepLines w:val="0"/>
        <w:pageBreakBefore w:val="0"/>
        <w:numPr>
          <w:ilvl w:val="0"/>
          <w:numId w:val="47"/>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投标人有下列情形之一的，投标保证金将不予退还</w:t>
      </w:r>
    </w:p>
    <w:p>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rPr>
      </w:pPr>
      <w:r>
        <w:rPr>
          <w:rFonts w:hint="eastAsia" w:ascii="宋体" w:hAnsi="宋体"/>
          <w:color w:val="auto"/>
          <w:sz w:val="24"/>
          <w:highlight w:val="none"/>
        </w:rPr>
        <w:t>投标人在投标有效期内撤回投标文件的；</w:t>
      </w:r>
    </w:p>
    <w:p>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rPr>
      </w:pPr>
      <w:r>
        <w:rPr>
          <w:rFonts w:hint="eastAsia" w:ascii="宋体" w:hAnsi="宋体"/>
          <w:color w:val="auto"/>
          <w:sz w:val="24"/>
          <w:highlight w:val="none"/>
        </w:rPr>
        <w:t>投标人在投标过程中弄虚作假，提供虚假材料的；</w:t>
      </w:r>
    </w:p>
    <w:p>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rPr>
      </w:pPr>
      <w:r>
        <w:rPr>
          <w:rFonts w:hint="eastAsia" w:ascii="宋体" w:hAnsi="宋体"/>
          <w:color w:val="auto"/>
          <w:sz w:val="24"/>
          <w:highlight w:val="none"/>
        </w:rPr>
        <w:t>中标人无正当理由不与采购单位签订合同的；</w:t>
      </w:r>
    </w:p>
    <w:p>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rPr>
      </w:pPr>
      <w:r>
        <w:rPr>
          <w:rFonts w:hint="eastAsia" w:ascii="宋体" w:hAnsi="宋体"/>
          <w:bCs/>
          <w:color w:val="auto"/>
          <w:sz w:val="24"/>
          <w:highlight w:val="none"/>
        </w:rPr>
        <w:t>将中标项目转让给他人或者在投标文件中未说明且未经</w:t>
      </w:r>
      <w:r>
        <w:rPr>
          <w:rFonts w:hint="eastAsia" w:ascii="宋体" w:hAnsi="宋体"/>
          <w:bCs/>
          <w:color w:val="auto"/>
          <w:sz w:val="24"/>
          <w:highlight w:val="none"/>
          <w:lang w:eastAsia="zh-CN"/>
        </w:rPr>
        <w:t>采购人</w:t>
      </w:r>
      <w:r>
        <w:rPr>
          <w:rFonts w:hint="eastAsia" w:ascii="宋体" w:hAnsi="宋体"/>
          <w:bCs/>
          <w:color w:val="auto"/>
          <w:sz w:val="24"/>
          <w:highlight w:val="none"/>
        </w:rPr>
        <w:t>同意，将中标项目分包给他人的；</w:t>
      </w:r>
    </w:p>
    <w:p>
      <w:pPr>
        <w:keepNext w:val="0"/>
        <w:keepLines w:val="0"/>
        <w:pageBreakBefore w:val="0"/>
        <w:numPr>
          <w:ilvl w:val="0"/>
          <w:numId w:val="55"/>
        </w:numP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rPr>
      </w:pPr>
      <w:r>
        <w:rPr>
          <w:rFonts w:hint="eastAsia" w:ascii="宋体" w:hAnsi="宋体"/>
          <w:color w:val="auto"/>
          <w:sz w:val="24"/>
          <w:highlight w:val="none"/>
        </w:rPr>
        <w:t>拒绝履行合同义务的；</w:t>
      </w:r>
    </w:p>
    <w:p>
      <w:pPr>
        <w:keepNext w:val="0"/>
        <w:keepLines w:val="0"/>
        <w:pageBreakBefore w:val="0"/>
        <w:numPr>
          <w:ilvl w:val="0"/>
          <w:numId w:val="47"/>
        </w:numPr>
        <w:kinsoku/>
        <w:wordWrap/>
        <w:overflowPunct/>
        <w:topLinePunct w:val="0"/>
        <w:autoSpaceDE w:val="0"/>
        <w:autoSpaceDN w:val="0"/>
        <w:bidi w:val="0"/>
        <w:adjustRightInd/>
        <w:snapToGrid/>
        <w:spacing w:line="360" w:lineRule="auto"/>
        <w:ind w:left="0" w:leftChars="0"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评标过程的监控</w:t>
      </w:r>
    </w:p>
    <w:p>
      <w:pPr>
        <w:pStyle w:val="23"/>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left"/>
        <w:textAlignment w:val="auto"/>
        <w:rPr>
          <w:rFonts w:hint="default"/>
          <w:color w:val="auto"/>
          <w:highlight w:val="none"/>
        </w:rPr>
      </w:pPr>
      <w:r>
        <w:rPr>
          <w:color w:val="auto"/>
          <w:highlight w:val="none"/>
        </w:rPr>
        <w:t>本项目评标过程实行全程录音、录像监控，投标人在评标过程中所进行的试图影响评标结果的不公正活动，可能导致其投标被拒绝。</w:t>
      </w:r>
    </w:p>
    <w:p>
      <w:pPr>
        <w:pStyle w:val="15"/>
        <w:keepNext w:val="0"/>
        <w:keepLines w:val="0"/>
        <w:pageBreakBefore w:val="0"/>
        <w:numPr>
          <w:ilvl w:val="0"/>
          <w:numId w:val="47"/>
        </w:numPr>
        <w:kinsoku/>
        <w:wordWrap/>
        <w:overflowPunct/>
        <w:topLinePunct w:val="0"/>
        <w:bidi w:val="0"/>
        <w:adjustRightInd/>
        <w:snapToGrid/>
        <w:spacing w:line="360" w:lineRule="auto"/>
        <w:ind w:left="0" w:leftChars="0" w:firstLine="482" w:firstLineChars="200"/>
        <w:jc w:val="left"/>
        <w:textAlignment w:val="auto"/>
        <w:rPr>
          <w:rFonts w:asciiTheme="minorEastAsia" w:hAnsiTheme="minorEastAsia" w:eastAsiaTheme="minorEastAsia"/>
          <w:b/>
          <w:color w:val="auto"/>
          <w:sz w:val="24"/>
          <w:highlight w:val="none"/>
        </w:rPr>
      </w:pPr>
      <w:r>
        <w:rPr>
          <w:rFonts w:asciiTheme="minorEastAsia" w:hAnsiTheme="minorEastAsia" w:eastAsiaTheme="minorEastAsia"/>
          <w:b/>
          <w:bCs/>
          <w:color w:val="auto"/>
          <w:sz w:val="24"/>
          <w:highlight w:val="none"/>
        </w:rPr>
        <w:t>评标程序</w:t>
      </w:r>
    </w:p>
    <w:p>
      <w:pPr>
        <w:keepNext w:val="0"/>
        <w:keepLines w:val="0"/>
        <w:pageBreakBefore w:val="0"/>
        <w:numPr>
          <w:ilvl w:val="0"/>
          <w:numId w:val="56"/>
        </w:numPr>
        <w:kinsoku/>
        <w:wordWrap/>
        <w:overflowPunct/>
        <w:topLinePunct w:val="0"/>
        <w:bidi w:val="0"/>
        <w:adjustRightInd/>
        <w:snapToGrid/>
        <w:spacing w:line="360" w:lineRule="auto"/>
        <w:ind w:left="0" w:leftChars="0" w:firstLine="482" w:firstLineChars="200"/>
        <w:jc w:val="left"/>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资格</w:t>
      </w:r>
      <w:r>
        <w:rPr>
          <w:rFonts w:asciiTheme="minorEastAsia" w:hAnsiTheme="minorEastAsia" w:eastAsiaTheme="minorEastAsia"/>
          <w:b/>
          <w:bCs/>
          <w:color w:val="auto"/>
          <w:sz w:val="24"/>
          <w:highlight w:val="none"/>
        </w:rPr>
        <w:t>审查</w:t>
      </w:r>
    </w:p>
    <w:p>
      <w:pPr>
        <w:pStyle w:val="9"/>
        <w:keepNext w:val="0"/>
        <w:keepLines w:val="0"/>
        <w:pageBreakBefore w:val="0"/>
        <w:kinsoku/>
        <w:wordWrap/>
        <w:overflowPunct/>
        <w:topLinePunct w:val="0"/>
        <w:bidi w:val="0"/>
        <w:adjustRightInd/>
        <w:snapToGrid/>
        <w:spacing w:line="360" w:lineRule="auto"/>
        <w:ind w:firstLine="480" w:firstLineChars="200"/>
        <w:jc w:val="left"/>
        <w:textAlignment w:val="auto"/>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w:t>
      </w:r>
      <w:r>
        <w:rPr>
          <w:rFonts w:hint="eastAsia" w:ascii="宋体" w:hAnsi="宋体" w:cs="宋体"/>
          <w:color w:val="auto"/>
          <w:sz w:val="24"/>
          <w:highlight w:val="none"/>
        </w:rPr>
        <w:t>台州湾新区小额工程电子交易平台</w:t>
      </w:r>
      <w:r>
        <w:rPr>
          <w:rFonts w:hint="eastAsia"/>
          <w:color w:val="auto"/>
          <w:sz w:val="24"/>
          <w:highlight w:val="none"/>
        </w:rPr>
        <w:t>公布</w:t>
      </w:r>
      <w:r>
        <w:rPr>
          <w:rFonts w:asciiTheme="minorEastAsia" w:hAnsiTheme="minorEastAsia" w:eastAsiaTheme="minorEastAsia"/>
          <w:color w:val="auto"/>
          <w:sz w:val="24"/>
          <w:highlight w:val="none"/>
        </w:rPr>
        <w:t>无效投标的投标人名单、投标无效的原因。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7"/>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tcMar>
              <w:top w:w="57" w:type="dxa"/>
              <w:left w:w="108" w:type="dxa"/>
              <w:bottom w:w="0" w:type="dxa"/>
              <w:right w:w="108" w:type="dxa"/>
            </w:tcMar>
            <w:vAlign w:val="center"/>
          </w:tcPr>
          <w:p>
            <w:pPr>
              <w:pStyle w:val="57"/>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7"/>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auto"/>
            <w:tcMar>
              <w:top w:w="57" w:type="dxa"/>
              <w:left w:w="108" w:type="dxa"/>
              <w:bottom w:w="0" w:type="dxa"/>
              <w:right w:w="108" w:type="dxa"/>
            </w:tcMar>
            <w:vAlign w:val="center"/>
          </w:tcPr>
          <w:p>
            <w:pPr>
              <w:pStyle w:val="57"/>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7"/>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shd w:val="clear" w:color="auto" w:fill="auto"/>
            <w:tcMar>
              <w:top w:w="57" w:type="dxa"/>
              <w:left w:w="108" w:type="dxa"/>
              <w:bottom w:w="0" w:type="dxa"/>
              <w:right w:w="108" w:type="dxa"/>
            </w:tcMar>
            <w:vAlign w:val="center"/>
          </w:tcPr>
          <w:p>
            <w:pPr>
              <w:pStyle w:val="57"/>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7"/>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auto"/>
            <w:tcMar>
              <w:top w:w="57" w:type="dxa"/>
              <w:left w:w="108" w:type="dxa"/>
              <w:bottom w:w="0" w:type="dxa"/>
              <w:right w:w="108" w:type="dxa"/>
            </w:tcMar>
            <w:vAlign w:val="center"/>
          </w:tcPr>
          <w:p>
            <w:pPr>
              <w:pStyle w:val="57"/>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w:t>
            </w:r>
            <w:r>
              <w:rPr>
                <w:rFonts w:hint="eastAsia"/>
                <w:color w:val="auto"/>
                <w:szCs w:val="21"/>
                <w:highlight w:val="none"/>
                <w:lang w:eastAsia="zh-CN"/>
              </w:rPr>
              <w:t>所必需的</w:t>
            </w:r>
            <w:r>
              <w:rPr>
                <w:rFonts w:hint="eastAsia"/>
                <w:color w:val="auto"/>
                <w:szCs w:val="21"/>
                <w:highlight w:val="none"/>
              </w:rPr>
              <w:t>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auto"/>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2.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shd w:val="clear" w:color="auto" w:fill="auto"/>
            <w:tcMar>
              <w:top w:w="57" w:type="dxa"/>
              <w:left w:w="108" w:type="dxa"/>
              <w:bottom w:w="0" w:type="dxa"/>
              <w:right w:w="108" w:type="dxa"/>
            </w:tcMar>
            <w:vAlign w:val="center"/>
          </w:tcPr>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57"/>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auto"/>
            <w:tcMar>
              <w:top w:w="57" w:type="dxa"/>
              <w:left w:w="108" w:type="dxa"/>
              <w:bottom w:w="0" w:type="dxa"/>
              <w:right w:w="108" w:type="dxa"/>
            </w:tcMar>
            <w:vAlign w:val="center"/>
          </w:tcPr>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资质</w:t>
            </w:r>
          </w:p>
        </w:tc>
        <w:tc>
          <w:tcPr>
            <w:tcW w:w="7092" w:type="dxa"/>
            <w:tcMar>
              <w:top w:w="57" w:type="dxa"/>
              <w:left w:w="108" w:type="dxa"/>
              <w:bottom w:w="0" w:type="dxa"/>
              <w:right w:w="108" w:type="dxa"/>
            </w:tcMar>
            <w:vAlign w:val="center"/>
          </w:tcPr>
          <w:p>
            <w:pPr>
              <w:pStyle w:val="57"/>
              <w:spacing w:before="48" w:line="300" w:lineRule="auto"/>
              <w:ind w:left="15" w:leftChars="7" w:right="-17" w:rightChars="-8" w:firstLine="403" w:firstLineChars="192"/>
              <w:rPr>
                <w:color w:val="auto"/>
                <w:szCs w:val="21"/>
                <w:highlight w:val="none"/>
              </w:rPr>
            </w:pPr>
            <w:r>
              <w:rPr>
                <w:rFonts w:hint="eastAsia"/>
                <w:color w:val="auto"/>
                <w:szCs w:val="21"/>
                <w:highlight w:val="none"/>
              </w:rPr>
              <w:t>无</w:t>
            </w:r>
          </w:p>
        </w:tc>
      </w:tr>
    </w:tbl>
    <w:p>
      <w:pPr>
        <w:pStyle w:val="9"/>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符合性审查</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在台州湾新区小额工程电子交易平台公布无效投标的投标人名单、投标无效的原因</w:t>
      </w:r>
      <w:r>
        <w:rPr>
          <w:rFonts w:hint="eastAsia" w:asciiTheme="minorEastAsia" w:hAnsiTheme="minorEastAsia" w:eastAsiaTheme="minorEastAsia"/>
          <w:color w:val="auto"/>
          <w:sz w:val="24"/>
          <w:highlight w:val="none"/>
        </w:rPr>
        <w:t>。</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投标文件内容基本完整，无重大错漏，并按要求签署、盖章。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auto"/>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auto"/>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auto"/>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7"/>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pPr>
        <w:pStyle w:val="23"/>
        <w:keepNext w:val="0"/>
        <w:keepLines w:val="0"/>
        <w:pageBreakBefore w:val="0"/>
        <w:numPr>
          <w:ilvl w:val="0"/>
          <w:numId w:val="56"/>
        </w:numPr>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default" w:asciiTheme="minorEastAsia" w:hAnsiTheme="minorEastAsia" w:eastAsiaTheme="minorEastAsia"/>
          <w:color w:val="auto"/>
          <w:highlight w:val="none"/>
        </w:rPr>
      </w:pPr>
      <w:r>
        <w:rPr>
          <w:rFonts w:ascii="Arial" w:hAnsi="Arial" w:cs="Arial" w:eastAsiaTheme="minorEastAsia"/>
          <w:b/>
          <w:bCs/>
          <w:color w:val="auto"/>
          <w:highlight w:val="none"/>
        </w:rPr>
        <w:t>技术标及商务标评审</w:t>
      </w:r>
    </w:p>
    <w:p>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textAlignment w:val="auto"/>
        <w:rPr>
          <w:rFonts w:ascii="宋体"/>
          <w:b/>
          <w:bCs/>
          <w:color w:val="auto"/>
          <w:sz w:val="24"/>
          <w:highlight w:val="none"/>
        </w:rPr>
      </w:pPr>
      <w:r>
        <w:rPr>
          <w:rFonts w:hint="eastAsia" w:asciiTheme="minorEastAsia" w:hAnsiTheme="minorEastAsia" w:eastAsiaTheme="minorEastAsia"/>
          <w:color w:val="auto"/>
          <w:kern w:val="0"/>
          <w:sz w:val="24"/>
          <w:highlight w:val="none"/>
        </w:rPr>
        <w:t>项目评标方法为综合评分法，总计100分，评标按以下标准及要求进行：</w:t>
      </w:r>
    </w:p>
    <w:p>
      <w:pPr>
        <w:keepNext w:val="0"/>
        <w:keepLines w:val="0"/>
        <w:pageBreakBefore w:val="0"/>
        <w:numPr>
          <w:ilvl w:val="0"/>
          <w:numId w:val="57"/>
        </w:numPr>
        <w:kinsoku/>
        <w:wordWrap/>
        <w:overflowPunct/>
        <w:topLinePunct w:val="0"/>
        <w:autoSpaceDE w:val="0"/>
        <w:autoSpaceDN w:val="0"/>
        <w:bidi w:val="0"/>
        <w:adjustRightInd/>
        <w:snapToGrid/>
        <w:spacing w:line="360" w:lineRule="auto"/>
        <w:ind w:left="0" w:leftChars="0" w:right="0" w:firstLine="482" w:firstLineChars="200"/>
        <w:jc w:val="left"/>
        <w:textAlignment w:val="auto"/>
        <w:rPr>
          <w:rFonts w:hint="eastAsia" w:ascii="宋体"/>
          <w:b/>
          <w:bCs/>
          <w:color w:val="auto"/>
          <w:sz w:val="24"/>
          <w:highlight w:val="none"/>
        </w:rPr>
      </w:pPr>
      <w:r>
        <w:rPr>
          <w:rFonts w:hint="eastAsia" w:ascii="宋体"/>
          <w:b/>
          <w:bCs/>
          <w:color w:val="auto"/>
          <w:sz w:val="24"/>
          <w:highlight w:val="none"/>
        </w:rPr>
        <w:t>评分标准</w:t>
      </w:r>
    </w:p>
    <w:p>
      <w:pPr>
        <w:rPr>
          <w:rFonts w:hint="eastAsia" w:ascii="宋体"/>
          <w:b/>
          <w:bCs/>
          <w:color w:val="auto"/>
          <w:sz w:val="24"/>
          <w:highlight w:val="none"/>
        </w:rPr>
      </w:pPr>
      <w:r>
        <w:rPr>
          <w:rFonts w:hint="eastAsia" w:ascii="宋体"/>
          <w:b/>
          <w:bCs/>
          <w:color w:val="auto"/>
          <w:sz w:val="24"/>
          <w:highlight w:val="none"/>
        </w:rPr>
        <w:br w:type="page"/>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74"/>
        <w:gridCol w:w="931"/>
        <w:gridCol w:w="574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2" w:hRule="atLeast"/>
          <w:jc w:val="center"/>
        </w:trPr>
        <w:tc>
          <w:tcPr>
            <w:tcW w:w="1074" w:type="dxa"/>
            <w:shd w:val="clear" w:color="auto" w:fill="FFFFFF" w:themeFill="background1"/>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6675" w:type="dxa"/>
            <w:gridSpan w:val="2"/>
            <w:shd w:val="clear" w:color="auto" w:fill="FFFFFF" w:themeFill="background1"/>
            <w:vAlign w:val="center"/>
          </w:tcPr>
          <w:p>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c>
          <w:tcPr>
            <w:tcW w:w="767" w:type="dxa"/>
            <w:shd w:val="clear" w:color="auto" w:fill="FFFFFF" w:themeFill="background1"/>
            <w:vAlign w:val="center"/>
          </w:tcPr>
          <w:p>
            <w:pPr>
              <w:adjustRightInd w:val="0"/>
              <w:snapToGrid w:val="0"/>
              <w:ind w:right="-105" w:right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92" w:hRule="atLeast"/>
          <w:jc w:val="center"/>
        </w:trPr>
        <w:tc>
          <w:tcPr>
            <w:tcW w:w="1074" w:type="dxa"/>
            <w:vMerge w:val="restart"/>
            <w:shd w:val="clear" w:color="auto" w:fill="FFFFFF" w:themeFill="background1"/>
            <w:vAlign w:val="center"/>
          </w:tcPr>
          <w:p>
            <w:pPr>
              <w:adjustRightInd w:val="0"/>
              <w:snapToGrid w:val="0"/>
              <w:jc w:val="cente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技术</w:t>
            </w:r>
            <w:r>
              <w:rPr>
                <w:rFonts w:hint="eastAsia" w:ascii="宋体" w:hAnsi="宋体" w:cs="宋体"/>
                <w:snapToGrid w:val="0"/>
                <w:color w:val="auto"/>
                <w:sz w:val="21"/>
                <w:szCs w:val="21"/>
                <w:highlight w:val="none"/>
                <w:lang w:val="en-US" w:eastAsia="zh-CN"/>
              </w:rPr>
              <w:t>标</w:t>
            </w:r>
          </w:p>
        </w:tc>
        <w:tc>
          <w:tcPr>
            <w:tcW w:w="931" w:type="dxa"/>
            <w:shd w:val="clear" w:color="auto" w:fill="FFFFFF" w:themeFill="background1"/>
            <w:vAlign w:val="center"/>
          </w:tcPr>
          <w:p>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样品</w:t>
            </w:r>
          </w:p>
          <w:p>
            <w:pPr>
              <w:bidi w:val="0"/>
              <w:jc w:val="center"/>
              <w:rPr>
                <w:rFonts w:hint="default" w:eastAsia="宋体"/>
                <w:color w:val="auto"/>
                <w:highlight w:val="none"/>
                <w:lang w:val="en-US" w:eastAsia="zh-CN"/>
              </w:rPr>
            </w:pPr>
          </w:p>
        </w:tc>
        <w:tc>
          <w:tcPr>
            <w:tcW w:w="5744" w:type="dxa"/>
            <w:shd w:val="clear" w:color="auto" w:fill="FFFFFF" w:themeFill="background1"/>
            <w:vAlign w:val="center"/>
          </w:tcPr>
          <w:p>
            <w:pPr>
              <w:numPr>
                <w:ilvl w:val="0"/>
                <w:numId w:val="0"/>
              </w:numPr>
              <w:bidi w:val="0"/>
              <w:ind w:leftChars="0"/>
              <w:rPr>
                <w:color w:val="auto"/>
                <w:highlight w:val="none"/>
              </w:rPr>
            </w:pPr>
            <w:r>
              <w:rPr>
                <w:rFonts w:hint="default" w:ascii="Times New Roman" w:hAnsi="Times New Roman" w:eastAsia="宋体" w:cs="Times New Roman"/>
                <w:color w:val="auto"/>
                <w:kern w:val="2"/>
                <w:sz w:val="21"/>
                <w:szCs w:val="24"/>
                <w:highlight w:val="none"/>
                <w:lang w:val="en-US" w:eastAsia="zh-CN" w:bidi="ar-SA"/>
              </w:rPr>
              <w:t>按照要求提供以下样品：课桌、午休躺椅各1张</w:t>
            </w:r>
            <w:r>
              <w:rPr>
                <w:rFonts w:hint="eastAsia" w:cs="Times New Roman"/>
                <w:color w:val="auto"/>
                <w:kern w:val="2"/>
                <w:sz w:val="21"/>
                <w:szCs w:val="24"/>
                <w:highlight w:val="none"/>
                <w:lang w:val="en-US" w:eastAsia="zh-CN" w:bidi="ar-SA"/>
              </w:rPr>
              <w:t>，桌面板（刨开一半）1块</w:t>
            </w:r>
            <w:r>
              <w:rPr>
                <w:rFonts w:hint="default" w:ascii="Times New Roman" w:hAnsi="Times New Roman" w:eastAsia="宋体" w:cs="Times New Roman"/>
                <w:color w:val="auto"/>
                <w:kern w:val="2"/>
                <w:sz w:val="21"/>
                <w:szCs w:val="24"/>
                <w:highlight w:val="none"/>
                <w:lang w:val="en-US" w:eastAsia="zh-CN" w:bidi="ar-SA"/>
              </w:rPr>
              <w:t>，样品未提供</w:t>
            </w:r>
            <w:r>
              <w:rPr>
                <w:rFonts w:hint="eastAsia" w:cs="Times New Roman"/>
                <w:color w:val="auto"/>
                <w:kern w:val="2"/>
                <w:sz w:val="21"/>
                <w:szCs w:val="24"/>
                <w:highlight w:val="none"/>
                <w:lang w:val="en-US" w:eastAsia="zh-CN" w:bidi="ar-SA"/>
              </w:rPr>
              <w:t>或提供不全</w:t>
            </w:r>
            <w:r>
              <w:rPr>
                <w:rFonts w:hint="default" w:ascii="Times New Roman" w:hAnsi="Times New Roman" w:eastAsia="宋体" w:cs="Times New Roman"/>
                <w:color w:val="auto"/>
                <w:kern w:val="2"/>
                <w:sz w:val="21"/>
                <w:szCs w:val="24"/>
                <w:highlight w:val="none"/>
                <w:lang w:val="en-US" w:eastAsia="zh-CN" w:bidi="ar-SA"/>
              </w:rPr>
              <w:t>的</w:t>
            </w:r>
            <w:r>
              <w:rPr>
                <w:rFonts w:hint="eastAsia" w:cs="Times New Roman"/>
                <w:color w:val="auto"/>
                <w:kern w:val="2"/>
                <w:sz w:val="21"/>
                <w:szCs w:val="24"/>
                <w:highlight w:val="none"/>
                <w:lang w:val="en-US" w:eastAsia="zh-CN" w:bidi="ar-SA"/>
              </w:rPr>
              <w:t>本</w:t>
            </w:r>
            <w:r>
              <w:rPr>
                <w:rFonts w:hint="default" w:ascii="Times New Roman" w:hAnsi="Times New Roman" w:eastAsia="宋体" w:cs="Times New Roman"/>
                <w:color w:val="auto"/>
                <w:kern w:val="2"/>
                <w:sz w:val="21"/>
                <w:szCs w:val="24"/>
                <w:highlight w:val="none"/>
                <w:lang w:val="en-US" w:eastAsia="zh-CN" w:bidi="ar-SA"/>
              </w:rPr>
              <w:t>项不得分，满分</w:t>
            </w:r>
            <w:r>
              <w:rPr>
                <w:rFonts w:hint="eastAsia" w:cs="Times New Roman"/>
                <w:color w:val="auto"/>
                <w:kern w:val="2"/>
                <w:sz w:val="21"/>
                <w:szCs w:val="24"/>
                <w:highlight w:val="none"/>
                <w:lang w:val="en-US" w:eastAsia="zh-CN" w:bidi="ar-SA"/>
              </w:rPr>
              <w:t>6</w:t>
            </w:r>
            <w:r>
              <w:rPr>
                <w:rFonts w:hint="default" w:ascii="Times New Roman" w:hAnsi="Times New Roman" w:eastAsia="宋体" w:cs="Times New Roman"/>
                <w:color w:val="auto"/>
                <w:kern w:val="2"/>
                <w:sz w:val="21"/>
                <w:szCs w:val="24"/>
                <w:highlight w:val="none"/>
                <w:lang w:val="en-US" w:eastAsia="zh-CN" w:bidi="ar-SA"/>
              </w:rPr>
              <w:t>分</w:t>
            </w:r>
            <w:r>
              <w:rPr>
                <w:rFonts w:hint="eastAsia" w:cs="Times New Roman"/>
                <w:color w:val="auto"/>
                <w:kern w:val="2"/>
                <w:sz w:val="21"/>
                <w:szCs w:val="24"/>
                <w:highlight w:val="none"/>
                <w:lang w:val="en-US" w:eastAsia="zh-CN" w:bidi="ar-SA"/>
              </w:rPr>
              <w:t>。</w:t>
            </w:r>
          </w:p>
          <w:p>
            <w:pPr>
              <w:numPr>
                <w:ilvl w:val="0"/>
                <w:numId w:val="58"/>
              </w:numPr>
              <w:bidi w:val="0"/>
              <w:ind w:left="425" w:leftChars="0" w:hanging="425" w:firstLineChars="0"/>
              <w:rPr>
                <w:rFonts w:hint="default" w:ascii="Times New Roman" w:hAnsi="Times New Roman" w:eastAsia="宋体" w:cs="Times New Roman"/>
                <w:color w:val="auto"/>
                <w:kern w:val="2"/>
                <w:sz w:val="21"/>
                <w:szCs w:val="24"/>
                <w:highlight w:val="none"/>
                <w:lang w:val="en-US" w:eastAsia="zh-CN" w:bidi="ar-SA"/>
              </w:rPr>
            </w:pPr>
            <w:r>
              <w:rPr>
                <w:b/>
                <w:bCs/>
                <w:color w:val="auto"/>
                <w:highlight w:val="none"/>
              </w:rPr>
              <w:t>外观</w:t>
            </w:r>
            <w:r>
              <w:rPr>
                <w:rFonts w:hint="eastAsia"/>
                <w:b/>
                <w:bCs/>
                <w:color w:val="auto"/>
                <w:highlight w:val="none"/>
                <w:lang w:eastAsia="zh-CN"/>
              </w:rPr>
              <w:t>、</w:t>
            </w:r>
            <w:r>
              <w:rPr>
                <w:rFonts w:hint="eastAsia"/>
                <w:b/>
                <w:bCs/>
                <w:color w:val="auto"/>
                <w:highlight w:val="none"/>
                <w:lang w:val="en-US" w:eastAsia="zh-CN"/>
              </w:rPr>
              <w:t>材质（2分）</w:t>
            </w:r>
            <w:r>
              <w:rPr>
                <w:rFonts w:hint="eastAsia"/>
                <w:b/>
                <w:bCs/>
                <w:color w:val="auto"/>
                <w:highlight w:val="none"/>
                <w:lang w:eastAsia="zh-CN"/>
              </w:rPr>
              <w:t>：</w:t>
            </w:r>
            <w:r>
              <w:rPr>
                <w:color w:val="auto"/>
                <w:highlight w:val="none"/>
              </w:rPr>
              <w:t>投标人样品材质、规格尺寸、外形</w:t>
            </w:r>
            <w:r>
              <w:rPr>
                <w:rFonts w:hint="eastAsia"/>
                <w:color w:val="auto"/>
                <w:highlight w:val="none"/>
                <w:lang w:val="en-US" w:eastAsia="zh-CN"/>
              </w:rPr>
              <w:t>是否</w:t>
            </w:r>
            <w:r>
              <w:rPr>
                <w:color w:val="auto"/>
                <w:highlight w:val="none"/>
              </w:rPr>
              <w:t>符合</w:t>
            </w:r>
            <w:r>
              <w:rPr>
                <w:rFonts w:hint="eastAsia"/>
                <w:color w:val="auto"/>
                <w:highlight w:val="none"/>
                <w:lang w:val="en-US" w:eastAsia="zh-CN"/>
              </w:rPr>
              <w:t>采购需求</w:t>
            </w:r>
            <w:r>
              <w:rPr>
                <w:color w:val="auto"/>
                <w:highlight w:val="none"/>
              </w:rPr>
              <w:t>，外观式样</w:t>
            </w:r>
            <w:r>
              <w:rPr>
                <w:rFonts w:hint="eastAsia"/>
                <w:color w:val="auto"/>
                <w:highlight w:val="none"/>
                <w:lang w:val="en-US" w:eastAsia="zh-CN"/>
              </w:rPr>
              <w:t>是否</w:t>
            </w:r>
            <w:r>
              <w:rPr>
                <w:color w:val="auto"/>
                <w:highlight w:val="none"/>
              </w:rPr>
              <w:t>符合学生人体坐姿、坐感舒适</w:t>
            </w:r>
            <w:r>
              <w:rPr>
                <w:rFonts w:hint="eastAsia"/>
                <w:color w:val="auto"/>
                <w:highlight w:val="none"/>
                <w:lang w:val="en-US" w:eastAsia="zh-CN"/>
              </w:rPr>
              <w:t>度</w:t>
            </w:r>
            <w:r>
              <w:rPr>
                <w:color w:val="auto"/>
                <w:highlight w:val="none"/>
              </w:rPr>
              <w:t>，材料</w:t>
            </w:r>
            <w:r>
              <w:rPr>
                <w:rFonts w:hint="eastAsia"/>
                <w:color w:val="auto"/>
                <w:highlight w:val="none"/>
                <w:lang w:val="en-US" w:eastAsia="zh-CN"/>
              </w:rPr>
              <w:t>是否</w:t>
            </w:r>
            <w:r>
              <w:rPr>
                <w:color w:val="auto"/>
                <w:highlight w:val="none"/>
              </w:rPr>
              <w:t>环保</w:t>
            </w:r>
            <w:r>
              <w:rPr>
                <w:rFonts w:hint="eastAsia"/>
                <w:b w:val="0"/>
                <w:bCs w:val="0"/>
                <w:color w:val="auto"/>
                <w:highlight w:val="none"/>
                <w:lang w:val="en-US" w:eastAsia="zh-CN"/>
              </w:rPr>
              <w:t>。</w:t>
            </w:r>
          </w:p>
          <w:p>
            <w:pPr>
              <w:numPr>
                <w:ilvl w:val="0"/>
                <w:numId w:val="58"/>
              </w:numPr>
              <w:bidi w:val="0"/>
              <w:ind w:left="425" w:leftChars="0" w:hanging="425" w:firstLineChars="0"/>
              <w:rPr>
                <w:b/>
                <w:bCs/>
                <w:color w:val="auto"/>
                <w:highlight w:val="none"/>
              </w:rPr>
            </w:pPr>
            <w:r>
              <w:rPr>
                <w:b/>
                <w:bCs/>
                <w:color w:val="auto"/>
                <w:highlight w:val="none"/>
              </w:rPr>
              <w:t>产品的功能设计，整体性功能</w:t>
            </w:r>
            <w:r>
              <w:rPr>
                <w:rFonts w:hint="eastAsia"/>
                <w:b/>
                <w:bCs/>
                <w:color w:val="auto"/>
                <w:highlight w:val="none"/>
                <w:lang w:val="en-US" w:eastAsia="zh-CN"/>
              </w:rPr>
              <w:t>（2分）</w:t>
            </w:r>
            <w:r>
              <w:rPr>
                <w:rFonts w:hint="eastAsia"/>
                <w:b/>
                <w:bCs/>
                <w:color w:val="auto"/>
                <w:highlight w:val="none"/>
                <w:lang w:eastAsia="zh-CN"/>
              </w:rPr>
              <w:t>：</w:t>
            </w:r>
            <w:r>
              <w:rPr>
                <w:rFonts w:hint="eastAsia"/>
                <w:b w:val="0"/>
                <w:bCs w:val="0"/>
                <w:color w:val="auto"/>
                <w:highlight w:val="none"/>
                <w:lang w:val="en-US" w:eastAsia="zh-CN"/>
              </w:rPr>
              <w:t>根据以下功能进行评审。</w:t>
            </w:r>
          </w:p>
          <w:p>
            <w:pPr>
              <w:numPr>
                <w:ilvl w:val="0"/>
                <w:numId w:val="59"/>
              </w:numPr>
              <w:bidi w:val="0"/>
              <w:ind w:left="0" w:leftChars="0" w:firstLine="420" w:firstLineChars="200"/>
              <w:rPr>
                <w:color w:val="auto"/>
                <w:highlight w:val="none"/>
              </w:rPr>
            </w:pPr>
            <w:r>
              <w:rPr>
                <w:color w:val="auto"/>
                <w:highlight w:val="none"/>
              </w:rPr>
              <w:t>设计实用便携，能够实现产品的整体使用功能，功能有创新。</w:t>
            </w:r>
          </w:p>
          <w:p>
            <w:pPr>
              <w:numPr>
                <w:ilvl w:val="0"/>
                <w:numId w:val="59"/>
              </w:numPr>
              <w:bidi w:val="0"/>
              <w:ind w:left="0" w:leftChars="0" w:firstLine="420" w:firstLineChars="200"/>
              <w:rPr>
                <w:color w:val="auto"/>
                <w:highlight w:val="none"/>
              </w:rPr>
            </w:pPr>
            <w:r>
              <w:rPr>
                <w:color w:val="auto"/>
                <w:highlight w:val="none"/>
              </w:rPr>
              <w:t>铰链、合页、反弹装置、吸合装置、滑轨、倾斜机构、升降机构、翻转机构、插销等部件，安装后应灵活使用；</w:t>
            </w:r>
          </w:p>
          <w:p>
            <w:pPr>
              <w:numPr>
                <w:ilvl w:val="0"/>
                <w:numId w:val="59"/>
              </w:numPr>
              <w:bidi w:val="0"/>
              <w:ind w:left="0" w:leftChars="0" w:firstLine="420" w:firstLineChars="200"/>
              <w:rPr>
                <w:rFonts w:hint="default" w:ascii="Times New Roman" w:hAnsi="Times New Roman" w:eastAsia="宋体" w:cs="Times New Roman"/>
                <w:color w:val="auto"/>
                <w:kern w:val="2"/>
                <w:sz w:val="21"/>
                <w:szCs w:val="24"/>
                <w:highlight w:val="none"/>
                <w:lang w:val="en-US" w:eastAsia="zh-CN" w:bidi="ar-SA"/>
              </w:rPr>
            </w:pPr>
            <w:r>
              <w:rPr>
                <w:color w:val="auto"/>
                <w:highlight w:val="none"/>
              </w:rPr>
              <w:t>折叠机构：无非预期的自行折叠现象</w:t>
            </w:r>
            <w:r>
              <w:rPr>
                <w:rFonts w:hint="default" w:ascii="Times New Roman" w:hAnsi="Times New Roman" w:eastAsia="宋体" w:cs="Times New Roman"/>
                <w:color w:val="auto"/>
                <w:kern w:val="2"/>
                <w:sz w:val="21"/>
                <w:szCs w:val="24"/>
                <w:highlight w:val="none"/>
                <w:lang w:val="en-US" w:eastAsia="zh-CN" w:bidi="ar-SA"/>
              </w:rPr>
              <w:t>。</w:t>
            </w:r>
          </w:p>
          <w:p>
            <w:pPr>
              <w:numPr>
                <w:ilvl w:val="0"/>
                <w:numId w:val="59"/>
              </w:numPr>
              <w:bidi w:val="0"/>
              <w:ind w:left="0" w:leftChars="0"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家具锁锁定到位，开启应灵活；</w:t>
            </w:r>
          </w:p>
          <w:p>
            <w:pPr>
              <w:numPr>
                <w:ilvl w:val="0"/>
                <w:numId w:val="59"/>
              </w:numPr>
              <w:bidi w:val="0"/>
              <w:ind w:left="0" w:leftChars="0"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锁定脚轮的锁定装置完好，在开锁状态下应运动灵活</w:t>
            </w:r>
            <w:r>
              <w:rPr>
                <w:rFonts w:hint="eastAsia" w:cs="Times New Roman"/>
                <w:color w:val="auto"/>
                <w:kern w:val="2"/>
                <w:sz w:val="21"/>
                <w:szCs w:val="24"/>
                <w:highlight w:val="none"/>
                <w:lang w:val="en-US" w:eastAsia="zh-CN" w:bidi="ar-SA"/>
              </w:rPr>
              <w:t>。</w:t>
            </w:r>
          </w:p>
          <w:p>
            <w:pPr>
              <w:numPr>
                <w:ilvl w:val="0"/>
                <w:numId w:val="58"/>
              </w:numPr>
              <w:bidi w:val="0"/>
              <w:ind w:left="425" w:leftChars="0" w:hanging="425" w:firstLineChars="0"/>
              <w:rPr>
                <w:rFonts w:hint="default" w:ascii="Times New Roman" w:hAnsi="Times New Roman" w:eastAsia="宋体" w:cs="Times New Roman"/>
                <w:color w:val="auto"/>
                <w:kern w:val="2"/>
                <w:sz w:val="21"/>
                <w:szCs w:val="24"/>
                <w:highlight w:val="none"/>
                <w:lang w:val="en-US" w:eastAsia="zh-CN" w:bidi="ar-SA"/>
              </w:rPr>
            </w:pPr>
            <w:r>
              <w:rPr>
                <w:b/>
                <w:bCs/>
                <w:color w:val="auto"/>
                <w:highlight w:val="none"/>
              </w:rPr>
              <w:t>制</w:t>
            </w:r>
            <w:r>
              <w:rPr>
                <w:rFonts w:hint="eastAsia"/>
                <w:b/>
                <w:bCs/>
                <w:color w:val="auto"/>
                <w:highlight w:val="none"/>
                <w:lang w:val="en-US" w:eastAsia="zh-CN"/>
              </w:rPr>
              <w:t>造</w:t>
            </w:r>
            <w:r>
              <w:rPr>
                <w:b/>
                <w:bCs/>
                <w:color w:val="auto"/>
                <w:highlight w:val="none"/>
              </w:rPr>
              <w:t>工艺</w:t>
            </w:r>
            <w:r>
              <w:rPr>
                <w:rFonts w:hint="eastAsia"/>
                <w:b/>
                <w:bCs/>
                <w:color w:val="auto"/>
                <w:highlight w:val="none"/>
                <w:lang w:val="en-US" w:eastAsia="zh-CN"/>
              </w:rPr>
              <w:t>（2分）</w:t>
            </w:r>
            <w:r>
              <w:rPr>
                <w:rFonts w:hint="eastAsia"/>
                <w:b/>
                <w:bCs/>
                <w:color w:val="auto"/>
                <w:highlight w:val="none"/>
              </w:rPr>
              <w:t>：</w:t>
            </w:r>
            <w:r>
              <w:rPr>
                <w:rFonts w:hint="eastAsia"/>
                <w:b w:val="0"/>
                <w:bCs w:val="0"/>
                <w:color w:val="auto"/>
                <w:highlight w:val="none"/>
              </w:rPr>
              <w:t>根据</w:t>
            </w:r>
            <w:r>
              <w:rPr>
                <w:rFonts w:hint="eastAsia"/>
                <w:b w:val="0"/>
                <w:bCs w:val="0"/>
                <w:color w:val="auto"/>
                <w:highlight w:val="none"/>
                <w:lang w:val="en-US" w:eastAsia="zh-CN"/>
              </w:rPr>
              <w:t>样品（包含但不限于</w:t>
            </w:r>
            <w:r>
              <w:rPr>
                <w:rFonts w:hint="eastAsia"/>
                <w:b w:val="0"/>
                <w:bCs w:val="0"/>
                <w:color w:val="auto"/>
                <w:highlight w:val="none"/>
              </w:rPr>
              <w:t>以下</w:t>
            </w:r>
            <w:r>
              <w:rPr>
                <w:rFonts w:hint="eastAsia"/>
                <w:b w:val="0"/>
                <w:bCs w:val="0"/>
                <w:color w:val="auto"/>
                <w:highlight w:val="none"/>
                <w:lang w:val="en-US" w:eastAsia="zh-CN"/>
              </w:rPr>
              <w:t>部件）制造工艺</w:t>
            </w:r>
            <w:r>
              <w:rPr>
                <w:rFonts w:hint="eastAsia"/>
                <w:b w:val="0"/>
                <w:bCs w:val="0"/>
                <w:color w:val="auto"/>
                <w:highlight w:val="none"/>
              </w:rPr>
              <w:t>进行评审。</w:t>
            </w:r>
          </w:p>
          <w:p>
            <w:pPr>
              <w:numPr>
                <w:ilvl w:val="0"/>
                <w:numId w:val="60"/>
              </w:numPr>
              <w:bidi w:val="0"/>
              <w:ind w:left="0" w:leftChars="0"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管材：管材应无裂缝、叠缝，外露管口端面应封闭；</w:t>
            </w:r>
          </w:p>
          <w:p>
            <w:pPr>
              <w:numPr>
                <w:ilvl w:val="0"/>
                <w:numId w:val="60"/>
              </w:numPr>
              <w:bidi w:val="0"/>
              <w:ind w:left="0" w:leftChars="0"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焊接件：焊接处应无脱焊、虚焊、焊穿、错位，焊接处应无夹渣、气孔、焊瘤、焊丝头、咬边、飞溅，焊接处表面波纹应均匀；</w:t>
            </w:r>
          </w:p>
          <w:p>
            <w:pPr>
              <w:numPr>
                <w:ilvl w:val="0"/>
                <w:numId w:val="60"/>
              </w:numPr>
              <w:bidi w:val="0"/>
              <w:ind w:left="0" w:leftChars="0"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冲压件：冲压件应无脱层、裂缝；</w:t>
            </w:r>
          </w:p>
          <w:p>
            <w:pPr>
              <w:numPr>
                <w:ilvl w:val="0"/>
                <w:numId w:val="60"/>
              </w:numPr>
              <w:bidi w:val="0"/>
              <w:ind w:left="0" w:leftChars="0"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铆接件：铆接处应铆接牢固，无漏铆、脱铆，铆钉应端正圆滑，无明显锤印；</w:t>
            </w:r>
          </w:p>
          <w:p>
            <w:pPr>
              <w:numPr>
                <w:ilvl w:val="0"/>
                <w:numId w:val="60"/>
              </w:numPr>
              <w:bidi w:val="0"/>
              <w:ind w:left="0" w:leftChars="0"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金属合金件：无锈蚀、氧化膜脱落、刃口、锐棱，表面细密，应无裂纹、毛刺、黑斑等缺陷；</w:t>
            </w:r>
          </w:p>
          <w:p>
            <w:pPr>
              <w:numPr>
                <w:ilvl w:val="0"/>
                <w:numId w:val="60"/>
              </w:numPr>
              <w:bidi w:val="0"/>
              <w:ind w:left="0" w:leftChars="0"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皱纹或波纹：圆管和扁线管弯曲处弧形应圆滑一致；</w:t>
            </w:r>
          </w:p>
          <w:p>
            <w:pPr>
              <w:numPr>
                <w:ilvl w:val="0"/>
                <w:numId w:val="60"/>
              </w:numPr>
              <w:bidi w:val="0"/>
              <w:ind w:left="0" w:leftChars="0"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喷涂层：涂层应无漏喷、锈蚀和脱色、掉色现象，涂层应光滑均匀，色泽一致，应无流挂、疙瘩、皱皮、飞漆等缺陷；</w:t>
            </w:r>
          </w:p>
          <w:p>
            <w:pPr>
              <w:numPr>
                <w:ilvl w:val="0"/>
                <w:numId w:val="60"/>
              </w:numPr>
              <w:bidi w:val="0"/>
              <w:ind w:left="0" w:leftChars="0"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电镀层：表面应无剥落、返锈、毛刺，表面应无烧焦、起泡、针孔、裂纹、花斑（不包括镀彩锌）和划痕。</w:t>
            </w:r>
          </w:p>
        </w:tc>
        <w:tc>
          <w:tcPr>
            <w:tcW w:w="767" w:type="dxa"/>
            <w:shd w:val="clear" w:color="auto" w:fill="FFFFFF" w:themeFill="background1"/>
            <w:vAlign w:val="center"/>
          </w:tcPr>
          <w:p>
            <w:pPr>
              <w:bidi w:val="0"/>
              <w:jc w:val="center"/>
              <w:rPr>
                <w:rFonts w:hint="default"/>
                <w:color w:val="auto"/>
                <w:highlight w:val="none"/>
                <w:lang w:val="en-US" w:eastAsia="zh-CN"/>
              </w:rPr>
            </w:pPr>
            <w:r>
              <w:rPr>
                <w:rFonts w:hint="eastAsia"/>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4" w:type="dxa"/>
            <w:vMerge w:val="continue"/>
            <w:shd w:val="clear" w:color="auto" w:fill="FFFFFF" w:themeFill="background1"/>
            <w:vAlign w:val="center"/>
          </w:tcPr>
          <w:p>
            <w:pPr>
              <w:adjustRightInd w:val="0"/>
              <w:snapToGrid w:val="0"/>
              <w:rPr>
                <w:rFonts w:hint="eastAsia" w:ascii="宋体" w:hAnsi="宋体" w:eastAsia="宋体" w:cs="宋体"/>
                <w:snapToGrid w:val="0"/>
                <w:color w:val="auto"/>
                <w:sz w:val="21"/>
                <w:szCs w:val="21"/>
                <w:highlight w:val="none"/>
              </w:rPr>
            </w:pPr>
          </w:p>
        </w:tc>
        <w:tc>
          <w:tcPr>
            <w:tcW w:w="931" w:type="dxa"/>
            <w:shd w:val="clear" w:color="auto" w:fill="FFFFFF" w:themeFill="background1"/>
            <w:vAlign w:val="center"/>
          </w:tcPr>
          <w:p>
            <w:pPr>
              <w:bidi w:val="0"/>
              <w:jc w:val="center"/>
              <w:rPr>
                <w:rFonts w:hint="eastAsia"/>
                <w:color w:val="auto"/>
                <w:highlight w:val="none"/>
                <w:lang w:val="en-US" w:eastAsia="zh-CN"/>
              </w:rPr>
            </w:pPr>
            <w:r>
              <w:rPr>
                <w:rFonts w:hint="eastAsia"/>
                <w:color w:val="auto"/>
                <w:highlight w:val="none"/>
              </w:rPr>
              <w:t>实施方案</w:t>
            </w:r>
          </w:p>
        </w:tc>
        <w:tc>
          <w:tcPr>
            <w:tcW w:w="5744" w:type="dxa"/>
            <w:shd w:val="clear" w:color="auto" w:fill="FFFFFF" w:themeFill="background1"/>
            <w:vAlign w:val="center"/>
          </w:tcPr>
          <w:p>
            <w:pPr>
              <w:pStyle w:val="5"/>
              <w:spacing w:line="240" w:lineRule="auto"/>
              <w:ind w:firstLine="0" w:firstLine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提供本项目整体实施方案</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供货方案、工期进度安排、送货安装时间和人员安排</w:t>
            </w:r>
            <w:r>
              <w:rPr>
                <w:rFonts w:hint="eastAsia" w:ascii="宋体" w:hAnsi="宋体" w:eastAsia="宋体" w:cs="宋体"/>
                <w:b w:val="0"/>
                <w:bCs w:val="0"/>
                <w:color w:val="auto"/>
                <w:szCs w:val="21"/>
                <w:highlight w:val="none"/>
                <w:lang w:val="en-US" w:eastAsia="zh-CN"/>
              </w:rPr>
              <w:t>等</w:t>
            </w: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进行评审</w:t>
            </w:r>
            <w:r>
              <w:rPr>
                <w:rFonts w:hint="eastAsia" w:ascii="宋体" w:hAnsi="宋体" w:eastAsia="宋体" w:cs="宋体"/>
                <w:b w:val="0"/>
                <w:bCs w:val="0"/>
                <w:color w:val="auto"/>
                <w:szCs w:val="21"/>
                <w:highlight w:val="none"/>
                <w:lang w:eastAsia="zh-CN"/>
              </w:rPr>
              <w:t>：</w:t>
            </w:r>
          </w:p>
          <w:p>
            <w:pPr>
              <w:bidi w:val="0"/>
              <w:rPr>
                <w:rFonts w:hint="eastAsia"/>
                <w:b w:val="0"/>
                <w:bCs w:val="0"/>
                <w:color w:val="auto"/>
                <w:highlight w:val="none"/>
                <w:lang w:eastAsia="zh-CN"/>
              </w:rPr>
            </w:pPr>
            <w:r>
              <w:rPr>
                <w:rFonts w:hint="eastAsia"/>
                <w:b w:val="0"/>
                <w:bCs w:val="0"/>
                <w:color w:val="auto"/>
                <w:highlight w:val="none"/>
                <w:lang w:eastAsia="zh-CN"/>
              </w:rPr>
              <w:t>方案详实、内容完整、操作性强的</w:t>
            </w:r>
            <w:r>
              <w:rPr>
                <w:rFonts w:hint="eastAsia"/>
                <w:b w:val="0"/>
                <w:bCs w:val="0"/>
                <w:color w:val="auto"/>
                <w:highlight w:val="none"/>
                <w:lang w:val="en-US" w:eastAsia="zh-CN"/>
              </w:rPr>
              <w:t>得4.1-5</w:t>
            </w:r>
            <w:r>
              <w:rPr>
                <w:rFonts w:hint="eastAsia"/>
                <w:b w:val="0"/>
                <w:bCs w:val="0"/>
                <w:color w:val="auto"/>
                <w:highlight w:val="none"/>
                <w:lang w:eastAsia="zh-CN"/>
              </w:rPr>
              <w:t>分；</w:t>
            </w:r>
          </w:p>
          <w:p>
            <w:pPr>
              <w:bidi w:val="0"/>
              <w:rPr>
                <w:rFonts w:hint="eastAsia"/>
                <w:b w:val="0"/>
                <w:bCs w:val="0"/>
                <w:color w:val="auto"/>
                <w:highlight w:val="none"/>
                <w:lang w:eastAsia="zh-CN"/>
              </w:rPr>
            </w:pPr>
            <w:r>
              <w:rPr>
                <w:rFonts w:hint="eastAsia"/>
                <w:b w:val="0"/>
                <w:bCs w:val="0"/>
                <w:color w:val="auto"/>
                <w:highlight w:val="none"/>
                <w:lang w:eastAsia="zh-CN"/>
              </w:rPr>
              <w:t>方案合理、内容常规、操作简略的</w:t>
            </w:r>
            <w:r>
              <w:rPr>
                <w:rFonts w:hint="eastAsia"/>
                <w:b w:val="0"/>
                <w:bCs w:val="0"/>
                <w:color w:val="auto"/>
                <w:highlight w:val="none"/>
                <w:lang w:val="en-US" w:eastAsia="zh-CN"/>
              </w:rPr>
              <w:t>得2.1-4</w:t>
            </w:r>
            <w:r>
              <w:rPr>
                <w:rFonts w:hint="eastAsia"/>
                <w:b w:val="0"/>
                <w:bCs w:val="0"/>
                <w:color w:val="auto"/>
                <w:highlight w:val="none"/>
                <w:lang w:eastAsia="zh-CN"/>
              </w:rPr>
              <w:t>分；</w:t>
            </w:r>
          </w:p>
          <w:p>
            <w:pPr>
              <w:pStyle w:val="5"/>
              <w:spacing w:line="240" w:lineRule="auto"/>
              <w:ind w:firstLine="0" w:firstLineChars="0"/>
              <w:rPr>
                <w:rFonts w:hint="eastAsia" w:ascii="Times New Roman" w:hAnsi="Times New Roman" w:eastAsia="宋体" w:cs="Times New Roman"/>
                <w:b w:val="0"/>
                <w:bCs w:val="0"/>
                <w:color w:val="auto"/>
                <w:kern w:val="2"/>
                <w:sz w:val="21"/>
                <w:szCs w:val="20"/>
                <w:highlight w:val="none"/>
                <w:lang w:val="en-US" w:eastAsia="zh-CN" w:bidi="ar-SA"/>
              </w:rPr>
            </w:pPr>
            <w:r>
              <w:rPr>
                <w:rFonts w:hint="eastAsia"/>
                <w:b w:val="0"/>
                <w:bCs w:val="0"/>
                <w:color w:val="auto"/>
                <w:highlight w:val="none"/>
                <w:lang w:eastAsia="zh-CN"/>
              </w:rPr>
              <w:t>方案粗糙、内容缺漏、操作性差的</w:t>
            </w:r>
            <w:r>
              <w:rPr>
                <w:rFonts w:hint="eastAsia"/>
                <w:b w:val="0"/>
                <w:bCs w:val="0"/>
                <w:color w:val="auto"/>
                <w:highlight w:val="none"/>
                <w:lang w:val="en-US" w:eastAsia="zh-CN"/>
              </w:rPr>
              <w:t>得0-2</w:t>
            </w:r>
            <w:r>
              <w:rPr>
                <w:rFonts w:hint="eastAsia"/>
                <w:b w:val="0"/>
                <w:bCs w:val="0"/>
                <w:color w:val="auto"/>
                <w:highlight w:val="none"/>
                <w:lang w:eastAsia="zh-CN"/>
              </w:rPr>
              <w:t>分。</w:t>
            </w:r>
          </w:p>
        </w:tc>
        <w:tc>
          <w:tcPr>
            <w:tcW w:w="767" w:type="dxa"/>
            <w:shd w:val="clear" w:color="auto" w:fill="FFFFFF" w:themeFill="background1"/>
            <w:vAlign w:val="center"/>
          </w:tcPr>
          <w:p>
            <w:pPr>
              <w:bidi w:val="0"/>
              <w:jc w:val="center"/>
              <w:rPr>
                <w:rFonts w:hint="default"/>
                <w:color w:val="auto"/>
                <w:highlight w:val="none"/>
                <w:lang w:val="en-US" w:eastAsia="zh-CN"/>
              </w:rPr>
            </w:pP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74" w:type="dxa"/>
            <w:vMerge w:val="continue"/>
            <w:shd w:val="clear" w:color="auto" w:fill="FFFFFF" w:themeFill="background1"/>
            <w:vAlign w:val="center"/>
          </w:tcPr>
          <w:p>
            <w:pPr>
              <w:adjustRightInd w:val="0"/>
              <w:snapToGrid w:val="0"/>
              <w:rPr>
                <w:rFonts w:hint="eastAsia" w:ascii="宋体" w:hAnsi="宋体" w:eastAsia="宋体" w:cs="宋体"/>
                <w:snapToGrid w:val="0"/>
                <w:color w:val="auto"/>
                <w:sz w:val="21"/>
                <w:szCs w:val="21"/>
                <w:highlight w:val="none"/>
              </w:rPr>
            </w:pPr>
          </w:p>
        </w:tc>
        <w:tc>
          <w:tcPr>
            <w:tcW w:w="931" w:type="dxa"/>
            <w:shd w:val="clear" w:color="auto" w:fill="FFFFFF" w:themeFill="background1"/>
            <w:vAlign w:val="center"/>
          </w:tcPr>
          <w:p>
            <w:pPr>
              <w:bidi w:val="0"/>
              <w:jc w:val="center"/>
              <w:rPr>
                <w:rFonts w:hint="eastAsia"/>
                <w:color w:val="auto"/>
                <w:highlight w:val="none"/>
              </w:rPr>
            </w:pPr>
            <w:r>
              <w:rPr>
                <w:rFonts w:hint="eastAsia"/>
                <w:color w:val="auto"/>
                <w:highlight w:val="none"/>
              </w:rPr>
              <w:t>质量</w:t>
            </w:r>
          </w:p>
          <w:p>
            <w:pPr>
              <w:bidi w:val="0"/>
              <w:jc w:val="center"/>
              <w:rPr>
                <w:rFonts w:hint="eastAsia"/>
                <w:color w:val="auto"/>
                <w:highlight w:val="none"/>
              </w:rPr>
            </w:pPr>
            <w:r>
              <w:rPr>
                <w:rFonts w:hint="eastAsia"/>
                <w:color w:val="auto"/>
                <w:highlight w:val="none"/>
              </w:rPr>
              <w:t>保证</w:t>
            </w:r>
          </w:p>
          <w:p>
            <w:pPr>
              <w:bidi w:val="0"/>
              <w:jc w:val="center"/>
              <w:rPr>
                <w:rFonts w:hint="eastAsia"/>
                <w:color w:val="auto"/>
                <w:highlight w:val="none"/>
                <w:lang w:val="en-US" w:eastAsia="zh-CN"/>
              </w:rPr>
            </w:pPr>
            <w:r>
              <w:rPr>
                <w:rFonts w:hint="eastAsia"/>
                <w:color w:val="auto"/>
                <w:highlight w:val="none"/>
              </w:rPr>
              <w:t>措施</w:t>
            </w:r>
          </w:p>
        </w:tc>
        <w:tc>
          <w:tcPr>
            <w:tcW w:w="5744" w:type="dxa"/>
            <w:shd w:val="clear" w:color="auto" w:fill="FFFFFF" w:themeFill="background1"/>
            <w:vAlign w:val="center"/>
          </w:tcPr>
          <w:p>
            <w:pPr>
              <w:bidi w:val="0"/>
              <w:rPr>
                <w:rFonts w:hint="eastAsia"/>
                <w:color w:val="auto"/>
                <w:highlight w:val="none"/>
                <w:lang w:eastAsia="zh-CN"/>
              </w:rPr>
            </w:pPr>
            <w:r>
              <w:rPr>
                <w:rFonts w:hint="eastAsia" w:ascii="宋体" w:hAnsi="宋体" w:eastAsia="宋体" w:cs="宋体"/>
                <w:color w:val="auto"/>
                <w:szCs w:val="21"/>
                <w:highlight w:val="none"/>
              </w:rPr>
              <w:t>根据投标人提供的针对本项目的质量保证措施、品质管理方案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视其</w:t>
            </w:r>
            <w:r>
              <w:rPr>
                <w:rFonts w:hint="eastAsia" w:ascii="宋体" w:hAnsi="宋体" w:eastAsia="宋体" w:cs="宋体"/>
                <w:color w:val="auto"/>
                <w:szCs w:val="21"/>
                <w:highlight w:val="none"/>
              </w:rPr>
              <w:t>全面性、</w:t>
            </w:r>
            <w:r>
              <w:rPr>
                <w:rFonts w:hint="eastAsia"/>
                <w:color w:val="auto"/>
                <w:highlight w:val="none"/>
              </w:rPr>
              <w:t>科学性和可行性进行</w:t>
            </w:r>
            <w:r>
              <w:rPr>
                <w:rFonts w:hint="eastAsia"/>
                <w:color w:val="auto"/>
                <w:highlight w:val="none"/>
                <w:lang w:val="en-US" w:eastAsia="zh-CN"/>
              </w:rPr>
              <w:t>评审</w:t>
            </w:r>
            <w:r>
              <w:rPr>
                <w:rFonts w:hint="eastAsia"/>
                <w:color w:val="auto"/>
                <w:highlight w:val="none"/>
                <w:lang w:eastAsia="zh-CN"/>
              </w:rPr>
              <w:t>：</w:t>
            </w:r>
          </w:p>
          <w:p>
            <w:pPr>
              <w:bidi w:val="0"/>
              <w:rPr>
                <w:rFonts w:hint="eastAsia"/>
                <w:b w:val="0"/>
                <w:bCs w:val="0"/>
                <w:color w:val="auto"/>
                <w:highlight w:val="none"/>
                <w:lang w:eastAsia="zh-CN"/>
              </w:rPr>
            </w:pPr>
            <w:r>
              <w:rPr>
                <w:rFonts w:hint="eastAsia"/>
                <w:b w:val="0"/>
                <w:bCs w:val="0"/>
                <w:color w:val="auto"/>
                <w:highlight w:val="none"/>
                <w:lang w:eastAsia="zh-CN"/>
              </w:rPr>
              <w:t>方案详实、内容完整、操作性强的</w:t>
            </w:r>
            <w:r>
              <w:rPr>
                <w:rFonts w:hint="eastAsia"/>
                <w:b w:val="0"/>
                <w:bCs w:val="0"/>
                <w:color w:val="auto"/>
                <w:highlight w:val="none"/>
                <w:lang w:val="en-US" w:eastAsia="zh-CN"/>
              </w:rPr>
              <w:t>得4.1-5</w:t>
            </w:r>
            <w:r>
              <w:rPr>
                <w:rFonts w:hint="eastAsia"/>
                <w:b w:val="0"/>
                <w:bCs w:val="0"/>
                <w:color w:val="auto"/>
                <w:highlight w:val="none"/>
                <w:lang w:eastAsia="zh-CN"/>
              </w:rPr>
              <w:t>分；</w:t>
            </w:r>
          </w:p>
          <w:p>
            <w:pPr>
              <w:bidi w:val="0"/>
              <w:rPr>
                <w:rFonts w:hint="eastAsia"/>
                <w:b w:val="0"/>
                <w:bCs w:val="0"/>
                <w:color w:val="auto"/>
                <w:highlight w:val="none"/>
                <w:lang w:eastAsia="zh-CN"/>
              </w:rPr>
            </w:pPr>
            <w:r>
              <w:rPr>
                <w:rFonts w:hint="eastAsia"/>
                <w:b w:val="0"/>
                <w:bCs w:val="0"/>
                <w:color w:val="auto"/>
                <w:highlight w:val="none"/>
                <w:lang w:eastAsia="zh-CN"/>
              </w:rPr>
              <w:t>方案合理、内容常规、操作简略的</w:t>
            </w:r>
            <w:r>
              <w:rPr>
                <w:rFonts w:hint="eastAsia"/>
                <w:b w:val="0"/>
                <w:bCs w:val="0"/>
                <w:color w:val="auto"/>
                <w:highlight w:val="none"/>
                <w:lang w:val="en-US" w:eastAsia="zh-CN"/>
              </w:rPr>
              <w:t>得2.1-4</w:t>
            </w:r>
            <w:r>
              <w:rPr>
                <w:rFonts w:hint="eastAsia"/>
                <w:b w:val="0"/>
                <w:bCs w:val="0"/>
                <w:color w:val="auto"/>
                <w:highlight w:val="none"/>
                <w:lang w:eastAsia="zh-CN"/>
              </w:rPr>
              <w:t>分；</w:t>
            </w:r>
          </w:p>
          <w:p>
            <w:pPr>
              <w:bidi w:val="0"/>
              <w:rPr>
                <w:rFonts w:hint="eastAsia"/>
                <w:color w:val="auto"/>
                <w:highlight w:val="none"/>
                <w:lang w:val="en-US" w:eastAsia="zh-CN"/>
              </w:rPr>
            </w:pPr>
            <w:r>
              <w:rPr>
                <w:rFonts w:hint="eastAsia"/>
                <w:b w:val="0"/>
                <w:bCs w:val="0"/>
                <w:color w:val="auto"/>
                <w:highlight w:val="none"/>
                <w:lang w:eastAsia="zh-CN"/>
              </w:rPr>
              <w:t>方案粗糙、内容缺漏、操作性差的</w:t>
            </w:r>
            <w:r>
              <w:rPr>
                <w:rFonts w:hint="eastAsia"/>
                <w:b w:val="0"/>
                <w:bCs w:val="0"/>
                <w:color w:val="auto"/>
                <w:highlight w:val="none"/>
                <w:lang w:val="en-US" w:eastAsia="zh-CN"/>
              </w:rPr>
              <w:t>得0-2</w:t>
            </w:r>
            <w:r>
              <w:rPr>
                <w:rFonts w:hint="eastAsia"/>
                <w:b w:val="0"/>
                <w:bCs w:val="0"/>
                <w:color w:val="auto"/>
                <w:highlight w:val="none"/>
                <w:lang w:eastAsia="zh-CN"/>
              </w:rPr>
              <w:t>分。</w:t>
            </w:r>
          </w:p>
        </w:tc>
        <w:tc>
          <w:tcPr>
            <w:tcW w:w="767" w:type="dxa"/>
            <w:shd w:val="clear" w:color="auto" w:fill="FFFFFF" w:themeFill="background1"/>
            <w:vAlign w:val="center"/>
          </w:tcPr>
          <w:p>
            <w:pPr>
              <w:bidi w:val="0"/>
              <w:jc w:val="center"/>
              <w:rPr>
                <w:rFonts w:hint="default"/>
                <w:color w:val="auto"/>
                <w:highlight w:val="none"/>
                <w:lang w:val="en-US" w:eastAsia="zh-CN"/>
              </w:rPr>
            </w:pP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074" w:type="dxa"/>
            <w:vMerge w:val="continue"/>
            <w:shd w:val="clear" w:color="auto" w:fill="FFFFFF" w:themeFill="background1"/>
            <w:vAlign w:val="center"/>
          </w:tcPr>
          <w:p>
            <w:pPr>
              <w:adjustRightInd w:val="0"/>
              <w:snapToGrid w:val="0"/>
              <w:rPr>
                <w:rFonts w:hint="eastAsia" w:ascii="宋体" w:hAnsi="宋体" w:eastAsia="宋体" w:cs="宋体"/>
                <w:snapToGrid w:val="0"/>
                <w:color w:val="auto"/>
                <w:sz w:val="21"/>
                <w:szCs w:val="21"/>
                <w:highlight w:val="none"/>
              </w:rPr>
            </w:pPr>
          </w:p>
        </w:tc>
        <w:tc>
          <w:tcPr>
            <w:tcW w:w="931" w:type="dxa"/>
            <w:vMerge w:val="restart"/>
            <w:shd w:val="clear" w:color="auto" w:fill="FFFFFF" w:themeFill="background1"/>
            <w:vAlign w:val="center"/>
          </w:tcPr>
          <w:p>
            <w:pPr>
              <w:bidi w:val="0"/>
              <w:jc w:val="center"/>
              <w:rPr>
                <w:color w:val="auto"/>
                <w:highlight w:val="none"/>
              </w:rPr>
            </w:pPr>
          </w:p>
          <w:p>
            <w:pPr>
              <w:bidi w:val="0"/>
              <w:jc w:val="center"/>
              <w:rPr>
                <w:color w:val="auto"/>
                <w:highlight w:val="none"/>
              </w:rPr>
            </w:pPr>
          </w:p>
          <w:p>
            <w:pPr>
              <w:bidi w:val="0"/>
              <w:jc w:val="center"/>
              <w:rPr>
                <w:rFonts w:ascii="Times New Roman" w:hAnsi="Times New Roman" w:eastAsia="宋体" w:cs="Times New Roman"/>
                <w:color w:val="auto"/>
                <w:kern w:val="2"/>
                <w:sz w:val="21"/>
                <w:szCs w:val="24"/>
                <w:highlight w:val="none"/>
                <w:lang w:val="en-US" w:eastAsia="zh-CN" w:bidi="ar-SA"/>
              </w:rPr>
            </w:pPr>
            <w:r>
              <w:rPr>
                <w:color w:val="auto"/>
                <w:highlight w:val="none"/>
              </w:rPr>
              <w:t>售后服务</w:t>
            </w:r>
          </w:p>
          <w:p>
            <w:pPr>
              <w:jc w:val="center"/>
              <w:rPr>
                <w:rFonts w:hint="eastAsia" w:ascii="宋体" w:hAnsi="宋体" w:cs="宋体"/>
                <w:color w:val="auto"/>
                <w:kern w:val="2"/>
                <w:sz w:val="21"/>
                <w:szCs w:val="21"/>
                <w:highlight w:val="none"/>
                <w:lang w:val="en-US" w:eastAsia="zh-CN" w:bidi="ar-SA"/>
              </w:rPr>
            </w:pPr>
          </w:p>
        </w:tc>
        <w:tc>
          <w:tcPr>
            <w:tcW w:w="5744" w:type="dxa"/>
            <w:shd w:val="clear" w:color="auto" w:fill="FFFFFF" w:themeFill="background1"/>
            <w:vAlign w:val="top"/>
          </w:tcPr>
          <w:p>
            <w:pPr>
              <w:bidi w:val="0"/>
              <w:rPr>
                <w:rFonts w:hint="eastAsia"/>
                <w:b w:val="0"/>
                <w:bCs w:val="0"/>
                <w:color w:val="auto"/>
                <w:highlight w:val="none"/>
                <w:lang w:eastAsia="zh-CN"/>
              </w:rPr>
            </w:pPr>
            <w:r>
              <w:rPr>
                <w:rFonts w:hint="eastAsia" w:ascii="宋体" w:hAnsi="宋体" w:eastAsia="宋体" w:cs="宋体"/>
                <w:color w:val="auto"/>
                <w:szCs w:val="21"/>
                <w:highlight w:val="none"/>
              </w:rPr>
              <w:t>根据投标人提供的针对本项目的</w:t>
            </w:r>
            <w:r>
              <w:rPr>
                <w:rFonts w:hint="eastAsia"/>
                <w:b w:val="0"/>
                <w:bCs w:val="0"/>
                <w:color w:val="auto"/>
                <w:highlight w:val="none"/>
                <w:lang w:eastAsia="zh-CN"/>
              </w:rPr>
              <w:t>售后服务方案（定期回访、维修保养、</w:t>
            </w:r>
            <w:r>
              <w:rPr>
                <w:rFonts w:hint="eastAsia"/>
                <w:b w:val="0"/>
                <w:bCs w:val="0"/>
                <w:color w:val="auto"/>
                <w:highlight w:val="none"/>
                <w:lang w:val="en-US" w:eastAsia="zh-CN"/>
              </w:rPr>
              <w:t>响应时间、售后网点</w:t>
            </w:r>
            <w:r>
              <w:rPr>
                <w:rFonts w:hint="eastAsia"/>
                <w:b w:val="0"/>
                <w:bCs w:val="0"/>
                <w:color w:val="auto"/>
                <w:highlight w:val="none"/>
                <w:lang w:eastAsia="zh-CN"/>
              </w:rPr>
              <w:t>等）</w:t>
            </w:r>
            <w:r>
              <w:rPr>
                <w:rFonts w:hint="eastAsia"/>
                <w:b w:val="0"/>
                <w:bCs w:val="0"/>
                <w:color w:val="auto"/>
                <w:highlight w:val="none"/>
                <w:lang w:val="en-US" w:eastAsia="zh-CN"/>
              </w:rPr>
              <w:t>进行评审：</w:t>
            </w:r>
          </w:p>
          <w:p>
            <w:pPr>
              <w:bidi w:val="0"/>
              <w:rPr>
                <w:rFonts w:hint="eastAsia"/>
                <w:b w:val="0"/>
                <w:bCs w:val="0"/>
                <w:color w:val="auto"/>
                <w:highlight w:val="none"/>
                <w:lang w:eastAsia="zh-CN"/>
              </w:rPr>
            </w:pPr>
            <w:r>
              <w:rPr>
                <w:rFonts w:hint="eastAsia"/>
                <w:b w:val="0"/>
                <w:bCs w:val="0"/>
                <w:color w:val="auto"/>
                <w:highlight w:val="none"/>
                <w:lang w:eastAsia="zh-CN"/>
              </w:rPr>
              <w:t>方案详实、内容完整、操作性强的</w:t>
            </w:r>
            <w:r>
              <w:rPr>
                <w:rFonts w:hint="eastAsia"/>
                <w:b w:val="0"/>
                <w:bCs w:val="0"/>
                <w:color w:val="auto"/>
                <w:highlight w:val="none"/>
                <w:lang w:val="en-US" w:eastAsia="zh-CN"/>
              </w:rPr>
              <w:t>得4.1-5</w:t>
            </w:r>
            <w:r>
              <w:rPr>
                <w:rFonts w:hint="eastAsia"/>
                <w:b w:val="0"/>
                <w:bCs w:val="0"/>
                <w:color w:val="auto"/>
                <w:highlight w:val="none"/>
                <w:lang w:eastAsia="zh-CN"/>
              </w:rPr>
              <w:t>分；</w:t>
            </w:r>
          </w:p>
          <w:p>
            <w:pPr>
              <w:bidi w:val="0"/>
              <w:rPr>
                <w:rFonts w:hint="eastAsia"/>
                <w:b w:val="0"/>
                <w:bCs w:val="0"/>
                <w:color w:val="auto"/>
                <w:highlight w:val="none"/>
                <w:lang w:eastAsia="zh-CN"/>
              </w:rPr>
            </w:pPr>
            <w:r>
              <w:rPr>
                <w:rFonts w:hint="eastAsia"/>
                <w:b w:val="0"/>
                <w:bCs w:val="0"/>
                <w:color w:val="auto"/>
                <w:highlight w:val="none"/>
                <w:lang w:eastAsia="zh-CN"/>
              </w:rPr>
              <w:t>方案合理、内容常规、操作简略的</w:t>
            </w:r>
            <w:r>
              <w:rPr>
                <w:rFonts w:hint="eastAsia"/>
                <w:b w:val="0"/>
                <w:bCs w:val="0"/>
                <w:color w:val="auto"/>
                <w:highlight w:val="none"/>
                <w:lang w:val="en-US" w:eastAsia="zh-CN"/>
              </w:rPr>
              <w:t>得2.1-4</w:t>
            </w:r>
            <w:r>
              <w:rPr>
                <w:rFonts w:hint="eastAsia"/>
                <w:b w:val="0"/>
                <w:bCs w:val="0"/>
                <w:color w:val="auto"/>
                <w:highlight w:val="none"/>
                <w:lang w:eastAsia="zh-CN"/>
              </w:rPr>
              <w:t>分；</w:t>
            </w:r>
          </w:p>
          <w:p>
            <w:pPr>
              <w:bidi w:val="0"/>
              <w:rPr>
                <w:rFonts w:hint="eastAsia" w:ascii="Times New Roman" w:hAnsi="Times New Roman" w:eastAsia="宋体" w:cs="Times New Roman"/>
                <w:color w:val="auto"/>
                <w:kern w:val="2"/>
                <w:sz w:val="21"/>
                <w:szCs w:val="24"/>
                <w:highlight w:val="none"/>
                <w:lang w:val="en-US" w:eastAsia="zh-CN" w:bidi="ar-SA"/>
              </w:rPr>
            </w:pPr>
            <w:r>
              <w:rPr>
                <w:rFonts w:hint="eastAsia"/>
                <w:b w:val="0"/>
                <w:bCs w:val="0"/>
                <w:color w:val="auto"/>
                <w:highlight w:val="none"/>
                <w:lang w:eastAsia="zh-CN"/>
              </w:rPr>
              <w:t>方案粗糙、内容缺漏、操作性差的</w:t>
            </w:r>
            <w:r>
              <w:rPr>
                <w:rFonts w:hint="eastAsia"/>
                <w:b w:val="0"/>
                <w:bCs w:val="0"/>
                <w:color w:val="auto"/>
                <w:highlight w:val="none"/>
                <w:lang w:val="en-US" w:eastAsia="zh-CN"/>
              </w:rPr>
              <w:t>得0-2</w:t>
            </w:r>
            <w:r>
              <w:rPr>
                <w:rFonts w:hint="eastAsia"/>
                <w:b w:val="0"/>
                <w:bCs w:val="0"/>
                <w:color w:val="auto"/>
                <w:highlight w:val="none"/>
                <w:lang w:eastAsia="zh-CN"/>
              </w:rPr>
              <w:t>分。</w:t>
            </w:r>
          </w:p>
        </w:tc>
        <w:tc>
          <w:tcPr>
            <w:tcW w:w="767" w:type="dxa"/>
            <w:shd w:val="clear" w:color="auto" w:fill="FFFFFF" w:themeFill="background1"/>
            <w:vAlign w:val="center"/>
          </w:tcPr>
          <w:p>
            <w:pPr>
              <w:bidi w:val="0"/>
              <w:jc w:val="center"/>
              <w:rPr>
                <w:rFonts w:hint="default"/>
                <w:color w:val="auto"/>
                <w:highlight w:val="none"/>
                <w:lang w:val="en-US" w:eastAsia="zh-CN"/>
              </w:rPr>
            </w:pP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4" w:type="dxa"/>
            <w:vMerge w:val="continue"/>
            <w:shd w:val="clear" w:color="auto" w:fill="FFFFFF" w:themeFill="background1"/>
            <w:vAlign w:val="center"/>
          </w:tcPr>
          <w:p>
            <w:pPr>
              <w:adjustRightInd w:val="0"/>
              <w:snapToGrid w:val="0"/>
              <w:rPr>
                <w:rFonts w:hint="eastAsia" w:ascii="宋体" w:hAnsi="宋体" w:eastAsia="宋体" w:cs="宋体"/>
                <w:snapToGrid w:val="0"/>
                <w:color w:val="auto"/>
                <w:sz w:val="21"/>
                <w:szCs w:val="21"/>
                <w:highlight w:val="none"/>
              </w:rPr>
            </w:pPr>
          </w:p>
        </w:tc>
        <w:tc>
          <w:tcPr>
            <w:tcW w:w="931" w:type="dxa"/>
            <w:vMerge w:val="restart"/>
            <w:shd w:val="clear" w:color="auto" w:fill="FFFFFF" w:themeFill="background1"/>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检测报告</w:t>
            </w:r>
          </w:p>
        </w:tc>
        <w:tc>
          <w:tcPr>
            <w:tcW w:w="5744" w:type="dxa"/>
            <w:shd w:val="clear" w:color="auto" w:fill="FFFFFF" w:themeFill="background1"/>
            <w:vAlign w:val="center"/>
          </w:tcPr>
          <w:p>
            <w:pPr>
              <w:pStyle w:val="33"/>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提供国家认可的第三方检测机构出具的</w:t>
            </w:r>
            <w:r>
              <w:rPr>
                <w:rFonts w:hint="eastAsia" w:ascii="Times New Roman" w:hAnsi="Times New Roman" w:cs="Times New Roman"/>
                <w:color w:val="auto"/>
                <w:kern w:val="2"/>
                <w:sz w:val="21"/>
                <w:szCs w:val="24"/>
                <w:highlight w:val="none"/>
                <w:lang w:val="en-US" w:eastAsia="zh-CN" w:bidi="ar-SA"/>
              </w:rPr>
              <w:t>带有“CMA”标志的成品</w:t>
            </w:r>
            <w:r>
              <w:rPr>
                <w:rFonts w:hint="eastAsia" w:ascii="Times New Roman" w:hAnsi="Times New Roman" w:eastAsia="宋体" w:cs="Times New Roman"/>
                <w:color w:val="auto"/>
                <w:kern w:val="2"/>
                <w:sz w:val="21"/>
                <w:szCs w:val="24"/>
                <w:highlight w:val="none"/>
                <w:lang w:val="en-US" w:eastAsia="zh-CN" w:bidi="ar-SA"/>
              </w:rPr>
              <w:t>（指</w:t>
            </w:r>
            <w:r>
              <w:rPr>
                <w:rFonts w:hint="eastAsia" w:ascii="Times New Roman" w:hAnsi="Times New Roman" w:cs="Times New Roman"/>
                <w:color w:val="auto"/>
                <w:kern w:val="2"/>
                <w:sz w:val="21"/>
                <w:szCs w:val="24"/>
                <w:highlight w:val="none"/>
                <w:lang w:val="en-US" w:eastAsia="zh-CN" w:bidi="ar-SA"/>
              </w:rPr>
              <w:t>课桌、午休躺椅</w:t>
            </w:r>
            <w:r>
              <w:rPr>
                <w:rFonts w:hint="eastAsia" w:ascii="Times New Roman" w:hAnsi="Times New Roman" w:eastAsia="宋体" w:cs="Times New Roman"/>
                <w:color w:val="auto"/>
                <w:kern w:val="2"/>
                <w:sz w:val="21"/>
                <w:szCs w:val="24"/>
                <w:highlight w:val="none"/>
                <w:lang w:val="en-US" w:eastAsia="zh-CN" w:bidi="ar-SA"/>
              </w:rPr>
              <w:t>）合格检测报告（有效期内。未注明有效期的，有效期按三年计）。每提供一品类得</w:t>
            </w:r>
            <w:r>
              <w:rPr>
                <w:rFonts w:hint="eastAsia" w:ascii="Times New Roman" w:hAnsi="Times New Roman" w:cs="Times New Roman"/>
                <w:color w:val="auto"/>
                <w:kern w:val="2"/>
                <w:sz w:val="21"/>
                <w:szCs w:val="24"/>
                <w:highlight w:val="none"/>
                <w:lang w:val="en-US" w:eastAsia="zh-CN" w:bidi="ar-SA"/>
              </w:rPr>
              <w:t>0.5</w:t>
            </w:r>
            <w:r>
              <w:rPr>
                <w:rFonts w:hint="eastAsia" w:ascii="Times New Roman" w:hAnsi="Times New Roman" w:eastAsia="宋体" w:cs="Times New Roman"/>
                <w:color w:val="auto"/>
                <w:kern w:val="2"/>
                <w:sz w:val="21"/>
                <w:szCs w:val="24"/>
                <w:highlight w:val="none"/>
                <w:lang w:val="en-US" w:eastAsia="zh-CN" w:bidi="ar-SA"/>
              </w:rPr>
              <w:t>分，最高得</w:t>
            </w:r>
            <w:r>
              <w:rPr>
                <w:rFonts w:hint="eastAsia" w:ascii="Times New Roman" w:hAnsi="Times New Roman"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分。</w:t>
            </w:r>
          </w:p>
          <w:p>
            <w:pPr>
              <w:pStyle w:val="33"/>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课桌的检测报告是指采购需求中“序号26”对应的检测报告；</w:t>
            </w:r>
          </w:p>
          <w:p>
            <w:pPr>
              <w:pStyle w:val="33"/>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午休躺椅的检测报告是指采购需求中“序号46、47、48”对应的检测报告，“序号46、47、48”任意1项不合格的视为不合格。</w:t>
            </w:r>
          </w:p>
        </w:tc>
        <w:tc>
          <w:tcPr>
            <w:tcW w:w="767" w:type="dxa"/>
            <w:shd w:val="clear" w:color="auto" w:fill="FFFFFF" w:themeFill="background1"/>
            <w:vAlign w:val="center"/>
          </w:tcPr>
          <w:p>
            <w:pPr>
              <w:bidi w:val="0"/>
              <w:jc w:val="center"/>
              <w:rPr>
                <w:rFonts w:hint="default"/>
                <w:color w:val="auto"/>
                <w:highlight w:val="none"/>
                <w:lang w:val="en-US" w:eastAsia="zh-CN"/>
              </w:rPr>
            </w:pPr>
            <w:r>
              <w:rPr>
                <w:rFonts w:hint="eastAsia"/>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4" w:type="dxa"/>
            <w:vMerge w:val="continue"/>
            <w:shd w:val="clear" w:color="auto" w:fill="FFFFFF" w:themeFill="background1"/>
            <w:vAlign w:val="center"/>
          </w:tcPr>
          <w:p>
            <w:pPr>
              <w:adjustRightInd w:val="0"/>
              <w:snapToGrid w:val="0"/>
              <w:rPr>
                <w:rFonts w:hint="eastAsia" w:ascii="宋体" w:hAnsi="宋体" w:eastAsia="宋体" w:cs="宋体"/>
                <w:snapToGrid w:val="0"/>
                <w:color w:val="auto"/>
                <w:sz w:val="21"/>
                <w:szCs w:val="21"/>
                <w:highlight w:val="none"/>
              </w:rPr>
            </w:pPr>
          </w:p>
        </w:tc>
        <w:tc>
          <w:tcPr>
            <w:tcW w:w="931" w:type="dxa"/>
            <w:vMerge w:val="continue"/>
            <w:shd w:val="clear" w:color="auto" w:fill="FFFFFF" w:themeFill="background1"/>
            <w:vAlign w:val="center"/>
          </w:tcPr>
          <w:p>
            <w:pPr>
              <w:jc w:val="center"/>
              <w:rPr>
                <w:rFonts w:hint="default" w:ascii="宋体" w:hAnsi="宋体" w:eastAsia="宋体" w:cs="宋体"/>
                <w:color w:val="auto"/>
                <w:kern w:val="2"/>
                <w:sz w:val="21"/>
                <w:szCs w:val="21"/>
                <w:highlight w:val="none"/>
                <w:lang w:val="en-US" w:eastAsia="zh-CN" w:bidi="ar-SA"/>
              </w:rPr>
            </w:pPr>
          </w:p>
        </w:tc>
        <w:tc>
          <w:tcPr>
            <w:tcW w:w="5744" w:type="dxa"/>
            <w:shd w:val="clear" w:color="auto" w:fill="FFFFFF" w:themeFill="background1"/>
            <w:vAlign w:val="center"/>
          </w:tcPr>
          <w:p>
            <w:pPr>
              <w:pStyle w:val="33"/>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w:t>
            </w:r>
            <w:r>
              <w:rPr>
                <w:rFonts w:hint="eastAsia" w:ascii="Times New Roman" w:hAnsi="Times New Roman" w:cs="Times New Roman"/>
                <w:color w:val="auto"/>
                <w:kern w:val="2"/>
                <w:sz w:val="21"/>
                <w:szCs w:val="24"/>
                <w:highlight w:val="none"/>
                <w:lang w:val="en-US" w:eastAsia="zh-CN" w:bidi="ar-SA"/>
              </w:rPr>
              <w:t>国家认可的第三方检测机构出具的带有“CMA”标志的</w:t>
            </w:r>
            <w:r>
              <w:rPr>
                <w:rFonts w:hint="eastAsia" w:ascii="Times New Roman" w:hAnsi="Times New Roman" w:eastAsia="宋体" w:cs="Times New Roman"/>
                <w:color w:val="auto"/>
                <w:kern w:val="2"/>
                <w:sz w:val="21"/>
                <w:szCs w:val="24"/>
                <w:highlight w:val="none"/>
                <w:lang w:val="en-US" w:eastAsia="zh-CN" w:bidi="ar-SA"/>
              </w:rPr>
              <w:t>主要原材料及配件（</w:t>
            </w:r>
            <w:r>
              <w:rPr>
                <w:rFonts w:hint="eastAsia" w:ascii="Times New Roman" w:hAnsi="Times New Roman" w:cs="Times New Roman"/>
                <w:color w:val="auto"/>
                <w:kern w:val="2"/>
                <w:sz w:val="21"/>
                <w:szCs w:val="24"/>
                <w:highlight w:val="none"/>
                <w:lang w:val="en-US" w:eastAsia="zh-CN" w:bidi="ar-SA"/>
              </w:rPr>
              <w:t>指ABS塑料、板材、钢管、脚套、PP塑料</w:t>
            </w:r>
            <w:r>
              <w:rPr>
                <w:rFonts w:hint="eastAsia" w:ascii="Times New Roman" w:hAnsi="Times New Roman" w:eastAsia="宋体" w:cs="Times New Roman"/>
                <w:color w:val="auto"/>
                <w:kern w:val="2"/>
                <w:sz w:val="21"/>
                <w:szCs w:val="24"/>
                <w:highlight w:val="none"/>
                <w:lang w:val="en-US" w:eastAsia="zh-CN" w:bidi="ar-SA"/>
              </w:rPr>
              <w:t>）</w:t>
            </w:r>
            <w:r>
              <w:rPr>
                <w:rFonts w:hint="eastAsia" w:ascii="Times New Roman" w:hAnsi="Times New Roman" w:cs="Times New Roman"/>
                <w:color w:val="auto"/>
                <w:kern w:val="2"/>
                <w:sz w:val="21"/>
                <w:szCs w:val="24"/>
                <w:highlight w:val="none"/>
                <w:lang w:val="en-US" w:eastAsia="zh-CN" w:bidi="ar-SA"/>
              </w:rPr>
              <w:t>合格</w:t>
            </w:r>
            <w:r>
              <w:rPr>
                <w:rFonts w:hint="eastAsia" w:ascii="Times New Roman" w:hAnsi="Times New Roman" w:eastAsia="宋体" w:cs="Times New Roman"/>
                <w:color w:val="auto"/>
                <w:kern w:val="2"/>
                <w:sz w:val="21"/>
                <w:szCs w:val="24"/>
                <w:highlight w:val="none"/>
                <w:lang w:val="en-US" w:eastAsia="zh-CN" w:bidi="ar-SA"/>
              </w:rPr>
              <w:t>检测报告</w:t>
            </w:r>
            <w:r>
              <w:rPr>
                <w:rFonts w:hint="eastAsia" w:ascii="Times New Roman" w:hAnsi="Times New Roman" w:cs="Times New Roman"/>
                <w:color w:val="auto"/>
                <w:kern w:val="2"/>
                <w:sz w:val="21"/>
                <w:szCs w:val="24"/>
                <w:highlight w:val="none"/>
                <w:lang w:val="en-US" w:eastAsia="zh-CN" w:bidi="ar-SA"/>
              </w:rPr>
              <w:t>（有效期内。未注明有效期的，有效期按三年计）</w:t>
            </w:r>
            <w:r>
              <w:rPr>
                <w:rFonts w:hint="eastAsia" w:ascii="Times New Roman" w:hAnsi="Times New Roman" w:eastAsia="宋体" w:cs="Times New Roman"/>
                <w:color w:val="auto"/>
                <w:kern w:val="2"/>
                <w:sz w:val="21"/>
                <w:szCs w:val="24"/>
                <w:highlight w:val="none"/>
                <w:lang w:val="en-US" w:eastAsia="zh-CN" w:bidi="ar-SA"/>
              </w:rPr>
              <w:t>。每提供一品类得</w:t>
            </w:r>
            <w:r>
              <w:rPr>
                <w:rFonts w:hint="eastAsia" w:ascii="Times New Roman" w:hAnsi="Times New Roman" w:cs="Times New Roman"/>
                <w:color w:val="auto"/>
                <w:kern w:val="2"/>
                <w:sz w:val="21"/>
                <w:szCs w:val="24"/>
                <w:highlight w:val="none"/>
                <w:lang w:val="en-US" w:eastAsia="zh-CN" w:bidi="ar-SA"/>
              </w:rPr>
              <w:t>0.5</w:t>
            </w:r>
            <w:r>
              <w:rPr>
                <w:rFonts w:hint="eastAsia" w:ascii="Times New Roman" w:hAnsi="Times New Roman" w:eastAsia="宋体" w:cs="Times New Roman"/>
                <w:color w:val="auto"/>
                <w:kern w:val="2"/>
                <w:sz w:val="21"/>
                <w:szCs w:val="24"/>
                <w:highlight w:val="none"/>
                <w:lang w:val="en-US" w:eastAsia="zh-CN" w:bidi="ar-SA"/>
              </w:rPr>
              <w:t>分，最高得</w:t>
            </w:r>
            <w:r>
              <w:rPr>
                <w:rFonts w:hint="eastAsia" w:ascii="Times New Roman" w:hAnsi="Times New Roman"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分。</w:t>
            </w:r>
          </w:p>
        </w:tc>
        <w:tc>
          <w:tcPr>
            <w:tcW w:w="767" w:type="dxa"/>
            <w:shd w:val="clear" w:color="auto" w:fill="FFFFFF" w:themeFill="background1"/>
            <w:vAlign w:val="center"/>
          </w:tcPr>
          <w:p>
            <w:pPr>
              <w:bidi w:val="0"/>
              <w:jc w:val="center"/>
              <w:rPr>
                <w:rFonts w:hint="eastAsia"/>
                <w:color w:val="auto"/>
                <w:highlight w:val="none"/>
                <w:lang w:val="en-US" w:eastAsia="zh-CN"/>
              </w:rPr>
            </w:pPr>
            <w:r>
              <w:rPr>
                <w:rFonts w:hint="eastAsia"/>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74" w:type="dxa"/>
            <w:vMerge w:val="continue"/>
            <w:shd w:val="clear" w:color="auto" w:fill="FFFFFF" w:themeFill="background1"/>
            <w:vAlign w:val="center"/>
          </w:tcPr>
          <w:p>
            <w:pPr>
              <w:adjustRightInd w:val="0"/>
              <w:snapToGrid w:val="0"/>
              <w:rPr>
                <w:rFonts w:hint="eastAsia" w:ascii="宋体" w:hAnsi="宋体" w:eastAsia="宋体" w:cs="宋体"/>
                <w:snapToGrid w:val="0"/>
                <w:color w:val="auto"/>
                <w:sz w:val="21"/>
                <w:szCs w:val="21"/>
                <w:highlight w:val="none"/>
              </w:rPr>
            </w:pPr>
          </w:p>
        </w:tc>
        <w:tc>
          <w:tcPr>
            <w:tcW w:w="931" w:type="dxa"/>
            <w:shd w:val="clear" w:color="auto" w:fill="FFFFFF" w:themeFill="background1"/>
            <w:vAlign w:val="center"/>
          </w:tcPr>
          <w:p>
            <w:pPr>
              <w:bidi w:val="0"/>
              <w:jc w:val="center"/>
              <w:rPr>
                <w:rFonts w:hint="default" w:eastAsia="宋体"/>
                <w:b w:val="0"/>
                <w:bCs w:val="0"/>
                <w:color w:val="auto"/>
                <w:highlight w:val="none"/>
                <w:lang w:val="en-US" w:eastAsia="zh-CN"/>
              </w:rPr>
            </w:pPr>
            <w:r>
              <w:rPr>
                <w:rFonts w:hint="eastAsia"/>
                <w:b w:val="0"/>
                <w:bCs w:val="0"/>
                <w:color w:val="auto"/>
                <w:highlight w:val="none"/>
                <w:lang w:val="en-US" w:eastAsia="zh-CN"/>
              </w:rPr>
              <w:t>投标人或制造商企业实力</w:t>
            </w:r>
          </w:p>
        </w:tc>
        <w:tc>
          <w:tcPr>
            <w:tcW w:w="5744" w:type="dxa"/>
            <w:shd w:val="clear" w:color="auto" w:fill="FFFFFF" w:themeFill="background1"/>
            <w:vAlign w:val="center"/>
          </w:tcPr>
          <w:p>
            <w:pPr>
              <w:bidi w:val="0"/>
              <w:rPr>
                <w:rFonts w:hint="eastAsia"/>
                <w:b w:val="0"/>
                <w:bCs w:val="0"/>
                <w:color w:val="auto"/>
                <w:highlight w:val="none"/>
                <w:lang w:eastAsia="zh-CN"/>
              </w:rPr>
            </w:pPr>
            <w:r>
              <w:rPr>
                <w:rFonts w:hint="eastAsia"/>
                <w:b w:val="0"/>
                <w:bCs w:val="0"/>
                <w:color w:val="auto"/>
                <w:highlight w:val="none"/>
                <w:lang w:eastAsia="zh-CN"/>
              </w:rPr>
              <w:t>具有ISO14001环境管理体系认证证书、ISO45001职业健康安全管理体系认证证书、ISO9001质量管理体系证书、</w:t>
            </w:r>
            <w:r>
              <w:rPr>
                <w:rFonts w:hint="eastAsia" w:ascii="宋体" w:hAnsi="宋体" w:eastAsia="宋体" w:cs="宋体"/>
                <w:color w:val="auto"/>
                <w:sz w:val="21"/>
                <w:szCs w:val="21"/>
                <w:highlight w:val="none"/>
              </w:rPr>
              <w:t>中国环保</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认证</w:t>
            </w:r>
            <w:r>
              <w:rPr>
                <w:rFonts w:hint="eastAsia" w:ascii="宋体" w:hAnsi="宋体" w:eastAsia="宋体" w:cs="宋体"/>
                <w:color w:val="auto"/>
                <w:sz w:val="21"/>
                <w:szCs w:val="21"/>
                <w:highlight w:val="none"/>
                <w:lang w:val="en-US" w:eastAsia="zh-CN"/>
              </w:rPr>
              <w:t>证书</w:t>
            </w:r>
            <w:r>
              <w:rPr>
                <w:rFonts w:hint="eastAsia"/>
                <w:b w:val="0"/>
                <w:bCs w:val="0"/>
                <w:color w:val="auto"/>
                <w:highlight w:val="none"/>
                <w:lang w:eastAsia="zh-CN"/>
              </w:rPr>
              <w:t>且在有效期内，每提供一个得</w:t>
            </w:r>
            <w:r>
              <w:rPr>
                <w:rFonts w:hint="eastAsia"/>
                <w:b w:val="0"/>
                <w:bCs w:val="0"/>
                <w:color w:val="auto"/>
                <w:highlight w:val="none"/>
                <w:lang w:val="en-US" w:eastAsia="zh-CN"/>
              </w:rPr>
              <w:t>1</w:t>
            </w:r>
            <w:r>
              <w:rPr>
                <w:rFonts w:hint="eastAsia"/>
                <w:b w:val="0"/>
                <w:bCs w:val="0"/>
                <w:color w:val="auto"/>
                <w:highlight w:val="none"/>
                <w:lang w:eastAsia="zh-CN"/>
              </w:rPr>
              <w:t>分，最高得</w:t>
            </w:r>
            <w:r>
              <w:rPr>
                <w:rFonts w:hint="eastAsia"/>
                <w:b w:val="0"/>
                <w:bCs w:val="0"/>
                <w:color w:val="auto"/>
                <w:highlight w:val="none"/>
                <w:lang w:val="en-US" w:eastAsia="zh-CN"/>
              </w:rPr>
              <w:t>4</w:t>
            </w:r>
            <w:r>
              <w:rPr>
                <w:rFonts w:hint="eastAsia"/>
                <w:b w:val="0"/>
                <w:bCs w:val="0"/>
                <w:color w:val="auto"/>
                <w:highlight w:val="none"/>
                <w:lang w:eastAsia="zh-CN"/>
              </w:rPr>
              <w:t>分。</w:t>
            </w:r>
          </w:p>
          <w:p>
            <w:pPr>
              <w:bidi w:val="0"/>
              <w:rPr>
                <w:rFonts w:hint="eastAsia"/>
                <w:b/>
                <w:bCs/>
                <w:color w:val="auto"/>
                <w:highlight w:val="none"/>
                <w:lang w:eastAsia="zh-CN"/>
              </w:rPr>
            </w:pPr>
            <w:r>
              <w:rPr>
                <w:rFonts w:hint="eastAsia"/>
                <w:b/>
                <w:bCs/>
                <w:color w:val="auto"/>
                <w:highlight w:val="none"/>
                <w:lang w:eastAsia="zh-CN"/>
              </w:rPr>
              <w:t>需提供由具备有效资质的认证机构出具的证书扫描件或权威网站（如：全国认证认可信息公共服务平台）查询页面截图。</w:t>
            </w:r>
          </w:p>
        </w:tc>
        <w:tc>
          <w:tcPr>
            <w:tcW w:w="767" w:type="dxa"/>
            <w:shd w:val="clear" w:color="auto" w:fill="FFFFFF" w:themeFill="background1"/>
            <w:vAlign w:val="center"/>
          </w:tcPr>
          <w:p>
            <w:pPr>
              <w:bidi w:val="0"/>
              <w:jc w:val="center"/>
              <w:rPr>
                <w:rFonts w:hint="default"/>
                <w:color w:val="auto"/>
                <w:highlight w:val="none"/>
                <w:lang w:val="en-US" w:eastAsia="zh-CN"/>
              </w:rPr>
            </w:pPr>
            <w:r>
              <w:rPr>
                <w:rFonts w:hint="eastAsia"/>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4" w:type="dxa"/>
            <w:vMerge w:val="continue"/>
            <w:shd w:val="clear" w:color="auto" w:fill="FFFFFF" w:themeFill="background1"/>
            <w:vAlign w:val="center"/>
          </w:tcPr>
          <w:p>
            <w:pPr>
              <w:adjustRightInd w:val="0"/>
              <w:snapToGrid w:val="0"/>
              <w:rPr>
                <w:rFonts w:hint="eastAsia" w:ascii="宋体" w:hAnsi="宋体" w:eastAsia="宋体" w:cs="宋体"/>
                <w:snapToGrid w:val="0"/>
                <w:color w:val="auto"/>
                <w:sz w:val="21"/>
                <w:szCs w:val="21"/>
                <w:highlight w:val="none"/>
              </w:rPr>
            </w:pPr>
          </w:p>
        </w:tc>
        <w:tc>
          <w:tcPr>
            <w:tcW w:w="931" w:type="dxa"/>
            <w:shd w:val="clear" w:color="auto" w:fill="FFFFFF" w:themeFill="background1"/>
            <w:vAlign w:val="center"/>
          </w:tcPr>
          <w:p>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业绩</w:t>
            </w:r>
          </w:p>
        </w:tc>
        <w:tc>
          <w:tcPr>
            <w:tcW w:w="5744" w:type="dxa"/>
            <w:shd w:val="clear" w:color="auto" w:fill="FFFFFF" w:themeFill="background1"/>
            <w:vAlign w:val="center"/>
          </w:tcPr>
          <w:p>
            <w:pPr>
              <w:bidi w:val="0"/>
              <w:rPr>
                <w:rFonts w:hint="eastAsia"/>
                <w:color w:val="auto"/>
                <w:highlight w:val="none"/>
                <w:lang w:val="en-US" w:eastAsia="zh-CN"/>
              </w:rPr>
            </w:pPr>
            <w:r>
              <w:rPr>
                <w:rFonts w:hint="eastAsia"/>
                <w:color w:val="auto"/>
                <w:highlight w:val="none"/>
              </w:rPr>
              <w:t>根据</w:t>
            </w:r>
            <w:r>
              <w:rPr>
                <w:rFonts w:hint="eastAsia"/>
                <w:color w:val="auto"/>
                <w:highlight w:val="none"/>
                <w:lang w:val="en-US" w:eastAsia="zh-CN"/>
              </w:rPr>
              <w:t>投标人2021年01月01日至今（以合同签订时间为准）</w:t>
            </w:r>
            <w:r>
              <w:rPr>
                <w:rFonts w:hint="eastAsia"/>
                <w:color w:val="auto"/>
                <w:highlight w:val="none"/>
              </w:rPr>
              <w:t>的</w:t>
            </w:r>
            <w:r>
              <w:rPr>
                <w:rFonts w:hint="eastAsia"/>
                <w:color w:val="auto"/>
                <w:highlight w:val="none"/>
                <w:lang w:eastAsia="zh-CN"/>
              </w:rPr>
              <w:t>同类</w:t>
            </w:r>
            <w:r>
              <w:rPr>
                <w:rFonts w:hint="eastAsia"/>
                <w:color w:val="auto"/>
                <w:highlight w:val="none"/>
              </w:rPr>
              <w:t>项目业绩</w:t>
            </w:r>
            <w:r>
              <w:rPr>
                <w:rFonts w:hint="eastAsia"/>
                <w:color w:val="auto"/>
                <w:highlight w:val="none"/>
                <w:lang w:eastAsia="zh-CN"/>
              </w:rPr>
              <w:t>（</w:t>
            </w:r>
            <w:r>
              <w:rPr>
                <w:rFonts w:hint="eastAsia"/>
                <w:color w:val="auto"/>
                <w:highlight w:val="none"/>
                <w:lang w:val="en-US" w:eastAsia="zh-CN"/>
              </w:rPr>
              <w:t>指午休课桌椅</w:t>
            </w:r>
            <w:r>
              <w:rPr>
                <w:rFonts w:hint="eastAsia"/>
                <w:color w:val="auto"/>
                <w:highlight w:val="none"/>
                <w:lang w:eastAsia="zh-CN"/>
              </w:rPr>
              <w:t>）</w:t>
            </w:r>
            <w:r>
              <w:rPr>
                <w:rFonts w:hint="eastAsia"/>
                <w:color w:val="auto"/>
                <w:highlight w:val="none"/>
              </w:rPr>
              <w:t>的数量</w:t>
            </w:r>
            <w:r>
              <w:rPr>
                <w:rFonts w:hint="eastAsia"/>
                <w:color w:val="auto"/>
                <w:highlight w:val="none"/>
                <w:lang w:eastAsia="zh-CN"/>
              </w:rPr>
              <w:t>进行评审，每提供一个业绩得</w:t>
            </w:r>
            <w:r>
              <w:rPr>
                <w:rFonts w:hint="eastAsia"/>
                <w:color w:val="auto"/>
                <w:highlight w:val="none"/>
                <w:lang w:val="en-US" w:eastAsia="zh-CN"/>
              </w:rPr>
              <w:t>1分，最高得2分。</w:t>
            </w:r>
          </w:p>
          <w:p>
            <w:pPr>
              <w:bidi w:val="0"/>
              <w:rPr>
                <w:rFonts w:hint="eastAsia" w:ascii="Times New Roman" w:hAnsi="Times New Roman" w:eastAsia="宋体" w:cs="Times New Roman"/>
                <w:color w:val="auto"/>
                <w:kern w:val="2"/>
                <w:sz w:val="21"/>
                <w:szCs w:val="24"/>
                <w:highlight w:val="none"/>
                <w:lang w:val="en-US" w:eastAsia="zh-CN" w:bidi="ar-SA"/>
              </w:rPr>
            </w:pPr>
            <w:r>
              <w:rPr>
                <w:rFonts w:hint="eastAsia"/>
                <w:b/>
                <w:bCs/>
                <w:color w:val="auto"/>
                <w:highlight w:val="none"/>
                <w:lang w:eastAsia="zh-CN"/>
              </w:rPr>
              <w:t>业绩证明为合同，未提供的不计入评审。</w:t>
            </w:r>
          </w:p>
        </w:tc>
        <w:tc>
          <w:tcPr>
            <w:tcW w:w="767" w:type="dxa"/>
            <w:shd w:val="clear" w:color="auto" w:fill="FFFFFF" w:themeFill="background1"/>
            <w:vAlign w:val="center"/>
          </w:tcPr>
          <w:p>
            <w:pPr>
              <w:bidi w:val="0"/>
              <w:jc w:val="center"/>
              <w:rPr>
                <w:rFonts w:hint="default"/>
                <w:color w:val="auto"/>
                <w:highlight w:val="none"/>
                <w:lang w:val="en-US" w:eastAsia="zh-CN"/>
              </w:rPr>
            </w:pPr>
            <w:r>
              <w:rPr>
                <w:rFonts w:hint="eastAsia"/>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74" w:type="dxa"/>
            <w:shd w:val="clear" w:color="auto" w:fill="FFFFFF" w:themeFill="background1"/>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商务标</w:t>
            </w:r>
          </w:p>
        </w:tc>
        <w:tc>
          <w:tcPr>
            <w:tcW w:w="6675" w:type="dxa"/>
            <w:gridSpan w:val="2"/>
            <w:shd w:val="clear" w:color="auto" w:fill="FFFFFF" w:themeFill="background1"/>
            <w:vAlign w:val="center"/>
          </w:tcPr>
          <w:p>
            <w:pP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取投标合格</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的投标最终报价最低价为基准价。基准价为</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分。投标报价得分＝（评标基准价/最终投标报价）×</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rPr>
              <w:t>%×100（小数点后保留2位小数）。</w:t>
            </w:r>
          </w:p>
        </w:tc>
        <w:tc>
          <w:tcPr>
            <w:tcW w:w="767" w:type="dxa"/>
            <w:shd w:val="clear" w:color="auto" w:fill="FFFFFF" w:themeFill="background1"/>
            <w:vAlign w:val="center"/>
          </w:tcPr>
          <w:p>
            <w:pPr>
              <w:bidi w:val="0"/>
              <w:jc w:val="center"/>
              <w:rPr>
                <w:rFonts w:hint="default"/>
                <w:color w:val="auto"/>
                <w:highlight w:val="none"/>
                <w:lang w:val="en-US" w:eastAsia="zh-CN"/>
              </w:rPr>
            </w:pPr>
            <w:r>
              <w:rPr>
                <w:rFonts w:hint="eastAsia"/>
                <w:color w:val="auto"/>
                <w:highlight w:val="none"/>
                <w:lang w:val="en-US" w:eastAsia="zh-CN"/>
              </w:rPr>
              <w:t>70</w:t>
            </w:r>
          </w:p>
        </w:tc>
      </w:tr>
    </w:tbl>
    <w:p>
      <w:pPr>
        <w:pStyle w:val="15"/>
        <w:keepNext w:val="0"/>
        <w:keepLines w:val="0"/>
        <w:pageBreakBefore w:val="0"/>
        <w:widowControl w:val="0"/>
        <w:numPr>
          <w:ilvl w:val="0"/>
          <w:numId w:val="57"/>
        </w:numPr>
        <w:kinsoku/>
        <w:wordWrap/>
        <w:overflowPunct/>
        <w:topLinePunct w:val="0"/>
        <w:autoSpaceDE/>
        <w:autoSpaceDN/>
        <w:bidi w:val="0"/>
        <w:adjustRightInd/>
        <w:snapToGrid/>
        <w:spacing w:line="360" w:lineRule="auto"/>
        <w:ind w:left="0" w:leftChars="0" w:firstLine="482" w:firstLineChars="200"/>
        <w:jc w:val="left"/>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评审要求</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color w:val="auto"/>
          <w:sz w:val="24"/>
          <w:highlight w:val="none"/>
        </w:rPr>
        <w:t>评标委员会应当按照招标文件中规定的评标方法和标准，对符合性审查合格的</w:t>
      </w:r>
      <w:r>
        <w:rPr>
          <w:rFonts w:hint="eastAsia" w:ascii="宋体" w:hAnsi="宋体" w:cs="宋体"/>
          <w:b w:val="0"/>
          <w:bCs w:val="0"/>
          <w:color w:val="auto"/>
          <w:sz w:val="24"/>
          <w:highlight w:val="none"/>
        </w:rPr>
        <w:t>投标文件的商务部分和技术部分进行综合比较与评价，其中</w:t>
      </w:r>
      <w:r>
        <w:rPr>
          <w:rFonts w:hint="eastAsia" w:ascii="宋体"/>
          <w:b w:val="0"/>
          <w:bCs w:val="0"/>
          <w:color w:val="auto"/>
          <w:sz w:val="24"/>
          <w:highlight w:val="none"/>
          <w:lang w:val="zh-CN"/>
        </w:rPr>
        <w:t>客观</w:t>
      </w:r>
      <w:r>
        <w:rPr>
          <w:rFonts w:hint="eastAsia" w:ascii="宋体"/>
          <w:b w:val="0"/>
          <w:bCs w:val="0"/>
          <w:color w:val="auto"/>
          <w:sz w:val="24"/>
          <w:highlight w:val="none"/>
        </w:rPr>
        <w:t>评分项的分值</w:t>
      </w:r>
      <w:r>
        <w:rPr>
          <w:rFonts w:hint="eastAsia" w:ascii="宋体"/>
          <w:b w:val="0"/>
          <w:bCs w:val="0"/>
          <w:color w:val="auto"/>
          <w:sz w:val="24"/>
          <w:highlight w:val="none"/>
          <w:lang w:val="zh-CN"/>
        </w:rPr>
        <w:t>应当一致。</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对于投标文件报价出现前后不一致的，除招标文件另有规定外，按照下列规定修正：</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“台州湾新区小额工程电子交易平台”上开启的投标报价与电子投标文件中开标一览表（报价表）内容不一致的，以电子投标文件中开标一览表（报价表）为准；</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投标文件中开标一览表（报价表）内容与投标文件中相应内容不一致的，以开标一览表（报价表）为准；</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大写金额和小写金额不一致的，以大写金额为准。</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单价金额小数点或者百分比有明显错位的，以开标一览表的总价为准，并修改单价；</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同时出现两种以上不一致的，按照前款规定的顺序修正。修正应当采用询标的形式，并加盖公章。</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对于投标文件中含义不明确、同类问题表述不一致或者有明显文字和计算错误的内容，评标委员会应当要求投标人作出必要的澄清、说明或者补正。</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2" w:firstLineChars="200"/>
        <w:jc w:val="left"/>
        <w:textAlignment w:val="auto"/>
        <w:rPr>
          <w:rFonts w:ascii="宋体"/>
          <w:color w:val="auto"/>
          <w:sz w:val="24"/>
          <w:highlight w:val="none"/>
        </w:rPr>
      </w:pPr>
      <w:r>
        <w:rPr>
          <w:rFonts w:hint="eastAsia" w:ascii="宋体" w:hAnsi="宋体" w:cs="宋体"/>
          <w:b/>
          <w:bCs/>
          <w:color w:val="auto"/>
          <w:sz w:val="24"/>
          <w:highlight w:val="none"/>
        </w:rPr>
        <w:t>结果汇总及排序</w:t>
      </w:r>
    </w:p>
    <w:p>
      <w:pPr>
        <w:keepNext w:val="0"/>
        <w:keepLines w:val="0"/>
        <w:pageBreakBefore w:val="0"/>
        <w:widowControl w:val="0"/>
        <w:numPr>
          <w:ilvl w:val="0"/>
          <w:numId w:val="6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en-US" w:eastAsia="zh-CN"/>
        </w:rPr>
        <w:t>综合</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eastAsia="宋体" w:cs="宋体"/>
          <w:color w:val="auto"/>
          <w:sz w:val="24"/>
          <w:szCs w:val="24"/>
          <w:highlight w:val="none"/>
          <w:lang w:val="zh-CN"/>
        </w:rPr>
        <w:t>综合得分且投标报价</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lang w:val="zh-CN"/>
        </w:rPr>
        <w:t>相同的，</w:t>
      </w:r>
      <w:r>
        <w:rPr>
          <w:rFonts w:hint="eastAsia" w:ascii="宋体" w:hAnsi="宋体" w:eastAsia="宋体" w:cs="宋体"/>
          <w:color w:val="auto"/>
          <w:sz w:val="24"/>
          <w:szCs w:val="24"/>
          <w:highlight w:val="none"/>
          <w:lang w:val="en-US" w:eastAsia="zh-CN"/>
        </w:rPr>
        <w:t>则</w:t>
      </w:r>
      <w:r>
        <w:rPr>
          <w:rFonts w:hint="eastAsia" w:ascii="宋体" w:hAnsi="宋体" w:cs="宋体"/>
          <w:color w:val="auto"/>
          <w:sz w:val="24"/>
          <w:szCs w:val="24"/>
          <w:highlight w:val="none"/>
          <w:lang w:val="zh-CN"/>
        </w:rPr>
        <w:t>抽签确定</w:t>
      </w:r>
      <w:r>
        <w:rPr>
          <w:rFonts w:hint="eastAsia" w:ascii="宋体" w:hAnsi="宋体" w:cs="宋体"/>
          <w:color w:val="auto"/>
          <w:sz w:val="24"/>
          <w:highlight w:val="none"/>
          <w:lang w:val="zh-CN"/>
        </w:rPr>
        <w:t>。</w:t>
      </w:r>
      <w:r>
        <w:rPr>
          <w:rFonts w:hint="eastAsia" w:ascii="宋体" w:hAnsi="宋体" w:eastAsia="宋体" w:cs="宋体"/>
          <w:color w:val="auto"/>
          <w:sz w:val="24"/>
          <w:szCs w:val="24"/>
          <w:highlight w:val="none"/>
        </w:rPr>
        <w:t>在投标文件满足招标文件全部实质性要求前提下，评标委员会按照评审因素的量化指标进行综合评审，以评标总得分由高到低的顺序推荐2名中标候选人</w:t>
      </w:r>
      <w:r>
        <w:rPr>
          <w:rFonts w:hint="eastAsia" w:ascii="宋体" w:hAnsi="宋体" w:cs="宋体"/>
          <w:color w:val="auto"/>
          <w:sz w:val="24"/>
          <w:highlight w:val="none"/>
        </w:rPr>
        <w:t>。</w:t>
      </w:r>
    </w:p>
    <w:p>
      <w:pPr>
        <w:keepNext w:val="0"/>
        <w:keepLines w:val="0"/>
        <w:pageBreakBefore w:val="0"/>
        <w:widowControl w:val="0"/>
        <w:numPr>
          <w:ilvl w:val="0"/>
          <w:numId w:val="63"/>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提供相同品牌产品的（</w:t>
      </w:r>
      <w:r>
        <w:rPr>
          <w:rFonts w:hint="eastAsia" w:ascii="宋体" w:hAnsi="宋体" w:cs="宋体"/>
          <w:color w:val="auto"/>
          <w:sz w:val="24"/>
          <w:highlight w:val="none"/>
          <w:lang w:val="en-US" w:eastAsia="zh-CN"/>
        </w:rPr>
        <w:t>任意一个核心</w:t>
      </w:r>
      <w:r>
        <w:rPr>
          <w:rFonts w:hint="eastAsia" w:ascii="宋体" w:hAnsi="宋体" w:cs="宋体"/>
          <w:color w:val="auto"/>
          <w:sz w:val="24"/>
          <w:highlight w:val="none"/>
        </w:rPr>
        <w:t>产品品牌相同的，视为提供相同品牌产品），按照《政府采购货物和服务招标投标管理办法》（第87号令）第三十一条有关规定执行。</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评标报告撰写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bookmarkStart w:id="38" w:name="_Toc24360"/>
    </w:p>
    <w:p>
      <w:pPr>
        <w:rPr>
          <w:rFonts w:hint="eastAsia" w:ascii="宋体" w:hAnsi="宋体" w:cs="宋体"/>
          <w:color w:val="auto"/>
          <w:sz w:val="24"/>
          <w:highlight w:val="none"/>
        </w:rPr>
      </w:pPr>
      <w:r>
        <w:rPr>
          <w:rFonts w:hint="eastAsia" w:ascii="宋体" w:hAnsi="宋体" w:cs="宋体"/>
          <w:color w:val="auto"/>
          <w:sz w:val="24"/>
          <w:highlight w:val="none"/>
        </w:rPr>
        <w:br w:type="page"/>
      </w:r>
    </w:p>
    <w:p>
      <w:pPr>
        <w:rPr>
          <w:rFonts w:asciiTheme="minorEastAsia" w:hAnsiTheme="minorEastAsia" w:eastAsiaTheme="minorEastAsia"/>
          <w:b/>
          <w:color w:val="auto"/>
          <w:sz w:val="36"/>
          <w:szCs w:val="36"/>
          <w:highlight w:val="none"/>
        </w:rPr>
      </w:pPr>
    </w:p>
    <w:p>
      <w:pPr>
        <w:numPr>
          <w:ilvl w:val="0"/>
          <w:numId w:val="17"/>
        </w:numPr>
        <w:tabs>
          <w:tab w:val="left" w:pos="2218"/>
          <w:tab w:val="center" w:pos="5283"/>
        </w:tabs>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拟签订的合同文本</w:t>
      </w:r>
      <w:bookmarkEnd w:id="38"/>
    </w:p>
    <w:p>
      <w:pPr>
        <w:jc w:val="center"/>
        <w:rPr>
          <w:b/>
          <w:bCs/>
          <w:color w:val="auto"/>
          <w:sz w:val="52"/>
          <w:szCs w:val="52"/>
          <w:highlight w:val="none"/>
        </w:rPr>
      </w:pPr>
      <w:r>
        <w:rPr>
          <w:rFonts w:hint="eastAsia"/>
          <w:b/>
          <w:bCs/>
          <w:color w:val="auto"/>
          <w:sz w:val="52"/>
          <w:szCs w:val="52"/>
          <w:highlight w:val="none"/>
          <w:lang w:eastAsia="zh-CN"/>
        </w:rPr>
        <w:t>台州市云湖小学午休躺睡桌椅采购项目</w:t>
      </w:r>
      <w:r>
        <w:rPr>
          <w:rFonts w:hint="eastAsia"/>
          <w:b/>
          <w:bCs/>
          <w:color w:val="auto"/>
          <w:sz w:val="52"/>
          <w:szCs w:val="52"/>
          <w:highlight w:val="none"/>
        </w:rPr>
        <w:t>合同</w:t>
      </w: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sz w:val="30"/>
          <w:szCs w:val="30"/>
          <w:highlight w:val="none"/>
        </w:rPr>
      </w:pPr>
    </w:p>
    <w:p>
      <w:pPr>
        <w:ind w:firstLine="1807" w:firstLineChars="600"/>
        <w:rPr>
          <w:b/>
          <w:bCs/>
          <w:color w:val="auto"/>
          <w:sz w:val="30"/>
          <w:szCs w:val="30"/>
          <w:highlight w:val="none"/>
        </w:rPr>
      </w:pPr>
    </w:p>
    <w:p>
      <w:pPr>
        <w:ind w:firstLine="1807" w:firstLineChars="600"/>
        <w:rPr>
          <w:b/>
          <w:bCs/>
          <w:color w:val="auto"/>
          <w:sz w:val="30"/>
          <w:szCs w:val="30"/>
          <w:highlight w:val="none"/>
        </w:rPr>
      </w:pPr>
    </w:p>
    <w:p>
      <w:pPr>
        <w:ind w:firstLine="1807" w:firstLineChars="600"/>
        <w:rPr>
          <w:b/>
          <w:bCs/>
          <w:color w:val="auto"/>
          <w:sz w:val="30"/>
          <w:szCs w:val="30"/>
          <w:highlight w:val="none"/>
        </w:rPr>
      </w:pPr>
    </w:p>
    <w:p>
      <w:pPr>
        <w:widowControl/>
        <w:snapToGrid w:val="0"/>
        <w:spacing w:before="100" w:beforeAutospacing="1" w:after="100" w:afterAutospacing="1" w:line="320" w:lineRule="atLeast"/>
        <w:ind w:firstLine="420" w:firstLineChars="150"/>
        <w:jc w:val="left"/>
        <w:rPr>
          <w:rFonts w:hint="eastAsia" w:ascii="宋体" w:hAnsi="宋体" w:eastAsia="宋体" w:cs="宋体"/>
          <w:color w:val="auto"/>
          <w:kern w:val="0"/>
          <w:sz w:val="28"/>
          <w:szCs w:val="28"/>
          <w:highlight w:val="none"/>
          <w:u w:val="single"/>
          <w:lang w:eastAsia="zh-CN"/>
        </w:rPr>
      </w:pPr>
      <w:r>
        <w:rPr>
          <w:rFonts w:hint="eastAsia" w:ascii="宋体" w:hAnsi="宋体" w:cs="宋体"/>
          <w:color w:val="auto"/>
          <w:kern w:val="0"/>
          <w:sz w:val="28"/>
          <w:szCs w:val="28"/>
          <w:highlight w:val="none"/>
        </w:rPr>
        <w:t>项  目 名  称：</w:t>
      </w:r>
      <w:r>
        <w:rPr>
          <w:rFonts w:hint="eastAsia" w:ascii="宋体" w:hAnsi="宋体" w:cs="宋体"/>
          <w:color w:val="auto"/>
          <w:kern w:val="0"/>
          <w:sz w:val="28"/>
          <w:szCs w:val="28"/>
          <w:highlight w:val="none"/>
          <w:u w:val="single"/>
          <w:lang w:eastAsia="zh-CN"/>
        </w:rPr>
        <w:t>台州市云湖小学午休躺睡桌椅采购项目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  目 地  点：</w:t>
      </w:r>
      <w:r>
        <w:rPr>
          <w:rFonts w:hint="eastAsia" w:ascii="宋体" w:hAnsi="宋体" w:cs="宋体"/>
          <w:color w:val="auto"/>
          <w:kern w:val="0"/>
          <w:sz w:val="28"/>
          <w:szCs w:val="28"/>
          <w:highlight w:val="none"/>
          <w:u w:val="single"/>
        </w:rPr>
        <w:t>台州湾新区</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发  包  人：</w:t>
      </w:r>
      <w:r>
        <w:rPr>
          <w:rFonts w:hint="eastAsia" w:ascii="宋体" w:hAnsi="宋体"/>
          <w:color w:val="auto"/>
          <w:sz w:val="28"/>
          <w:highlight w:val="none"/>
          <w:u w:val="single"/>
          <w:lang w:eastAsia="zh-CN"/>
        </w:rPr>
        <w:t>台州市云湖小学</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承  包  人：</w:t>
      </w:r>
      <w:r>
        <w:rPr>
          <w:rFonts w:hint="eastAsia" w:ascii="宋体" w:hAnsi="宋体" w:cs="宋体"/>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签  订  日  期：</w:t>
      </w:r>
      <w:r>
        <w:rPr>
          <w:rFonts w:hint="eastAsia" w:ascii="宋体" w:hAnsi="宋体" w:cs="宋体"/>
          <w:color w:val="auto"/>
          <w:kern w:val="0"/>
          <w:sz w:val="28"/>
          <w:szCs w:val="28"/>
          <w:highlight w:val="none"/>
          <w:u w:val="single"/>
        </w:rPr>
        <w:t xml:space="preserve">                                              </w:t>
      </w:r>
    </w:p>
    <w:p>
      <w:pPr>
        <w:pStyle w:val="24"/>
        <w:outlineLvl w:val="9"/>
        <w:rPr>
          <w:color w:val="auto"/>
          <w:highlight w:val="none"/>
        </w:rPr>
      </w:pPr>
    </w:p>
    <w:p>
      <w:pPr>
        <w:rPr>
          <w:b/>
          <w:bCs/>
          <w:color w:val="auto"/>
          <w:sz w:val="30"/>
          <w:szCs w:val="30"/>
          <w:highlight w:val="none"/>
        </w:rPr>
      </w:pPr>
    </w:p>
    <w:p>
      <w:pPr>
        <w:rPr>
          <w:b/>
          <w:bCs/>
          <w:color w:val="auto"/>
          <w:highlight w:val="none"/>
        </w:rPr>
      </w:pPr>
    </w:p>
    <w:p>
      <w:pPr>
        <w:rPr>
          <w:b/>
          <w:bCs/>
          <w:color w:val="auto"/>
          <w:highlight w:val="none"/>
        </w:rPr>
      </w:pPr>
    </w:p>
    <w:p>
      <w:pPr>
        <w:rPr>
          <w:b/>
          <w:bCs/>
          <w:color w:val="auto"/>
          <w:highlight w:val="none"/>
        </w:rPr>
      </w:pPr>
    </w:p>
    <w:p>
      <w:pPr>
        <w:rPr>
          <w:rFonts w:hint="eastAsia" w:ascii="黑体"/>
          <w:b/>
          <w:color w:val="auto"/>
          <w:sz w:val="30"/>
          <w:szCs w:val="30"/>
          <w:highlight w:val="none"/>
        </w:rPr>
      </w:pPr>
      <w:bookmarkStart w:id="39" w:name="_Toc5209"/>
      <w:r>
        <w:rPr>
          <w:rFonts w:hint="eastAsia" w:ascii="黑体"/>
          <w:b/>
          <w:color w:val="auto"/>
          <w:sz w:val="30"/>
          <w:szCs w:val="30"/>
          <w:highlight w:val="none"/>
        </w:rPr>
        <w:br w:type="page"/>
      </w:r>
    </w:p>
    <w:p>
      <w:pPr>
        <w:adjustRightInd w:val="0"/>
        <w:snapToGrid w:val="0"/>
        <w:spacing w:line="324" w:lineRule="auto"/>
        <w:jc w:val="center"/>
        <w:outlineLvl w:val="0"/>
        <w:rPr>
          <w:rFonts w:ascii="黑体"/>
          <w:b/>
          <w:color w:val="auto"/>
          <w:sz w:val="30"/>
          <w:szCs w:val="30"/>
          <w:highlight w:val="none"/>
        </w:rPr>
      </w:pPr>
      <w:bookmarkStart w:id="40" w:name="_Toc25545"/>
      <w:r>
        <w:rPr>
          <w:rFonts w:hint="eastAsia" w:ascii="黑体"/>
          <w:b/>
          <w:color w:val="auto"/>
          <w:sz w:val="30"/>
          <w:szCs w:val="30"/>
          <w:highlight w:val="none"/>
        </w:rPr>
        <w:t>合同条款</w:t>
      </w:r>
      <w:bookmarkEnd w:id="39"/>
      <w:bookmarkEnd w:id="40"/>
    </w:p>
    <w:p>
      <w:pPr>
        <w:pStyle w:val="15"/>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hAnsi="宋体" w:cs="宋体"/>
          <w:color w:val="auto"/>
          <w:sz w:val="24"/>
          <w:szCs w:val="24"/>
          <w:highlight w:val="none"/>
          <w:lang w:eastAsia="zh-CN"/>
        </w:rPr>
        <w:t>台州市云湖小学</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pStyle w:val="15"/>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hAnsi="宋体" w:cs="宋体"/>
          <w:color w:val="auto"/>
          <w:sz w:val="24"/>
          <w:szCs w:val="24"/>
          <w:highlight w:val="none"/>
          <w:lang w:eastAsia="zh-CN"/>
        </w:rPr>
        <w:t>成交</w:t>
      </w:r>
      <w:r>
        <w:rPr>
          <w:rFonts w:hint="eastAsia" w:ascii="宋体" w:hAnsi="宋体" w:eastAsia="宋体" w:cs="宋体"/>
          <w:color w:val="auto"/>
          <w:sz w:val="24"/>
          <w:szCs w:val="24"/>
          <w:highlight w:val="none"/>
        </w:rPr>
        <w:t xml:space="preserve">供应商）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hAnsi="宋体" w:cs="宋体"/>
          <w:b/>
          <w:bCs/>
          <w:color w:val="auto"/>
          <w:sz w:val="24"/>
          <w:szCs w:val="24"/>
          <w:highlight w:val="none"/>
          <w:lang w:eastAsia="zh-CN"/>
        </w:rPr>
        <w:t>台州市云湖小学午休躺睡桌椅采购项目</w:t>
      </w:r>
      <w:r>
        <w:rPr>
          <w:rFonts w:hint="eastAsia" w:ascii="宋体" w:hAnsi="宋体" w:cs="宋体"/>
          <w:b/>
          <w:bCs/>
          <w:color w:val="auto"/>
          <w:sz w:val="24"/>
          <w:szCs w:val="24"/>
          <w:highlight w:val="none"/>
          <w:lang w:eastAsia="zh-CN"/>
        </w:rPr>
        <w:t>（项目编号：</w:t>
      </w:r>
      <w:r>
        <w:rPr>
          <w:rFonts w:hint="eastAsia" w:hAnsi="宋体" w:cs="宋体"/>
          <w:b/>
          <w:bCs/>
          <w:color w:val="auto"/>
          <w:sz w:val="24"/>
          <w:szCs w:val="24"/>
          <w:highlight w:val="none"/>
          <w:lang w:eastAsia="zh-CN"/>
        </w:rPr>
        <w:t>TZYY-2407-010号</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的成交结果，签署本合同。</w:t>
      </w:r>
    </w:p>
    <w:p>
      <w:pPr>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ascii="宋体"/>
          <w:b/>
          <w:bCs/>
          <w:color w:val="auto"/>
          <w:sz w:val="24"/>
          <w:szCs w:val="24"/>
          <w:highlight w:val="none"/>
          <w:lang w:val="zh-CN"/>
        </w:rPr>
      </w:pPr>
      <w:bookmarkStart w:id="41" w:name="_Toc12640"/>
      <w:r>
        <w:rPr>
          <w:rFonts w:hint="eastAsia" w:ascii="宋体"/>
          <w:b/>
          <w:bCs/>
          <w:color w:val="auto"/>
          <w:sz w:val="24"/>
          <w:szCs w:val="24"/>
          <w:highlight w:val="none"/>
          <w:lang w:val="zh-CN"/>
        </w:rPr>
        <w:t>合同文件：</w:t>
      </w:r>
      <w:bookmarkEnd w:id="41"/>
      <w:r>
        <w:rPr>
          <w:rFonts w:hint="eastAsia" w:ascii="宋体"/>
          <w:b/>
          <w:bCs/>
          <w:color w:val="auto"/>
          <w:sz w:val="24"/>
          <w:szCs w:val="24"/>
          <w:highlight w:val="none"/>
          <w:lang w:val="zh-CN"/>
        </w:rPr>
        <w:t xml:space="preserve"> </w:t>
      </w:r>
    </w:p>
    <w:p>
      <w:pPr>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szCs w:val="24"/>
          <w:highlight w:val="none"/>
          <w:lang w:val="zh-CN"/>
        </w:rPr>
      </w:pPr>
      <w:r>
        <w:rPr>
          <w:rFonts w:hint="eastAsia" w:ascii="宋体"/>
          <w:color w:val="auto"/>
          <w:sz w:val="24"/>
          <w:szCs w:val="24"/>
          <w:highlight w:val="none"/>
          <w:lang w:val="zh-CN"/>
        </w:rPr>
        <w:t>合同条款。</w:t>
      </w:r>
    </w:p>
    <w:p>
      <w:pPr>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szCs w:val="24"/>
          <w:highlight w:val="none"/>
          <w:lang w:val="zh-CN"/>
        </w:rPr>
      </w:pPr>
      <w:r>
        <w:rPr>
          <w:rFonts w:hint="eastAsia" w:ascii="宋体"/>
          <w:color w:val="auto"/>
          <w:sz w:val="24"/>
          <w:szCs w:val="24"/>
          <w:highlight w:val="none"/>
          <w:lang w:val="zh-CN"/>
        </w:rPr>
        <w:t>成交通知书。</w:t>
      </w:r>
    </w:p>
    <w:p>
      <w:pPr>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szCs w:val="24"/>
          <w:highlight w:val="none"/>
          <w:lang w:val="zh-CN"/>
        </w:rPr>
      </w:pPr>
      <w:r>
        <w:rPr>
          <w:rFonts w:hint="eastAsia" w:ascii="宋体"/>
          <w:color w:val="auto"/>
          <w:sz w:val="24"/>
          <w:szCs w:val="24"/>
          <w:highlight w:val="none"/>
          <w:lang w:val="zh-CN"/>
        </w:rPr>
        <w:t>更正补充文件。</w:t>
      </w:r>
    </w:p>
    <w:p>
      <w:pPr>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szCs w:val="24"/>
          <w:highlight w:val="none"/>
          <w:lang w:val="zh-CN"/>
        </w:rPr>
      </w:pPr>
      <w:r>
        <w:rPr>
          <w:rFonts w:hint="eastAsia" w:ascii="宋体"/>
          <w:color w:val="auto"/>
          <w:sz w:val="24"/>
          <w:szCs w:val="24"/>
          <w:highlight w:val="none"/>
          <w:lang w:val="zh-CN"/>
        </w:rPr>
        <w:t>招标文件。</w:t>
      </w:r>
    </w:p>
    <w:p>
      <w:pPr>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szCs w:val="24"/>
          <w:highlight w:val="none"/>
          <w:lang w:val="zh-CN"/>
        </w:rPr>
      </w:pPr>
      <w:r>
        <w:rPr>
          <w:rFonts w:hint="eastAsia" w:ascii="宋体"/>
          <w:color w:val="auto"/>
          <w:sz w:val="24"/>
          <w:szCs w:val="24"/>
          <w:highlight w:val="none"/>
          <w:lang w:val="zh-CN"/>
        </w:rPr>
        <w:t>成交供应商响应文件。</w:t>
      </w:r>
    </w:p>
    <w:p>
      <w:pPr>
        <w:keepNext w:val="0"/>
        <w:keepLines w:val="0"/>
        <w:pageBreakBefore w:val="0"/>
        <w:numPr>
          <w:ilvl w:val="0"/>
          <w:numId w:val="65"/>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szCs w:val="24"/>
          <w:highlight w:val="none"/>
          <w:lang w:val="zh-CN"/>
        </w:rPr>
      </w:pPr>
      <w:r>
        <w:rPr>
          <w:rFonts w:hint="eastAsia" w:ascii="宋体"/>
          <w:color w:val="auto"/>
          <w:sz w:val="24"/>
          <w:szCs w:val="24"/>
          <w:highlight w:val="none"/>
          <w:lang w:val="zh-CN"/>
        </w:rPr>
        <w:t>其他。</w:t>
      </w:r>
    </w:p>
    <w:p>
      <w:pPr>
        <w:pStyle w:val="15"/>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color w:val="auto"/>
          <w:sz w:val="24"/>
          <w:szCs w:val="24"/>
          <w:highlight w:val="none"/>
          <w:lang w:val="zh-CN"/>
        </w:rPr>
        <w:t>上述所指合同文件应认为是互相补充和解释的，但是有模棱两可或互相矛盾之处，以其所列内容顺序为准。</w:t>
      </w:r>
    </w:p>
    <w:p>
      <w:pPr>
        <w:pStyle w:val="15"/>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color w:val="auto"/>
          <w:sz w:val="24"/>
          <w:szCs w:val="24"/>
          <w:highlight w:val="none"/>
        </w:rPr>
      </w:pPr>
      <w:bookmarkStart w:id="42" w:name="_Toc24615"/>
      <w:r>
        <w:rPr>
          <w:rFonts w:hint="eastAsia" w:ascii="宋体" w:hAnsi="宋体" w:eastAsia="宋体" w:cs="宋体"/>
          <w:b/>
          <w:color w:val="auto"/>
          <w:sz w:val="24"/>
          <w:szCs w:val="24"/>
          <w:highlight w:val="none"/>
        </w:rPr>
        <w:t>货物内容</w:t>
      </w:r>
      <w:bookmarkEnd w:id="42"/>
    </w:p>
    <w:p>
      <w:pPr>
        <w:pStyle w:val="15"/>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43" w:name="_Toc16718"/>
      <w:r>
        <w:rPr>
          <w:rFonts w:hint="eastAsia" w:ascii="宋体" w:hAnsi="宋体" w:eastAsia="宋体" w:cs="宋体"/>
          <w:b/>
          <w:color w:val="auto"/>
          <w:sz w:val="24"/>
          <w:szCs w:val="24"/>
          <w:highlight w:val="none"/>
        </w:rPr>
        <w:t>合同金额</w:t>
      </w:r>
      <w:bookmarkEnd w:id="43"/>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金额为（大写）：</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元）人民币。该总金额中包括货款、标准附件、包装、运输、装卸、保险、税金、合同包含的所有风险责任等有关的一切费用和价款。</w:t>
      </w:r>
    </w:p>
    <w:p>
      <w:pPr>
        <w:pStyle w:val="15"/>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44" w:name="_Toc345"/>
      <w:r>
        <w:rPr>
          <w:rFonts w:hint="eastAsia" w:ascii="宋体" w:hAnsi="宋体" w:eastAsia="宋体" w:cs="宋体"/>
          <w:b/>
          <w:color w:val="auto"/>
          <w:sz w:val="24"/>
          <w:szCs w:val="24"/>
          <w:highlight w:val="none"/>
        </w:rPr>
        <w:t>技术资料</w:t>
      </w:r>
      <w:bookmarkEnd w:id="44"/>
    </w:p>
    <w:p>
      <w:pPr>
        <w:pStyle w:val="15"/>
        <w:keepNext w:val="0"/>
        <w:keepLines w:val="0"/>
        <w:pageBreakBefore w:val="0"/>
        <w:numPr>
          <w:ilvl w:val="0"/>
          <w:numId w:val="6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乙方应按</w:t>
      </w:r>
      <w:r>
        <w:rPr>
          <w:rFonts w:hint="eastAsia"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规定的时间向甲方提供使用货物的有关技术资料。</w:t>
      </w:r>
    </w:p>
    <w:p>
      <w:pPr>
        <w:pStyle w:val="15"/>
        <w:keepNext w:val="0"/>
        <w:keepLines w:val="0"/>
        <w:pageBreakBefore w:val="0"/>
        <w:numPr>
          <w:ilvl w:val="0"/>
          <w:numId w:val="6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45" w:name="_Toc21220"/>
      <w:r>
        <w:rPr>
          <w:rFonts w:hint="eastAsia" w:ascii="宋体" w:hAnsi="宋体" w:eastAsia="宋体" w:cs="宋体"/>
          <w:b/>
          <w:color w:val="auto"/>
          <w:sz w:val="24"/>
          <w:szCs w:val="24"/>
          <w:highlight w:val="none"/>
        </w:rPr>
        <w:t>知识产权</w:t>
      </w:r>
      <w:bookmarkEnd w:id="45"/>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乙方应保证所提供的货物或其任何一部分均不会侵犯任何第三方的知识产权</w:t>
      </w:r>
      <w:r>
        <w:rPr>
          <w:rFonts w:hint="eastAsia" w:ascii="宋体" w:hAnsi="宋体" w:eastAsia="宋体" w:cs="宋体"/>
          <w:bCs/>
          <w:color w:val="auto"/>
          <w:sz w:val="24"/>
          <w:szCs w:val="24"/>
          <w:highlight w:val="none"/>
        </w:rPr>
        <w:t>。若乙方交付的货物侵犯了第三方产权或存在产权瑕疵，由此可能发生的一切法律责任及费用均由乙方承担，与甲方无关。</w:t>
      </w:r>
    </w:p>
    <w:p>
      <w:pPr>
        <w:pStyle w:val="15"/>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color w:val="auto"/>
          <w:sz w:val="24"/>
          <w:szCs w:val="24"/>
          <w:highlight w:val="none"/>
          <w:u w:val="single"/>
        </w:rPr>
      </w:pPr>
      <w:bookmarkStart w:id="46" w:name="_Toc13486"/>
      <w:r>
        <w:rPr>
          <w:rFonts w:hint="eastAsia" w:ascii="宋体" w:hAnsi="宋体" w:eastAsia="宋体" w:cs="宋体"/>
          <w:b/>
          <w:color w:val="auto"/>
          <w:sz w:val="24"/>
          <w:szCs w:val="24"/>
          <w:highlight w:val="none"/>
        </w:rPr>
        <w:t>产权担保</w:t>
      </w:r>
      <w:bookmarkEnd w:id="46"/>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乙方保证所交付的货物的所有权完全属于乙方且无任何抵押、查封等产权瑕疵。</w:t>
      </w:r>
    </w:p>
    <w:p>
      <w:pPr>
        <w:pStyle w:val="15"/>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47" w:name="_Toc25141"/>
      <w:r>
        <w:rPr>
          <w:rFonts w:hint="eastAsia" w:ascii="宋体" w:hAnsi="宋体" w:eastAsia="宋体" w:cs="宋体"/>
          <w:b/>
          <w:color w:val="auto"/>
          <w:sz w:val="24"/>
          <w:szCs w:val="24"/>
          <w:highlight w:val="none"/>
        </w:rPr>
        <w:t>转包或分包</w:t>
      </w:r>
      <w:bookmarkEnd w:id="47"/>
    </w:p>
    <w:p>
      <w:pPr>
        <w:keepNext w:val="0"/>
        <w:keepLines w:val="0"/>
        <w:pageBreakBefore w:val="0"/>
        <w:numPr>
          <w:ilvl w:val="0"/>
          <w:numId w:val="6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本合同范围的货物，应由乙方直接供应，不得转让他人供应；</w:t>
      </w:r>
    </w:p>
    <w:p>
      <w:pPr>
        <w:keepNext w:val="0"/>
        <w:keepLines w:val="0"/>
        <w:pageBreakBefore w:val="0"/>
        <w:numPr>
          <w:ilvl w:val="0"/>
          <w:numId w:val="6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本合同范围的货物</w:t>
      </w:r>
      <w:r>
        <w:rPr>
          <w:rFonts w:hint="eastAsia" w:ascii="宋体" w:hAnsi="宋体" w:eastAsia="宋体" w:cs="宋体"/>
          <w:color w:val="auto"/>
          <w:sz w:val="24"/>
          <w:szCs w:val="24"/>
          <w:highlight w:val="none"/>
          <w:lang w:val="en-US" w:eastAsia="zh-CN"/>
        </w:rPr>
        <w:t>不允许分包</w:t>
      </w:r>
      <w:r>
        <w:rPr>
          <w:rFonts w:hint="eastAsia" w:ascii="宋体" w:hAnsi="宋体" w:eastAsia="宋体" w:cs="宋体"/>
          <w:color w:val="auto"/>
          <w:sz w:val="24"/>
          <w:szCs w:val="24"/>
          <w:highlight w:val="none"/>
        </w:rPr>
        <w:t>；</w:t>
      </w:r>
    </w:p>
    <w:p>
      <w:pPr>
        <w:keepNext w:val="0"/>
        <w:keepLines w:val="0"/>
        <w:pageBreakBefore w:val="0"/>
        <w:numPr>
          <w:ilvl w:val="0"/>
          <w:numId w:val="6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如有转让和分包行为，甲方有权解除合同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并要求乙方承担本合同金额5％的违约责任。</w:t>
      </w:r>
    </w:p>
    <w:p>
      <w:pPr>
        <w:pStyle w:val="15"/>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48" w:name="_Toc32355"/>
      <w:r>
        <w:rPr>
          <w:rFonts w:hint="eastAsia" w:ascii="宋体" w:hAnsi="宋体" w:eastAsia="宋体" w:cs="宋体"/>
          <w:b/>
          <w:color w:val="auto"/>
          <w:sz w:val="24"/>
          <w:szCs w:val="24"/>
          <w:highlight w:val="none"/>
        </w:rPr>
        <w:t>交货期及交货地点</w:t>
      </w:r>
      <w:bookmarkEnd w:id="48"/>
    </w:p>
    <w:p>
      <w:pPr>
        <w:pStyle w:val="15"/>
        <w:keepNext w:val="0"/>
        <w:keepLines w:val="0"/>
        <w:pageBreakBefore w:val="0"/>
        <w:numPr>
          <w:ilvl w:val="0"/>
          <w:numId w:val="68"/>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交货期：</w:t>
      </w:r>
      <w:r>
        <w:rPr>
          <w:rFonts w:hint="eastAsia" w:hAnsi="宋体" w:cs="宋体"/>
          <w:color w:val="auto"/>
          <w:sz w:val="24"/>
          <w:szCs w:val="24"/>
          <w:highlight w:val="none"/>
          <w:lang w:val="en-US" w:eastAsia="zh-CN"/>
        </w:rPr>
        <w:t xml:space="preserve"> </w:t>
      </w:r>
    </w:p>
    <w:p>
      <w:pPr>
        <w:pStyle w:val="15"/>
        <w:keepNext w:val="0"/>
        <w:keepLines w:val="0"/>
        <w:pageBreakBefore w:val="0"/>
        <w:numPr>
          <w:ilvl w:val="0"/>
          <w:numId w:val="68"/>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交货地点：</w:t>
      </w:r>
    </w:p>
    <w:p>
      <w:pPr>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49" w:name="_Toc27733"/>
      <w:r>
        <w:rPr>
          <w:rFonts w:hint="eastAsia" w:ascii="宋体" w:hAnsi="宋体" w:cs="宋体"/>
          <w:b/>
          <w:color w:val="auto"/>
          <w:sz w:val="24"/>
          <w:szCs w:val="24"/>
          <w:highlight w:val="none"/>
          <w:lang w:val="en-US" w:eastAsia="zh-CN"/>
        </w:rPr>
        <w:t>付款方式</w:t>
      </w:r>
    </w:p>
    <w:p>
      <w:pPr>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税费</w:t>
      </w:r>
      <w:bookmarkEnd w:id="49"/>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pPr>
        <w:pStyle w:val="15"/>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50" w:name="_Toc11907"/>
      <w:r>
        <w:rPr>
          <w:rFonts w:hint="eastAsia" w:ascii="宋体" w:hAnsi="宋体" w:eastAsia="宋体" w:cs="宋体"/>
          <w:b/>
          <w:color w:val="auto"/>
          <w:sz w:val="24"/>
          <w:szCs w:val="24"/>
          <w:highlight w:val="none"/>
        </w:rPr>
        <w:t>货物包装、发运及运输</w:t>
      </w:r>
      <w:bookmarkEnd w:id="50"/>
    </w:p>
    <w:p>
      <w:pPr>
        <w:pStyle w:val="15"/>
        <w:keepNext w:val="0"/>
        <w:keepLines w:val="0"/>
        <w:pageBreakBefore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乙方应在货物发运前对其进行满足运输距离、防潮、防震、防锈和防破损装卸等要求包装，以保证货物安全运达甲方指定地点。</w:t>
      </w:r>
    </w:p>
    <w:p>
      <w:pPr>
        <w:pStyle w:val="15"/>
        <w:keepNext w:val="0"/>
        <w:keepLines w:val="0"/>
        <w:pageBreakBefore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使用说明书、质量检验证明书、随配附件和工具以及清单一并附于货物内。</w:t>
      </w:r>
    </w:p>
    <w:p>
      <w:pPr>
        <w:pStyle w:val="15"/>
        <w:keepNext w:val="0"/>
        <w:keepLines w:val="0"/>
        <w:pageBreakBefore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乙方在货物发运手续办理完毕后24小时内或货到甲方48小时前通知甲方，以准备接货。</w:t>
      </w:r>
    </w:p>
    <w:p>
      <w:pPr>
        <w:pStyle w:val="15"/>
        <w:keepNext w:val="0"/>
        <w:keepLines w:val="0"/>
        <w:pageBreakBefore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货物在交付甲方前发生的风险均由乙方负责。</w:t>
      </w:r>
    </w:p>
    <w:p>
      <w:pPr>
        <w:pStyle w:val="15"/>
        <w:keepNext w:val="0"/>
        <w:keepLines w:val="0"/>
        <w:pageBreakBefore w:val="0"/>
        <w:numPr>
          <w:ilvl w:val="0"/>
          <w:numId w:val="6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货物在规定的交付期限内由乙方送达甲方指定的地点视为交付，乙方同时需通知甲方货物已送达。</w:t>
      </w:r>
    </w:p>
    <w:p>
      <w:pPr>
        <w:pStyle w:val="15"/>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51" w:name="_Toc12167"/>
      <w:r>
        <w:rPr>
          <w:rFonts w:hint="eastAsia" w:ascii="宋体" w:hAnsi="宋体" w:eastAsia="宋体" w:cs="宋体"/>
          <w:b/>
          <w:color w:val="auto"/>
          <w:sz w:val="24"/>
          <w:szCs w:val="24"/>
          <w:highlight w:val="none"/>
        </w:rPr>
        <w:t>违约责任</w:t>
      </w:r>
      <w:bookmarkEnd w:id="51"/>
    </w:p>
    <w:p>
      <w:pPr>
        <w:pStyle w:val="15"/>
        <w:keepNext w:val="0"/>
        <w:keepLines w:val="0"/>
        <w:pageBreakBefore w:val="0"/>
        <w:numPr>
          <w:ilvl w:val="0"/>
          <w:numId w:val="7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甲方无正当理由拒收货物的，甲方向乙方偿付拒收货款总值的</w:t>
      </w:r>
      <w:r>
        <w:rPr>
          <w:rFonts w:hint="eastAsia" w:hAnsi="宋体" w:cs="宋体"/>
          <w:color w:val="auto"/>
          <w:sz w:val="24"/>
          <w:szCs w:val="24"/>
          <w:highlight w:val="none"/>
          <w:lang w:eastAsia="zh-CN"/>
        </w:rPr>
        <w:t>5%</w:t>
      </w:r>
      <w:r>
        <w:rPr>
          <w:rFonts w:hint="eastAsia" w:ascii="宋体" w:hAnsi="宋体" w:eastAsia="宋体" w:cs="宋体"/>
          <w:color w:val="auto"/>
          <w:sz w:val="24"/>
          <w:szCs w:val="24"/>
          <w:highlight w:val="none"/>
        </w:rPr>
        <w:t>违约金。</w:t>
      </w:r>
    </w:p>
    <w:p>
      <w:pPr>
        <w:pStyle w:val="15"/>
        <w:keepNext w:val="0"/>
        <w:keepLines w:val="0"/>
        <w:pageBreakBefore w:val="0"/>
        <w:numPr>
          <w:ilvl w:val="0"/>
          <w:numId w:val="7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乙方逾期交付货物的，乙方应按逾期交货总额每日</w:t>
      </w:r>
      <w:r>
        <w:rPr>
          <w:rFonts w:hint="eastAsia" w:ascii="宋体" w:hAnsi="宋体" w:eastAsia="宋体" w:cs="宋体"/>
          <w:color w:val="auto"/>
          <w:sz w:val="24"/>
          <w:szCs w:val="24"/>
          <w:highlight w:val="none"/>
          <w:u w:val="single"/>
        </w:rPr>
        <w:t>万分之五</w:t>
      </w:r>
      <w:r>
        <w:rPr>
          <w:rFonts w:hint="eastAsia" w:ascii="宋体" w:hAnsi="宋体" w:eastAsia="宋体" w:cs="宋体"/>
          <w:color w:val="auto"/>
          <w:sz w:val="24"/>
          <w:szCs w:val="24"/>
          <w:highlight w:val="none"/>
        </w:rPr>
        <w:t>向甲方支付违约金，由甲方从待付货款中扣除。逾期超过约定日期</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个工作日不能交货的，甲方可解除本合同。乙方因逾期交货或因其他违约行为导致甲方解除合同的，乙方应向甲方偿还已支付的金额</w:t>
      </w:r>
      <w:r>
        <w:rPr>
          <w:rFonts w:hint="eastAsia" w:hAnsi="宋体" w:cs="宋体"/>
          <w:color w:val="auto"/>
          <w:sz w:val="24"/>
          <w:szCs w:val="24"/>
          <w:highlight w:val="none"/>
          <w:lang w:eastAsia="zh-CN"/>
        </w:rPr>
        <w:t>，并向甲方支付按年利率X（X=全国银行间同业拆借中心公布的利率的4倍）计算的利息或向甲方支付合同总值5%的违约金，以金额高的为准。</w:t>
      </w:r>
      <w:r>
        <w:rPr>
          <w:rFonts w:hint="eastAsia" w:ascii="宋体" w:hAnsi="宋体" w:eastAsia="宋体" w:cs="宋体"/>
          <w:color w:val="auto"/>
          <w:sz w:val="24"/>
          <w:szCs w:val="24"/>
          <w:highlight w:val="none"/>
        </w:rPr>
        <w:t xml:space="preserve">如造成甲方损失超过违约金的，超出部分由乙方继续承担赔偿责任。 </w:t>
      </w:r>
    </w:p>
    <w:p>
      <w:pPr>
        <w:pStyle w:val="15"/>
        <w:keepNext w:val="0"/>
        <w:keepLines w:val="0"/>
        <w:pageBreakBefore w:val="0"/>
        <w:numPr>
          <w:ilvl w:val="0"/>
          <w:numId w:val="7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乙方所交的货物品种、型号、规格、技术参数、质量不符合合同规定及</w:t>
      </w:r>
      <w:r>
        <w:rPr>
          <w:rFonts w:hint="eastAsia"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规定标准的，甲方有权拒收该货物，乙方愿意更换货物但逾期交货的，按乙方逾期交货处理。乙方拒绝更换货物的，甲方可单方面解除合同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乙方应向甲方偿还已支付的金额</w:t>
      </w:r>
      <w:r>
        <w:rPr>
          <w:rFonts w:hint="eastAsia" w:hAnsi="宋体" w:cs="宋体"/>
          <w:color w:val="auto"/>
          <w:sz w:val="24"/>
          <w:szCs w:val="24"/>
          <w:highlight w:val="none"/>
          <w:lang w:eastAsia="zh-CN"/>
        </w:rPr>
        <w:t>，并向甲方支付按年利率X（X=全国银行间同业拆借中心公布的利率的4倍）计算的利息或向甲方支付合同总值5%的违约金，以金额高的为准。</w:t>
      </w:r>
      <w:r>
        <w:rPr>
          <w:rFonts w:hint="eastAsia" w:ascii="宋体" w:hAnsi="宋体" w:eastAsia="宋体" w:cs="宋体"/>
          <w:color w:val="auto"/>
          <w:sz w:val="24"/>
          <w:szCs w:val="24"/>
          <w:highlight w:val="none"/>
        </w:rPr>
        <w:t>如造成甲方损失超过违约金的，超出部分由乙方继续承担赔偿责任。</w:t>
      </w:r>
    </w:p>
    <w:p>
      <w:pPr>
        <w:pStyle w:val="15"/>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52" w:name="_Toc1204"/>
      <w:r>
        <w:rPr>
          <w:rFonts w:hint="eastAsia" w:ascii="宋体" w:hAnsi="宋体" w:eastAsia="宋体" w:cs="宋体"/>
          <w:b/>
          <w:color w:val="auto"/>
          <w:sz w:val="24"/>
          <w:szCs w:val="24"/>
          <w:highlight w:val="none"/>
        </w:rPr>
        <w:t>不可抗力事件处理</w:t>
      </w:r>
      <w:bookmarkEnd w:id="52"/>
    </w:p>
    <w:p>
      <w:pPr>
        <w:pStyle w:val="15"/>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在合同有效期内，任何一方因不可抗力事件导致不能履行合同，双方应通过友好协商，确定是否继续履行合同。</w:t>
      </w:r>
    </w:p>
    <w:p>
      <w:pPr>
        <w:pStyle w:val="15"/>
        <w:keepNext w:val="0"/>
        <w:keepLines w:val="0"/>
        <w:pageBreakBefore w:val="0"/>
        <w:numPr>
          <w:ilvl w:val="0"/>
          <w:numId w:val="64"/>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53" w:name="_Toc4336"/>
      <w:r>
        <w:rPr>
          <w:rFonts w:hint="eastAsia" w:ascii="宋体" w:hAnsi="宋体" w:eastAsia="宋体" w:cs="宋体"/>
          <w:b/>
          <w:color w:val="auto"/>
          <w:sz w:val="24"/>
          <w:szCs w:val="24"/>
          <w:highlight w:val="none"/>
        </w:rPr>
        <w:t>解决争议的方法</w:t>
      </w:r>
      <w:bookmarkEnd w:id="53"/>
    </w:p>
    <w:p>
      <w:pPr>
        <w:pStyle w:val="10"/>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如双方在履行合同时发生纠纷，应协商解决；</w:t>
      </w:r>
      <w:r>
        <w:rPr>
          <w:rFonts w:ascii="宋体" w:hAnsi="宋体" w:eastAsia="宋体" w:cs="宋体"/>
          <w:color w:val="auto"/>
          <w:kern w:val="0"/>
          <w:sz w:val="24"/>
          <w:szCs w:val="24"/>
          <w:highlight w:val="none"/>
          <w:lang w:val="en-US" w:eastAsia="zh-CN" w:bidi="ar"/>
        </w:rPr>
        <w:t>协商不成时，可通过</w:t>
      </w:r>
      <w:r>
        <w:rPr>
          <w:rFonts w:hint="eastAsia" w:hAnsi="宋体" w:cs="宋体"/>
          <w:color w:val="auto"/>
          <w:kern w:val="0"/>
          <w:sz w:val="24"/>
          <w:szCs w:val="24"/>
          <w:highlight w:val="none"/>
          <w:lang w:val="en-US" w:eastAsia="zh-CN" w:bidi="ar"/>
        </w:rPr>
        <w:t>第（2）种</w:t>
      </w:r>
      <w:r>
        <w:rPr>
          <w:rFonts w:ascii="宋体" w:hAnsi="宋体" w:eastAsia="宋体" w:cs="宋体"/>
          <w:color w:val="auto"/>
          <w:kern w:val="0"/>
          <w:sz w:val="24"/>
          <w:szCs w:val="24"/>
          <w:highlight w:val="none"/>
          <w:lang w:val="en-US" w:eastAsia="zh-CN" w:bidi="ar"/>
        </w:rPr>
        <w:t>方式解决</w:t>
      </w:r>
      <w:r>
        <w:rPr>
          <w:rFonts w:hint="eastAsia" w:ascii="宋体" w:hAnsi="宋体" w:eastAsia="宋体" w:cs="宋体"/>
          <w:color w:val="auto"/>
          <w:sz w:val="24"/>
          <w:szCs w:val="24"/>
          <w:highlight w:val="none"/>
        </w:rPr>
        <w:t>；</w:t>
      </w:r>
    </w:p>
    <w:p>
      <w:pPr>
        <w:pStyle w:val="10"/>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u w:val="single"/>
        </w:rPr>
        <w:t>台州仲裁委员会</w:t>
      </w:r>
      <w:r>
        <w:rPr>
          <w:rFonts w:hint="eastAsia" w:ascii="宋体" w:hAnsi="宋体" w:eastAsia="宋体" w:cs="宋体"/>
          <w:color w:val="auto"/>
          <w:sz w:val="24"/>
          <w:szCs w:val="24"/>
          <w:highlight w:val="none"/>
        </w:rPr>
        <w:t>仲裁。</w:t>
      </w:r>
    </w:p>
    <w:p>
      <w:pPr>
        <w:pStyle w:val="10"/>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依法向</w:t>
      </w:r>
      <w:r>
        <w:rPr>
          <w:rFonts w:hint="eastAsia" w:ascii="宋体" w:hAnsi="宋体" w:cs="宋体"/>
          <w:color w:val="auto"/>
          <w:sz w:val="24"/>
          <w:szCs w:val="24"/>
          <w:highlight w:val="none"/>
          <w:u w:val="single"/>
          <w:lang w:val="en-US" w:eastAsia="zh-CN"/>
        </w:rPr>
        <w:t>甲方所在地</w:t>
      </w:r>
      <w:r>
        <w:rPr>
          <w:rFonts w:hint="eastAsia" w:ascii="宋体" w:hAnsi="宋体" w:eastAsia="宋体" w:cs="宋体"/>
          <w:color w:val="auto"/>
          <w:sz w:val="24"/>
          <w:szCs w:val="24"/>
          <w:highlight w:val="none"/>
          <w:u w:val="single"/>
        </w:rPr>
        <w:t>人民法院</w:t>
      </w:r>
      <w:r>
        <w:rPr>
          <w:rFonts w:hint="eastAsia" w:ascii="宋体" w:hAnsi="宋体" w:eastAsia="宋体" w:cs="宋体"/>
          <w:color w:val="auto"/>
          <w:sz w:val="24"/>
          <w:szCs w:val="24"/>
          <w:highlight w:val="none"/>
        </w:rPr>
        <w:t>提起诉讼。</w:t>
      </w:r>
    </w:p>
    <w:p>
      <w:pPr>
        <w:pStyle w:val="15"/>
        <w:keepNext w:val="0"/>
        <w:keepLines w:val="0"/>
        <w:pageBreakBefore w:val="0"/>
        <w:numPr>
          <w:ilvl w:val="0"/>
          <w:numId w:val="64"/>
        </w:numPr>
        <w:tabs>
          <w:tab w:val="left" w:pos="5790"/>
        </w:tabs>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color w:val="auto"/>
          <w:sz w:val="24"/>
          <w:szCs w:val="24"/>
          <w:highlight w:val="none"/>
        </w:rPr>
      </w:pPr>
      <w:bookmarkStart w:id="54" w:name="_Toc19369"/>
      <w:r>
        <w:rPr>
          <w:rFonts w:hint="eastAsia" w:ascii="宋体" w:hAnsi="宋体" w:eastAsia="宋体" w:cs="宋体"/>
          <w:b/>
          <w:color w:val="auto"/>
          <w:sz w:val="24"/>
          <w:szCs w:val="24"/>
          <w:highlight w:val="none"/>
        </w:rPr>
        <w:t>合同生效及其它</w:t>
      </w:r>
      <w:bookmarkEnd w:id="54"/>
      <w:r>
        <w:rPr>
          <w:rFonts w:hint="eastAsia" w:ascii="宋体" w:hAnsi="宋体" w:eastAsia="宋体" w:cs="宋体"/>
          <w:b/>
          <w:color w:val="auto"/>
          <w:sz w:val="24"/>
          <w:szCs w:val="24"/>
          <w:highlight w:val="none"/>
        </w:rPr>
        <w:tab/>
      </w:r>
    </w:p>
    <w:p>
      <w:pPr>
        <w:pStyle w:val="10"/>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r>
        <w:rPr>
          <w:rFonts w:hint="eastAsia" w:ascii="宋体" w:hAnsi="宋体" w:cs="宋体"/>
          <w:color w:val="auto"/>
          <w:sz w:val="24"/>
          <w:szCs w:val="24"/>
          <w:highlight w:val="none"/>
          <w:lang w:eastAsia="zh-CN"/>
        </w:rPr>
        <w:t>自</w:t>
      </w:r>
      <w:r>
        <w:rPr>
          <w:rFonts w:hint="eastAsia" w:ascii="宋体" w:hAnsi="宋体" w:cs="宋体"/>
          <w:color w:val="auto"/>
          <w:sz w:val="24"/>
          <w:szCs w:val="24"/>
          <w:highlight w:val="none"/>
          <w:lang w:val="en-US" w:eastAsia="zh-CN"/>
        </w:rPr>
        <w:t>双方法定代表人或授权代表签字（签章）且盖章后</w:t>
      </w:r>
      <w:r>
        <w:rPr>
          <w:rFonts w:hint="eastAsia" w:ascii="宋体" w:hAnsi="宋体" w:eastAsia="宋体" w:cs="宋体"/>
          <w:color w:val="auto"/>
          <w:sz w:val="24"/>
          <w:szCs w:val="24"/>
          <w:highlight w:val="none"/>
        </w:rPr>
        <w:t>生效。</w:t>
      </w:r>
    </w:p>
    <w:p>
      <w:pPr>
        <w:pStyle w:val="10"/>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本合同未尽事宜，遵照《</w:t>
      </w:r>
      <w:r>
        <w:rPr>
          <w:rFonts w:hint="eastAsia" w:ascii="宋体" w:hAnsi="宋体" w:cs="宋体"/>
          <w:b w:val="0"/>
          <w:bCs w:val="0"/>
          <w:color w:val="auto"/>
          <w:sz w:val="24"/>
          <w:szCs w:val="24"/>
          <w:highlight w:val="none"/>
          <w:lang w:eastAsia="zh-CN"/>
        </w:rPr>
        <w:t>中华人民共和国民法典</w:t>
      </w:r>
      <w:r>
        <w:rPr>
          <w:rFonts w:hint="eastAsia" w:ascii="宋体" w:hAnsi="宋体" w:eastAsia="宋体" w:cs="宋体"/>
          <w:b w:val="0"/>
          <w:bCs w:val="0"/>
          <w:color w:val="auto"/>
          <w:sz w:val="24"/>
          <w:szCs w:val="24"/>
          <w:highlight w:val="none"/>
        </w:rPr>
        <w:t>》有关条文执行。</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cs="宋体"/>
          <w:b w:val="0"/>
          <w:bCs w:val="0"/>
          <w:color w:val="auto"/>
          <w:sz w:val="24"/>
          <w:szCs w:val="24"/>
          <w:highlight w:val="none"/>
          <w:lang w:val="en-US" w:eastAsia="zh-CN"/>
        </w:rPr>
        <w:t>本合同一式五</w:t>
      </w:r>
      <w:r>
        <w:rPr>
          <w:rFonts w:hint="eastAsia" w:ascii="宋体" w:hAnsi="宋体" w:eastAsia="宋体" w:cs="宋体"/>
          <w:b w:val="0"/>
          <w:bCs w:val="0"/>
          <w:color w:val="auto"/>
          <w:sz w:val="24"/>
          <w:szCs w:val="24"/>
          <w:highlight w:val="none"/>
        </w:rPr>
        <w:t>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甲、乙双方各执</w:t>
      </w:r>
      <w:r>
        <w:rPr>
          <w:rFonts w:hint="eastAsia" w:ascii="宋体" w:hAnsi="宋体" w:cs="宋体"/>
          <w:b w:val="0"/>
          <w:bCs w:val="0"/>
          <w:color w:val="auto"/>
          <w:sz w:val="24"/>
          <w:szCs w:val="24"/>
          <w:highlight w:val="none"/>
          <w:lang w:val="en-US" w:eastAsia="zh-CN"/>
        </w:rPr>
        <w:t>两</w:t>
      </w:r>
      <w:r>
        <w:rPr>
          <w:rFonts w:hint="eastAsia" w:ascii="宋体" w:hAnsi="宋体" w:eastAsia="宋体" w:cs="宋体"/>
          <w:b w:val="0"/>
          <w:bCs w:val="0"/>
          <w:color w:val="auto"/>
          <w:sz w:val="24"/>
          <w:szCs w:val="24"/>
          <w:highlight w:val="none"/>
        </w:rPr>
        <w:t>份</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采购代理机构一份</w:t>
      </w:r>
      <w:r>
        <w:rPr>
          <w:rFonts w:hint="eastAsia" w:ascii="宋体" w:hAnsi="宋体" w:eastAsia="宋体" w:cs="宋体"/>
          <w:b w:val="0"/>
          <w:bCs w:val="0"/>
          <w:color w:val="auto"/>
          <w:sz w:val="24"/>
          <w:szCs w:val="24"/>
          <w:highlight w:val="none"/>
        </w:rPr>
        <w:t>。本项目未</w:t>
      </w:r>
      <w:r>
        <w:rPr>
          <w:rFonts w:hint="eastAsia" w:ascii="宋体" w:hAnsi="宋体" w:eastAsia="宋体" w:cs="宋体"/>
          <w:color w:val="auto"/>
          <w:sz w:val="24"/>
          <w:szCs w:val="24"/>
          <w:highlight w:val="none"/>
        </w:rPr>
        <w:t>尽事宜以</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文件及澄清文件等为准。</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cs="宋体"/>
          <w:kern w:val="0"/>
          <w:sz w:val="24"/>
          <w:szCs w:val="24"/>
          <w:highlight w:val="none"/>
          <w:lang w:val="en-US" w:eastAsia="zh-CN"/>
        </w:rPr>
      </w:pPr>
      <w:r>
        <w:rPr>
          <w:rFonts w:hint="eastAsia" w:ascii="宋体" w:hAnsi="宋体" w:cs="宋体"/>
          <w:color w:val="auto"/>
          <w:kern w:val="0"/>
          <w:sz w:val="24"/>
          <w:szCs w:val="24"/>
          <w:highlight w:val="none"/>
          <w:lang w:val="en-US" w:eastAsia="zh-CN"/>
        </w:rPr>
        <w:t>以下无正文：</w:t>
      </w:r>
    </w:p>
    <w:p>
      <w:pP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br w:type="page"/>
      </w:r>
    </w:p>
    <w:tbl>
      <w:tblPr>
        <w:tblStyle w:val="27"/>
        <w:tblpPr w:leftFromText="180" w:rightFromText="180" w:vertAnchor="text" w:horzAnchor="page" w:tblpX="1859" w:tblpY="469"/>
        <w:tblOverlap w:val="never"/>
        <w:tblW w:w="8380" w:type="dxa"/>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noWrap w:val="0"/>
            <w:vAlign w:val="top"/>
          </w:tcPr>
          <w:p>
            <w:pPr>
              <w:pStyle w:val="57"/>
              <w:spacing w:line="334" w:lineRule="exact"/>
              <w:ind w:left="50"/>
              <w:rPr>
                <w:sz w:val="21"/>
                <w:szCs w:val="21"/>
                <w:highlight w:val="none"/>
              </w:rPr>
            </w:pPr>
            <w:r>
              <w:rPr>
                <w:rFonts w:hint="eastAsia" w:eastAsia="宋体"/>
                <w:sz w:val="21"/>
                <w:szCs w:val="21"/>
                <w:highlight w:val="none"/>
              </w:rPr>
              <w:t>甲</w:t>
            </w:r>
            <w:r>
              <w:rPr>
                <w:sz w:val="21"/>
                <w:szCs w:val="21"/>
                <w:highlight w:val="none"/>
              </w:rPr>
              <w:t>方：</w:t>
            </w:r>
          </w:p>
        </w:tc>
        <w:tc>
          <w:tcPr>
            <w:tcW w:w="600" w:type="dxa"/>
            <w:noWrap w:val="0"/>
            <w:vAlign w:val="top"/>
          </w:tcPr>
          <w:p>
            <w:pPr>
              <w:pStyle w:val="57"/>
              <w:rPr>
                <w:rFonts w:ascii="Times New Roman"/>
                <w:sz w:val="21"/>
                <w:szCs w:val="21"/>
                <w:highlight w:val="none"/>
              </w:rPr>
            </w:pPr>
          </w:p>
        </w:tc>
        <w:tc>
          <w:tcPr>
            <w:tcW w:w="600" w:type="dxa"/>
            <w:noWrap w:val="0"/>
            <w:vAlign w:val="top"/>
          </w:tcPr>
          <w:p>
            <w:pPr>
              <w:pStyle w:val="57"/>
              <w:rPr>
                <w:rFonts w:ascii="Times New Roman"/>
                <w:sz w:val="21"/>
                <w:szCs w:val="21"/>
                <w:highlight w:val="none"/>
              </w:rPr>
            </w:pPr>
          </w:p>
        </w:tc>
        <w:tc>
          <w:tcPr>
            <w:tcW w:w="1620" w:type="dxa"/>
            <w:noWrap w:val="0"/>
            <w:vAlign w:val="top"/>
          </w:tcPr>
          <w:p>
            <w:pPr>
              <w:pStyle w:val="57"/>
              <w:rPr>
                <w:rFonts w:ascii="Times New Roman"/>
                <w:sz w:val="21"/>
                <w:szCs w:val="21"/>
                <w:highlight w:val="none"/>
              </w:rPr>
            </w:pPr>
          </w:p>
        </w:tc>
        <w:tc>
          <w:tcPr>
            <w:tcW w:w="3890" w:type="dxa"/>
            <w:noWrap w:val="0"/>
            <w:vAlign w:val="top"/>
          </w:tcPr>
          <w:p>
            <w:pPr>
              <w:pStyle w:val="57"/>
              <w:spacing w:line="334" w:lineRule="exact"/>
              <w:rPr>
                <w:sz w:val="21"/>
                <w:szCs w:val="21"/>
                <w:highlight w:val="none"/>
              </w:rPr>
            </w:pPr>
            <w:r>
              <w:rPr>
                <w:rFonts w:hint="eastAsia" w:eastAsia="宋体"/>
                <w:sz w:val="21"/>
                <w:szCs w:val="21"/>
                <w:highlight w:val="none"/>
              </w:rPr>
              <w:t>乙</w:t>
            </w:r>
            <w:r>
              <w:rPr>
                <w:sz w:val="21"/>
                <w:szCs w:val="21"/>
                <w:highlight w:val="none"/>
              </w:rPr>
              <w:t>方：</w:t>
            </w:r>
          </w:p>
        </w:tc>
      </w:tr>
      <w:tr>
        <w:tblPrEx>
          <w:tblCellMar>
            <w:top w:w="0" w:type="dxa"/>
            <w:left w:w="0" w:type="dxa"/>
            <w:bottom w:w="0" w:type="dxa"/>
            <w:right w:w="0" w:type="dxa"/>
          </w:tblCellMar>
        </w:tblPrEx>
        <w:trPr>
          <w:trHeight w:val="467" w:hRule="atLeast"/>
        </w:trPr>
        <w:tc>
          <w:tcPr>
            <w:tcW w:w="1670" w:type="dxa"/>
            <w:noWrap w:val="0"/>
            <w:vAlign w:val="top"/>
          </w:tcPr>
          <w:p>
            <w:pPr>
              <w:pStyle w:val="57"/>
              <w:spacing w:line="448" w:lineRule="exact"/>
              <w:ind w:left="50"/>
              <w:rPr>
                <w:sz w:val="21"/>
                <w:szCs w:val="21"/>
                <w:highlight w:val="none"/>
              </w:rPr>
            </w:pPr>
            <w:r>
              <w:rPr>
                <w:sz w:val="21"/>
                <w:szCs w:val="21"/>
                <w:highlight w:val="none"/>
              </w:rPr>
              <w:t>地址：</w:t>
            </w:r>
          </w:p>
        </w:tc>
        <w:tc>
          <w:tcPr>
            <w:tcW w:w="600" w:type="dxa"/>
            <w:noWrap w:val="0"/>
            <w:vAlign w:val="top"/>
          </w:tcPr>
          <w:p>
            <w:pPr>
              <w:pStyle w:val="57"/>
              <w:rPr>
                <w:rFonts w:ascii="Times New Roman"/>
                <w:sz w:val="21"/>
                <w:szCs w:val="21"/>
                <w:highlight w:val="none"/>
              </w:rPr>
            </w:pPr>
          </w:p>
        </w:tc>
        <w:tc>
          <w:tcPr>
            <w:tcW w:w="600" w:type="dxa"/>
            <w:noWrap w:val="0"/>
            <w:vAlign w:val="top"/>
          </w:tcPr>
          <w:p>
            <w:pPr>
              <w:pStyle w:val="57"/>
              <w:rPr>
                <w:rFonts w:ascii="Times New Roman"/>
                <w:sz w:val="21"/>
                <w:szCs w:val="21"/>
                <w:highlight w:val="none"/>
              </w:rPr>
            </w:pPr>
          </w:p>
        </w:tc>
        <w:tc>
          <w:tcPr>
            <w:tcW w:w="1620" w:type="dxa"/>
            <w:noWrap w:val="0"/>
            <w:vAlign w:val="top"/>
          </w:tcPr>
          <w:p>
            <w:pPr>
              <w:pStyle w:val="57"/>
              <w:rPr>
                <w:rFonts w:ascii="Times New Roman"/>
                <w:sz w:val="21"/>
                <w:szCs w:val="21"/>
                <w:highlight w:val="none"/>
              </w:rPr>
            </w:pPr>
          </w:p>
        </w:tc>
        <w:tc>
          <w:tcPr>
            <w:tcW w:w="3890" w:type="dxa"/>
            <w:noWrap w:val="0"/>
            <w:vAlign w:val="top"/>
          </w:tcPr>
          <w:p>
            <w:pPr>
              <w:pStyle w:val="57"/>
              <w:spacing w:line="448" w:lineRule="exact"/>
              <w:jc w:val="left"/>
              <w:rPr>
                <w:sz w:val="21"/>
                <w:szCs w:val="21"/>
                <w:highlight w:val="none"/>
              </w:rPr>
            </w:pPr>
            <w:r>
              <w:rPr>
                <w:sz w:val="21"/>
                <w:szCs w:val="21"/>
                <w:highlight w:val="none"/>
              </w:rPr>
              <w:t>地址：</w:t>
            </w:r>
          </w:p>
        </w:tc>
      </w:tr>
      <w:tr>
        <w:tblPrEx>
          <w:tblCellMar>
            <w:top w:w="0" w:type="dxa"/>
            <w:left w:w="0" w:type="dxa"/>
            <w:bottom w:w="0" w:type="dxa"/>
            <w:right w:w="0" w:type="dxa"/>
          </w:tblCellMar>
        </w:tblPrEx>
        <w:trPr>
          <w:trHeight w:val="468" w:hRule="atLeast"/>
        </w:trPr>
        <w:tc>
          <w:tcPr>
            <w:tcW w:w="1670" w:type="dxa"/>
            <w:noWrap w:val="0"/>
            <w:vAlign w:val="top"/>
          </w:tcPr>
          <w:p>
            <w:pPr>
              <w:pStyle w:val="57"/>
              <w:spacing w:line="448" w:lineRule="exact"/>
              <w:ind w:left="50" w:leftChars="0"/>
              <w:rPr>
                <w:sz w:val="21"/>
                <w:szCs w:val="21"/>
                <w:highlight w:val="none"/>
              </w:rPr>
            </w:pPr>
            <w:r>
              <w:rPr>
                <w:sz w:val="21"/>
                <w:szCs w:val="21"/>
                <w:highlight w:val="none"/>
              </w:rPr>
              <w:t>法定代表人：</w:t>
            </w:r>
          </w:p>
        </w:tc>
        <w:tc>
          <w:tcPr>
            <w:tcW w:w="600" w:type="dxa"/>
            <w:noWrap w:val="0"/>
            <w:vAlign w:val="top"/>
          </w:tcPr>
          <w:p>
            <w:pPr>
              <w:pStyle w:val="57"/>
              <w:rPr>
                <w:rFonts w:ascii="Times New Roman"/>
                <w:sz w:val="21"/>
                <w:szCs w:val="21"/>
                <w:highlight w:val="none"/>
              </w:rPr>
            </w:pPr>
          </w:p>
        </w:tc>
        <w:tc>
          <w:tcPr>
            <w:tcW w:w="600" w:type="dxa"/>
            <w:noWrap w:val="0"/>
            <w:vAlign w:val="top"/>
          </w:tcPr>
          <w:p>
            <w:pPr>
              <w:pStyle w:val="57"/>
              <w:rPr>
                <w:rFonts w:ascii="Times New Roman"/>
                <w:sz w:val="21"/>
                <w:szCs w:val="21"/>
                <w:highlight w:val="none"/>
              </w:rPr>
            </w:pPr>
          </w:p>
        </w:tc>
        <w:tc>
          <w:tcPr>
            <w:tcW w:w="1620" w:type="dxa"/>
            <w:noWrap w:val="0"/>
            <w:vAlign w:val="top"/>
          </w:tcPr>
          <w:p>
            <w:pPr>
              <w:pStyle w:val="57"/>
              <w:rPr>
                <w:rFonts w:ascii="Times New Roman"/>
                <w:sz w:val="21"/>
                <w:szCs w:val="21"/>
                <w:highlight w:val="none"/>
              </w:rPr>
            </w:pPr>
          </w:p>
        </w:tc>
        <w:tc>
          <w:tcPr>
            <w:tcW w:w="3890" w:type="dxa"/>
            <w:noWrap w:val="0"/>
            <w:vAlign w:val="top"/>
          </w:tcPr>
          <w:p>
            <w:pPr>
              <w:pStyle w:val="57"/>
              <w:spacing w:line="448" w:lineRule="exact"/>
              <w:rPr>
                <w:sz w:val="21"/>
                <w:szCs w:val="21"/>
                <w:highlight w:val="none"/>
              </w:rPr>
            </w:pPr>
            <w:r>
              <w:rPr>
                <w:sz w:val="21"/>
                <w:szCs w:val="21"/>
                <w:highlight w:val="none"/>
              </w:rPr>
              <w:t>法定代表人：</w:t>
            </w:r>
          </w:p>
        </w:tc>
      </w:tr>
      <w:tr>
        <w:tblPrEx>
          <w:tblCellMar>
            <w:top w:w="0" w:type="dxa"/>
            <w:left w:w="0" w:type="dxa"/>
            <w:bottom w:w="0" w:type="dxa"/>
            <w:right w:w="0" w:type="dxa"/>
          </w:tblCellMar>
        </w:tblPrEx>
        <w:trPr>
          <w:trHeight w:val="468" w:hRule="atLeast"/>
        </w:trPr>
        <w:tc>
          <w:tcPr>
            <w:tcW w:w="1670" w:type="dxa"/>
            <w:noWrap w:val="0"/>
            <w:vAlign w:val="top"/>
          </w:tcPr>
          <w:p>
            <w:pPr>
              <w:pStyle w:val="57"/>
              <w:spacing w:line="448" w:lineRule="exact"/>
              <w:ind w:left="50" w:leftChars="0"/>
              <w:rPr>
                <w:sz w:val="21"/>
                <w:szCs w:val="21"/>
                <w:highlight w:val="none"/>
              </w:rPr>
            </w:pPr>
            <w:r>
              <w:rPr>
                <w:rFonts w:hint="eastAsia"/>
                <w:sz w:val="21"/>
                <w:szCs w:val="21"/>
                <w:highlight w:val="none"/>
                <w:lang w:val="en-US" w:eastAsia="zh-CN"/>
              </w:rPr>
              <w:t>或授权代表：</w:t>
            </w:r>
          </w:p>
        </w:tc>
        <w:tc>
          <w:tcPr>
            <w:tcW w:w="600" w:type="dxa"/>
            <w:noWrap w:val="0"/>
            <w:vAlign w:val="top"/>
          </w:tcPr>
          <w:p>
            <w:pPr>
              <w:pStyle w:val="57"/>
              <w:rPr>
                <w:rFonts w:ascii="Times New Roman"/>
                <w:sz w:val="21"/>
                <w:szCs w:val="21"/>
                <w:highlight w:val="none"/>
              </w:rPr>
            </w:pPr>
          </w:p>
        </w:tc>
        <w:tc>
          <w:tcPr>
            <w:tcW w:w="600" w:type="dxa"/>
            <w:noWrap w:val="0"/>
            <w:vAlign w:val="top"/>
          </w:tcPr>
          <w:p>
            <w:pPr>
              <w:pStyle w:val="57"/>
              <w:rPr>
                <w:rFonts w:ascii="Times New Roman"/>
                <w:sz w:val="21"/>
                <w:szCs w:val="21"/>
                <w:highlight w:val="none"/>
              </w:rPr>
            </w:pPr>
          </w:p>
        </w:tc>
        <w:tc>
          <w:tcPr>
            <w:tcW w:w="1620" w:type="dxa"/>
            <w:noWrap w:val="0"/>
            <w:vAlign w:val="top"/>
          </w:tcPr>
          <w:p>
            <w:pPr>
              <w:pStyle w:val="57"/>
              <w:rPr>
                <w:rFonts w:ascii="Times New Roman"/>
                <w:sz w:val="21"/>
                <w:szCs w:val="21"/>
                <w:highlight w:val="none"/>
              </w:rPr>
            </w:pPr>
          </w:p>
        </w:tc>
        <w:tc>
          <w:tcPr>
            <w:tcW w:w="3890" w:type="dxa"/>
            <w:noWrap w:val="0"/>
            <w:vAlign w:val="top"/>
          </w:tcPr>
          <w:p>
            <w:pPr>
              <w:pStyle w:val="57"/>
              <w:spacing w:line="448" w:lineRule="exact"/>
              <w:rPr>
                <w:sz w:val="21"/>
                <w:szCs w:val="21"/>
                <w:highlight w:val="none"/>
              </w:rPr>
            </w:pPr>
            <w:r>
              <w:rPr>
                <w:rFonts w:hint="eastAsia"/>
                <w:sz w:val="21"/>
                <w:szCs w:val="21"/>
                <w:highlight w:val="none"/>
                <w:lang w:val="en-US" w:eastAsia="zh-CN"/>
              </w:rPr>
              <w:t>或授权代表：</w:t>
            </w:r>
          </w:p>
        </w:tc>
      </w:tr>
      <w:tr>
        <w:tblPrEx>
          <w:tblCellMar>
            <w:top w:w="0" w:type="dxa"/>
            <w:left w:w="0" w:type="dxa"/>
            <w:bottom w:w="0" w:type="dxa"/>
            <w:right w:w="0" w:type="dxa"/>
          </w:tblCellMar>
        </w:tblPrEx>
        <w:trPr>
          <w:trHeight w:val="468" w:hRule="atLeast"/>
        </w:trPr>
        <w:tc>
          <w:tcPr>
            <w:tcW w:w="1670" w:type="dxa"/>
            <w:noWrap w:val="0"/>
            <w:vAlign w:val="top"/>
          </w:tcPr>
          <w:p>
            <w:pPr>
              <w:pStyle w:val="57"/>
              <w:spacing w:line="448" w:lineRule="exact"/>
              <w:ind w:left="50"/>
              <w:rPr>
                <w:sz w:val="21"/>
                <w:szCs w:val="21"/>
                <w:highlight w:val="none"/>
              </w:rPr>
            </w:pPr>
            <w:r>
              <w:rPr>
                <w:sz w:val="21"/>
                <w:szCs w:val="21"/>
                <w:highlight w:val="none"/>
              </w:rPr>
              <w:t>联系方式：</w:t>
            </w:r>
          </w:p>
        </w:tc>
        <w:tc>
          <w:tcPr>
            <w:tcW w:w="600" w:type="dxa"/>
            <w:noWrap w:val="0"/>
            <w:vAlign w:val="top"/>
          </w:tcPr>
          <w:p>
            <w:pPr>
              <w:pStyle w:val="57"/>
              <w:rPr>
                <w:rFonts w:ascii="Times New Roman"/>
                <w:sz w:val="21"/>
                <w:szCs w:val="21"/>
                <w:highlight w:val="none"/>
              </w:rPr>
            </w:pPr>
          </w:p>
        </w:tc>
        <w:tc>
          <w:tcPr>
            <w:tcW w:w="600" w:type="dxa"/>
            <w:noWrap w:val="0"/>
            <w:vAlign w:val="top"/>
          </w:tcPr>
          <w:p>
            <w:pPr>
              <w:pStyle w:val="57"/>
              <w:rPr>
                <w:rFonts w:ascii="Times New Roman"/>
                <w:sz w:val="21"/>
                <w:szCs w:val="21"/>
                <w:highlight w:val="none"/>
              </w:rPr>
            </w:pPr>
          </w:p>
        </w:tc>
        <w:tc>
          <w:tcPr>
            <w:tcW w:w="1620" w:type="dxa"/>
            <w:noWrap w:val="0"/>
            <w:vAlign w:val="top"/>
          </w:tcPr>
          <w:p>
            <w:pPr>
              <w:pStyle w:val="57"/>
              <w:rPr>
                <w:rFonts w:ascii="Times New Roman"/>
                <w:sz w:val="21"/>
                <w:szCs w:val="21"/>
                <w:highlight w:val="none"/>
              </w:rPr>
            </w:pPr>
          </w:p>
        </w:tc>
        <w:tc>
          <w:tcPr>
            <w:tcW w:w="3890" w:type="dxa"/>
            <w:noWrap w:val="0"/>
            <w:vAlign w:val="top"/>
          </w:tcPr>
          <w:p>
            <w:pPr>
              <w:pStyle w:val="57"/>
              <w:spacing w:line="448" w:lineRule="exact"/>
              <w:rPr>
                <w:sz w:val="21"/>
                <w:szCs w:val="21"/>
                <w:highlight w:val="none"/>
              </w:rPr>
            </w:pPr>
            <w:r>
              <w:rPr>
                <w:sz w:val="21"/>
                <w:szCs w:val="21"/>
                <w:highlight w:val="none"/>
              </w:rPr>
              <w:t>联系方式：</w:t>
            </w:r>
          </w:p>
        </w:tc>
      </w:tr>
      <w:tr>
        <w:tblPrEx>
          <w:tblCellMar>
            <w:top w:w="0" w:type="dxa"/>
            <w:left w:w="0" w:type="dxa"/>
            <w:bottom w:w="0" w:type="dxa"/>
            <w:right w:w="0" w:type="dxa"/>
          </w:tblCellMar>
        </w:tblPrEx>
        <w:trPr>
          <w:trHeight w:val="467" w:hRule="atLeast"/>
        </w:trPr>
        <w:tc>
          <w:tcPr>
            <w:tcW w:w="1670" w:type="dxa"/>
            <w:noWrap w:val="0"/>
            <w:vAlign w:val="top"/>
          </w:tcPr>
          <w:p>
            <w:pPr>
              <w:pStyle w:val="57"/>
              <w:spacing w:line="448" w:lineRule="exact"/>
              <w:ind w:left="50"/>
              <w:rPr>
                <w:sz w:val="21"/>
                <w:szCs w:val="21"/>
                <w:highlight w:val="none"/>
              </w:rPr>
            </w:pPr>
          </w:p>
        </w:tc>
        <w:tc>
          <w:tcPr>
            <w:tcW w:w="600" w:type="dxa"/>
            <w:noWrap w:val="0"/>
            <w:vAlign w:val="top"/>
          </w:tcPr>
          <w:p>
            <w:pPr>
              <w:pStyle w:val="57"/>
              <w:rPr>
                <w:rFonts w:ascii="Times New Roman"/>
                <w:sz w:val="21"/>
                <w:szCs w:val="21"/>
                <w:highlight w:val="none"/>
              </w:rPr>
            </w:pPr>
          </w:p>
        </w:tc>
        <w:tc>
          <w:tcPr>
            <w:tcW w:w="600" w:type="dxa"/>
            <w:noWrap w:val="0"/>
            <w:vAlign w:val="top"/>
          </w:tcPr>
          <w:p>
            <w:pPr>
              <w:pStyle w:val="57"/>
              <w:rPr>
                <w:rFonts w:ascii="Times New Roman"/>
                <w:sz w:val="21"/>
                <w:szCs w:val="21"/>
                <w:highlight w:val="none"/>
              </w:rPr>
            </w:pPr>
          </w:p>
        </w:tc>
        <w:tc>
          <w:tcPr>
            <w:tcW w:w="1620" w:type="dxa"/>
            <w:noWrap w:val="0"/>
            <w:vAlign w:val="top"/>
          </w:tcPr>
          <w:p>
            <w:pPr>
              <w:pStyle w:val="57"/>
              <w:rPr>
                <w:rFonts w:ascii="Times New Roman"/>
                <w:sz w:val="21"/>
                <w:szCs w:val="21"/>
                <w:highlight w:val="none"/>
              </w:rPr>
            </w:pPr>
          </w:p>
        </w:tc>
        <w:tc>
          <w:tcPr>
            <w:tcW w:w="3890" w:type="dxa"/>
            <w:noWrap w:val="0"/>
            <w:vAlign w:val="top"/>
          </w:tcPr>
          <w:p>
            <w:pPr>
              <w:pStyle w:val="57"/>
              <w:spacing w:line="448" w:lineRule="exact"/>
              <w:rPr>
                <w:sz w:val="21"/>
                <w:szCs w:val="21"/>
                <w:highlight w:val="none"/>
              </w:rPr>
            </w:pPr>
            <w:r>
              <w:rPr>
                <w:sz w:val="21"/>
                <w:szCs w:val="21"/>
                <w:highlight w:val="none"/>
              </w:rPr>
              <w:t>开户行：</w:t>
            </w:r>
          </w:p>
        </w:tc>
      </w:tr>
      <w:tr>
        <w:tblPrEx>
          <w:tblCellMar>
            <w:top w:w="0" w:type="dxa"/>
            <w:left w:w="0" w:type="dxa"/>
            <w:bottom w:w="0" w:type="dxa"/>
            <w:right w:w="0" w:type="dxa"/>
          </w:tblCellMar>
        </w:tblPrEx>
        <w:trPr>
          <w:trHeight w:val="468" w:hRule="atLeast"/>
        </w:trPr>
        <w:tc>
          <w:tcPr>
            <w:tcW w:w="1670" w:type="dxa"/>
            <w:noWrap w:val="0"/>
            <w:vAlign w:val="top"/>
          </w:tcPr>
          <w:p>
            <w:pPr>
              <w:pStyle w:val="57"/>
              <w:spacing w:line="448" w:lineRule="exact"/>
              <w:ind w:left="50"/>
              <w:rPr>
                <w:sz w:val="21"/>
                <w:szCs w:val="21"/>
                <w:highlight w:val="none"/>
              </w:rPr>
            </w:pPr>
          </w:p>
        </w:tc>
        <w:tc>
          <w:tcPr>
            <w:tcW w:w="600" w:type="dxa"/>
            <w:noWrap w:val="0"/>
            <w:vAlign w:val="top"/>
          </w:tcPr>
          <w:p>
            <w:pPr>
              <w:pStyle w:val="57"/>
              <w:rPr>
                <w:rFonts w:ascii="Times New Roman"/>
                <w:sz w:val="21"/>
                <w:szCs w:val="21"/>
                <w:highlight w:val="none"/>
              </w:rPr>
            </w:pPr>
          </w:p>
        </w:tc>
        <w:tc>
          <w:tcPr>
            <w:tcW w:w="600" w:type="dxa"/>
            <w:noWrap w:val="0"/>
            <w:vAlign w:val="top"/>
          </w:tcPr>
          <w:p>
            <w:pPr>
              <w:pStyle w:val="57"/>
              <w:rPr>
                <w:rFonts w:ascii="Times New Roman"/>
                <w:sz w:val="21"/>
                <w:szCs w:val="21"/>
                <w:highlight w:val="none"/>
              </w:rPr>
            </w:pPr>
          </w:p>
        </w:tc>
        <w:tc>
          <w:tcPr>
            <w:tcW w:w="1620" w:type="dxa"/>
            <w:noWrap w:val="0"/>
            <w:vAlign w:val="top"/>
          </w:tcPr>
          <w:p>
            <w:pPr>
              <w:pStyle w:val="57"/>
              <w:rPr>
                <w:rFonts w:ascii="Times New Roman"/>
                <w:sz w:val="21"/>
                <w:szCs w:val="21"/>
                <w:highlight w:val="none"/>
              </w:rPr>
            </w:pPr>
          </w:p>
        </w:tc>
        <w:tc>
          <w:tcPr>
            <w:tcW w:w="3890" w:type="dxa"/>
            <w:noWrap w:val="0"/>
            <w:vAlign w:val="top"/>
          </w:tcPr>
          <w:p>
            <w:pPr>
              <w:pStyle w:val="57"/>
              <w:spacing w:line="448" w:lineRule="exact"/>
              <w:rPr>
                <w:sz w:val="21"/>
                <w:szCs w:val="21"/>
                <w:highlight w:val="none"/>
              </w:rPr>
            </w:pPr>
            <w:r>
              <w:rPr>
                <w:sz w:val="21"/>
                <w:szCs w:val="21"/>
                <w:highlight w:val="none"/>
              </w:rPr>
              <w:t>账号：</w:t>
            </w:r>
          </w:p>
        </w:tc>
      </w:tr>
      <w:tr>
        <w:tblPrEx>
          <w:tblCellMar>
            <w:top w:w="0" w:type="dxa"/>
            <w:left w:w="0" w:type="dxa"/>
            <w:bottom w:w="0" w:type="dxa"/>
            <w:right w:w="0" w:type="dxa"/>
          </w:tblCellMar>
        </w:tblPrEx>
        <w:trPr>
          <w:trHeight w:val="354" w:hRule="atLeast"/>
        </w:trPr>
        <w:tc>
          <w:tcPr>
            <w:tcW w:w="1670" w:type="dxa"/>
            <w:noWrap w:val="0"/>
            <w:vAlign w:val="top"/>
          </w:tcPr>
          <w:p>
            <w:pPr>
              <w:pStyle w:val="57"/>
              <w:spacing w:line="334" w:lineRule="exact"/>
              <w:ind w:left="50"/>
              <w:rPr>
                <w:sz w:val="21"/>
                <w:szCs w:val="21"/>
                <w:highlight w:val="none"/>
              </w:rPr>
            </w:pPr>
            <w:r>
              <w:rPr>
                <w:sz w:val="21"/>
                <w:szCs w:val="21"/>
                <w:highlight w:val="none"/>
              </w:rPr>
              <w:t>签字日期：</w:t>
            </w:r>
          </w:p>
        </w:tc>
        <w:tc>
          <w:tcPr>
            <w:tcW w:w="600" w:type="dxa"/>
            <w:noWrap w:val="0"/>
            <w:vAlign w:val="top"/>
          </w:tcPr>
          <w:p>
            <w:pPr>
              <w:pStyle w:val="57"/>
              <w:spacing w:line="334" w:lineRule="exact"/>
              <w:ind w:left="179"/>
              <w:rPr>
                <w:sz w:val="21"/>
                <w:szCs w:val="21"/>
                <w:highlight w:val="none"/>
              </w:rPr>
            </w:pPr>
            <w:r>
              <w:rPr>
                <w:sz w:val="21"/>
                <w:szCs w:val="21"/>
                <w:highlight w:val="none"/>
              </w:rPr>
              <w:t>年</w:t>
            </w:r>
          </w:p>
        </w:tc>
        <w:tc>
          <w:tcPr>
            <w:tcW w:w="600" w:type="dxa"/>
            <w:noWrap w:val="0"/>
            <w:vAlign w:val="top"/>
          </w:tcPr>
          <w:p>
            <w:pPr>
              <w:pStyle w:val="57"/>
              <w:spacing w:line="334" w:lineRule="exact"/>
              <w:ind w:left="179"/>
              <w:rPr>
                <w:sz w:val="21"/>
                <w:szCs w:val="21"/>
                <w:highlight w:val="none"/>
              </w:rPr>
            </w:pPr>
            <w:r>
              <w:rPr>
                <w:sz w:val="21"/>
                <w:szCs w:val="21"/>
                <w:highlight w:val="none"/>
              </w:rPr>
              <w:t>月</w:t>
            </w:r>
          </w:p>
        </w:tc>
        <w:tc>
          <w:tcPr>
            <w:tcW w:w="1620" w:type="dxa"/>
            <w:noWrap w:val="0"/>
            <w:vAlign w:val="top"/>
          </w:tcPr>
          <w:p>
            <w:pPr>
              <w:pStyle w:val="57"/>
              <w:spacing w:line="334" w:lineRule="exact"/>
              <w:ind w:left="179"/>
              <w:rPr>
                <w:sz w:val="21"/>
                <w:szCs w:val="21"/>
                <w:highlight w:val="none"/>
              </w:rPr>
            </w:pPr>
            <w:r>
              <w:rPr>
                <w:sz w:val="21"/>
                <w:szCs w:val="21"/>
                <w:highlight w:val="none"/>
              </w:rPr>
              <w:t>日</w:t>
            </w:r>
          </w:p>
        </w:tc>
        <w:tc>
          <w:tcPr>
            <w:tcW w:w="3890" w:type="dxa"/>
            <w:noWrap w:val="0"/>
            <w:vAlign w:val="top"/>
          </w:tcPr>
          <w:p>
            <w:pPr>
              <w:pStyle w:val="57"/>
              <w:rPr>
                <w:rFonts w:ascii="Times New Roman"/>
                <w:sz w:val="21"/>
                <w:szCs w:val="21"/>
                <w:highlight w:val="none"/>
              </w:rPr>
            </w:pPr>
          </w:p>
        </w:tc>
      </w:tr>
    </w:tbl>
    <w:p>
      <w:pPr>
        <w:spacing w:line="460" w:lineRule="exact"/>
        <w:ind w:firstLine="495"/>
        <w:rPr>
          <w:highlight w:val="none"/>
        </w:rPr>
      </w:pPr>
    </w:p>
    <w:p>
      <w:pPr>
        <w:rPr>
          <w:rFonts w:ascii="仿宋" w:hAnsi="仿宋" w:eastAsia="仿宋" w:cs="仿宋"/>
          <w:highlight w:val="none"/>
        </w:rPr>
      </w:pPr>
    </w:p>
    <w:p>
      <w:pPr>
        <w:autoSpaceDE w:val="0"/>
        <w:autoSpaceDN w:val="0"/>
        <w:spacing w:line="360" w:lineRule="exact"/>
        <w:ind w:firstLine="767" w:firstLineChars="273"/>
        <w:jc w:val="center"/>
        <w:rPr>
          <w:rFonts w:hAnsi="宋体"/>
          <w:b/>
          <w:sz w:val="28"/>
          <w:szCs w:val="28"/>
          <w:highlight w:val="none"/>
        </w:rPr>
        <w:sectPr>
          <w:footerReference r:id="rId8"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center"/>
        <w:outlineLvl w:val="0"/>
        <w:rPr>
          <w:rFonts w:asciiTheme="minorEastAsia" w:hAnsiTheme="minorEastAsia" w:eastAsiaTheme="minorEastAsia"/>
          <w:b/>
          <w:sz w:val="36"/>
          <w:szCs w:val="36"/>
          <w:highlight w:val="none"/>
        </w:rPr>
      </w:pPr>
      <w:bookmarkStart w:id="55" w:name="_Toc7164"/>
      <w:r>
        <w:rPr>
          <w:rFonts w:hint="eastAsia" w:asciiTheme="minorEastAsia" w:hAnsiTheme="minorEastAsia" w:eastAsiaTheme="minorEastAsia"/>
          <w:b/>
          <w:sz w:val="36"/>
          <w:szCs w:val="36"/>
          <w:highlight w:val="none"/>
        </w:rPr>
        <w:t>第六章 投标文件格式</w:t>
      </w:r>
      <w:bookmarkEnd w:id="55"/>
    </w:p>
    <w:p>
      <w:pPr>
        <w:rPr>
          <w:rFonts w:ascii="宋体" w:hAnsi="宋体"/>
          <w:b/>
          <w:sz w:val="30"/>
          <w:szCs w:val="30"/>
          <w:highlight w:val="none"/>
        </w:rPr>
      </w:pPr>
    </w:p>
    <w:p>
      <w:pPr>
        <w:rPr>
          <w:rFonts w:ascii="宋体" w:hAnsi="宋体"/>
          <w:b/>
          <w:kern w:val="0"/>
          <w:sz w:val="28"/>
          <w:szCs w:val="28"/>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p>
    <w:p>
      <w:pPr>
        <w:spacing w:line="360" w:lineRule="auto"/>
        <w:rPr>
          <w:rFonts w:asciiTheme="minorEastAsia" w:hAnsiTheme="minorEastAsia" w:eastAsiaTheme="minorEastAsia"/>
          <w:b/>
          <w:sz w:val="30"/>
          <w:szCs w:val="30"/>
          <w:highlight w:val="none"/>
        </w:rPr>
      </w:pPr>
    </w:p>
    <w:p>
      <w:pPr>
        <w:jc w:val="center"/>
        <w:rPr>
          <w:rFonts w:hint="eastAsia" w:eastAsia="宋体"/>
          <w:sz w:val="44"/>
          <w:szCs w:val="44"/>
          <w:highlight w:val="none"/>
          <w:lang w:eastAsia="zh-CN"/>
        </w:rPr>
      </w:pPr>
      <w:r>
        <w:rPr>
          <w:rFonts w:hint="eastAsia"/>
          <w:sz w:val="44"/>
          <w:szCs w:val="44"/>
          <w:highlight w:val="none"/>
          <w:lang w:eastAsia="zh-CN"/>
        </w:rPr>
        <w:t>台州市云湖小学午休躺睡桌椅采购项目</w:t>
      </w:r>
    </w:p>
    <w:p>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TZYY-2407-010号</w:t>
      </w:r>
    </w:p>
    <w:p>
      <w:pPr>
        <w:pStyle w:val="26"/>
        <w:rPr>
          <w:highlight w:val="none"/>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资格标）</w:t>
      </w:r>
    </w:p>
    <w:p>
      <w:pPr>
        <w:pStyle w:val="26"/>
        <w:rPr>
          <w:highlight w:val="none"/>
        </w:rPr>
      </w:pPr>
    </w:p>
    <w:p>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w:t>
      </w:r>
    </w:p>
    <w:p>
      <w:pPr>
        <w:spacing w:line="360" w:lineRule="auto"/>
        <w:ind w:right="532" w:firstLine="640" w:firstLineChars="200"/>
        <w:rPr>
          <w:rFonts w:ascii="宋体" w:hAnsi="宋体"/>
          <w:sz w:val="32"/>
          <w:szCs w:val="32"/>
          <w:highlight w:val="none"/>
        </w:rPr>
      </w:pPr>
    </w:p>
    <w:p>
      <w:pPr>
        <w:snapToGrid w:val="0"/>
        <w:spacing w:before="50" w:after="50" w:line="360" w:lineRule="auto"/>
        <w:rPr>
          <w:rFonts w:ascii="仿宋_GB2312" w:hAnsi="宋体" w:eastAsia="仿宋_GB2312"/>
          <w:b/>
          <w:sz w:val="36"/>
          <w:szCs w:val="36"/>
          <w:highlight w:val="none"/>
        </w:rPr>
      </w:pPr>
    </w:p>
    <w:p>
      <w:pPr>
        <w:pStyle w:val="10"/>
        <w:rPr>
          <w:rFonts w:ascii="仿宋_GB2312" w:hAnsi="宋体" w:eastAsia="仿宋_GB2312"/>
          <w:b/>
          <w:sz w:val="36"/>
          <w:szCs w:val="36"/>
          <w:highlight w:val="none"/>
        </w:rPr>
      </w:pPr>
    </w:p>
    <w:p>
      <w:pPr>
        <w:pStyle w:val="11"/>
        <w:ind w:firstLine="480"/>
        <w:rPr>
          <w:highlight w:val="none"/>
        </w:rPr>
      </w:pPr>
    </w:p>
    <w:p>
      <w:pPr>
        <w:pStyle w:val="5"/>
        <w:rPr>
          <w:rFonts w:ascii="仿宋_GB2312" w:hAnsi="宋体" w:eastAsia="仿宋_GB2312"/>
          <w:b/>
          <w:sz w:val="36"/>
          <w:szCs w:val="36"/>
          <w:highlight w:val="none"/>
        </w:rPr>
      </w:pPr>
    </w:p>
    <w:p>
      <w:pPr>
        <w:spacing w:line="360" w:lineRule="auto"/>
        <w:jc w:val="center"/>
        <w:rPr>
          <w:b/>
          <w:bCs/>
          <w:sz w:val="36"/>
          <w:szCs w:val="36"/>
          <w:highlight w:val="none"/>
        </w:rPr>
      </w:pPr>
      <w:r>
        <w:rPr>
          <w:rFonts w:hint="eastAsia"/>
          <w:b/>
          <w:bCs/>
          <w:sz w:val="36"/>
          <w:szCs w:val="36"/>
          <w:highlight w:val="none"/>
        </w:rPr>
        <w:t>资格标目录</w:t>
      </w:r>
    </w:p>
    <w:p>
      <w:pPr>
        <w:spacing w:line="360" w:lineRule="auto"/>
        <w:ind w:firstLine="560" w:firstLineChars="200"/>
        <w:rPr>
          <w:sz w:val="28"/>
          <w:szCs w:val="36"/>
          <w:highlight w:val="none"/>
        </w:rPr>
      </w:pPr>
    </w:p>
    <w:p>
      <w:pPr>
        <w:numPr>
          <w:ilvl w:val="0"/>
          <w:numId w:val="73"/>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投标声明书（附件1）；</w:t>
      </w:r>
    </w:p>
    <w:p>
      <w:pPr>
        <w:numPr>
          <w:ilvl w:val="0"/>
          <w:numId w:val="73"/>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授权委托书（法定代表人亲自办理投标事宜的，则无需提交；附件2）；</w:t>
      </w:r>
    </w:p>
    <w:p>
      <w:pPr>
        <w:numPr>
          <w:ilvl w:val="0"/>
          <w:numId w:val="73"/>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法人或者其他组织的营业执照等证明文件，自然人的身份证明；</w:t>
      </w:r>
    </w:p>
    <w:p>
      <w:pPr>
        <w:numPr>
          <w:ilvl w:val="0"/>
          <w:numId w:val="73"/>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具有依法缴纳税收和社会保障资金证明的承诺函（附件3）；</w:t>
      </w:r>
    </w:p>
    <w:p>
      <w:pPr>
        <w:numPr>
          <w:ilvl w:val="0"/>
          <w:numId w:val="73"/>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具有良好的商业信誉和健全的财务会计制度的承诺函（附件4）；</w:t>
      </w:r>
    </w:p>
    <w:p>
      <w:pPr>
        <w:numPr>
          <w:ilvl w:val="0"/>
          <w:numId w:val="73"/>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具有履行合同</w:t>
      </w:r>
      <w:r>
        <w:rPr>
          <w:rFonts w:hint="eastAsia" w:ascii="宋体" w:hAnsi="宋体" w:cs="宋体"/>
          <w:sz w:val="24"/>
          <w:highlight w:val="none"/>
          <w:lang w:eastAsia="zh-CN"/>
        </w:rPr>
        <w:t>所必需的</w:t>
      </w:r>
      <w:r>
        <w:rPr>
          <w:rFonts w:hint="eastAsia" w:ascii="宋体" w:hAnsi="宋体" w:cs="宋体"/>
          <w:sz w:val="24"/>
          <w:highlight w:val="none"/>
        </w:rPr>
        <w:t>设备和专业技术能力的承诺函（附件5）；</w:t>
      </w:r>
    </w:p>
    <w:p>
      <w:pPr>
        <w:numPr>
          <w:ilvl w:val="0"/>
          <w:numId w:val="73"/>
        </w:numPr>
        <w:snapToGrid w:val="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需要说明的其他资料。</w:t>
      </w:r>
    </w:p>
    <w:p>
      <w:pPr>
        <w:spacing w:line="360" w:lineRule="auto"/>
        <w:rPr>
          <w:rFonts w:ascii="宋体" w:hAnsi="宋体"/>
          <w:b/>
          <w:sz w:val="28"/>
          <w:highlight w:val="none"/>
        </w:rPr>
      </w:pPr>
    </w:p>
    <w:p>
      <w:pPr>
        <w:spacing w:line="360" w:lineRule="auto"/>
        <w:ind w:left="420"/>
        <w:rPr>
          <w:rFonts w:ascii="宋体" w:hAnsi="宋体"/>
          <w:b/>
          <w:sz w:val="28"/>
          <w:highlight w:val="none"/>
        </w:rPr>
      </w:pPr>
    </w:p>
    <w:p>
      <w:pPr>
        <w:pStyle w:val="37"/>
        <w:rPr>
          <w:rFonts w:ascii="宋体" w:hAnsi="宋体"/>
          <w:b/>
          <w:sz w:val="28"/>
          <w:highlight w:val="none"/>
        </w:rPr>
      </w:pPr>
    </w:p>
    <w:p>
      <w:pPr>
        <w:pStyle w:val="37"/>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p>
    <w:p>
      <w:pPr>
        <w:spacing w:line="360" w:lineRule="auto"/>
        <w:rPr>
          <w:rFonts w:ascii="宋体" w:hAnsi="宋体"/>
          <w:b/>
          <w:sz w:val="28"/>
          <w:highlight w:val="none"/>
        </w:rPr>
      </w:pPr>
    </w:p>
    <w:p>
      <w:pPr>
        <w:pStyle w:val="2"/>
        <w:numPr>
          <w:ilvl w:val="0"/>
          <w:numId w:val="0"/>
        </w:numPr>
        <w:ind w:left="425"/>
        <w:jc w:val="both"/>
        <w:outlineLvl w:val="9"/>
        <w:rPr>
          <w:highlight w:val="none"/>
        </w:rPr>
      </w:pPr>
    </w:p>
    <w:p>
      <w:pPr>
        <w:rPr>
          <w:highlight w:val="none"/>
        </w:rPr>
      </w:pPr>
    </w:p>
    <w:p>
      <w:pPr>
        <w:pStyle w:val="5"/>
        <w:rPr>
          <w:rFonts w:ascii="宋体" w:hAnsi="宋体"/>
          <w:b/>
          <w:sz w:val="28"/>
          <w:highlight w:val="none"/>
        </w:rPr>
      </w:pPr>
    </w:p>
    <w:p>
      <w:pPr>
        <w:pStyle w:val="5"/>
        <w:rPr>
          <w:rFonts w:ascii="宋体" w:hAnsi="宋体"/>
          <w:b/>
          <w:sz w:val="28"/>
          <w:highlight w:val="none"/>
        </w:rPr>
      </w:pPr>
    </w:p>
    <w:p>
      <w:pPr>
        <w:pStyle w:val="5"/>
        <w:rPr>
          <w:rFonts w:ascii="宋体" w:hAnsi="宋体"/>
          <w:b/>
          <w:sz w:val="28"/>
          <w:highlight w:val="none"/>
        </w:rPr>
      </w:pPr>
    </w:p>
    <w:p>
      <w:pPr>
        <w:spacing w:line="312" w:lineRule="auto"/>
        <w:rPr>
          <w:rFonts w:ascii="宋体" w:hAnsi="宋体"/>
          <w:b/>
          <w:sz w:val="28"/>
          <w:highlight w:val="none"/>
        </w:rPr>
      </w:pPr>
      <w:r>
        <w:rPr>
          <w:rFonts w:hint="eastAsia" w:ascii="宋体" w:hAnsi="宋体"/>
          <w:b/>
          <w:sz w:val="28"/>
          <w:highlight w:val="none"/>
        </w:rPr>
        <w:t>附件1</w:t>
      </w:r>
    </w:p>
    <w:p>
      <w:pPr>
        <w:adjustRightInd w:val="0"/>
        <w:snapToGrid w:val="0"/>
        <w:spacing w:line="312" w:lineRule="auto"/>
        <w:ind w:right="480"/>
        <w:jc w:val="center"/>
        <w:rPr>
          <w:rFonts w:ascii="宋体" w:hAnsi="宋体"/>
          <w:b/>
          <w:kern w:val="0"/>
          <w:sz w:val="32"/>
          <w:szCs w:val="32"/>
          <w:highlight w:val="none"/>
          <w:lang w:val="zh-CN"/>
        </w:rPr>
      </w:pPr>
      <w:bookmarkStart w:id="56" w:name="_Toc30723_WPSOffice_Level1"/>
      <w:bookmarkStart w:id="57" w:name="_Toc31708_WPSOffice_Level1"/>
      <w:r>
        <w:rPr>
          <w:rFonts w:hint="eastAsia" w:ascii="宋体" w:hAnsi="宋体"/>
          <w:b/>
          <w:kern w:val="0"/>
          <w:sz w:val="32"/>
          <w:szCs w:val="32"/>
          <w:highlight w:val="none"/>
          <w:lang w:val="zh-CN"/>
        </w:rPr>
        <w:t>投标声明书</w:t>
      </w:r>
      <w:bookmarkEnd w:id="56"/>
      <w:bookmarkEnd w:id="57"/>
    </w:p>
    <w:p>
      <w:pPr>
        <w:snapToGrid w:val="0"/>
        <w:spacing w:before="156" w:beforeLines="50" w:after="50" w:line="312" w:lineRule="auto"/>
        <w:rPr>
          <w:rFonts w:ascii="宋体" w:hAnsi="宋体" w:cs="宋体"/>
          <w:kern w:val="0"/>
          <w:sz w:val="24"/>
          <w:highlight w:val="none"/>
        </w:rPr>
      </w:pPr>
      <w:r>
        <w:rPr>
          <w:rFonts w:hint="eastAsia" w:ascii="宋体" w:hAnsi="宋体" w:cs="宋体"/>
          <w:kern w:val="0"/>
          <w:sz w:val="24"/>
          <w:highlight w:val="none"/>
          <w:u w:val="single"/>
          <w:lang w:eastAsia="zh-CN"/>
        </w:rPr>
        <w:t>台州市云湖小学</w:t>
      </w:r>
      <w:r>
        <w:rPr>
          <w:rFonts w:hint="eastAsia" w:ascii="宋体" w:hAnsi="宋体" w:cs="宋体"/>
          <w:kern w:val="0"/>
          <w:sz w:val="24"/>
          <w:highlight w:val="none"/>
        </w:rPr>
        <w:t>：</w:t>
      </w:r>
    </w:p>
    <w:p>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color w:val="FF0000"/>
          <w:kern w:val="0"/>
          <w:sz w:val="24"/>
          <w:highlight w:val="none"/>
          <w:u w:val="single"/>
        </w:rPr>
        <w:t>（ 姓名 ）</w:t>
      </w:r>
      <w:r>
        <w:rPr>
          <w:rFonts w:hint="eastAsia" w:ascii="宋体" w:hAnsi="宋体" w:cs="宋体"/>
          <w:kern w:val="0"/>
          <w:sz w:val="24"/>
          <w:highlight w:val="none"/>
        </w:rPr>
        <w:t>系</w:t>
      </w:r>
      <w:r>
        <w:rPr>
          <w:rFonts w:hint="eastAsia" w:ascii="宋体" w:hAnsi="宋体" w:cs="宋体"/>
          <w:kern w:val="0"/>
          <w:sz w:val="24"/>
          <w:highlight w:val="none"/>
          <w:u w:val="single"/>
        </w:rPr>
        <w:t>（</w:t>
      </w:r>
      <w:r>
        <w:rPr>
          <w:rFonts w:hint="eastAsia" w:ascii="宋体" w:hAnsi="宋体" w:cs="宋体"/>
          <w:color w:val="FF0000"/>
          <w:kern w:val="0"/>
          <w:sz w:val="24"/>
          <w:highlight w:val="none"/>
          <w:u w:val="single"/>
        </w:rPr>
        <w:t xml:space="preserve"> 投标人名称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lang w:eastAsia="zh-CN"/>
        </w:rPr>
        <w:t>台州市云湖小学午休躺睡桌椅采购项目</w:t>
      </w:r>
      <w:r>
        <w:rPr>
          <w:rFonts w:hint="eastAsia" w:ascii="宋体" w:hAnsi="宋体" w:cs="宋体"/>
          <w:kern w:val="0"/>
          <w:sz w:val="24"/>
          <w:highlight w:val="none"/>
        </w:rPr>
        <w:t>（编号为</w:t>
      </w:r>
      <w:r>
        <w:rPr>
          <w:rFonts w:hint="eastAsia" w:ascii="宋体" w:hAnsi="宋体" w:cs="宋体"/>
          <w:kern w:val="0"/>
          <w:sz w:val="24"/>
          <w:highlight w:val="none"/>
          <w:u w:val="single"/>
          <w:lang w:eastAsia="zh-CN"/>
        </w:rPr>
        <w:t>TZYY-2407-010号</w:t>
      </w:r>
      <w:r>
        <w:rPr>
          <w:rFonts w:hint="eastAsia" w:ascii="宋体" w:hAnsi="宋体" w:cs="宋体"/>
          <w:kern w:val="0"/>
          <w:sz w:val="24"/>
          <w:highlight w:val="none"/>
        </w:rPr>
        <w:t>）的投标，为此，我公司就本次投标有关事项郑重声明如下：</w:t>
      </w:r>
    </w:p>
    <w:p>
      <w:pPr>
        <w:numPr>
          <w:ilvl w:val="0"/>
          <w:numId w:val="74"/>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74"/>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74"/>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pPr>
        <w:numPr>
          <w:ilvl w:val="0"/>
          <w:numId w:val="74"/>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numPr>
          <w:ilvl w:val="0"/>
          <w:numId w:val="74"/>
        </w:numPr>
        <w:snapToGrid w:val="0"/>
        <w:spacing w:line="360" w:lineRule="auto"/>
        <w:ind w:left="5" w:firstLine="415"/>
        <w:rPr>
          <w:rFonts w:ascii="仿宋_GB2312" w:hAnsi="仿宋_GB2312" w:cs="仿宋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numPr>
          <w:ilvl w:val="0"/>
          <w:numId w:val="74"/>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b/>
          <w:sz w:val="28"/>
          <w:highlight w:val="none"/>
        </w:rPr>
      </w:pPr>
      <w:r>
        <w:rPr>
          <w:rFonts w:hint="eastAsia" w:ascii="宋体" w:hAnsi="宋体" w:cs="仿宋_GB2312"/>
          <w:color w:val="FF0000"/>
          <w:kern w:val="0"/>
          <w:sz w:val="24"/>
          <w:highlight w:val="none"/>
          <w:lang w:val="zh-CN"/>
        </w:rPr>
        <w:t>日期：    年   月   日</w:t>
      </w:r>
    </w:p>
    <w:p>
      <w:pPr>
        <w:rPr>
          <w:rFonts w:hint="eastAsia" w:ascii="宋体" w:hAnsi="宋体"/>
          <w:b/>
          <w:sz w:val="28"/>
          <w:highlight w:val="none"/>
        </w:rPr>
      </w:pPr>
      <w:r>
        <w:rPr>
          <w:rFonts w:hint="eastAsia" w:ascii="宋体" w:hAnsi="宋体"/>
          <w:b/>
          <w:sz w:val="28"/>
          <w:highlight w:val="none"/>
        </w:rPr>
        <w:br w:type="page"/>
      </w:r>
    </w:p>
    <w:p>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pPr>
        <w:spacing w:line="360" w:lineRule="auto"/>
        <w:ind w:firstLine="321" w:firstLineChars="100"/>
        <w:jc w:val="center"/>
        <w:rPr>
          <w:rFonts w:hAnsi="宋体"/>
          <w:b/>
          <w:sz w:val="32"/>
          <w:szCs w:val="32"/>
          <w:highlight w:val="none"/>
          <w:u w:val="single"/>
        </w:rPr>
      </w:pPr>
      <w:bookmarkStart w:id="58" w:name="_Toc6870_WPSOffice_Level1"/>
      <w:bookmarkStart w:id="59" w:name="_Toc24373_WPSOffice_Level1"/>
      <w:r>
        <w:rPr>
          <w:b/>
          <w:sz w:val="32"/>
          <w:szCs w:val="32"/>
          <w:highlight w:val="none"/>
        </w:rPr>
        <w:t>授权</w:t>
      </w:r>
      <w:r>
        <w:rPr>
          <w:rFonts w:hint="eastAsia"/>
          <w:b/>
          <w:sz w:val="32"/>
          <w:szCs w:val="32"/>
          <w:highlight w:val="none"/>
        </w:rPr>
        <w:t>委托</w:t>
      </w:r>
      <w:r>
        <w:rPr>
          <w:b/>
          <w:sz w:val="32"/>
          <w:szCs w:val="32"/>
          <w:highlight w:val="none"/>
        </w:rPr>
        <w:t>书</w:t>
      </w:r>
      <w:bookmarkEnd w:id="58"/>
      <w:bookmarkEnd w:id="59"/>
    </w:p>
    <w:p>
      <w:pPr>
        <w:snapToGrid w:val="0"/>
        <w:spacing w:before="156" w:beforeLines="50" w:after="50" w:line="360" w:lineRule="auto"/>
        <w:rPr>
          <w:rFonts w:ascii="宋体" w:hAnsi="宋体" w:cs="宋体"/>
          <w:kern w:val="0"/>
          <w:sz w:val="24"/>
          <w:highlight w:val="none"/>
        </w:rPr>
      </w:pPr>
      <w:r>
        <w:rPr>
          <w:rFonts w:hint="eastAsia" w:ascii="宋体" w:hAnsi="宋体" w:cs="宋体"/>
          <w:kern w:val="0"/>
          <w:sz w:val="24"/>
          <w:highlight w:val="none"/>
          <w:u w:val="single"/>
          <w:lang w:eastAsia="zh-CN"/>
        </w:rPr>
        <w:t>台州市云湖小学</w:t>
      </w:r>
      <w:r>
        <w:rPr>
          <w:rFonts w:hint="eastAsia" w:ascii="宋体" w:hAnsi="宋体" w:cs="宋体"/>
          <w:kern w:val="0"/>
          <w:sz w:val="24"/>
          <w:highlight w:val="none"/>
        </w:rPr>
        <w:t>：</w:t>
      </w:r>
    </w:p>
    <w:p>
      <w:pPr>
        <w:pStyle w:val="15"/>
        <w:spacing w:line="360" w:lineRule="auto"/>
        <w:ind w:firstLine="480" w:firstLineChars="200"/>
        <w:rPr>
          <w:rFonts w:hAnsi="宋体"/>
          <w:sz w:val="24"/>
          <w:highlight w:val="none"/>
        </w:rPr>
      </w:pPr>
      <w:r>
        <w:rPr>
          <w:rFonts w:hAnsi="宋体"/>
          <w:color w:val="FF0000"/>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color w:val="FF0000"/>
          <w:sz w:val="24"/>
          <w:highlight w:val="none"/>
          <w:u w:val="single"/>
        </w:rPr>
        <w:tab/>
      </w:r>
      <w:r>
        <w:rPr>
          <w:rFonts w:hAnsi="宋体"/>
          <w:color w:val="FF0000"/>
          <w:sz w:val="24"/>
          <w:highlight w:val="none"/>
          <w:u w:val="single"/>
        </w:rPr>
        <w:t>（法定代表</w:t>
      </w:r>
      <w:r>
        <w:rPr>
          <w:rFonts w:hint="eastAsia" w:hAnsi="宋体"/>
          <w:color w:val="FF0000"/>
          <w:sz w:val="24"/>
          <w:highlight w:val="none"/>
          <w:u w:val="single"/>
        </w:rPr>
        <w:t>人</w:t>
      </w:r>
      <w:r>
        <w:rPr>
          <w:rFonts w:hint="eastAsia" w:ascii="Arial" w:hAnsi="Arial" w:cs="Arial"/>
          <w:color w:val="FF0000"/>
          <w:sz w:val="24"/>
          <w:highlight w:val="none"/>
          <w:u w:val="single"/>
        </w:rPr>
        <w:t>或营业执照中单位负责人</w:t>
      </w:r>
      <w:r>
        <w:rPr>
          <w:rFonts w:hAnsi="宋体"/>
          <w:color w:val="FF0000"/>
          <w:sz w:val="24"/>
          <w:highlight w:val="none"/>
          <w:u w:val="single"/>
        </w:rPr>
        <w:t xml:space="preserve">姓名） </w:t>
      </w:r>
      <w:r>
        <w:rPr>
          <w:rFonts w:hAnsi="宋体"/>
          <w:sz w:val="24"/>
          <w:highlight w:val="none"/>
        </w:rPr>
        <w:t>授权</w:t>
      </w:r>
      <w:r>
        <w:rPr>
          <w:rFonts w:hint="eastAsia" w:hAnsi="宋体"/>
          <w:color w:val="FF0000"/>
          <w:sz w:val="24"/>
          <w:highlight w:val="none"/>
          <w:u w:val="single"/>
        </w:rPr>
        <w:t xml:space="preserve">   （全权代表</w:t>
      </w:r>
      <w:r>
        <w:rPr>
          <w:rFonts w:hAnsi="宋体"/>
          <w:color w:val="FF0000"/>
          <w:sz w:val="24"/>
          <w:highlight w:val="none"/>
          <w:u w:val="single"/>
        </w:rPr>
        <w:t>姓名</w:t>
      </w:r>
      <w:r>
        <w:rPr>
          <w:rFonts w:hint="eastAsia" w:hAnsi="宋体"/>
          <w:color w:val="FF0000"/>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hAnsi="宋体"/>
          <w:sz w:val="24"/>
          <w:highlight w:val="none"/>
          <w:u w:val="single"/>
          <w:lang w:eastAsia="zh-CN"/>
        </w:rPr>
        <w:t>台州市云湖小学午休躺睡桌椅采购项目</w:t>
      </w:r>
      <w:r>
        <w:rPr>
          <w:rFonts w:hint="eastAsia" w:hAnsi="宋体" w:cs="宋体"/>
          <w:kern w:val="0"/>
          <w:sz w:val="24"/>
          <w:highlight w:val="none"/>
        </w:rPr>
        <w:t>（编号为</w:t>
      </w:r>
      <w:r>
        <w:rPr>
          <w:rFonts w:hint="eastAsia" w:hAnsi="宋体" w:cs="宋体"/>
          <w:kern w:val="0"/>
          <w:sz w:val="24"/>
          <w:highlight w:val="none"/>
          <w:u w:val="single"/>
          <w:lang w:eastAsia="zh-CN"/>
        </w:rPr>
        <w:t>TZYY-2407-010号</w:t>
      </w:r>
      <w:r>
        <w:rPr>
          <w:rFonts w:hint="eastAsia"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pPr>
        <w:pStyle w:val="15"/>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15"/>
        <w:spacing w:line="360" w:lineRule="auto"/>
        <w:ind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color w:val="FF0000"/>
          <w:sz w:val="24"/>
          <w:highlight w:val="none"/>
        </w:rPr>
      </w:pPr>
      <w:r>
        <w:rPr>
          <w:rFonts w:hint="eastAsia" w:ascii="宋体"/>
          <w:color w:val="FF0000"/>
          <w:sz w:val="24"/>
          <w:highlight w:val="none"/>
        </w:rPr>
        <w:t>法定代表人签字</w:t>
      </w:r>
      <w:r>
        <w:rPr>
          <w:rFonts w:hint="eastAsia" w:ascii="宋体"/>
          <w:color w:val="FF0000"/>
          <w:sz w:val="24"/>
          <w:highlight w:val="none"/>
          <w:lang w:eastAsia="zh-CN"/>
        </w:rPr>
        <w:t>（</w:t>
      </w:r>
      <w:r>
        <w:rPr>
          <w:rFonts w:hint="eastAsia" w:ascii="宋体"/>
          <w:color w:val="FF0000"/>
          <w:sz w:val="24"/>
          <w:highlight w:val="none"/>
          <w:lang w:val="en-US" w:eastAsia="zh-CN"/>
        </w:rPr>
        <w:t>签章</w:t>
      </w:r>
      <w:r>
        <w:rPr>
          <w:rFonts w:hint="eastAsia" w:ascii="宋体"/>
          <w:color w:val="FF0000"/>
          <w:sz w:val="24"/>
          <w:highlight w:val="none"/>
          <w:lang w:eastAsia="zh-CN"/>
        </w:rPr>
        <w:t>）</w:t>
      </w:r>
      <w:r>
        <w:rPr>
          <w:rFonts w:hint="eastAsia" w:ascii="宋体"/>
          <w:color w:val="FF0000"/>
          <w:sz w:val="24"/>
          <w:highlight w:val="none"/>
        </w:rPr>
        <w:t>：</w:t>
      </w:r>
    </w:p>
    <w:p>
      <w:pPr>
        <w:spacing w:line="360" w:lineRule="auto"/>
        <w:rPr>
          <w:color w:val="FF0000"/>
          <w:sz w:val="24"/>
          <w:highlight w:val="none"/>
        </w:rPr>
      </w:pPr>
      <w:r>
        <w:rPr>
          <w:rFonts w:hint="eastAsia" w:ascii="宋体"/>
          <w:color w:val="FF0000"/>
          <w:sz w:val="24"/>
          <w:highlight w:val="none"/>
        </w:rPr>
        <w:t>投标人（公章）：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27"/>
        <w:tblpPr w:leftFromText="180" w:rightFromText="180" w:vertAnchor="text" w:horzAnchor="page" w:tblpX="1425" w:tblpY="36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法定代表</w:t>
            </w:r>
            <w:r>
              <w:rPr>
                <w:rFonts w:hint="eastAsia" w:ascii="宋体"/>
                <w:b/>
                <w:sz w:val="24"/>
                <w:highlight w:val="none"/>
                <w:lang w:val="en-US" w:eastAsia="zh-CN"/>
              </w:rPr>
              <w:t>人</w:t>
            </w:r>
            <w:r>
              <w:rPr>
                <w:rFonts w:hint="eastAsia" w:ascii="宋体"/>
                <w:b/>
                <w:sz w:val="24"/>
                <w:highlight w:val="none"/>
              </w:rPr>
              <w:t>身份证</w:t>
            </w:r>
          </w:p>
        </w:tc>
      </w:tr>
    </w:tbl>
    <w:tbl>
      <w:tblPr>
        <w:tblStyle w:val="27"/>
        <w:tblpPr w:leftFromText="180" w:rightFromText="180" w:vertAnchor="text" w:horzAnchor="page" w:tblpX="5675" w:tblpY="38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全权代表身份证</w:t>
            </w:r>
          </w:p>
        </w:tc>
      </w:tr>
    </w:tbl>
    <w:p>
      <w:pPr>
        <w:spacing w:line="360" w:lineRule="auto"/>
        <w:rPr>
          <w:rFonts w:ascii="宋体"/>
          <w:sz w:val="24"/>
          <w:highlight w:val="none"/>
        </w:rPr>
      </w:pPr>
    </w:p>
    <w:p>
      <w:pPr>
        <w:spacing w:line="360" w:lineRule="auto"/>
        <w:rPr>
          <w:b/>
          <w:sz w:val="24"/>
          <w:highlight w:val="none"/>
        </w:rPr>
      </w:pPr>
    </w:p>
    <w:p>
      <w:pPr>
        <w:rPr>
          <w:rFonts w:ascii="宋体" w:hAnsi="宋体"/>
          <w:b/>
          <w:sz w:val="28"/>
          <w:highlight w:val="none"/>
        </w:rPr>
      </w:pPr>
      <w:r>
        <w:rPr>
          <w:rFonts w:hint="eastAsia" w:ascii="宋体" w:hAnsi="宋体"/>
          <w:b/>
          <w:sz w:val="28"/>
          <w:highlight w:val="none"/>
        </w:rPr>
        <w:br w:type="page"/>
      </w:r>
      <w:bookmarkStart w:id="60" w:name="_Toc16825_WPSOffice_Level1"/>
      <w:bookmarkStart w:id="61" w:name="_Toc12331_WPSOffice_Level1"/>
      <w:bookmarkStart w:id="62" w:name="_Toc26389_WPSOffice_Level1"/>
    </w:p>
    <w:p>
      <w:pPr>
        <w:rPr>
          <w:rFonts w:ascii="宋体" w:hAnsi="宋体"/>
          <w:b/>
          <w:sz w:val="28"/>
          <w:highlight w:val="none"/>
        </w:rPr>
      </w:pPr>
      <w:r>
        <w:rPr>
          <w:rFonts w:hint="eastAsia" w:ascii="宋体" w:hAnsi="宋体"/>
          <w:b/>
          <w:sz w:val="28"/>
          <w:highlight w:val="none"/>
        </w:rPr>
        <w:t>附件3</w:t>
      </w:r>
    </w:p>
    <w:p>
      <w:pPr>
        <w:widowControl/>
        <w:adjustRightInd w:val="0"/>
        <w:snapToGrid w:val="0"/>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pPr>
        <w:widowControl/>
        <w:adjustRightInd w:val="0"/>
        <w:snapToGrid w:val="0"/>
        <w:jc w:val="center"/>
        <w:rPr>
          <w:rFonts w:ascii="宋体" w:hAnsi="宋体"/>
          <w:b/>
          <w:kern w:val="0"/>
          <w:sz w:val="32"/>
          <w:szCs w:val="32"/>
          <w:highlight w:val="none"/>
        </w:rPr>
      </w:pPr>
    </w:p>
    <w:p>
      <w:pPr>
        <w:widowControl/>
        <w:adjustRightInd w:val="0"/>
        <w:snapToGrid w:val="0"/>
        <w:jc w:val="left"/>
        <w:rPr>
          <w:rFonts w:ascii="宋体" w:hAnsi="宋体"/>
          <w:kern w:val="0"/>
          <w:sz w:val="28"/>
          <w:szCs w:val="32"/>
          <w:highlight w:val="none"/>
        </w:rPr>
      </w:pPr>
      <w:r>
        <w:rPr>
          <w:rFonts w:hint="eastAsia" w:ascii="宋体" w:hAnsi="宋体"/>
          <w:color w:val="FF0000"/>
          <w:kern w:val="0"/>
          <w:sz w:val="28"/>
          <w:szCs w:val="32"/>
          <w:highlight w:val="none"/>
        </w:rPr>
        <w:t>（</w:t>
      </w:r>
      <w:r>
        <w:rPr>
          <w:rFonts w:hint="eastAsia" w:ascii="宋体" w:hAnsi="宋体"/>
          <w:color w:val="FF0000"/>
          <w:kern w:val="0"/>
          <w:sz w:val="28"/>
          <w:szCs w:val="32"/>
          <w:highlight w:val="none"/>
          <w:lang w:eastAsia="zh-CN"/>
        </w:rPr>
        <w:t>提示</w:t>
      </w:r>
      <w:r>
        <w:rPr>
          <w:rFonts w:hint="eastAsia" w:ascii="宋体" w:hAnsi="宋体"/>
          <w:color w:val="FF0000"/>
          <w:kern w:val="0"/>
          <w:sz w:val="28"/>
          <w:szCs w:val="32"/>
          <w:highlight w:val="none"/>
          <w:lang w:val="en-US" w:eastAsia="zh-CN"/>
        </w:rPr>
        <w:t>：</w:t>
      </w:r>
      <w:r>
        <w:rPr>
          <w:rFonts w:hint="eastAsia" w:ascii="宋体" w:hAnsi="宋体"/>
          <w:color w:val="FF0000"/>
          <w:kern w:val="0"/>
          <w:sz w:val="28"/>
          <w:szCs w:val="32"/>
          <w:highlight w:val="none"/>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台州市云湖小学</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pPr>
        <w:rPr>
          <w:rFonts w:ascii="宋体" w:hAnsi="宋体"/>
          <w:b/>
          <w:sz w:val="28"/>
          <w:highlight w:val="none"/>
        </w:rPr>
      </w:pPr>
      <w:r>
        <w:rPr>
          <w:rFonts w:hint="eastAsia" w:ascii="宋体" w:hAnsi="宋体"/>
          <w:b/>
          <w:sz w:val="28"/>
          <w:highlight w:val="none"/>
        </w:rPr>
        <w:br w:type="page"/>
      </w:r>
      <w:r>
        <w:rPr>
          <w:rFonts w:hint="eastAsia" w:ascii="宋体" w:hAnsi="宋体"/>
          <w:b/>
          <w:sz w:val="28"/>
          <w:highlight w:val="none"/>
        </w:rPr>
        <w:t>附件4</w:t>
      </w:r>
    </w:p>
    <w:p>
      <w:pPr>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pPr>
        <w:jc w:val="center"/>
        <w:rPr>
          <w:rFonts w:ascii="宋体" w:hAnsi="宋体"/>
          <w:b/>
          <w:kern w:val="0"/>
          <w:sz w:val="32"/>
          <w:szCs w:val="32"/>
          <w:highlight w:val="none"/>
        </w:rPr>
      </w:pPr>
    </w:p>
    <w:p>
      <w:pPr>
        <w:widowControl/>
        <w:shd w:val="clear" w:color="auto" w:fill="FFFFFF"/>
        <w:spacing w:before="100" w:beforeAutospacing="1" w:after="100" w:afterAutospacing="1" w:line="480" w:lineRule="auto"/>
        <w:jc w:val="left"/>
        <w:rPr>
          <w:rFonts w:ascii="宋体" w:hAnsi="宋体"/>
          <w:kern w:val="0"/>
          <w:sz w:val="24"/>
          <w:highlight w:val="none"/>
        </w:rPr>
      </w:pPr>
      <w:r>
        <w:rPr>
          <w:rFonts w:hint="eastAsia" w:ascii="宋体" w:hAnsi="宋体"/>
          <w:kern w:val="0"/>
          <w:sz w:val="24"/>
          <w:highlight w:val="none"/>
          <w:u w:val="single"/>
          <w:lang w:eastAsia="zh-CN"/>
        </w:rPr>
        <w:t>台州市云湖小学</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color w:val="FF0000"/>
          <w:kern w:val="0"/>
          <w:sz w:val="24"/>
          <w:highlight w:val="none"/>
          <w:lang w:val="zh-CN"/>
        </w:rPr>
        <w:t>日期：    年   月   日</w:t>
      </w:r>
    </w:p>
    <w:p>
      <w:pPr>
        <w:jc w:val="center"/>
        <w:rPr>
          <w:rFonts w:ascii="宋体" w:hAnsi="宋体"/>
          <w:b/>
          <w:kern w:val="0"/>
          <w:sz w:val="32"/>
          <w:szCs w:val="32"/>
          <w:highlight w:val="none"/>
        </w:rPr>
      </w:pPr>
    </w:p>
    <w:p>
      <w:pPr>
        <w:jc w:val="center"/>
        <w:rPr>
          <w:rFonts w:ascii="宋体" w:hAnsi="宋体"/>
          <w:b/>
          <w:kern w:val="0"/>
          <w:sz w:val="32"/>
          <w:szCs w:val="32"/>
          <w:highlight w:val="none"/>
        </w:rPr>
      </w:pPr>
    </w:p>
    <w:p>
      <w:pPr>
        <w:rPr>
          <w:rFonts w:ascii="宋体" w:hAnsi="宋体"/>
          <w:b/>
          <w:kern w:val="0"/>
          <w:sz w:val="32"/>
          <w:szCs w:val="32"/>
          <w:highlight w:val="none"/>
        </w:rPr>
      </w:pPr>
      <w:r>
        <w:rPr>
          <w:rFonts w:ascii="宋体" w:hAnsi="宋体"/>
          <w:b/>
          <w:kern w:val="0"/>
          <w:sz w:val="32"/>
          <w:szCs w:val="32"/>
          <w:highlight w:val="none"/>
        </w:rPr>
        <w:br w:type="page"/>
      </w:r>
    </w:p>
    <w:p>
      <w:pPr>
        <w:jc w:val="left"/>
        <w:rPr>
          <w:rFonts w:ascii="宋体" w:hAnsi="宋体"/>
          <w:b/>
          <w:kern w:val="0"/>
          <w:sz w:val="32"/>
          <w:szCs w:val="32"/>
          <w:highlight w:val="none"/>
        </w:rPr>
      </w:pPr>
      <w:r>
        <w:rPr>
          <w:rFonts w:hint="eastAsia" w:ascii="宋体" w:hAnsi="宋体"/>
          <w:b/>
          <w:kern w:val="0"/>
          <w:sz w:val="32"/>
          <w:szCs w:val="32"/>
          <w:highlight w:val="none"/>
        </w:rPr>
        <w:t>附件5</w:t>
      </w:r>
    </w:p>
    <w:p>
      <w:pPr>
        <w:jc w:val="center"/>
        <w:rPr>
          <w:rFonts w:ascii="宋体" w:hAnsi="宋体"/>
          <w:b/>
          <w:sz w:val="28"/>
          <w:highlight w:val="none"/>
        </w:rPr>
      </w:pPr>
      <w:r>
        <w:rPr>
          <w:rFonts w:ascii="宋体" w:hAnsi="宋体"/>
          <w:b/>
          <w:kern w:val="0"/>
          <w:sz w:val="32"/>
          <w:szCs w:val="32"/>
          <w:highlight w:val="none"/>
        </w:rPr>
        <w:t>具有履行合同</w:t>
      </w:r>
      <w:r>
        <w:rPr>
          <w:rFonts w:hint="eastAsia" w:ascii="宋体" w:hAnsi="宋体"/>
          <w:b/>
          <w:kern w:val="0"/>
          <w:sz w:val="32"/>
          <w:szCs w:val="32"/>
          <w:highlight w:val="none"/>
          <w:lang w:eastAsia="zh-CN"/>
        </w:rPr>
        <w:t>所必需的</w:t>
      </w:r>
      <w:r>
        <w:rPr>
          <w:rFonts w:ascii="宋体" w:hAnsi="宋体"/>
          <w:b/>
          <w:kern w:val="0"/>
          <w:sz w:val="32"/>
          <w:szCs w:val="32"/>
          <w:highlight w:val="none"/>
        </w:rPr>
        <w:t>设备和专业技术能力的承诺函</w:t>
      </w:r>
    </w:p>
    <w:p>
      <w:pPr>
        <w:jc w:val="center"/>
        <w:rPr>
          <w:rFonts w:ascii="宋体" w:hAnsi="宋体"/>
          <w:b/>
          <w:sz w:val="28"/>
          <w:highlight w:val="none"/>
        </w:rPr>
      </w:pPr>
    </w:p>
    <w:p>
      <w:pPr>
        <w:widowControl/>
        <w:shd w:val="clear" w:color="auto" w:fill="FFFFFF"/>
        <w:snapToGrid w:val="0"/>
        <w:spacing w:after="50" w:line="480" w:lineRule="auto"/>
        <w:jc w:val="left"/>
        <w:rPr>
          <w:rFonts w:ascii="宋体" w:hAnsi="宋体"/>
          <w:kern w:val="0"/>
          <w:sz w:val="24"/>
          <w:highlight w:val="none"/>
        </w:rPr>
      </w:pPr>
      <w:r>
        <w:rPr>
          <w:rFonts w:hint="eastAsia" w:ascii="宋体" w:hAnsi="宋体"/>
          <w:kern w:val="0"/>
          <w:sz w:val="24"/>
          <w:highlight w:val="none"/>
          <w:u w:val="single"/>
          <w:lang w:eastAsia="zh-CN"/>
        </w:rPr>
        <w:t>台州市云湖小学</w:t>
      </w:r>
      <w:r>
        <w:rPr>
          <w:rFonts w:ascii="宋体" w:hAnsi="宋体"/>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highlight w:val="none"/>
        </w:rPr>
      </w:pPr>
      <w:r>
        <w:rPr>
          <w:rFonts w:ascii="宋体" w:hAnsi="宋体"/>
          <w:kern w:val="0"/>
          <w:sz w:val="24"/>
          <w:highlight w:val="none"/>
        </w:rPr>
        <w:t>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righ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adjustRightInd w:val="0"/>
        <w:snapToGrid w:val="0"/>
        <w:spacing w:line="360" w:lineRule="auto"/>
        <w:ind w:firstLine="4838" w:firstLineChars="2016"/>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日期：    年   月   日</w:t>
      </w:r>
    </w:p>
    <w:p>
      <w:pPr>
        <w:jc w:val="center"/>
        <w:rPr>
          <w:sz w:val="52"/>
          <w:szCs w:val="52"/>
          <w:highlight w:val="none"/>
        </w:rPr>
      </w:pPr>
    </w:p>
    <w:p>
      <w:pPr>
        <w:jc w:val="center"/>
        <w:rPr>
          <w:sz w:val="52"/>
          <w:szCs w:val="52"/>
          <w:highlight w:val="none"/>
        </w:rPr>
      </w:pPr>
    </w:p>
    <w:p>
      <w:pPr>
        <w:jc w:val="center"/>
        <w:rPr>
          <w:sz w:val="52"/>
          <w:szCs w:val="52"/>
          <w:highlight w:val="none"/>
        </w:rPr>
      </w:pPr>
    </w:p>
    <w:p>
      <w:pPr>
        <w:rPr>
          <w:sz w:val="52"/>
          <w:szCs w:val="52"/>
          <w:highlight w:val="none"/>
        </w:rPr>
      </w:pPr>
    </w:p>
    <w:p>
      <w:pPr>
        <w:pStyle w:val="2"/>
        <w:numPr>
          <w:ilvl w:val="0"/>
          <w:numId w:val="0"/>
        </w:numPr>
        <w:jc w:val="both"/>
        <w:outlineLvl w:val="9"/>
        <w:rPr>
          <w:highlight w:val="none"/>
        </w:rPr>
      </w:pPr>
    </w:p>
    <w:p>
      <w:pPr>
        <w:jc w:val="center"/>
        <w:rPr>
          <w:sz w:val="52"/>
          <w:szCs w:val="52"/>
          <w:highlight w:val="none"/>
        </w:rPr>
      </w:pPr>
    </w:p>
    <w:p>
      <w:pPr>
        <w:pStyle w:val="2"/>
        <w:numPr>
          <w:ilvl w:val="0"/>
          <w:numId w:val="0"/>
        </w:numPr>
        <w:ind w:left="425"/>
        <w:jc w:val="both"/>
        <w:outlineLvl w:val="9"/>
        <w:rPr>
          <w:highlight w:val="none"/>
        </w:rPr>
      </w:pPr>
    </w:p>
    <w:p>
      <w:pPr>
        <w:rPr>
          <w:highlight w:val="none"/>
        </w:rPr>
      </w:pPr>
    </w:p>
    <w:bookmarkEnd w:id="60"/>
    <w:bookmarkEnd w:id="61"/>
    <w:bookmarkEnd w:id="62"/>
    <w:p>
      <w:pPr>
        <w:jc w:val="center"/>
        <w:rPr>
          <w:highlight w:val="none"/>
        </w:rPr>
      </w:pPr>
    </w:p>
    <w:p>
      <w:pPr>
        <w:rPr>
          <w:rFonts w:hint="eastAsia" w:ascii="宋体" w:hAnsi="宋体"/>
          <w:sz w:val="44"/>
          <w:szCs w:val="44"/>
          <w:highlight w:val="none"/>
        </w:rPr>
      </w:pPr>
      <w:r>
        <w:rPr>
          <w:rFonts w:hint="eastAsia" w:ascii="宋体" w:hAnsi="宋体"/>
          <w:sz w:val="44"/>
          <w:szCs w:val="44"/>
          <w:highlight w:val="none"/>
        </w:rPr>
        <w:br w:type="page"/>
      </w:r>
    </w:p>
    <w:p>
      <w:pPr>
        <w:spacing w:before="312" w:beforeLines="100" w:line="360" w:lineRule="auto"/>
        <w:ind w:right="-108"/>
        <w:jc w:val="center"/>
        <w:rPr>
          <w:rFonts w:hint="eastAsia" w:ascii="宋体" w:hAnsi="宋体" w:eastAsia="宋体"/>
          <w:sz w:val="44"/>
          <w:szCs w:val="44"/>
          <w:highlight w:val="none"/>
          <w:lang w:eastAsia="zh-CN"/>
        </w:rPr>
      </w:pPr>
      <w:r>
        <w:rPr>
          <w:rFonts w:hint="eastAsia" w:ascii="宋体" w:hAnsi="宋体"/>
          <w:sz w:val="44"/>
          <w:szCs w:val="44"/>
          <w:highlight w:val="none"/>
          <w:lang w:eastAsia="zh-CN"/>
        </w:rPr>
        <w:t>台州市云湖小学午休躺睡桌椅采购项目</w:t>
      </w:r>
    </w:p>
    <w:p>
      <w:pPr>
        <w:spacing w:before="312"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TZYY-2407-010号</w:t>
      </w:r>
    </w:p>
    <w:p>
      <w:pPr>
        <w:autoSpaceDE w:val="0"/>
        <w:autoSpaceDN w:val="0"/>
        <w:adjustRightInd w:val="0"/>
        <w:spacing w:line="360" w:lineRule="auto"/>
        <w:jc w:val="center"/>
        <w:rPr>
          <w:rFonts w:ascii="宋体" w:hAnsi="宋体" w:cs="宋体"/>
          <w:sz w:val="24"/>
          <w:highlight w:val="none"/>
          <w:lang w:val="zh-CN"/>
        </w:rPr>
      </w:pPr>
    </w:p>
    <w:p>
      <w:pPr>
        <w:jc w:val="center"/>
        <w:rPr>
          <w:sz w:val="84"/>
          <w:szCs w:val="84"/>
          <w:highlight w:val="none"/>
          <w:lang w:val="zh-CN"/>
        </w:rPr>
      </w:pPr>
      <w:r>
        <w:rPr>
          <w:rFonts w:hint="eastAsia"/>
          <w:sz w:val="84"/>
          <w:szCs w:val="84"/>
          <w:highlight w:val="none"/>
          <w:lang w:val="zh-CN"/>
        </w:rPr>
        <w:t>投</w:t>
      </w:r>
    </w:p>
    <w:p>
      <w:pPr>
        <w:jc w:val="center"/>
        <w:rPr>
          <w:sz w:val="84"/>
          <w:szCs w:val="84"/>
          <w:highlight w:val="none"/>
          <w:lang w:val="zh-CN"/>
        </w:rPr>
      </w:pPr>
      <w:r>
        <w:rPr>
          <w:rFonts w:hint="eastAsia"/>
          <w:sz w:val="84"/>
          <w:szCs w:val="84"/>
          <w:highlight w:val="none"/>
          <w:lang w:val="zh-CN"/>
        </w:rPr>
        <w:t>标</w:t>
      </w:r>
    </w:p>
    <w:p>
      <w:pPr>
        <w:jc w:val="center"/>
        <w:rPr>
          <w:sz w:val="84"/>
          <w:szCs w:val="84"/>
          <w:highlight w:val="none"/>
        </w:rPr>
      </w:pPr>
      <w:r>
        <w:rPr>
          <w:rFonts w:hint="eastAsia"/>
          <w:sz w:val="84"/>
          <w:szCs w:val="84"/>
          <w:highlight w:val="none"/>
          <w:lang w:val="zh-CN"/>
        </w:rPr>
        <w:t>文</w:t>
      </w:r>
    </w:p>
    <w:p>
      <w:pPr>
        <w:jc w:val="center"/>
        <w:rPr>
          <w:sz w:val="84"/>
          <w:szCs w:val="84"/>
          <w:highlight w:val="none"/>
          <w:lang w:val="zh-CN"/>
        </w:rPr>
      </w:pPr>
      <w:r>
        <w:rPr>
          <w:rFonts w:hint="eastAsia"/>
          <w:sz w:val="84"/>
          <w:szCs w:val="84"/>
          <w:highlight w:val="none"/>
          <w:lang w:val="zh-CN"/>
        </w:rPr>
        <w:t>件</w:t>
      </w:r>
    </w:p>
    <w:p>
      <w:pPr>
        <w:spacing w:after="100" w:afterAutospacing="1" w:line="360" w:lineRule="auto"/>
        <w:ind w:right="-108"/>
        <w:jc w:val="center"/>
        <w:rPr>
          <w:rFonts w:ascii="宋体" w:hAnsi="宋体"/>
          <w:b/>
          <w:bCs/>
          <w:sz w:val="28"/>
          <w:szCs w:val="28"/>
          <w:highlight w:val="none"/>
        </w:rPr>
      </w:pPr>
      <w:r>
        <w:rPr>
          <w:rFonts w:hint="eastAsia" w:ascii="宋体" w:hAnsi="宋体" w:cs="宋体"/>
          <w:b/>
          <w:bCs/>
          <w:sz w:val="28"/>
          <w:szCs w:val="28"/>
          <w:highlight w:val="none"/>
          <w:lang w:val="zh-CN"/>
        </w:rPr>
        <w:t>（</w:t>
      </w:r>
      <w:r>
        <w:rPr>
          <w:rFonts w:hint="eastAsia" w:ascii="宋体" w:hAnsi="宋体"/>
          <w:b/>
          <w:bCs/>
          <w:sz w:val="28"/>
          <w:szCs w:val="28"/>
          <w:highlight w:val="none"/>
        </w:rPr>
        <w:t>技术标）</w:t>
      </w:r>
    </w:p>
    <w:p>
      <w:pPr>
        <w:pStyle w:val="26"/>
        <w:rPr>
          <w:highlight w:val="none"/>
        </w:rPr>
      </w:pPr>
    </w:p>
    <w:p>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w:t>
      </w:r>
    </w:p>
    <w:p>
      <w:pPr>
        <w:spacing w:line="360" w:lineRule="auto"/>
        <w:ind w:right="532" w:firstLine="720" w:firstLineChars="200"/>
        <w:rPr>
          <w:rFonts w:ascii="宋体" w:hAnsi="宋体"/>
          <w:sz w:val="36"/>
          <w:szCs w:val="36"/>
          <w:highlight w:val="none"/>
        </w:rPr>
      </w:pPr>
    </w:p>
    <w:p>
      <w:pPr>
        <w:snapToGrid w:val="0"/>
        <w:spacing w:before="50" w:after="50" w:line="360" w:lineRule="auto"/>
        <w:rPr>
          <w:rFonts w:ascii="仿宋_GB2312" w:hAnsi="宋体" w:eastAsia="仿宋_GB2312"/>
          <w:b/>
          <w:sz w:val="36"/>
          <w:szCs w:val="36"/>
          <w:highlight w:val="none"/>
        </w:rPr>
      </w:pPr>
    </w:p>
    <w:p>
      <w:pPr>
        <w:pStyle w:val="5"/>
        <w:rPr>
          <w:rFonts w:ascii="仿宋_GB2312" w:hAnsi="宋体" w:eastAsia="仿宋_GB2312"/>
          <w:b/>
          <w:sz w:val="36"/>
          <w:szCs w:val="36"/>
          <w:highlight w:val="none"/>
        </w:rPr>
      </w:pPr>
    </w:p>
    <w:p>
      <w:pPr>
        <w:rPr>
          <w:b/>
          <w:bCs/>
          <w:sz w:val="32"/>
          <w:szCs w:val="32"/>
          <w:highlight w:val="none"/>
          <w:lang w:val="zh-CN"/>
        </w:rPr>
      </w:pPr>
      <w:bookmarkStart w:id="63" w:name="_Toc5889_WPSOffice_Level1"/>
      <w:bookmarkStart w:id="64" w:name="_Toc11308_WPSOffice_Level1"/>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lang w:val="zh-CN"/>
        </w:rPr>
      </w:pPr>
    </w:p>
    <w:p>
      <w:pPr>
        <w:jc w:val="center"/>
        <w:rPr>
          <w:b/>
          <w:bCs/>
          <w:sz w:val="36"/>
          <w:szCs w:val="36"/>
          <w:highlight w:val="none"/>
        </w:rPr>
      </w:pPr>
      <w:r>
        <w:rPr>
          <w:rFonts w:hint="eastAsia"/>
          <w:b/>
          <w:bCs/>
          <w:sz w:val="36"/>
          <w:szCs w:val="36"/>
          <w:highlight w:val="none"/>
        </w:rPr>
        <w:t>技术标目录</w:t>
      </w:r>
      <w:bookmarkEnd w:id="63"/>
      <w:bookmarkEnd w:id="64"/>
    </w:p>
    <w:p>
      <w:pPr>
        <w:spacing w:line="360" w:lineRule="auto"/>
        <w:rPr>
          <w:sz w:val="24"/>
          <w:highlight w:val="none"/>
        </w:rPr>
      </w:pPr>
    </w:p>
    <w:p>
      <w:pPr>
        <w:numPr>
          <w:ilvl w:val="0"/>
          <w:numId w:val="75"/>
        </w:numPr>
        <w:bidi w:val="0"/>
        <w:spacing w:line="360" w:lineRule="auto"/>
        <w:ind w:left="0" w:leftChars="0" w:firstLine="480" w:firstLineChars="200"/>
        <w:rPr>
          <w:rFonts w:hint="eastAsia"/>
          <w:sz w:val="24"/>
          <w:szCs w:val="24"/>
          <w:highlight w:val="none"/>
          <w:lang w:val="en-US" w:eastAsia="zh-CN"/>
        </w:rPr>
      </w:pPr>
      <w:r>
        <w:rPr>
          <w:rFonts w:hint="eastAsia"/>
          <w:sz w:val="24"/>
          <w:szCs w:val="24"/>
          <w:highlight w:val="none"/>
          <w:lang w:val="en-US" w:eastAsia="zh-CN"/>
        </w:rPr>
        <w:t>需求响应表（附件6）；</w:t>
      </w:r>
    </w:p>
    <w:p>
      <w:pPr>
        <w:numPr>
          <w:ilvl w:val="0"/>
          <w:numId w:val="75"/>
        </w:numPr>
        <w:bidi w:val="0"/>
        <w:spacing w:line="360" w:lineRule="auto"/>
        <w:ind w:left="0" w:leftChars="0" w:firstLine="480" w:firstLineChars="200"/>
        <w:rPr>
          <w:sz w:val="24"/>
          <w:szCs w:val="24"/>
          <w:highlight w:val="none"/>
        </w:rPr>
      </w:pPr>
      <w:r>
        <w:rPr>
          <w:rFonts w:hint="eastAsia"/>
          <w:sz w:val="24"/>
          <w:szCs w:val="24"/>
          <w:highlight w:val="none"/>
          <w:lang w:val="en-US" w:eastAsia="zh-CN"/>
        </w:rPr>
        <w:t>其余内容根据评标办法自拟</w:t>
      </w:r>
      <w:r>
        <w:rPr>
          <w:rFonts w:hint="eastAsia" w:ascii="宋体" w:hAnsi="宋体"/>
          <w:bCs/>
          <w:sz w:val="24"/>
          <w:szCs w:val="24"/>
          <w:highlight w:val="none"/>
        </w:rPr>
        <w:t>。</w:t>
      </w: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pStyle w:val="5"/>
        <w:spacing w:line="360" w:lineRule="auto"/>
        <w:ind w:firstLine="0"/>
        <w:rPr>
          <w:rFonts w:ascii="宋体" w:hAnsi="宋体"/>
          <w:bCs/>
          <w:sz w:val="24"/>
          <w:highlight w:val="none"/>
        </w:rPr>
      </w:pPr>
    </w:p>
    <w:p>
      <w:pPr>
        <w:rPr>
          <w:highlight w:val="none"/>
        </w:rPr>
      </w:pPr>
    </w:p>
    <w:p>
      <w:pPr>
        <w:pStyle w:val="41"/>
        <w:shd w:val="clear" w:color="auto" w:fill="FFFFFF"/>
        <w:spacing w:before="0" w:beforeAutospacing="0" w:after="0" w:afterAutospacing="0" w:line="360" w:lineRule="auto"/>
        <w:rPr>
          <w:b/>
          <w:sz w:val="28"/>
          <w:highlight w:val="none"/>
        </w:rPr>
      </w:pPr>
    </w:p>
    <w:p>
      <w:pPr>
        <w:pStyle w:val="41"/>
        <w:shd w:val="clear" w:color="auto" w:fill="FFFFFF"/>
        <w:spacing w:before="0" w:beforeAutospacing="0" w:after="0" w:afterAutospacing="0" w:line="360" w:lineRule="auto"/>
        <w:rPr>
          <w:b/>
          <w:sz w:val="28"/>
          <w:highlight w:val="none"/>
        </w:rPr>
      </w:pPr>
    </w:p>
    <w:p>
      <w:pPr>
        <w:pStyle w:val="41"/>
        <w:shd w:val="clear" w:color="auto" w:fill="FFFFFF"/>
        <w:spacing w:before="0" w:beforeAutospacing="0" w:after="0" w:afterAutospacing="0" w:line="360" w:lineRule="auto"/>
        <w:rPr>
          <w:b/>
          <w:sz w:val="28"/>
          <w:highlight w:val="none"/>
        </w:rPr>
      </w:pPr>
    </w:p>
    <w:p>
      <w:pPr>
        <w:pStyle w:val="41"/>
        <w:shd w:val="clear" w:color="auto" w:fill="FFFFFF"/>
        <w:spacing w:before="0" w:beforeAutospacing="0" w:after="0" w:afterAutospacing="0" w:line="360" w:lineRule="auto"/>
        <w:rPr>
          <w:b/>
          <w:sz w:val="28"/>
          <w:highlight w:val="none"/>
        </w:rPr>
      </w:pPr>
    </w:p>
    <w:p>
      <w:pPr>
        <w:rPr>
          <w:rFonts w:hint="eastAsia"/>
          <w:b/>
          <w:sz w:val="28"/>
          <w:highlight w:val="none"/>
        </w:rPr>
      </w:pPr>
      <w:r>
        <w:rPr>
          <w:rFonts w:hint="eastAsia"/>
          <w:b/>
          <w:sz w:val="28"/>
          <w:highlight w:val="none"/>
        </w:rPr>
        <w:br w:type="page"/>
      </w:r>
    </w:p>
    <w:p>
      <w:pPr>
        <w:pStyle w:val="41"/>
        <w:shd w:val="clear" w:color="auto" w:fill="FFFFFF"/>
        <w:spacing w:before="0" w:beforeAutospacing="0" w:after="0" w:afterAutospacing="0" w:line="360" w:lineRule="auto"/>
        <w:rPr>
          <w:rFonts w:hint="eastAsia"/>
          <w:b/>
          <w:sz w:val="28"/>
          <w:highlight w:val="none"/>
        </w:rPr>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41"/>
        <w:shd w:val="clear" w:color="auto" w:fill="FFFFFF"/>
        <w:spacing w:before="0" w:beforeAutospacing="0" w:after="0" w:afterAutospacing="0" w:line="360" w:lineRule="auto"/>
        <w:rPr>
          <w:b/>
          <w:sz w:val="28"/>
          <w:highlight w:val="none"/>
        </w:rPr>
      </w:pPr>
      <w:r>
        <w:rPr>
          <w:rFonts w:hint="eastAsia"/>
          <w:b/>
          <w:sz w:val="28"/>
          <w:highlight w:val="none"/>
        </w:rPr>
        <w:t>附件6</w:t>
      </w:r>
    </w:p>
    <w:p>
      <w:pPr>
        <w:spacing w:line="360" w:lineRule="auto"/>
        <w:jc w:val="center"/>
        <w:rPr>
          <w:rFonts w:ascii="宋体" w:hAnsi="宋体"/>
          <w:b/>
          <w:kern w:val="0"/>
          <w:sz w:val="32"/>
          <w:szCs w:val="32"/>
          <w:highlight w:val="none"/>
        </w:rPr>
      </w:pPr>
      <w:bookmarkStart w:id="65" w:name="_Toc12856_WPSOffice_Level1"/>
      <w:bookmarkStart w:id="66" w:name="_Toc26601_WPSOffice_Level1"/>
      <w:r>
        <w:rPr>
          <w:rFonts w:hint="eastAsia" w:ascii="宋体" w:hAnsi="宋体"/>
          <w:b/>
          <w:kern w:val="0"/>
          <w:sz w:val="32"/>
          <w:szCs w:val="32"/>
          <w:highlight w:val="none"/>
          <w:lang w:val="en-US" w:eastAsia="zh-CN"/>
        </w:rPr>
        <w:t>需求</w:t>
      </w:r>
      <w:r>
        <w:rPr>
          <w:rFonts w:ascii="宋体" w:hAnsi="宋体"/>
          <w:b/>
          <w:kern w:val="0"/>
          <w:sz w:val="32"/>
          <w:szCs w:val="32"/>
          <w:highlight w:val="none"/>
        </w:rPr>
        <w:t>响应表</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1620"/>
        <w:gridCol w:w="5229"/>
        <w:gridCol w:w="892"/>
        <w:gridCol w:w="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600" w:hRule="atLeast"/>
          <w:jc w:val="center"/>
        </w:trPr>
        <w:tc>
          <w:tcPr>
            <w:tcW w:w="1620" w:type="dxa"/>
            <w:tcBorders>
              <w:tl2br w:val="nil"/>
              <w:tr2bl w:val="nil"/>
            </w:tcBorders>
            <w:shd w:val="clear" w:color="auto" w:fill="FFFFFF" w:themeFill="background1"/>
            <w:vAlign w:val="center"/>
          </w:tcPr>
          <w:p>
            <w:pPr>
              <w:adjustRightInd w:val="0"/>
              <w:snapToGrid w:val="0"/>
              <w:spacing w:before="100" w:beforeAutospacing="1" w:after="100" w:afterAutospacing="1"/>
              <w:jc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内容</w:t>
            </w:r>
          </w:p>
        </w:tc>
        <w:tc>
          <w:tcPr>
            <w:tcW w:w="5229" w:type="dxa"/>
            <w:tcBorders>
              <w:tl2br w:val="nil"/>
              <w:tr2bl w:val="nil"/>
            </w:tcBorders>
            <w:shd w:val="clear" w:color="auto" w:fill="FFFFFF" w:themeFill="background1"/>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u w:val="thick" w:color="FFFFFF"/>
              </w:rPr>
              <w:t>招标文件</w:t>
            </w:r>
            <w:r>
              <w:rPr>
                <w:rFonts w:ascii="宋体" w:hAnsi="宋体"/>
                <w:b/>
                <w:bCs/>
                <w:sz w:val="24"/>
                <w:highlight w:val="none"/>
              </w:rPr>
              <w:t>要求</w:t>
            </w:r>
          </w:p>
        </w:tc>
        <w:tc>
          <w:tcPr>
            <w:tcW w:w="892"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ascii="宋体" w:hAnsi="宋体"/>
                <w:b/>
                <w:bCs/>
                <w:sz w:val="24"/>
                <w:highlight w:val="none"/>
              </w:rPr>
              <w:t>投标响应内容</w:t>
            </w:r>
          </w:p>
        </w:tc>
        <w:tc>
          <w:tcPr>
            <w:tcW w:w="775"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b/>
                <w:bCs/>
                <w:sz w:val="24"/>
                <w:highlight w:val="none"/>
                <w:lang w:val="en-US" w:eastAsia="zh-CN"/>
              </w:rPr>
              <w:t>是否响应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620"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▲交货期</w:t>
            </w:r>
          </w:p>
        </w:tc>
        <w:tc>
          <w:tcPr>
            <w:tcW w:w="5229" w:type="dxa"/>
            <w:tcBorders>
              <w:tl2br w:val="nil"/>
              <w:tr2bl w:val="nil"/>
            </w:tcBorders>
            <w:shd w:val="clear" w:color="auto" w:fill="FFFFFF" w:themeFill="background1"/>
            <w:vAlign w:val="center"/>
          </w:tcPr>
          <w:p>
            <w:pPr>
              <w:widowControl/>
              <w:spacing w:line="312" w:lineRule="auto"/>
              <w:jc w:val="left"/>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color w:val="auto"/>
                <w:kern w:val="0"/>
                <w:sz w:val="21"/>
                <w:szCs w:val="21"/>
                <w:highlight w:val="none"/>
                <w:lang w:val="en-US" w:eastAsia="zh-CN"/>
              </w:rPr>
              <w:t>2024年8月22日前</w:t>
            </w:r>
            <w:r>
              <w:rPr>
                <w:rFonts w:hint="eastAsia" w:ascii="宋体" w:hAnsi="宋体" w:eastAsia="宋体" w:cs="宋体"/>
                <w:b/>
                <w:bCs/>
                <w:color w:val="auto"/>
                <w:kern w:val="0"/>
                <w:sz w:val="21"/>
                <w:szCs w:val="21"/>
                <w:highlight w:val="none"/>
                <w:lang w:eastAsia="zh-CN"/>
              </w:rPr>
              <w:t>完成供货</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安装，直至验收合格</w:t>
            </w:r>
            <w:r>
              <w:rPr>
                <w:rFonts w:hint="eastAsia" w:ascii="宋体" w:hAnsi="宋体" w:eastAsia="宋体" w:cs="宋体"/>
                <w:b/>
                <w:bCs/>
                <w:color w:val="auto"/>
                <w:kern w:val="0"/>
                <w:sz w:val="21"/>
                <w:szCs w:val="21"/>
                <w:highlight w:val="none"/>
                <w:lang w:eastAsia="zh-CN"/>
              </w:rPr>
              <w:t>。</w:t>
            </w:r>
          </w:p>
        </w:tc>
        <w:tc>
          <w:tcPr>
            <w:tcW w:w="892"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775"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620"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▲交货地点</w:t>
            </w:r>
          </w:p>
        </w:tc>
        <w:tc>
          <w:tcPr>
            <w:tcW w:w="5229" w:type="dxa"/>
            <w:tcBorders>
              <w:tl2br w:val="nil"/>
              <w:tr2bl w:val="nil"/>
            </w:tcBorders>
            <w:shd w:val="clear" w:color="auto" w:fill="FFFFFF" w:themeFill="background1"/>
            <w:vAlign w:val="center"/>
          </w:tcPr>
          <w:p>
            <w:pPr>
              <w:widowControl/>
              <w:spacing w:line="312" w:lineRule="auto"/>
              <w:jc w:val="left"/>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color w:val="auto"/>
                <w:kern w:val="0"/>
                <w:sz w:val="21"/>
                <w:szCs w:val="21"/>
                <w:highlight w:val="none"/>
                <w:lang w:val="en-US" w:eastAsia="zh-CN"/>
              </w:rPr>
              <w:t>台州市云湖小学校园内</w:t>
            </w:r>
          </w:p>
        </w:tc>
        <w:tc>
          <w:tcPr>
            <w:tcW w:w="892"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775" w:type="dxa"/>
            <w:tcBorders>
              <w:tl2br w:val="nil"/>
              <w:tr2bl w:val="nil"/>
            </w:tcBorders>
            <w:shd w:val="clear" w:color="auto" w:fill="FFFFFF" w:themeFill="background1"/>
            <w:noWrap/>
            <w:vAlign w:val="center"/>
          </w:tcPr>
          <w:p>
            <w:pPr>
              <w:adjustRightInd w:val="0"/>
              <w:snapToGrid w:val="0"/>
              <w:spacing w:before="100" w:beforeAutospacing="1" w:after="100" w:afterAutospacing="1"/>
              <w:jc w:val="center"/>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620" w:type="dxa"/>
            <w:tcBorders>
              <w:tl2br w:val="nil"/>
              <w:tr2bl w:val="nil"/>
            </w:tcBorders>
            <w:shd w:val="clear" w:color="auto" w:fill="FFFFFF" w:themeFill="background1"/>
            <w:vAlign w:val="center"/>
          </w:tcPr>
          <w:p>
            <w:pPr>
              <w:widowControl/>
              <w:spacing w:line="312" w:lineRule="auto"/>
              <w:jc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付款方式</w:t>
            </w:r>
          </w:p>
        </w:tc>
        <w:tc>
          <w:tcPr>
            <w:tcW w:w="5229" w:type="dxa"/>
            <w:tcBorders>
              <w:tl2br w:val="nil"/>
              <w:tr2bl w:val="nil"/>
            </w:tcBorders>
            <w:shd w:val="clear" w:color="auto" w:fill="FFFFFF" w:themeFill="background1"/>
            <w:vAlign w:val="center"/>
          </w:tcPr>
          <w:p>
            <w:pPr>
              <w:widowControl/>
              <w:spacing w:line="312" w:lineRule="auto"/>
              <w:jc w:val="left"/>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color w:val="auto"/>
                <w:kern w:val="0"/>
                <w:sz w:val="21"/>
                <w:szCs w:val="21"/>
                <w:highlight w:val="none"/>
                <w:lang w:val="en-US" w:eastAsia="zh-CN"/>
              </w:rPr>
              <w:t>验收合格后一次性付清。</w:t>
            </w:r>
          </w:p>
        </w:tc>
        <w:tc>
          <w:tcPr>
            <w:tcW w:w="892"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775"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620" w:type="dxa"/>
            <w:tcBorders>
              <w:tl2br w:val="nil"/>
              <w:tr2bl w:val="nil"/>
            </w:tcBorders>
            <w:shd w:val="clear" w:color="auto" w:fill="FFFFFF" w:themeFill="background1"/>
            <w:vAlign w:val="center"/>
          </w:tcPr>
          <w:p>
            <w:pPr>
              <w:widowControl/>
              <w:spacing w:line="312"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质保期</w:t>
            </w:r>
          </w:p>
        </w:tc>
        <w:tc>
          <w:tcPr>
            <w:tcW w:w="5229" w:type="dxa"/>
            <w:tcBorders>
              <w:tl2br w:val="nil"/>
              <w:tr2bl w:val="nil"/>
            </w:tcBorders>
            <w:shd w:val="clear" w:color="auto" w:fill="FFFFFF" w:themeFill="background1"/>
            <w:vAlign w:val="center"/>
          </w:tcPr>
          <w:p>
            <w:pPr>
              <w:widowControl/>
              <w:spacing w:line="312" w:lineRule="auto"/>
              <w:jc w:val="left"/>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三年，自验收合格之日起开始计</w:t>
            </w:r>
          </w:p>
        </w:tc>
        <w:tc>
          <w:tcPr>
            <w:tcW w:w="892"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c>
          <w:tcPr>
            <w:tcW w:w="775" w:type="dxa"/>
            <w:tcBorders>
              <w:tl2br w:val="nil"/>
              <w:tr2bl w:val="nil"/>
            </w:tcBorders>
            <w:shd w:val="clear" w:color="auto" w:fill="FFFFFF" w:themeFill="background1"/>
            <w:noWrap/>
            <w:vAlign w:val="center"/>
          </w:tcPr>
          <w:p>
            <w:pPr>
              <w:adjustRightInd w:val="0"/>
              <w:snapToGrid w:val="0"/>
              <w:spacing w:before="100" w:beforeAutospacing="1" w:after="100" w:afterAutospacing="1"/>
              <w:rPr>
                <w:rFonts w:hint="eastAsia" w:ascii="宋体" w:hAnsi="宋体" w:eastAsia="宋体" w:cs="宋体"/>
                <w:b/>
                <w:bCs/>
                <w:i w:val="0"/>
                <w:iCs w:val="0"/>
                <w:color w:val="000000"/>
                <w:kern w:val="0"/>
                <w:sz w:val="22"/>
                <w:szCs w:val="22"/>
                <w:highlight w:val="none"/>
                <w:u w:val="none"/>
                <w:lang w:val="en-US" w:eastAsia="zh-CN" w:bidi="ar"/>
              </w:rPr>
            </w:pPr>
          </w:p>
        </w:tc>
      </w:tr>
    </w:tbl>
    <w:p>
      <w:pPr>
        <w:adjustRightInd w:val="0"/>
        <w:snapToGrid w:val="0"/>
        <w:jc w:val="left"/>
        <w:rPr>
          <w:highlight w:val="none"/>
        </w:rPr>
      </w:pPr>
      <w:r>
        <w:rPr>
          <w:rFonts w:hAnsi="宋体"/>
          <w:b/>
          <w:szCs w:val="21"/>
          <w:highlight w:val="none"/>
        </w:rPr>
        <w:t>说明：</w:t>
      </w:r>
      <w:r>
        <w:rPr>
          <w:rFonts w:hint="eastAsia" w:ascii="宋体" w:hAnsi="宋体" w:eastAsia="宋体" w:cs="宋体"/>
          <w:b/>
          <w:bCs/>
          <w:kern w:val="0"/>
          <w:sz w:val="21"/>
          <w:szCs w:val="21"/>
          <w:highlight w:val="none"/>
          <w:lang w:val="en-US" w:eastAsia="zh-CN"/>
        </w:rPr>
        <w:t>任意一项标“</w:t>
      </w:r>
      <w:r>
        <w:rPr>
          <w:rFonts w:hint="eastAsia" w:ascii="宋体" w:hAnsi="宋体" w:eastAsia="宋体" w:cs="宋体"/>
          <w:b/>
          <w:bCs/>
          <w:kern w:val="0"/>
          <w:sz w:val="21"/>
          <w:szCs w:val="21"/>
          <w:highlight w:val="none"/>
        </w:rPr>
        <w:t>▲</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条款不满足的，均按投标无效处理。</w:t>
      </w:r>
    </w:p>
    <w:bookmarkEnd w:id="65"/>
    <w:bookmarkEnd w:id="66"/>
    <w:p>
      <w:pPr>
        <w:spacing w:line="360" w:lineRule="auto"/>
        <w:rPr>
          <w:rFonts w:ascii="宋体" w:hAnsi="宋体"/>
          <w:sz w:val="24"/>
          <w:highlight w:val="none"/>
        </w:rPr>
      </w:pPr>
    </w:p>
    <w:p>
      <w:pPr>
        <w:pStyle w:val="26"/>
        <w:rPr>
          <w:highlight w:val="none"/>
        </w:rPr>
      </w:pPr>
    </w:p>
    <w:p>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jc w:val="left"/>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spacing w:line="360" w:lineRule="auto"/>
        <w:jc w:val="left"/>
        <w:rPr>
          <w:rFonts w:hint="eastAsia"/>
          <w:sz w:val="44"/>
          <w:szCs w:val="44"/>
          <w:highlight w:val="none"/>
          <w:lang w:eastAsia="zh-CN"/>
        </w:rPr>
      </w:pPr>
      <w:r>
        <w:rPr>
          <w:rFonts w:hint="eastAsia" w:ascii="宋体" w:hAnsi="宋体" w:cs="仿宋_GB2312"/>
          <w:color w:val="FF0000"/>
          <w:kern w:val="0"/>
          <w:sz w:val="24"/>
          <w:highlight w:val="none"/>
          <w:lang w:val="zh-CN"/>
        </w:rPr>
        <w:t>日期：    年   月   日</w:t>
      </w:r>
    </w:p>
    <w:p>
      <w:pPr>
        <w:jc w:val="center"/>
        <w:rPr>
          <w:rFonts w:hint="eastAsia"/>
          <w:sz w:val="44"/>
          <w:szCs w:val="44"/>
          <w:highlight w:val="none"/>
          <w:lang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jc w:val="center"/>
        <w:rPr>
          <w:rFonts w:hint="eastAsia" w:eastAsia="宋体"/>
          <w:sz w:val="44"/>
          <w:szCs w:val="44"/>
          <w:highlight w:val="none"/>
          <w:lang w:eastAsia="zh-CN"/>
        </w:rPr>
      </w:pPr>
      <w:r>
        <w:rPr>
          <w:rFonts w:hint="eastAsia"/>
          <w:sz w:val="44"/>
          <w:szCs w:val="44"/>
          <w:highlight w:val="none"/>
          <w:lang w:eastAsia="zh-CN"/>
        </w:rPr>
        <w:t>台州市云湖小学午休躺睡桌椅采购项目</w:t>
      </w:r>
    </w:p>
    <w:p>
      <w:pPr>
        <w:pStyle w:val="26"/>
        <w:jc w:val="center"/>
        <w:rPr>
          <w:rFonts w:hint="eastAsia" w:ascii="宋体" w:hAnsi="宋体"/>
          <w:sz w:val="36"/>
          <w:szCs w:val="36"/>
          <w:highlight w:val="none"/>
        </w:rPr>
      </w:pPr>
    </w:p>
    <w:p>
      <w:pPr>
        <w:pStyle w:val="26"/>
        <w:jc w:val="center"/>
        <w:rPr>
          <w:rFonts w:hint="eastAsia" w:eastAsia="宋体"/>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TZYY-2407-010号</w:t>
      </w:r>
    </w:p>
    <w:p>
      <w:pPr>
        <w:jc w:val="center"/>
        <w:rPr>
          <w:sz w:val="84"/>
          <w:szCs w:val="84"/>
          <w:highlight w:val="none"/>
        </w:rPr>
      </w:pPr>
      <w:bookmarkStart w:id="67" w:name="_Toc3932_WPSOffice_Level1"/>
      <w:bookmarkStart w:id="68" w:name="_Toc14572_WPSOffice_Level1"/>
      <w:r>
        <w:rPr>
          <w:rFonts w:hint="eastAsia"/>
          <w:sz w:val="84"/>
          <w:szCs w:val="84"/>
          <w:highlight w:val="none"/>
        </w:rPr>
        <w:t>商</w:t>
      </w:r>
    </w:p>
    <w:p>
      <w:pPr>
        <w:jc w:val="center"/>
        <w:rPr>
          <w:sz w:val="84"/>
          <w:szCs w:val="84"/>
          <w:highlight w:val="none"/>
        </w:rPr>
      </w:pPr>
      <w:r>
        <w:rPr>
          <w:rFonts w:hint="eastAsia"/>
          <w:sz w:val="84"/>
          <w:szCs w:val="84"/>
          <w:highlight w:val="none"/>
        </w:rPr>
        <w:t>务</w:t>
      </w:r>
    </w:p>
    <w:p>
      <w:pPr>
        <w:jc w:val="center"/>
        <w:rPr>
          <w:sz w:val="84"/>
          <w:szCs w:val="84"/>
          <w:highlight w:val="none"/>
        </w:rPr>
      </w:pPr>
      <w:r>
        <w:rPr>
          <w:rFonts w:hint="eastAsia"/>
          <w:sz w:val="84"/>
          <w:szCs w:val="84"/>
          <w:highlight w:val="none"/>
        </w:rPr>
        <w:t>文</w:t>
      </w:r>
      <w:bookmarkEnd w:id="67"/>
      <w:bookmarkEnd w:id="68"/>
    </w:p>
    <w:p>
      <w:pPr>
        <w:jc w:val="center"/>
        <w:rPr>
          <w:sz w:val="84"/>
          <w:szCs w:val="84"/>
          <w:highlight w:val="none"/>
        </w:rPr>
      </w:pPr>
      <w:bookmarkStart w:id="69" w:name="_Toc7562_WPSOffice_Level1"/>
      <w:bookmarkStart w:id="70" w:name="_Toc16973_WPSOffice_Level1"/>
      <w:r>
        <w:rPr>
          <w:rFonts w:hint="eastAsia"/>
          <w:sz w:val="84"/>
          <w:szCs w:val="84"/>
          <w:highlight w:val="none"/>
        </w:rPr>
        <w:t>件</w:t>
      </w:r>
      <w:bookmarkEnd w:id="69"/>
      <w:bookmarkEnd w:id="70"/>
    </w:p>
    <w:p>
      <w:pPr>
        <w:spacing w:line="360" w:lineRule="auto"/>
        <w:ind w:right="532"/>
        <w:jc w:val="center"/>
        <w:rPr>
          <w:rFonts w:hint="eastAsia" w:ascii="宋体" w:hAnsi="宋体" w:eastAsia="宋体"/>
          <w:sz w:val="36"/>
          <w:szCs w:val="36"/>
          <w:highlight w:val="none"/>
          <w:lang w:eastAsia="zh-CN"/>
        </w:rPr>
      </w:pPr>
      <w:r>
        <w:rPr>
          <w:rFonts w:hint="eastAsia" w:ascii="宋体" w:hAnsi="宋体"/>
          <w:b/>
          <w:bCs/>
          <w:sz w:val="36"/>
          <w:szCs w:val="36"/>
          <w:highlight w:val="none"/>
          <w:lang w:eastAsia="zh-CN"/>
        </w:rPr>
        <w:t>（</w:t>
      </w:r>
      <w:r>
        <w:rPr>
          <w:rFonts w:hint="eastAsia" w:ascii="宋体" w:hAnsi="宋体"/>
          <w:b/>
          <w:bCs/>
          <w:sz w:val="36"/>
          <w:szCs w:val="36"/>
          <w:highlight w:val="none"/>
        </w:rPr>
        <w:t>商务标</w:t>
      </w:r>
      <w:r>
        <w:rPr>
          <w:rFonts w:hint="eastAsia" w:ascii="宋体" w:hAnsi="宋体"/>
          <w:b/>
          <w:bCs/>
          <w:sz w:val="36"/>
          <w:szCs w:val="36"/>
          <w:highlight w:val="none"/>
          <w:lang w:eastAsia="zh-CN"/>
        </w:rPr>
        <w:t>）</w:t>
      </w:r>
    </w:p>
    <w:p>
      <w:pPr>
        <w:spacing w:line="360" w:lineRule="auto"/>
        <w:ind w:right="532"/>
        <w:jc w:val="center"/>
        <w:rPr>
          <w:rFonts w:ascii="宋体" w:hAnsi="宋体"/>
          <w:sz w:val="36"/>
          <w:szCs w:val="36"/>
          <w:highlight w:val="none"/>
        </w:rPr>
      </w:pPr>
    </w:p>
    <w:p>
      <w:pPr>
        <w:spacing w:line="360" w:lineRule="auto"/>
        <w:ind w:right="532" w:firstLine="720" w:firstLineChars="200"/>
        <w:rPr>
          <w:rFonts w:ascii="宋体" w:hAnsi="宋体"/>
          <w:sz w:val="36"/>
          <w:szCs w:val="36"/>
          <w:highlight w:val="none"/>
        </w:rPr>
      </w:pPr>
      <w:bookmarkStart w:id="71" w:name="_Toc4603_WPSOffice_Level1"/>
      <w:bookmarkStart w:id="72" w:name="_Toc26700_WPSOffice_Level1"/>
      <w:r>
        <w:rPr>
          <w:rFonts w:hint="eastAsia" w:ascii="宋体" w:hAnsi="宋体"/>
          <w:sz w:val="36"/>
          <w:szCs w:val="36"/>
          <w:highlight w:val="none"/>
        </w:rPr>
        <w:t>投标人全称：</w:t>
      </w:r>
      <w:bookmarkEnd w:id="71"/>
      <w:bookmarkEnd w:id="72"/>
    </w:p>
    <w:p>
      <w:pPr>
        <w:spacing w:line="360" w:lineRule="auto"/>
        <w:ind w:right="-108"/>
        <w:jc w:val="center"/>
        <w:rPr>
          <w:rFonts w:ascii="仿宋_GB2312" w:hAnsi="宋体" w:eastAsia="仿宋_GB2312"/>
          <w:b/>
          <w:sz w:val="36"/>
          <w:szCs w:val="36"/>
          <w:highlight w:val="none"/>
        </w:rPr>
      </w:pPr>
    </w:p>
    <w:p>
      <w:pPr>
        <w:pStyle w:val="26"/>
        <w:rPr>
          <w:highlight w:val="none"/>
        </w:rPr>
      </w:pPr>
    </w:p>
    <w:p>
      <w:pPr>
        <w:pStyle w:val="26"/>
        <w:rPr>
          <w:highlight w:val="none"/>
        </w:rPr>
      </w:pPr>
    </w:p>
    <w:p>
      <w:pPr>
        <w:pStyle w:val="26"/>
        <w:rPr>
          <w:highlight w:val="none"/>
        </w:rPr>
      </w:pPr>
    </w:p>
    <w:p>
      <w:pPr>
        <w:pStyle w:val="26"/>
        <w:rPr>
          <w:highlight w:val="none"/>
        </w:rPr>
      </w:pPr>
    </w:p>
    <w:p>
      <w:pPr>
        <w:pStyle w:val="26"/>
        <w:rPr>
          <w:highlight w:val="none"/>
        </w:rPr>
      </w:pPr>
    </w:p>
    <w:p>
      <w:pPr>
        <w:pStyle w:val="26"/>
        <w:rPr>
          <w:highlight w:val="none"/>
        </w:rPr>
      </w:pPr>
    </w:p>
    <w:p>
      <w:pPr>
        <w:pStyle w:val="26"/>
        <w:rPr>
          <w:highlight w:val="none"/>
        </w:rPr>
      </w:pPr>
    </w:p>
    <w:p>
      <w:pPr>
        <w:pStyle w:val="5"/>
        <w:rPr>
          <w:rFonts w:ascii="仿宋_GB2312" w:hAnsi="宋体" w:eastAsia="仿宋_GB2312"/>
          <w:b/>
          <w:sz w:val="36"/>
          <w:szCs w:val="36"/>
          <w:highlight w:val="none"/>
        </w:rPr>
      </w:pPr>
    </w:p>
    <w:p>
      <w:pPr>
        <w:spacing w:line="480" w:lineRule="auto"/>
        <w:jc w:val="center"/>
        <w:rPr>
          <w:highlight w:val="none"/>
        </w:rPr>
      </w:pPr>
      <w:bookmarkStart w:id="73" w:name="_Toc19972_WPSOffice_Level1"/>
      <w:bookmarkStart w:id="74" w:name="_Toc29537_WPSOffice_Level1"/>
      <w:r>
        <w:rPr>
          <w:rFonts w:hint="eastAsia" w:ascii="宋体" w:hAnsi="宋体"/>
          <w:b/>
          <w:bCs/>
          <w:sz w:val="36"/>
          <w:szCs w:val="36"/>
          <w:highlight w:val="none"/>
        </w:rPr>
        <w:t>商务标目录</w:t>
      </w:r>
      <w:bookmarkEnd w:id="73"/>
      <w:bookmarkEnd w:id="74"/>
    </w:p>
    <w:p>
      <w:pPr>
        <w:rPr>
          <w:rFonts w:asciiTheme="minorEastAsia" w:hAnsiTheme="minorEastAsia" w:eastAsiaTheme="minorEastAsia" w:cstheme="minorEastAsia"/>
          <w:sz w:val="28"/>
          <w:szCs w:val="28"/>
          <w:highlight w:val="none"/>
        </w:rPr>
      </w:pPr>
    </w:p>
    <w:p>
      <w:pPr>
        <w:numPr>
          <w:ilvl w:val="0"/>
          <w:numId w:val="76"/>
        </w:numPr>
        <w:autoSpaceDE w:val="0"/>
        <w:autoSpaceDN w:val="0"/>
        <w:adjustRightInd w:val="0"/>
        <w:spacing w:line="360" w:lineRule="auto"/>
        <w:ind w:left="0" w:leftChars="0" w:firstLine="480" w:firstLineChars="200"/>
        <w:rPr>
          <w:rFonts w:asciiTheme="minorEastAsia" w:hAnsiTheme="minorEastAsia" w:eastAsiaTheme="minorEastAsia"/>
          <w:kern w:val="0"/>
          <w:sz w:val="24"/>
          <w:highlight w:val="none"/>
        </w:rPr>
      </w:pPr>
      <w:bookmarkStart w:id="75" w:name="_Toc29988_WPSOffice_Level1"/>
      <w:bookmarkStart w:id="76" w:name="_Toc6778_WPSOffice_Level1"/>
      <w:r>
        <w:rPr>
          <w:rFonts w:hint="eastAsia" w:asciiTheme="minorEastAsia" w:hAnsiTheme="minorEastAsia" w:eastAsiaTheme="minorEastAsia"/>
          <w:kern w:val="0"/>
          <w:sz w:val="24"/>
          <w:highlight w:val="none"/>
        </w:rPr>
        <w:t>开标一览表（附件</w:t>
      </w:r>
      <w:r>
        <w:rPr>
          <w:rFonts w:hint="eastAsia" w:asciiTheme="minorEastAsia" w:hAnsiTheme="minorEastAsia" w:eastAsiaTheme="minorEastAsia"/>
          <w:kern w:val="0"/>
          <w:sz w:val="24"/>
          <w:highlight w:val="none"/>
          <w:lang w:val="en-US" w:eastAsia="zh-CN"/>
        </w:rPr>
        <w:t>7</w:t>
      </w:r>
      <w:r>
        <w:rPr>
          <w:rFonts w:hint="eastAsia" w:asciiTheme="minorEastAsia" w:hAnsiTheme="minorEastAsia" w:eastAsiaTheme="minorEastAsia"/>
          <w:kern w:val="0"/>
          <w:sz w:val="24"/>
          <w:highlight w:val="none"/>
        </w:rPr>
        <w:t>）；</w:t>
      </w:r>
    </w:p>
    <w:p>
      <w:pPr>
        <w:numPr>
          <w:ilvl w:val="0"/>
          <w:numId w:val="76"/>
        </w:numPr>
        <w:autoSpaceDE w:val="0"/>
        <w:autoSpaceDN w:val="0"/>
        <w:adjustRightInd w:val="0"/>
        <w:spacing w:line="360" w:lineRule="auto"/>
        <w:ind w:left="0" w:leftChars="0" w:firstLine="480" w:firstLineChars="200"/>
        <w:rPr>
          <w:rFonts w:hint="eastAsia"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rPr>
        <w:t>报价明细表（附件</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w:t>
      </w:r>
    </w:p>
    <w:p>
      <w:pPr>
        <w:numPr>
          <w:ilvl w:val="0"/>
          <w:numId w:val="76"/>
        </w:numPr>
        <w:autoSpaceDE w:val="0"/>
        <w:autoSpaceDN w:val="0"/>
        <w:adjustRightInd w:val="0"/>
        <w:spacing w:line="360" w:lineRule="auto"/>
        <w:ind w:left="0" w:leftChars="0"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针对报价投标人认为其他需要说明的。</w:t>
      </w:r>
    </w:p>
    <w:bookmarkEnd w:id="75"/>
    <w:bookmarkEnd w:id="76"/>
    <w:p>
      <w:pPr>
        <w:spacing w:line="360" w:lineRule="auto"/>
        <w:ind w:firstLine="480" w:firstLineChars="200"/>
        <w:rPr>
          <w:sz w:val="24"/>
          <w:highlight w:val="none"/>
        </w:rPr>
      </w:pPr>
    </w:p>
    <w:p>
      <w:pPr>
        <w:spacing w:line="360" w:lineRule="auto"/>
        <w:ind w:firstLine="482" w:firstLineChars="200"/>
        <w:rPr>
          <w:rFonts w:ascii="宋体" w:hAnsi="宋体"/>
          <w:b/>
          <w:sz w:val="24"/>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spacing w:line="360" w:lineRule="auto"/>
        <w:ind w:left="480"/>
        <w:rPr>
          <w:rFonts w:ascii="宋体" w:hAnsi="宋体"/>
          <w:b/>
          <w:sz w:val="28"/>
          <w:highlight w:val="none"/>
        </w:rPr>
      </w:pPr>
    </w:p>
    <w:p>
      <w:pPr>
        <w:rPr>
          <w:rFonts w:ascii="宋体" w:hAnsi="宋体"/>
          <w:b/>
          <w:sz w:val="28"/>
          <w:highlight w:val="none"/>
        </w:rPr>
      </w:pPr>
      <w:r>
        <w:rPr>
          <w:rFonts w:hint="eastAsia" w:ascii="宋体" w:hAnsi="宋体"/>
          <w:b/>
          <w:sz w:val="28"/>
          <w:highlight w:val="none"/>
        </w:rPr>
        <w:br w:type="page"/>
      </w:r>
    </w:p>
    <w:p>
      <w:pPr>
        <w:spacing w:line="360" w:lineRule="auto"/>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7</w:t>
      </w:r>
    </w:p>
    <w:p>
      <w:pPr>
        <w:spacing w:line="360" w:lineRule="auto"/>
        <w:ind w:left="-2" w:hanging="2"/>
        <w:jc w:val="center"/>
        <w:rPr>
          <w:rFonts w:ascii="宋体" w:hAnsi="宋体"/>
          <w:b/>
          <w:sz w:val="32"/>
          <w:szCs w:val="32"/>
          <w:highlight w:val="none"/>
        </w:rPr>
      </w:pPr>
      <w:bookmarkStart w:id="77" w:name="_Toc16144_WPSOffice_Level1"/>
      <w:bookmarkStart w:id="78" w:name="_Toc30363_WPSOffice_Level1"/>
      <w:r>
        <w:rPr>
          <w:rFonts w:hint="eastAsia" w:ascii="宋体" w:hAnsi="宋体"/>
          <w:b/>
          <w:sz w:val="32"/>
          <w:szCs w:val="32"/>
          <w:highlight w:val="none"/>
        </w:rPr>
        <w:t xml:space="preserve">开标一览表 </w:t>
      </w:r>
      <w:bookmarkEnd w:id="77"/>
      <w:bookmarkEnd w:id="78"/>
    </w:p>
    <w:p>
      <w:pPr>
        <w:pStyle w:val="15"/>
        <w:spacing w:line="360" w:lineRule="auto"/>
        <w:ind w:firstLine="482" w:firstLineChars="200"/>
        <w:rPr>
          <w:rFonts w:hint="eastAsia" w:hAnsi="宋体" w:eastAsia="宋体"/>
          <w:b/>
          <w:sz w:val="24"/>
          <w:highlight w:val="none"/>
          <w:lang w:eastAsia="zh-CN"/>
        </w:rPr>
      </w:pPr>
      <w:r>
        <w:rPr>
          <w:rFonts w:hAnsi="宋体"/>
          <w:b/>
          <w:sz w:val="24"/>
          <w:highlight w:val="none"/>
        </w:rPr>
        <w:t>项目编号：</w:t>
      </w:r>
      <w:r>
        <w:rPr>
          <w:rFonts w:hint="eastAsia" w:hAnsi="宋体"/>
          <w:b w:val="0"/>
          <w:bCs/>
          <w:sz w:val="24"/>
          <w:highlight w:val="none"/>
          <w:lang w:eastAsia="zh-CN"/>
        </w:rPr>
        <w:t>TZYY-2407-010号</w:t>
      </w:r>
    </w:p>
    <w:p>
      <w:pPr>
        <w:pStyle w:val="50"/>
        <w:spacing w:line="360" w:lineRule="auto"/>
        <w:ind w:right="480" w:firstLine="482" w:firstLineChars="200"/>
        <w:jc w:val="left"/>
        <w:rPr>
          <w:rFonts w:hint="eastAsia" w:ascii="宋体" w:hAnsi="宋体"/>
          <w:sz w:val="24"/>
          <w:highlight w:val="none"/>
        </w:rPr>
      </w:pPr>
      <w:r>
        <w:rPr>
          <w:rFonts w:hAnsi="宋体"/>
          <w:b/>
          <w:sz w:val="24"/>
          <w:highlight w:val="none"/>
        </w:rPr>
        <w:t>项目名称：</w:t>
      </w:r>
      <w:r>
        <w:rPr>
          <w:rFonts w:hint="eastAsia" w:ascii="宋体" w:hAnsi="宋体"/>
          <w:sz w:val="24"/>
          <w:highlight w:val="none"/>
          <w:lang w:eastAsia="zh-CN"/>
        </w:rPr>
        <w:t>台州市云湖小学午休躺睡桌椅采购项目</w:t>
      </w:r>
      <w:r>
        <w:rPr>
          <w:rFonts w:hint="eastAsia" w:ascii="宋体" w:hAnsi="宋体"/>
          <w:sz w:val="24"/>
          <w:highlight w:val="none"/>
        </w:rPr>
        <w:t xml:space="preserve"> </w:t>
      </w:r>
    </w:p>
    <w:p>
      <w:pPr>
        <w:pStyle w:val="50"/>
        <w:spacing w:line="360" w:lineRule="auto"/>
        <w:ind w:right="480" w:firstLine="480" w:firstLineChars="200"/>
        <w:jc w:val="right"/>
        <w:rPr>
          <w:rFonts w:hAnsi="宋体"/>
          <w:sz w:val="24"/>
          <w:highlight w:val="none"/>
        </w:rPr>
      </w:pPr>
      <w:r>
        <w:rPr>
          <w:rFonts w:hint="eastAsia" w:ascii="宋体" w:hAnsi="宋体"/>
          <w:sz w:val="24"/>
          <w:highlight w:val="none"/>
        </w:rPr>
        <w:t xml:space="preserve">                             [货币单位：人民币元]</w:t>
      </w:r>
    </w:p>
    <w:p>
      <w:pPr>
        <w:snapToGrid w:val="0"/>
        <w:spacing w:before="50" w:after="50"/>
        <w:jc w:val="left"/>
        <w:rPr>
          <w:rFonts w:hint="eastAsia" w:ascii="Arial" w:hAnsi="Arial" w:eastAsia="宋体" w:cs="Arial"/>
          <w:sz w:val="22"/>
          <w:szCs w:val="22"/>
          <w:highlight w:val="none"/>
          <w:lang w:eastAsia="zh-CN"/>
        </w:rPr>
      </w:pPr>
      <w:r>
        <w:rPr>
          <w:rFonts w:hint="eastAsia" w:ascii="Arial" w:hAnsi="Arial" w:cs="宋体"/>
          <w:sz w:val="22"/>
          <w:szCs w:val="22"/>
          <w:highlight w:val="none"/>
        </w:rPr>
        <w:t>致：</w:t>
      </w:r>
      <w:r>
        <w:rPr>
          <w:rFonts w:hint="eastAsia" w:ascii="Arial" w:hAnsi="Arial" w:cs="宋体"/>
          <w:sz w:val="22"/>
          <w:szCs w:val="22"/>
          <w:highlight w:val="none"/>
          <w:lang w:eastAsia="zh-CN"/>
        </w:rPr>
        <w:t>台州市云湖小学</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ascii="新宋体" w:hAnsi="新宋体" w:eastAsia="新宋体"/>
          <w:szCs w:val="21"/>
          <w:highlight w:val="none"/>
        </w:rPr>
      </w:pPr>
      <w:r>
        <w:rPr>
          <w:rFonts w:ascii="Arial" w:hAnsi="Arial" w:cs="Arial"/>
          <w:sz w:val="22"/>
          <w:szCs w:val="22"/>
          <w:highlight w:val="none"/>
        </w:rPr>
        <w:t>经研究，我们决定参加</w:t>
      </w:r>
      <w:r>
        <w:rPr>
          <w:rFonts w:hint="eastAsia" w:ascii="Arial" w:hAnsi="Arial" w:cs="Arial"/>
          <w:sz w:val="22"/>
          <w:szCs w:val="22"/>
          <w:highlight w:val="none"/>
        </w:rPr>
        <w:t>你单位的</w:t>
      </w:r>
      <w:r>
        <w:rPr>
          <w:rFonts w:hint="eastAsia" w:ascii="宋体" w:hAnsi="宋体"/>
          <w:sz w:val="22"/>
          <w:szCs w:val="22"/>
          <w:highlight w:val="none"/>
          <w:u w:val="single"/>
          <w:lang w:eastAsia="zh-CN"/>
        </w:rPr>
        <w:t>台州市云湖小学午休躺睡桌椅采购项目</w:t>
      </w:r>
      <w:r>
        <w:rPr>
          <w:rFonts w:ascii="Arial" w:hAnsi="Arial" w:cs="Arial"/>
          <w:sz w:val="22"/>
          <w:szCs w:val="22"/>
          <w:highlight w:val="none"/>
        </w:rPr>
        <w:t>的</w:t>
      </w:r>
      <w:r>
        <w:rPr>
          <w:rFonts w:hint="eastAsia" w:ascii="Arial" w:hAnsi="Arial" w:cs="Arial"/>
          <w:sz w:val="22"/>
          <w:highlight w:val="none"/>
        </w:rPr>
        <w:t>招标</w:t>
      </w:r>
      <w:r>
        <w:rPr>
          <w:rFonts w:ascii="Arial" w:hAnsi="Arial" w:cs="Arial"/>
          <w:sz w:val="22"/>
          <w:highlight w:val="none"/>
        </w:rPr>
        <w:t>采购活动并提交</w:t>
      </w:r>
      <w:r>
        <w:rPr>
          <w:rFonts w:hint="eastAsia" w:ascii="Arial" w:hAnsi="Arial" w:cs="Arial"/>
          <w:sz w:val="22"/>
          <w:highlight w:val="none"/>
        </w:rPr>
        <w:t>投标</w:t>
      </w:r>
      <w:r>
        <w:rPr>
          <w:rFonts w:ascii="Arial" w:hAnsi="Arial" w:cs="Arial"/>
          <w:sz w:val="22"/>
          <w:highlight w:val="none"/>
        </w:rPr>
        <w:t>文件。为此，我方郑重声明以下诸点，并负法律责任。</w:t>
      </w:r>
    </w:p>
    <w:p>
      <w:pPr>
        <w:pStyle w:val="13"/>
        <w:keepNext w:val="0"/>
        <w:keepLines w:val="0"/>
        <w:pageBreakBefore w:val="0"/>
        <w:widowControl w:val="0"/>
        <w:numPr>
          <w:ilvl w:val="0"/>
          <w:numId w:val="77"/>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如果我们的招标文件被接受，我们将履行招标文件中规定的每一项要求，并按我们投标文件中的承诺按期、按质、按量提供服务。</w:t>
      </w:r>
    </w:p>
    <w:p>
      <w:pPr>
        <w:pStyle w:val="13"/>
        <w:keepNext w:val="0"/>
        <w:keepLines w:val="0"/>
        <w:pageBreakBefore w:val="0"/>
        <w:widowControl w:val="0"/>
        <w:numPr>
          <w:ilvl w:val="0"/>
          <w:numId w:val="77"/>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我们同意按</w:t>
      </w:r>
      <w:r>
        <w:rPr>
          <w:rFonts w:hint="eastAsia" w:ascii="Arial" w:hAnsi="Arial" w:cs="Arial"/>
          <w:sz w:val="22"/>
          <w:szCs w:val="22"/>
          <w:highlight w:val="none"/>
          <w:lang w:eastAsia="zh-CN"/>
        </w:rPr>
        <w:t>招标文件</w:t>
      </w:r>
      <w:r>
        <w:rPr>
          <w:rFonts w:ascii="Arial" w:hAnsi="Arial" w:cs="Arial"/>
          <w:sz w:val="22"/>
          <w:szCs w:val="22"/>
          <w:highlight w:val="none"/>
        </w:rPr>
        <w:t>规定遵守采购人有关采购的各项规定。</w:t>
      </w:r>
    </w:p>
    <w:p>
      <w:pPr>
        <w:pStyle w:val="13"/>
        <w:keepNext w:val="0"/>
        <w:keepLines w:val="0"/>
        <w:pageBreakBefore w:val="0"/>
        <w:widowControl w:val="0"/>
        <w:numPr>
          <w:ilvl w:val="0"/>
          <w:numId w:val="77"/>
        </w:numPr>
        <w:kinsoku/>
        <w:wordWrap/>
        <w:overflowPunct/>
        <w:topLinePunct w:val="0"/>
        <w:autoSpaceDE/>
        <w:autoSpaceDN/>
        <w:bidi w:val="0"/>
        <w:adjustRightInd/>
        <w:snapToGrid/>
        <w:spacing w:after="0" w:line="360" w:lineRule="auto"/>
        <w:ind w:left="0" w:leftChars="0" w:firstLine="440" w:firstLineChars="200"/>
        <w:textAlignment w:val="auto"/>
        <w:rPr>
          <w:rFonts w:ascii="Arial" w:hAnsi="Arial" w:cs="Arial"/>
          <w:sz w:val="22"/>
          <w:szCs w:val="22"/>
          <w:highlight w:val="none"/>
        </w:rPr>
      </w:pPr>
      <w:r>
        <w:rPr>
          <w:rFonts w:ascii="Arial" w:hAnsi="Arial" w:cs="Arial"/>
          <w:sz w:val="22"/>
          <w:szCs w:val="22"/>
          <w:highlight w:val="none"/>
        </w:rPr>
        <w:t>我方同意提供按照贵方可能要求的与投标有关的一切数据或资料，我方若未成为成交投标人，采购人有权不做任何解释。</w:t>
      </w:r>
    </w:p>
    <w:p>
      <w:pPr>
        <w:keepNext w:val="0"/>
        <w:keepLines w:val="0"/>
        <w:pageBreakBefore w:val="0"/>
        <w:widowControl w:val="0"/>
        <w:numPr>
          <w:ilvl w:val="0"/>
          <w:numId w:val="77"/>
        </w:numPr>
        <w:kinsoku/>
        <w:wordWrap/>
        <w:overflowPunct/>
        <w:topLinePunct w:val="0"/>
        <w:autoSpaceDE/>
        <w:autoSpaceDN/>
        <w:bidi w:val="0"/>
        <w:adjustRightInd/>
        <w:snapToGrid/>
        <w:spacing w:line="360" w:lineRule="auto"/>
        <w:ind w:left="0" w:leftChars="0" w:firstLine="440" w:firstLineChars="200"/>
        <w:textAlignment w:val="auto"/>
        <w:rPr>
          <w:rFonts w:ascii="宋体" w:hAnsi="宋体"/>
          <w:sz w:val="22"/>
          <w:szCs w:val="22"/>
          <w:highlight w:val="none"/>
        </w:rPr>
      </w:pPr>
      <w:r>
        <w:rPr>
          <w:rFonts w:hint="eastAsia" w:ascii="Arial" w:hAnsi="Arial" w:cs="Arial"/>
          <w:sz w:val="22"/>
          <w:szCs w:val="22"/>
          <w:highlight w:val="none"/>
        </w:rPr>
        <w:t>我方如果中标，将保证履行招标文件以及招标文件修改书（如有）中的全部责任和义务，按质、按量、按期完成全部任务。</w:t>
      </w:r>
    </w:p>
    <w:tbl>
      <w:tblPr>
        <w:tblStyle w:val="27"/>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624"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保留整数</w:t>
            </w:r>
            <w:r>
              <w:rPr>
                <w:rFonts w:hint="eastAsia" w:ascii="宋体" w:hAnsi="宋体"/>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624"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保留整数</w:t>
            </w:r>
            <w:r>
              <w:rPr>
                <w:rFonts w:hint="eastAsia" w:ascii="宋体" w:hAnsi="宋体"/>
                <w:szCs w:val="21"/>
                <w:highlight w:val="none"/>
                <w:lang w:eastAsia="zh-CN"/>
              </w:rPr>
              <w:t>）</w:t>
            </w:r>
          </w:p>
        </w:tc>
      </w:tr>
    </w:tbl>
    <w:p>
      <w:pPr>
        <w:spacing w:line="360" w:lineRule="auto"/>
        <w:rPr>
          <w:rFonts w:hint="eastAsia" w:ascii="宋体" w:hAnsi="宋体"/>
          <w:b/>
          <w:sz w:val="22"/>
          <w:szCs w:val="22"/>
          <w:highlight w:val="none"/>
        </w:rPr>
      </w:pPr>
      <w:r>
        <w:rPr>
          <w:rFonts w:hint="eastAsia" w:ascii="宋体" w:hAnsi="宋体"/>
          <w:b/>
          <w:sz w:val="22"/>
          <w:szCs w:val="22"/>
          <w:highlight w:val="none"/>
        </w:rPr>
        <w:t>填报要求：</w:t>
      </w:r>
    </w:p>
    <w:p>
      <w:pPr>
        <w:numPr>
          <w:ilvl w:val="0"/>
          <w:numId w:val="78"/>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报价：有关本项目实施所需的所有费用（含税费）均计入报价。</w:t>
      </w:r>
    </w:p>
    <w:p>
      <w:pPr>
        <w:numPr>
          <w:ilvl w:val="0"/>
          <w:numId w:val="78"/>
        </w:numPr>
        <w:spacing w:line="360" w:lineRule="auto"/>
        <w:ind w:left="0" w:leftChars="0" w:firstLine="440" w:firstLineChars="200"/>
        <w:rPr>
          <w:rFonts w:hint="eastAsia" w:ascii="宋体" w:hAnsi="宋体"/>
          <w:sz w:val="22"/>
          <w:szCs w:val="22"/>
          <w:highlight w:val="none"/>
        </w:rPr>
      </w:pPr>
      <w:r>
        <w:rPr>
          <w:rFonts w:hint="eastAsia" w:ascii="宋体" w:hAnsi="宋体"/>
          <w:sz w:val="22"/>
          <w:szCs w:val="22"/>
          <w:highlight w:val="none"/>
        </w:rPr>
        <w:t>报价一经涂改，应在涂改处加盖单位公章，或者由法定代表人或全权代表签字或盖章，否则其投标作无效标处理。</w:t>
      </w:r>
    </w:p>
    <w:p>
      <w:pPr>
        <w:numPr>
          <w:ilvl w:val="0"/>
          <w:numId w:val="78"/>
        </w:numPr>
        <w:spacing w:line="360" w:lineRule="auto"/>
        <w:ind w:left="0" w:leftChars="0" w:firstLine="442" w:firstLineChars="200"/>
        <w:rPr>
          <w:rFonts w:ascii="宋体" w:hAnsi="宋体"/>
          <w:b/>
          <w:bCs/>
          <w:sz w:val="22"/>
          <w:szCs w:val="22"/>
          <w:highlight w:val="none"/>
        </w:rPr>
      </w:pPr>
      <w:r>
        <w:rPr>
          <w:rFonts w:hint="eastAsia" w:ascii="宋体" w:hAnsi="宋体"/>
          <w:b/>
          <w:bCs/>
          <w:sz w:val="22"/>
          <w:szCs w:val="22"/>
          <w:highlight w:val="none"/>
        </w:rPr>
        <w:t>▲报价未保留整数的，采用四舍五入计取并由投标人书面澄清。未按要求进行书面澄清的，作无效响应处理。供应商不得随意删除和改动上述内容。</w:t>
      </w:r>
    </w:p>
    <w:p>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投标人（公章）：</w:t>
      </w:r>
    </w:p>
    <w:p>
      <w:pPr>
        <w:adjustRightInd w:val="0"/>
        <w:snapToGrid w:val="0"/>
        <w:spacing w:line="360" w:lineRule="auto"/>
        <w:rPr>
          <w:rFonts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法定代表人或授权</w:t>
      </w:r>
      <w:r>
        <w:rPr>
          <w:rFonts w:hint="eastAsia" w:ascii="宋体" w:hAnsi="宋体" w:cs="仿宋_GB2312"/>
          <w:color w:val="FF0000"/>
          <w:kern w:val="0"/>
          <w:sz w:val="24"/>
          <w:highlight w:val="none"/>
          <w:lang w:val="en-US" w:eastAsia="zh-CN"/>
        </w:rPr>
        <w:t>代表</w:t>
      </w:r>
      <w:r>
        <w:rPr>
          <w:rFonts w:hint="eastAsia" w:ascii="宋体" w:hAnsi="宋体" w:cs="仿宋_GB2312"/>
          <w:color w:val="FF0000"/>
          <w:kern w:val="0"/>
          <w:sz w:val="24"/>
          <w:highlight w:val="none"/>
          <w:lang w:val="zh-CN"/>
        </w:rPr>
        <w:t>签字（</w:t>
      </w:r>
      <w:r>
        <w:rPr>
          <w:rFonts w:hint="eastAsia" w:ascii="宋体" w:hAnsi="宋体" w:cs="仿宋_GB2312"/>
          <w:color w:val="FF0000"/>
          <w:kern w:val="0"/>
          <w:sz w:val="24"/>
          <w:highlight w:val="none"/>
          <w:lang w:val="en-US" w:eastAsia="zh-CN"/>
        </w:rPr>
        <w:t>签章</w:t>
      </w:r>
      <w:r>
        <w:rPr>
          <w:rFonts w:hint="eastAsia" w:ascii="宋体" w:hAnsi="宋体" w:cs="仿宋_GB2312"/>
          <w:color w:val="FF0000"/>
          <w:kern w:val="0"/>
          <w:sz w:val="24"/>
          <w:highlight w:val="none"/>
          <w:lang w:val="zh-CN"/>
        </w:rPr>
        <w:t>）：</w:t>
      </w:r>
    </w:p>
    <w:p>
      <w:pPr>
        <w:spacing w:line="360" w:lineRule="auto"/>
        <w:rPr>
          <w:rFonts w:hint="eastAsia"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t>日期：    年   月   日</w:t>
      </w:r>
    </w:p>
    <w:p>
      <w:pPr>
        <w:rPr>
          <w:rFonts w:hint="eastAsia" w:ascii="宋体" w:hAnsi="宋体" w:cs="仿宋_GB2312"/>
          <w:color w:val="FF0000"/>
          <w:kern w:val="0"/>
          <w:sz w:val="24"/>
          <w:highlight w:val="none"/>
          <w:lang w:val="zh-CN"/>
        </w:rPr>
      </w:pPr>
      <w:r>
        <w:rPr>
          <w:rFonts w:hint="eastAsia" w:ascii="宋体" w:hAnsi="宋体" w:cs="仿宋_GB2312"/>
          <w:color w:val="FF0000"/>
          <w:kern w:val="0"/>
          <w:sz w:val="24"/>
          <w:highlight w:val="none"/>
          <w:lang w:val="zh-CN"/>
        </w:rPr>
        <w:br w:type="page"/>
      </w:r>
    </w:p>
    <w:p>
      <w:pPr>
        <w:spacing w:line="360" w:lineRule="auto"/>
        <w:outlineLvl w:val="0"/>
        <w:rPr>
          <w:rFonts w:hint="eastAsia" w:ascii="宋体" w:hAnsi="宋体" w:eastAsia="宋体" w:cs="Times New Roman"/>
          <w:b/>
          <w:sz w:val="28"/>
          <w:highlight w:val="none"/>
          <w:lang w:val="en-US" w:eastAsia="zh-CN"/>
        </w:rPr>
      </w:pPr>
      <w:bookmarkStart w:id="79" w:name="_Toc6928"/>
      <w:r>
        <w:rPr>
          <w:rFonts w:hint="eastAsia" w:ascii="宋体" w:hAnsi="宋体" w:eastAsia="宋体" w:cs="Times New Roman"/>
          <w:b/>
          <w:sz w:val="28"/>
          <w:highlight w:val="none"/>
          <w:lang w:val="en-US" w:eastAsia="zh-CN"/>
        </w:rPr>
        <w:t>附件8</w:t>
      </w:r>
      <w:bookmarkEnd w:id="79"/>
    </w:p>
    <w:p>
      <w:pPr>
        <w:spacing w:line="360" w:lineRule="auto"/>
        <w:ind w:left="480"/>
        <w:jc w:val="center"/>
        <w:outlineLvl w:val="0"/>
        <w:rPr>
          <w:rFonts w:hint="eastAsia" w:ascii="宋体" w:hAnsi="宋体" w:eastAsia="宋体" w:cs="宋体"/>
          <w:highlight w:val="none"/>
        </w:rPr>
      </w:pPr>
      <w:bookmarkStart w:id="80" w:name="_Toc18809"/>
      <w:bookmarkStart w:id="81" w:name="_Toc30968"/>
      <w:bookmarkStart w:id="82" w:name="_Toc32057"/>
      <w:r>
        <w:rPr>
          <w:rFonts w:hint="eastAsia" w:ascii="宋体" w:hAnsi="宋体" w:eastAsia="宋体" w:cs="宋体"/>
          <w:b/>
          <w:sz w:val="32"/>
          <w:szCs w:val="32"/>
          <w:highlight w:val="none"/>
        </w:rPr>
        <w:t>报价明细表</w:t>
      </w:r>
      <w:bookmarkEnd w:id="80"/>
      <w:bookmarkEnd w:id="81"/>
      <w:bookmarkEnd w:id="82"/>
    </w:p>
    <w:p>
      <w:pPr>
        <w:spacing w:line="360" w:lineRule="auto"/>
        <w:jc w:val="right"/>
        <w:outlineLvl w:val="9"/>
        <w:rPr>
          <w:rFonts w:hint="eastAsia" w:ascii="宋体" w:hAnsi="宋体" w:eastAsia="宋体" w:cs="宋体"/>
          <w:sz w:val="24"/>
          <w:highlight w:val="none"/>
        </w:rPr>
      </w:pPr>
      <w:r>
        <w:rPr>
          <w:rFonts w:hint="eastAsia" w:ascii="宋体" w:hAnsi="宋体" w:eastAsia="宋体" w:cs="宋体"/>
          <w:sz w:val="24"/>
          <w:highlight w:val="none"/>
        </w:rPr>
        <w:t xml:space="preserve">  [货币单位：人民币元]</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338"/>
        <w:gridCol w:w="880"/>
        <w:gridCol w:w="880"/>
        <w:gridCol w:w="880"/>
        <w:gridCol w:w="88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78" w:type="dxa"/>
            <w:vAlign w:val="center"/>
          </w:tcPr>
          <w:p>
            <w:pPr>
              <w:bidi w:val="0"/>
              <w:jc w:val="center"/>
              <w:rPr>
                <w:rFonts w:hint="eastAsia"/>
                <w:b/>
                <w:bCs/>
              </w:rPr>
            </w:pPr>
            <w:r>
              <w:rPr>
                <w:rFonts w:hint="eastAsia"/>
                <w:b/>
                <w:bCs/>
              </w:rPr>
              <w:t>序号</w:t>
            </w:r>
          </w:p>
        </w:tc>
        <w:tc>
          <w:tcPr>
            <w:tcW w:w="3338" w:type="dxa"/>
            <w:vAlign w:val="center"/>
          </w:tcPr>
          <w:p>
            <w:pPr>
              <w:bidi w:val="0"/>
              <w:jc w:val="center"/>
              <w:rPr>
                <w:rFonts w:hint="eastAsia"/>
                <w:b/>
                <w:bCs/>
              </w:rPr>
            </w:pPr>
            <w:r>
              <w:rPr>
                <w:rFonts w:hint="eastAsia"/>
                <w:b/>
                <w:bCs/>
              </w:rPr>
              <w:t>报价项目</w:t>
            </w:r>
          </w:p>
        </w:tc>
        <w:tc>
          <w:tcPr>
            <w:tcW w:w="880" w:type="dxa"/>
            <w:vAlign w:val="center"/>
          </w:tcPr>
          <w:p>
            <w:pPr>
              <w:bidi w:val="0"/>
              <w:jc w:val="center"/>
              <w:rPr>
                <w:rFonts w:hint="eastAsia"/>
                <w:b/>
                <w:bCs/>
              </w:rPr>
            </w:pPr>
            <w:r>
              <w:rPr>
                <w:rFonts w:hint="eastAsia"/>
                <w:b/>
                <w:bCs/>
                <w:lang w:val="en-US" w:eastAsia="zh-CN"/>
              </w:rPr>
              <w:t>数量</w:t>
            </w:r>
          </w:p>
        </w:tc>
        <w:tc>
          <w:tcPr>
            <w:tcW w:w="880" w:type="dxa"/>
            <w:vAlign w:val="center"/>
          </w:tcPr>
          <w:p>
            <w:pPr>
              <w:bidi w:val="0"/>
              <w:jc w:val="center"/>
              <w:rPr>
                <w:rFonts w:hint="eastAsia"/>
                <w:b/>
                <w:bCs/>
                <w:lang w:val="en-US" w:eastAsia="zh-CN"/>
              </w:rPr>
            </w:pPr>
            <w:r>
              <w:rPr>
                <w:rFonts w:hint="eastAsia"/>
                <w:b/>
                <w:bCs/>
                <w:lang w:val="en-US" w:eastAsia="zh-CN"/>
              </w:rPr>
              <w:t>单位</w:t>
            </w:r>
          </w:p>
        </w:tc>
        <w:tc>
          <w:tcPr>
            <w:tcW w:w="880" w:type="dxa"/>
            <w:vAlign w:val="center"/>
          </w:tcPr>
          <w:p>
            <w:pPr>
              <w:bidi w:val="0"/>
              <w:jc w:val="center"/>
              <w:rPr>
                <w:rFonts w:hint="eastAsia"/>
                <w:b/>
                <w:bCs/>
              </w:rPr>
            </w:pPr>
            <w:r>
              <w:rPr>
                <w:rFonts w:hint="eastAsia"/>
                <w:b/>
                <w:bCs/>
              </w:rPr>
              <w:t>单价</w:t>
            </w:r>
          </w:p>
        </w:tc>
        <w:tc>
          <w:tcPr>
            <w:tcW w:w="880" w:type="dxa"/>
            <w:vAlign w:val="center"/>
          </w:tcPr>
          <w:p>
            <w:pPr>
              <w:bidi w:val="0"/>
              <w:jc w:val="center"/>
              <w:rPr>
                <w:rFonts w:hint="eastAsia"/>
                <w:b/>
                <w:bCs/>
              </w:rPr>
            </w:pPr>
            <w:r>
              <w:rPr>
                <w:rFonts w:hint="eastAsia"/>
                <w:b/>
                <w:bCs/>
              </w:rPr>
              <w:t>小计</w:t>
            </w:r>
          </w:p>
        </w:tc>
        <w:tc>
          <w:tcPr>
            <w:tcW w:w="880" w:type="dxa"/>
            <w:vAlign w:val="center"/>
          </w:tcPr>
          <w:p>
            <w:pPr>
              <w:bidi w:val="0"/>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1 </w:t>
            </w:r>
          </w:p>
        </w:tc>
        <w:tc>
          <w:tcPr>
            <w:tcW w:w="3338" w:type="dxa"/>
            <w:vAlign w:val="center"/>
          </w:tcPr>
          <w:p>
            <w:pPr>
              <w:bidi w:val="0"/>
              <w:jc w:val="center"/>
              <w:rPr>
                <w:rFonts w:hint="eastAsia"/>
                <w:lang w:val="zh-CN" w:eastAsia="zh-CN"/>
              </w:rPr>
            </w:pPr>
            <w:r>
              <w:rPr>
                <w:rFonts w:hint="eastAsia"/>
                <w:lang w:val="en-US" w:eastAsia="zh-CN"/>
              </w:rPr>
              <w:t>课桌</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bidi="ar"/>
              </w:rPr>
              <w:t>650</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78"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2 </w:t>
            </w:r>
          </w:p>
        </w:tc>
        <w:tc>
          <w:tcPr>
            <w:tcW w:w="3338" w:type="dxa"/>
            <w:vAlign w:val="center"/>
          </w:tcPr>
          <w:p>
            <w:pPr>
              <w:bidi w:val="0"/>
              <w:jc w:val="center"/>
              <w:rPr>
                <w:rFonts w:hint="eastAsia"/>
                <w:lang w:val="zh-CN" w:eastAsia="zh-CN"/>
              </w:rPr>
            </w:pPr>
            <w:r>
              <w:rPr>
                <w:rFonts w:hint="eastAsia"/>
                <w:lang w:val="zh-CN" w:eastAsia="zh-CN"/>
              </w:rPr>
              <w:t>午休躺椅</w:t>
            </w:r>
          </w:p>
        </w:tc>
        <w:tc>
          <w:tcPr>
            <w:tcW w:w="88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w:t>
            </w:r>
            <w:r>
              <w:rPr>
                <w:rFonts w:hint="eastAsia" w:ascii="宋体" w:hAnsi="宋体" w:cs="宋体"/>
                <w:i w:val="0"/>
                <w:iCs w:val="0"/>
                <w:color w:val="auto"/>
                <w:kern w:val="0"/>
                <w:sz w:val="20"/>
                <w:szCs w:val="20"/>
                <w:u w:val="none"/>
                <w:lang w:val="en-US" w:eastAsia="zh-CN" w:bidi="ar"/>
              </w:rPr>
              <w:t>30</w:t>
            </w:r>
          </w:p>
        </w:tc>
        <w:tc>
          <w:tcPr>
            <w:tcW w:w="8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张</w:t>
            </w: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c>
          <w:tcPr>
            <w:tcW w:w="880" w:type="dxa"/>
            <w:vAlign w:val="center"/>
          </w:tcPr>
          <w:p>
            <w:pPr>
              <w:spacing w:line="360" w:lineRule="auto"/>
              <w:outlineLvl w:val="9"/>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516" w:type="dxa"/>
            <w:gridSpan w:val="7"/>
            <w:tcBorders>
              <w:bottom w:val="single" w:color="auto" w:sz="4" w:space="0"/>
            </w:tcBorders>
            <w:vAlign w:val="center"/>
          </w:tcPr>
          <w:p>
            <w:pPr>
              <w:spacing w:line="360" w:lineRule="auto"/>
              <w:outlineLvl w:val="9"/>
              <w:rPr>
                <w:rFonts w:hint="eastAsia" w:ascii="宋体" w:hAnsi="宋体" w:eastAsia="宋体" w:cs="宋体"/>
                <w:b/>
                <w:sz w:val="24"/>
                <w:highlight w:val="none"/>
              </w:rPr>
            </w:pPr>
            <w:r>
              <w:rPr>
                <w:rFonts w:hint="eastAsia" w:ascii="宋体" w:hAnsi="宋体" w:eastAsia="宋体" w:cs="宋体"/>
                <w:b/>
                <w:sz w:val="24"/>
                <w:highlight w:val="none"/>
              </w:rPr>
              <w:t>合计人民币：大写                               小写</w:t>
            </w:r>
          </w:p>
        </w:tc>
      </w:tr>
    </w:tbl>
    <w:p>
      <w:pPr>
        <w:spacing w:line="360" w:lineRule="auto"/>
        <w:outlineLvl w:val="9"/>
        <w:rPr>
          <w:rFonts w:hint="eastAsia" w:ascii="宋体" w:hAnsi="宋体" w:eastAsia="宋体" w:cs="宋体"/>
          <w:b/>
          <w:szCs w:val="21"/>
          <w:highlight w:val="none"/>
        </w:rPr>
      </w:pPr>
      <w:r>
        <w:rPr>
          <w:rFonts w:hint="eastAsia" w:ascii="宋体" w:hAnsi="宋体" w:eastAsia="宋体" w:cs="宋体"/>
          <w:b/>
          <w:szCs w:val="21"/>
          <w:highlight w:val="none"/>
        </w:rPr>
        <w:t>要求：</w:t>
      </w:r>
    </w:p>
    <w:p>
      <w:pPr>
        <w:spacing w:line="360" w:lineRule="auto"/>
        <w:ind w:left="435"/>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1. </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rPr>
        <w:t>本表为《开标一览表》的报价明细表，如有缺项、漏项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漏报的</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或单价为零的，均</w:t>
      </w:r>
      <w:r>
        <w:rPr>
          <w:rFonts w:hint="eastAsia" w:ascii="宋体" w:hAnsi="宋体" w:eastAsia="宋体" w:cs="宋体"/>
          <w:b/>
          <w:bCs/>
          <w:color w:val="auto"/>
          <w:szCs w:val="21"/>
          <w:highlight w:val="none"/>
        </w:rPr>
        <w:t>作无效投标处理。</w:t>
      </w:r>
    </w:p>
    <w:p>
      <w:pPr>
        <w:spacing w:line="360" w:lineRule="auto"/>
        <w:ind w:left="435"/>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pPr>
        <w:spacing w:line="360" w:lineRule="auto"/>
        <w:ind w:left="420"/>
        <w:outlineLvl w:val="9"/>
        <w:rPr>
          <w:rFonts w:hint="eastAsia" w:ascii="宋体" w:hAnsi="宋体" w:eastAsia="宋体" w:cs="宋体"/>
          <w:b/>
          <w:bCs/>
          <w:color w:val="auto"/>
          <w:sz w:val="24"/>
          <w:highlight w:val="none"/>
        </w:rPr>
      </w:pPr>
    </w:p>
    <w:p>
      <w:pPr>
        <w:bidi w:val="0"/>
        <w:spacing w:line="360" w:lineRule="auto"/>
        <w:rPr>
          <w:rFonts w:hint="eastAsia" w:ascii="宋体" w:hAnsi="宋体" w:eastAsia="宋体" w:cs="宋体"/>
          <w:color w:val="FF0000"/>
          <w:spacing w:val="6"/>
          <w:sz w:val="24"/>
          <w:highlight w:val="none"/>
        </w:rPr>
      </w:pPr>
      <w:r>
        <w:rPr>
          <w:rFonts w:hint="eastAsia" w:ascii="宋体" w:hAnsi="宋体" w:eastAsia="宋体" w:cs="宋体"/>
          <w:color w:val="FF0000"/>
          <w:spacing w:val="6"/>
          <w:sz w:val="24"/>
          <w:highlight w:val="none"/>
        </w:rPr>
        <w:t>投标人（公章）：</w:t>
      </w:r>
    </w:p>
    <w:p>
      <w:pPr>
        <w:bidi w:val="0"/>
        <w:spacing w:line="360" w:lineRule="auto"/>
        <w:rPr>
          <w:rFonts w:hint="eastAsia" w:ascii="宋体" w:hAnsi="宋体" w:eastAsia="宋体" w:cs="宋体"/>
          <w:color w:val="FF0000"/>
          <w:spacing w:val="6"/>
          <w:sz w:val="24"/>
          <w:highlight w:val="none"/>
        </w:rPr>
      </w:pPr>
      <w:r>
        <w:rPr>
          <w:rFonts w:hint="eastAsia" w:ascii="宋体" w:hAnsi="宋体" w:eastAsia="宋体" w:cs="宋体"/>
          <w:color w:val="FF0000"/>
          <w:spacing w:val="6"/>
          <w:sz w:val="24"/>
          <w:highlight w:val="none"/>
        </w:rPr>
        <w:t>法定代表人或授权代表签字（签章）：</w:t>
      </w:r>
    </w:p>
    <w:p>
      <w:pPr>
        <w:bidi w:val="0"/>
        <w:spacing w:line="360" w:lineRule="auto"/>
        <w:rPr>
          <w:rFonts w:hint="default"/>
          <w:highlight w:val="none"/>
          <w:lang w:val="en-US" w:eastAsia="zh-CN"/>
        </w:rPr>
      </w:pPr>
      <w:r>
        <w:rPr>
          <w:rFonts w:hint="eastAsia" w:ascii="宋体" w:hAnsi="宋体" w:eastAsia="宋体" w:cs="宋体"/>
          <w:color w:val="FF0000"/>
          <w:spacing w:val="6"/>
          <w:sz w:val="24"/>
          <w:highlight w:val="none"/>
        </w:rPr>
        <w:t>日期：    年   月   日</w:t>
      </w: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left" w:pos="454"/>
        <w:tab w:val="left" w:pos="720"/>
        <w:tab w:val="left" w:pos="1200"/>
        <w:tab w:val="clear" w:pos="360"/>
      </w:tabs>
      <w:spacing w:after="120"/>
      <w:ind w:left="48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left" w:pos="454"/>
        <w:tab w:val="left" w:pos="720"/>
        <w:tab w:val="left" w:pos="1200"/>
      </w:tabs>
      <w:spacing w:after="120"/>
      <w:rPr>
        <w:rStyle w:val="30"/>
      </w:rPr>
    </w:pPr>
    <w:r>
      <w:fldChar w:fldCharType="begin"/>
    </w:r>
    <w:r>
      <w:rPr>
        <w:rStyle w:val="30"/>
      </w:rPr>
      <w:instrText xml:space="preserve">PAGE  </w:instrText>
    </w:r>
    <w:r>
      <w:fldChar w:fldCharType="separate"/>
    </w:r>
    <w:r>
      <w:rPr>
        <w:rStyle w:val="30"/>
      </w:rPr>
      <w:t>10</w:t>
    </w:r>
    <w:r>
      <w:fldChar w:fldCharType="end"/>
    </w:r>
  </w:p>
  <w:p>
    <w:pPr>
      <w:pStyle w:val="6"/>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left" w:pos="454"/>
        <w:tab w:val="left" w:pos="720"/>
        <w:tab w:val="left" w:pos="1200"/>
        <w:tab w:val="clear" w:pos="360"/>
      </w:tabs>
      <w:spacing w:after="120"/>
      <w:ind w:left="48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left" w:pos="454"/>
        <w:tab w:val="left" w:pos="720"/>
        <w:tab w:val="left" w:pos="1200"/>
        <w:tab w:val="clear" w:pos="360"/>
      </w:tabs>
      <w:spacing w:after="120"/>
      <w:ind w:left="480" w:right="36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BFF4D"/>
    <w:multiLevelType w:val="singleLevel"/>
    <w:tmpl w:val="819BFF4D"/>
    <w:lvl w:ilvl="0" w:tentative="0">
      <w:start w:val="1"/>
      <w:numFmt w:val="decimal"/>
      <w:suff w:val="nothing"/>
      <w:lvlText w:val="%1．"/>
      <w:lvlJc w:val="left"/>
      <w:pPr>
        <w:ind w:left="0" w:firstLine="400"/>
      </w:pPr>
      <w:rPr>
        <w:rFonts w:hint="default"/>
      </w:rPr>
    </w:lvl>
  </w:abstractNum>
  <w:abstractNum w:abstractNumId="1">
    <w:nsid w:val="8349B7C1"/>
    <w:multiLevelType w:val="singleLevel"/>
    <w:tmpl w:val="8349B7C1"/>
    <w:lvl w:ilvl="0" w:tentative="0">
      <w:start w:val="1"/>
      <w:numFmt w:val="decimal"/>
      <w:suff w:val="nothing"/>
      <w:lvlText w:val="%1．"/>
      <w:lvlJc w:val="left"/>
      <w:pPr>
        <w:ind w:left="0" w:firstLine="400"/>
      </w:pPr>
      <w:rPr>
        <w:rFonts w:hint="default"/>
      </w:rPr>
    </w:lvl>
  </w:abstractNum>
  <w:abstractNum w:abstractNumId="2">
    <w:nsid w:val="88C5085A"/>
    <w:multiLevelType w:val="singleLevel"/>
    <w:tmpl w:val="88C5085A"/>
    <w:lvl w:ilvl="0" w:tentative="0">
      <w:start w:val="1"/>
      <w:numFmt w:val="decimal"/>
      <w:lvlText w:val="%1)"/>
      <w:lvlJc w:val="left"/>
      <w:pPr>
        <w:ind w:left="425" w:hanging="425"/>
      </w:pPr>
      <w:rPr>
        <w:rFonts w:hint="default"/>
      </w:rPr>
    </w:lvl>
  </w:abstractNum>
  <w:abstractNum w:abstractNumId="3">
    <w:nsid w:val="8D802EEE"/>
    <w:multiLevelType w:val="singleLevel"/>
    <w:tmpl w:val="8D802EEE"/>
    <w:lvl w:ilvl="0" w:tentative="0">
      <w:start w:val="1"/>
      <w:numFmt w:val="decimal"/>
      <w:suff w:val="nothing"/>
      <w:lvlText w:val="(%1)"/>
      <w:lvlJc w:val="left"/>
      <w:pPr>
        <w:ind w:left="0" w:leftChars="0" w:firstLine="40" w:firstLineChars="0"/>
      </w:pPr>
      <w:rPr>
        <w:rFonts w:hint="default"/>
      </w:rPr>
    </w:lvl>
  </w:abstractNum>
  <w:abstractNum w:abstractNumId="4">
    <w:nsid w:val="95B39D80"/>
    <w:multiLevelType w:val="singleLevel"/>
    <w:tmpl w:val="95B39D80"/>
    <w:lvl w:ilvl="0" w:tentative="0">
      <w:start w:val="1"/>
      <w:numFmt w:val="decimal"/>
      <w:suff w:val="nothing"/>
      <w:lvlText w:val="%1．"/>
      <w:lvlJc w:val="left"/>
      <w:pPr>
        <w:ind w:left="0" w:firstLine="400"/>
      </w:pPr>
      <w:rPr>
        <w:rFonts w:hint="default"/>
      </w:rPr>
    </w:lvl>
  </w:abstractNum>
  <w:abstractNum w:abstractNumId="5">
    <w:nsid w:val="963CBFC0"/>
    <w:multiLevelType w:val="singleLevel"/>
    <w:tmpl w:val="963CBFC0"/>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6">
    <w:nsid w:val="A0D36AA4"/>
    <w:multiLevelType w:val="singleLevel"/>
    <w:tmpl w:val="A0D36AA4"/>
    <w:lvl w:ilvl="0" w:tentative="0">
      <w:start w:val="1"/>
      <w:numFmt w:val="decimal"/>
      <w:suff w:val="nothing"/>
      <w:lvlText w:val="%1．"/>
      <w:lvlJc w:val="left"/>
      <w:pPr>
        <w:ind w:left="0" w:firstLine="400"/>
      </w:pPr>
      <w:rPr>
        <w:rFonts w:hint="default"/>
      </w:rPr>
    </w:lvl>
  </w:abstractNum>
  <w:abstractNum w:abstractNumId="7">
    <w:nsid w:val="A0F7CB26"/>
    <w:multiLevelType w:val="singleLevel"/>
    <w:tmpl w:val="A0F7CB26"/>
    <w:lvl w:ilvl="0" w:tentative="0">
      <w:start w:val="1"/>
      <w:numFmt w:val="decimal"/>
      <w:suff w:val="nothing"/>
      <w:lvlText w:val="%1．"/>
      <w:lvlJc w:val="left"/>
      <w:pPr>
        <w:ind w:left="0" w:firstLine="400"/>
      </w:pPr>
      <w:rPr>
        <w:rFonts w:hint="default"/>
      </w:rPr>
    </w:lvl>
  </w:abstractNum>
  <w:abstractNum w:abstractNumId="8">
    <w:nsid w:val="A1E7AD11"/>
    <w:multiLevelType w:val="singleLevel"/>
    <w:tmpl w:val="A1E7AD11"/>
    <w:lvl w:ilvl="0" w:tentative="0">
      <w:start w:val="1"/>
      <w:numFmt w:val="chineseCounting"/>
      <w:suff w:val="nothing"/>
      <w:lvlText w:val="（%1）"/>
      <w:lvlJc w:val="left"/>
      <w:pPr>
        <w:ind w:left="0" w:firstLine="420"/>
      </w:pPr>
      <w:rPr>
        <w:rFonts w:hint="eastAsia"/>
      </w:rPr>
    </w:lvl>
  </w:abstractNum>
  <w:abstractNum w:abstractNumId="9">
    <w:nsid w:val="A37367D0"/>
    <w:multiLevelType w:val="singleLevel"/>
    <w:tmpl w:val="A37367D0"/>
    <w:lvl w:ilvl="0" w:tentative="0">
      <w:start w:val="1"/>
      <w:numFmt w:val="chineseCounting"/>
      <w:suff w:val="nothing"/>
      <w:lvlText w:val="（%1）"/>
      <w:lvlJc w:val="left"/>
      <w:pPr>
        <w:ind w:left="0" w:firstLine="420"/>
      </w:pPr>
      <w:rPr>
        <w:rFonts w:hint="eastAsia"/>
      </w:rPr>
    </w:lvl>
  </w:abstractNum>
  <w:abstractNum w:abstractNumId="10">
    <w:nsid w:val="A7D446B1"/>
    <w:multiLevelType w:val="singleLevel"/>
    <w:tmpl w:val="A7D446B1"/>
    <w:lvl w:ilvl="0" w:tentative="0">
      <w:start w:val="1"/>
      <w:numFmt w:val="chineseCounting"/>
      <w:suff w:val="nothing"/>
      <w:lvlText w:val="（%1）"/>
      <w:lvlJc w:val="left"/>
      <w:pPr>
        <w:ind w:left="0" w:firstLine="420"/>
      </w:pPr>
      <w:rPr>
        <w:rFonts w:hint="eastAsia"/>
      </w:rPr>
    </w:lvl>
  </w:abstractNum>
  <w:abstractNum w:abstractNumId="11">
    <w:nsid w:val="A98A76F2"/>
    <w:multiLevelType w:val="singleLevel"/>
    <w:tmpl w:val="A98A76F2"/>
    <w:lvl w:ilvl="0" w:tentative="0">
      <w:start w:val="1"/>
      <w:numFmt w:val="chineseCounting"/>
      <w:suff w:val="nothing"/>
      <w:lvlText w:val="（%1）"/>
      <w:lvlJc w:val="left"/>
      <w:pPr>
        <w:ind w:left="0" w:firstLine="420"/>
      </w:pPr>
      <w:rPr>
        <w:rFonts w:hint="eastAsia"/>
      </w:rPr>
    </w:lvl>
  </w:abstractNum>
  <w:abstractNum w:abstractNumId="12">
    <w:nsid w:val="ADAC7E09"/>
    <w:multiLevelType w:val="singleLevel"/>
    <w:tmpl w:val="ADAC7E09"/>
    <w:lvl w:ilvl="0" w:tentative="0">
      <w:start w:val="1"/>
      <w:numFmt w:val="chineseCounting"/>
      <w:suff w:val="nothing"/>
      <w:lvlText w:val="（%1）"/>
      <w:lvlJc w:val="left"/>
      <w:pPr>
        <w:ind w:left="0" w:firstLine="420"/>
      </w:pPr>
      <w:rPr>
        <w:rFonts w:hint="eastAsia"/>
      </w:rPr>
    </w:lvl>
  </w:abstractNum>
  <w:abstractNum w:abstractNumId="13">
    <w:nsid w:val="B33BECA7"/>
    <w:multiLevelType w:val="singleLevel"/>
    <w:tmpl w:val="B33BECA7"/>
    <w:lvl w:ilvl="0" w:tentative="0">
      <w:start w:val="1"/>
      <w:numFmt w:val="decimal"/>
      <w:suff w:val="nothing"/>
      <w:lvlText w:val="%1．"/>
      <w:lvlJc w:val="left"/>
      <w:pPr>
        <w:ind w:left="0" w:firstLine="400"/>
      </w:pPr>
      <w:rPr>
        <w:rFonts w:hint="default"/>
      </w:rPr>
    </w:lvl>
  </w:abstractNum>
  <w:abstractNum w:abstractNumId="14">
    <w:nsid w:val="BC925506"/>
    <w:multiLevelType w:val="singleLevel"/>
    <w:tmpl w:val="BC925506"/>
    <w:lvl w:ilvl="0" w:tentative="0">
      <w:start w:val="1"/>
      <w:numFmt w:val="chineseCounting"/>
      <w:suff w:val="nothing"/>
      <w:lvlText w:val="（%1）"/>
      <w:lvlJc w:val="left"/>
      <w:pPr>
        <w:ind w:left="0" w:firstLine="420"/>
      </w:pPr>
      <w:rPr>
        <w:rFonts w:hint="eastAsia"/>
      </w:rPr>
    </w:lvl>
  </w:abstractNum>
  <w:abstractNum w:abstractNumId="15">
    <w:nsid w:val="C0E2DE5D"/>
    <w:multiLevelType w:val="singleLevel"/>
    <w:tmpl w:val="C0E2DE5D"/>
    <w:lvl w:ilvl="0" w:tentative="0">
      <w:start w:val="1"/>
      <w:numFmt w:val="chineseCounting"/>
      <w:suff w:val="nothing"/>
      <w:lvlText w:val="（%1）"/>
      <w:lvlJc w:val="left"/>
      <w:pPr>
        <w:ind w:left="0" w:firstLine="420"/>
      </w:pPr>
      <w:rPr>
        <w:rFonts w:hint="eastAsia"/>
      </w:rPr>
    </w:lvl>
  </w:abstractNum>
  <w:abstractNum w:abstractNumId="16">
    <w:nsid w:val="C7371701"/>
    <w:multiLevelType w:val="singleLevel"/>
    <w:tmpl w:val="C7371701"/>
    <w:lvl w:ilvl="0" w:tentative="0">
      <w:start w:val="1"/>
      <w:numFmt w:val="decimal"/>
      <w:suff w:val="nothing"/>
      <w:lvlText w:val="%1．"/>
      <w:lvlJc w:val="left"/>
      <w:pPr>
        <w:ind w:left="0" w:firstLine="400"/>
      </w:pPr>
      <w:rPr>
        <w:rFonts w:hint="default"/>
      </w:rPr>
    </w:lvl>
  </w:abstractNum>
  <w:abstractNum w:abstractNumId="17">
    <w:nsid w:val="C904380F"/>
    <w:multiLevelType w:val="singleLevel"/>
    <w:tmpl w:val="C904380F"/>
    <w:lvl w:ilvl="0" w:tentative="0">
      <w:start w:val="1"/>
      <w:numFmt w:val="decimalEnclosedCircleChinese"/>
      <w:suff w:val="nothing"/>
      <w:lvlText w:val="%1　"/>
      <w:lvlJc w:val="left"/>
      <w:pPr>
        <w:ind w:left="0" w:firstLine="400"/>
      </w:pPr>
      <w:rPr>
        <w:rFonts w:hint="eastAsia"/>
      </w:rPr>
    </w:lvl>
  </w:abstractNum>
  <w:abstractNum w:abstractNumId="18">
    <w:nsid w:val="CAFA28A2"/>
    <w:multiLevelType w:val="singleLevel"/>
    <w:tmpl w:val="CAFA28A2"/>
    <w:lvl w:ilvl="0" w:tentative="0">
      <w:start w:val="1"/>
      <w:numFmt w:val="chineseCounting"/>
      <w:suff w:val="nothing"/>
      <w:lvlText w:val="（%1）"/>
      <w:lvlJc w:val="left"/>
      <w:pPr>
        <w:ind w:left="0" w:firstLine="420"/>
      </w:pPr>
      <w:rPr>
        <w:rFonts w:hint="eastAsia"/>
      </w:rPr>
    </w:lvl>
  </w:abstractNum>
  <w:abstractNum w:abstractNumId="19">
    <w:nsid w:val="CC4F6965"/>
    <w:multiLevelType w:val="singleLevel"/>
    <w:tmpl w:val="CC4F6965"/>
    <w:lvl w:ilvl="0" w:tentative="0">
      <w:start w:val="1"/>
      <w:numFmt w:val="chineseCounting"/>
      <w:suff w:val="nothing"/>
      <w:lvlText w:val="（%1）"/>
      <w:lvlJc w:val="left"/>
      <w:pPr>
        <w:ind w:left="0" w:firstLine="420"/>
      </w:pPr>
      <w:rPr>
        <w:rFonts w:hint="eastAsia"/>
      </w:rPr>
    </w:lvl>
  </w:abstractNum>
  <w:abstractNum w:abstractNumId="20">
    <w:nsid w:val="CC5C2251"/>
    <w:multiLevelType w:val="singleLevel"/>
    <w:tmpl w:val="CC5C2251"/>
    <w:lvl w:ilvl="0" w:tentative="0">
      <w:start w:val="1"/>
      <w:numFmt w:val="decimal"/>
      <w:suff w:val="nothing"/>
      <w:lvlText w:val="%1．"/>
      <w:lvlJc w:val="left"/>
      <w:pPr>
        <w:ind w:left="0" w:firstLine="400"/>
      </w:pPr>
      <w:rPr>
        <w:rFonts w:hint="default"/>
      </w:rPr>
    </w:lvl>
  </w:abstractNum>
  <w:abstractNum w:abstractNumId="21">
    <w:nsid w:val="DF3B772E"/>
    <w:multiLevelType w:val="singleLevel"/>
    <w:tmpl w:val="DF3B772E"/>
    <w:lvl w:ilvl="0" w:tentative="0">
      <w:start w:val="1"/>
      <w:numFmt w:val="decimalEnclosedCircleChinese"/>
      <w:suff w:val="nothing"/>
      <w:lvlText w:val="%1　"/>
      <w:lvlJc w:val="left"/>
      <w:pPr>
        <w:ind w:left="0" w:firstLine="400"/>
      </w:pPr>
      <w:rPr>
        <w:rFonts w:hint="eastAsia"/>
      </w:rPr>
    </w:lvl>
  </w:abstractNum>
  <w:abstractNum w:abstractNumId="22">
    <w:nsid w:val="E08CE0FA"/>
    <w:multiLevelType w:val="singleLevel"/>
    <w:tmpl w:val="E08CE0FA"/>
    <w:lvl w:ilvl="0" w:tentative="0">
      <w:start w:val="1"/>
      <w:numFmt w:val="decimal"/>
      <w:suff w:val="nothing"/>
      <w:lvlText w:val="%1．"/>
      <w:lvlJc w:val="left"/>
      <w:pPr>
        <w:ind w:left="0" w:firstLine="400"/>
      </w:pPr>
      <w:rPr>
        <w:rFonts w:hint="default"/>
      </w:rPr>
    </w:lvl>
  </w:abstractNum>
  <w:abstractNum w:abstractNumId="23">
    <w:nsid w:val="E60EC428"/>
    <w:multiLevelType w:val="singleLevel"/>
    <w:tmpl w:val="E60EC428"/>
    <w:lvl w:ilvl="0" w:tentative="0">
      <w:start w:val="1"/>
      <w:numFmt w:val="decimal"/>
      <w:suff w:val="nothing"/>
      <w:lvlText w:val="%1．"/>
      <w:lvlJc w:val="left"/>
      <w:pPr>
        <w:ind w:left="0" w:firstLine="400"/>
      </w:pPr>
      <w:rPr>
        <w:rFonts w:hint="default"/>
      </w:rPr>
    </w:lvl>
  </w:abstractNum>
  <w:abstractNum w:abstractNumId="24">
    <w:nsid w:val="E7171C12"/>
    <w:multiLevelType w:val="singleLevel"/>
    <w:tmpl w:val="E7171C12"/>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5">
    <w:nsid w:val="EA117F7F"/>
    <w:multiLevelType w:val="singleLevel"/>
    <w:tmpl w:val="EA117F7F"/>
    <w:lvl w:ilvl="0" w:tentative="0">
      <w:start w:val="1"/>
      <w:numFmt w:val="decimal"/>
      <w:suff w:val="nothing"/>
      <w:lvlText w:val="%1．"/>
      <w:lvlJc w:val="left"/>
      <w:pPr>
        <w:ind w:left="0" w:firstLine="400"/>
      </w:pPr>
      <w:rPr>
        <w:rFonts w:hint="default"/>
      </w:rPr>
    </w:lvl>
  </w:abstractNum>
  <w:abstractNum w:abstractNumId="26">
    <w:nsid w:val="EDF71254"/>
    <w:multiLevelType w:val="singleLevel"/>
    <w:tmpl w:val="EDF71254"/>
    <w:lvl w:ilvl="0" w:tentative="0">
      <w:start w:val="1"/>
      <w:numFmt w:val="chineseCounting"/>
      <w:suff w:val="nothing"/>
      <w:lvlText w:val="%1、"/>
      <w:lvlJc w:val="left"/>
      <w:pPr>
        <w:ind w:left="0" w:firstLine="420"/>
      </w:pPr>
      <w:rPr>
        <w:rFonts w:hint="eastAsia"/>
      </w:rPr>
    </w:lvl>
  </w:abstractNum>
  <w:abstractNum w:abstractNumId="27">
    <w:nsid w:val="F5530398"/>
    <w:multiLevelType w:val="singleLevel"/>
    <w:tmpl w:val="F5530398"/>
    <w:lvl w:ilvl="0" w:tentative="0">
      <w:start w:val="1"/>
      <w:numFmt w:val="decimal"/>
      <w:suff w:val="nothing"/>
      <w:lvlText w:val="%1．"/>
      <w:lvlJc w:val="left"/>
      <w:pPr>
        <w:ind w:left="0" w:firstLine="400"/>
      </w:pPr>
      <w:rPr>
        <w:rFonts w:hint="default"/>
      </w:rPr>
    </w:lvl>
  </w:abstractNum>
  <w:abstractNum w:abstractNumId="28">
    <w:nsid w:val="F5B787D2"/>
    <w:multiLevelType w:val="singleLevel"/>
    <w:tmpl w:val="F5B787D2"/>
    <w:lvl w:ilvl="0" w:tentative="0">
      <w:start w:val="1"/>
      <w:numFmt w:val="decimal"/>
      <w:suff w:val="nothing"/>
      <w:lvlText w:val="%1．"/>
      <w:lvlJc w:val="left"/>
      <w:pPr>
        <w:ind w:left="0" w:firstLine="400"/>
      </w:pPr>
      <w:rPr>
        <w:rFonts w:hint="default"/>
      </w:rPr>
    </w:lvl>
  </w:abstractNum>
  <w:abstractNum w:abstractNumId="29">
    <w:nsid w:val="F71EEF14"/>
    <w:multiLevelType w:val="singleLevel"/>
    <w:tmpl w:val="F71EEF14"/>
    <w:lvl w:ilvl="0" w:tentative="0">
      <w:start w:val="1"/>
      <w:numFmt w:val="chineseCounting"/>
      <w:suff w:val="nothing"/>
      <w:lvlText w:val="%1、"/>
      <w:lvlJc w:val="left"/>
      <w:pPr>
        <w:ind w:left="0" w:firstLine="420"/>
      </w:pPr>
      <w:rPr>
        <w:rFonts w:hint="eastAsia"/>
      </w:rPr>
    </w:lvl>
  </w:abstractNum>
  <w:abstractNum w:abstractNumId="30">
    <w:nsid w:val="F7E0D11C"/>
    <w:multiLevelType w:val="singleLevel"/>
    <w:tmpl w:val="F7E0D11C"/>
    <w:lvl w:ilvl="0" w:tentative="0">
      <w:start w:val="1"/>
      <w:numFmt w:val="decimal"/>
      <w:suff w:val="nothing"/>
      <w:lvlText w:val="%1．"/>
      <w:lvlJc w:val="left"/>
      <w:pPr>
        <w:ind w:left="0" w:firstLine="400"/>
      </w:pPr>
      <w:rPr>
        <w:rFonts w:hint="default"/>
      </w:rPr>
    </w:lvl>
  </w:abstractNum>
  <w:abstractNum w:abstractNumId="31">
    <w:nsid w:val="FB57CA79"/>
    <w:multiLevelType w:val="singleLevel"/>
    <w:tmpl w:val="FB57CA79"/>
    <w:lvl w:ilvl="0" w:tentative="0">
      <w:start w:val="1"/>
      <w:numFmt w:val="decimal"/>
      <w:lvlText w:val="%1)"/>
      <w:lvlJc w:val="left"/>
      <w:pPr>
        <w:tabs>
          <w:tab w:val="left" w:pos="420"/>
        </w:tabs>
        <w:ind w:left="845" w:hanging="425"/>
      </w:pPr>
      <w:rPr>
        <w:rFonts w:hint="default"/>
      </w:rPr>
    </w:lvl>
  </w:abstractNum>
  <w:abstractNum w:abstractNumId="32">
    <w:nsid w:val="FCE6C46F"/>
    <w:multiLevelType w:val="singleLevel"/>
    <w:tmpl w:val="FCE6C46F"/>
    <w:lvl w:ilvl="0" w:tentative="0">
      <w:start w:val="1"/>
      <w:numFmt w:val="decimal"/>
      <w:suff w:val="nothing"/>
      <w:lvlText w:val="%1．"/>
      <w:lvlJc w:val="left"/>
      <w:pPr>
        <w:ind w:left="0" w:firstLine="400"/>
      </w:pPr>
      <w:rPr>
        <w:rFonts w:hint="default"/>
      </w:rPr>
    </w:lvl>
  </w:abstractNum>
  <w:abstractNum w:abstractNumId="33">
    <w:nsid w:val="FE8FAF44"/>
    <w:multiLevelType w:val="singleLevel"/>
    <w:tmpl w:val="FE8FAF44"/>
    <w:lvl w:ilvl="0" w:tentative="0">
      <w:start w:val="1"/>
      <w:numFmt w:val="chineseCounting"/>
      <w:suff w:val="nothing"/>
      <w:lvlText w:val="（%1）"/>
      <w:lvlJc w:val="left"/>
      <w:pPr>
        <w:ind w:left="0" w:firstLine="420"/>
      </w:pPr>
      <w:rPr>
        <w:rFonts w:hint="eastAsia"/>
      </w:rPr>
    </w:lvl>
  </w:abstractNum>
  <w:abstractNum w:abstractNumId="34">
    <w:nsid w:val="0456069E"/>
    <w:multiLevelType w:val="singleLevel"/>
    <w:tmpl w:val="0456069E"/>
    <w:lvl w:ilvl="0" w:tentative="0">
      <w:start w:val="1"/>
      <w:numFmt w:val="decimalEnclosedCircleChinese"/>
      <w:suff w:val="nothing"/>
      <w:lvlText w:val="%1　"/>
      <w:lvlJc w:val="left"/>
      <w:pPr>
        <w:ind w:left="0" w:firstLine="400"/>
      </w:pPr>
      <w:rPr>
        <w:rFonts w:hint="eastAsia"/>
      </w:rPr>
    </w:lvl>
  </w:abstractNum>
  <w:abstractNum w:abstractNumId="35">
    <w:nsid w:val="04A5EB8F"/>
    <w:multiLevelType w:val="singleLevel"/>
    <w:tmpl w:val="04A5EB8F"/>
    <w:lvl w:ilvl="0" w:tentative="0">
      <w:start w:val="1"/>
      <w:numFmt w:val="decimal"/>
      <w:suff w:val="nothing"/>
      <w:lvlText w:val="%1．"/>
      <w:lvlJc w:val="left"/>
      <w:pPr>
        <w:ind w:left="0" w:firstLine="400"/>
      </w:pPr>
      <w:rPr>
        <w:rFonts w:hint="default"/>
      </w:rPr>
    </w:lvl>
  </w:abstractNum>
  <w:abstractNum w:abstractNumId="36">
    <w:nsid w:val="0645AE4C"/>
    <w:multiLevelType w:val="singleLevel"/>
    <w:tmpl w:val="0645AE4C"/>
    <w:lvl w:ilvl="0" w:tentative="0">
      <w:start w:val="1"/>
      <w:numFmt w:val="decimal"/>
      <w:suff w:val="nothing"/>
      <w:lvlText w:val="%1．"/>
      <w:lvlJc w:val="left"/>
      <w:pPr>
        <w:ind w:left="0" w:firstLine="400"/>
      </w:pPr>
      <w:rPr>
        <w:rFonts w:hint="default"/>
      </w:rPr>
    </w:lvl>
  </w:abstractNum>
  <w:abstractNum w:abstractNumId="37">
    <w:nsid w:val="091C3C3D"/>
    <w:multiLevelType w:val="singleLevel"/>
    <w:tmpl w:val="091C3C3D"/>
    <w:lvl w:ilvl="0" w:tentative="0">
      <w:start w:val="1"/>
      <w:numFmt w:val="chineseCounting"/>
      <w:suff w:val="nothing"/>
      <w:lvlText w:val="（%1）"/>
      <w:lvlJc w:val="left"/>
      <w:pPr>
        <w:ind w:left="0" w:firstLine="420"/>
      </w:pPr>
      <w:rPr>
        <w:rFonts w:hint="eastAsia"/>
      </w:rPr>
    </w:lvl>
  </w:abstractNum>
  <w:abstractNum w:abstractNumId="38">
    <w:nsid w:val="0C5798B9"/>
    <w:multiLevelType w:val="singleLevel"/>
    <w:tmpl w:val="0C5798B9"/>
    <w:lvl w:ilvl="0" w:tentative="0">
      <w:start w:val="1"/>
      <w:numFmt w:val="decimal"/>
      <w:suff w:val="nothing"/>
      <w:lvlText w:val="%1．"/>
      <w:lvlJc w:val="left"/>
      <w:pPr>
        <w:ind w:left="0" w:firstLine="400"/>
      </w:pPr>
      <w:rPr>
        <w:rFonts w:hint="default"/>
      </w:rPr>
    </w:lvl>
  </w:abstractNum>
  <w:abstractNum w:abstractNumId="39">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40">
    <w:nsid w:val="0F7EBE18"/>
    <w:multiLevelType w:val="singleLevel"/>
    <w:tmpl w:val="0F7EBE18"/>
    <w:lvl w:ilvl="0" w:tentative="0">
      <w:start w:val="1"/>
      <w:numFmt w:val="decimal"/>
      <w:suff w:val="nothing"/>
      <w:lvlText w:val="(%1)"/>
      <w:lvlJc w:val="left"/>
      <w:pPr>
        <w:ind w:left="0" w:leftChars="0" w:firstLine="40" w:firstLineChars="0"/>
      </w:pPr>
      <w:rPr>
        <w:rFonts w:hint="default"/>
      </w:rPr>
    </w:lvl>
  </w:abstractNum>
  <w:abstractNum w:abstractNumId="41">
    <w:nsid w:val="1455207D"/>
    <w:multiLevelType w:val="singleLevel"/>
    <w:tmpl w:val="1455207D"/>
    <w:lvl w:ilvl="0" w:tentative="0">
      <w:start w:val="1"/>
      <w:numFmt w:val="decimal"/>
      <w:suff w:val="nothing"/>
      <w:lvlText w:val="(%1)"/>
      <w:lvlJc w:val="left"/>
      <w:pPr>
        <w:ind w:left="0" w:leftChars="0" w:firstLine="40" w:firstLineChars="0"/>
      </w:pPr>
      <w:rPr>
        <w:rFonts w:hint="default"/>
      </w:rPr>
    </w:lvl>
  </w:abstractNum>
  <w:abstractNum w:abstractNumId="42">
    <w:nsid w:val="14F6629A"/>
    <w:multiLevelType w:val="singleLevel"/>
    <w:tmpl w:val="14F6629A"/>
    <w:lvl w:ilvl="0" w:tentative="0">
      <w:start w:val="1"/>
      <w:numFmt w:val="chineseCounting"/>
      <w:suff w:val="nothing"/>
      <w:lvlText w:val="（%1）"/>
      <w:lvlJc w:val="left"/>
      <w:pPr>
        <w:ind w:left="0" w:firstLine="420"/>
      </w:pPr>
      <w:rPr>
        <w:rFonts w:hint="eastAsia"/>
      </w:rPr>
    </w:lvl>
  </w:abstractNum>
  <w:abstractNum w:abstractNumId="43">
    <w:nsid w:val="191414F2"/>
    <w:multiLevelType w:val="singleLevel"/>
    <w:tmpl w:val="191414F2"/>
    <w:lvl w:ilvl="0" w:tentative="0">
      <w:start w:val="1"/>
      <w:numFmt w:val="chineseCounting"/>
      <w:suff w:val="nothing"/>
      <w:lvlText w:val="（%1）"/>
      <w:lvlJc w:val="left"/>
      <w:pPr>
        <w:ind w:left="0" w:firstLine="420"/>
      </w:pPr>
      <w:rPr>
        <w:rFonts w:hint="eastAsia"/>
      </w:rPr>
    </w:lvl>
  </w:abstractNum>
  <w:abstractNum w:abstractNumId="44">
    <w:nsid w:val="1C2430D3"/>
    <w:multiLevelType w:val="singleLevel"/>
    <w:tmpl w:val="1C2430D3"/>
    <w:lvl w:ilvl="0" w:tentative="0">
      <w:start w:val="1"/>
      <w:numFmt w:val="decimalEnclosedCircleChinese"/>
      <w:suff w:val="nothing"/>
      <w:lvlText w:val="%1　"/>
      <w:lvlJc w:val="left"/>
      <w:pPr>
        <w:ind w:left="0" w:firstLine="400"/>
      </w:pPr>
      <w:rPr>
        <w:rFonts w:hint="eastAsia"/>
      </w:rPr>
    </w:lvl>
  </w:abstractNum>
  <w:abstractNum w:abstractNumId="45">
    <w:nsid w:val="23BC29DC"/>
    <w:multiLevelType w:val="singleLevel"/>
    <w:tmpl w:val="23BC29DC"/>
    <w:lvl w:ilvl="0" w:tentative="0">
      <w:start w:val="1"/>
      <w:numFmt w:val="decimal"/>
      <w:suff w:val="nothing"/>
      <w:lvlText w:val="%1．"/>
      <w:lvlJc w:val="left"/>
      <w:pPr>
        <w:ind w:left="0" w:firstLine="400"/>
      </w:pPr>
      <w:rPr>
        <w:rFonts w:hint="default"/>
      </w:rPr>
    </w:lvl>
  </w:abstractNum>
  <w:abstractNum w:abstractNumId="46">
    <w:nsid w:val="27175640"/>
    <w:multiLevelType w:val="singleLevel"/>
    <w:tmpl w:val="27175640"/>
    <w:lvl w:ilvl="0" w:tentative="0">
      <w:start w:val="1"/>
      <w:numFmt w:val="decimal"/>
      <w:suff w:val="nothing"/>
      <w:lvlText w:val="%1．"/>
      <w:lvlJc w:val="left"/>
      <w:pPr>
        <w:ind w:left="0" w:firstLine="400"/>
      </w:pPr>
      <w:rPr>
        <w:rFonts w:hint="default"/>
      </w:rPr>
    </w:lvl>
  </w:abstractNum>
  <w:abstractNum w:abstractNumId="47">
    <w:nsid w:val="2858AF0A"/>
    <w:multiLevelType w:val="singleLevel"/>
    <w:tmpl w:val="2858AF0A"/>
    <w:lvl w:ilvl="0" w:tentative="0">
      <w:start w:val="1"/>
      <w:numFmt w:val="decimal"/>
      <w:suff w:val="nothing"/>
      <w:lvlText w:val="%1．"/>
      <w:lvlJc w:val="left"/>
      <w:pPr>
        <w:ind w:left="0" w:firstLine="400"/>
      </w:pPr>
      <w:rPr>
        <w:rFonts w:hint="default"/>
      </w:rPr>
    </w:lvl>
  </w:abstractNum>
  <w:abstractNum w:abstractNumId="48">
    <w:nsid w:val="28DE95A7"/>
    <w:multiLevelType w:val="singleLevel"/>
    <w:tmpl w:val="28DE95A7"/>
    <w:lvl w:ilvl="0" w:tentative="0">
      <w:start w:val="1"/>
      <w:numFmt w:val="decimal"/>
      <w:suff w:val="nothing"/>
      <w:lvlText w:val="(%1)"/>
      <w:lvlJc w:val="left"/>
      <w:pPr>
        <w:ind w:left="0" w:leftChars="0" w:firstLine="40" w:firstLineChars="0"/>
      </w:pPr>
      <w:rPr>
        <w:rFonts w:hint="default"/>
      </w:rPr>
    </w:lvl>
  </w:abstractNum>
  <w:abstractNum w:abstractNumId="49">
    <w:nsid w:val="2F745631"/>
    <w:multiLevelType w:val="singleLevel"/>
    <w:tmpl w:val="2F745631"/>
    <w:lvl w:ilvl="0" w:tentative="0">
      <w:start w:val="1"/>
      <w:numFmt w:val="chineseCounting"/>
      <w:suff w:val="nothing"/>
      <w:lvlText w:val="（%1）"/>
      <w:lvlJc w:val="left"/>
      <w:pPr>
        <w:ind w:left="0" w:firstLine="420"/>
      </w:pPr>
      <w:rPr>
        <w:rFonts w:hint="eastAsia"/>
      </w:rPr>
    </w:lvl>
  </w:abstractNum>
  <w:abstractNum w:abstractNumId="50">
    <w:nsid w:val="32900E2B"/>
    <w:multiLevelType w:val="singleLevel"/>
    <w:tmpl w:val="32900E2B"/>
    <w:lvl w:ilvl="0" w:tentative="0">
      <w:start w:val="1"/>
      <w:numFmt w:val="decimal"/>
      <w:lvlText w:val="%1)"/>
      <w:lvlJc w:val="left"/>
      <w:pPr>
        <w:ind w:left="425" w:hanging="425"/>
      </w:pPr>
      <w:rPr>
        <w:rFonts w:hint="default"/>
      </w:rPr>
    </w:lvl>
  </w:abstractNum>
  <w:abstractNum w:abstractNumId="51">
    <w:nsid w:val="33A48DD8"/>
    <w:multiLevelType w:val="singleLevel"/>
    <w:tmpl w:val="33A48DD8"/>
    <w:lvl w:ilvl="0" w:tentative="0">
      <w:start w:val="1"/>
      <w:numFmt w:val="decimal"/>
      <w:suff w:val="nothing"/>
      <w:lvlText w:val="%1．"/>
      <w:lvlJc w:val="left"/>
      <w:pPr>
        <w:ind w:left="0" w:firstLine="400"/>
      </w:pPr>
      <w:rPr>
        <w:rFonts w:hint="default"/>
      </w:rPr>
    </w:lvl>
  </w:abstractNum>
  <w:abstractNum w:abstractNumId="52">
    <w:nsid w:val="34C23DC5"/>
    <w:multiLevelType w:val="singleLevel"/>
    <w:tmpl w:val="34C23DC5"/>
    <w:lvl w:ilvl="0" w:tentative="0">
      <w:start w:val="1"/>
      <w:numFmt w:val="chineseCounting"/>
      <w:suff w:val="nothing"/>
      <w:lvlText w:val="（%1）"/>
      <w:lvlJc w:val="left"/>
      <w:pPr>
        <w:ind w:left="0" w:firstLine="420"/>
      </w:pPr>
      <w:rPr>
        <w:rFonts w:hint="eastAsia"/>
      </w:rPr>
    </w:lvl>
  </w:abstractNum>
  <w:abstractNum w:abstractNumId="53">
    <w:nsid w:val="3555AA31"/>
    <w:multiLevelType w:val="singleLevel"/>
    <w:tmpl w:val="3555AA31"/>
    <w:lvl w:ilvl="0" w:tentative="0">
      <w:start w:val="1"/>
      <w:numFmt w:val="chineseCounting"/>
      <w:suff w:val="nothing"/>
      <w:lvlText w:val="（%1）"/>
      <w:lvlJc w:val="left"/>
      <w:pPr>
        <w:ind w:left="0" w:firstLine="420"/>
      </w:pPr>
      <w:rPr>
        <w:rFonts w:hint="eastAsia"/>
      </w:rPr>
    </w:lvl>
  </w:abstractNum>
  <w:abstractNum w:abstractNumId="54">
    <w:nsid w:val="36F86883"/>
    <w:multiLevelType w:val="singleLevel"/>
    <w:tmpl w:val="36F86883"/>
    <w:lvl w:ilvl="0" w:tentative="0">
      <w:start w:val="1"/>
      <w:numFmt w:val="decimal"/>
      <w:suff w:val="nothing"/>
      <w:lvlText w:val="%1．"/>
      <w:lvlJc w:val="left"/>
      <w:pPr>
        <w:ind w:left="0" w:firstLine="400"/>
      </w:pPr>
      <w:rPr>
        <w:rFonts w:hint="default"/>
      </w:rPr>
    </w:lvl>
  </w:abstractNum>
  <w:abstractNum w:abstractNumId="55">
    <w:nsid w:val="42320B34"/>
    <w:multiLevelType w:val="singleLevel"/>
    <w:tmpl w:val="42320B34"/>
    <w:lvl w:ilvl="0" w:tentative="0">
      <w:start w:val="1"/>
      <w:numFmt w:val="decimal"/>
      <w:lvlText w:val="%1)"/>
      <w:lvlJc w:val="left"/>
      <w:pPr>
        <w:tabs>
          <w:tab w:val="left" w:pos="420"/>
        </w:tabs>
        <w:ind w:left="845" w:hanging="425"/>
      </w:pPr>
      <w:rPr>
        <w:rFonts w:hint="default"/>
      </w:rPr>
    </w:lvl>
  </w:abstractNum>
  <w:abstractNum w:abstractNumId="56">
    <w:nsid w:val="44169477"/>
    <w:multiLevelType w:val="singleLevel"/>
    <w:tmpl w:val="44169477"/>
    <w:lvl w:ilvl="0" w:tentative="0">
      <w:start w:val="1"/>
      <w:numFmt w:val="chineseCounting"/>
      <w:suff w:val="nothing"/>
      <w:lvlText w:val="（%1）"/>
      <w:lvlJc w:val="left"/>
      <w:pPr>
        <w:ind w:left="0" w:firstLine="420"/>
      </w:pPr>
      <w:rPr>
        <w:rFonts w:hint="eastAsia"/>
      </w:rPr>
    </w:lvl>
  </w:abstractNum>
  <w:abstractNum w:abstractNumId="57">
    <w:nsid w:val="461E5E94"/>
    <w:multiLevelType w:val="singleLevel"/>
    <w:tmpl w:val="461E5E94"/>
    <w:lvl w:ilvl="0" w:tentative="0">
      <w:start w:val="2"/>
      <w:numFmt w:val="chineseCounting"/>
      <w:suff w:val="space"/>
      <w:lvlText w:val="第%1章"/>
      <w:lvlJc w:val="left"/>
      <w:rPr>
        <w:rFonts w:hint="eastAsia"/>
      </w:rPr>
    </w:lvl>
  </w:abstractNum>
  <w:abstractNum w:abstractNumId="58">
    <w:nsid w:val="48E74FCB"/>
    <w:multiLevelType w:val="singleLevel"/>
    <w:tmpl w:val="48E74FCB"/>
    <w:lvl w:ilvl="0" w:tentative="0">
      <w:start w:val="1"/>
      <w:numFmt w:val="chineseCounting"/>
      <w:suff w:val="nothing"/>
      <w:lvlText w:val="%1、"/>
      <w:lvlJc w:val="left"/>
      <w:pPr>
        <w:ind w:left="0" w:firstLine="420"/>
      </w:pPr>
      <w:rPr>
        <w:rFonts w:hint="eastAsia"/>
      </w:rPr>
    </w:lvl>
  </w:abstractNum>
  <w:abstractNum w:abstractNumId="59">
    <w:nsid w:val="4A792D76"/>
    <w:multiLevelType w:val="singleLevel"/>
    <w:tmpl w:val="4A792D76"/>
    <w:lvl w:ilvl="0" w:tentative="0">
      <w:start w:val="1"/>
      <w:numFmt w:val="decimal"/>
      <w:suff w:val="nothing"/>
      <w:lvlText w:val="%1．"/>
      <w:lvlJc w:val="left"/>
      <w:pPr>
        <w:ind w:left="0" w:firstLine="400"/>
      </w:pPr>
      <w:rPr>
        <w:rFonts w:hint="default"/>
      </w:rPr>
    </w:lvl>
  </w:abstractNum>
  <w:abstractNum w:abstractNumId="60">
    <w:nsid w:val="4B04AE06"/>
    <w:multiLevelType w:val="singleLevel"/>
    <w:tmpl w:val="4B04AE06"/>
    <w:lvl w:ilvl="0" w:tentative="0">
      <w:start w:val="1"/>
      <w:numFmt w:val="decimal"/>
      <w:suff w:val="nothing"/>
      <w:lvlText w:val="%1．"/>
      <w:lvlJc w:val="left"/>
      <w:pPr>
        <w:ind w:left="0" w:firstLine="400"/>
      </w:pPr>
      <w:rPr>
        <w:rFonts w:hint="default"/>
      </w:rPr>
    </w:lvl>
  </w:abstractNum>
  <w:abstractNum w:abstractNumId="61">
    <w:nsid w:val="5391F251"/>
    <w:multiLevelType w:val="singleLevel"/>
    <w:tmpl w:val="5391F251"/>
    <w:lvl w:ilvl="0" w:tentative="0">
      <w:start w:val="1"/>
      <w:numFmt w:val="decimal"/>
      <w:suff w:val="nothing"/>
      <w:lvlText w:val="%1．"/>
      <w:lvlJc w:val="left"/>
      <w:pPr>
        <w:ind w:left="0" w:firstLine="400"/>
      </w:pPr>
      <w:rPr>
        <w:rFonts w:hint="default"/>
      </w:rPr>
    </w:lvl>
  </w:abstractNum>
  <w:abstractNum w:abstractNumId="62">
    <w:nsid w:val="56E424EE"/>
    <w:multiLevelType w:val="singleLevel"/>
    <w:tmpl w:val="56E424EE"/>
    <w:lvl w:ilvl="0" w:tentative="0">
      <w:start w:val="1"/>
      <w:numFmt w:val="chineseCounting"/>
      <w:suff w:val="nothing"/>
      <w:lvlText w:val="（%1）"/>
      <w:lvlJc w:val="left"/>
      <w:pPr>
        <w:ind w:left="0" w:firstLine="420"/>
      </w:pPr>
      <w:rPr>
        <w:rFonts w:hint="eastAsia"/>
      </w:rPr>
    </w:lvl>
  </w:abstractNum>
  <w:abstractNum w:abstractNumId="63">
    <w:nsid w:val="59195A34"/>
    <w:multiLevelType w:val="singleLevel"/>
    <w:tmpl w:val="59195A34"/>
    <w:lvl w:ilvl="0" w:tentative="0">
      <w:start w:val="1"/>
      <w:numFmt w:val="decimal"/>
      <w:suff w:val="nothing"/>
      <w:lvlText w:val="%1．"/>
      <w:lvlJc w:val="left"/>
      <w:pPr>
        <w:ind w:left="0" w:firstLine="400"/>
      </w:pPr>
      <w:rPr>
        <w:rFonts w:hint="default"/>
      </w:rPr>
    </w:lvl>
  </w:abstractNum>
  <w:abstractNum w:abstractNumId="64">
    <w:nsid w:val="5BE338C7"/>
    <w:multiLevelType w:val="singleLevel"/>
    <w:tmpl w:val="5BE338C7"/>
    <w:lvl w:ilvl="0" w:tentative="0">
      <w:start w:val="1"/>
      <w:numFmt w:val="decimal"/>
      <w:lvlText w:val="%1."/>
      <w:lvlJc w:val="left"/>
      <w:pPr>
        <w:ind w:left="425" w:hanging="425"/>
      </w:pPr>
      <w:rPr>
        <w:rFonts w:hint="default"/>
      </w:rPr>
    </w:lvl>
  </w:abstractNum>
  <w:abstractNum w:abstractNumId="65">
    <w:nsid w:val="5C41548B"/>
    <w:multiLevelType w:val="singleLevel"/>
    <w:tmpl w:val="5C41548B"/>
    <w:lvl w:ilvl="0" w:tentative="0">
      <w:start w:val="1"/>
      <w:numFmt w:val="decimal"/>
      <w:suff w:val="nothing"/>
      <w:lvlText w:val="%1．"/>
      <w:lvlJc w:val="left"/>
      <w:pPr>
        <w:ind w:left="0" w:firstLine="400"/>
      </w:pPr>
      <w:rPr>
        <w:rFonts w:hint="default"/>
      </w:rPr>
    </w:lvl>
  </w:abstractNum>
  <w:abstractNum w:abstractNumId="66">
    <w:nsid w:val="5E2E0718"/>
    <w:multiLevelType w:val="singleLevel"/>
    <w:tmpl w:val="5E2E0718"/>
    <w:lvl w:ilvl="0" w:tentative="0">
      <w:start w:val="1"/>
      <w:numFmt w:val="decimal"/>
      <w:suff w:val="nothing"/>
      <w:lvlText w:val="%1．"/>
      <w:lvlJc w:val="left"/>
      <w:pPr>
        <w:ind w:left="0" w:firstLine="400"/>
      </w:pPr>
      <w:rPr>
        <w:rFonts w:hint="default"/>
      </w:rPr>
    </w:lvl>
  </w:abstractNum>
  <w:abstractNum w:abstractNumId="67">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68">
    <w:nsid w:val="647D2A7E"/>
    <w:multiLevelType w:val="singleLevel"/>
    <w:tmpl w:val="647D2A7E"/>
    <w:lvl w:ilvl="0" w:tentative="0">
      <w:start w:val="1"/>
      <w:numFmt w:val="chineseCounting"/>
      <w:suff w:val="nothing"/>
      <w:lvlText w:val="（%1）"/>
      <w:lvlJc w:val="left"/>
      <w:pPr>
        <w:ind w:left="0" w:firstLine="420"/>
      </w:pPr>
      <w:rPr>
        <w:rFonts w:hint="eastAsia"/>
      </w:rPr>
    </w:lvl>
  </w:abstractNum>
  <w:abstractNum w:abstractNumId="69">
    <w:nsid w:val="66DDD653"/>
    <w:multiLevelType w:val="singleLevel"/>
    <w:tmpl w:val="66DDD653"/>
    <w:lvl w:ilvl="0" w:tentative="0">
      <w:start w:val="1"/>
      <w:numFmt w:val="chineseCounting"/>
      <w:suff w:val="space"/>
      <w:lvlText w:val="第%1章"/>
      <w:lvlJc w:val="left"/>
      <w:rPr>
        <w:rFonts w:hint="eastAsia"/>
      </w:rPr>
    </w:lvl>
  </w:abstractNum>
  <w:abstractNum w:abstractNumId="70">
    <w:nsid w:val="69959515"/>
    <w:multiLevelType w:val="singleLevel"/>
    <w:tmpl w:val="69959515"/>
    <w:lvl w:ilvl="0" w:tentative="0">
      <w:start w:val="1"/>
      <w:numFmt w:val="decimal"/>
      <w:suff w:val="nothing"/>
      <w:lvlText w:val="%1．"/>
      <w:lvlJc w:val="left"/>
      <w:pPr>
        <w:ind w:left="0" w:firstLine="400"/>
      </w:pPr>
      <w:rPr>
        <w:rFonts w:hint="default"/>
      </w:rPr>
    </w:lvl>
  </w:abstractNum>
  <w:abstractNum w:abstractNumId="71">
    <w:nsid w:val="7499F99D"/>
    <w:multiLevelType w:val="singleLevel"/>
    <w:tmpl w:val="7499F99D"/>
    <w:lvl w:ilvl="0" w:tentative="0">
      <w:start w:val="1"/>
      <w:numFmt w:val="decimal"/>
      <w:suff w:val="nothing"/>
      <w:lvlText w:val="%1．"/>
      <w:lvlJc w:val="left"/>
      <w:pPr>
        <w:ind w:left="0" w:firstLine="400"/>
      </w:pPr>
      <w:rPr>
        <w:rFonts w:hint="default"/>
      </w:rPr>
    </w:lvl>
  </w:abstractNum>
  <w:abstractNum w:abstractNumId="72">
    <w:nsid w:val="7B0962F7"/>
    <w:multiLevelType w:val="singleLevel"/>
    <w:tmpl w:val="7B0962F7"/>
    <w:lvl w:ilvl="0" w:tentative="0">
      <w:start w:val="1"/>
      <w:numFmt w:val="chineseCounting"/>
      <w:suff w:val="nothing"/>
      <w:lvlText w:val="%1、"/>
      <w:lvlJc w:val="left"/>
      <w:pPr>
        <w:ind w:left="0" w:firstLine="420"/>
      </w:pPr>
      <w:rPr>
        <w:rFonts w:hint="eastAsia"/>
      </w:rPr>
    </w:lvl>
  </w:abstractNum>
  <w:abstractNum w:abstractNumId="73">
    <w:nsid w:val="7C2DBB70"/>
    <w:multiLevelType w:val="singleLevel"/>
    <w:tmpl w:val="7C2DBB70"/>
    <w:lvl w:ilvl="0" w:tentative="0">
      <w:start w:val="1"/>
      <w:numFmt w:val="decimal"/>
      <w:suff w:val="nothing"/>
      <w:lvlText w:val="%1．"/>
      <w:lvlJc w:val="left"/>
      <w:pPr>
        <w:ind w:left="0" w:firstLine="400"/>
      </w:pPr>
      <w:rPr>
        <w:rFonts w:hint="default"/>
      </w:rPr>
    </w:lvl>
  </w:abstractNum>
  <w:abstractNum w:abstractNumId="74">
    <w:nsid w:val="7C7C45DA"/>
    <w:multiLevelType w:val="singleLevel"/>
    <w:tmpl w:val="7C7C45DA"/>
    <w:lvl w:ilvl="0" w:tentative="0">
      <w:start w:val="1"/>
      <w:numFmt w:val="chineseCounting"/>
      <w:suff w:val="nothing"/>
      <w:lvlText w:val="%1、"/>
      <w:lvlJc w:val="left"/>
      <w:pPr>
        <w:ind w:left="0" w:firstLine="420"/>
      </w:pPr>
      <w:rPr>
        <w:rFonts w:hint="eastAsia"/>
      </w:rPr>
    </w:lvl>
  </w:abstractNum>
  <w:abstractNum w:abstractNumId="75">
    <w:nsid w:val="7CBAA9D9"/>
    <w:multiLevelType w:val="singleLevel"/>
    <w:tmpl w:val="7CBAA9D9"/>
    <w:lvl w:ilvl="0" w:tentative="0">
      <w:start w:val="1"/>
      <w:numFmt w:val="decimal"/>
      <w:lvlText w:val="%1."/>
      <w:lvlJc w:val="left"/>
      <w:pPr>
        <w:ind w:left="425" w:hanging="425"/>
      </w:pPr>
      <w:rPr>
        <w:rFonts w:hint="default"/>
      </w:rPr>
    </w:lvl>
  </w:abstractNum>
  <w:abstractNum w:abstractNumId="76">
    <w:nsid w:val="7DA46822"/>
    <w:multiLevelType w:val="singleLevel"/>
    <w:tmpl w:val="7DA46822"/>
    <w:lvl w:ilvl="0" w:tentative="0">
      <w:start w:val="1"/>
      <w:numFmt w:val="decimal"/>
      <w:lvlText w:val="%1)"/>
      <w:lvlJc w:val="left"/>
      <w:pPr>
        <w:ind w:left="425" w:hanging="425"/>
      </w:pPr>
      <w:rPr>
        <w:rFonts w:hint="default"/>
      </w:rPr>
    </w:lvl>
  </w:abstractNum>
  <w:abstractNum w:abstractNumId="77">
    <w:nsid w:val="7F5DB43A"/>
    <w:multiLevelType w:val="singleLevel"/>
    <w:tmpl w:val="7F5DB43A"/>
    <w:lvl w:ilvl="0" w:tentative="0">
      <w:start w:val="1"/>
      <w:numFmt w:val="decimalEnclosedCircleChinese"/>
      <w:suff w:val="nothing"/>
      <w:lvlText w:val="%1　"/>
      <w:lvlJc w:val="left"/>
      <w:pPr>
        <w:ind w:left="0" w:firstLine="400"/>
      </w:pPr>
      <w:rPr>
        <w:rFonts w:hint="eastAsia"/>
      </w:rPr>
    </w:lvl>
  </w:abstractNum>
  <w:num w:numId="1">
    <w:abstractNumId w:val="67"/>
  </w:num>
  <w:num w:numId="2">
    <w:abstractNumId w:val="39"/>
  </w:num>
  <w:num w:numId="3">
    <w:abstractNumId w:val="24"/>
  </w:num>
  <w:num w:numId="4">
    <w:abstractNumId w:val="5"/>
  </w:num>
  <w:num w:numId="5">
    <w:abstractNumId w:val="69"/>
  </w:num>
  <w:num w:numId="6">
    <w:abstractNumId w:val="26"/>
  </w:num>
  <w:num w:numId="7">
    <w:abstractNumId w:val="68"/>
  </w:num>
  <w:num w:numId="8">
    <w:abstractNumId w:val="10"/>
  </w:num>
  <w:num w:numId="9">
    <w:abstractNumId w:val="52"/>
  </w:num>
  <w:num w:numId="10">
    <w:abstractNumId w:val="56"/>
  </w:num>
  <w:num w:numId="11">
    <w:abstractNumId w:val="33"/>
  </w:num>
  <w:num w:numId="12">
    <w:abstractNumId w:val="63"/>
  </w:num>
  <w:num w:numId="13">
    <w:abstractNumId w:val="34"/>
  </w:num>
  <w:num w:numId="14">
    <w:abstractNumId w:val="21"/>
  </w:num>
  <w:num w:numId="15">
    <w:abstractNumId w:val="59"/>
  </w:num>
  <w:num w:numId="16">
    <w:abstractNumId w:val="14"/>
  </w:num>
  <w:num w:numId="17">
    <w:abstractNumId w:val="57"/>
  </w:num>
  <w:num w:numId="18">
    <w:abstractNumId w:val="29"/>
  </w:num>
  <w:num w:numId="19">
    <w:abstractNumId w:val="75"/>
  </w:num>
  <w:num w:numId="20">
    <w:abstractNumId w:val="11"/>
  </w:num>
  <w:num w:numId="21">
    <w:abstractNumId w:val="30"/>
  </w:num>
  <w:num w:numId="22">
    <w:abstractNumId w:val="73"/>
  </w:num>
  <w:num w:numId="23">
    <w:abstractNumId w:val="35"/>
  </w:num>
  <w:num w:numId="24">
    <w:abstractNumId w:val="46"/>
  </w:num>
  <w:num w:numId="25">
    <w:abstractNumId w:val="43"/>
  </w:num>
  <w:num w:numId="26">
    <w:abstractNumId w:val="53"/>
  </w:num>
  <w:num w:numId="27">
    <w:abstractNumId w:val="47"/>
  </w:num>
  <w:num w:numId="28">
    <w:abstractNumId w:val="41"/>
  </w:num>
  <w:num w:numId="29">
    <w:abstractNumId w:val="48"/>
  </w:num>
  <w:num w:numId="30">
    <w:abstractNumId w:val="3"/>
  </w:num>
  <w:num w:numId="31">
    <w:abstractNumId w:val="54"/>
  </w:num>
  <w:num w:numId="32">
    <w:abstractNumId w:val="25"/>
  </w:num>
  <w:num w:numId="33">
    <w:abstractNumId w:val="61"/>
  </w:num>
  <w:num w:numId="34">
    <w:abstractNumId w:val="37"/>
  </w:num>
  <w:num w:numId="35">
    <w:abstractNumId w:val="6"/>
  </w:num>
  <w:num w:numId="36">
    <w:abstractNumId w:val="55"/>
  </w:num>
  <w:num w:numId="37">
    <w:abstractNumId w:val="50"/>
  </w:num>
  <w:num w:numId="38">
    <w:abstractNumId w:val="27"/>
  </w:num>
  <w:num w:numId="39">
    <w:abstractNumId w:val="9"/>
  </w:num>
  <w:num w:numId="40">
    <w:abstractNumId w:val="70"/>
  </w:num>
  <w:num w:numId="41">
    <w:abstractNumId w:val="8"/>
  </w:num>
  <w:num w:numId="42">
    <w:abstractNumId w:val="71"/>
  </w:num>
  <w:num w:numId="43">
    <w:abstractNumId w:val="31"/>
  </w:num>
  <w:num w:numId="44">
    <w:abstractNumId w:val="58"/>
  </w:num>
  <w:num w:numId="45">
    <w:abstractNumId w:val="49"/>
  </w:num>
  <w:num w:numId="46">
    <w:abstractNumId w:val="76"/>
  </w:num>
  <w:num w:numId="47">
    <w:abstractNumId w:val="72"/>
  </w:num>
  <w:num w:numId="48">
    <w:abstractNumId w:val="62"/>
  </w:num>
  <w:num w:numId="49">
    <w:abstractNumId w:val="42"/>
  </w:num>
  <w:num w:numId="50">
    <w:abstractNumId w:val="36"/>
  </w:num>
  <w:num w:numId="51">
    <w:abstractNumId w:val="32"/>
  </w:num>
  <w:num w:numId="52">
    <w:abstractNumId w:val="18"/>
  </w:num>
  <w:num w:numId="53">
    <w:abstractNumId w:val="28"/>
  </w:num>
  <w:num w:numId="54">
    <w:abstractNumId w:val="19"/>
  </w:num>
  <w:num w:numId="55">
    <w:abstractNumId w:val="12"/>
  </w:num>
  <w:num w:numId="56">
    <w:abstractNumId w:val="15"/>
  </w:num>
  <w:num w:numId="57">
    <w:abstractNumId w:val="45"/>
  </w:num>
  <w:num w:numId="58">
    <w:abstractNumId w:val="2"/>
  </w:num>
  <w:num w:numId="59">
    <w:abstractNumId w:val="17"/>
  </w:num>
  <w:num w:numId="60">
    <w:abstractNumId w:val="44"/>
  </w:num>
  <w:num w:numId="61">
    <w:abstractNumId w:val="40"/>
  </w:num>
  <w:num w:numId="62">
    <w:abstractNumId w:val="77"/>
  </w:num>
  <w:num w:numId="63">
    <w:abstractNumId w:val="60"/>
  </w:num>
  <w:num w:numId="64">
    <w:abstractNumId w:val="74"/>
  </w:num>
  <w:num w:numId="65">
    <w:abstractNumId w:val="13"/>
  </w:num>
  <w:num w:numId="66">
    <w:abstractNumId w:val="38"/>
  </w:num>
  <w:num w:numId="67">
    <w:abstractNumId w:val="22"/>
  </w:num>
  <w:num w:numId="68">
    <w:abstractNumId w:val="4"/>
  </w:num>
  <w:num w:numId="69">
    <w:abstractNumId w:val="1"/>
  </w:num>
  <w:num w:numId="70">
    <w:abstractNumId w:val="66"/>
  </w:num>
  <w:num w:numId="71">
    <w:abstractNumId w:val="20"/>
  </w:num>
  <w:num w:numId="72">
    <w:abstractNumId w:val="16"/>
  </w:num>
  <w:num w:numId="73">
    <w:abstractNumId w:val="51"/>
  </w:num>
  <w:num w:numId="74">
    <w:abstractNumId w:val="64"/>
  </w:num>
  <w:num w:numId="75">
    <w:abstractNumId w:val="23"/>
  </w:num>
  <w:num w:numId="76">
    <w:abstractNumId w:val="0"/>
  </w:num>
  <w:num w:numId="77">
    <w:abstractNumId w:val="65"/>
  </w:num>
  <w:num w:numId="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lNzliOTc2MTE2MWJhNTU3YjU5MjE4MDVkMGEwZDY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D3BD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2F51F0C"/>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445D91"/>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1349A1"/>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714B90"/>
    <w:rsid w:val="09976943"/>
    <w:rsid w:val="09CE19BC"/>
    <w:rsid w:val="09E70A54"/>
    <w:rsid w:val="09E84CCD"/>
    <w:rsid w:val="0A051115"/>
    <w:rsid w:val="0A3A5C5D"/>
    <w:rsid w:val="0A555245"/>
    <w:rsid w:val="0A8528D5"/>
    <w:rsid w:val="0A8A0A3A"/>
    <w:rsid w:val="0AB52BD8"/>
    <w:rsid w:val="0AD56F1F"/>
    <w:rsid w:val="0AEA3C8C"/>
    <w:rsid w:val="0B1E0CF0"/>
    <w:rsid w:val="0B1E2894"/>
    <w:rsid w:val="0B3A637F"/>
    <w:rsid w:val="0B420671"/>
    <w:rsid w:val="0B616B0F"/>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CC075B"/>
    <w:rsid w:val="0DE545F3"/>
    <w:rsid w:val="0DE7555E"/>
    <w:rsid w:val="0E0316BF"/>
    <w:rsid w:val="0E072513"/>
    <w:rsid w:val="0E7007ED"/>
    <w:rsid w:val="0E932086"/>
    <w:rsid w:val="0F0D0D2C"/>
    <w:rsid w:val="0F385060"/>
    <w:rsid w:val="0F4D0444"/>
    <w:rsid w:val="0F58781F"/>
    <w:rsid w:val="0F5D7625"/>
    <w:rsid w:val="0F6147A2"/>
    <w:rsid w:val="0F86061B"/>
    <w:rsid w:val="0F8E2A37"/>
    <w:rsid w:val="0FC27645"/>
    <w:rsid w:val="0FD4645C"/>
    <w:rsid w:val="1007199F"/>
    <w:rsid w:val="101A3630"/>
    <w:rsid w:val="102C199B"/>
    <w:rsid w:val="103927E7"/>
    <w:rsid w:val="104542C5"/>
    <w:rsid w:val="105576A8"/>
    <w:rsid w:val="10AA4274"/>
    <w:rsid w:val="10BE1B05"/>
    <w:rsid w:val="10C64B9C"/>
    <w:rsid w:val="10CB7C05"/>
    <w:rsid w:val="10CF3933"/>
    <w:rsid w:val="10FD1FE7"/>
    <w:rsid w:val="110D3124"/>
    <w:rsid w:val="11344EBE"/>
    <w:rsid w:val="115B5C4F"/>
    <w:rsid w:val="117C20D6"/>
    <w:rsid w:val="118A244C"/>
    <w:rsid w:val="11A2124C"/>
    <w:rsid w:val="11B42FB1"/>
    <w:rsid w:val="11C20C82"/>
    <w:rsid w:val="11C8536C"/>
    <w:rsid w:val="11D0460B"/>
    <w:rsid w:val="11DE5C79"/>
    <w:rsid w:val="11E810CF"/>
    <w:rsid w:val="120B2B1C"/>
    <w:rsid w:val="12101447"/>
    <w:rsid w:val="121E5D7B"/>
    <w:rsid w:val="12215961"/>
    <w:rsid w:val="125F1817"/>
    <w:rsid w:val="128D04EC"/>
    <w:rsid w:val="12AA2320"/>
    <w:rsid w:val="12C61AC1"/>
    <w:rsid w:val="12DB53B1"/>
    <w:rsid w:val="12E81B94"/>
    <w:rsid w:val="13257C63"/>
    <w:rsid w:val="133707C2"/>
    <w:rsid w:val="13441C72"/>
    <w:rsid w:val="134C77A5"/>
    <w:rsid w:val="13731B39"/>
    <w:rsid w:val="13732205"/>
    <w:rsid w:val="137F0CE3"/>
    <w:rsid w:val="13B66833"/>
    <w:rsid w:val="13C30E6E"/>
    <w:rsid w:val="13C5138B"/>
    <w:rsid w:val="13F07810"/>
    <w:rsid w:val="13FD01F3"/>
    <w:rsid w:val="140A0889"/>
    <w:rsid w:val="140C3E1C"/>
    <w:rsid w:val="141B13D5"/>
    <w:rsid w:val="141C741E"/>
    <w:rsid w:val="14234B06"/>
    <w:rsid w:val="145558C5"/>
    <w:rsid w:val="149D3DC9"/>
    <w:rsid w:val="149E1778"/>
    <w:rsid w:val="14AD4839"/>
    <w:rsid w:val="14DF5342"/>
    <w:rsid w:val="14E92EF8"/>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6FF7324"/>
    <w:rsid w:val="171F0861"/>
    <w:rsid w:val="1731374B"/>
    <w:rsid w:val="173B1F0E"/>
    <w:rsid w:val="173D243C"/>
    <w:rsid w:val="17534ECF"/>
    <w:rsid w:val="17822538"/>
    <w:rsid w:val="17DC7BF0"/>
    <w:rsid w:val="180053F0"/>
    <w:rsid w:val="18011D29"/>
    <w:rsid w:val="181011F1"/>
    <w:rsid w:val="1820774A"/>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7414B2"/>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C9573B"/>
    <w:rsid w:val="1ED462A6"/>
    <w:rsid w:val="1ED734FA"/>
    <w:rsid w:val="1EDB21B2"/>
    <w:rsid w:val="1EE21D29"/>
    <w:rsid w:val="1EE72005"/>
    <w:rsid w:val="1F2B54B6"/>
    <w:rsid w:val="1F2F246F"/>
    <w:rsid w:val="1F3E1D5D"/>
    <w:rsid w:val="1F6E3177"/>
    <w:rsid w:val="1F6F04BA"/>
    <w:rsid w:val="1F8129BD"/>
    <w:rsid w:val="1FF72257"/>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11254C"/>
    <w:rsid w:val="2220525E"/>
    <w:rsid w:val="2231758A"/>
    <w:rsid w:val="224449F5"/>
    <w:rsid w:val="225D16C1"/>
    <w:rsid w:val="2266010D"/>
    <w:rsid w:val="226E674C"/>
    <w:rsid w:val="226F619C"/>
    <w:rsid w:val="22712A0D"/>
    <w:rsid w:val="22734646"/>
    <w:rsid w:val="22B5218C"/>
    <w:rsid w:val="22B609EC"/>
    <w:rsid w:val="22C23296"/>
    <w:rsid w:val="22CF4727"/>
    <w:rsid w:val="22E35CB6"/>
    <w:rsid w:val="22EA1840"/>
    <w:rsid w:val="22F91025"/>
    <w:rsid w:val="231A5582"/>
    <w:rsid w:val="23280561"/>
    <w:rsid w:val="2330019D"/>
    <w:rsid w:val="2333163C"/>
    <w:rsid w:val="235E2799"/>
    <w:rsid w:val="23666663"/>
    <w:rsid w:val="23693289"/>
    <w:rsid w:val="23795972"/>
    <w:rsid w:val="239147E1"/>
    <w:rsid w:val="23BB34F7"/>
    <w:rsid w:val="23CB333E"/>
    <w:rsid w:val="23F91B39"/>
    <w:rsid w:val="242E5E97"/>
    <w:rsid w:val="24303C58"/>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CD69F4"/>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BD0C59"/>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C45AC1"/>
    <w:rsid w:val="2BEE5A9C"/>
    <w:rsid w:val="2C275720"/>
    <w:rsid w:val="2C64232C"/>
    <w:rsid w:val="2C6B41B7"/>
    <w:rsid w:val="2C7112E3"/>
    <w:rsid w:val="2CAF7AE9"/>
    <w:rsid w:val="2CB550EC"/>
    <w:rsid w:val="2CBB7012"/>
    <w:rsid w:val="2CDD6C94"/>
    <w:rsid w:val="2CF947D9"/>
    <w:rsid w:val="2CFA06CC"/>
    <w:rsid w:val="2D3F090C"/>
    <w:rsid w:val="2D473273"/>
    <w:rsid w:val="2D814A75"/>
    <w:rsid w:val="2D8167C0"/>
    <w:rsid w:val="2D8440BF"/>
    <w:rsid w:val="2D9C1D44"/>
    <w:rsid w:val="2DAB174B"/>
    <w:rsid w:val="2DAC3053"/>
    <w:rsid w:val="2DB40F04"/>
    <w:rsid w:val="2DB55317"/>
    <w:rsid w:val="2DD04A2C"/>
    <w:rsid w:val="2E073EDF"/>
    <w:rsid w:val="2E1A2D69"/>
    <w:rsid w:val="2E1C2312"/>
    <w:rsid w:val="2E450C2F"/>
    <w:rsid w:val="2E617376"/>
    <w:rsid w:val="2E6A1CEE"/>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81974"/>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182542"/>
    <w:rsid w:val="33232830"/>
    <w:rsid w:val="3341533E"/>
    <w:rsid w:val="335D5C6D"/>
    <w:rsid w:val="33843CA1"/>
    <w:rsid w:val="33881ABE"/>
    <w:rsid w:val="33FD2CF5"/>
    <w:rsid w:val="3418026A"/>
    <w:rsid w:val="3443530F"/>
    <w:rsid w:val="344D764F"/>
    <w:rsid w:val="34690455"/>
    <w:rsid w:val="347248DD"/>
    <w:rsid w:val="347E631A"/>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5743EB"/>
    <w:rsid w:val="366E5884"/>
    <w:rsid w:val="367134DE"/>
    <w:rsid w:val="367729D2"/>
    <w:rsid w:val="36787E34"/>
    <w:rsid w:val="3692435D"/>
    <w:rsid w:val="36D0238C"/>
    <w:rsid w:val="36D16DB7"/>
    <w:rsid w:val="36F35ECC"/>
    <w:rsid w:val="36FC06E4"/>
    <w:rsid w:val="370B0055"/>
    <w:rsid w:val="373B5B82"/>
    <w:rsid w:val="374976F8"/>
    <w:rsid w:val="37533A9C"/>
    <w:rsid w:val="375D2DED"/>
    <w:rsid w:val="377E15B0"/>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9EB4452"/>
    <w:rsid w:val="3A225EB7"/>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27269"/>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425FEC"/>
    <w:rsid w:val="3D584E9B"/>
    <w:rsid w:val="3D880E45"/>
    <w:rsid w:val="3D9C69C1"/>
    <w:rsid w:val="3DA0424A"/>
    <w:rsid w:val="3DA419D7"/>
    <w:rsid w:val="3DDA6370"/>
    <w:rsid w:val="3DDD2C1B"/>
    <w:rsid w:val="3DFF5060"/>
    <w:rsid w:val="3E136870"/>
    <w:rsid w:val="3E5D5F3B"/>
    <w:rsid w:val="3E615282"/>
    <w:rsid w:val="3E811CC0"/>
    <w:rsid w:val="3E8429B9"/>
    <w:rsid w:val="3E886F46"/>
    <w:rsid w:val="3EBE7D18"/>
    <w:rsid w:val="3ECC547A"/>
    <w:rsid w:val="3EE01AD6"/>
    <w:rsid w:val="3EE5303E"/>
    <w:rsid w:val="3F1A1718"/>
    <w:rsid w:val="3F2A2A20"/>
    <w:rsid w:val="3F4E5041"/>
    <w:rsid w:val="3F506818"/>
    <w:rsid w:val="3FE36C1C"/>
    <w:rsid w:val="3FEB19D5"/>
    <w:rsid w:val="3FF15ABF"/>
    <w:rsid w:val="40340044"/>
    <w:rsid w:val="404E6731"/>
    <w:rsid w:val="40661E5E"/>
    <w:rsid w:val="406E45AD"/>
    <w:rsid w:val="407C0CAD"/>
    <w:rsid w:val="40924D64"/>
    <w:rsid w:val="40963A57"/>
    <w:rsid w:val="409A6D26"/>
    <w:rsid w:val="40B652F6"/>
    <w:rsid w:val="40D16C5D"/>
    <w:rsid w:val="40E855B1"/>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32864"/>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72779"/>
    <w:rsid w:val="441E3A5B"/>
    <w:rsid w:val="4421734C"/>
    <w:rsid w:val="44437D45"/>
    <w:rsid w:val="44460A9F"/>
    <w:rsid w:val="4478624B"/>
    <w:rsid w:val="4493367B"/>
    <w:rsid w:val="44A72843"/>
    <w:rsid w:val="44AB74B4"/>
    <w:rsid w:val="44B2771E"/>
    <w:rsid w:val="44B8368E"/>
    <w:rsid w:val="452905F3"/>
    <w:rsid w:val="4531085A"/>
    <w:rsid w:val="456A3388"/>
    <w:rsid w:val="456A35B3"/>
    <w:rsid w:val="457A09BE"/>
    <w:rsid w:val="459E711B"/>
    <w:rsid w:val="45A45439"/>
    <w:rsid w:val="45B4675B"/>
    <w:rsid w:val="45CA7348"/>
    <w:rsid w:val="45CB72CE"/>
    <w:rsid w:val="461F4864"/>
    <w:rsid w:val="462B6DAB"/>
    <w:rsid w:val="46631BCA"/>
    <w:rsid w:val="46977D08"/>
    <w:rsid w:val="469B5592"/>
    <w:rsid w:val="46A5400A"/>
    <w:rsid w:val="46AD3013"/>
    <w:rsid w:val="46C67C71"/>
    <w:rsid w:val="46DB6342"/>
    <w:rsid w:val="46F207EA"/>
    <w:rsid w:val="46F40267"/>
    <w:rsid w:val="46F87058"/>
    <w:rsid w:val="47283388"/>
    <w:rsid w:val="473355C0"/>
    <w:rsid w:val="4750618B"/>
    <w:rsid w:val="4771556D"/>
    <w:rsid w:val="477A20CD"/>
    <w:rsid w:val="47C35102"/>
    <w:rsid w:val="47C90408"/>
    <w:rsid w:val="47CA3491"/>
    <w:rsid w:val="47DE0285"/>
    <w:rsid w:val="47EA0372"/>
    <w:rsid w:val="47F77566"/>
    <w:rsid w:val="48131737"/>
    <w:rsid w:val="481C1F20"/>
    <w:rsid w:val="482932B2"/>
    <w:rsid w:val="48353471"/>
    <w:rsid w:val="483A39C6"/>
    <w:rsid w:val="48452D6C"/>
    <w:rsid w:val="48490177"/>
    <w:rsid w:val="48547396"/>
    <w:rsid w:val="487209AE"/>
    <w:rsid w:val="48734131"/>
    <w:rsid w:val="487B1A21"/>
    <w:rsid w:val="48801F0A"/>
    <w:rsid w:val="489932CB"/>
    <w:rsid w:val="489C4879"/>
    <w:rsid w:val="489C7EA5"/>
    <w:rsid w:val="49276E58"/>
    <w:rsid w:val="493A0128"/>
    <w:rsid w:val="494B4338"/>
    <w:rsid w:val="497C5511"/>
    <w:rsid w:val="49A779DD"/>
    <w:rsid w:val="49B65DC9"/>
    <w:rsid w:val="4A131AB1"/>
    <w:rsid w:val="4A191CD0"/>
    <w:rsid w:val="4A200F8B"/>
    <w:rsid w:val="4A34760C"/>
    <w:rsid w:val="4A64259A"/>
    <w:rsid w:val="4AA4128B"/>
    <w:rsid w:val="4AA658AC"/>
    <w:rsid w:val="4AAA7028"/>
    <w:rsid w:val="4AD50D4A"/>
    <w:rsid w:val="4ADC75C4"/>
    <w:rsid w:val="4B2977E3"/>
    <w:rsid w:val="4B3A3263"/>
    <w:rsid w:val="4B404F96"/>
    <w:rsid w:val="4B4D6D80"/>
    <w:rsid w:val="4B5F395F"/>
    <w:rsid w:val="4BB73A13"/>
    <w:rsid w:val="4BBE1169"/>
    <w:rsid w:val="4BE22955"/>
    <w:rsid w:val="4C491FB6"/>
    <w:rsid w:val="4C60411D"/>
    <w:rsid w:val="4C8E383F"/>
    <w:rsid w:val="4C9743B6"/>
    <w:rsid w:val="4CA56DBD"/>
    <w:rsid w:val="4CCD70EB"/>
    <w:rsid w:val="4CD15334"/>
    <w:rsid w:val="4CD60F91"/>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8A573F"/>
    <w:rsid w:val="4FA710E2"/>
    <w:rsid w:val="4FC13833"/>
    <w:rsid w:val="4FCC63B9"/>
    <w:rsid w:val="4FED507D"/>
    <w:rsid w:val="4FFB62E9"/>
    <w:rsid w:val="501C4E89"/>
    <w:rsid w:val="502B325D"/>
    <w:rsid w:val="505D795E"/>
    <w:rsid w:val="50630959"/>
    <w:rsid w:val="50D37CC2"/>
    <w:rsid w:val="50DD3BA3"/>
    <w:rsid w:val="50E61CAB"/>
    <w:rsid w:val="50E8074E"/>
    <w:rsid w:val="5132754D"/>
    <w:rsid w:val="513564CC"/>
    <w:rsid w:val="514E3A09"/>
    <w:rsid w:val="515D00F3"/>
    <w:rsid w:val="517C3AF1"/>
    <w:rsid w:val="51915B3D"/>
    <w:rsid w:val="519F5121"/>
    <w:rsid w:val="51EC25C1"/>
    <w:rsid w:val="5229273F"/>
    <w:rsid w:val="52547228"/>
    <w:rsid w:val="5261700D"/>
    <w:rsid w:val="52794D53"/>
    <w:rsid w:val="529432E6"/>
    <w:rsid w:val="529C40E3"/>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2924D4"/>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623FF"/>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56CFF"/>
    <w:rsid w:val="597C7365"/>
    <w:rsid w:val="597F7369"/>
    <w:rsid w:val="59895153"/>
    <w:rsid w:val="59997155"/>
    <w:rsid w:val="59A2414B"/>
    <w:rsid w:val="59BE586F"/>
    <w:rsid w:val="59F550B2"/>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3870ED"/>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7F4FEA"/>
    <w:rsid w:val="5EA343F9"/>
    <w:rsid w:val="5ED73B27"/>
    <w:rsid w:val="5EE34D8A"/>
    <w:rsid w:val="5F0F02D2"/>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D6693D"/>
    <w:rsid w:val="61F46458"/>
    <w:rsid w:val="62282B27"/>
    <w:rsid w:val="623E360E"/>
    <w:rsid w:val="625A6442"/>
    <w:rsid w:val="62BF638B"/>
    <w:rsid w:val="62C31135"/>
    <w:rsid w:val="62C76106"/>
    <w:rsid w:val="62CC474C"/>
    <w:rsid w:val="62E254B1"/>
    <w:rsid w:val="62FF72FE"/>
    <w:rsid w:val="630C2BBF"/>
    <w:rsid w:val="632C3261"/>
    <w:rsid w:val="63491372"/>
    <w:rsid w:val="635B58C7"/>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256AD"/>
    <w:rsid w:val="65C86337"/>
    <w:rsid w:val="65DC6542"/>
    <w:rsid w:val="65FE3124"/>
    <w:rsid w:val="660F2DFD"/>
    <w:rsid w:val="66407375"/>
    <w:rsid w:val="66475BEE"/>
    <w:rsid w:val="669147A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41788"/>
    <w:rsid w:val="68596C90"/>
    <w:rsid w:val="685D1197"/>
    <w:rsid w:val="685F2B0C"/>
    <w:rsid w:val="686A5890"/>
    <w:rsid w:val="686E4CA0"/>
    <w:rsid w:val="6870598D"/>
    <w:rsid w:val="68882FAE"/>
    <w:rsid w:val="68B25FB7"/>
    <w:rsid w:val="68CD56D6"/>
    <w:rsid w:val="68CE0878"/>
    <w:rsid w:val="68DF3F07"/>
    <w:rsid w:val="68E14DD2"/>
    <w:rsid w:val="68F745E7"/>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EA352F"/>
    <w:rsid w:val="69F431E5"/>
    <w:rsid w:val="69FB05D9"/>
    <w:rsid w:val="6A21429B"/>
    <w:rsid w:val="6A317FEC"/>
    <w:rsid w:val="6A395739"/>
    <w:rsid w:val="6A5D1615"/>
    <w:rsid w:val="6A667351"/>
    <w:rsid w:val="6A690452"/>
    <w:rsid w:val="6AA01E24"/>
    <w:rsid w:val="6AC86B5F"/>
    <w:rsid w:val="6AD5470C"/>
    <w:rsid w:val="6AF1512E"/>
    <w:rsid w:val="6B047BC0"/>
    <w:rsid w:val="6B372870"/>
    <w:rsid w:val="6B401962"/>
    <w:rsid w:val="6B4C78DC"/>
    <w:rsid w:val="6B6D4BD4"/>
    <w:rsid w:val="6B736C65"/>
    <w:rsid w:val="6B783D58"/>
    <w:rsid w:val="6B884223"/>
    <w:rsid w:val="6BAB5034"/>
    <w:rsid w:val="6BCC6A33"/>
    <w:rsid w:val="6BE94680"/>
    <w:rsid w:val="6C1648A2"/>
    <w:rsid w:val="6C180827"/>
    <w:rsid w:val="6C2B5B56"/>
    <w:rsid w:val="6C405A24"/>
    <w:rsid w:val="6C4C1DDE"/>
    <w:rsid w:val="6C733663"/>
    <w:rsid w:val="6C7360A2"/>
    <w:rsid w:val="6C98271E"/>
    <w:rsid w:val="6CB357D4"/>
    <w:rsid w:val="6CD6095A"/>
    <w:rsid w:val="6CED0DFC"/>
    <w:rsid w:val="6D09664F"/>
    <w:rsid w:val="6D192771"/>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654045"/>
    <w:rsid w:val="6E9D5BDB"/>
    <w:rsid w:val="6EBF2095"/>
    <w:rsid w:val="6ED668E5"/>
    <w:rsid w:val="6EDA5C94"/>
    <w:rsid w:val="6F390971"/>
    <w:rsid w:val="6F436F8F"/>
    <w:rsid w:val="6F4D5562"/>
    <w:rsid w:val="6F663712"/>
    <w:rsid w:val="6F69285A"/>
    <w:rsid w:val="6F6D69E8"/>
    <w:rsid w:val="6F7874E2"/>
    <w:rsid w:val="6F8B29B5"/>
    <w:rsid w:val="6F9B0752"/>
    <w:rsid w:val="6FD156E3"/>
    <w:rsid w:val="6FED75FB"/>
    <w:rsid w:val="6FFA27F6"/>
    <w:rsid w:val="70041560"/>
    <w:rsid w:val="700B47EE"/>
    <w:rsid w:val="703467FC"/>
    <w:rsid w:val="7040732E"/>
    <w:rsid w:val="707123D3"/>
    <w:rsid w:val="7086364B"/>
    <w:rsid w:val="70A42103"/>
    <w:rsid w:val="70D6110F"/>
    <w:rsid w:val="70FA2DBF"/>
    <w:rsid w:val="71096990"/>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248FE"/>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675EA7"/>
    <w:rsid w:val="747D3462"/>
    <w:rsid w:val="74812030"/>
    <w:rsid w:val="74886161"/>
    <w:rsid w:val="74923E43"/>
    <w:rsid w:val="74A039B1"/>
    <w:rsid w:val="74AF70D9"/>
    <w:rsid w:val="74E66F49"/>
    <w:rsid w:val="74EB245C"/>
    <w:rsid w:val="750D41EB"/>
    <w:rsid w:val="753C15BB"/>
    <w:rsid w:val="75585493"/>
    <w:rsid w:val="755E6626"/>
    <w:rsid w:val="75841DF5"/>
    <w:rsid w:val="758A071C"/>
    <w:rsid w:val="758C4CA2"/>
    <w:rsid w:val="75A03D67"/>
    <w:rsid w:val="75C45800"/>
    <w:rsid w:val="75D40046"/>
    <w:rsid w:val="75D96E3B"/>
    <w:rsid w:val="75EE53E9"/>
    <w:rsid w:val="762F29E5"/>
    <w:rsid w:val="764374F1"/>
    <w:rsid w:val="76944E76"/>
    <w:rsid w:val="769A26CA"/>
    <w:rsid w:val="769E07AD"/>
    <w:rsid w:val="76AB3C70"/>
    <w:rsid w:val="76C34928"/>
    <w:rsid w:val="76C54EFF"/>
    <w:rsid w:val="76D17FE1"/>
    <w:rsid w:val="76DF15B8"/>
    <w:rsid w:val="76FB601C"/>
    <w:rsid w:val="7708778F"/>
    <w:rsid w:val="770B7BD2"/>
    <w:rsid w:val="778364BE"/>
    <w:rsid w:val="7799548D"/>
    <w:rsid w:val="779E65C5"/>
    <w:rsid w:val="77B77D93"/>
    <w:rsid w:val="77C81353"/>
    <w:rsid w:val="77ED1FBE"/>
    <w:rsid w:val="78023A5D"/>
    <w:rsid w:val="782A3DBC"/>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6E0E2C"/>
    <w:rsid w:val="7A9E603E"/>
    <w:rsid w:val="7AA163B3"/>
    <w:rsid w:val="7AB01F3D"/>
    <w:rsid w:val="7ABB7712"/>
    <w:rsid w:val="7ACE4950"/>
    <w:rsid w:val="7ADA5F04"/>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CEF6AF6"/>
    <w:rsid w:val="7D1948FD"/>
    <w:rsid w:val="7D2C6F9F"/>
    <w:rsid w:val="7D543264"/>
    <w:rsid w:val="7D5B2CA1"/>
    <w:rsid w:val="7D6D7156"/>
    <w:rsid w:val="7D7115AD"/>
    <w:rsid w:val="7DAE4568"/>
    <w:rsid w:val="7DB55ED6"/>
    <w:rsid w:val="7DC85A4E"/>
    <w:rsid w:val="7DF11E99"/>
    <w:rsid w:val="7DF550BA"/>
    <w:rsid w:val="7E531FFF"/>
    <w:rsid w:val="7E5E764B"/>
    <w:rsid w:val="7E7029A2"/>
    <w:rsid w:val="7EA44BEF"/>
    <w:rsid w:val="7ECB55B8"/>
    <w:rsid w:val="7EE626A2"/>
    <w:rsid w:val="7EEC63E7"/>
    <w:rsid w:val="7EF54C4F"/>
    <w:rsid w:val="7EFB3937"/>
    <w:rsid w:val="7F020EC4"/>
    <w:rsid w:val="7F1E0F62"/>
    <w:rsid w:val="7F1F3426"/>
    <w:rsid w:val="7F381A2F"/>
    <w:rsid w:val="7F5957B0"/>
    <w:rsid w:val="7F6D786A"/>
    <w:rsid w:val="7F6F2116"/>
    <w:rsid w:val="7F9846AE"/>
    <w:rsid w:val="7F9A7F46"/>
    <w:rsid w:val="7FAA2CDD"/>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List Number"/>
    <w:basedOn w:val="1"/>
    <w:autoRedefine/>
    <w:qFormat/>
    <w:uiPriority w:val="0"/>
    <w:pPr>
      <w:numPr>
        <w:ilvl w:val="0"/>
        <w:numId w:val="2"/>
      </w:numPr>
    </w:pPr>
  </w:style>
  <w:style w:type="paragraph" w:styleId="7">
    <w:name w:val="caption"/>
    <w:basedOn w:val="1"/>
    <w:next w:val="1"/>
    <w:qFormat/>
    <w:uiPriority w:val="0"/>
    <w:rPr>
      <w:rFonts w:ascii="Arial" w:hAnsi="Arial" w:eastAsia="黑体"/>
      <w:sz w:val="20"/>
    </w:rPr>
  </w:style>
  <w:style w:type="paragraph" w:styleId="8">
    <w:name w:val="List Bullet"/>
    <w:basedOn w:val="1"/>
    <w:next w:val="1"/>
    <w:autoRedefine/>
    <w:qFormat/>
    <w:uiPriority w:val="0"/>
    <w:pPr>
      <w:numPr>
        <w:ilvl w:val="0"/>
        <w:numId w:val="3"/>
      </w:numPr>
    </w:pPr>
  </w:style>
  <w:style w:type="paragraph" w:styleId="9">
    <w:name w:val="annotation text"/>
    <w:basedOn w:val="1"/>
    <w:link w:val="78"/>
    <w:autoRedefine/>
    <w:qFormat/>
    <w:uiPriority w:val="0"/>
    <w:pPr>
      <w:jc w:val="left"/>
    </w:pPr>
  </w:style>
  <w:style w:type="paragraph" w:styleId="10">
    <w:name w:val="Body Text"/>
    <w:basedOn w:val="1"/>
    <w:next w:val="11"/>
    <w:autoRedefine/>
    <w:qFormat/>
    <w:uiPriority w:val="0"/>
    <w:pPr>
      <w:spacing w:line="360" w:lineRule="exact"/>
    </w:pPr>
    <w:rPr>
      <w:sz w:val="24"/>
    </w:rPr>
  </w:style>
  <w:style w:type="paragraph" w:styleId="11">
    <w:name w:val="Body Text First Indent"/>
    <w:basedOn w:val="10"/>
    <w:next w:val="12"/>
    <w:link w:val="80"/>
    <w:autoRedefine/>
    <w:qFormat/>
    <w:uiPriority w:val="0"/>
    <w:pPr>
      <w:ind w:firstLine="200" w:firstLineChars="200"/>
    </w:pPr>
  </w:style>
  <w:style w:type="paragraph" w:styleId="12">
    <w:name w:val="toc 6"/>
    <w:basedOn w:val="1"/>
    <w:next w:val="1"/>
    <w:autoRedefine/>
    <w:unhideWhenUsed/>
    <w:qFormat/>
    <w:uiPriority w:val="39"/>
    <w:pPr>
      <w:ind w:left="2100" w:leftChars="1000"/>
    </w:pPr>
    <w:rPr>
      <w:rFonts w:ascii="Calibri" w:hAnsi="Calibri"/>
    </w:rPr>
  </w:style>
  <w:style w:type="paragraph" w:styleId="13">
    <w:name w:val="Body Text Indent"/>
    <w:basedOn w:val="1"/>
    <w:next w:val="1"/>
    <w:autoRedefine/>
    <w:qFormat/>
    <w:uiPriority w:val="0"/>
    <w:pPr>
      <w:spacing w:after="120"/>
      <w:ind w:left="420" w:leftChars="200"/>
    </w:pPr>
  </w:style>
  <w:style w:type="paragraph" w:styleId="14">
    <w:name w:val="List Bullet 2"/>
    <w:basedOn w:val="1"/>
    <w:next w:val="8"/>
    <w:autoRedefine/>
    <w:qFormat/>
    <w:uiPriority w:val="0"/>
    <w:pPr>
      <w:numPr>
        <w:ilvl w:val="0"/>
        <w:numId w:val="4"/>
      </w:numPr>
    </w:pPr>
  </w:style>
  <w:style w:type="paragraph" w:styleId="15">
    <w:name w:val="Plain Text"/>
    <w:basedOn w:val="1"/>
    <w:link w:val="70"/>
    <w:autoRedefine/>
    <w:qFormat/>
    <w:uiPriority w:val="0"/>
    <w:rPr>
      <w:rFonts w:ascii="宋体" w:hAnsi="Courier New" w:cstheme="minorBidi"/>
    </w:rPr>
  </w:style>
  <w:style w:type="paragraph" w:styleId="16">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60"/>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1">
    <w:name w:val="toc 4"/>
    <w:basedOn w:val="1"/>
    <w:next w:val="1"/>
    <w:autoRedefine/>
    <w:qFormat/>
    <w:uiPriority w:val="0"/>
    <w:pPr>
      <w:ind w:left="630"/>
      <w:jc w:val="left"/>
    </w:pPr>
    <w:rPr>
      <w:sz w:val="18"/>
      <w:szCs w:val="18"/>
    </w:rPr>
  </w:style>
  <w:style w:type="paragraph" w:styleId="22">
    <w:name w:val="toc 2"/>
    <w:basedOn w:val="1"/>
    <w:next w:val="1"/>
    <w:autoRedefine/>
    <w:qFormat/>
    <w:uiPriority w:val="39"/>
    <w:pPr>
      <w:ind w:left="420" w:leftChars="200"/>
    </w:p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9"/>
    <w:next w:val="9"/>
    <w:link w:val="79"/>
    <w:autoRedefine/>
    <w:qFormat/>
    <w:uiPriority w:val="0"/>
    <w:rPr>
      <w:b/>
      <w:bCs/>
    </w:rPr>
  </w:style>
  <w:style w:type="paragraph" w:styleId="26">
    <w:name w:val="Body Text First Indent 2"/>
    <w:basedOn w:val="13"/>
    <w:autoRedefine/>
    <w:qFormat/>
    <w:uiPriority w:val="0"/>
    <w:pPr>
      <w:ind w:firstLine="420"/>
    </w:pPr>
  </w:style>
  <w:style w:type="table" w:styleId="28">
    <w:name w:val="Table Grid"/>
    <w:basedOn w:val="27"/>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0">
    <w:name w:val="Hyperlink"/>
    <w:autoRedefine/>
    <w:qFormat/>
    <w:uiPriority w:val="0"/>
    <w:rPr>
      <w:color w:val="0000FF"/>
      <w:u w:val="single"/>
    </w:rPr>
  </w:style>
  <w:style w:type="character" w:styleId="31">
    <w:name w:val="annotation reference"/>
    <w:basedOn w:val="29"/>
    <w:autoRedefine/>
    <w:qFormat/>
    <w:uiPriority w:val="0"/>
    <w:rPr>
      <w:sz w:val="21"/>
      <w:szCs w:val="21"/>
    </w:rPr>
  </w:style>
  <w:style w:type="paragraph" w:customStyle="1" w:styleId="32">
    <w:name w:val="签发人"/>
    <w:basedOn w:val="1"/>
    <w:qFormat/>
    <w:uiPriority w:val="0"/>
    <w:rPr>
      <w:rFonts w:eastAsia="楷体"/>
      <w:sz w:val="32"/>
    </w:rPr>
  </w:style>
  <w:style w:type="paragraph" w:customStyle="1" w:styleId="33">
    <w:name w:val="[Normal]"/>
    <w:autoRedefine/>
    <w:qFormat/>
    <w:uiPriority w:val="0"/>
    <w:rPr>
      <w:rFonts w:ascii="宋体" w:hAnsi="宋体" w:eastAsia="宋体" w:cs="Times New Roman"/>
      <w:sz w:val="24"/>
      <w:szCs w:val="22"/>
      <w:lang w:val="zh-CN" w:eastAsia="zh-CN" w:bidi="ar-SA"/>
    </w:rPr>
  </w:style>
  <w:style w:type="paragraph" w:customStyle="1" w:styleId="34">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4、正文"/>
    <w:basedOn w:val="1"/>
    <w:autoRedefine/>
    <w:qFormat/>
    <w:uiPriority w:val="0"/>
    <w:pPr>
      <w:ind w:firstLine="200" w:firstLineChars="200"/>
    </w:pPr>
    <w:rPr>
      <w:rFonts w:ascii="宋体"/>
      <w:sz w:val="24"/>
      <w:szCs w:val="28"/>
    </w:rPr>
  </w:style>
  <w:style w:type="paragraph" w:customStyle="1" w:styleId="36">
    <w:name w:val="表格文字"/>
    <w:basedOn w:val="1"/>
    <w:next w:val="10"/>
    <w:autoRedefine/>
    <w:qFormat/>
    <w:uiPriority w:val="0"/>
    <w:pPr>
      <w:jc w:val="left"/>
      <w:textAlignment w:val="top"/>
    </w:pPr>
    <w:rPr>
      <w:sz w:val="18"/>
    </w:rPr>
  </w:style>
  <w:style w:type="paragraph" w:customStyle="1" w:styleId="37">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8">
    <w:name w:val="List Paragraph"/>
    <w:basedOn w:val="1"/>
    <w:autoRedefine/>
    <w:qFormat/>
    <w:uiPriority w:val="0"/>
    <w:pPr>
      <w:ind w:firstLine="420" w:firstLineChars="200"/>
    </w:pPr>
    <w:rPr>
      <w:rFonts w:ascii="Calibri" w:hAnsi="Calibri"/>
      <w:szCs w:val="22"/>
    </w:rPr>
  </w:style>
  <w:style w:type="paragraph" w:customStyle="1" w:styleId="39">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0">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0"/>
    <w:rPr>
      <w:rFonts w:ascii="Times New Roman" w:hAnsi="Times New Roman" w:eastAsia="宋体" w:cs="Times New Roman"/>
      <w:sz w:val="21"/>
      <w:szCs w:val="22"/>
      <w:lang w:val="en-US" w:eastAsia="zh-CN" w:bidi="ar-SA"/>
    </w:rPr>
  </w:style>
  <w:style w:type="paragraph" w:customStyle="1" w:styleId="4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0"/>
    <w:pPr>
      <w:widowControl/>
      <w:jc w:val="left"/>
    </w:pPr>
    <w:rPr>
      <w:rFonts w:ascii="宋体" w:hAnsi="Courier New" w:eastAsiaTheme="minorEastAsia" w:cstheme="minorBidi"/>
      <w:szCs w:val="21"/>
    </w:rPr>
  </w:style>
  <w:style w:type="paragraph" w:customStyle="1" w:styleId="48">
    <w:name w:val="纯文本_0_1"/>
    <w:basedOn w:val="1"/>
    <w:autoRedefine/>
    <w:qFormat/>
    <w:uiPriority w:val="0"/>
    <w:pPr>
      <w:widowControl/>
      <w:jc w:val="left"/>
    </w:pPr>
    <w:rPr>
      <w:rFonts w:ascii="宋体" w:hAnsi="Courier New" w:eastAsiaTheme="minorEastAsia" w:cstheme="minorBidi"/>
      <w:szCs w:val="21"/>
    </w:rPr>
  </w:style>
  <w:style w:type="paragraph" w:customStyle="1" w:styleId="4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font21"/>
    <w:basedOn w:val="29"/>
    <w:autoRedefine/>
    <w:qFormat/>
    <w:uiPriority w:val="0"/>
    <w:rPr>
      <w:rFonts w:hint="default" w:ascii="Arial" w:hAnsi="Arial" w:cs="Arial"/>
      <w:color w:val="000000"/>
      <w:sz w:val="20"/>
      <w:szCs w:val="20"/>
      <w:u w:val="none"/>
    </w:rPr>
  </w:style>
  <w:style w:type="character" w:customStyle="1" w:styleId="54">
    <w:name w:val="font01"/>
    <w:basedOn w:val="29"/>
    <w:autoRedefine/>
    <w:qFormat/>
    <w:uiPriority w:val="0"/>
    <w:rPr>
      <w:rFonts w:hint="eastAsia" w:ascii="宋体" w:hAnsi="宋体" w:eastAsia="宋体" w:cs="宋体"/>
      <w:color w:val="000000"/>
      <w:sz w:val="20"/>
      <w:szCs w:val="20"/>
      <w:u w:val="none"/>
    </w:rPr>
  </w:style>
  <w:style w:type="paragraph" w:customStyle="1" w:styleId="55">
    <w:name w:val="纯文本1"/>
    <w:basedOn w:val="56"/>
    <w:autoRedefine/>
    <w:qFormat/>
    <w:uiPriority w:val="0"/>
    <w:pPr>
      <w:widowControl/>
      <w:jc w:val="left"/>
    </w:pPr>
    <w:rPr>
      <w:rFonts w:ascii="宋体" w:hAnsi="Courier New"/>
    </w:rPr>
  </w:style>
  <w:style w:type="paragraph" w:customStyle="1" w:styleId="5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7">
    <w:name w:val="Table Paragraph"/>
    <w:basedOn w:val="1"/>
    <w:autoRedefine/>
    <w:qFormat/>
    <w:uiPriority w:val="1"/>
    <w:rPr>
      <w:rFonts w:ascii="宋体" w:hAnsi="宋体" w:cs="宋体"/>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paragraph" w:customStyle="1" w:styleId="59">
    <w:name w:val="默认段落字体 Para Char Char Char Char Char Char Char Char Char1 Char Char Char Char"/>
    <w:basedOn w:val="1"/>
    <w:autoRedefine/>
    <w:qFormat/>
    <w:uiPriority w:val="0"/>
    <w:rPr>
      <w:rFonts w:ascii="Tahoma" w:hAnsi="Tahoma"/>
      <w:sz w:val="24"/>
      <w:szCs w:val="20"/>
    </w:rPr>
  </w:style>
  <w:style w:type="character" w:customStyle="1" w:styleId="60">
    <w:name w:val="批注框文本 字符"/>
    <w:basedOn w:val="29"/>
    <w:link w:val="17"/>
    <w:autoRedefine/>
    <w:qFormat/>
    <w:uiPriority w:val="0"/>
    <w:rPr>
      <w:kern w:val="2"/>
      <w:sz w:val="18"/>
      <w:szCs w:val="18"/>
    </w:rPr>
  </w:style>
  <w:style w:type="paragraph" w:customStyle="1" w:styleId="61">
    <w:name w:val="英文"/>
    <w:basedOn w:val="1"/>
    <w:link w:val="63"/>
    <w:autoRedefine/>
    <w:qFormat/>
    <w:uiPriority w:val="0"/>
    <w:pPr>
      <w:adjustRightInd w:val="0"/>
      <w:snapToGrid w:val="0"/>
      <w:spacing w:line="360" w:lineRule="auto"/>
      <w:ind w:firstLine="480" w:firstLineChars="200"/>
    </w:pPr>
    <w:rPr>
      <w:rFonts w:ascii="Arial" w:hAnsi="Arial" w:cs="Arial"/>
      <w:sz w:val="24"/>
    </w:rPr>
  </w:style>
  <w:style w:type="paragraph" w:customStyle="1" w:styleId="62">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3">
    <w:name w:val="英文 Char"/>
    <w:link w:val="61"/>
    <w:autoRedefine/>
    <w:qFormat/>
    <w:uiPriority w:val="0"/>
    <w:rPr>
      <w:rFonts w:ascii="Arial" w:hAnsi="Arial" w:cs="Arial"/>
      <w:sz w:val="24"/>
    </w:rPr>
  </w:style>
  <w:style w:type="paragraph" w:customStyle="1" w:styleId="64">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5">
    <w:name w:val="正文段落"/>
    <w:basedOn w:val="1"/>
    <w:autoRedefine/>
    <w:qFormat/>
    <w:uiPriority w:val="0"/>
    <w:pPr>
      <w:spacing w:line="360" w:lineRule="auto"/>
      <w:ind w:firstLine="200" w:firstLineChars="200"/>
    </w:pPr>
    <w:rPr>
      <w:rFonts w:eastAsia="仿宋"/>
      <w:sz w:val="28"/>
    </w:rPr>
  </w:style>
  <w:style w:type="paragraph" w:customStyle="1" w:styleId="66">
    <w:name w:val="Normal Indent1"/>
    <w:basedOn w:val="1"/>
    <w:autoRedefine/>
    <w:qFormat/>
    <w:uiPriority w:val="0"/>
    <w:pPr>
      <w:ind w:firstLine="420" w:firstLineChars="200"/>
    </w:pPr>
  </w:style>
  <w:style w:type="paragraph" w:customStyle="1" w:styleId="6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列表段落1"/>
    <w:basedOn w:val="1"/>
    <w:autoRedefine/>
    <w:qFormat/>
    <w:uiPriority w:val="0"/>
    <w:pPr>
      <w:ind w:firstLine="420" w:firstLineChars="200"/>
    </w:pPr>
  </w:style>
  <w:style w:type="character" w:customStyle="1" w:styleId="70">
    <w:name w:val="纯文本 字符"/>
    <w:link w:val="15"/>
    <w:autoRedefine/>
    <w:qFormat/>
    <w:uiPriority w:val="0"/>
    <w:rPr>
      <w:rFonts w:ascii="宋体" w:hAnsi="Courier New" w:cstheme="minorBidi"/>
      <w:kern w:val="2"/>
      <w:sz w:val="21"/>
      <w:szCs w:val="24"/>
    </w:rPr>
  </w:style>
  <w:style w:type="character" w:customStyle="1" w:styleId="71">
    <w:name w:val="NormalCharacter"/>
    <w:autoRedefine/>
    <w:qFormat/>
    <w:uiPriority w:val="0"/>
  </w:style>
  <w:style w:type="paragraph" w:customStyle="1" w:styleId="72">
    <w:name w:val="UserStyle_4"/>
    <w:basedOn w:val="1"/>
    <w:autoRedefine/>
    <w:qFormat/>
    <w:uiPriority w:val="0"/>
    <w:pPr>
      <w:ind w:firstLine="420" w:firstLineChars="200"/>
    </w:pPr>
    <w:rPr>
      <w:sz w:val="24"/>
    </w:rPr>
  </w:style>
  <w:style w:type="paragraph" w:customStyle="1" w:styleId="73">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4">
    <w:name w:val="UserStyle_48"/>
    <w:basedOn w:val="1"/>
    <w:autoRedefine/>
    <w:qFormat/>
    <w:uiPriority w:val="0"/>
    <w:pPr>
      <w:ind w:firstLine="420" w:firstLineChars="200"/>
    </w:pPr>
    <w:rPr>
      <w:szCs w:val="21"/>
    </w:rPr>
  </w:style>
  <w:style w:type="paragraph" w:customStyle="1" w:styleId="75">
    <w:name w:val="PlainText"/>
    <w:basedOn w:val="1"/>
    <w:autoRedefine/>
    <w:qFormat/>
    <w:uiPriority w:val="0"/>
    <w:pPr>
      <w:spacing w:before="156" w:after="156" w:line="400" w:lineRule="atLeast"/>
    </w:pPr>
    <w:rPr>
      <w:rFonts w:ascii="宋体" w:hAnsi="Courier New"/>
      <w:sz w:val="24"/>
    </w:rPr>
  </w:style>
  <w:style w:type="paragraph" w:customStyle="1" w:styleId="76">
    <w:name w:val="UserStyle_29"/>
    <w:basedOn w:val="1"/>
    <w:autoRedefine/>
    <w:qFormat/>
    <w:uiPriority w:val="0"/>
    <w:pPr>
      <w:ind w:firstLine="420" w:firstLineChars="200"/>
    </w:pPr>
    <w:rPr>
      <w:szCs w:val="22"/>
    </w:rPr>
  </w:style>
  <w:style w:type="table" w:customStyle="1" w:styleId="77">
    <w:name w:val="Table Normal"/>
    <w:autoRedefine/>
    <w:unhideWhenUsed/>
    <w:qFormat/>
    <w:uiPriority w:val="0"/>
    <w:tblPr>
      <w:tblCellMar>
        <w:top w:w="0" w:type="dxa"/>
        <w:left w:w="0" w:type="dxa"/>
        <w:bottom w:w="0" w:type="dxa"/>
        <w:right w:w="0" w:type="dxa"/>
      </w:tblCellMar>
    </w:tblPr>
  </w:style>
  <w:style w:type="character" w:customStyle="1" w:styleId="78">
    <w:name w:val="批注文字 字符"/>
    <w:basedOn w:val="29"/>
    <w:link w:val="9"/>
    <w:autoRedefine/>
    <w:qFormat/>
    <w:uiPriority w:val="0"/>
    <w:rPr>
      <w:kern w:val="2"/>
      <w:sz w:val="21"/>
      <w:szCs w:val="24"/>
    </w:rPr>
  </w:style>
  <w:style w:type="character" w:customStyle="1" w:styleId="79">
    <w:name w:val="批注主题 字符"/>
    <w:basedOn w:val="78"/>
    <w:link w:val="25"/>
    <w:autoRedefine/>
    <w:qFormat/>
    <w:uiPriority w:val="0"/>
    <w:rPr>
      <w:b/>
      <w:bCs/>
      <w:kern w:val="2"/>
      <w:sz w:val="21"/>
      <w:szCs w:val="24"/>
    </w:rPr>
  </w:style>
  <w:style w:type="character" w:customStyle="1" w:styleId="80">
    <w:name w:val="正文文本首行缩进 字符"/>
    <w:basedOn w:val="29"/>
    <w:link w:val="11"/>
    <w:autoRedefine/>
    <w:qFormat/>
    <w:uiPriority w:val="0"/>
    <w:rPr>
      <w:kern w:val="2"/>
      <w:sz w:val="24"/>
      <w:szCs w:val="24"/>
    </w:rPr>
  </w:style>
  <w:style w:type="paragraph" w:customStyle="1" w:styleId="81">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2">
    <w:name w:val="Unresolved Mention"/>
    <w:basedOn w:val="2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47</Pages>
  <Words>19498</Words>
  <Characters>20448</Characters>
  <Lines>169</Lines>
  <Paragraphs>47</Paragraphs>
  <TotalTime>11</TotalTime>
  <ScaleCrop>false</ScaleCrop>
  <LinksUpToDate>false</LinksUpToDate>
  <CharactersWithSpaces>20968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周正辉</cp:lastModifiedBy>
  <cp:lastPrinted>2023-07-18T00:34:00Z</cp:lastPrinted>
  <dcterms:modified xsi:type="dcterms:W3CDTF">2024-08-01T03:45:25Z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743E2ABD6A9E4482AB60E6CEA0881A75_13</vt:lpwstr>
  </property>
  <property fmtid="{D5CDD505-2E9C-101B-9397-08002B2CF9AE}" pid="4" name="commondata">
    <vt:lpwstr>eyJoZGlkIjoiZWM5NTczMTg4N2ExZWZmMDU0MmIxMDc2NTJiZjIxOTMifQ==</vt:lpwstr>
  </property>
</Properties>
</file>