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72185">
      <w:pPr>
        <w:rPr>
          <w:rFonts w:hint="eastAsia" w:ascii="Times New Roman" w:hAnsi="Times New Roman" w:eastAsia="华文中宋"/>
          <w:b/>
          <w:sz w:val="52"/>
          <w:szCs w:val="52"/>
        </w:rPr>
      </w:pPr>
      <w:bookmarkStart w:id="89" w:name="_GoBack"/>
      <w:r>
        <w:rPr>
          <w:rFonts w:hint="eastAsia" w:ascii="Times New Roman" w:hAnsi="Times New Roman" w:eastAsia="仿宋_GB2312"/>
          <w:bCs/>
          <w:sz w:val="30"/>
          <w:szCs w:val="30"/>
        </w:rPr>
        <w:t>GF—2015—0212</w:t>
      </w:r>
      <w:r>
        <w:rPr>
          <w:rFonts w:hint="eastAsia" w:ascii="Times New Roman" w:hAnsi="Times New Roman" w:eastAsia="仿宋_GB2312"/>
          <w:bCs/>
          <w:sz w:val="30"/>
          <w:szCs w:val="30"/>
          <w:lang w:val="en-US" w:eastAsia="zh-CN"/>
        </w:rPr>
        <w:t xml:space="preserve">                </w:t>
      </w:r>
      <w:r>
        <w:rPr>
          <w:rFonts w:hint="eastAsia" w:ascii="Times New Roman" w:hAnsi="Times New Roman" w:eastAsia="华文中宋"/>
          <w:b/>
          <w:sz w:val="30"/>
          <w:szCs w:val="30"/>
          <w:lang w:val="en-US" w:eastAsia="zh-CN"/>
        </w:rPr>
        <w:t>合同编号：</w:t>
      </w:r>
    </w:p>
    <w:p w14:paraId="35F3791C">
      <w:pPr>
        <w:jc w:val="right"/>
        <w:rPr>
          <w:rFonts w:hint="eastAsia" w:ascii="Times New Roman" w:hAnsi="Times New Roman" w:eastAsia="华文中宋"/>
          <w:b/>
          <w:sz w:val="30"/>
          <w:szCs w:val="30"/>
        </w:rPr>
      </w:pPr>
    </w:p>
    <w:p w14:paraId="174FCEDC">
      <w:pPr>
        <w:jc w:val="both"/>
        <w:rPr>
          <w:rFonts w:hint="eastAsia" w:ascii="Times New Roman" w:hAnsi="Times New Roman" w:eastAsia="华文中宋"/>
          <w:b/>
          <w:sz w:val="30"/>
          <w:szCs w:val="30"/>
          <w:u w:val="single"/>
          <w:lang w:val="en-US" w:eastAsia="zh-CN"/>
        </w:rPr>
      </w:pPr>
      <w:r>
        <w:rPr>
          <w:rFonts w:hint="eastAsia" w:ascii="Times New Roman" w:hAnsi="Times New Roman" w:eastAsia="华文中宋"/>
          <w:b/>
          <w:sz w:val="30"/>
          <w:szCs w:val="30"/>
          <w:lang w:val="en-US" w:eastAsia="zh-CN"/>
        </w:rPr>
        <w:t xml:space="preserve"> </w:t>
      </w:r>
      <w:r>
        <w:rPr>
          <w:rFonts w:hint="eastAsia" w:ascii="Times New Roman" w:hAnsi="Times New Roman" w:eastAsia="华文中宋"/>
          <w:b/>
          <w:sz w:val="30"/>
          <w:szCs w:val="30"/>
        </w:rPr>
        <w:t xml:space="preserve">         </w:t>
      </w:r>
      <w:r>
        <w:rPr>
          <w:rFonts w:hint="eastAsia" w:ascii="Times New Roman" w:hAnsi="Times New Roman" w:eastAsia="华文中宋"/>
          <w:b/>
          <w:sz w:val="30"/>
          <w:szCs w:val="30"/>
          <w:lang w:val="en-US" w:eastAsia="zh-CN"/>
        </w:rPr>
        <w:t xml:space="preserve">                        </w:t>
      </w:r>
    </w:p>
    <w:p w14:paraId="57BAD82C">
      <w:pPr>
        <w:rPr>
          <w:rFonts w:hint="eastAsia" w:eastAsia="宋体"/>
          <w:lang w:eastAsia="zh-CN"/>
        </w:rPr>
      </w:pPr>
    </w:p>
    <w:p w14:paraId="2A7ACBBE">
      <w:pPr>
        <w:rPr>
          <w:rFonts w:hint="eastAsia" w:eastAsia="宋体"/>
          <w:lang w:eastAsia="zh-CN"/>
        </w:rPr>
      </w:pPr>
    </w:p>
    <w:p w14:paraId="68E585FD">
      <w:pPr>
        <w:rPr>
          <w:rFonts w:hint="eastAsia" w:eastAsia="宋体"/>
          <w:lang w:eastAsia="zh-CN"/>
        </w:rPr>
      </w:pPr>
    </w:p>
    <w:p w14:paraId="42DCBA3E"/>
    <w:p w14:paraId="01629590"/>
    <w:p w14:paraId="1547D26F"/>
    <w:p w14:paraId="54FC26A5"/>
    <w:p w14:paraId="5F07F9FB">
      <w:pPr>
        <w:spacing w:line="360" w:lineRule="auto"/>
        <w:jc w:val="center"/>
        <w:rPr>
          <w:rFonts w:hint="eastAsia" w:ascii="华文中宋" w:hAnsi="华文中宋" w:eastAsia="华文中宋"/>
          <w:b/>
          <w:sz w:val="72"/>
          <w:szCs w:val="72"/>
          <w:lang w:eastAsia="zh-CN"/>
        </w:rPr>
      </w:pPr>
      <w:r>
        <w:rPr>
          <w:rFonts w:ascii="华文中宋" w:hAnsi="华文中宋" w:eastAsia="华文中宋"/>
          <w:b/>
          <w:sz w:val="72"/>
          <w:szCs w:val="72"/>
        </w:rPr>
        <w:t>建设工程造价咨询合同</w:t>
      </w:r>
    </w:p>
    <w:p w14:paraId="65A4B0CC">
      <w:pPr>
        <w:spacing w:line="360" w:lineRule="auto"/>
        <w:jc w:val="center"/>
        <w:rPr>
          <w:rFonts w:hint="eastAsia" w:ascii="华文中宋" w:hAnsi="华文中宋" w:eastAsia="华文中宋"/>
          <w:b/>
          <w:sz w:val="32"/>
          <w:szCs w:val="32"/>
          <w:lang w:val="en-US" w:eastAsia="zh-CN"/>
        </w:rPr>
      </w:pPr>
    </w:p>
    <w:p w14:paraId="20164267">
      <w:pPr>
        <w:spacing w:line="360" w:lineRule="auto"/>
        <w:jc w:val="center"/>
        <w:rPr>
          <w:rFonts w:hint="eastAsia" w:ascii="华文中宋" w:hAnsi="华文中宋" w:eastAsia="华文中宋"/>
          <w:b/>
          <w:sz w:val="32"/>
          <w:szCs w:val="32"/>
          <w:lang w:val="en-US" w:eastAsia="zh-CN"/>
        </w:rPr>
      </w:pPr>
      <w:r>
        <w:rPr>
          <w:rFonts w:hint="eastAsia" w:ascii="华文中宋" w:hAnsi="华文中宋" w:eastAsia="华文中宋"/>
          <w:b/>
          <w:sz w:val="32"/>
          <w:szCs w:val="32"/>
          <w:lang w:val="en-US" w:eastAsia="zh-CN"/>
        </w:rPr>
        <w:t>台州市文华小学田径场塑胶改造工程</w:t>
      </w:r>
    </w:p>
    <w:p w14:paraId="40C80D90">
      <w:pPr>
        <w:spacing w:line="360" w:lineRule="auto"/>
        <w:jc w:val="center"/>
        <w:rPr>
          <w:rFonts w:hint="default" w:ascii="华文中宋" w:hAnsi="华文中宋" w:eastAsia="华文中宋"/>
          <w:b/>
          <w:sz w:val="32"/>
          <w:szCs w:val="32"/>
          <w:lang w:val="en-US" w:eastAsia="zh-CN"/>
        </w:rPr>
      </w:pPr>
      <w:r>
        <w:rPr>
          <w:rFonts w:hint="eastAsia" w:ascii="华文中宋" w:hAnsi="华文中宋" w:eastAsia="华文中宋"/>
          <w:b/>
          <w:sz w:val="32"/>
          <w:szCs w:val="32"/>
          <w:lang w:val="en-US" w:eastAsia="zh-CN"/>
        </w:rPr>
        <w:t>预算编制</w:t>
      </w:r>
    </w:p>
    <w:p w14:paraId="18619C3D">
      <w:pPr>
        <w:rPr>
          <w:rFonts w:hint="eastAsia"/>
        </w:rPr>
      </w:pPr>
    </w:p>
    <w:p w14:paraId="6C69C79D">
      <w:pPr>
        <w:pStyle w:val="11"/>
        <w:jc w:val="center"/>
        <w:rPr>
          <w:rFonts w:hint="eastAsia"/>
          <w:color w:val="auto"/>
        </w:rPr>
      </w:pPr>
    </w:p>
    <w:p w14:paraId="4F71E9C5">
      <w:pPr>
        <w:pStyle w:val="11"/>
        <w:jc w:val="center"/>
        <w:rPr>
          <w:rFonts w:hint="eastAsia"/>
          <w:color w:val="auto"/>
        </w:rPr>
      </w:pPr>
    </w:p>
    <w:p w14:paraId="7619BE1F">
      <w:pPr>
        <w:pStyle w:val="11"/>
        <w:jc w:val="center"/>
        <w:rPr>
          <w:rFonts w:hint="eastAsia"/>
          <w:color w:val="auto"/>
        </w:rPr>
      </w:pPr>
    </w:p>
    <w:p w14:paraId="3D942FA1">
      <w:pPr>
        <w:pStyle w:val="11"/>
        <w:jc w:val="center"/>
        <w:rPr>
          <w:rFonts w:hint="eastAsia"/>
          <w:color w:val="auto"/>
        </w:rPr>
      </w:pPr>
    </w:p>
    <w:p w14:paraId="7844D736">
      <w:pPr>
        <w:pStyle w:val="11"/>
        <w:jc w:val="center"/>
        <w:rPr>
          <w:rFonts w:hint="eastAsia"/>
          <w:color w:val="auto"/>
        </w:rPr>
      </w:pPr>
    </w:p>
    <w:p w14:paraId="45584559">
      <w:pPr>
        <w:pStyle w:val="11"/>
        <w:jc w:val="both"/>
        <w:rPr>
          <w:rFonts w:hint="eastAsia"/>
          <w:color w:val="auto"/>
        </w:rPr>
      </w:pPr>
    </w:p>
    <w:p w14:paraId="45422A39">
      <w:pPr>
        <w:pStyle w:val="11"/>
        <w:jc w:val="both"/>
        <w:rPr>
          <w:rFonts w:hint="eastAsia"/>
          <w:color w:val="auto"/>
        </w:rPr>
      </w:pPr>
    </w:p>
    <w:p w14:paraId="487D7697">
      <w:pPr>
        <w:pStyle w:val="11"/>
        <w:rPr>
          <w:rFonts w:hint="eastAsia"/>
          <w:color w:val="auto"/>
          <w:sz w:val="32"/>
          <w:szCs w:val="32"/>
        </w:rPr>
      </w:pPr>
      <w:r>
        <w:rPr>
          <w:color w:val="auto"/>
          <w:sz w:val="32"/>
          <w:szCs w:val="32"/>
        </w:rPr>
        <mc:AlternateContent>
          <mc:Choice Requires="wps">
            <w:drawing>
              <wp:anchor distT="0" distB="0" distL="114300" distR="114300" simplePos="0" relativeHeight="251659264" behindDoc="0" locked="0" layoutInCell="1" allowOverlap="1">
                <wp:simplePos x="0" y="0"/>
                <wp:positionH relativeFrom="column">
                  <wp:posOffset>3761105</wp:posOffset>
                </wp:positionH>
                <wp:positionV relativeFrom="paragraph">
                  <wp:posOffset>267970</wp:posOffset>
                </wp:positionV>
                <wp:extent cx="2239010" cy="354965"/>
                <wp:effectExtent l="5080" t="4445" r="22860" b="21590"/>
                <wp:wrapNone/>
                <wp:docPr id="2" name="文本框 2"/>
                <wp:cNvGraphicFramePr/>
                <a:graphic xmlns:a="http://schemas.openxmlformats.org/drawingml/2006/main">
                  <a:graphicData uri="http://schemas.microsoft.com/office/word/2010/wordprocessingShape">
                    <wps:wsp>
                      <wps:cNvSpPr txBox="1"/>
                      <wps:spPr>
                        <a:xfrm>
                          <a:off x="0" y="0"/>
                          <a:ext cx="2239010" cy="354965"/>
                        </a:xfrm>
                        <a:prstGeom prst="rect">
                          <a:avLst/>
                        </a:prstGeom>
                        <a:solidFill>
                          <a:srgbClr val="FFFFFF"/>
                        </a:solidFill>
                        <a:ln w="0" cap="flat" cmpd="sng">
                          <a:solidFill>
                            <a:srgbClr val="FFFFFF"/>
                          </a:solidFill>
                          <a:prstDash val="solid"/>
                          <a:miter/>
                          <a:headEnd type="none" w="med" len="med"/>
                          <a:tailEnd type="none" w="med" len="med"/>
                        </a:ln>
                      </wps:spPr>
                      <wps:txbx>
                        <w:txbxContent>
                          <w:p w14:paraId="3944FED6">
                            <w:pPr>
                              <w:rPr>
                                <w:b/>
                                <w:sz w:val="32"/>
                                <w:szCs w:val="32"/>
                              </w:rPr>
                            </w:pPr>
                            <w:r>
                              <w:rPr>
                                <w:rFonts w:hint="eastAsia"/>
                                <w:b/>
                                <w:sz w:val="32"/>
                                <w:szCs w:val="32"/>
                              </w:rPr>
                              <w:t>制定</w:t>
                            </w:r>
                          </w:p>
                        </w:txbxContent>
                      </wps:txbx>
                      <wps:bodyPr upright="1">
                        <a:spAutoFit/>
                      </wps:bodyPr>
                    </wps:wsp>
                  </a:graphicData>
                </a:graphic>
              </wp:anchor>
            </w:drawing>
          </mc:Choice>
          <mc:Fallback>
            <w:pict>
              <v:shape id="_x0000_s1026" o:spid="_x0000_s1026" o:spt="202" type="#_x0000_t202" style="position:absolute;left:0pt;margin-left:296.15pt;margin-top:21.1pt;height:27.95pt;width:176.3pt;z-index:251659264;mso-width-relative:page;mso-height-relative:page;" fillcolor="#FFFFFF" filled="t" stroked="t" coordsize="21600,21600" o:gfxdata="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5PP0PZAAAACQEAAA8AAAAAAAAAAQAg&#10;AAAAIgAAAGRycy9kb3ducmV2LnhtbFBLAQIUABQAAAAIAIdO4kBBO+4UDQIAAE0EAAAOAAAAAAAA&#10;AAEAIAAAACgBAABkcnMvZTJvRG9jLnhtbFBLBQYAAAAABgAGAFkBAACnBQAAAAA=&#10;">
                <v:fill on="t" focussize="0,0"/>
                <v:stroke weight="0pt" color="#FFFFFF" joinstyle="miter"/>
                <v:imagedata o:title=""/>
                <o:lock v:ext="edit" aspectratio="f"/>
                <v:textbox style="mso-fit-shape-to-text:t;">
                  <w:txbxContent>
                    <w:p w14:paraId="3944FED6">
                      <w:pPr>
                        <w:rPr>
                          <w:b/>
                          <w:sz w:val="32"/>
                          <w:szCs w:val="32"/>
                        </w:rPr>
                      </w:pPr>
                      <w:r>
                        <w:rPr>
                          <w:rFonts w:hint="eastAsia"/>
                          <w:b/>
                          <w:sz w:val="32"/>
                          <w:szCs w:val="32"/>
                        </w:rPr>
                        <w:t>制定</w:t>
                      </w:r>
                    </w:p>
                  </w:txbxContent>
                </v:textbox>
              </v:shape>
            </w:pict>
          </mc:Fallback>
        </mc:AlternateContent>
      </w:r>
      <w:r>
        <w:rPr>
          <w:rFonts w:hint="eastAsia"/>
          <w:color w:val="auto"/>
          <w:sz w:val="32"/>
          <w:szCs w:val="32"/>
        </w:rPr>
        <w:t xml:space="preserve">                  住 房 和 城 乡 建 设 部</w:t>
      </w:r>
    </w:p>
    <w:p w14:paraId="0561E8A3">
      <w:pPr>
        <w:pStyle w:val="11"/>
        <w:ind w:firstLine="2409" w:firstLineChars="750"/>
        <w:rPr>
          <w:rFonts w:hint="eastAsia"/>
          <w:color w:val="auto"/>
          <w:sz w:val="32"/>
          <w:szCs w:val="32"/>
        </w:rPr>
      </w:pPr>
      <w:r>
        <w:rPr>
          <w:rFonts w:hint="eastAsia"/>
          <w:color w:val="auto"/>
          <w:sz w:val="32"/>
          <w:szCs w:val="32"/>
        </w:rPr>
        <w:t>国家工商行政管理总局</w:t>
      </w:r>
    </w:p>
    <w:p w14:paraId="1764A727">
      <w:pPr>
        <w:pStyle w:val="2"/>
        <w:spacing w:before="120" w:after="120"/>
        <w:jc w:val="center"/>
        <w:rPr>
          <w:rFonts w:hint="eastAsia"/>
          <w:sz w:val="30"/>
          <w:szCs w:val="30"/>
        </w:rPr>
        <w:sectPr>
          <w:footerReference r:id="rId3" w:type="default"/>
          <w:pgSz w:w="11906" w:h="16838"/>
          <w:pgMar w:top="1440" w:right="1800" w:bottom="1440" w:left="1800" w:header="851" w:footer="992" w:gutter="0"/>
          <w:cols w:space="720" w:num="1"/>
          <w:docGrid w:linePitch="312" w:charSpace="0"/>
        </w:sectPr>
      </w:pPr>
      <w:bookmarkStart w:id="0" w:name="_Toc419045055"/>
      <w:bookmarkStart w:id="1" w:name="_Toc422322470"/>
    </w:p>
    <w:bookmarkEnd w:id="0"/>
    <w:bookmarkEnd w:id="1"/>
    <w:p w14:paraId="46EB4B2F">
      <w:pPr>
        <w:pStyle w:val="12"/>
        <w:keepNext w:val="0"/>
        <w:keepLines w:val="0"/>
        <w:pageBreakBefore w:val="0"/>
        <w:kinsoku/>
        <w:wordWrap/>
        <w:overflowPunct/>
        <w:topLinePunct w:val="0"/>
        <w:autoSpaceDE/>
        <w:autoSpaceDN/>
        <w:bidi w:val="0"/>
        <w:adjustRightInd/>
        <w:snapToGrid/>
        <w:spacing w:line="312" w:lineRule="auto"/>
        <w:jc w:val="center"/>
        <w:textAlignment w:val="auto"/>
        <w:rPr>
          <w:rFonts w:hint="eastAsia" w:cs="宋体"/>
          <w:sz w:val="24"/>
          <w:szCs w:val="24"/>
        </w:rPr>
      </w:pPr>
      <w:bookmarkStart w:id="2" w:name="7"/>
      <w:bookmarkStart w:id="3" w:name="_Toc422322557"/>
      <w:bookmarkStart w:id="4" w:name="_Toc419045126"/>
      <w:r>
        <w:rPr>
          <w:rFonts w:hint="eastAsia"/>
          <w:b/>
          <w:bCs/>
          <w:sz w:val="30"/>
          <w:szCs w:val="30"/>
          <w:lang w:val="en-US" w:eastAsia="zh-CN"/>
        </w:rPr>
        <w:t xml:space="preserve">第一部分 </w:t>
      </w:r>
      <w:r>
        <w:rPr>
          <w:rFonts w:hint="eastAsia"/>
          <w:b/>
          <w:bCs/>
          <w:sz w:val="30"/>
          <w:szCs w:val="30"/>
        </w:rPr>
        <w:t>协议书</w:t>
      </w:r>
    </w:p>
    <w:p w14:paraId="79640523">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p>
    <w:p w14:paraId="0CFEF772">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eastAsia="宋体" w:cs="宋体"/>
          <w:sz w:val="24"/>
          <w:szCs w:val="24"/>
          <w:lang w:eastAsia="zh-CN"/>
        </w:rPr>
      </w:pPr>
      <w:r>
        <w:rPr>
          <w:rFonts w:hint="eastAsia" w:cs="宋体"/>
          <w:sz w:val="24"/>
          <w:szCs w:val="24"/>
        </w:rPr>
        <w:t>委托人（全称）：</w:t>
      </w:r>
      <w:r>
        <w:rPr>
          <w:rFonts w:hint="eastAsia" w:cs="宋体"/>
          <w:sz w:val="24"/>
          <w:szCs w:val="24"/>
          <w:u w:val="single"/>
          <w:lang w:eastAsia="zh-CN"/>
        </w:rPr>
        <w:t>台州</w:t>
      </w:r>
      <w:r>
        <w:rPr>
          <w:rFonts w:hint="eastAsia" w:cs="宋体"/>
          <w:sz w:val="24"/>
          <w:szCs w:val="24"/>
          <w:u w:val="single"/>
          <w:lang w:val="en-US" w:eastAsia="zh-CN"/>
        </w:rPr>
        <w:t>市</w:t>
      </w:r>
      <w:r>
        <w:rPr>
          <w:rFonts w:hint="eastAsia" w:cs="宋体"/>
          <w:sz w:val="24"/>
          <w:szCs w:val="24"/>
          <w:u w:val="single"/>
          <w:lang w:eastAsia="zh-CN"/>
        </w:rPr>
        <w:t>文华小学</w:t>
      </w:r>
    </w:p>
    <w:p w14:paraId="1FCC79EC">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default" w:cs="宋体"/>
          <w:sz w:val="24"/>
          <w:szCs w:val="24"/>
          <w:lang w:val="en-US"/>
        </w:rPr>
      </w:pPr>
      <w:r>
        <w:rPr>
          <w:rFonts w:hint="eastAsia" w:cs="宋体"/>
          <w:sz w:val="24"/>
          <w:szCs w:val="24"/>
        </w:rPr>
        <w:t>咨询人（全称）：</w:t>
      </w:r>
      <w:r>
        <w:rPr>
          <w:rFonts w:hint="eastAsia" w:cs="宋体"/>
          <w:sz w:val="24"/>
          <w:szCs w:val="24"/>
          <w:u w:val="single"/>
          <w:lang w:val="en-US" w:eastAsia="zh-CN"/>
        </w:rPr>
        <w:t>隆耀（浙江）</w:t>
      </w:r>
      <w:r>
        <w:rPr>
          <w:rFonts w:hint="eastAsia" w:cs="宋体"/>
          <w:sz w:val="24"/>
          <w:szCs w:val="24"/>
          <w:u w:val="single"/>
          <w:lang w:eastAsia="zh-CN"/>
        </w:rPr>
        <w:t>工程咨询有限公</w:t>
      </w:r>
      <w:r>
        <w:rPr>
          <w:rFonts w:hint="eastAsia" w:cs="宋体"/>
          <w:sz w:val="24"/>
          <w:szCs w:val="24"/>
          <w:u w:val="single"/>
          <w:lang w:val="en-US" w:eastAsia="zh-CN"/>
        </w:rPr>
        <w:t>司</w:t>
      </w:r>
    </w:p>
    <w:p w14:paraId="0E6031AF">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根据《</w:t>
      </w:r>
      <w:r>
        <w:rPr>
          <w:rFonts w:hint="eastAsia" w:cs="宋体"/>
          <w:sz w:val="24"/>
          <w:szCs w:val="24"/>
        </w:rPr>
        <w:fldChar w:fldCharType="begin"/>
      </w:r>
      <w:r>
        <w:rPr>
          <w:rFonts w:hint="eastAsia" w:cs="宋体"/>
          <w:sz w:val="24"/>
          <w:szCs w:val="24"/>
        </w:rPr>
        <w:instrText xml:space="preserve"> HYPERLINK "javascript:SLC(21651,0)" </w:instrText>
      </w:r>
      <w:r>
        <w:rPr>
          <w:rFonts w:hint="eastAsia" w:cs="宋体"/>
          <w:sz w:val="24"/>
          <w:szCs w:val="24"/>
        </w:rPr>
        <w:fldChar w:fldCharType="separate"/>
      </w:r>
      <w:r>
        <w:rPr>
          <w:rStyle w:val="13"/>
          <w:rFonts w:hint="eastAsia" w:ascii="宋体" w:hAnsi="宋体" w:cs="宋体"/>
          <w:color w:val="auto"/>
          <w:sz w:val="24"/>
          <w:szCs w:val="24"/>
        </w:rPr>
        <w:t>中华人民共和国</w:t>
      </w:r>
      <w:r>
        <w:rPr>
          <w:rStyle w:val="13"/>
          <w:rFonts w:hint="eastAsia" w:cs="宋体"/>
          <w:color w:val="auto"/>
          <w:sz w:val="24"/>
          <w:szCs w:val="24"/>
        </w:rPr>
        <w:t>民</w:t>
      </w:r>
      <w:r>
        <w:rPr>
          <w:rFonts w:hint="eastAsia" w:cs="宋体"/>
          <w:sz w:val="24"/>
          <w:szCs w:val="24"/>
        </w:rPr>
        <w:fldChar w:fldCharType="end"/>
      </w:r>
      <w:r>
        <w:rPr>
          <w:rFonts w:hint="eastAsia" w:cs="宋体"/>
          <w:sz w:val="24"/>
          <w:szCs w:val="24"/>
        </w:rPr>
        <w:t>法典》及其他有关法律、法规，遵循平等、自愿、公平和诚实信用的原则，双方就下述建设工程委托造价咨询与其他服务事项协商一致，订立本合同。</w:t>
      </w:r>
    </w:p>
    <w:p w14:paraId="33419D69">
      <w:pPr>
        <w:keepNext w:val="0"/>
        <w:keepLines w:val="0"/>
        <w:pageBreakBefore w:val="0"/>
        <w:kinsoku/>
        <w:wordWrap/>
        <w:overflowPunct/>
        <w:topLinePunct w:val="0"/>
        <w:autoSpaceDE/>
        <w:autoSpaceDN/>
        <w:bidi w:val="0"/>
        <w:adjustRightInd/>
        <w:snapToGrid/>
        <w:spacing w:line="312" w:lineRule="auto"/>
        <w:ind w:firstLine="482" w:firstLineChars="200"/>
        <w:textAlignment w:val="auto"/>
        <w:rPr>
          <w:rStyle w:val="14"/>
          <w:rFonts w:hint="eastAsia" w:ascii="宋体" w:hAnsi="宋体" w:eastAsia="宋体" w:cs="宋体"/>
          <w:szCs w:val="24"/>
          <w:lang w:eastAsia="zh-CN"/>
        </w:rPr>
      </w:pPr>
      <w:bookmarkStart w:id="5" w:name="_Toc422322471"/>
      <w:bookmarkStart w:id="6" w:name="_Toc419045056"/>
      <w:r>
        <w:rPr>
          <w:rStyle w:val="14"/>
          <w:rFonts w:hint="eastAsia" w:ascii="宋体" w:hAnsi="宋体" w:cs="宋体"/>
          <w:szCs w:val="24"/>
        </w:rPr>
        <w:t>一、工程概况</w:t>
      </w:r>
      <w:bookmarkEnd w:id="5"/>
    </w:p>
    <w:p w14:paraId="6D64709F">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lang w:eastAsia="zh-CN"/>
        </w:rPr>
      </w:pPr>
      <w:r>
        <w:rPr>
          <w:rFonts w:hint="eastAsia" w:ascii="宋体" w:hAnsi="宋体" w:cs="宋体"/>
          <w:sz w:val="24"/>
        </w:rPr>
        <w:t>1.工程名称：</w:t>
      </w:r>
      <w:r>
        <w:rPr>
          <w:rFonts w:hint="eastAsia" w:ascii="Arial" w:hAnsi="Arial" w:eastAsia="宋体" w:cs="Arial"/>
          <w:i w:val="0"/>
          <w:iCs w:val="0"/>
          <w:caps w:val="0"/>
          <w:color w:val="000000"/>
          <w:spacing w:val="0"/>
          <w:sz w:val="24"/>
          <w:szCs w:val="24"/>
          <w:u w:val="single"/>
          <w:shd w:val="clear" w:color="auto" w:fill="FFFFFF"/>
          <w:lang w:val="en-US" w:eastAsia="zh-CN"/>
        </w:rPr>
        <w:t>台州市文华小学田径场塑胶改造工程</w:t>
      </w:r>
      <w:r>
        <w:rPr>
          <w:rFonts w:hint="eastAsia" w:ascii="Arial" w:hAnsi="Arial" w:cs="Arial"/>
          <w:i w:val="0"/>
          <w:iCs w:val="0"/>
          <w:caps w:val="0"/>
          <w:color w:val="000000"/>
          <w:spacing w:val="0"/>
          <w:sz w:val="24"/>
          <w:szCs w:val="24"/>
          <w:u w:val="single"/>
          <w:shd w:val="clear" w:color="auto" w:fill="FFFFFF"/>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         </w:t>
      </w:r>
    </w:p>
    <w:p w14:paraId="57403F9E">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rPr>
        <w:t>2.工程地点：</w:t>
      </w:r>
      <w:bookmarkEnd w:id="6"/>
      <w:r>
        <w:rPr>
          <w:rFonts w:hint="eastAsia" w:cs="宋体"/>
          <w:sz w:val="24"/>
          <w:szCs w:val="24"/>
          <w:u w:val="single"/>
          <w:lang w:eastAsia="zh-CN"/>
        </w:rPr>
        <w:t>台州</w:t>
      </w:r>
      <w:r>
        <w:rPr>
          <w:rFonts w:hint="eastAsia" w:cs="宋体"/>
          <w:sz w:val="24"/>
          <w:szCs w:val="24"/>
          <w:u w:val="single"/>
          <w:lang w:val="en-US" w:eastAsia="zh-CN"/>
        </w:rPr>
        <w:t>市</w:t>
      </w:r>
      <w:r>
        <w:rPr>
          <w:rFonts w:hint="eastAsia" w:cs="宋体"/>
          <w:sz w:val="24"/>
          <w:szCs w:val="24"/>
          <w:u w:val="single"/>
          <w:lang w:eastAsia="zh-CN"/>
        </w:rPr>
        <w:t>文华小学</w:t>
      </w:r>
      <w:r>
        <w:rPr>
          <w:rFonts w:hint="eastAsia" w:cs="宋体"/>
          <w:sz w:val="24"/>
          <w:szCs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ab/>
      </w:r>
      <w:r>
        <w:rPr>
          <w:rFonts w:hint="eastAsia" w:ascii="宋体" w:hAnsi="宋体" w:cs="宋体"/>
          <w:sz w:val="24"/>
        </w:rPr>
        <w:t xml:space="preserve"> 。  </w:t>
      </w:r>
    </w:p>
    <w:p w14:paraId="20DAD42E">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u w:val="single"/>
        </w:rPr>
      </w:pPr>
      <w:r>
        <w:rPr>
          <w:rFonts w:hint="eastAsia" w:cs="宋体"/>
          <w:sz w:val="24"/>
          <w:szCs w:val="24"/>
        </w:rPr>
        <w:t>3.工程规模：</w:t>
      </w:r>
      <w:r>
        <w:rPr>
          <w:rFonts w:hint="eastAsia" w:cs="宋体"/>
          <w:sz w:val="24"/>
          <w:szCs w:val="24"/>
          <w:u w:val="single"/>
        </w:rPr>
        <w:t xml:space="preserve"> </w:t>
      </w:r>
      <w:r>
        <w:rPr>
          <w:rFonts w:hint="eastAsia" w:cs="宋体"/>
          <w:sz w:val="24"/>
          <w:szCs w:val="24"/>
          <w:u w:val="single"/>
          <w:lang w:val="en-US" w:eastAsia="zh-CN"/>
        </w:rPr>
        <w:t xml:space="preserve">                   </w:t>
      </w:r>
      <w:r>
        <w:rPr>
          <w:rFonts w:hint="eastAsia" w:cs="宋体"/>
          <w:sz w:val="24"/>
          <w:szCs w:val="24"/>
          <w:u w:val="single"/>
        </w:rPr>
        <w:t xml:space="preserve">                </w:t>
      </w:r>
      <w:r>
        <w:rPr>
          <w:rFonts w:hint="eastAsia" w:cs="宋体"/>
          <w:sz w:val="24"/>
          <w:szCs w:val="24"/>
          <w:u w:val="single"/>
          <w:lang w:val="en-US" w:eastAsia="zh-CN"/>
        </w:rPr>
        <w:t xml:space="preserve"> </w:t>
      </w:r>
      <w:r>
        <w:rPr>
          <w:rFonts w:hint="eastAsia" w:cs="宋体"/>
          <w:sz w:val="24"/>
          <w:szCs w:val="24"/>
          <w:u w:val="single"/>
        </w:rPr>
        <w:t xml:space="preserve">   </w:t>
      </w:r>
      <w:r>
        <w:rPr>
          <w:rFonts w:hint="eastAsia" w:cs="宋体"/>
          <w:sz w:val="24"/>
          <w:szCs w:val="24"/>
          <w:u w:val="single"/>
        </w:rPr>
        <w:tab/>
      </w:r>
      <w:r>
        <w:rPr>
          <w:rFonts w:hint="eastAsia" w:cs="宋体"/>
          <w:sz w:val="24"/>
          <w:szCs w:val="24"/>
          <w:u w:val="single"/>
        </w:rPr>
        <w:t xml:space="preserve"> </w:t>
      </w:r>
      <w:r>
        <w:rPr>
          <w:rFonts w:hint="eastAsia" w:cs="宋体"/>
          <w:sz w:val="24"/>
          <w:szCs w:val="24"/>
        </w:rPr>
        <w:t>。</w:t>
      </w:r>
    </w:p>
    <w:p w14:paraId="145DEE2D">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4.投资金额：</w:t>
      </w:r>
      <w:r>
        <w:rPr>
          <w:rFonts w:hint="eastAsia" w:cs="宋体"/>
          <w:sz w:val="24"/>
          <w:szCs w:val="24"/>
          <w:u w:val="single"/>
        </w:rPr>
        <w:t xml:space="preserve">                                   </w:t>
      </w:r>
      <w:r>
        <w:rPr>
          <w:rFonts w:hint="eastAsia" w:cs="宋体"/>
          <w:sz w:val="24"/>
          <w:szCs w:val="24"/>
          <w:u w:val="single"/>
          <w:lang w:val="en-US" w:eastAsia="zh-CN"/>
        </w:rPr>
        <w:t xml:space="preserve"> </w:t>
      </w:r>
      <w:r>
        <w:rPr>
          <w:rFonts w:hint="eastAsia" w:cs="宋体"/>
          <w:sz w:val="24"/>
          <w:szCs w:val="24"/>
          <w:u w:val="single"/>
        </w:rPr>
        <w:t xml:space="preserve"> </w:t>
      </w:r>
      <w:r>
        <w:rPr>
          <w:rFonts w:hint="eastAsia" w:cs="宋体"/>
          <w:sz w:val="24"/>
          <w:szCs w:val="24"/>
          <w:u w:val="single"/>
        </w:rPr>
        <w:tab/>
      </w:r>
      <w:r>
        <w:rPr>
          <w:rFonts w:hint="eastAsia" w:cs="宋体"/>
          <w:sz w:val="24"/>
          <w:szCs w:val="24"/>
          <w:u w:val="single"/>
        </w:rPr>
        <w:tab/>
      </w:r>
      <w:r>
        <w:rPr>
          <w:rFonts w:hint="eastAsia" w:cs="宋体"/>
          <w:sz w:val="24"/>
          <w:szCs w:val="24"/>
        </w:rPr>
        <w:t>。</w:t>
      </w:r>
    </w:p>
    <w:p w14:paraId="3795B15A">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5.资金来源：</w:t>
      </w:r>
      <w:r>
        <w:rPr>
          <w:rFonts w:hint="eastAsia" w:cs="宋体"/>
          <w:sz w:val="24"/>
          <w:szCs w:val="24"/>
          <w:u w:val="single"/>
        </w:rPr>
        <w:t xml:space="preserve">                                    </w:t>
      </w:r>
      <w:r>
        <w:rPr>
          <w:rFonts w:hint="eastAsia" w:cs="宋体"/>
          <w:sz w:val="24"/>
          <w:szCs w:val="24"/>
          <w:u w:val="single"/>
          <w:lang w:val="en-US" w:eastAsia="zh-CN"/>
        </w:rPr>
        <w:t xml:space="preserve">  </w:t>
      </w:r>
      <w:r>
        <w:rPr>
          <w:rFonts w:hint="eastAsia" w:cs="宋体"/>
          <w:sz w:val="24"/>
          <w:szCs w:val="24"/>
          <w:u w:val="single"/>
        </w:rPr>
        <w:t xml:space="preserve">    </w:t>
      </w:r>
      <w:r>
        <w:rPr>
          <w:rFonts w:hint="eastAsia" w:cs="宋体"/>
          <w:sz w:val="24"/>
          <w:szCs w:val="24"/>
          <w:u w:val="single"/>
        </w:rPr>
        <w:tab/>
      </w:r>
      <w:r>
        <w:rPr>
          <w:rFonts w:hint="eastAsia" w:cs="宋体"/>
          <w:sz w:val="24"/>
          <w:szCs w:val="24"/>
        </w:rPr>
        <w:t>。</w:t>
      </w:r>
    </w:p>
    <w:p w14:paraId="1636A16F">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6.建设工期或周期：</w:t>
      </w:r>
      <w:r>
        <w:rPr>
          <w:rFonts w:hint="eastAsia" w:cs="宋体"/>
          <w:sz w:val="24"/>
          <w:szCs w:val="24"/>
          <w:u w:val="single"/>
        </w:rPr>
        <w:t xml:space="preserve">                               </w:t>
      </w:r>
      <w:r>
        <w:rPr>
          <w:rFonts w:hint="eastAsia" w:cs="宋体"/>
          <w:sz w:val="24"/>
          <w:szCs w:val="24"/>
          <w:u w:val="single"/>
          <w:lang w:val="en-US" w:eastAsia="zh-CN"/>
        </w:rPr>
        <w:t xml:space="preserve">  </w:t>
      </w:r>
      <w:r>
        <w:rPr>
          <w:rFonts w:hint="eastAsia" w:cs="宋体"/>
          <w:sz w:val="24"/>
          <w:szCs w:val="24"/>
          <w:u w:val="single"/>
        </w:rPr>
        <w:t xml:space="preserve">    </w:t>
      </w:r>
      <w:r>
        <w:rPr>
          <w:rFonts w:hint="eastAsia" w:cs="宋体"/>
          <w:sz w:val="24"/>
          <w:szCs w:val="24"/>
          <w:u w:val="single"/>
        </w:rPr>
        <w:tab/>
      </w:r>
      <w:r>
        <w:rPr>
          <w:rFonts w:hint="eastAsia" w:cs="宋体"/>
          <w:sz w:val="24"/>
          <w:szCs w:val="24"/>
        </w:rPr>
        <w:t>。</w:t>
      </w:r>
    </w:p>
    <w:p w14:paraId="289CE991">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7.其他：</w:t>
      </w:r>
      <w:r>
        <w:rPr>
          <w:rFonts w:hint="eastAsia" w:cs="宋体"/>
          <w:sz w:val="24"/>
          <w:szCs w:val="24"/>
          <w:u w:val="single"/>
        </w:rPr>
        <w:t xml:space="preserve">                                       </w:t>
      </w:r>
      <w:r>
        <w:rPr>
          <w:rFonts w:hint="eastAsia" w:cs="宋体"/>
          <w:sz w:val="24"/>
          <w:szCs w:val="24"/>
          <w:u w:val="single"/>
          <w:lang w:val="en-US" w:eastAsia="zh-CN"/>
        </w:rPr>
        <w:t xml:space="preserve"> </w:t>
      </w:r>
      <w:r>
        <w:rPr>
          <w:rFonts w:hint="eastAsia" w:cs="宋体"/>
          <w:sz w:val="24"/>
          <w:szCs w:val="24"/>
          <w:u w:val="single"/>
        </w:rPr>
        <w:t xml:space="preserve"> </w:t>
      </w:r>
      <w:r>
        <w:rPr>
          <w:rFonts w:hint="eastAsia" w:cs="宋体"/>
          <w:sz w:val="24"/>
          <w:szCs w:val="24"/>
          <w:u w:val="single"/>
        </w:rPr>
        <w:tab/>
      </w:r>
      <w:r>
        <w:rPr>
          <w:rFonts w:hint="eastAsia" w:cs="宋体"/>
          <w:sz w:val="24"/>
          <w:szCs w:val="24"/>
          <w:u w:val="single"/>
        </w:rPr>
        <w:tab/>
      </w:r>
      <w:r>
        <w:rPr>
          <w:rFonts w:hint="eastAsia" w:cs="宋体"/>
          <w:sz w:val="24"/>
          <w:szCs w:val="24"/>
        </w:rPr>
        <w:t>。</w:t>
      </w:r>
      <w:bookmarkEnd w:id="2"/>
    </w:p>
    <w:p w14:paraId="282DAECD">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rPr>
          <w:rFonts w:hint="eastAsia" w:ascii="宋体" w:hAnsi="宋体" w:cs="宋体"/>
          <w:szCs w:val="24"/>
        </w:rPr>
      </w:pPr>
      <w:bookmarkStart w:id="7" w:name="_Toc419045059"/>
      <w:bookmarkStart w:id="8" w:name="_Toc422322472"/>
      <w:r>
        <w:rPr>
          <w:rFonts w:hint="eastAsia" w:ascii="宋体" w:hAnsi="宋体" w:cs="宋体"/>
          <w:szCs w:val="24"/>
          <w:lang w:eastAsia="zh-CN"/>
        </w:rPr>
        <w:t>二</w:t>
      </w:r>
      <w:r>
        <w:rPr>
          <w:rFonts w:hint="eastAsia" w:ascii="宋体" w:hAnsi="宋体" w:cs="宋体"/>
          <w:szCs w:val="24"/>
        </w:rPr>
        <w:t>、服务范围及工作内容</w:t>
      </w:r>
      <w:bookmarkEnd w:id="7"/>
      <w:bookmarkEnd w:id="8"/>
    </w:p>
    <w:p w14:paraId="0E9D674F">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u w:val="single"/>
        </w:rPr>
      </w:pPr>
      <w:r>
        <w:rPr>
          <w:rFonts w:hint="eastAsia" w:ascii="宋体" w:hAnsi="宋体" w:cs="宋体"/>
          <w:sz w:val="24"/>
        </w:rPr>
        <w:t>双方约定的服务范围及工作内容：</w:t>
      </w:r>
      <w:r>
        <w:rPr>
          <w:rFonts w:hint="eastAsia" w:ascii="宋体" w:hAnsi="宋体" w:cs="宋体"/>
          <w:sz w:val="24"/>
          <w:u w:val="single"/>
          <w:lang w:val="en-US" w:eastAsia="zh-CN"/>
        </w:rPr>
        <w:t>工程预算编制</w:t>
      </w:r>
      <w:r>
        <w:rPr>
          <w:rFonts w:hint="eastAsia" w:ascii="宋体" w:hAnsi="宋体" w:cs="宋体"/>
          <w:sz w:val="24"/>
        </w:rPr>
        <w:t>。</w:t>
      </w:r>
    </w:p>
    <w:p w14:paraId="2B134CAC">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rPr>
          <w:rFonts w:hint="eastAsia" w:ascii="宋体" w:hAnsi="宋体" w:cs="宋体"/>
          <w:szCs w:val="24"/>
        </w:rPr>
      </w:pPr>
      <w:bookmarkStart w:id="9" w:name="_Toc419045060"/>
      <w:bookmarkStart w:id="10" w:name="_Toc422322473"/>
      <w:bookmarkStart w:id="11" w:name="9"/>
      <w:r>
        <w:rPr>
          <w:rFonts w:hint="eastAsia" w:ascii="宋体" w:hAnsi="宋体" w:cs="宋体"/>
          <w:szCs w:val="24"/>
          <w:lang w:eastAsia="zh-CN"/>
        </w:rPr>
        <w:t>三</w:t>
      </w:r>
      <w:r>
        <w:rPr>
          <w:rFonts w:hint="eastAsia" w:ascii="宋体" w:hAnsi="宋体" w:cs="宋体"/>
          <w:szCs w:val="24"/>
        </w:rPr>
        <w:t>、服务期限</w:t>
      </w:r>
      <w:bookmarkEnd w:id="9"/>
      <w:bookmarkEnd w:id="10"/>
    </w:p>
    <w:p w14:paraId="3C0A6C25">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本合同约定的建设工程造价咨询服务自本协议生效后开始实施</w:t>
      </w:r>
      <w:r>
        <w:rPr>
          <w:rFonts w:hint="eastAsia" w:cs="宋体"/>
          <w:sz w:val="24"/>
          <w:szCs w:val="24"/>
          <w:lang w:eastAsia="zh-CN"/>
        </w:rPr>
        <w:t>，</w:t>
      </w:r>
      <w:r>
        <w:rPr>
          <w:rFonts w:hint="eastAsia" w:cs="宋体"/>
          <w:sz w:val="24"/>
          <w:szCs w:val="24"/>
        </w:rPr>
        <w:t>至咨询人出具报告日终结。</w:t>
      </w:r>
      <w:bookmarkEnd w:id="11"/>
    </w:p>
    <w:p w14:paraId="12CAE71F">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rPr>
          <w:rFonts w:hint="eastAsia" w:ascii="宋体" w:hAnsi="宋体" w:cs="宋体"/>
          <w:szCs w:val="24"/>
        </w:rPr>
      </w:pPr>
      <w:bookmarkStart w:id="12" w:name="_Toc419045061"/>
      <w:bookmarkStart w:id="13" w:name="_Toc422322474"/>
      <w:r>
        <w:rPr>
          <w:rFonts w:hint="eastAsia" w:ascii="宋体" w:hAnsi="宋体" w:cs="宋体"/>
          <w:szCs w:val="24"/>
          <w:lang w:eastAsia="zh-CN"/>
        </w:rPr>
        <w:t>四</w:t>
      </w:r>
      <w:r>
        <w:rPr>
          <w:rFonts w:hint="eastAsia" w:ascii="宋体" w:hAnsi="宋体" w:cs="宋体"/>
          <w:szCs w:val="24"/>
        </w:rPr>
        <w:t>、质量标准</w:t>
      </w:r>
      <w:bookmarkEnd w:id="12"/>
      <w:bookmarkEnd w:id="13"/>
    </w:p>
    <w:p w14:paraId="49232676">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rPr>
        <w:t>工程造价咨询成果文件应符合：</w:t>
      </w:r>
    </w:p>
    <w:p w14:paraId="1F953759">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u w:val="single"/>
        </w:rPr>
      </w:pPr>
      <w:r>
        <w:rPr>
          <w:rFonts w:hint="eastAsia" w:ascii="宋体" w:hAnsi="宋体" w:cs="宋体"/>
          <w:sz w:val="24"/>
          <w:u w:val="single"/>
        </w:rPr>
        <w:t>浙江省建设工程造价咨询质量导则（试行）、浙江省建设工程造价咨询执业操作规程规定。</w:t>
      </w:r>
    </w:p>
    <w:p w14:paraId="47CD58F8">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rPr>
          <w:rFonts w:hint="eastAsia" w:ascii="宋体" w:hAnsi="宋体" w:cs="宋体"/>
          <w:szCs w:val="24"/>
        </w:rPr>
      </w:pPr>
      <w:bookmarkStart w:id="14" w:name="_Toc419045062"/>
      <w:bookmarkStart w:id="15" w:name="_Toc422322475"/>
      <w:bookmarkStart w:id="16" w:name="12"/>
      <w:r>
        <w:rPr>
          <w:rFonts w:hint="eastAsia" w:ascii="宋体" w:hAnsi="宋体" w:cs="宋体"/>
          <w:szCs w:val="24"/>
          <w:lang w:eastAsia="zh-CN"/>
        </w:rPr>
        <w:t>五</w:t>
      </w:r>
      <w:r>
        <w:rPr>
          <w:rFonts w:hint="eastAsia" w:ascii="宋体" w:hAnsi="宋体" w:cs="宋体"/>
          <w:szCs w:val="24"/>
        </w:rPr>
        <w:t>、酬金或计取方式</w:t>
      </w:r>
      <w:bookmarkEnd w:id="14"/>
      <w:bookmarkEnd w:id="15"/>
    </w:p>
    <w:p w14:paraId="74E8A258">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bookmarkStart w:id="17" w:name="_Toc419045058"/>
      <w:bookmarkStart w:id="18" w:name="_Toc422322476"/>
      <w:r>
        <w:rPr>
          <w:rFonts w:hint="eastAsia" w:cs="宋体"/>
          <w:sz w:val="24"/>
          <w:szCs w:val="24"/>
        </w:rPr>
        <w:t xml:space="preserve"> 1.酬金：</w:t>
      </w:r>
      <w:r>
        <w:rPr>
          <w:rFonts w:hint="eastAsia" w:cs="宋体"/>
          <w:sz w:val="24"/>
          <w:szCs w:val="24"/>
          <w:lang w:val="en-US" w:eastAsia="zh-CN"/>
        </w:rPr>
        <w:t>叁仟元整</w:t>
      </w:r>
      <w:r>
        <w:rPr>
          <w:rFonts w:hint="eastAsia" w:cs="宋体"/>
          <w:sz w:val="24"/>
          <w:szCs w:val="24"/>
        </w:rPr>
        <w:t xml:space="preserve"> （大写）（¥</w:t>
      </w:r>
      <w:r>
        <w:rPr>
          <w:rFonts w:hint="eastAsia" w:cs="宋体"/>
          <w:sz w:val="24"/>
          <w:szCs w:val="24"/>
          <w:lang w:val="en-US" w:eastAsia="zh-CN"/>
        </w:rPr>
        <w:t>3000.00</w:t>
      </w:r>
      <w:r>
        <w:rPr>
          <w:rFonts w:hint="eastAsia" w:cs="宋体"/>
          <w:sz w:val="24"/>
          <w:szCs w:val="24"/>
        </w:rPr>
        <w:t xml:space="preserve">）。 </w:t>
      </w:r>
    </w:p>
    <w:p w14:paraId="033BD039">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 xml:space="preserve"> 2.计取方式：参照</w:t>
      </w:r>
      <w:r>
        <w:rPr>
          <w:rFonts w:hint="eastAsia" w:cs="宋体"/>
          <w:sz w:val="24"/>
          <w:szCs w:val="24"/>
          <w:lang w:val="en-US" w:eastAsia="zh-CN"/>
        </w:rPr>
        <w:t>台州市椒江区财政局文件《台椒财经【2022】54号》服务收费标准</w:t>
      </w:r>
      <w:r>
        <w:rPr>
          <w:rFonts w:hint="eastAsia" w:cs="宋体"/>
          <w:sz w:val="24"/>
          <w:szCs w:val="24"/>
        </w:rPr>
        <w:t>计算（低于</w:t>
      </w:r>
      <w:r>
        <w:rPr>
          <w:rFonts w:hint="eastAsia" w:cs="宋体"/>
          <w:sz w:val="24"/>
          <w:szCs w:val="24"/>
          <w:lang w:val="en-US" w:eastAsia="zh-CN"/>
        </w:rPr>
        <w:t>3</w:t>
      </w:r>
      <w:r>
        <w:rPr>
          <w:rFonts w:hint="eastAsia" w:cs="宋体"/>
          <w:sz w:val="24"/>
          <w:szCs w:val="24"/>
        </w:rPr>
        <w:t>000元按</w:t>
      </w:r>
      <w:r>
        <w:rPr>
          <w:rFonts w:hint="eastAsia" w:cs="宋体"/>
          <w:sz w:val="24"/>
          <w:szCs w:val="24"/>
          <w:lang w:val="en-US" w:eastAsia="zh-CN"/>
        </w:rPr>
        <w:t>3</w:t>
      </w:r>
      <w:r>
        <w:rPr>
          <w:rFonts w:hint="eastAsia" w:cs="宋体"/>
          <w:sz w:val="24"/>
          <w:szCs w:val="24"/>
        </w:rPr>
        <w:t>000元计算）。</w:t>
      </w:r>
    </w:p>
    <w:p w14:paraId="2624870C">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bCs/>
          <w:smallCaps/>
          <w:sz w:val="24"/>
        </w:rPr>
      </w:pPr>
      <w:r>
        <w:rPr>
          <w:rFonts w:hint="eastAsia" w:ascii="宋体" w:hAnsi="宋体" w:cs="宋体"/>
          <w:bCs/>
          <w:smallCaps/>
          <w:sz w:val="24"/>
        </w:rPr>
        <w:t xml:space="preserve"> 酬金或计取方式详见附录A。</w:t>
      </w:r>
    </w:p>
    <w:p w14:paraId="6C49F1AC">
      <w:pPr>
        <w:pStyle w:val="12"/>
        <w:keepNext w:val="0"/>
        <w:keepLines w:val="0"/>
        <w:pageBreakBefore w:val="0"/>
        <w:kinsoku/>
        <w:wordWrap/>
        <w:overflowPunct/>
        <w:topLinePunct w:val="0"/>
        <w:autoSpaceDE/>
        <w:autoSpaceDN/>
        <w:bidi w:val="0"/>
        <w:adjustRightInd/>
        <w:snapToGrid/>
        <w:spacing w:line="312" w:lineRule="auto"/>
        <w:ind w:left="399" w:leftChars="190"/>
        <w:textAlignment w:val="auto"/>
        <w:rPr>
          <w:rStyle w:val="14"/>
          <w:rFonts w:hint="eastAsia" w:ascii="宋体" w:hAnsi="宋体" w:eastAsia="宋体" w:cs="宋体"/>
          <w:szCs w:val="24"/>
          <w:lang w:eastAsia="zh-CN"/>
        </w:rPr>
      </w:pPr>
      <w:r>
        <w:rPr>
          <w:rStyle w:val="14"/>
          <w:rFonts w:hint="eastAsia" w:ascii="宋体" w:hAnsi="宋体" w:cs="宋体"/>
          <w:szCs w:val="24"/>
        </w:rPr>
        <w:t>六、合同文件的构成</w:t>
      </w:r>
      <w:bookmarkEnd w:id="17"/>
      <w:bookmarkEnd w:id="18"/>
    </w:p>
    <w:p w14:paraId="590C1024">
      <w:pPr>
        <w:pStyle w:val="12"/>
        <w:keepNext w:val="0"/>
        <w:keepLines w:val="0"/>
        <w:pageBreakBefore w:val="0"/>
        <w:kinsoku/>
        <w:wordWrap/>
        <w:overflowPunct/>
        <w:topLinePunct w:val="0"/>
        <w:autoSpaceDE/>
        <w:autoSpaceDN/>
        <w:bidi w:val="0"/>
        <w:adjustRightInd/>
        <w:snapToGrid/>
        <w:spacing w:line="312" w:lineRule="auto"/>
        <w:ind w:left="399" w:leftChars="190"/>
        <w:textAlignment w:val="auto"/>
        <w:rPr>
          <w:rFonts w:hint="eastAsia" w:cs="宋体"/>
          <w:sz w:val="24"/>
          <w:szCs w:val="24"/>
        </w:rPr>
      </w:pPr>
      <w:r>
        <w:rPr>
          <w:rFonts w:hint="eastAsia" w:cs="宋体"/>
          <w:sz w:val="24"/>
          <w:szCs w:val="24"/>
        </w:rPr>
        <w:t>本协议书与下列文件一起构成合同文件:</w:t>
      </w:r>
    </w:p>
    <w:p w14:paraId="24BEB0C6">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1.中标通知书或委托书（如果有）；</w:t>
      </w:r>
    </w:p>
    <w:p w14:paraId="39737CE4">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2.投标函及投标函附录或造价咨询服务建议书（如果有）；</w:t>
      </w:r>
    </w:p>
    <w:p w14:paraId="3972895A">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3.专用条件及附录；</w:t>
      </w:r>
    </w:p>
    <w:p w14:paraId="0F85E5DE">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4.通用条件；</w:t>
      </w:r>
    </w:p>
    <w:p w14:paraId="30730BAD">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5.其他合同文件。</w:t>
      </w:r>
    </w:p>
    <w:p w14:paraId="5CF7A882">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上述各项合同文件包括合同当事人就该项合同文件所作出的补充和修改，属于同一类内容的文件，应以最新签署的为准。</w:t>
      </w:r>
    </w:p>
    <w:p w14:paraId="1D72B873">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bCs/>
          <w:smallCaps/>
          <w:sz w:val="24"/>
        </w:rPr>
      </w:pPr>
      <w:r>
        <w:rPr>
          <w:rFonts w:hint="eastAsia" w:cs="宋体"/>
          <w:sz w:val="24"/>
          <w:szCs w:val="24"/>
        </w:rPr>
        <w:t>在合同订立及履行过程中形成的与合同有关的文件（包括补充协议）均构</w:t>
      </w:r>
      <w:r>
        <w:rPr>
          <w:rFonts w:hint="eastAsia" w:cs="宋体"/>
          <w:sz w:val="24"/>
        </w:rPr>
        <w:t>成合同文件的组成部分。</w:t>
      </w:r>
    </w:p>
    <w:p w14:paraId="380F3206">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rPr>
          <w:rStyle w:val="14"/>
          <w:rFonts w:hint="eastAsia" w:ascii="宋体" w:hAnsi="宋体" w:cs="宋体"/>
          <w:b/>
          <w:bCs/>
          <w:szCs w:val="24"/>
          <w:lang w:eastAsia="zh-CN"/>
        </w:rPr>
      </w:pPr>
      <w:bookmarkStart w:id="19" w:name="_Toc419045057"/>
      <w:bookmarkStart w:id="20" w:name="_Toc422322477"/>
      <w:r>
        <w:rPr>
          <w:rStyle w:val="14"/>
          <w:rFonts w:hint="eastAsia" w:ascii="宋体" w:hAnsi="宋体" w:cs="宋体"/>
          <w:b/>
          <w:bCs/>
          <w:szCs w:val="24"/>
          <w:lang w:eastAsia="zh-CN"/>
        </w:rPr>
        <w:t>七</w:t>
      </w:r>
      <w:r>
        <w:rPr>
          <w:rStyle w:val="14"/>
          <w:rFonts w:hint="eastAsia" w:ascii="宋体" w:hAnsi="宋体" w:cs="宋体"/>
          <w:b/>
          <w:bCs/>
          <w:szCs w:val="24"/>
        </w:rPr>
        <w:t>、</w:t>
      </w:r>
      <w:bookmarkStart w:id="21" w:name="8"/>
      <w:r>
        <w:rPr>
          <w:rStyle w:val="14"/>
          <w:rFonts w:hint="eastAsia" w:ascii="宋体" w:hAnsi="宋体" w:cs="宋体"/>
          <w:b/>
          <w:bCs/>
          <w:szCs w:val="24"/>
        </w:rPr>
        <w:t>词语</w:t>
      </w:r>
      <w:bookmarkEnd w:id="19"/>
      <w:r>
        <w:rPr>
          <w:rStyle w:val="14"/>
          <w:rFonts w:hint="eastAsia" w:ascii="宋体" w:hAnsi="宋体" w:cs="宋体"/>
          <w:b/>
          <w:bCs/>
          <w:szCs w:val="24"/>
          <w:lang w:eastAsia="zh-CN"/>
        </w:rPr>
        <w:t>定义</w:t>
      </w:r>
      <w:bookmarkEnd w:id="20"/>
    </w:p>
    <w:p w14:paraId="45C52D5A">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rPr>
        <w:t>协议书中相关词语的含义与通用条件中的定义与解释相同。</w:t>
      </w:r>
      <w:bookmarkEnd w:id="21"/>
    </w:p>
    <w:p w14:paraId="5A2B7774">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rPr>
          <w:rFonts w:hint="eastAsia" w:ascii="宋体" w:hAnsi="宋体" w:cs="宋体"/>
          <w:szCs w:val="24"/>
        </w:rPr>
      </w:pPr>
      <w:bookmarkStart w:id="22" w:name="_Toc419045063"/>
      <w:bookmarkStart w:id="23" w:name="_Toc422322478"/>
      <w:r>
        <w:rPr>
          <w:rFonts w:hint="eastAsia" w:ascii="宋体" w:hAnsi="宋体" w:cs="宋体"/>
          <w:szCs w:val="24"/>
        </w:rPr>
        <w:t>八、合同订立</w:t>
      </w:r>
      <w:bookmarkEnd w:id="22"/>
      <w:bookmarkEnd w:id="23"/>
    </w:p>
    <w:p w14:paraId="4E0D23EB">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1.订立时间：_________年_________月_________日。</w:t>
      </w:r>
    </w:p>
    <w:p w14:paraId="054B8C12">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2.订立地点：</w:t>
      </w:r>
      <w:r>
        <w:rPr>
          <w:rFonts w:hint="eastAsia" w:cs="宋体"/>
          <w:sz w:val="24"/>
          <w:szCs w:val="24"/>
          <w:u w:val="single"/>
          <w:lang w:val="en-US" w:eastAsia="zh-CN"/>
        </w:rPr>
        <w:t>委托人办公室</w:t>
      </w:r>
      <w:r>
        <w:rPr>
          <w:rFonts w:hint="eastAsia" w:cs="宋体"/>
          <w:sz w:val="24"/>
          <w:szCs w:val="24"/>
          <w:u w:val="single"/>
        </w:rPr>
        <w:t>。</w:t>
      </w:r>
    </w:p>
    <w:p w14:paraId="630A6901">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rPr>
          <w:rFonts w:hint="eastAsia" w:ascii="宋体" w:hAnsi="宋体" w:cs="宋体"/>
          <w:szCs w:val="24"/>
        </w:rPr>
      </w:pPr>
      <w:bookmarkStart w:id="24" w:name="_Toc422322479"/>
      <w:bookmarkStart w:id="25" w:name="_Toc419045064"/>
      <w:r>
        <w:rPr>
          <w:rFonts w:hint="eastAsia" w:ascii="宋体" w:hAnsi="宋体" w:cs="宋体"/>
          <w:szCs w:val="24"/>
        </w:rPr>
        <w:t>九、合同生效</w:t>
      </w:r>
      <w:bookmarkEnd w:id="24"/>
      <w:bookmarkEnd w:id="25"/>
    </w:p>
    <w:p w14:paraId="668C636E">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本合同自</w:t>
      </w:r>
      <w:r>
        <w:rPr>
          <w:rFonts w:hint="eastAsia" w:cs="宋体"/>
          <w:sz w:val="24"/>
          <w:szCs w:val="24"/>
          <w:u w:val="single"/>
          <w:lang w:val="en-US" w:eastAsia="zh-CN"/>
        </w:rPr>
        <w:t xml:space="preserve">  合同签订之日起  </w:t>
      </w:r>
      <w:r>
        <w:rPr>
          <w:rFonts w:hint="eastAsia" w:cs="宋体"/>
          <w:sz w:val="24"/>
          <w:szCs w:val="24"/>
        </w:rPr>
        <w:t>生效。</w:t>
      </w:r>
    </w:p>
    <w:p w14:paraId="66DAF9D3">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rPr>
          <w:rFonts w:hint="eastAsia" w:ascii="宋体" w:hAnsi="宋体" w:cs="宋体"/>
          <w:szCs w:val="24"/>
        </w:rPr>
      </w:pPr>
      <w:bookmarkStart w:id="26" w:name="_Toc419045065"/>
      <w:bookmarkStart w:id="27" w:name="_Toc422322480"/>
      <w:r>
        <w:rPr>
          <w:rFonts w:hint="eastAsia" w:ascii="宋体" w:hAnsi="宋体" w:cs="宋体"/>
          <w:szCs w:val="24"/>
        </w:rPr>
        <w:t>十、合同份数</w:t>
      </w:r>
      <w:bookmarkEnd w:id="26"/>
      <w:bookmarkEnd w:id="27"/>
    </w:p>
    <w:p w14:paraId="7684D308">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本合同一式</w:t>
      </w:r>
      <w:r>
        <w:rPr>
          <w:rFonts w:hint="eastAsia" w:cs="宋体"/>
          <w:sz w:val="24"/>
          <w:szCs w:val="24"/>
          <w:u w:val="single"/>
          <w:lang w:val="en-US" w:eastAsia="zh-CN"/>
        </w:rPr>
        <w:t>四</w:t>
      </w:r>
      <w:r>
        <w:rPr>
          <w:rFonts w:hint="eastAsia" w:cs="宋体"/>
          <w:sz w:val="24"/>
          <w:szCs w:val="24"/>
        </w:rPr>
        <w:t>份，具有同等法律效力，其中委托人执</w:t>
      </w:r>
      <w:r>
        <w:rPr>
          <w:rFonts w:hint="eastAsia" w:cs="宋体"/>
          <w:sz w:val="24"/>
          <w:szCs w:val="24"/>
          <w:u w:val="single"/>
          <w:lang w:val="en-US" w:eastAsia="zh-CN"/>
        </w:rPr>
        <w:t>二</w:t>
      </w:r>
      <w:r>
        <w:rPr>
          <w:rFonts w:hint="eastAsia" w:cs="宋体"/>
          <w:sz w:val="24"/>
          <w:szCs w:val="24"/>
        </w:rPr>
        <w:t>份，咨询人执</w:t>
      </w:r>
      <w:r>
        <w:rPr>
          <w:rFonts w:hint="eastAsia" w:cs="宋体"/>
          <w:sz w:val="24"/>
          <w:szCs w:val="24"/>
          <w:u w:val="single"/>
          <w:lang w:val="en-US" w:eastAsia="zh-CN"/>
        </w:rPr>
        <w:t>二</w:t>
      </w:r>
      <w:r>
        <w:rPr>
          <w:rFonts w:hint="eastAsia" w:cs="宋体"/>
          <w:sz w:val="24"/>
          <w:szCs w:val="24"/>
        </w:rPr>
        <w:t>份。</w:t>
      </w:r>
    </w:p>
    <w:p w14:paraId="19887C2E">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p>
    <w:p w14:paraId="39B01DFA">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p>
    <w:p w14:paraId="5AB2B131">
      <w:pPr>
        <w:pStyle w:val="12"/>
        <w:keepNext w:val="0"/>
        <w:keepLines w:val="0"/>
        <w:pageBreakBefore w:val="0"/>
        <w:kinsoku/>
        <w:wordWrap/>
        <w:overflowPunct/>
        <w:topLinePunct w:val="0"/>
        <w:autoSpaceDE/>
        <w:autoSpaceDN/>
        <w:bidi w:val="0"/>
        <w:adjustRightInd/>
        <w:snapToGrid/>
        <w:spacing w:line="312" w:lineRule="auto"/>
        <w:ind w:left="0" w:leftChars="0" w:firstLine="0" w:firstLineChars="0"/>
        <w:textAlignment w:val="auto"/>
        <w:rPr>
          <w:rFonts w:hint="eastAsia"/>
          <w:sz w:val="24"/>
          <w:szCs w:val="24"/>
        </w:rPr>
      </w:pPr>
      <w:r>
        <w:rPr>
          <w:rFonts w:hint="eastAsia"/>
          <w:sz w:val="24"/>
          <w:szCs w:val="24"/>
        </w:rPr>
        <w:t>委托人：</w:t>
      </w:r>
      <w:r>
        <w:rPr>
          <w:rFonts w:hint="eastAsia"/>
          <w:sz w:val="24"/>
          <w:szCs w:val="24"/>
          <w:u w:val="single"/>
          <w:lang w:val="en-US" w:eastAsia="zh-CN"/>
        </w:rPr>
        <w:t xml:space="preserve"> </w:t>
      </w:r>
      <w:r>
        <w:rPr>
          <w:rFonts w:hint="eastAsia" w:cs="宋体"/>
          <w:sz w:val="24"/>
          <w:szCs w:val="24"/>
          <w:u w:val="single"/>
          <w:lang w:eastAsia="zh-CN"/>
        </w:rPr>
        <w:t>台州</w:t>
      </w:r>
      <w:r>
        <w:rPr>
          <w:rFonts w:hint="eastAsia" w:cs="宋体"/>
          <w:sz w:val="24"/>
          <w:szCs w:val="24"/>
          <w:u w:val="single"/>
          <w:lang w:val="en-US" w:eastAsia="zh-CN"/>
        </w:rPr>
        <w:t>市</w:t>
      </w:r>
      <w:r>
        <w:rPr>
          <w:rFonts w:hint="eastAsia" w:cs="宋体"/>
          <w:sz w:val="24"/>
          <w:szCs w:val="24"/>
          <w:u w:val="single"/>
          <w:lang w:eastAsia="zh-CN"/>
        </w:rPr>
        <w:t>文华小学</w:t>
      </w:r>
      <w:r>
        <w:rPr>
          <w:rFonts w:hint="eastAsia" w:cs="宋体"/>
          <w:sz w:val="24"/>
          <w:szCs w:val="24"/>
          <w:u w:val="single"/>
          <w:lang w:val="en-US" w:eastAsia="zh-CN"/>
        </w:rPr>
        <w:t xml:space="preserve">     </w:t>
      </w:r>
      <w:r>
        <w:rPr>
          <w:rFonts w:hint="eastAsia" w:cs="宋体"/>
          <w:sz w:val="24"/>
          <w:szCs w:val="24"/>
          <w:u w:val="none"/>
          <w:lang w:val="en-US" w:eastAsia="zh-CN"/>
        </w:rPr>
        <w:t xml:space="preserve">    </w:t>
      </w:r>
      <w:r>
        <w:rPr>
          <w:rFonts w:hint="eastAsia"/>
          <w:sz w:val="24"/>
          <w:szCs w:val="24"/>
        </w:rPr>
        <w:t>咨询人</w:t>
      </w:r>
      <w:r>
        <w:rPr>
          <w:rFonts w:hint="eastAsia"/>
          <w:sz w:val="24"/>
          <w:szCs w:val="24"/>
          <w:u w:val="single"/>
        </w:rPr>
        <w:t>：</w:t>
      </w:r>
      <w:r>
        <w:rPr>
          <w:rFonts w:hint="eastAsia" w:ascii="宋体" w:hAnsi="宋体" w:eastAsia="宋体" w:cs="宋体"/>
          <w:color w:val="000000"/>
          <w:kern w:val="0"/>
          <w:sz w:val="24"/>
          <w:szCs w:val="24"/>
          <w:u w:val="single"/>
          <w:lang w:val="en-US" w:eastAsia="zh-CN"/>
        </w:rPr>
        <w:t>隆耀（浙江）</w:t>
      </w:r>
      <w:r>
        <w:rPr>
          <w:rFonts w:hint="eastAsia" w:ascii="宋体" w:hAnsi="宋体" w:eastAsia="宋体" w:cs="宋体"/>
          <w:color w:val="000000"/>
          <w:kern w:val="0"/>
          <w:sz w:val="24"/>
          <w:szCs w:val="24"/>
          <w:u w:val="single"/>
        </w:rPr>
        <w:t>工程咨询有限公司</w:t>
      </w:r>
      <w:r>
        <w:rPr>
          <w:rFonts w:hint="eastAsia"/>
          <w:sz w:val="24"/>
          <w:szCs w:val="24"/>
        </w:rPr>
        <w:t xml:space="preserve"> </w:t>
      </w:r>
    </w:p>
    <w:p w14:paraId="5FABA354">
      <w:pPr>
        <w:keepNext w:val="0"/>
        <w:keepLines w:val="0"/>
        <w:pageBreakBefore w:val="0"/>
        <w:widowControl w:val="0"/>
        <w:kinsoku/>
        <w:wordWrap/>
        <w:overflowPunct/>
        <w:topLinePunct w:val="0"/>
        <w:autoSpaceDE/>
        <w:autoSpaceDN/>
        <w:bidi w:val="0"/>
        <w:adjustRightInd/>
        <w:snapToGrid/>
        <w:spacing w:line="400" w:lineRule="exact"/>
        <w:ind w:firstLine="1440" w:firstLineChars="600"/>
        <w:textAlignment w:val="auto"/>
        <w:rPr>
          <w:rFonts w:hint="eastAsia"/>
          <w:sz w:val="24"/>
          <w:szCs w:val="24"/>
        </w:rPr>
      </w:pPr>
      <w:r>
        <w:rPr>
          <w:rFonts w:hint="eastAsia"/>
          <w:sz w:val="24"/>
          <w:szCs w:val="24"/>
        </w:rPr>
        <w:t>（盖章）                            （盖章）</w:t>
      </w:r>
    </w:p>
    <w:p w14:paraId="6FB3FEC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24"/>
        </w:rPr>
      </w:pPr>
    </w:p>
    <w:p w14:paraId="40533BF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rPr>
      </w:pPr>
      <w:r>
        <w:rPr>
          <w:rFonts w:hint="eastAsia"/>
          <w:sz w:val="24"/>
          <w:szCs w:val="24"/>
        </w:rPr>
        <w:t>法定代表人或其授权的代理人    法定代表人或其授权的代理人</w:t>
      </w:r>
    </w:p>
    <w:p w14:paraId="22974B05">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sz w:val="24"/>
          <w:szCs w:val="24"/>
        </w:rPr>
      </w:pPr>
      <w:r>
        <w:rPr>
          <w:rFonts w:hint="eastAsia"/>
          <w:sz w:val="24"/>
          <w:szCs w:val="24"/>
        </w:rPr>
        <w:t>（签字或盖章）：                     （签字或盖章）：</w:t>
      </w:r>
    </w:p>
    <w:p w14:paraId="26E9E08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rPr>
      </w:pPr>
    </w:p>
    <w:p w14:paraId="583EBC9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宋体"/>
          <w:sz w:val="24"/>
          <w:szCs w:val="24"/>
          <w:lang w:val="en-US" w:eastAsia="zh-CN"/>
        </w:rPr>
      </w:pPr>
      <w:r>
        <w:rPr>
          <w:rFonts w:hint="eastAsia"/>
          <w:sz w:val="24"/>
          <w:szCs w:val="24"/>
        </w:rPr>
        <w:t xml:space="preserve">统一社会信用代码：         </w:t>
      </w:r>
      <w:r>
        <w:rPr>
          <w:rFonts w:hint="eastAsia"/>
          <w:sz w:val="24"/>
          <w:szCs w:val="24"/>
          <w:lang w:val="en-US" w:eastAsia="zh-CN"/>
        </w:rPr>
        <w:t xml:space="preserve">   </w:t>
      </w:r>
      <w:r>
        <w:rPr>
          <w:rFonts w:hint="eastAsia"/>
          <w:sz w:val="24"/>
          <w:szCs w:val="24"/>
        </w:rPr>
        <w:t>统一社会信用代码：</w:t>
      </w:r>
      <w:r>
        <w:rPr>
          <w:rFonts w:hint="eastAsia"/>
          <w:sz w:val="24"/>
          <w:szCs w:val="24"/>
          <w:lang w:val="en-US" w:eastAsia="zh-CN"/>
        </w:rPr>
        <w:t>91331002MA7BNE8987</w:t>
      </w:r>
    </w:p>
    <w:p w14:paraId="058D73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sz w:val="21"/>
          <w:szCs w:val="21"/>
          <w:lang w:val="en-US" w:eastAsia="zh-CN"/>
        </w:rPr>
      </w:pPr>
      <w:r>
        <w:rPr>
          <w:rFonts w:hint="eastAsia"/>
          <w:sz w:val="24"/>
          <w:szCs w:val="24"/>
        </w:rPr>
        <w:t xml:space="preserve">住所：                   </w:t>
      </w:r>
      <w:r>
        <w:rPr>
          <w:rFonts w:hint="eastAsia"/>
          <w:sz w:val="24"/>
          <w:szCs w:val="24"/>
          <w:lang w:val="en-US" w:eastAsia="zh-CN"/>
        </w:rPr>
        <w:t xml:space="preserve">   </w:t>
      </w:r>
      <w:r>
        <w:rPr>
          <w:rFonts w:hint="eastAsia"/>
          <w:sz w:val="24"/>
          <w:szCs w:val="24"/>
        </w:rPr>
        <w:t>住所：</w:t>
      </w:r>
      <w:r>
        <w:rPr>
          <w:rFonts w:hint="eastAsia" w:ascii="宋体" w:hAnsi="宋体" w:eastAsia="宋体" w:cs="宋体"/>
          <w:i w:val="0"/>
          <w:iCs w:val="0"/>
          <w:color w:val="000000"/>
          <w:kern w:val="0"/>
          <w:sz w:val="21"/>
          <w:szCs w:val="21"/>
          <w:u w:val="none"/>
          <w:lang w:val="en-US" w:eastAsia="zh-CN" w:bidi="ar"/>
        </w:rPr>
        <w:t>台州市椒江区白云街道新东方商厦5002室</w:t>
      </w:r>
    </w:p>
    <w:p w14:paraId="3056D25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宋体"/>
          <w:sz w:val="24"/>
          <w:szCs w:val="24"/>
          <w:lang w:val="en-US" w:eastAsia="zh-CN"/>
        </w:rPr>
      </w:pPr>
      <w:r>
        <w:rPr>
          <w:rFonts w:hint="eastAsia"/>
          <w:sz w:val="24"/>
          <w:szCs w:val="24"/>
        </w:rPr>
        <w:t xml:space="preserve">账号：                     </w:t>
      </w:r>
      <w:r>
        <w:rPr>
          <w:rFonts w:hint="eastAsia"/>
          <w:sz w:val="24"/>
          <w:szCs w:val="24"/>
          <w:lang w:val="en-US" w:eastAsia="zh-CN"/>
        </w:rPr>
        <w:t xml:space="preserve">  </w:t>
      </w:r>
      <w:r>
        <w:rPr>
          <w:rFonts w:hint="eastAsia"/>
          <w:sz w:val="24"/>
          <w:szCs w:val="24"/>
        </w:rPr>
        <w:t>账号：</w:t>
      </w:r>
      <w:r>
        <w:rPr>
          <w:rFonts w:hint="eastAsia"/>
          <w:sz w:val="24"/>
          <w:szCs w:val="24"/>
          <w:lang w:val="en-US" w:eastAsia="zh-CN"/>
        </w:rPr>
        <w:t>550773748600015</w:t>
      </w:r>
    </w:p>
    <w:p w14:paraId="70067A9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1"/>
          <w:szCs w:val="21"/>
          <w:lang w:val="en-US" w:eastAsia="zh-CN"/>
        </w:rPr>
      </w:pPr>
      <w:r>
        <w:rPr>
          <w:rFonts w:hint="eastAsia"/>
          <w:sz w:val="24"/>
          <w:szCs w:val="24"/>
        </w:rPr>
        <w:t xml:space="preserve">开户银行：                  </w:t>
      </w:r>
      <w:r>
        <w:rPr>
          <w:rFonts w:hint="eastAsia"/>
          <w:sz w:val="24"/>
          <w:szCs w:val="24"/>
          <w:lang w:val="en-US" w:eastAsia="zh-CN"/>
        </w:rPr>
        <w:t xml:space="preserve"> </w:t>
      </w:r>
      <w:r>
        <w:rPr>
          <w:rFonts w:hint="eastAsia"/>
          <w:sz w:val="24"/>
          <w:szCs w:val="24"/>
        </w:rPr>
        <w:t>开户银行：</w:t>
      </w:r>
      <w:r>
        <w:rPr>
          <w:rFonts w:hint="eastAsia"/>
          <w:sz w:val="21"/>
          <w:szCs w:val="21"/>
        </w:rPr>
        <w:t>台州银行</w:t>
      </w:r>
      <w:r>
        <w:rPr>
          <w:rFonts w:hint="eastAsia"/>
          <w:sz w:val="21"/>
          <w:szCs w:val="21"/>
          <w:lang w:val="en-US" w:eastAsia="zh-CN"/>
        </w:rPr>
        <w:t>黄岩江口小微企业专营支行</w:t>
      </w:r>
    </w:p>
    <w:p w14:paraId="0CC6DAA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4"/>
          <w:szCs w:val="24"/>
          <w:lang w:eastAsia="zh-CN"/>
        </w:rPr>
      </w:pPr>
      <w:r>
        <w:rPr>
          <w:rFonts w:hint="eastAsia"/>
          <w:sz w:val="24"/>
          <w:szCs w:val="24"/>
        </w:rPr>
        <w:t xml:space="preserve">邮政编码：                 </w:t>
      </w:r>
      <w:r>
        <w:rPr>
          <w:rFonts w:hint="eastAsia"/>
          <w:sz w:val="24"/>
          <w:szCs w:val="24"/>
          <w:lang w:val="en-US" w:eastAsia="zh-CN"/>
        </w:rPr>
        <w:t xml:space="preserve"> </w:t>
      </w:r>
      <w:r>
        <w:rPr>
          <w:rFonts w:hint="eastAsia"/>
          <w:sz w:val="24"/>
          <w:szCs w:val="24"/>
        </w:rPr>
        <w:t xml:space="preserve"> 邮政编码：318000</w:t>
      </w:r>
    </w:p>
    <w:p w14:paraId="55C31CF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宋体"/>
          <w:sz w:val="24"/>
          <w:szCs w:val="24"/>
          <w:lang w:val="en-US" w:eastAsia="zh-CN"/>
        </w:rPr>
      </w:pPr>
      <w:r>
        <w:rPr>
          <w:rFonts w:hint="eastAsia"/>
          <w:sz w:val="24"/>
          <w:szCs w:val="24"/>
        </w:rPr>
        <w:t xml:space="preserve">电    话：                 </w:t>
      </w:r>
      <w:r>
        <w:rPr>
          <w:rFonts w:hint="eastAsia"/>
          <w:sz w:val="24"/>
          <w:szCs w:val="24"/>
          <w:lang w:val="en-US" w:eastAsia="zh-CN"/>
        </w:rPr>
        <w:t xml:space="preserve"> </w:t>
      </w:r>
      <w:r>
        <w:rPr>
          <w:rFonts w:hint="eastAsia"/>
          <w:sz w:val="24"/>
          <w:szCs w:val="24"/>
        </w:rPr>
        <w:t xml:space="preserve"> 电    话：0576-</w:t>
      </w:r>
      <w:r>
        <w:rPr>
          <w:rFonts w:hint="eastAsia"/>
          <w:sz w:val="24"/>
          <w:szCs w:val="24"/>
          <w:lang w:val="en-US" w:eastAsia="zh-CN"/>
        </w:rPr>
        <w:t>88663718</w:t>
      </w:r>
    </w:p>
    <w:p w14:paraId="33F531D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rPr>
      </w:pPr>
      <w:r>
        <w:rPr>
          <w:rFonts w:hint="eastAsia"/>
          <w:sz w:val="24"/>
          <w:szCs w:val="24"/>
        </w:rPr>
        <w:t xml:space="preserve">传    真：                  </w:t>
      </w:r>
      <w:r>
        <w:rPr>
          <w:rFonts w:hint="eastAsia"/>
          <w:sz w:val="24"/>
          <w:szCs w:val="24"/>
          <w:lang w:val="en-US" w:eastAsia="zh-CN"/>
        </w:rPr>
        <w:t xml:space="preserve"> </w:t>
      </w:r>
      <w:r>
        <w:rPr>
          <w:rFonts w:hint="eastAsia"/>
          <w:sz w:val="24"/>
          <w:szCs w:val="24"/>
        </w:rPr>
        <w:t>传    真：0576-</w:t>
      </w:r>
      <w:r>
        <w:rPr>
          <w:rFonts w:hint="eastAsia"/>
          <w:sz w:val="24"/>
          <w:szCs w:val="24"/>
          <w:lang w:val="en-US" w:eastAsia="zh-CN"/>
        </w:rPr>
        <w:t>88663718</w:t>
      </w:r>
    </w:p>
    <w:p w14:paraId="5EB88288">
      <w:pPr>
        <w:pStyle w:val="12"/>
        <w:keepNext w:val="0"/>
        <w:keepLines w:val="0"/>
        <w:pageBreakBefore w:val="0"/>
        <w:kinsoku/>
        <w:wordWrap/>
        <w:overflowPunct/>
        <w:topLinePunct w:val="0"/>
        <w:autoSpaceDE/>
        <w:autoSpaceDN/>
        <w:bidi w:val="0"/>
        <w:adjustRightInd/>
        <w:snapToGrid/>
        <w:spacing w:line="400" w:lineRule="exact"/>
        <w:textAlignment w:val="auto"/>
        <w:rPr>
          <w:rFonts w:hint="eastAsia" w:cs="宋体"/>
          <w:sz w:val="24"/>
          <w:szCs w:val="24"/>
        </w:rPr>
      </w:pPr>
      <w:r>
        <w:rPr>
          <w:rFonts w:hint="eastAsia"/>
          <w:sz w:val="24"/>
          <w:szCs w:val="24"/>
        </w:rPr>
        <w:t xml:space="preserve">电子信箱：                 </w:t>
      </w:r>
      <w:r>
        <w:rPr>
          <w:rFonts w:hint="eastAsia"/>
          <w:sz w:val="24"/>
          <w:szCs w:val="24"/>
          <w:lang w:val="en-US" w:eastAsia="zh-CN"/>
        </w:rPr>
        <w:t xml:space="preserve">  </w:t>
      </w:r>
      <w:r>
        <w:rPr>
          <w:rFonts w:hint="eastAsia"/>
          <w:sz w:val="24"/>
          <w:szCs w:val="24"/>
        </w:rPr>
        <w:t>电子信箱：</w:t>
      </w:r>
    </w:p>
    <w:p w14:paraId="6C76B348">
      <w:pPr>
        <w:pStyle w:val="12"/>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p>
    <w:bookmarkEnd w:id="16"/>
    <w:p w14:paraId="4E86DA8C">
      <w:pPr>
        <w:pStyle w:val="2"/>
        <w:pageBreakBefore w:val="0"/>
        <w:numPr>
          <w:ilvl w:val="0"/>
          <w:numId w:val="0"/>
        </w:numPr>
        <w:kinsoku/>
        <w:wordWrap/>
        <w:overflowPunct/>
        <w:topLinePunct w:val="0"/>
        <w:autoSpaceDE/>
        <w:autoSpaceDN/>
        <w:bidi w:val="0"/>
        <w:adjustRightInd/>
        <w:snapToGrid/>
        <w:spacing w:after="120" w:line="312" w:lineRule="auto"/>
        <w:jc w:val="center"/>
        <w:textAlignment w:val="auto"/>
        <w:rPr>
          <w:rFonts w:hint="eastAsia" w:ascii="宋体" w:hAnsi="宋体"/>
          <w:sz w:val="30"/>
          <w:szCs w:val="30"/>
        </w:rPr>
      </w:pPr>
      <w:bookmarkStart w:id="28" w:name="_Toc422322481"/>
      <w:bookmarkStart w:id="29" w:name="_Toc419045066"/>
      <w:r>
        <w:rPr>
          <w:rFonts w:hint="eastAsia" w:ascii="宋体" w:hAnsi="宋体" w:eastAsia="宋体" w:cs="Times New Roman"/>
          <w:b/>
          <w:bCs/>
          <w:kern w:val="44"/>
          <w:sz w:val="30"/>
          <w:szCs w:val="30"/>
          <w:lang w:val="en-US" w:eastAsia="zh-CN" w:bidi="ar-SA"/>
        </w:rPr>
        <w:t>第二部分　</w:t>
      </w:r>
      <w:r>
        <w:rPr>
          <w:rFonts w:hint="eastAsia" w:ascii="宋体" w:hAnsi="宋体"/>
          <w:sz w:val="30"/>
          <w:szCs w:val="30"/>
        </w:rPr>
        <w:t>通用条件</w:t>
      </w:r>
      <w:bookmarkEnd w:id="28"/>
      <w:bookmarkEnd w:id="29"/>
    </w:p>
    <w:p w14:paraId="47527679">
      <w:pPr>
        <w:pStyle w:val="2"/>
        <w:pageBreakBefore w:val="0"/>
        <w:kinsoku/>
        <w:wordWrap/>
        <w:overflowPunct/>
        <w:topLinePunct w:val="0"/>
        <w:autoSpaceDE/>
        <w:autoSpaceDN/>
        <w:bidi w:val="0"/>
        <w:adjustRightInd/>
        <w:snapToGrid/>
        <w:spacing w:after="120" w:line="312" w:lineRule="auto"/>
        <w:jc w:val="center"/>
        <w:textAlignment w:val="auto"/>
        <w:rPr>
          <w:rFonts w:hint="eastAsia" w:hAnsi="宋体"/>
          <w:bCs w:val="0"/>
          <w:sz w:val="32"/>
          <w:szCs w:val="32"/>
          <w:lang w:eastAsia="zh-CN"/>
        </w:rPr>
      </w:pPr>
      <w:r>
        <w:rPr>
          <w:rFonts w:hint="eastAsia" w:hAnsi="宋体"/>
          <w:bCs w:val="0"/>
          <w:sz w:val="32"/>
          <w:szCs w:val="32"/>
          <w:lang w:eastAsia="zh-CN"/>
        </w:rPr>
        <w:t>（</w:t>
      </w:r>
      <w:r>
        <w:rPr>
          <w:rFonts w:hint="eastAsia" w:hAnsi="宋体"/>
          <w:bCs w:val="0"/>
          <w:sz w:val="32"/>
          <w:szCs w:val="32"/>
          <w:lang w:val="en-US" w:eastAsia="zh-CN"/>
        </w:rPr>
        <w:t>略</w:t>
      </w:r>
      <w:r>
        <w:rPr>
          <w:rFonts w:hint="eastAsia" w:hAnsi="宋体"/>
          <w:bCs w:val="0"/>
          <w:sz w:val="32"/>
          <w:szCs w:val="32"/>
          <w:lang w:eastAsia="zh-CN"/>
        </w:rPr>
        <w:t>）</w:t>
      </w:r>
    </w:p>
    <w:p w14:paraId="3C90B4F9">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bookmarkStart w:id="30" w:name="_Toc422322521"/>
      <w:bookmarkStart w:id="31" w:name="_Toc419045098"/>
    </w:p>
    <w:p w14:paraId="1D8A6B17">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p>
    <w:p w14:paraId="53D666F9">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p>
    <w:p w14:paraId="2C7C5E13">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p>
    <w:p w14:paraId="675AB036">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p>
    <w:p w14:paraId="63941401">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p>
    <w:p w14:paraId="6526DB04">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p>
    <w:p w14:paraId="184A24FF">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p>
    <w:p w14:paraId="202FCC51">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p>
    <w:p w14:paraId="5DAEC579">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p>
    <w:p w14:paraId="69E76C21">
      <w:pPr>
        <w:pageBreakBefore w:val="0"/>
        <w:kinsoku/>
        <w:wordWrap/>
        <w:overflowPunct/>
        <w:topLinePunct w:val="0"/>
        <w:autoSpaceDE/>
        <w:autoSpaceDN/>
        <w:bidi w:val="0"/>
        <w:adjustRightInd/>
        <w:snapToGrid/>
        <w:spacing w:line="312" w:lineRule="auto"/>
        <w:textAlignment w:val="auto"/>
        <w:rPr>
          <w:rFonts w:hint="eastAsia"/>
          <w:sz w:val="30"/>
          <w:szCs w:val="30"/>
        </w:rPr>
      </w:pPr>
    </w:p>
    <w:p w14:paraId="4EAF9357">
      <w:pPr>
        <w:pageBreakBefore w:val="0"/>
        <w:kinsoku/>
        <w:wordWrap/>
        <w:overflowPunct/>
        <w:topLinePunct w:val="0"/>
        <w:autoSpaceDE/>
        <w:autoSpaceDN/>
        <w:bidi w:val="0"/>
        <w:adjustRightInd/>
        <w:snapToGrid/>
        <w:spacing w:line="312" w:lineRule="auto"/>
        <w:textAlignment w:val="auto"/>
        <w:rPr>
          <w:rFonts w:hint="eastAsia"/>
          <w:sz w:val="30"/>
          <w:szCs w:val="30"/>
        </w:rPr>
      </w:pPr>
    </w:p>
    <w:p w14:paraId="42B0EBB3">
      <w:pPr>
        <w:pageBreakBefore w:val="0"/>
        <w:kinsoku/>
        <w:wordWrap/>
        <w:overflowPunct/>
        <w:topLinePunct w:val="0"/>
        <w:autoSpaceDE/>
        <w:autoSpaceDN/>
        <w:bidi w:val="0"/>
        <w:adjustRightInd/>
        <w:snapToGrid/>
        <w:spacing w:line="312" w:lineRule="auto"/>
        <w:textAlignment w:val="auto"/>
        <w:rPr>
          <w:rFonts w:hint="eastAsia"/>
          <w:sz w:val="30"/>
          <w:szCs w:val="30"/>
        </w:rPr>
      </w:pPr>
    </w:p>
    <w:p w14:paraId="5D6E4468">
      <w:pPr>
        <w:pageBreakBefore w:val="0"/>
        <w:kinsoku/>
        <w:wordWrap/>
        <w:overflowPunct/>
        <w:topLinePunct w:val="0"/>
        <w:autoSpaceDE/>
        <w:autoSpaceDN/>
        <w:bidi w:val="0"/>
        <w:adjustRightInd/>
        <w:snapToGrid/>
        <w:spacing w:line="312" w:lineRule="auto"/>
        <w:textAlignment w:val="auto"/>
        <w:rPr>
          <w:rFonts w:hint="eastAsia"/>
          <w:sz w:val="30"/>
          <w:szCs w:val="30"/>
        </w:rPr>
      </w:pPr>
    </w:p>
    <w:p w14:paraId="7362C1BA">
      <w:pPr>
        <w:pageBreakBefore w:val="0"/>
        <w:kinsoku/>
        <w:wordWrap/>
        <w:overflowPunct/>
        <w:topLinePunct w:val="0"/>
        <w:autoSpaceDE/>
        <w:autoSpaceDN/>
        <w:bidi w:val="0"/>
        <w:adjustRightInd/>
        <w:snapToGrid/>
        <w:spacing w:line="312" w:lineRule="auto"/>
        <w:textAlignment w:val="auto"/>
        <w:rPr>
          <w:rFonts w:hint="eastAsia"/>
          <w:sz w:val="30"/>
          <w:szCs w:val="30"/>
        </w:rPr>
      </w:pPr>
    </w:p>
    <w:p w14:paraId="169B47EE">
      <w:pPr>
        <w:pageBreakBefore w:val="0"/>
        <w:kinsoku/>
        <w:wordWrap/>
        <w:overflowPunct/>
        <w:topLinePunct w:val="0"/>
        <w:autoSpaceDE/>
        <w:autoSpaceDN/>
        <w:bidi w:val="0"/>
        <w:adjustRightInd/>
        <w:snapToGrid/>
        <w:spacing w:line="312" w:lineRule="auto"/>
        <w:textAlignment w:val="auto"/>
        <w:rPr>
          <w:rFonts w:hint="eastAsia"/>
          <w:sz w:val="30"/>
          <w:szCs w:val="30"/>
        </w:rPr>
      </w:pPr>
    </w:p>
    <w:p w14:paraId="397C6E7C">
      <w:pPr>
        <w:pageBreakBefore w:val="0"/>
        <w:kinsoku/>
        <w:wordWrap/>
        <w:overflowPunct/>
        <w:topLinePunct w:val="0"/>
        <w:autoSpaceDE/>
        <w:autoSpaceDN/>
        <w:bidi w:val="0"/>
        <w:adjustRightInd/>
        <w:snapToGrid/>
        <w:spacing w:line="312" w:lineRule="auto"/>
        <w:textAlignment w:val="auto"/>
        <w:rPr>
          <w:rFonts w:hint="eastAsia"/>
          <w:sz w:val="30"/>
          <w:szCs w:val="30"/>
        </w:rPr>
      </w:pPr>
    </w:p>
    <w:p w14:paraId="7D6D92D8">
      <w:pPr>
        <w:pageBreakBefore w:val="0"/>
        <w:kinsoku/>
        <w:wordWrap/>
        <w:overflowPunct/>
        <w:topLinePunct w:val="0"/>
        <w:autoSpaceDE/>
        <w:autoSpaceDN/>
        <w:bidi w:val="0"/>
        <w:adjustRightInd/>
        <w:snapToGrid/>
        <w:spacing w:line="312" w:lineRule="auto"/>
        <w:textAlignment w:val="auto"/>
        <w:rPr>
          <w:rFonts w:hint="eastAsia"/>
          <w:sz w:val="30"/>
          <w:szCs w:val="30"/>
        </w:rPr>
      </w:pPr>
    </w:p>
    <w:p w14:paraId="7D6EB0A5">
      <w:pPr>
        <w:pageBreakBefore w:val="0"/>
        <w:kinsoku/>
        <w:wordWrap/>
        <w:overflowPunct/>
        <w:topLinePunct w:val="0"/>
        <w:autoSpaceDE/>
        <w:autoSpaceDN/>
        <w:bidi w:val="0"/>
        <w:adjustRightInd/>
        <w:snapToGrid/>
        <w:spacing w:line="312" w:lineRule="auto"/>
        <w:textAlignment w:val="auto"/>
        <w:rPr>
          <w:rFonts w:hint="eastAsia"/>
          <w:sz w:val="30"/>
          <w:szCs w:val="30"/>
        </w:rPr>
      </w:pPr>
    </w:p>
    <w:p w14:paraId="55E7E95F">
      <w:pPr>
        <w:pStyle w:val="2"/>
        <w:pageBreakBefore w:val="0"/>
        <w:kinsoku/>
        <w:wordWrap/>
        <w:overflowPunct/>
        <w:topLinePunct w:val="0"/>
        <w:autoSpaceDE/>
        <w:autoSpaceDN/>
        <w:bidi w:val="0"/>
        <w:adjustRightInd/>
        <w:snapToGrid/>
        <w:spacing w:after="120" w:line="312" w:lineRule="auto"/>
        <w:jc w:val="center"/>
        <w:textAlignment w:val="auto"/>
        <w:rPr>
          <w:rFonts w:hint="eastAsia"/>
          <w:sz w:val="30"/>
          <w:szCs w:val="30"/>
        </w:rPr>
      </w:pPr>
      <w:r>
        <w:rPr>
          <w:rFonts w:hint="eastAsia"/>
          <w:sz w:val="30"/>
          <w:szCs w:val="30"/>
        </w:rPr>
        <w:t>第三部分　专用条件</w:t>
      </w:r>
      <w:bookmarkEnd w:id="30"/>
      <w:bookmarkEnd w:id="31"/>
      <w:bookmarkStart w:id="32" w:name="45"/>
    </w:p>
    <w:p w14:paraId="67231319">
      <w:pPr>
        <w:rPr>
          <w:rFonts w:hint="eastAsia"/>
        </w:rPr>
      </w:pPr>
    </w:p>
    <w:bookmarkEnd w:id="32"/>
    <w:p w14:paraId="3FFAC9B2">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outlineLvl w:val="9"/>
        <w:rPr>
          <w:rFonts w:hint="eastAsia" w:ascii="宋体" w:hAnsi="宋体" w:cs="宋体"/>
          <w:szCs w:val="24"/>
        </w:rPr>
      </w:pPr>
      <w:bookmarkStart w:id="33" w:name="_Toc419045099"/>
      <w:bookmarkStart w:id="34" w:name="_Toc422322522"/>
      <w:r>
        <w:rPr>
          <w:rFonts w:hint="eastAsia" w:ascii="宋体" w:hAnsi="宋体" w:cs="宋体"/>
          <w:szCs w:val="24"/>
        </w:rPr>
        <w:t>1.词语定义、语言、解释顺序与适用法律</w:t>
      </w:r>
      <w:bookmarkEnd w:id="33"/>
      <w:bookmarkEnd w:id="34"/>
    </w:p>
    <w:p w14:paraId="594FE3FF">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eastAsia="宋体" w:cs="宋体"/>
          <w:b w:val="0"/>
          <w:sz w:val="24"/>
          <w:szCs w:val="24"/>
          <w:lang w:eastAsia="zh-CN"/>
        </w:rPr>
      </w:pPr>
      <w:bookmarkStart w:id="35" w:name="_Toc422322524"/>
      <w:bookmarkStart w:id="36" w:name="_Toc419045101"/>
      <w:r>
        <w:rPr>
          <w:rStyle w:val="15"/>
          <w:rFonts w:hint="eastAsia" w:ascii="宋体" w:hAnsi="宋体" w:cs="宋体"/>
          <w:b w:val="0"/>
          <w:sz w:val="24"/>
          <w:szCs w:val="24"/>
        </w:rPr>
        <w:t>1.</w:t>
      </w:r>
      <w:r>
        <w:rPr>
          <w:rStyle w:val="15"/>
          <w:rFonts w:hint="eastAsia" w:ascii="宋体" w:hAnsi="宋体" w:cs="宋体"/>
          <w:b w:val="0"/>
          <w:sz w:val="24"/>
          <w:szCs w:val="24"/>
          <w:lang w:val="en-US" w:eastAsia="zh-CN"/>
        </w:rPr>
        <w:t>1</w:t>
      </w:r>
      <w:r>
        <w:rPr>
          <w:rStyle w:val="15"/>
          <w:rFonts w:hint="eastAsia" w:ascii="宋体" w:hAnsi="宋体" w:cs="宋体"/>
          <w:b w:val="0"/>
          <w:sz w:val="24"/>
          <w:szCs w:val="24"/>
        </w:rPr>
        <w:t xml:space="preserve"> 语言</w:t>
      </w:r>
      <w:bookmarkEnd w:id="35"/>
      <w:bookmarkEnd w:id="36"/>
    </w:p>
    <w:p w14:paraId="35A9B8A7">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cs="宋体"/>
          <w:b w:val="0"/>
          <w:sz w:val="24"/>
          <w:szCs w:val="24"/>
        </w:rPr>
      </w:pPr>
      <w:r>
        <w:rPr>
          <w:rFonts w:hint="eastAsia" w:ascii="宋体" w:hAnsi="宋体" w:cs="宋体"/>
          <w:sz w:val="24"/>
        </w:rPr>
        <w:t>本合同文件除使用中文外，还可用</w:t>
      </w:r>
      <w:r>
        <w:rPr>
          <w:rFonts w:hint="eastAsia" w:ascii="宋体" w:hAnsi="宋体" w:cs="宋体"/>
          <w:sz w:val="24"/>
          <w:u w:val="single"/>
          <w:lang w:val="en-US" w:eastAsia="zh-CN"/>
        </w:rPr>
        <w:t xml:space="preserve">   /   </w:t>
      </w:r>
      <w:r>
        <w:rPr>
          <w:rFonts w:hint="eastAsia" w:ascii="宋体" w:hAnsi="宋体" w:cs="宋体"/>
          <w:sz w:val="24"/>
        </w:rPr>
        <w:t>。</w:t>
      </w:r>
    </w:p>
    <w:p w14:paraId="0A04B599">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rPr>
      </w:pPr>
      <w:bookmarkStart w:id="37" w:name="_Toc422322525"/>
      <w:r>
        <w:rPr>
          <w:rFonts w:hint="eastAsia" w:ascii="宋体" w:hAnsi="宋体" w:cs="宋体"/>
          <w:b w:val="0"/>
          <w:sz w:val="24"/>
          <w:szCs w:val="24"/>
        </w:rPr>
        <w:t>1.</w:t>
      </w:r>
      <w:r>
        <w:rPr>
          <w:rFonts w:hint="eastAsia" w:ascii="宋体" w:hAnsi="宋体" w:cs="宋体"/>
          <w:b w:val="0"/>
          <w:sz w:val="24"/>
          <w:szCs w:val="24"/>
          <w:lang w:val="en-US" w:eastAsia="zh-CN"/>
        </w:rPr>
        <w:t>2</w:t>
      </w:r>
      <w:r>
        <w:rPr>
          <w:rFonts w:hint="eastAsia" w:ascii="宋体" w:hAnsi="宋体" w:cs="宋体"/>
          <w:b w:val="0"/>
          <w:sz w:val="24"/>
          <w:szCs w:val="24"/>
        </w:rPr>
        <w:t>合同文件的优先顺序</w:t>
      </w:r>
      <w:bookmarkEnd w:id="37"/>
    </w:p>
    <w:p w14:paraId="4104BA81">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本合同文件的解释顺序为：</w:t>
      </w:r>
      <w:r>
        <w:rPr>
          <w:rFonts w:hint="eastAsia" w:ascii="宋体" w:hAnsi="宋体" w:cs="宋体"/>
          <w:sz w:val="24"/>
          <w:u w:val="single"/>
          <w:lang w:val="en-US" w:eastAsia="zh-CN"/>
        </w:rPr>
        <w:t>协议书；专用条件；通用条件</w:t>
      </w:r>
      <w:r>
        <w:rPr>
          <w:rFonts w:hint="eastAsia" w:ascii="宋体" w:hAnsi="宋体" w:cs="宋体"/>
          <w:sz w:val="24"/>
          <w:u w:val="single"/>
        </w:rPr>
        <w:t>。</w:t>
      </w:r>
    </w:p>
    <w:p w14:paraId="063935C4">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cs="宋体"/>
          <w:b w:val="0"/>
          <w:sz w:val="24"/>
          <w:szCs w:val="24"/>
        </w:rPr>
      </w:pPr>
      <w:bookmarkStart w:id="38" w:name="_Toc422322526"/>
      <w:bookmarkStart w:id="39" w:name="_Toc419045102"/>
      <w:r>
        <w:rPr>
          <w:rStyle w:val="15"/>
          <w:rFonts w:hint="eastAsia" w:ascii="宋体" w:hAnsi="宋体" w:cs="宋体"/>
          <w:b w:val="0"/>
          <w:sz w:val="24"/>
          <w:szCs w:val="24"/>
        </w:rPr>
        <w:t>1.</w:t>
      </w:r>
      <w:r>
        <w:rPr>
          <w:rStyle w:val="15"/>
          <w:rFonts w:hint="eastAsia" w:ascii="宋体" w:hAnsi="宋体" w:cs="宋体"/>
          <w:b w:val="0"/>
          <w:sz w:val="24"/>
          <w:szCs w:val="24"/>
          <w:lang w:val="en-US" w:eastAsia="zh-CN"/>
        </w:rPr>
        <w:t>3</w:t>
      </w:r>
      <w:r>
        <w:rPr>
          <w:rStyle w:val="15"/>
          <w:rFonts w:hint="eastAsia" w:ascii="宋体" w:hAnsi="宋体" w:cs="宋体"/>
          <w:b w:val="0"/>
          <w:sz w:val="24"/>
          <w:szCs w:val="24"/>
        </w:rPr>
        <w:t>适用法律</w:t>
      </w:r>
      <w:bookmarkEnd w:id="38"/>
      <w:bookmarkEnd w:id="39"/>
    </w:p>
    <w:p w14:paraId="524BA5A3">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本合同适用的其他规范性文件包括:</w:t>
      </w:r>
      <w:r>
        <w:rPr>
          <w:rFonts w:hint="eastAsia" w:ascii="宋体" w:hAnsi="宋体" w:cs="宋体"/>
          <w:sz w:val="24"/>
          <w:u w:val="single"/>
          <w:lang w:val="en-US" w:eastAsia="zh-CN"/>
        </w:rPr>
        <w:t xml:space="preserve">    /   </w:t>
      </w:r>
      <w:r>
        <w:rPr>
          <w:rFonts w:hint="eastAsia" w:ascii="宋体" w:hAnsi="宋体" w:cs="宋体"/>
          <w:sz w:val="24"/>
        </w:rPr>
        <w:t>。</w:t>
      </w:r>
    </w:p>
    <w:p w14:paraId="13B1CD9C">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outlineLvl w:val="9"/>
        <w:rPr>
          <w:rFonts w:hint="eastAsia" w:ascii="宋体" w:hAnsi="宋体" w:cs="宋体"/>
          <w:szCs w:val="24"/>
        </w:rPr>
      </w:pPr>
      <w:bookmarkStart w:id="40" w:name="_Toc422322527"/>
      <w:bookmarkStart w:id="41" w:name="_Toc419045103"/>
      <w:r>
        <w:rPr>
          <w:rFonts w:hint="eastAsia" w:ascii="宋体" w:hAnsi="宋体" w:cs="宋体"/>
          <w:szCs w:val="24"/>
        </w:rPr>
        <w:t>2.委托人的义务</w:t>
      </w:r>
      <w:bookmarkEnd w:id="40"/>
      <w:bookmarkEnd w:id="41"/>
    </w:p>
    <w:p w14:paraId="0161CE7D">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cs="宋体"/>
          <w:b w:val="0"/>
          <w:sz w:val="24"/>
          <w:szCs w:val="24"/>
        </w:rPr>
      </w:pPr>
      <w:bookmarkStart w:id="42" w:name="_Toc419045104"/>
      <w:bookmarkStart w:id="43" w:name="_Toc422322528"/>
      <w:r>
        <w:rPr>
          <w:rStyle w:val="15"/>
          <w:rFonts w:hint="eastAsia" w:ascii="宋体" w:hAnsi="宋体" w:cs="宋体"/>
          <w:b w:val="0"/>
          <w:sz w:val="24"/>
          <w:szCs w:val="24"/>
        </w:rPr>
        <w:t>2.1提供资料</w:t>
      </w:r>
      <w:bookmarkEnd w:id="42"/>
      <w:bookmarkEnd w:id="43"/>
    </w:p>
    <w:p w14:paraId="3A06A0E8">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委托人按照约定无偿向咨询人提供与本合同咨询业务有关资料的时间为：</w:t>
      </w:r>
      <w:r>
        <w:rPr>
          <w:rFonts w:hint="eastAsia" w:ascii="宋体" w:hAnsi="宋体" w:cs="宋体"/>
          <w:sz w:val="24"/>
          <w:u w:val="single"/>
        </w:rPr>
        <w:t>本合同生效后的五个工作日内。</w:t>
      </w:r>
    </w:p>
    <w:p w14:paraId="05088562">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eastAsia="宋体" w:cs="宋体"/>
          <w:b w:val="0"/>
          <w:sz w:val="24"/>
          <w:szCs w:val="24"/>
          <w:lang w:eastAsia="zh-CN"/>
        </w:rPr>
      </w:pPr>
      <w:bookmarkStart w:id="44" w:name="_Toc422322530"/>
      <w:bookmarkStart w:id="45" w:name="_Toc419045106"/>
      <w:r>
        <w:rPr>
          <w:rStyle w:val="15"/>
          <w:rFonts w:hint="eastAsia" w:ascii="宋体" w:hAnsi="宋体" w:cs="宋体"/>
          <w:b w:val="0"/>
          <w:sz w:val="24"/>
          <w:szCs w:val="24"/>
        </w:rPr>
        <w:t>2.</w:t>
      </w:r>
      <w:r>
        <w:rPr>
          <w:rStyle w:val="15"/>
          <w:rFonts w:hint="eastAsia" w:ascii="宋体" w:hAnsi="宋体" w:cs="宋体"/>
          <w:b w:val="0"/>
          <w:sz w:val="24"/>
          <w:szCs w:val="24"/>
          <w:lang w:val="en-US" w:eastAsia="zh-CN"/>
        </w:rPr>
        <w:t>2</w:t>
      </w:r>
      <w:r>
        <w:rPr>
          <w:rStyle w:val="15"/>
          <w:rFonts w:hint="eastAsia" w:ascii="宋体" w:hAnsi="宋体" w:cs="宋体"/>
          <w:b w:val="0"/>
          <w:sz w:val="24"/>
          <w:szCs w:val="24"/>
        </w:rPr>
        <w:t>委托人代表</w:t>
      </w:r>
      <w:bookmarkEnd w:id="44"/>
      <w:bookmarkEnd w:id="45"/>
    </w:p>
    <w:p w14:paraId="0D96437B">
      <w:pPr>
        <w:keepNext w:val="0"/>
        <w:keepLines w:val="0"/>
        <w:pageBreakBefore w:val="0"/>
        <w:kinsoku/>
        <w:wordWrap/>
        <w:overflowPunct/>
        <w:topLinePunct w:val="0"/>
        <w:autoSpaceDE/>
        <w:autoSpaceDN/>
        <w:bidi w:val="0"/>
        <w:adjustRightInd/>
        <w:snapToGrid/>
        <w:spacing w:line="312" w:lineRule="auto"/>
        <w:jc w:val="left"/>
        <w:textAlignment w:val="auto"/>
        <w:rPr>
          <w:rStyle w:val="15"/>
          <w:rFonts w:hint="eastAsia" w:ascii="宋体" w:hAnsi="宋体" w:cs="宋体"/>
          <w:b w:val="0"/>
          <w:sz w:val="24"/>
          <w:szCs w:val="24"/>
          <w:u w:val="single"/>
        </w:rPr>
      </w:pPr>
      <w:r>
        <w:rPr>
          <w:rFonts w:hint="eastAsia" w:ascii="宋体" w:hAnsi="宋体" w:cs="宋体"/>
          <w:sz w:val="24"/>
        </w:rPr>
        <w:t xml:space="preserve">    委托人代表为：</w:t>
      </w:r>
      <w:r>
        <w:rPr>
          <w:rFonts w:hint="eastAsia" w:ascii="宋体" w:hAnsi="宋体" w:cs="宋体"/>
          <w:sz w:val="24"/>
          <w:u w:val="single"/>
          <w:lang w:val="en-US" w:eastAsia="zh-CN"/>
        </w:rPr>
        <w:t xml:space="preserve">        </w:t>
      </w:r>
      <w:r>
        <w:rPr>
          <w:rFonts w:hint="eastAsia" w:ascii="宋体" w:hAnsi="宋体" w:cs="宋体"/>
          <w:sz w:val="24"/>
        </w:rPr>
        <w:t>，其权限范围：</w:t>
      </w:r>
      <w:r>
        <w:rPr>
          <w:rFonts w:hint="eastAsia" w:ascii="宋体" w:hAnsi="宋体" w:cs="宋体"/>
          <w:sz w:val="24"/>
          <w:u w:val="single"/>
        </w:rPr>
        <w:t>签复咨询人提起的有关咨询联系单、咨询成果确认单、现场勘查记录、确认咨询人发生的差旅费及相关费用、签订合同等。</w:t>
      </w:r>
    </w:p>
    <w:p w14:paraId="31466891">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rPr>
      </w:pPr>
      <w:bookmarkStart w:id="46" w:name="_Toc422322531"/>
      <w:r>
        <w:rPr>
          <w:rFonts w:hint="eastAsia" w:ascii="宋体" w:hAnsi="宋体" w:cs="宋体"/>
          <w:b w:val="0"/>
          <w:sz w:val="24"/>
          <w:szCs w:val="24"/>
        </w:rPr>
        <w:t>2.</w:t>
      </w:r>
      <w:r>
        <w:rPr>
          <w:rFonts w:hint="eastAsia" w:ascii="宋体" w:hAnsi="宋体" w:cs="宋体"/>
          <w:b w:val="0"/>
          <w:sz w:val="24"/>
          <w:szCs w:val="24"/>
          <w:lang w:val="en-US" w:eastAsia="zh-CN"/>
        </w:rPr>
        <w:t>3</w:t>
      </w:r>
      <w:r>
        <w:rPr>
          <w:rFonts w:hint="eastAsia" w:ascii="宋体" w:hAnsi="宋体" w:cs="宋体"/>
          <w:b w:val="0"/>
          <w:sz w:val="24"/>
          <w:szCs w:val="24"/>
        </w:rPr>
        <w:t>答复</w:t>
      </w:r>
      <w:bookmarkEnd w:id="46"/>
    </w:p>
    <w:p w14:paraId="01161FD7">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委托人同意在</w:t>
      </w:r>
      <w:r>
        <w:rPr>
          <w:rFonts w:hint="eastAsia" w:ascii="宋体" w:hAnsi="宋体" w:cs="宋体"/>
          <w:sz w:val="24"/>
          <w:u w:val="single"/>
          <w:lang w:val="en-US" w:eastAsia="zh-CN"/>
        </w:rPr>
        <w:t xml:space="preserve"> 五 </w:t>
      </w:r>
      <w:r>
        <w:rPr>
          <w:rFonts w:hint="eastAsia" w:ascii="宋体" w:hAnsi="宋体" w:cs="宋体"/>
          <w:sz w:val="24"/>
        </w:rPr>
        <w:t>日内，对咨询人书面提交并要求做出决定的事宜给予书面答复。逾期未答复的，视为委托人认可。</w:t>
      </w:r>
    </w:p>
    <w:p w14:paraId="3D6837A5">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outlineLvl w:val="9"/>
        <w:rPr>
          <w:rFonts w:hint="eastAsia" w:ascii="宋体" w:hAnsi="宋体" w:cs="宋体"/>
          <w:szCs w:val="24"/>
        </w:rPr>
      </w:pPr>
      <w:bookmarkStart w:id="47" w:name="_Toc422322532"/>
      <w:bookmarkStart w:id="48" w:name="_Toc419045107"/>
      <w:r>
        <w:rPr>
          <w:rFonts w:hint="eastAsia" w:ascii="宋体" w:hAnsi="宋体" w:cs="宋体"/>
          <w:szCs w:val="24"/>
        </w:rPr>
        <w:t>3.咨询人的义务</w:t>
      </w:r>
      <w:bookmarkEnd w:id="47"/>
      <w:bookmarkEnd w:id="48"/>
    </w:p>
    <w:p w14:paraId="4E0DB3AF">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lang w:eastAsia="zh-CN"/>
        </w:rPr>
      </w:pPr>
      <w:bookmarkStart w:id="49" w:name="_Toc419045109"/>
      <w:bookmarkStart w:id="50" w:name="_Toc422322533"/>
      <w:r>
        <w:rPr>
          <w:rFonts w:hint="eastAsia" w:ascii="宋体" w:hAnsi="宋体" w:cs="宋体"/>
          <w:b w:val="0"/>
          <w:sz w:val="24"/>
          <w:szCs w:val="24"/>
        </w:rPr>
        <w:t>3.</w:t>
      </w:r>
      <w:r>
        <w:rPr>
          <w:rFonts w:hint="eastAsia" w:ascii="宋体" w:hAnsi="宋体" w:cs="宋体"/>
          <w:b w:val="0"/>
          <w:sz w:val="24"/>
          <w:szCs w:val="24"/>
          <w:lang w:eastAsia="zh-CN"/>
        </w:rPr>
        <w:t>1</w:t>
      </w:r>
      <w:r>
        <w:rPr>
          <w:rFonts w:hint="eastAsia" w:ascii="宋体" w:hAnsi="宋体" w:cs="宋体"/>
          <w:b w:val="0"/>
          <w:sz w:val="24"/>
          <w:szCs w:val="24"/>
        </w:rPr>
        <w:t>项目咨询团队及人员</w:t>
      </w:r>
      <w:bookmarkEnd w:id="49"/>
      <w:bookmarkEnd w:id="50"/>
    </w:p>
    <w:p w14:paraId="5B15BB20">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3.1.1项目咨询团队的主要人员</w:t>
      </w:r>
      <w:r>
        <w:rPr>
          <w:rFonts w:hint="eastAsia" w:ascii="宋体" w:hAnsi="宋体" w:cs="宋体"/>
          <w:sz w:val="24"/>
          <w:u w:val="single"/>
        </w:rPr>
        <w:t>应具有建设行业主管部门及其他相关部门的专业技术</w:t>
      </w:r>
      <w:r>
        <w:rPr>
          <w:rFonts w:hint="eastAsia" w:ascii="宋体" w:hAnsi="宋体" w:cs="宋体"/>
          <w:sz w:val="24"/>
        </w:rPr>
        <w:t>资格条件，团队人员的数量为</w:t>
      </w:r>
      <w:r>
        <w:rPr>
          <w:rFonts w:hint="eastAsia" w:ascii="宋体" w:hAnsi="宋体" w:cs="宋体"/>
          <w:sz w:val="24"/>
          <w:u w:val="single"/>
          <w:lang w:val="en-US" w:eastAsia="zh-CN"/>
        </w:rPr>
        <w:t xml:space="preserve">       </w:t>
      </w:r>
      <w:r>
        <w:rPr>
          <w:rFonts w:hint="eastAsia" w:ascii="宋体" w:hAnsi="宋体" w:cs="宋体"/>
          <w:sz w:val="24"/>
        </w:rPr>
        <w:t>人。</w:t>
      </w:r>
    </w:p>
    <w:p w14:paraId="2F5A8C4A">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3.1.2项目负责人为：</w:t>
      </w:r>
      <w:r>
        <w:rPr>
          <w:rFonts w:hint="eastAsia" w:ascii="宋体" w:hAnsi="宋体" w:cs="宋体"/>
          <w:sz w:val="24"/>
          <w:u w:val="single"/>
          <w:lang w:val="en-US" w:eastAsia="zh-CN"/>
        </w:rPr>
        <w:t xml:space="preserve">       </w:t>
      </w:r>
      <w:r>
        <w:rPr>
          <w:rFonts w:hint="eastAsia" w:ascii="宋体" w:hAnsi="宋体" w:cs="宋体"/>
          <w:sz w:val="24"/>
        </w:rPr>
        <w:t>，项目负责人为履行本合同的权限为：</w:t>
      </w:r>
      <w:r>
        <w:rPr>
          <w:rFonts w:hint="eastAsia" w:ascii="宋体" w:hAnsi="宋体" w:cs="宋体"/>
          <w:sz w:val="24"/>
          <w:u w:val="single"/>
        </w:rPr>
        <w:t>确认咨询实施方案、协调咨询过程中的有关异议、项目组内复核、提交初步确认咨询成果等，但不得超越咨询人有关内部管理制度规定的权限。</w:t>
      </w:r>
    </w:p>
    <w:p w14:paraId="25A580A7">
      <w:pPr>
        <w:pStyle w:val="1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sz w:val="24"/>
          <w:szCs w:val="24"/>
        </w:rPr>
      </w:pPr>
      <w:r>
        <w:rPr>
          <w:rFonts w:hint="eastAsia" w:cs="宋体"/>
          <w:sz w:val="24"/>
          <w:szCs w:val="24"/>
        </w:rPr>
        <w:t>3.1.3咨询人更换项目咨询团队其他咨询人员的约定：</w:t>
      </w:r>
      <w:r>
        <w:rPr>
          <w:rFonts w:hint="eastAsia" w:cs="宋体"/>
          <w:sz w:val="24"/>
          <w:szCs w:val="24"/>
          <w:u w:val="single"/>
        </w:rPr>
        <w:t>根据项目具体情况咨询人有权单方更换咨询人员。但应当在变更后的三个工作日内告知委托人。</w:t>
      </w:r>
    </w:p>
    <w:p w14:paraId="453130B6">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3.1.4委托人要求更换咨询人员的情形还包括：</w:t>
      </w:r>
      <w:r>
        <w:rPr>
          <w:rFonts w:hint="eastAsia" w:ascii="宋体" w:hAnsi="宋体" w:cs="宋体"/>
          <w:sz w:val="24"/>
          <w:u w:val="single"/>
        </w:rPr>
        <w:t>根据项目具体情况咨询人有权单方更换咨询人员</w:t>
      </w:r>
      <w:r>
        <w:rPr>
          <w:rFonts w:hint="eastAsia" w:ascii="宋体" w:hAnsi="宋体" w:cs="宋体"/>
          <w:sz w:val="24"/>
          <w:u w:val="single"/>
          <w:lang w:eastAsia="zh-CN"/>
        </w:rPr>
        <w:t>，</w:t>
      </w:r>
      <w:r>
        <w:rPr>
          <w:rFonts w:hint="eastAsia" w:ascii="宋体" w:hAnsi="宋体" w:cs="宋体"/>
          <w:sz w:val="24"/>
          <w:u w:val="single"/>
        </w:rPr>
        <w:t>但应当在变更后的三个工作日内告知委托人。</w:t>
      </w:r>
    </w:p>
    <w:p w14:paraId="3C452068">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rPr>
      </w:pPr>
      <w:bookmarkStart w:id="51" w:name="_Toc419045110"/>
      <w:bookmarkStart w:id="52" w:name="_Toc422322534"/>
      <w:r>
        <w:rPr>
          <w:rFonts w:hint="eastAsia" w:ascii="宋体" w:hAnsi="宋体" w:cs="宋体"/>
          <w:b w:val="0"/>
          <w:sz w:val="24"/>
          <w:szCs w:val="24"/>
        </w:rPr>
        <w:t>3.</w:t>
      </w:r>
      <w:r>
        <w:rPr>
          <w:rFonts w:hint="eastAsia" w:ascii="宋体" w:hAnsi="宋体" w:cs="宋体"/>
          <w:b w:val="0"/>
          <w:sz w:val="24"/>
          <w:szCs w:val="24"/>
          <w:lang w:eastAsia="zh-CN"/>
        </w:rPr>
        <w:t>2</w:t>
      </w:r>
      <w:r>
        <w:rPr>
          <w:rFonts w:hint="eastAsia" w:ascii="宋体" w:hAnsi="宋体" w:cs="宋体"/>
          <w:b w:val="0"/>
          <w:sz w:val="24"/>
          <w:szCs w:val="24"/>
        </w:rPr>
        <w:t>咨询人的工作要求</w:t>
      </w:r>
      <w:bookmarkEnd w:id="51"/>
      <w:bookmarkEnd w:id="52"/>
    </w:p>
    <w:p w14:paraId="7BFDE303">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3.2.1咨询人向委托人提供有关资料的时间：</w:t>
      </w:r>
      <w:r>
        <w:rPr>
          <w:rFonts w:hint="eastAsia" w:ascii="宋体" w:hAnsi="宋体" w:cs="宋体"/>
          <w:sz w:val="24"/>
          <w:u w:val="single"/>
        </w:rPr>
        <w:t>根据咨询项目实施具体情况由咨询人项目负责人向委托人书面发函通知或邮件或微信或电话通知。</w:t>
      </w:r>
    </w:p>
    <w:p w14:paraId="1451268D">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szCs w:val="24"/>
        </w:rPr>
      </w:pPr>
      <w:r>
        <w:rPr>
          <w:rFonts w:hint="eastAsia" w:ascii="宋体" w:hAnsi="宋体" w:cs="宋体"/>
          <w:sz w:val="24"/>
        </w:rPr>
        <w:t>咨询人向委托人提供的资料还包括：</w:t>
      </w:r>
      <w:r>
        <w:rPr>
          <w:rFonts w:hint="eastAsia"/>
          <w:sz w:val="24"/>
          <w:szCs w:val="24"/>
          <w:u w:val="single"/>
        </w:rPr>
        <w:t>由咨询人项目负责人依据项目实施情况确认需要提供的其他有关资料。</w:t>
      </w:r>
    </w:p>
    <w:p w14:paraId="54DEA6C5">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3.2.2咨询人向委托人提供咨询成果文件的名称、组成、时间、份数及质量标准：</w:t>
      </w:r>
      <w:r>
        <w:rPr>
          <w:rFonts w:hint="eastAsia" w:ascii="宋体" w:hAnsi="宋体" w:cs="宋体"/>
          <w:sz w:val="24"/>
          <w:u w:val="single"/>
        </w:rPr>
        <w:t>符合《浙江省建设工程造价咨询质量导则（试行）》和《浙江省建设工程造价咨询执业操作规程》之规定的咨询报告一式</w:t>
      </w:r>
      <w:r>
        <w:rPr>
          <w:rFonts w:hint="eastAsia" w:ascii="宋体" w:hAnsi="宋体" w:cs="宋体"/>
          <w:sz w:val="24"/>
          <w:u w:val="single"/>
          <w:lang w:val="en-US" w:eastAsia="zh-CN"/>
        </w:rPr>
        <w:t>二</w:t>
      </w:r>
      <w:r>
        <w:rPr>
          <w:rFonts w:hint="eastAsia" w:ascii="宋体" w:hAnsi="宋体" w:cs="宋体"/>
          <w:sz w:val="24"/>
          <w:u w:val="single"/>
        </w:rPr>
        <w:t>份</w:t>
      </w:r>
      <w:r>
        <w:rPr>
          <w:rFonts w:hint="eastAsia" w:ascii="宋体" w:hAnsi="宋体" w:cs="宋体"/>
          <w:sz w:val="24"/>
        </w:rPr>
        <w:t>。</w:t>
      </w:r>
    </w:p>
    <w:p w14:paraId="194F44FE">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3.2.</w:t>
      </w:r>
      <w:r>
        <w:rPr>
          <w:rFonts w:hint="eastAsia" w:ascii="宋体" w:hAnsi="宋体" w:cs="宋体"/>
          <w:sz w:val="24"/>
          <w:lang w:val="en-US" w:eastAsia="zh-CN"/>
        </w:rPr>
        <w:t>3</w:t>
      </w:r>
      <w:r>
        <w:rPr>
          <w:rFonts w:hint="eastAsia" w:ascii="宋体" w:hAnsi="宋体" w:cs="宋体"/>
          <w:sz w:val="24"/>
        </w:rPr>
        <w:t>咨询人应在收到委托人以书面形式提出的建议或者异议后</w:t>
      </w:r>
      <w:r>
        <w:rPr>
          <w:rFonts w:hint="eastAsia" w:ascii="宋体" w:hAnsi="宋体" w:cs="宋体"/>
          <w:sz w:val="24"/>
          <w:u w:val="single"/>
          <w:lang w:val="en-US" w:eastAsia="zh-CN"/>
        </w:rPr>
        <w:t>十个工作</w:t>
      </w:r>
      <w:r>
        <w:rPr>
          <w:rFonts w:hint="eastAsia" w:ascii="宋体" w:hAnsi="宋体" w:cs="宋体"/>
          <w:sz w:val="24"/>
          <w:u w:val="single"/>
        </w:rPr>
        <w:t>日</w:t>
      </w:r>
      <w:r>
        <w:rPr>
          <w:rFonts w:hint="eastAsia" w:ascii="宋体" w:hAnsi="宋体" w:cs="宋体"/>
          <w:sz w:val="24"/>
        </w:rPr>
        <w:t>内给予书面答复。</w:t>
      </w:r>
    </w:p>
    <w:p w14:paraId="756A0B28">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rPr>
      </w:pPr>
      <w:bookmarkStart w:id="53" w:name="_Toc422322535"/>
      <w:bookmarkStart w:id="54" w:name="_Toc419045111"/>
      <w:r>
        <w:rPr>
          <w:rFonts w:hint="eastAsia" w:ascii="宋体" w:hAnsi="宋体" w:cs="宋体"/>
          <w:b w:val="0"/>
          <w:sz w:val="24"/>
          <w:szCs w:val="24"/>
        </w:rPr>
        <w:t>3.</w:t>
      </w:r>
      <w:r>
        <w:rPr>
          <w:rFonts w:hint="eastAsia" w:ascii="宋体" w:hAnsi="宋体" w:cs="宋体"/>
          <w:b w:val="0"/>
          <w:sz w:val="24"/>
          <w:szCs w:val="24"/>
          <w:lang w:eastAsia="zh-CN"/>
        </w:rPr>
        <w:t>3</w:t>
      </w:r>
      <w:r>
        <w:rPr>
          <w:rFonts w:hint="eastAsia" w:ascii="宋体" w:hAnsi="宋体" w:cs="宋体"/>
          <w:b w:val="0"/>
          <w:sz w:val="24"/>
          <w:szCs w:val="24"/>
        </w:rPr>
        <w:t>咨询人的工作依据</w:t>
      </w:r>
      <w:bookmarkEnd w:id="53"/>
      <w:bookmarkEnd w:id="54"/>
    </w:p>
    <w:p w14:paraId="622281FB">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经双方协商，本合同约定的造价咨询服务适用的技术标准、规范、定额等工作依据为：</w:t>
      </w:r>
      <w:r>
        <w:rPr>
          <w:rFonts w:hint="eastAsia" w:ascii="宋体" w:hAnsi="宋体" w:cs="宋体"/>
          <w:sz w:val="24"/>
          <w:u w:val="single"/>
        </w:rPr>
        <w:t>现行有效的省市行业主管部门规定</w:t>
      </w:r>
      <w:r>
        <w:rPr>
          <w:rFonts w:hint="eastAsia" w:ascii="宋体" w:hAnsi="宋体" w:cs="宋体"/>
          <w:sz w:val="24"/>
        </w:rPr>
        <w:t>。</w:t>
      </w:r>
    </w:p>
    <w:p w14:paraId="7972E2E0">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outlineLvl w:val="9"/>
        <w:rPr>
          <w:rFonts w:hint="eastAsia" w:ascii="宋体" w:hAnsi="宋体" w:cs="宋体"/>
          <w:szCs w:val="24"/>
        </w:rPr>
      </w:pPr>
      <w:bookmarkStart w:id="55" w:name="_Toc422322537"/>
      <w:bookmarkStart w:id="56" w:name="_Toc419045113"/>
      <w:r>
        <w:rPr>
          <w:rFonts w:hint="eastAsia" w:ascii="宋体" w:hAnsi="宋体" w:cs="宋体"/>
          <w:szCs w:val="24"/>
        </w:rPr>
        <w:t>4. 违约责任</w:t>
      </w:r>
      <w:bookmarkEnd w:id="55"/>
      <w:bookmarkEnd w:id="56"/>
    </w:p>
    <w:p w14:paraId="596056AF">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sz w:val="24"/>
          <w:szCs w:val="24"/>
        </w:rPr>
      </w:pPr>
      <w:bookmarkStart w:id="57" w:name="_Toc422322538"/>
      <w:r>
        <w:rPr>
          <w:rStyle w:val="15"/>
          <w:rFonts w:hint="eastAsia" w:ascii="宋体" w:hAnsi="宋体" w:cs="宋体"/>
          <w:b w:val="0"/>
          <w:bCs w:val="0"/>
          <w:sz w:val="24"/>
          <w:szCs w:val="24"/>
        </w:rPr>
        <w:t>4.1委托人的违约责任</w:t>
      </w:r>
      <w:bookmarkEnd w:id="57"/>
    </w:p>
    <w:p w14:paraId="3AC6386C">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4.1.1委托人违约金的计算及支付方法：</w:t>
      </w:r>
      <w:r>
        <w:rPr>
          <w:rFonts w:hint="eastAsia" w:ascii="宋体" w:hAnsi="宋体" w:cs="宋体"/>
          <w:sz w:val="24"/>
          <w:u w:val="single"/>
        </w:rPr>
        <w:t>协商确</w:t>
      </w:r>
      <w:r>
        <w:rPr>
          <w:rFonts w:hint="eastAsia" w:ascii="宋体" w:hAnsi="宋体" w:cs="宋体"/>
          <w:sz w:val="24"/>
          <w:u w:val="single"/>
          <w:lang w:val="en-US" w:eastAsia="zh-CN"/>
        </w:rPr>
        <w:t>认</w:t>
      </w:r>
      <w:r>
        <w:rPr>
          <w:rFonts w:hint="eastAsia" w:ascii="宋体" w:hAnsi="宋体" w:cs="宋体"/>
          <w:sz w:val="24"/>
          <w:u w:val="single"/>
        </w:rPr>
        <w:t>。</w:t>
      </w:r>
    </w:p>
    <w:p w14:paraId="219E9AEC">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u w:val="single"/>
        </w:rPr>
      </w:pPr>
      <w:r>
        <w:rPr>
          <w:rFonts w:hint="eastAsia" w:ascii="宋体" w:hAnsi="宋体" w:cs="宋体"/>
          <w:sz w:val="24"/>
        </w:rPr>
        <w:t>4.1.2委托人赔偿金额按下列方法确定并支付：</w:t>
      </w:r>
      <w:r>
        <w:rPr>
          <w:rFonts w:hint="eastAsia" w:ascii="宋体" w:hAnsi="宋体" w:cs="宋体"/>
          <w:sz w:val="24"/>
          <w:u w:val="single"/>
        </w:rPr>
        <w:t>因委托人等非咨询人原因造成咨询成果报告无法出具的，委托人应当支付咨询人已完成工作量的90%的酬金或本合同约定的酬金总额的80%。相关事实发生或明确后的十个工作日内全额一次性支付。</w:t>
      </w:r>
    </w:p>
    <w:p w14:paraId="4C77B151">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4.1.3 委托人逾期付款利息按下列方法计算并支付：</w:t>
      </w:r>
      <w:r>
        <w:rPr>
          <w:rFonts w:hint="eastAsia" w:ascii="宋体" w:hAnsi="宋体" w:cs="宋体"/>
          <w:sz w:val="24"/>
          <w:u w:val="single"/>
        </w:rPr>
        <w:t>自逾期之日起按每日万分之五计算。</w:t>
      </w:r>
    </w:p>
    <w:p w14:paraId="63BDBCC9">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rPr>
      </w:pPr>
      <w:bookmarkStart w:id="58" w:name="_Toc422322539"/>
      <w:bookmarkStart w:id="59" w:name="_Toc419045114"/>
      <w:r>
        <w:rPr>
          <w:rFonts w:hint="eastAsia" w:ascii="宋体" w:hAnsi="宋体" w:cs="宋体"/>
          <w:b w:val="0"/>
          <w:sz w:val="24"/>
          <w:szCs w:val="24"/>
        </w:rPr>
        <w:t>4.2咨询人的违约责任</w:t>
      </w:r>
      <w:bookmarkEnd w:id="58"/>
    </w:p>
    <w:bookmarkEnd w:id="59"/>
    <w:p w14:paraId="5369F009">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4.2.1咨询人违约金的计算及支付方法：</w:t>
      </w:r>
      <w:r>
        <w:rPr>
          <w:rFonts w:hint="eastAsia" w:ascii="宋体" w:hAnsi="宋体" w:cs="宋体"/>
          <w:sz w:val="24"/>
          <w:u w:val="single"/>
        </w:rPr>
        <w:t>酬金总额的15%计算。</w:t>
      </w:r>
    </w:p>
    <w:p w14:paraId="1F2A9F6F">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4.2.2 咨询人赔偿金额按下列方法确定并支付：</w:t>
      </w:r>
      <w:r>
        <w:rPr>
          <w:rFonts w:hint="eastAsia" w:ascii="宋体" w:hAnsi="宋体" w:cs="宋体"/>
          <w:sz w:val="24"/>
          <w:u w:val="single"/>
        </w:rPr>
        <w:t>协商确认。</w:t>
      </w:r>
    </w:p>
    <w:p w14:paraId="37239AA1">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outlineLvl w:val="9"/>
        <w:rPr>
          <w:rFonts w:hint="eastAsia" w:ascii="宋体" w:hAnsi="宋体" w:cs="宋体"/>
          <w:szCs w:val="24"/>
        </w:rPr>
      </w:pPr>
      <w:bookmarkStart w:id="60" w:name="_Toc419045115"/>
      <w:bookmarkStart w:id="61" w:name="_Toc422322540"/>
      <w:r>
        <w:rPr>
          <w:rFonts w:hint="eastAsia" w:ascii="宋体" w:hAnsi="宋体" w:cs="宋体"/>
          <w:szCs w:val="24"/>
        </w:rPr>
        <w:t>5. 支付</w:t>
      </w:r>
      <w:bookmarkEnd w:id="60"/>
      <w:bookmarkEnd w:id="61"/>
    </w:p>
    <w:p w14:paraId="34DD2968">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cs="宋体"/>
          <w:b w:val="0"/>
          <w:sz w:val="24"/>
          <w:szCs w:val="24"/>
        </w:rPr>
      </w:pPr>
      <w:bookmarkStart w:id="62" w:name="_Toc419045116"/>
      <w:bookmarkStart w:id="63" w:name="_Toc422322541"/>
      <w:r>
        <w:rPr>
          <w:rStyle w:val="15"/>
          <w:rFonts w:hint="eastAsia" w:ascii="宋体" w:hAnsi="宋体" w:cs="宋体"/>
          <w:b w:val="0"/>
          <w:sz w:val="24"/>
          <w:szCs w:val="24"/>
        </w:rPr>
        <w:t>5.1支付货币</w:t>
      </w:r>
      <w:bookmarkEnd w:id="62"/>
      <w:bookmarkEnd w:id="63"/>
    </w:p>
    <w:p w14:paraId="57A73501">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币种为：</w:t>
      </w:r>
      <w:r>
        <w:rPr>
          <w:rFonts w:hint="eastAsia" w:ascii="宋体" w:hAnsi="宋体" w:cs="宋体"/>
          <w:sz w:val="24"/>
          <w:u w:val="single"/>
          <w:lang w:val="en-US" w:eastAsia="zh-CN"/>
        </w:rPr>
        <w:t>人民币</w:t>
      </w:r>
      <w:r>
        <w:rPr>
          <w:rFonts w:hint="eastAsia" w:ascii="宋体" w:hAnsi="宋体" w:cs="宋体"/>
          <w:sz w:val="24"/>
        </w:rPr>
        <w:t>。</w:t>
      </w:r>
    </w:p>
    <w:p w14:paraId="7FA61114">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cs="宋体"/>
          <w:b w:val="0"/>
          <w:sz w:val="24"/>
          <w:szCs w:val="24"/>
        </w:rPr>
      </w:pPr>
      <w:bookmarkStart w:id="64" w:name="_Toc419045117"/>
      <w:bookmarkStart w:id="65" w:name="_Toc422322542"/>
      <w:r>
        <w:rPr>
          <w:rStyle w:val="15"/>
          <w:rFonts w:hint="eastAsia" w:ascii="宋体" w:hAnsi="宋体" w:cs="宋体"/>
          <w:b w:val="0"/>
          <w:sz w:val="24"/>
          <w:szCs w:val="24"/>
        </w:rPr>
        <w:t>5.2 支付申请</w:t>
      </w:r>
      <w:bookmarkEnd w:id="64"/>
      <w:bookmarkEnd w:id="65"/>
    </w:p>
    <w:p w14:paraId="5F77CB66">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咨询人应在本合同约定的每次应付款日期</w:t>
      </w:r>
      <w:r>
        <w:rPr>
          <w:rFonts w:hint="eastAsia" w:ascii="宋体" w:hAnsi="宋体" w:cs="宋体"/>
          <w:sz w:val="24"/>
          <w:u w:val="single"/>
          <w:lang w:val="en-US" w:eastAsia="zh-CN"/>
        </w:rPr>
        <w:t>三</w:t>
      </w:r>
      <w:r>
        <w:rPr>
          <w:rFonts w:hint="eastAsia" w:ascii="宋体" w:hAnsi="宋体" w:cs="宋体"/>
          <w:sz w:val="24"/>
        </w:rPr>
        <w:t>日前，向委托人提交支付申请书。</w:t>
      </w:r>
    </w:p>
    <w:p w14:paraId="44B30DE1">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bookmarkStart w:id="66" w:name="_Toc419045118"/>
      <w:bookmarkStart w:id="67" w:name="_Toc422322543"/>
      <w:r>
        <w:rPr>
          <w:rFonts w:hint="eastAsia" w:ascii="宋体" w:hAnsi="宋体" w:cs="宋体"/>
          <w:sz w:val="24"/>
        </w:rPr>
        <w:t>5.3支付酬金</w:t>
      </w:r>
      <w:bookmarkEnd w:id="66"/>
      <w:bookmarkEnd w:id="67"/>
    </w:p>
    <w:p w14:paraId="055300B7">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bookmarkStart w:id="68" w:name="_Toc422322544"/>
      <w:bookmarkStart w:id="69" w:name="_Toc419045119"/>
      <w:r>
        <w:rPr>
          <w:rFonts w:hint="eastAsia" w:ascii="宋体" w:hAnsi="宋体" w:cs="宋体"/>
          <w:sz w:val="24"/>
        </w:rPr>
        <w:t>正常工作酬金的支付：</w:t>
      </w:r>
      <w:r>
        <w:rPr>
          <w:rFonts w:hint="eastAsia" w:ascii="宋体" w:hAnsi="宋体" w:cs="宋体"/>
          <w:sz w:val="24"/>
          <w:u w:val="single"/>
          <w:lang w:eastAsia="zh-CN"/>
        </w:rPr>
        <w:t>预算编制服务费在预算报告出具后</w:t>
      </w:r>
      <w:r>
        <w:rPr>
          <w:rFonts w:hint="eastAsia" w:ascii="宋体" w:hAnsi="宋体" w:cs="宋体"/>
          <w:sz w:val="24"/>
          <w:u w:val="single"/>
          <w:lang w:val="en-US" w:eastAsia="zh-CN"/>
        </w:rPr>
        <w:t>30天一次性付清；如进行分阶段预算编制的，各阶段预算编制服务费在相应阶段预算报告出具后30天内按相应阶段工程造价经计算后支付。</w:t>
      </w:r>
      <w:r>
        <w:rPr>
          <w:rFonts w:hint="eastAsia" w:ascii="宋体" w:hAnsi="宋体" w:cs="宋体"/>
          <w:sz w:val="24"/>
          <w:u w:val="single"/>
        </w:rPr>
        <w:t>　</w:t>
      </w:r>
    </w:p>
    <w:p w14:paraId="29A69C3A">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outlineLvl w:val="9"/>
        <w:rPr>
          <w:rFonts w:hint="eastAsia" w:ascii="宋体" w:hAnsi="宋体" w:cs="宋体"/>
          <w:szCs w:val="24"/>
        </w:rPr>
      </w:pPr>
      <w:r>
        <w:rPr>
          <w:rFonts w:hint="eastAsia" w:ascii="宋体" w:hAnsi="宋体" w:cs="宋体"/>
          <w:szCs w:val="24"/>
        </w:rPr>
        <w:t>6. 合同变更、解除与终止</w:t>
      </w:r>
      <w:bookmarkEnd w:id="68"/>
      <w:bookmarkEnd w:id="69"/>
    </w:p>
    <w:p w14:paraId="198BAC7C">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eastAsia="宋体" w:cs="宋体"/>
          <w:b w:val="0"/>
          <w:sz w:val="24"/>
          <w:szCs w:val="24"/>
          <w:lang w:eastAsia="zh-CN"/>
        </w:rPr>
      </w:pPr>
      <w:bookmarkStart w:id="70" w:name="_Toc422322545"/>
      <w:bookmarkStart w:id="71" w:name="_Toc419045120"/>
      <w:r>
        <w:rPr>
          <w:rStyle w:val="15"/>
          <w:rFonts w:hint="eastAsia" w:ascii="宋体" w:hAnsi="宋体" w:cs="宋体"/>
          <w:b w:val="0"/>
          <w:sz w:val="24"/>
          <w:szCs w:val="24"/>
        </w:rPr>
        <w:t>6.1合同变更</w:t>
      </w:r>
      <w:bookmarkEnd w:id="70"/>
      <w:bookmarkEnd w:id="71"/>
    </w:p>
    <w:p w14:paraId="11883DB5">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lang w:eastAsia="zh-CN"/>
        </w:rPr>
      </w:pPr>
      <w:r>
        <w:rPr>
          <w:rFonts w:hint="eastAsia" w:ascii="宋体" w:hAnsi="宋体" w:cs="宋体"/>
          <w:sz w:val="24"/>
        </w:rPr>
        <w:t>6.1.</w:t>
      </w:r>
      <w:r>
        <w:rPr>
          <w:rFonts w:hint="eastAsia" w:ascii="宋体" w:hAnsi="宋体" w:cs="宋体"/>
          <w:sz w:val="24"/>
          <w:lang w:val="en-US" w:eastAsia="zh-CN"/>
        </w:rPr>
        <w:t>1</w:t>
      </w:r>
      <w:r>
        <w:rPr>
          <w:rFonts w:hint="eastAsia" w:ascii="宋体" w:hAnsi="宋体" w:cs="宋体"/>
          <w:sz w:val="24"/>
        </w:rPr>
        <w:t xml:space="preserve"> 除不可抗力外，因非咨询人原因导致本合同履行期限延长、内容增加时，附加工作酬金按下列方法确定：</w:t>
      </w:r>
      <w:r>
        <w:rPr>
          <w:rFonts w:hint="eastAsia" w:ascii="宋体" w:hAnsi="宋体" w:cs="宋体"/>
          <w:sz w:val="24"/>
          <w:u w:val="single"/>
        </w:rPr>
        <w:t>协商确认。</w:t>
      </w:r>
      <w:r>
        <w:rPr>
          <w:rFonts w:hint="eastAsia" w:ascii="宋体" w:hAnsi="宋体" w:cs="宋体"/>
          <w:sz w:val="24"/>
        </w:rPr>
        <w:t xml:space="preserve"> </w:t>
      </w:r>
    </w:p>
    <w:p w14:paraId="74AC4458">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cs="宋体"/>
          <w:b w:val="0"/>
          <w:sz w:val="24"/>
          <w:szCs w:val="24"/>
        </w:rPr>
      </w:pPr>
      <w:r>
        <w:rPr>
          <w:rFonts w:hint="eastAsia" w:ascii="宋体" w:hAnsi="宋体" w:cs="宋体"/>
          <w:sz w:val="24"/>
        </w:rPr>
        <w:t>6.1.</w:t>
      </w:r>
      <w:r>
        <w:rPr>
          <w:rFonts w:hint="eastAsia" w:ascii="宋体" w:hAnsi="宋体" w:cs="宋体"/>
          <w:sz w:val="24"/>
          <w:lang w:val="en-US" w:eastAsia="zh-CN"/>
        </w:rPr>
        <w:t>2</w:t>
      </w:r>
      <w:r>
        <w:rPr>
          <w:rFonts w:hint="eastAsia" w:ascii="宋体" w:hAnsi="宋体" w:cs="宋体"/>
          <w:sz w:val="24"/>
        </w:rPr>
        <w:t>因工程规模、服务范围及内容的变化等导致咨询人的工作量增减时，服务酬金的调整方法：</w:t>
      </w:r>
      <w:r>
        <w:rPr>
          <w:rFonts w:hint="eastAsia" w:ascii="宋体" w:hAnsi="宋体" w:cs="宋体"/>
          <w:sz w:val="24"/>
          <w:u w:val="single"/>
        </w:rPr>
        <w:t>按本合同计算方式进行调整。</w:t>
      </w:r>
    </w:p>
    <w:p w14:paraId="7931C2BD">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rPr>
      </w:pPr>
      <w:bookmarkStart w:id="72" w:name="_Toc422322546"/>
      <w:r>
        <w:rPr>
          <w:rFonts w:hint="eastAsia" w:ascii="宋体" w:hAnsi="宋体" w:cs="宋体"/>
          <w:b w:val="0"/>
          <w:sz w:val="24"/>
          <w:szCs w:val="24"/>
        </w:rPr>
        <w:t>6.2</w:t>
      </w:r>
      <w:r>
        <w:rPr>
          <w:rFonts w:hint="eastAsia" w:ascii="宋体" w:hAnsi="宋体" w:cs="宋体"/>
          <w:b w:val="0"/>
          <w:sz w:val="24"/>
          <w:szCs w:val="24"/>
          <w:lang w:eastAsia="zh-CN"/>
        </w:rPr>
        <w:t>合同</w:t>
      </w:r>
      <w:r>
        <w:rPr>
          <w:rFonts w:hint="eastAsia" w:ascii="宋体" w:hAnsi="宋体" w:cs="宋体"/>
          <w:b w:val="0"/>
          <w:sz w:val="24"/>
          <w:szCs w:val="24"/>
        </w:rPr>
        <w:t>解除</w:t>
      </w:r>
      <w:bookmarkEnd w:id="72"/>
    </w:p>
    <w:p w14:paraId="5CD02B09">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u w:val="single"/>
        </w:rPr>
      </w:pPr>
      <w:r>
        <w:rPr>
          <w:rFonts w:hint="eastAsia" w:ascii="宋体" w:hAnsi="宋体" w:cs="宋体"/>
          <w:sz w:val="24"/>
        </w:rPr>
        <w:t>6.2.</w:t>
      </w:r>
      <w:r>
        <w:rPr>
          <w:rFonts w:hint="eastAsia" w:ascii="宋体" w:hAnsi="宋体" w:cs="宋体"/>
          <w:sz w:val="24"/>
          <w:lang w:val="en-US" w:eastAsia="zh-CN"/>
        </w:rPr>
        <w:t>1</w:t>
      </w:r>
      <w:r>
        <w:rPr>
          <w:rFonts w:hint="eastAsia" w:ascii="宋体" w:hAnsi="宋体" w:cs="宋体"/>
          <w:sz w:val="24"/>
        </w:rPr>
        <w:t>双方约定解除合同的条件还包括：</w:t>
      </w:r>
      <w:r>
        <w:rPr>
          <w:rFonts w:hint="eastAsia" w:ascii="宋体" w:hAnsi="宋体" w:cs="宋体"/>
          <w:sz w:val="24"/>
          <w:u w:val="single"/>
        </w:rPr>
        <w:t xml:space="preserve">经咨询人书面催告，委托人仍不提供相关咨询资料的。 </w:t>
      </w:r>
    </w:p>
    <w:p w14:paraId="6DDDDA3E">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6.2.</w:t>
      </w:r>
      <w:r>
        <w:rPr>
          <w:rFonts w:hint="eastAsia" w:ascii="宋体" w:hAnsi="宋体" w:cs="宋体"/>
          <w:sz w:val="24"/>
          <w:lang w:val="en-US" w:eastAsia="zh-CN"/>
        </w:rPr>
        <w:t>2</w:t>
      </w:r>
      <w:r>
        <w:rPr>
          <w:rFonts w:hint="eastAsia" w:ascii="宋体" w:hAnsi="宋体" w:cs="宋体"/>
          <w:sz w:val="24"/>
        </w:rPr>
        <w:t>因不可抗力导致的合同解除，双方约定损失的分担如下：</w:t>
      </w:r>
      <w:r>
        <w:rPr>
          <w:rFonts w:hint="eastAsia" w:ascii="宋体" w:hAnsi="宋体" w:cs="宋体"/>
          <w:sz w:val="24"/>
          <w:u w:val="single"/>
        </w:rPr>
        <w:t>协商确认。</w:t>
      </w:r>
    </w:p>
    <w:p w14:paraId="060DDEC9">
      <w:pPr>
        <w:pStyle w:val="7"/>
        <w:keepNext w:val="0"/>
        <w:keepLines w:val="0"/>
        <w:pageBreakBefore w:val="0"/>
        <w:kinsoku/>
        <w:wordWrap/>
        <w:overflowPunct/>
        <w:topLinePunct w:val="0"/>
        <w:autoSpaceDE/>
        <w:autoSpaceDN/>
        <w:bidi w:val="0"/>
        <w:adjustRightInd/>
        <w:snapToGrid/>
        <w:spacing w:before="0" w:after="0" w:line="312" w:lineRule="auto"/>
        <w:ind w:firstLine="482" w:firstLineChars="200"/>
        <w:jc w:val="left"/>
        <w:textAlignment w:val="auto"/>
        <w:outlineLvl w:val="9"/>
        <w:rPr>
          <w:rFonts w:hint="eastAsia" w:ascii="宋体" w:hAnsi="宋体" w:cs="宋体"/>
          <w:szCs w:val="24"/>
        </w:rPr>
      </w:pPr>
      <w:bookmarkStart w:id="73" w:name="_Toc419045121"/>
      <w:bookmarkStart w:id="74" w:name="_Toc422322547"/>
      <w:r>
        <w:rPr>
          <w:rFonts w:hint="eastAsia" w:ascii="宋体" w:hAnsi="宋体" w:cs="宋体"/>
          <w:szCs w:val="24"/>
        </w:rPr>
        <w:t>7. 争议解决</w:t>
      </w:r>
      <w:bookmarkEnd w:id="73"/>
      <w:bookmarkEnd w:id="74"/>
    </w:p>
    <w:p w14:paraId="101FE7BF">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eastAsia="宋体" w:cs="宋体"/>
          <w:b w:val="0"/>
          <w:sz w:val="24"/>
          <w:szCs w:val="24"/>
          <w:lang w:eastAsia="zh-CN"/>
        </w:rPr>
      </w:pPr>
      <w:bookmarkStart w:id="75" w:name="_Toc419045122"/>
      <w:bookmarkStart w:id="76" w:name="_Toc422322548"/>
      <w:r>
        <w:rPr>
          <w:rStyle w:val="15"/>
          <w:rFonts w:hint="eastAsia" w:ascii="宋体" w:hAnsi="宋体" w:cs="宋体"/>
          <w:b w:val="0"/>
          <w:sz w:val="24"/>
          <w:szCs w:val="24"/>
        </w:rPr>
        <w:t>7.</w:t>
      </w:r>
      <w:r>
        <w:rPr>
          <w:rStyle w:val="15"/>
          <w:rFonts w:hint="eastAsia" w:ascii="宋体" w:hAnsi="宋体" w:cs="宋体"/>
          <w:b w:val="0"/>
          <w:sz w:val="24"/>
          <w:szCs w:val="24"/>
          <w:lang w:val="en-US" w:eastAsia="zh-CN"/>
        </w:rPr>
        <w:t>1</w:t>
      </w:r>
      <w:r>
        <w:rPr>
          <w:rStyle w:val="15"/>
          <w:rFonts w:hint="eastAsia" w:ascii="宋体" w:hAnsi="宋体" w:cs="宋体"/>
          <w:b w:val="0"/>
          <w:sz w:val="24"/>
          <w:szCs w:val="24"/>
        </w:rPr>
        <w:t>调解</w:t>
      </w:r>
      <w:bookmarkEnd w:id="75"/>
      <w:bookmarkEnd w:id="76"/>
    </w:p>
    <w:p w14:paraId="3D1ADAFF">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cs="宋体"/>
          <w:b w:val="0"/>
          <w:sz w:val="24"/>
          <w:szCs w:val="24"/>
        </w:rPr>
      </w:pPr>
      <w:r>
        <w:rPr>
          <w:rFonts w:hint="eastAsia" w:ascii="宋体" w:hAnsi="宋体" w:cs="宋体"/>
          <w:sz w:val="24"/>
        </w:rPr>
        <w:t>如果双方不能在</w:t>
      </w:r>
      <w:r>
        <w:rPr>
          <w:rFonts w:hint="eastAsia" w:ascii="宋体" w:hAnsi="宋体" w:cs="宋体"/>
          <w:sz w:val="24"/>
          <w:lang w:val="en-US" w:eastAsia="zh-CN"/>
        </w:rPr>
        <w:t>十个工作</w:t>
      </w:r>
      <w:r>
        <w:rPr>
          <w:rFonts w:hint="eastAsia" w:ascii="宋体" w:hAnsi="宋体" w:cs="宋体"/>
          <w:sz w:val="24"/>
        </w:rPr>
        <w:t>日内解决本合同争议，可以将其提交</w:t>
      </w:r>
      <w:r>
        <w:rPr>
          <w:rFonts w:hint="eastAsia" w:ascii="宋体" w:hAnsi="宋体" w:cs="宋体"/>
          <w:sz w:val="24"/>
          <w:u w:val="single"/>
        </w:rPr>
        <w:t>台州市建设行业主管部门</w:t>
      </w:r>
      <w:r>
        <w:rPr>
          <w:rFonts w:hint="eastAsia" w:ascii="宋体" w:hAnsi="宋体" w:cs="宋体"/>
          <w:sz w:val="24"/>
        </w:rPr>
        <w:t>进行调解。</w:t>
      </w:r>
    </w:p>
    <w:p w14:paraId="656BE124">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rPr>
      </w:pPr>
      <w:bookmarkStart w:id="77" w:name="_Toc422322549"/>
      <w:r>
        <w:rPr>
          <w:rFonts w:hint="eastAsia" w:ascii="宋体" w:hAnsi="宋体" w:cs="宋体"/>
          <w:b w:val="0"/>
          <w:sz w:val="24"/>
          <w:szCs w:val="24"/>
        </w:rPr>
        <w:t>7.</w:t>
      </w:r>
      <w:r>
        <w:rPr>
          <w:rFonts w:hint="eastAsia" w:ascii="宋体" w:hAnsi="宋体" w:cs="宋体"/>
          <w:b w:val="0"/>
          <w:sz w:val="24"/>
          <w:szCs w:val="24"/>
          <w:lang w:val="en-US" w:eastAsia="zh-CN"/>
        </w:rPr>
        <w:t>2</w:t>
      </w:r>
      <w:r>
        <w:rPr>
          <w:rFonts w:hint="eastAsia" w:ascii="宋体" w:hAnsi="宋体" w:cs="宋体"/>
          <w:b w:val="0"/>
          <w:sz w:val="24"/>
          <w:szCs w:val="24"/>
        </w:rPr>
        <w:t>仲裁或诉讼</w:t>
      </w:r>
      <w:bookmarkEnd w:id="77"/>
    </w:p>
    <w:p w14:paraId="1216B906">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lang w:eastAsia="zh-CN"/>
        </w:rPr>
      </w:pPr>
      <w:r>
        <w:rPr>
          <w:rFonts w:hint="eastAsia" w:ascii="宋体" w:hAnsi="宋体" w:cs="宋体"/>
          <w:sz w:val="24"/>
        </w:rPr>
        <w:t>合同争议的最终解决方式为下列第</w:t>
      </w:r>
      <w:r>
        <w:rPr>
          <w:rFonts w:hint="eastAsia" w:ascii="宋体" w:hAnsi="宋体" w:cs="宋体"/>
          <w:sz w:val="24"/>
          <w:u w:val="single"/>
          <w:lang w:val="en-US" w:eastAsia="zh-CN"/>
        </w:rPr>
        <w:t>（1）</w:t>
      </w:r>
      <w:r>
        <w:rPr>
          <w:rFonts w:hint="eastAsia" w:ascii="宋体" w:hAnsi="宋体" w:cs="宋体"/>
          <w:sz w:val="24"/>
        </w:rPr>
        <w:t>种方式：</w:t>
      </w:r>
    </w:p>
    <w:p w14:paraId="2880E268">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lang w:eastAsia="zh-CN"/>
        </w:rPr>
      </w:pPr>
      <w:r>
        <w:rPr>
          <w:rFonts w:hint="eastAsia" w:ascii="宋体" w:hAnsi="宋体" w:cs="宋体"/>
          <w:sz w:val="24"/>
        </w:rPr>
        <w:t xml:space="preserve">   （1）提请</w:t>
      </w:r>
      <w:r>
        <w:rPr>
          <w:rFonts w:hint="eastAsia" w:ascii="宋体" w:hAnsi="宋体" w:cs="宋体"/>
          <w:sz w:val="24"/>
          <w:u w:val="single"/>
          <w:lang w:val="en-US" w:eastAsia="zh-CN"/>
        </w:rPr>
        <w:t xml:space="preserve"> 台州 </w:t>
      </w:r>
      <w:r>
        <w:rPr>
          <w:rFonts w:hint="eastAsia" w:ascii="宋体" w:hAnsi="宋体" w:cs="宋体"/>
          <w:sz w:val="24"/>
        </w:rPr>
        <w:t>仲裁委员会进行仲裁。</w:t>
      </w:r>
    </w:p>
    <w:p w14:paraId="6548BEE7">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 xml:space="preserve">   （2）向</w:t>
      </w:r>
      <w:r>
        <w:rPr>
          <w:rFonts w:hint="eastAsia" w:ascii="宋体" w:hAnsi="宋体" w:cs="宋体"/>
          <w:sz w:val="24"/>
          <w:lang w:val="en-US" w:eastAsia="zh-CN"/>
        </w:rPr>
        <w:t>本合同签订地</w:t>
      </w:r>
      <w:r>
        <w:rPr>
          <w:rFonts w:hint="eastAsia" w:ascii="宋体" w:hAnsi="宋体" w:cs="宋体"/>
          <w:sz w:val="24"/>
        </w:rPr>
        <w:t>人民法院提起诉讼。</w:t>
      </w:r>
    </w:p>
    <w:p w14:paraId="62EA3040">
      <w:pPr>
        <w:keepNext w:val="0"/>
        <w:keepLines w:val="0"/>
        <w:pageBreakBefore w:val="0"/>
        <w:kinsoku/>
        <w:wordWrap/>
        <w:overflowPunct/>
        <w:topLinePunct w:val="0"/>
        <w:autoSpaceDE/>
        <w:autoSpaceDN/>
        <w:bidi w:val="0"/>
        <w:adjustRightInd/>
        <w:snapToGrid/>
        <w:spacing w:line="312" w:lineRule="auto"/>
        <w:ind w:firstLine="482" w:firstLineChars="200"/>
        <w:jc w:val="left"/>
        <w:textAlignment w:val="auto"/>
        <w:rPr>
          <w:rStyle w:val="15"/>
          <w:rFonts w:hint="eastAsia" w:ascii="宋体" w:hAnsi="宋体" w:cs="宋体"/>
          <w:b w:val="0"/>
          <w:sz w:val="24"/>
          <w:szCs w:val="24"/>
        </w:rPr>
      </w:pPr>
      <w:bookmarkStart w:id="78" w:name="_Toc422322550"/>
      <w:bookmarkStart w:id="79" w:name="_Toc419045123"/>
      <w:r>
        <w:rPr>
          <w:rStyle w:val="14"/>
          <w:rFonts w:hint="eastAsia" w:ascii="宋体" w:hAnsi="宋体" w:cs="宋体"/>
          <w:szCs w:val="24"/>
        </w:rPr>
        <w:t>8. 其他</w:t>
      </w:r>
      <w:bookmarkEnd w:id="78"/>
      <w:bookmarkEnd w:id="79"/>
    </w:p>
    <w:p w14:paraId="1527AF3D">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rPr>
      </w:pPr>
      <w:bookmarkStart w:id="80" w:name="_Toc422322551"/>
      <w:r>
        <w:rPr>
          <w:rFonts w:hint="eastAsia" w:ascii="宋体" w:hAnsi="宋体" w:cs="宋体"/>
          <w:b w:val="0"/>
          <w:sz w:val="24"/>
          <w:szCs w:val="24"/>
        </w:rPr>
        <w:t>8.1考察及相关费用</w:t>
      </w:r>
      <w:bookmarkEnd w:id="80"/>
    </w:p>
    <w:p w14:paraId="65783F21">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咨询人经委托人同意进行考察发生的费用由</w:t>
      </w:r>
      <w:r>
        <w:rPr>
          <w:rFonts w:hint="eastAsia" w:ascii="宋体" w:hAnsi="宋体" w:cs="宋体"/>
          <w:sz w:val="24"/>
          <w:lang w:val="en-US" w:eastAsia="zh-CN"/>
        </w:rPr>
        <w:t>委托人</w:t>
      </w:r>
      <w:r>
        <w:rPr>
          <w:rFonts w:hint="eastAsia" w:ascii="宋体" w:hAnsi="宋体" w:cs="宋体"/>
          <w:sz w:val="24"/>
        </w:rPr>
        <w:t>支付。</w:t>
      </w:r>
    </w:p>
    <w:p w14:paraId="3B2544BB">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cs="宋体"/>
          <w:b w:val="0"/>
          <w:sz w:val="24"/>
          <w:szCs w:val="24"/>
        </w:rPr>
      </w:pPr>
      <w:r>
        <w:rPr>
          <w:rFonts w:hint="eastAsia" w:ascii="宋体" w:hAnsi="宋体" w:cs="宋体"/>
          <w:sz w:val="24"/>
        </w:rPr>
        <w:t>差旅费及相关费用的支付：</w:t>
      </w:r>
      <w:r>
        <w:rPr>
          <w:rFonts w:hint="eastAsia" w:ascii="宋体" w:hAnsi="宋体" w:cs="宋体"/>
          <w:b w:val="0"/>
          <w:bCs w:val="0"/>
          <w:sz w:val="24"/>
          <w:u w:val="single"/>
          <w:lang w:val="en-US" w:eastAsia="zh-CN"/>
        </w:rPr>
        <w:t xml:space="preserve"> </w:t>
      </w:r>
      <w:r>
        <w:rPr>
          <w:rFonts w:hint="eastAsia" w:cs="Times New Roman"/>
          <w:b w:val="0"/>
          <w:bCs w:val="0"/>
          <w:sz w:val="24"/>
          <w:szCs w:val="24"/>
          <w:u w:val="single"/>
        </w:rPr>
        <w:t>双方协</w:t>
      </w:r>
      <w:r>
        <w:rPr>
          <w:rFonts w:hint="eastAsia" w:cs="Times New Roman"/>
          <w:sz w:val="24"/>
          <w:szCs w:val="24"/>
          <w:u w:val="single"/>
        </w:rPr>
        <w:t>商解决</w:t>
      </w:r>
      <w:r>
        <w:rPr>
          <w:rFonts w:hint="eastAsia" w:cs="Times New Roman"/>
          <w:sz w:val="24"/>
          <w:szCs w:val="24"/>
          <w:u w:val="single"/>
          <w:lang w:val="en-US" w:eastAsia="zh-CN"/>
        </w:rPr>
        <w:t xml:space="preserve"> </w:t>
      </w:r>
      <w:r>
        <w:rPr>
          <w:rFonts w:hint="eastAsia" w:ascii="宋体" w:hAnsi="宋体" w:cs="宋体"/>
          <w:sz w:val="24"/>
          <w:szCs w:val="24"/>
          <w:u w:val="none"/>
        </w:rPr>
        <w:t>。</w:t>
      </w:r>
      <w:r>
        <w:rPr>
          <w:rFonts w:hint="eastAsia" w:ascii="宋体" w:hAnsi="宋体" w:cs="宋体"/>
          <w:sz w:val="24"/>
        </w:rPr>
        <w:t xml:space="preserve">          </w:t>
      </w:r>
    </w:p>
    <w:p w14:paraId="0F7B8E0D">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rPr>
      </w:pPr>
      <w:bookmarkStart w:id="81" w:name="_Toc422322552"/>
      <w:r>
        <w:rPr>
          <w:rFonts w:hint="eastAsia" w:ascii="宋体" w:hAnsi="宋体" w:cs="宋体"/>
          <w:b w:val="0"/>
          <w:sz w:val="24"/>
          <w:szCs w:val="24"/>
        </w:rPr>
        <w:t>8.2奖励</w:t>
      </w:r>
      <w:bookmarkEnd w:id="81"/>
    </w:p>
    <w:p w14:paraId="32A363C5">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cs="宋体"/>
          <w:b w:val="0"/>
          <w:sz w:val="24"/>
          <w:szCs w:val="24"/>
        </w:rPr>
      </w:pPr>
      <w:r>
        <w:rPr>
          <w:rFonts w:hint="eastAsia" w:ascii="宋体" w:hAnsi="宋体" w:cs="宋体"/>
          <w:sz w:val="24"/>
        </w:rPr>
        <w:t>合理化建议的奖励金额按下列方法确定：</w:t>
      </w:r>
      <w:r>
        <w:rPr>
          <w:rFonts w:hint="eastAsia" w:ascii="宋体" w:hAnsi="宋体" w:cs="宋体"/>
          <w:b w:val="0"/>
          <w:bCs w:val="0"/>
          <w:sz w:val="24"/>
          <w:u w:val="single"/>
          <w:lang w:val="en-US" w:eastAsia="zh-CN"/>
        </w:rPr>
        <w:t xml:space="preserve"> </w:t>
      </w:r>
      <w:r>
        <w:rPr>
          <w:rFonts w:hint="eastAsia" w:cs="Times New Roman"/>
          <w:b w:val="0"/>
          <w:bCs w:val="0"/>
          <w:sz w:val="24"/>
          <w:szCs w:val="24"/>
          <w:u w:val="single"/>
        </w:rPr>
        <w:t>双方协</w:t>
      </w:r>
      <w:r>
        <w:rPr>
          <w:rFonts w:hint="eastAsia" w:cs="Times New Roman"/>
          <w:sz w:val="24"/>
          <w:szCs w:val="24"/>
          <w:u w:val="single"/>
        </w:rPr>
        <w:t>商解决</w:t>
      </w:r>
      <w:r>
        <w:rPr>
          <w:rFonts w:hint="eastAsia" w:cs="Times New Roman"/>
          <w:sz w:val="24"/>
          <w:szCs w:val="24"/>
          <w:u w:val="single"/>
          <w:lang w:val="en-US" w:eastAsia="zh-CN"/>
        </w:rPr>
        <w:t xml:space="preserve"> </w:t>
      </w:r>
      <w:r>
        <w:rPr>
          <w:rFonts w:hint="eastAsia" w:ascii="宋体" w:hAnsi="宋体" w:cs="宋体"/>
          <w:sz w:val="24"/>
          <w:szCs w:val="24"/>
          <w:u w:val="none"/>
        </w:rPr>
        <w:t xml:space="preserve">。 </w:t>
      </w:r>
    </w:p>
    <w:p w14:paraId="6746C600">
      <w:pPr>
        <w:pStyle w:val="5"/>
        <w:keepNext w:val="0"/>
        <w:keepLines w:val="0"/>
        <w:pageBreakBefore w:val="0"/>
        <w:kinsoku/>
        <w:wordWrap/>
        <w:overflowPunct/>
        <w:topLinePunct w:val="0"/>
        <w:autoSpaceDE/>
        <w:autoSpaceDN/>
        <w:bidi w:val="0"/>
        <w:adjustRightInd/>
        <w:snapToGrid/>
        <w:spacing w:before="0" w:line="312" w:lineRule="auto"/>
        <w:ind w:firstLine="480" w:firstLineChars="200"/>
        <w:jc w:val="left"/>
        <w:textAlignment w:val="auto"/>
        <w:outlineLvl w:val="9"/>
        <w:rPr>
          <w:rFonts w:hint="eastAsia" w:ascii="宋体" w:hAnsi="宋体" w:cs="宋体"/>
          <w:b w:val="0"/>
          <w:sz w:val="24"/>
          <w:szCs w:val="24"/>
        </w:rPr>
      </w:pPr>
      <w:bookmarkStart w:id="82" w:name="_Toc422322553"/>
      <w:r>
        <w:rPr>
          <w:rFonts w:hint="eastAsia" w:ascii="宋体" w:hAnsi="宋体" w:cs="宋体"/>
          <w:b w:val="0"/>
          <w:sz w:val="24"/>
          <w:szCs w:val="24"/>
        </w:rPr>
        <w:t>8.3保密</w:t>
      </w:r>
      <w:bookmarkEnd w:id="82"/>
    </w:p>
    <w:p w14:paraId="678FE2C8">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default" w:ascii="宋体" w:hAnsi="宋体" w:eastAsia="宋体" w:cs="宋体"/>
          <w:sz w:val="24"/>
          <w:lang w:val="en-US" w:eastAsia="zh-CN"/>
        </w:rPr>
      </w:pPr>
      <w:r>
        <w:rPr>
          <w:rFonts w:hint="eastAsia" w:ascii="宋体" w:hAnsi="宋体" w:cs="宋体"/>
          <w:sz w:val="24"/>
        </w:rPr>
        <w:t>委托人申明的保密事项和期限：</w:t>
      </w:r>
      <w:r>
        <w:rPr>
          <w:rFonts w:hint="eastAsia" w:ascii="宋体" w:hAnsi="宋体" w:cs="宋体"/>
          <w:sz w:val="24"/>
          <w:u w:val="single"/>
          <w:lang w:val="en-US" w:eastAsia="zh-CN"/>
        </w:rPr>
        <w:t xml:space="preserve"> / </w:t>
      </w:r>
    </w:p>
    <w:p w14:paraId="614A86C9">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lang w:eastAsia="zh-CN"/>
        </w:rPr>
      </w:pPr>
      <w:r>
        <w:rPr>
          <w:rFonts w:hint="eastAsia" w:ascii="宋体" w:hAnsi="宋体" w:cs="宋体"/>
          <w:sz w:val="24"/>
        </w:rPr>
        <w:t>咨询人申明的保密事项和期限：</w:t>
      </w:r>
      <w:r>
        <w:rPr>
          <w:rFonts w:hint="eastAsia" w:ascii="宋体" w:hAnsi="宋体" w:cs="宋体"/>
          <w:sz w:val="24"/>
          <w:u w:val="single"/>
          <w:lang w:val="en-US" w:eastAsia="zh-CN"/>
        </w:rPr>
        <w:t xml:space="preserve"> / </w:t>
      </w:r>
      <w:r>
        <w:rPr>
          <w:rFonts w:hint="eastAsia" w:ascii="宋体" w:hAnsi="宋体" w:cs="宋体"/>
          <w:sz w:val="24"/>
          <w:u w:val="single"/>
        </w:rPr>
        <w:t xml:space="preserve"> </w:t>
      </w:r>
      <w:r>
        <w:rPr>
          <w:rFonts w:hint="eastAsia" w:ascii="宋体" w:hAnsi="宋体" w:cs="宋体"/>
          <w:sz w:val="24"/>
        </w:rPr>
        <w:t xml:space="preserve">            </w:t>
      </w:r>
    </w:p>
    <w:p w14:paraId="334BB27D">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default" w:ascii="宋体" w:hAnsi="宋体" w:cs="宋体"/>
          <w:sz w:val="24"/>
          <w:lang w:val="en-US"/>
        </w:rPr>
      </w:pPr>
      <w:r>
        <w:rPr>
          <w:rFonts w:hint="eastAsia" w:ascii="宋体" w:hAnsi="宋体" w:cs="宋体"/>
          <w:sz w:val="24"/>
        </w:rPr>
        <w:t>第三人申明的保密事项和期限：</w:t>
      </w:r>
      <w:r>
        <w:rPr>
          <w:rFonts w:hint="eastAsia" w:ascii="宋体" w:hAnsi="宋体" w:cs="宋体"/>
          <w:sz w:val="24"/>
          <w:u w:val="single"/>
          <w:lang w:val="en-US" w:eastAsia="zh-CN"/>
        </w:rPr>
        <w:t xml:space="preserve"> / </w:t>
      </w:r>
    </w:p>
    <w:p w14:paraId="0DBE0D71">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bCs/>
          <w:kern w:val="28"/>
          <w:sz w:val="24"/>
        </w:rPr>
      </w:pPr>
      <w:bookmarkStart w:id="83" w:name="_Toc422322554"/>
      <w:r>
        <w:rPr>
          <w:rStyle w:val="15"/>
          <w:rFonts w:hint="eastAsia" w:ascii="宋体" w:hAnsi="宋体" w:cs="宋体"/>
          <w:b w:val="0"/>
          <w:sz w:val="24"/>
          <w:szCs w:val="24"/>
        </w:rPr>
        <w:t>8.4联络</w:t>
      </w:r>
      <w:bookmarkEnd w:id="83"/>
    </w:p>
    <w:p w14:paraId="4DE18EF5">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8.4.1任何一方与合同有关的通知、指示、要求、决定等，均应在</w:t>
      </w:r>
      <w:r>
        <w:rPr>
          <w:rFonts w:hint="eastAsia" w:ascii="宋体" w:hAnsi="宋体" w:cs="宋体"/>
          <w:sz w:val="24"/>
          <w:lang w:val="en-US" w:eastAsia="zh-CN"/>
        </w:rPr>
        <w:t>五个工作日</w:t>
      </w:r>
      <w:r>
        <w:rPr>
          <w:rFonts w:hint="eastAsia" w:ascii="宋体" w:hAnsi="宋体" w:cs="宋体"/>
          <w:sz w:val="24"/>
        </w:rPr>
        <w:t>内送达对方指定的接收人和送达地点。</w:t>
      </w:r>
    </w:p>
    <w:p w14:paraId="3D87A39C">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8.4.2委托人指定的送达接收人：__________，送达地点：__________，电子邮箱：__________。</w:t>
      </w:r>
    </w:p>
    <w:p w14:paraId="4B2718A7">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咨询人指定的送达接收人：__________，送达地点：__________，电子邮箱：__________。</w:t>
      </w:r>
    </w:p>
    <w:p w14:paraId="735949F2">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Style w:val="15"/>
          <w:rFonts w:hint="eastAsia" w:ascii="宋体" w:hAnsi="宋体" w:cs="宋体"/>
          <w:b w:val="0"/>
          <w:sz w:val="24"/>
          <w:szCs w:val="24"/>
        </w:rPr>
      </w:pPr>
      <w:bookmarkStart w:id="84" w:name="_Toc422322555"/>
      <w:bookmarkStart w:id="85" w:name="_Toc419045124"/>
      <w:r>
        <w:rPr>
          <w:rStyle w:val="15"/>
          <w:rFonts w:hint="eastAsia" w:ascii="宋体" w:hAnsi="宋体" w:cs="宋体"/>
          <w:b w:val="0"/>
          <w:sz w:val="24"/>
          <w:szCs w:val="24"/>
        </w:rPr>
        <w:t>8.5知识产权</w:t>
      </w:r>
      <w:bookmarkEnd w:id="84"/>
      <w:bookmarkEnd w:id="85"/>
    </w:p>
    <w:p w14:paraId="0946DF9D">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委托人提供给咨询人的图纸、委托人为实施工程自行编制或委托编制的技术规范以及反映委托人要求的或其他类似性质文件的著作权属于</w:t>
      </w:r>
      <w:r>
        <w:rPr>
          <w:rFonts w:hint="eastAsia" w:ascii="宋体" w:hAnsi="宋体" w:cs="宋体"/>
          <w:sz w:val="24"/>
          <w:u w:val="single"/>
        </w:rPr>
        <w:t>委托人</w:t>
      </w:r>
      <w:r>
        <w:rPr>
          <w:rFonts w:hint="eastAsia" w:ascii="宋体" w:hAnsi="宋体" w:cs="宋体"/>
          <w:sz w:val="24"/>
        </w:rPr>
        <w:t>。</w:t>
      </w:r>
    </w:p>
    <w:p w14:paraId="7C3DE7A5">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咨询人为履行本合同约定而编制的成果文件，其著作权属于</w:t>
      </w:r>
      <w:r>
        <w:rPr>
          <w:rFonts w:hint="eastAsia" w:ascii="宋体" w:hAnsi="宋体" w:cs="宋体"/>
          <w:sz w:val="24"/>
          <w:u w:val="single"/>
        </w:rPr>
        <w:t>咨询人。</w:t>
      </w:r>
    </w:p>
    <w:p w14:paraId="72BB5736">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cs="宋体"/>
          <w:sz w:val="24"/>
        </w:rPr>
      </w:pPr>
      <w:r>
        <w:rPr>
          <w:rFonts w:hint="eastAsia" w:ascii="宋体" w:hAnsi="宋体" w:cs="宋体"/>
          <w:sz w:val="24"/>
        </w:rPr>
        <w:t>双方将履行本合同形成的有关成果文件用于企业宣传、申报奖项以及接受上级主管部门的检查须遵守以下约定：</w:t>
      </w:r>
      <w:bookmarkStart w:id="86" w:name="_Toc419045125"/>
      <w:bookmarkStart w:id="87" w:name="_Toc422322556"/>
      <w:r>
        <w:rPr>
          <w:rFonts w:hint="eastAsia" w:ascii="宋体" w:hAnsi="宋体" w:cs="宋体"/>
          <w:sz w:val="24"/>
        </w:rPr>
        <w:t>相关主管部门颁发的文件为准。</w:t>
      </w:r>
    </w:p>
    <w:bookmarkEnd w:id="86"/>
    <w:bookmarkEnd w:id="87"/>
    <w:p w14:paraId="721FFEB4">
      <w:pPr>
        <w:keepNext w:val="0"/>
        <w:keepLines w:val="0"/>
        <w:pageBreakBefore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cs="宋体"/>
          <w:b/>
          <w:sz w:val="24"/>
          <w:u w:val="single"/>
          <w:lang w:val="en-US" w:eastAsia="zh-CN"/>
        </w:rPr>
      </w:pPr>
      <w:r>
        <w:rPr>
          <w:rFonts w:hint="eastAsia" w:ascii="宋体" w:hAnsi="宋体" w:cs="宋体"/>
          <w:b/>
          <w:bCs/>
          <w:sz w:val="24"/>
          <w:lang w:val="en-US" w:eastAsia="zh-CN"/>
        </w:rPr>
        <w:t>9.</w:t>
      </w:r>
      <w:r>
        <w:rPr>
          <w:rFonts w:hint="eastAsia" w:ascii="宋体" w:hAnsi="宋体" w:cs="宋体"/>
          <w:b/>
          <w:bCs/>
          <w:sz w:val="24"/>
        </w:rPr>
        <w:t>补充条款</w:t>
      </w:r>
      <w:r>
        <w:rPr>
          <w:rFonts w:hint="eastAsia" w:ascii="宋体" w:hAnsi="宋体" w:cs="宋体"/>
          <w:sz w:val="24"/>
          <w:lang w:val="en-US" w:eastAsia="zh-CN"/>
        </w:rPr>
        <w:t xml:space="preserve"> </w:t>
      </w:r>
      <w:r>
        <w:rPr>
          <w:rFonts w:hint="eastAsia" w:ascii="宋体" w:hAnsi="宋体" w:cs="宋体"/>
          <w:b/>
          <w:sz w:val="24"/>
          <w:u w:val="single"/>
          <w:lang w:val="en-US" w:eastAsia="zh-CN"/>
        </w:rPr>
        <w:t xml:space="preserve">          /              </w:t>
      </w:r>
    </w:p>
    <w:p w14:paraId="15FABD10">
      <w:pPr>
        <w:rPr>
          <w:rFonts w:hint="eastAsia" w:ascii="宋体" w:hAnsi="宋体" w:cs="宋体"/>
          <w:b/>
          <w:sz w:val="24"/>
          <w:u w:val="single"/>
          <w:lang w:val="en-US" w:eastAsia="zh-CN"/>
        </w:rPr>
      </w:pPr>
      <w:r>
        <w:rPr>
          <w:rFonts w:hint="eastAsia" w:ascii="宋体" w:hAnsi="宋体" w:cs="宋体"/>
          <w:b/>
          <w:sz w:val="24"/>
          <w:u w:val="single"/>
          <w:lang w:val="en-US" w:eastAsia="zh-CN"/>
        </w:rPr>
        <w:br w:type="page"/>
      </w:r>
    </w:p>
    <w:p w14:paraId="38D76824">
      <w:pPr>
        <w:keepNext w:val="0"/>
        <w:keepLines w:val="0"/>
        <w:pageBreakBefore w:val="0"/>
        <w:kinsoku/>
        <w:wordWrap/>
        <w:overflowPunct/>
        <w:topLinePunct w:val="0"/>
        <w:autoSpaceDE/>
        <w:autoSpaceDN/>
        <w:bidi w:val="0"/>
        <w:adjustRightInd/>
        <w:snapToGrid/>
        <w:spacing w:line="312" w:lineRule="auto"/>
        <w:ind w:firstLine="482" w:firstLineChars="200"/>
        <w:jc w:val="left"/>
        <w:textAlignment w:val="auto"/>
        <w:rPr>
          <w:rFonts w:hint="default" w:ascii="宋体" w:hAnsi="宋体" w:cs="宋体"/>
          <w:b/>
          <w:sz w:val="24"/>
          <w:u w:val="single"/>
          <w:lang w:val="en-US" w:eastAsia="zh-CN"/>
        </w:rPr>
        <w:sectPr>
          <w:headerReference r:id="rId4" w:type="default"/>
          <w:footerReference r:id="rId5" w:type="default"/>
          <w:footerReference r:id="rId6" w:type="even"/>
          <w:pgSz w:w="11906" w:h="16838"/>
          <w:pgMar w:top="1440" w:right="1800" w:bottom="1440" w:left="1800" w:header="851" w:footer="851" w:gutter="0"/>
          <w:pgNumType w:fmt="decimal"/>
          <w:cols w:space="720" w:num="1"/>
        </w:sectPr>
      </w:pPr>
    </w:p>
    <w:p w14:paraId="6A169927">
      <w:pPr>
        <w:spacing w:line="360" w:lineRule="auto"/>
        <w:ind w:firstLine="482"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szCs w:val="24"/>
        </w:rPr>
        <w:t xml:space="preserve">附录A </w:t>
      </w:r>
      <w:bookmarkEnd w:id="3"/>
      <w:bookmarkEnd w:id="4"/>
      <w:bookmarkStart w:id="88" w:name="_Hlk69211062"/>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rPr>
        <w:t>1.服务费用结算按下表分档累进计费。</w:t>
      </w:r>
    </w:p>
    <w:tbl>
      <w:tblPr>
        <w:tblStyle w:val="8"/>
        <w:tblW w:w="8903" w:type="dxa"/>
        <w:tblInd w:w="93" w:type="dxa"/>
        <w:tblLayout w:type="fixed"/>
        <w:tblCellMar>
          <w:top w:w="0" w:type="dxa"/>
          <w:left w:w="108" w:type="dxa"/>
          <w:bottom w:w="0" w:type="dxa"/>
          <w:right w:w="108" w:type="dxa"/>
        </w:tblCellMar>
      </w:tblPr>
      <w:tblGrid>
        <w:gridCol w:w="728"/>
        <w:gridCol w:w="720"/>
        <w:gridCol w:w="1245"/>
        <w:gridCol w:w="1260"/>
        <w:gridCol w:w="1230"/>
        <w:gridCol w:w="1230"/>
        <w:gridCol w:w="1230"/>
        <w:gridCol w:w="1260"/>
      </w:tblGrid>
      <w:tr w14:paraId="3F38D5E7">
        <w:tblPrEx>
          <w:tblCellMar>
            <w:top w:w="0" w:type="dxa"/>
            <w:left w:w="108" w:type="dxa"/>
            <w:bottom w:w="0" w:type="dxa"/>
            <w:right w:w="108" w:type="dxa"/>
          </w:tblCellMar>
        </w:tblPrEx>
        <w:trPr>
          <w:trHeight w:val="405" w:hRule="atLeast"/>
        </w:trPr>
        <w:tc>
          <w:tcPr>
            <w:tcW w:w="1448" w:type="dxa"/>
            <w:gridSpan w:val="2"/>
            <w:vMerge w:val="restart"/>
            <w:tcBorders>
              <w:top w:val="single" w:color="000000" w:sz="4" w:space="0"/>
              <w:left w:val="single" w:color="000000" w:sz="4" w:space="0"/>
              <w:right w:val="single" w:color="000000" w:sz="4" w:space="0"/>
            </w:tcBorders>
            <w:noWrap/>
            <w:vAlign w:val="center"/>
          </w:tcPr>
          <w:p w14:paraId="2F4CC220">
            <w:pPr>
              <w:widowControl/>
              <w:jc w:val="center"/>
              <w:textAlignment w:val="center"/>
              <w:rPr>
                <w:rFonts w:hint="eastAsia" w:ascii="宋体" w:hAnsi="宋体" w:cs="宋体"/>
                <w:kern w:val="0"/>
                <w:sz w:val="20"/>
                <w:szCs w:val="20"/>
                <w:lang w:bidi="ar"/>
              </w:rPr>
            </w:pPr>
            <w:r>
              <w:rPr>
                <w:rFonts w:hint="eastAsia" w:ascii="宋体" w:hAnsi="宋体" w:cs="宋体"/>
                <w:kern w:val="0"/>
                <w:sz w:val="20"/>
                <w:szCs w:val="20"/>
                <w:lang w:bidi="ar"/>
              </w:rPr>
              <w:t>计费基数区</w:t>
            </w:r>
          </w:p>
          <w:p w14:paraId="75B192B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间值(万元)</w:t>
            </w:r>
          </w:p>
        </w:tc>
        <w:tc>
          <w:tcPr>
            <w:tcW w:w="2505" w:type="dxa"/>
            <w:gridSpan w:val="2"/>
            <w:tcBorders>
              <w:top w:val="single" w:color="000000" w:sz="4" w:space="0"/>
              <w:left w:val="single" w:color="000000" w:sz="4" w:space="0"/>
              <w:bottom w:val="single" w:color="000000" w:sz="4" w:space="0"/>
              <w:right w:val="single" w:color="000000" w:sz="4" w:space="0"/>
            </w:tcBorders>
            <w:noWrap w:val="0"/>
            <w:vAlign w:val="center"/>
          </w:tcPr>
          <w:p w14:paraId="3EABFA8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预算编制</w:t>
            </w:r>
          </w:p>
        </w:tc>
        <w:tc>
          <w:tcPr>
            <w:tcW w:w="2460" w:type="dxa"/>
            <w:gridSpan w:val="2"/>
            <w:tcBorders>
              <w:top w:val="single" w:color="000000" w:sz="4" w:space="0"/>
              <w:left w:val="single" w:color="000000" w:sz="4" w:space="0"/>
              <w:bottom w:val="single" w:color="000000" w:sz="4" w:space="0"/>
              <w:right w:val="single" w:color="000000" w:sz="4" w:space="0"/>
            </w:tcBorders>
            <w:noWrap/>
            <w:vAlign w:val="center"/>
          </w:tcPr>
          <w:p w14:paraId="0F232B5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预算复核、变更审核</w:t>
            </w:r>
          </w:p>
        </w:tc>
        <w:tc>
          <w:tcPr>
            <w:tcW w:w="1230" w:type="dxa"/>
            <w:vMerge w:val="restart"/>
            <w:tcBorders>
              <w:top w:val="single" w:color="000000" w:sz="4" w:space="0"/>
              <w:left w:val="single" w:color="000000" w:sz="4" w:space="0"/>
              <w:right w:val="single" w:color="000000" w:sz="4" w:space="0"/>
            </w:tcBorders>
            <w:noWrap/>
            <w:vAlign w:val="center"/>
          </w:tcPr>
          <w:p w14:paraId="0549F762">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结算审核基本费</w:t>
            </w:r>
          </w:p>
        </w:tc>
        <w:tc>
          <w:tcPr>
            <w:tcW w:w="1260" w:type="dxa"/>
            <w:vMerge w:val="restart"/>
            <w:tcBorders>
              <w:top w:val="single" w:color="000000" w:sz="4" w:space="0"/>
              <w:left w:val="single" w:color="000000" w:sz="4" w:space="0"/>
              <w:right w:val="single" w:color="000000" w:sz="4" w:space="0"/>
            </w:tcBorders>
            <w:noWrap w:val="0"/>
            <w:vAlign w:val="center"/>
          </w:tcPr>
          <w:p w14:paraId="08116798">
            <w:pPr>
              <w:widowControl/>
              <w:jc w:val="center"/>
              <w:textAlignment w:val="center"/>
              <w:rPr>
                <w:rFonts w:hint="eastAsia" w:ascii="宋体" w:hAnsi="宋体" w:cs="宋体"/>
                <w:kern w:val="0"/>
                <w:sz w:val="20"/>
                <w:szCs w:val="20"/>
                <w:lang w:bidi="ar"/>
              </w:rPr>
            </w:pPr>
            <w:r>
              <w:rPr>
                <w:rFonts w:hint="eastAsia" w:ascii="宋体" w:hAnsi="宋体" w:cs="宋体"/>
                <w:kern w:val="0"/>
                <w:sz w:val="20"/>
                <w:szCs w:val="20"/>
                <w:lang w:bidi="ar"/>
              </w:rPr>
              <w:t>结算复核</w:t>
            </w:r>
          </w:p>
          <w:p w14:paraId="762A8B0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基本费</w:t>
            </w:r>
          </w:p>
        </w:tc>
      </w:tr>
      <w:tr w14:paraId="154841A0">
        <w:tblPrEx>
          <w:tblCellMar>
            <w:top w:w="0" w:type="dxa"/>
            <w:left w:w="108" w:type="dxa"/>
            <w:bottom w:w="0" w:type="dxa"/>
            <w:right w:w="108" w:type="dxa"/>
          </w:tblCellMar>
        </w:tblPrEx>
        <w:trPr>
          <w:trHeight w:val="395" w:hRule="atLeast"/>
        </w:trPr>
        <w:tc>
          <w:tcPr>
            <w:tcW w:w="1448" w:type="dxa"/>
            <w:gridSpan w:val="2"/>
            <w:vMerge w:val="continue"/>
            <w:tcBorders>
              <w:left w:val="single" w:color="000000" w:sz="4" w:space="0"/>
              <w:right w:val="single" w:color="000000" w:sz="4" w:space="0"/>
            </w:tcBorders>
            <w:noWrap/>
            <w:vAlign w:val="center"/>
          </w:tcPr>
          <w:p w14:paraId="69A861B6">
            <w:pPr>
              <w:widowControl/>
              <w:jc w:val="center"/>
              <w:textAlignment w:val="center"/>
              <w:rPr>
                <w:rFonts w:hint="eastAsia" w:ascii="宋体" w:hAnsi="宋体" w:cs="宋体"/>
                <w:sz w:val="20"/>
                <w:szCs w:val="20"/>
              </w:rPr>
            </w:pPr>
          </w:p>
        </w:tc>
        <w:tc>
          <w:tcPr>
            <w:tcW w:w="1245" w:type="dxa"/>
            <w:tcBorders>
              <w:top w:val="single" w:color="000000" w:sz="4" w:space="0"/>
              <w:left w:val="single" w:color="000000" w:sz="4" w:space="0"/>
              <w:right w:val="single" w:color="000000" w:sz="4" w:space="0"/>
            </w:tcBorders>
            <w:noWrap w:val="0"/>
            <w:vAlign w:val="center"/>
          </w:tcPr>
          <w:p w14:paraId="7D1D2B58">
            <w:pPr>
              <w:widowControl/>
              <w:jc w:val="center"/>
              <w:textAlignment w:val="center"/>
              <w:rPr>
                <w:rFonts w:hint="eastAsia" w:ascii="宋体" w:hAnsi="宋体" w:cs="宋体"/>
                <w:kern w:val="0"/>
                <w:sz w:val="20"/>
                <w:szCs w:val="20"/>
                <w:lang w:bidi="ar"/>
              </w:rPr>
            </w:pPr>
            <w:r>
              <w:rPr>
                <w:rFonts w:hint="eastAsia" w:ascii="宋体" w:hAnsi="宋体" w:cs="宋体"/>
                <w:kern w:val="0"/>
                <w:sz w:val="20"/>
                <w:szCs w:val="20"/>
                <w:lang w:bidi="ar"/>
              </w:rPr>
              <w:t>清单计</w:t>
            </w:r>
          </w:p>
          <w:p w14:paraId="1352E28A">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价法</w:t>
            </w:r>
          </w:p>
        </w:tc>
        <w:tc>
          <w:tcPr>
            <w:tcW w:w="1260" w:type="dxa"/>
            <w:tcBorders>
              <w:top w:val="single" w:color="000000" w:sz="4" w:space="0"/>
              <w:left w:val="single" w:color="000000" w:sz="4" w:space="0"/>
              <w:right w:val="single" w:color="000000" w:sz="4" w:space="0"/>
            </w:tcBorders>
            <w:noWrap/>
            <w:vAlign w:val="center"/>
          </w:tcPr>
          <w:p w14:paraId="02A3517A">
            <w:pPr>
              <w:widowControl/>
              <w:jc w:val="center"/>
              <w:textAlignment w:val="center"/>
              <w:rPr>
                <w:rFonts w:hint="eastAsia" w:ascii="宋体" w:hAnsi="宋体" w:cs="宋体"/>
                <w:kern w:val="0"/>
                <w:sz w:val="20"/>
                <w:szCs w:val="20"/>
                <w:lang w:bidi="ar"/>
              </w:rPr>
            </w:pPr>
            <w:r>
              <w:rPr>
                <w:rFonts w:hint="eastAsia" w:ascii="宋体" w:hAnsi="宋体" w:cs="宋体"/>
                <w:kern w:val="0"/>
                <w:sz w:val="20"/>
                <w:szCs w:val="20"/>
                <w:lang w:bidi="ar"/>
              </w:rPr>
              <w:t>定额计</w:t>
            </w:r>
          </w:p>
          <w:p w14:paraId="71D4771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价法</w:t>
            </w:r>
          </w:p>
        </w:tc>
        <w:tc>
          <w:tcPr>
            <w:tcW w:w="1230" w:type="dxa"/>
            <w:tcBorders>
              <w:top w:val="single" w:color="000000" w:sz="4" w:space="0"/>
              <w:left w:val="single" w:color="000000" w:sz="4" w:space="0"/>
              <w:right w:val="single" w:color="000000" w:sz="4" w:space="0"/>
            </w:tcBorders>
            <w:noWrap/>
            <w:vAlign w:val="center"/>
          </w:tcPr>
          <w:p w14:paraId="4CB31C8E">
            <w:pPr>
              <w:widowControl/>
              <w:jc w:val="center"/>
              <w:textAlignment w:val="center"/>
              <w:rPr>
                <w:rFonts w:hint="eastAsia" w:ascii="宋体" w:hAnsi="宋体" w:cs="宋体"/>
                <w:kern w:val="0"/>
                <w:sz w:val="20"/>
                <w:szCs w:val="20"/>
                <w:lang w:bidi="ar"/>
              </w:rPr>
            </w:pPr>
            <w:r>
              <w:rPr>
                <w:rFonts w:hint="eastAsia" w:ascii="宋体" w:hAnsi="宋体" w:cs="宋体"/>
                <w:kern w:val="0"/>
                <w:sz w:val="20"/>
                <w:szCs w:val="20"/>
                <w:lang w:bidi="ar"/>
              </w:rPr>
              <w:t>清单计</w:t>
            </w:r>
          </w:p>
          <w:p w14:paraId="5ECDC9E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价法</w:t>
            </w:r>
          </w:p>
        </w:tc>
        <w:tc>
          <w:tcPr>
            <w:tcW w:w="1230" w:type="dxa"/>
            <w:tcBorders>
              <w:top w:val="single" w:color="000000" w:sz="4" w:space="0"/>
              <w:left w:val="single" w:color="000000" w:sz="4" w:space="0"/>
              <w:right w:val="single" w:color="000000" w:sz="4" w:space="0"/>
            </w:tcBorders>
            <w:noWrap w:val="0"/>
            <w:vAlign w:val="center"/>
          </w:tcPr>
          <w:p w14:paraId="3A669D6F">
            <w:pPr>
              <w:widowControl/>
              <w:jc w:val="center"/>
              <w:textAlignment w:val="center"/>
              <w:rPr>
                <w:rFonts w:hint="eastAsia" w:ascii="宋体" w:hAnsi="宋体" w:cs="宋体"/>
                <w:kern w:val="0"/>
                <w:sz w:val="20"/>
                <w:szCs w:val="20"/>
                <w:lang w:bidi="ar"/>
              </w:rPr>
            </w:pPr>
            <w:r>
              <w:rPr>
                <w:rFonts w:hint="eastAsia" w:ascii="宋体" w:hAnsi="宋体" w:cs="宋体"/>
                <w:kern w:val="0"/>
                <w:sz w:val="20"/>
                <w:szCs w:val="20"/>
                <w:lang w:bidi="ar"/>
              </w:rPr>
              <w:t>定额计</w:t>
            </w:r>
          </w:p>
          <w:p w14:paraId="067A441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价法</w:t>
            </w:r>
          </w:p>
        </w:tc>
        <w:tc>
          <w:tcPr>
            <w:tcW w:w="1230" w:type="dxa"/>
            <w:vMerge w:val="continue"/>
            <w:tcBorders>
              <w:left w:val="single" w:color="000000" w:sz="4" w:space="0"/>
              <w:right w:val="single" w:color="000000" w:sz="4" w:space="0"/>
            </w:tcBorders>
            <w:noWrap/>
            <w:vAlign w:val="center"/>
          </w:tcPr>
          <w:p w14:paraId="6DAE4F85">
            <w:pPr>
              <w:jc w:val="center"/>
              <w:rPr>
                <w:rFonts w:hint="eastAsia" w:ascii="宋体" w:hAnsi="宋体" w:cs="宋体"/>
                <w:sz w:val="20"/>
                <w:szCs w:val="20"/>
              </w:rPr>
            </w:pPr>
          </w:p>
        </w:tc>
        <w:tc>
          <w:tcPr>
            <w:tcW w:w="1260" w:type="dxa"/>
            <w:vMerge w:val="continue"/>
            <w:tcBorders>
              <w:left w:val="single" w:color="000000" w:sz="4" w:space="0"/>
              <w:right w:val="single" w:color="000000" w:sz="4" w:space="0"/>
            </w:tcBorders>
            <w:noWrap w:val="0"/>
            <w:vAlign w:val="center"/>
          </w:tcPr>
          <w:p w14:paraId="1F0DAD93">
            <w:pPr>
              <w:widowControl/>
              <w:jc w:val="center"/>
              <w:textAlignment w:val="center"/>
              <w:rPr>
                <w:rFonts w:hint="eastAsia" w:ascii="宋体" w:hAnsi="宋体" w:cs="宋体"/>
                <w:sz w:val="20"/>
                <w:szCs w:val="20"/>
              </w:rPr>
            </w:pPr>
          </w:p>
        </w:tc>
      </w:tr>
      <w:tr w14:paraId="210BF3CE">
        <w:tblPrEx>
          <w:tblCellMar>
            <w:top w:w="0" w:type="dxa"/>
            <w:left w:w="108" w:type="dxa"/>
            <w:bottom w:w="0" w:type="dxa"/>
            <w:right w:w="108" w:type="dxa"/>
          </w:tblCellMar>
        </w:tblPrEx>
        <w:trPr>
          <w:trHeight w:val="435" w:hRule="atLeast"/>
        </w:trPr>
        <w:tc>
          <w:tcPr>
            <w:tcW w:w="728" w:type="dxa"/>
            <w:tcBorders>
              <w:top w:val="single" w:color="000000" w:sz="4" w:space="0"/>
              <w:left w:val="single" w:color="000000" w:sz="4" w:space="0"/>
              <w:bottom w:val="single" w:color="000000" w:sz="4" w:space="0"/>
              <w:right w:val="single" w:color="000000" w:sz="4" w:space="0"/>
            </w:tcBorders>
            <w:noWrap/>
            <w:vAlign w:val="center"/>
          </w:tcPr>
          <w:p w14:paraId="60D601B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起值</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73B1782F">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终值</w:t>
            </w:r>
          </w:p>
        </w:tc>
        <w:tc>
          <w:tcPr>
            <w:tcW w:w="7455" w:type="dxa"/>
            <w:gridSpan w:val="6"/>
            <w:tcBorders>
              <w:top w:val="single" w:color="000000" w:sz="4" w:space="0"/>
              <w:left w:val="single" w:color="000000" w:sz="4" w:space="0"/>
              <w:bottom w:val="single" w:color="000000" w:sz="4" w:space="0"/>
              <w:right w:val="single" w:color="000000" w:sz="4" w:space="0"/>
            </w:tcBorders>
            <w:noWrap w:val="0"/>
            <w:vAlign w:val="center"/>
          </w:tcPr>
          <w:p w14:paraId="0D3EF02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费率（‰）</w:t>
            </w:r>
          </w:p>
        </w:tc>
      </w:tr>
      <w:tr w14:paraId="4B884B6F">
        <w:tblPrEx>
          <w:tblCellMar>
            <w:top w:w="0" w:type="dxa"/>
            <w:left w:w="108" w:type="dxa"/>
            <w:bottom w:w="0" w:type="dxa"/>
            <w:right w:w="108" w:type="dxa"/>
          </w:tblCellMar>
        </w:tblPrEx>
        <w:trPr>
          <w:trHeight w:val="552" w:hRule="atLeast"/>
        </w:trPr>
        <w:tc>
          <w:tcPr>
            <w:tcW w:w="728" w:type="dxa"/>
            <w:tcBorders>
              <w:top w:val="single" w:color="000000" w:sz="4" w:space="0"/>
              <w:left w:val="single" w:color="000000" w:sz="4" w:space="0"/>
              <w:bottom w:val="single" w:color="000000" w:sz="4" w:space="0"/>
              <w:right w:val="single" w:color="000000" w:sz="4" w:space="0"/>
            </w:tcBorders>
            <w:noWrap/>
            <w:vAlign w:val="center"/>
          </w:tcPr>
          <w:p w14:paraId="6F51925E">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33B2BDD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436C13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3.60</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5EFE5B9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3.0</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410EA6A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1.8</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57C2411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1.5</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1583E2F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2.8</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1FEF58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2.8</w:t>
            </w:r>
          </w:p>
        </w:tc>
      </w:tr>
      <w:tr w14:paraId="76C1DE57">
        <w:tblPrEx>
          <w:tblCellMar>
            <w:top w:w="0" w:type="dxa"/>
            <w:left w:w="108" w:type="dxa"/>
            <w:bottom w:w="0" w:type="dxa"/>
            <w:right w:w="108" w:type="dxa"/>
          </w:tblCellMar>
        </w:tblPrEx>
        <w:trPr>
          <w:trHeight w:val="552" w:hRule="atLeast"/>
        </w:trPr>
        <w:tc>
          <w:tcPr>
            <w:tcW w:w="728" w:type="dxa"/>
            <w:tcBorders>
              <w:top w:val="single" w:color="000000" w:sz="4" w:space="0"/>
              <w:left w:val="single" w:color="000000" w:sz="4" w:space="0"/>
              <w:bottom w:val="single" w:color="000000" w:sz="4" w:space="0"/>
              <w:right w:val="single" w:color="000000" w:sz="4" w:space="0"/>
            </w:tcBorders>
            <w:noWrap/>
            <w:vAlign w:val="center"/>
          </w:tcPr>
          <w:p w14:paraId="5232432F">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680C4C5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200</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45C8E2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3.24</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17206FE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2.7</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353C2F52">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1.62</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3C0681D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1.35</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16D1B1D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2.52</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C343AE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2.52</w:t>
            </w:r>
          </w:p>
        </w:tc>
      </w:tr>
      <w:tr w14:paraId="5CE15FD2">
        <w:tblPrEx>
          <w:tblCellMar>
            <w:top w:w="0" w:type="dxa"/>
            <w:left w:w="108" w:type="dxa"/>
            <w:bottom w:w="0" w:type="dxa"/>
            <w:right w:w="108" w:type="dxa"/>
          </w:tblCellMar>
        </w:tblPrEx>
        <w:trPr>
          <w:trHeight w:val="552" w:hRule="atLeast"/>
        </w:trPr>
        <w:tc>
          <w:tcPr>
            <w:tcW w:w="728" w:type="dxa"/>
            <w:tcBorders>
              <w:top w:val="single" w:color="000000" w:sz="4" w:space="0"/>
              <w:left w:val="single" w:color="000000" w:sz="4" w:space="0"/>
              <w:bottom w:val="single" w:color="000000" w:sz="4" w:space="0"/>
              <w:right w:val="single" w:color="000000" w:sz="4" w:space="0"/>
            </w:tcBorders>
            <w:noWrap/>
            <w:vAlign w:val="center"/>
          </w:tcPr>
          <w:p w14:paraId="2E808B5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200</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3F7BE8F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500</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87F31F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2.81</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619AB1F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2.13</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385FA692">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1.42</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5CAE795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1.08</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410FB54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2.13</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48C1D6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2.13</w:t>
            </w:r>
          </w:p>
        </w:tc>
      </w:tr>
      <w:tr w14:paraId="69C7D15D">
        <w:tblPrEx>
          <w:tblCellMar>
            <w:top w:w="0" w:type="dxa"/>
            <w:left w:w="108" w:type="dxa"/>
            <w:bottom w:w="0" w:type="dxa"/>
            <w:right w:w="108" w:type="dxa"/>
          </w:tblCellMar>
        </w:tblPrEx>
        <w:trPr>
          <w:trHeight w:val="552" w:hRule="atLeast"/>
        </w:trPr>
        <w:tc>
          <w:tcPr>
            <w:tcW w:w="728" w:type="dxa"/>
            <w:tcBorders>
              <w:top w:val="single" w:color="000000" w:sz="4" w:space="0"/>
              <w:left w:val="single" w:color="000000" w:sz="4" w:space="0"/>
              <w:bottom w:val="single" w:color="000000" w:sz="4" w:space="0"/>
              <w:right w:val="single" w:color="000000" w:sz="4" w:space="0"/>
            </w:tcBorders>
            <w:noWrap/>
            <w:vAlign w:val="center"/>
          </w:tcPr>
          <w:p w14:paraId="17D693D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500</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7759FE78">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1000</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FA6797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2.55</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7A1D85F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1.96</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1F48516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1.29</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04C850C2">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0.99</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46FB0BEA">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1.87</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3997F69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1.87</w:t>
            </w:r>
          </w:p>
        </w:tc>
      </w:tr>
      <w:tr w14:paraId="3A8F9330">
        <w:tblPrEx>
          <w:tblCellMar>
            <w:top w:w="0" w:type="dxa"/>
            <w:left w:w="108" w:type="dxa"/>
            <w:bottom w:w="0" w:type="dxa"/>
            <w:right w:w="108" w:type="dxa"/>
          </w:tblCellMar>
        </w:tblPrEx>
        <w:trPr>
          <w:trHeight w:val="552" w:hRule="atLeast"/>
        </w:trPr>
        <w:tc>
          <w:tcPr>
            <w:tcW w:w="728" w:type="dxa"/>
            <w:tcBorders>
              <w:top w:val="single" w:color="000000" w:sz="4" w:space="0"/>
              <w:left w:val="single" w:color="000000" w:sz="4" w:space="0"/>
              <w:bottom w:val="single" w:color="000000" w:sz="4" w:space="0"/>
              <w:right w:val="single" w:color="000000" w:sz="4" w:space="0"/>
            </w:tcBorders>
            <w:noWrap/>
            <w:vAlign w:val="center"/>
          </w:tcPr>
          <w:p w14:paraId="0BAA4B8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1000</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17A244A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2000</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F1F2E8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2.3</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281FEC2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1.79</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37E37282">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0.95</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79C5AC7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0.74</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00DE6C9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1.62</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A29D972">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1.29</w:t>
            </w:r>
          </w:p>
        </w:tc>
      </w:tr>
      <w:tr w14:paraId="3B4C3296">
        <w:tblPrEx>
          <w:tblCellMar>
            <w:top w:w="0" w:type="dxa"/>
            <w:left w:w="108" w:type="dxa"/>
            <w:bottom w:w="0" w:type="dxa"/>
            <w:right w:w="108" w:type="dxa"/>
          </w:tblCellMar>
        </w:tblPrEx>
        <w:trPr>
          <w:trHeight w:val="552" w:hRule="atLeast"/>
        </w:trPr>
        <w:tc>
          <w:tcPr>
            <w:tcW w:w="728" w:type="dxa"/>
            <w:tcBorders>
              <w:top w:val="single" w:color="000000" w:sz="4" w:space="0"/>
              <w:left w:val="single" w:color="000000" w:sz="4" w:space="0"/>
              <w:bottom w:val="single" w:color="000000" w:sz="4" w:space="0"/>
              <w:right w:val="single" w:color="000000" w:sz="4" w:space="0"/>
            </w:tcBorders>
            <w:noWrap/>
            <w:vAlign w:val="center"/>
          </w:tcPr>
          <w:p w14:paraId="3066BEA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2000</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37C5234E">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5000</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50E78E8">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1.92</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3EBC3A8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1.52</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3C3BFC0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0.72</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152BF9AF">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0.57</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6756258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1.28</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221D938">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0.77</w:t>
            </w:r>
          </w:p>
        </w:tc>
      </w:tr>
      <w:tr w14:paraId="388C9C58">
        <w:tblPrEx>
          <w:tblCellMar>
            <w:top w:w="0" w:type="dxa"/>
            <w:left w:w="108" w:type="dxa"/>
            <w:bottom w:w="0" w:type="dxa"/>
            <w:right w:w="108" w:type="dxa"/>
          </w:tblCellMar>
        </w:tblPrEx>
        <w:trPr>
          <w:trHeight w:val="552" w:hRule="atLeast"/>
        </w:trPr>
        <w:tc>
          <w:tcPr>
            <w:tcW w:w="728" w:type="dxa"/>
            <w:tcBorders>
              <w:top w:val="single" w:color="000000" w:sz="4" w:space="0"/>
              <w:left w:val="single" w:color="000000" w:sz="4" w:space="0"/>
              <w:bottom w:val="single" w:color="000000" w:sz="4" w:space="0"/>
              <w:right w:val="single" w:color="000000" w:sz="4" w:space="0"/>
            </w:tcBorders>
            <w:noWrap/>
            <w:vAlign w:val="center"/>
          </w:tcPr>
          <w:p w14:paraId="11826CC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5000</w:t>
            </w:r>
          </w:p>
        </w:tc>
        <w:tc>
          <w:tcPr>
            <w:tcW w:w="720" w:type="dxa"/>
            <w:tcBorders>
              <w:top w:val="single" w:color="000000" w:sz="4" w:space="0"/>
              <w:left w:val="single" w:color="000000" w:sz="4" w:space="0"/>
              <w:bottom w:val="single" w:color="000000" w:sz="4" w:space="0"/>
              <w:right w:val="single" w:color="000000" w:sz="4" w:space="0"/>
            </w:tcBorders>
            <w:noWrap/>
            <w:vAlign w:val="center"/>
          </w:tcPr>
          <w:p w14:paraId="23FEE9C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10000</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D24B5F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1.68</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676AE46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1.36</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6463647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0.53</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2B6538B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0.43</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6B87CC0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1.04</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3FBCEE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0.52</w:t>
            </w:r>
          </w:p>
        </w:tc>
      </w:tr>
      <w:tr w14:paraId="1FBF1EF3">
        <w:tblPrEx>
          <w:tblCellMar>
            <w:top w:w="0" w:type="dxa"/>
            <w:left w:w="108" w:type="dxa"/>
            <w:bottom w:w="0" w:type="dxa"/>
            <w:right w:w="108" w:type="dxa"/>
          </w:tblCellMar>
        </w:tblPrEx>
        <w:trPr>
          <w:trHeight w:val="552" w:hRule="atLeast"/>
        </w:trPr>
        <w:tc>
          <w:tcPr>
            <w:tcW w:w="728" w:type="dxa"/>
            <w:tcBorders>
              <w:top w:val="single" w:color="000000" w:sz="4" w:space="0"/>
              <w:left w:val="single" w:color="000000" w:sz="4" w:space="0"/>
              <w:bottom w:val="nil"/>
              <w:right w:val="single" w:color="000000" w:sz="4" w:space="0"/>
            </w:tcBorders>
            <w:noWrap/>
            <w:vAlign w:val="center"/>
          </w:tcPr>
          <w:p w14:paraId="69B9C84A">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10000</w:t>
            </w:r>
          </w:p>
        </w:tc>
        <w:tc>
          <w:tcPr>
            <w:tcW w:w="720" w:type="dxa"/>
            <w:tcBorders>
              <w:top w:val="single" w:color="000000" w:sz="4" w:space="0"/>
              <w:left w:val="single" w:color="000000" w:sz="4" w:space="0"/>
              <w:bottom w:val="nil"/>
              <w:right w:val="single" w:color="000000" w:sz="4" w:space="0"/>
            </w:tcBorders>
            <w:noWrap/>
            <w:vAlign w:val="center"/>
          </w:tcPr>
          <w:p w14:paraId="708EA48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20000</w:t>
            </w:r>
          </w:p>
        </w:tc>
        <w:tc>
          <w:tcPr>
            <w:tcW w:w="1245" w:type="dxa"/>
            <w:tcBorders>
              <w:top w:val="single" w:color="000000" w:sz="4" w:space="0"/>
              <w:left w:val="single" w:color="000000" w:sz="4" w:space="0"/>
              <w:bottom w:val="nil"/>
              <w:right w:val="single" w:color="000000" w:sz="4" w:space="0"/>
            </w:tcBorders>
            <w:noWrap w:val="0"/>
            <w:vAlign w:val="center"/>
          </w:tcPr>
          <w:p w14:paraId="4358856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1.35</w:t>
            </w:r>
          </w:p>
        </w:tc>
        <w:tc>
          <w:tcPr>
            <w:tcW w:w="1260" w:type="dxa"/>
            <w:tcBorders>
              <w:top w:val="single" w:color="000000" w:sz="4" w:space="0"/>
              <w:left w:val="single" w:color="000000" w:sz="4" w:space="0"/>
              <w:bottom w:val="nil"/>
              <w:right w:val="single" w:color="000000" w:sz="4" w:space="0"/>
            </w:tcBorders>
            <w:noWrap/>
            <w:vAlign w:val="center"/>
          </w:tcPr>
          <w:p w14:paraId="14C53F2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1.13</w:t>
            </w:r>
          </w:p>
        </w:tc>
        <w:tc>
          <w:tcPr>
            <w:tcW w:w="1230" w:type="dxa"/>
            <w:tcBorders>
              <w:top w:val="single" w:color="000000" w:sz="4" w:space="0"/>
              <w:left w:val="single" w:color="000000" w:sz="4" w:space="0"/>
              <w:bottom w:val="nil"/>
              <w:right w:val="single" w:color="000000" w:sz="4" w:space="0"/>
            </w:tcBorders>
            <w:noWrap/>
            <w:vAlign w:val="center"/>
          </w:tcPr>
          <w:p w14:paraId="0223345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0.36</w:t>
            </w:r>
          </w:p>
        </w:tc>
        <w:tc>
          <w:tcPr>
            <w:tcW w:w="1230" w:type="dxa"/>
            <w:tcBorders>
              <w:top w:val="single" w:color="000000" w:sz="4" w:space="0"/>
              <w:left w:val="single" w:color="000000" w:sz="4" w:space="0"/>
              <w:bottom w:val="nil"/>
              <w:right w:val="single" w:color="000000" w:sz="4" w:space="0"/>
            </w:tcBorders>
            <w:noWrap w:val="0"/>
            <w:vAlign w:val="center"/>
          </w:tcPr>
          <w:p w14:paraId="291FA84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0.3</w:t>
            </w:r>
          </w:p>
        </w:tc>
        <w:tc>
          <w:tcPr>
            <w:tcW w:w="1230" w:type="dxa"/>
            <w:tcBorders>
              <w:top w:val="single" w:color="000000" w:sz="4" w:space="0"/>
              <w:left w:val="single" w:color="000000" w:sz="4" w:space="0"/>
              <w:bottom w:val="nil"/>
              <w:right w:val="single" w:color="000000" w:sz="4" w:space="0"/>
            </w:tcBorders>
            <w:noWrap w:val="0"/>
            <w:vAlign w:val="center"/>
          </w:tcPr>
          <w:p w14:paraId="11001E9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0.75</w:t>
            </w:r>
          </w:p>
        </w:tc>
        <w:tc>
          <w:tcPr>
            <w:tcW w:w="1260" w:type="dxa"/>
            <w:tcBorders>
              <w:top w:val="single" w:color="000000" w:sz="4" w:space="0"/>
              <w:left w:val="single" w:color="000000" w:sz="4" w:space="0"/>
              <w:bottom w:val="nil"/>
              <w:right w:val="single" w:color="000000" w:sz="4" w:space="0"/>
            </w:tcBorders>
            <w:noWrap w:val="0"/>
            <w:vAlign w:val="center"/>
          </w:tcPr>
          <w:p w14:paraId="0B1FE5F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0.3</w:t>
            </w:r>
          </w:p>
        </w:tc>
      </w:tr>
      <w:tr w14:paraId="67570073">
        <w:tblPrEx>
          <w:tblCellMar>
            <w:top w:w="0" w:type="dxa"/>
            <w:left w:w="108" w:type="dxa"/>
            <w:bottom w:w="0" w:type="dxa"/>
            <w:right w:w="108" w:type="dxa"/>
          </w:tblCellMar>
        </w:tblPrEx>
        <w:trPr>
          <w:trHeight w:val="552" w:hRule="atLeast"/>
        </w:trPr>
        <w:tc>
          <w:tcPr>
            <w:tcW w:w="1448" w:type="dxa"/>
            <w:gridSpan w:val="2"/>
            <w:tcBorders>
              <w:top w:val="single" w:color="000000" w:sz="4" w:space="0"/>
              <w:left w:val="single" w:color="000000" w:sz="4" w:space="0"/>
              <w:bottom w:val="single" w:color="000000" w:sz="4" w:space="0"/>
              <w:right w:val="single" w:color="000000" w:sz="4" w:space="0"/>
            </w:tcBorders>
            <w:noWrap/>
            <w:vAlign w:val="center"/>
          </w:tcPr>
          <w:p w14:paraId="18013C2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20000及以上</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23AF2A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1.26</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35C74742">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1.05</w:t>
            </w:r>
          </w:p>
        </w:tc>
        <w:tc>
          <w:tcPr>
            <w:tcW w:w="1230" w:type="dxa"/>
            <w:tcBorders>
              <w:top w:val="single" w:color="000000" w:sz="4" w:space="0"/>
              <w:left w:val="single" w:color="000000" w:sz="4" w:space="0"/>
              <w:bottom w:val="single" w:color="000000" w:sz="4" w:space="0"/>
              <w:right w:val="single" w:color="000000" w:sz="4" w:space="0"/>
            </w:tcBorders>
            <w:noWrap/>
            <w:vAlign w:val="center"/>
          </w:tcPr>
          <w:p w14:paraId="0F9950F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0.27</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67801A9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0.23</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31283E7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0.7</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D24450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0.2</w:t>
            </w:r>
          </w:p>
        </w:tc>
      </w:tr>
    </w:tbl>
    <w:p w14:paraId="236423EA">
      <w:pPr>
        <w:spacing w:line="360" w:lineRule="auto"/>
        <w:ind w:firstLine="480" w:firstLineChars="200"/>
        <w:rPr>
          <w:rFonts w:hint="eastAsia" w:ascii="宋体" w:hAnsi="宋体"/>
          <w:sz w:val="24"/>
        </w:rPr>
      </w:pPr>
      <w:r>
        <w:rPr>
          <w:rFonts w:hint="eastAsia" w:ascii="宋体" w:hAnsi="宋体"/>
          <w:sz w:val="24"/>
        </w:rPr>
        <w:t>说明：（1）交通运输工程项目专业系数0.8，水利和市政工程项目专业系数0.9，单独委托的装饰、安装、园林绿化及仿古建筑工程项目专业系数1.2，其他项目专业系数均为1.0。（2）预算编制、预算复核的计费基数为预算审定造价，结算审核的计费基数为送审工程造价，结算复核的计费基数为结算审核的定案造价。（3）每件咨询服务合同按上述计算不足3000元的，按3000元计算（交通运输工程每件咨询服务合同按上述计算不足2000元的，按2000元计算）。（4）咨询服务费包括钢筋计算。（5）工程结算审核和复核的追加费及其计费办法具体以工程施工合同、结算审核和复核的委托合同为准。</w:t>
      </w:r>
    </w:p>
    <w:p w14:paraId="02FA678B">
      <w:pPr>
        <w:numPr>
          <w:ilvl w:val="0"/>
          <w:numId w:val="1"/>
        </w:numPr>
        <w:spacing w:line="360" w:lineRule="auto"/>
        <w:ind w:firstLine="480" w:firstLineChars="200"/>
        <w:rPr>
          <w:rFonts w:hint="eastAsia" w:ascii="宋体" w:hAnsi="宋体"/>
          <w:sz w:val="24"/>
        </w:rPr>
      </w:pPr>
      <w:r>
        <w:rPr>
          <w:rFonts w:hint="eastAsia" w:ascii="宋体" w:hAnsi="宋体"/>
          <w:sz w:val="24"/>
        </w:rPr>
        <w:t>服务费用以人民币元为结算单位。</w:t>
      </w:r>
    </w:p>
    <w:p w14:paraId="490F4E97">
      <w:pPr>
        <w:numPr>
          <w:ilvl w:val="0"/>
          <w:numId w:val="1"/>
        </w:numPr>
        <w:spacing w:line="360" w:lineRule="auto"/>
        <w:ind w:firstLine="480" w:firstLineChars="200"/>
        <w:rPr>
          <w:rFonts w:hint="eastAsia" w:ascii="宋体" w:hAnsi="宋体"/>
          <w:sz w:val="24"/>
        </w:rPr>
      </w:pPr>
      <w:r>
        <w:rPr>
          <w:rFonts w:hint="eastAsia" w:ascii="宋体" w:hAnsi="宋体"/>
          <w:sz w:val="24"/>
        </w:rPr>
        <w:t>按上述要求计算的服务费用为投标报价上限，投标人报价不得超过上述费用的100%。</w:t>
      </w:r>
    </w:p>
    <w:p w14:paraId="03AE8CD6">
      <w:pPr>
        <w:ind w:firstLine="480" w:firstLineChars="200"/>
      </w:pPr>
      <w:r>
        <w:rPr>
          <w:rFonts w:hint="eastAsia" w:ascii="宋体" w:hAnsi="宋体"/>
          <w:sz w:val="24"/>
        </w:rPr>
        <w:t>4.支付方式和时间：详见具体项目委托合同。</w:t>
      </w:r>
      <w:bookmarkEnd w:id="88"/>
    </w:p>
    <w:bookmarkEnd w:id="89"/>
    <w:sectPr>
      <w:pgSz w:w="11906" w:h="16838"/>
      <w:pgMar w:top="1440" w:right="1800" w:bottom="1440" w:left="1800" w:header="851" w:footer="85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CE9C8">
    <w:pPr>
      <w:pStyle w:val="3"/>
      <w:jc w:val="center"/>
    </w:pPr>
  </w:p>
  <w:p w14:paraId="72B9B808">
    <w:pPr>
      <w:pStyle w:val="3"/>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39CD2">
    <w:pPr>
      <w:pStyle w:val="3"/>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D2A18F">
                          <w:pPr>
                            <w:pStyle w:val="3"/>
                          </w:pPr>
                          <w:r>
                            <w:t xml:space="preserve">第 </w:t>
                          </w:r>
                          <w:r>
                            <w:fldChar w:fldCharType="begin"/>
                          </w:r>
                          <w:r>
                            <w:instrText xml:space="preserve"> PAGE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BD2A18F">
                    <w:pPr>
                      <w:pStyle w:val="3"/>
                    </w:pPr>
                    <w:r>
                      <w:t xml:space="preserve">第 </w:t>
                    </w:r>
                    <w:r>
                      <w:fldChar w:fldCharType="begin"/>
                    </w:r>
                    <w:r>
                      <w:instrText xml:space="preserve"> PAGE  \* MERGEFORMAT </w:instrText>
                    </w:r>
                    <w:r>
                      <w:fldChar w:fldCharType="separate"/>
                    </w:r>
                    <w:r>
                      <w:t>12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3C389">
    <w:pPr>
      <w:pStyle w:val="3"/>
      <w:framePr w:wrap="around" w:vAnchor="text" w:hAnchor="margin" w:xAlign="right" w:y="1"/>
      <w:rPr>
        <w:rStyle w:val="10"/>
      </w:rPr>
    </w:pPr>
    <w:r>
      <w:fldChar w:fldCharType="begin"/>
    </w:r>
    <w:r>
      <w:rPr>
        <w:rStyle w:val="10"/>
      </w:rPr>
      <w:instrText xml:space="preserve">PAGE  </w:instrText>
    </w:r>
    <w:r>
      <w:fldChar w:fldCharType="separate"/>
    </w:r>
    <w:r>
      <w:rPr>
        <w:rStyle w:val="10"/>
      </w:rPr>
      <w:t>53</w:t>
    </w:r>
    <w:r>
      <w:fldChar w:fldCharType="end"/>
    </w:r>
  </w:p>
  <w:p w14:paraId="6E12D4B4">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BD113">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99EB2"/>
    <w:multiLevelType w:val="singleLevel"/>
    <w:tmpl w:val="1F099EB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5YzRhZjE3Y2Y1YjMwYTUzMDJkNjc1ZWM3ZDdlMmYifQ=="/>
  </w:docVars>
  <w:rsids>
    <w:rsidRoot w:val="2B0E5981"/>
    <w:rsid w:val="06A24AF0"/>
    <w:rsid w:val="14FC2431"/>
    <w:rsid w:val="1D2030BF"/>
    <w:rsid w:val="1E6A2865"/>
    <w:rsid w:val="22EA0351"/>
    <w:rsid w:val="24A01FF9"/>
    <w:rsid w:val="26332840"/>
    <w:rsid w:val="2B0E5981"/>
    <w:rsid w:val="33E60740"/>
    <w:rsid w:val="37402509"/>
    <w:rsid w:val="3F79605C"/>
    <w:rsid w:val="47FF7B49"/>
    <w:rsid w:val="4B951AB1"/>
    <w:rsid w:val="56753178"/>
    <w:rsid w:val="5A0E700F"/>
    <w:rsid w:val="5F0530BC"/>
    <w:rsid w:val="64D163DD"/>
    <w:rsid w:val="686B27C8"/>
    <w:rsid w:val="6B5B428F"/>
    <w:rsid w:val="764A6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rFonts w:eastAsia="黑体"/>
      <w:kern w:val="0"/>
      <w:sz w:val="18"/>
      <w:szCs w:val="18"/>
    </w:rPr>
  </w:style>
  <w:style w:type="paragraph" w:styleId="4">
    <w:name w:val="header"/>
    <w:basedOn w:val="1"/>
    <w:autoRedefine/>
    <w:qFormat/>
    <w:uiPriority w:val="99"/>
    <w:pPr>
      <w:pBdr>
        <w:bottom w:val="single" w:color="auto" w:sz="6" w:space="1"/>
      </w:pBdr>
      <w:tabs>
        <w:tab w:val="center" w:pos="4153"/>
        <w:tab w:val="right" w:pos="8306"/>
      </w:tabs>
      <w:snapToGrid w:val="0"/>
      <w:jc w:val="center"/>
    </w:pPr>
    <w:rPr>
      <w:rFonts w:eastAsia="仿宋_GB2312"/>
      <w:kern w:val="0"/>
      <w:sz w:val="18"/>
      <w:szCs w:val="20"/>
    </w:rPr>
  </w:style>
  <w:style w:type="paragraph" w:styleId="5">
    <w:name w:val="Subtitle"/>
    <w:basedOn w:val="1"/>
    <w:next w:val="1"/>
    <w:link w:val="15"/>
    <w:autoRedefine/>
    <w:qFormat/>
    <w:uiPriority w:val="11"/>
    <w:pPr>
      <w:spacing w:before="240" w:after="60" w:line="312" w:lineRule="auto"/>
      <w:jc w:val="center"/>
      <w:outlineLvl w:val="1"/>
    </w:pPr>
    <w:rPr>
      <w:rFonts w:ascii="Calibri Light" w:hAnsi="Calibri Light"/>
      <w:b/>
      <w:bCs/>
      <w:kern w:val="28"/>
      <w:sz w:val="32"/>
      <w:szCs w:val="32"/>
    </w:rPr>
  </w:style>
  <w:style w:type="paragraph" w:styleId="6">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7">
    <w:name w:val="Title"/>
    <w:basedOn w:val="1"/>
    <w:next w:val="1"/>
    <w:link w:val="14"/>
    <w:autoRedefine/>
    <w:qFormat/>
    <w:uiPriority w:val="10"/>
    <w:pPr>
      <w:spacing w:before="240" w:after="60"/>
      <w:jc w:val="center"/>
      <w:outlineLvl w:val="0"/>
    </w:pPr>
    <w:rPr>
      <w:rFonts w:ascii="Cambria" w:hAnsi="Cambria"/>
      <w:b/>
      <w:bCs/>
      <w:kern w:val="0"/>
      <w:sz w:val="24"/>
      <w:szCs w:val="32"/>
    </w:rPr>
  </w:style>
  <w:style w:type="character" w:styleId="10">
    <w:name w:val="page number"/>
    <w:autoRedefine/>
    <w:qFormat/>
    <w:uiPriority w:val="0"/>
  </w:style>
  <w:style w:type="paragraph" w:customStyle="1" w:styleId="11">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12">
    <w:name w:val="p0"/>
    <w:basedOn w:val="1"/>
    <w:autoRedefine/>
    <w:qFormat/>
    <w:uiPriority w:val="0"/>
    <w:pPr>
      <w:widowControl/>
      <w:jc w:val="left"/>
    </w:pPr>
    <w:rPr>
      <w:rFonts w:ascii="宋体" w:hAnsi="宋体"/>
      <w:kern w:val="0"/>
      <w:sz w:val="20"/>
      <w:szCs w:val="20"/>
    </w:rPr>
  </w:style>
  <w:style w:type="character" w:customStyle="1" w:styleId="13">
    <w:name w:val="15"/>
    <w:autoRedefine/>
    <w:qFormat/>
    <w:uiPriority w:val="0"/>
    <w:rPr>
      <w:rFonts w:hint="default" w:ascii="Times New Roman" w:hAnsi="Times New Roman" w:cs="Times New Roman"/>
      <w:color w:val="464445"/>
      <w:u w:val="none"/>
    </w:rPr>
  </w:style>
  <w:style w:type="character" w:customStyle="1" w:styleId="14">
    <w:name w:val="标题 Char2"/>
    <w:link w:val="7"/>
    <w:autoRedefine/>
    <w:qFormat/>
    <w:uiPriority w:val="10"/>
    <w:rPr>
      <w:rFonts w:ascii="Cambria" w:hAnsi="Cambria"/>
      <w:b/>
      <w:bCs/>
      <w:kern w:val="0"/>
      <w:sz w:val="24"/>
      <w:szCs w:val="32"/>
    </w:rPr>
  </w:style>
  <w:style w:type="character" w:customStyle="1" w:styleId="15">
    <w:name w:val="副标题 Char"/>
    <w:link w:val="5"/>
    <w:autoRedefine/>
    <w:qFormat/>
    <w:uiPriority w:val="11"/>
    <w:rPr>
      <w:rFonts w:ascii="Calibri Light" w:hAnsi="Calibri Light"/>
      <w:b/>
      <w:bCs/>
      <w:kern w:val="28"/>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3485</Words>
  <Characters>4023</Characters>
  <Lines>0</Lines>
  <Paragraphs>0</Paragraphs>
  <TotalTime>28</TotalTime>
  <ScaleCrop>false</ScaleCrop>
  <LinksUpToDate>false</LinksUpToDate>
  <CharactersWithSpaces>4705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2022-09-08T09:43:00Z</dcterms:created>
  <dc:creator>陈攀</dc:creator>
  <cp:lastModifiedBy>项海芳</cp:lastModifiedBy>
  <cp:lastPrinted>2024-07-18T02:58:00Z</cp:lastPrinted>
  <dcterms:modified xsi:type="dcterms:W3CDTF">2024-07-18T02:58:13Z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D20B13F1D7304281B50079128CE70425</vt:lpwstr>
  </property>
</Properties>
</file>