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color w:val="auto"/>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b/>
          <w:bCs/>
          <w:color w:val="auto"/>
          <w:kern w:val="0"/>
          <w:sz w:val="52"/>
          <w:szCs w:val="52"/>
          <w:lang w:eastAsia="zh-CN"/>
        </w:rPr>
      </w:pPr>
      <w:r>
        <w:rPr>
          <w:rFonts w:hint="eastAsia" w:ascii="宋体"/>
          <w:b/>
          <w:bCs/>
          <w:color w:val="auto"/>
          <w:spacing w:val="0"/>
          <w:kern w:val="0"/>
          <w:sz w:val="52"/>
          <w:szCs w:val="52"/>
          <w:lang w:eastAsia="zh-CN"/>
        </w:rPr>
        <w:t>台州市云湖小学食堂托管及劳务外包服务采购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left="539" w:right="924" w:firstLine="357"/>
        <w:jc w:val="center"/>
        <w:textAlignment w:val="auto"/>
        <w:rPr>
          <w:rFonts w:hint="eastAsia" w:ascii="宋体" w:cs="宋体"/>
          <w:b/>
          <w:bCs/>
          <w:color w:val="auto"/>
          <w:kern w:val="0"/>
          <w:sz w:val="52"/>
          <w:szCs w:val="52"/>
          <w:lang w:val="en-US" w:eastAsia="zh-CN"/>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left="539" w:right="924" w:firstLine="357"/>
        <w:jc w:val="center"/>
        <w:textAlignment w:val="auto"/>
        <w:rPr>
          <w:rFonts w:hint="eastAsia" w:ascii="宋体" w:cs="宋体"/>
          <w:b/>
          <w:bCs/>
          <w:color w:val="auto"/>
          <w:kern w:val="0"/>
          <w:sz w:val="52"/>
          <w:szCs w:val="52"/>
        </w:rPr>
      </w:pPr>
      <w:r>
        <w:rPr>
          <w:rFonts w:hint="eastAsia" w:ascii="宋体" w:cs="宋体"/>
          <w:b/>
          <w:bCs/>
          <w:color w:val="auto"/>
          <w:kern w:val="0"/>
          <w:sz w:val="52"/>
          <w:szCs w:val="52"/>
          <w:lang w:val="en-US" w:eastAsia="zh-CN"/>
        </w:rPr>
        <w:t>公开招标采购文件</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color w:val="auto"/>
          <w:kern w:val="0"/>
          <w:sz w:val="32"/>
          <w:szCs w:val="32"/>
          <w:lang w:eastAsia="zh-CN"/>
        </w:rPr>
      </w:pPr>
      <w:r>
        <w:rPr>
          <w:rFonts w:hint="eastAsia" w:ascii="宋体" w:cs="宋体"/>
          <w:color w:val="auto"/>
          <w:kern w:val="0"/>
          <w:sz w:val="32"/>
          <w:szCs w:val="32"/>
        </w:rPr>
        <w:t>项目编号：</w:t>
      </w:r>
      <w:r>
        <w:rPr>
          <w:rFonts w:hint="eastAsia" w:ascii="宋体" w:cs="宋体"/>
          <w:color w:val="auto"/>
          <w:kern w:val="0"/>
          <w:sz w:val="32"/>
          <w:szCs w:val="32"/>
          <w:lang w:eastAsia="zh-CN"/>
        </w:rPr>
        <w:t>Tytz-2024-017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pPr>
        <w:autoSpaceDE w:val="0"/>
        <w:autoSpaceDN w:val="0"/>
        <w:adjustRightInd w:val="0"/>
        <w:spacing w:line="360" w:lineRule="auto"/>
        <w:jc w:val="left"/>
        <w:rPr>
          <w:rFonts w:ascii="宋体"/>
          <w:color w:val="auto"/>
          <w:kern w:val="0"/>
          <w:sz w:val="32"/>
          <w:szCs w:val="32"/>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hint="default" w:ascii="宋体" w:eastAsia="宋体"/>
          <w:color w:val="auto"/>
          <w:kern w:val="0"/>
          <w:sz w:val="30"/>
          <w:szCs w:val="30"/>
          <w:lang w:val="en-US" w:eastAsia="zh-CN"/>
        </w:rPr>
      </w:pPr>
      <w:r>
        <w:rPr>
          <w:rFonts w:hint="eastAsia" w:ascii="宋体" w:cs="宋体"/>
          <w:color w:val="auto"/>
          <w:kern w:val="0"/>
          <w:sz w:val="30"/>
          <w:szCs w:val="30"/>
        </w:rPr>
        <w:t>采购人：</w:t>
      </w:r>
      <w:r>
        <w:rPr>
          <w:rFonts w:hint="eastAsia" w:ascii="宋体" w:cs="宋体"/>
          <w:color w:val="auto"/>
          <w:kern w:val="0"/>
          <w:sz w:val="30"/>
          <w:szCs w:val="30"/>
          <w:lang w:val="en-US" w:eastAsia="zh-CN"/>
        </w:rPr>
        <w:t>台州市云湖小学</w:t>
      </w: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ascii="宋体"/>
          <w:color w:val="auto"/>
          <w:kern w:val="0"/>
          <w:sz w:val="30"/>
          <w:szCs w:val="30"/>
        </w:rPr>
      </w:pPr>
      <w:r>
        <w:rPr>
          <w:rFonts w:hint="eastAsia" w:ascii="宋体" w:cs="宋体"/>
          <w:color w:val="auto"/>
          <w:kern w:val="0"/>
          <w:sz w:val="30"/>
          <w:szCs w:val="30"/>
          <w:lang w:eastAsia="zh-CN"/>
        </w:rPr>
        <w:t>采购组织机构</w:t>
      </w:r>
      <w:r>
        <w:rPr>
          <w:rFonts w:hint="eastAsia" w:ascii="宋体" w:cs="宋体"/>
          <w:color w:val="auto"/>
          <w:kern w:val="0"/>
          <w:sz w:val="30"/>
          <w:szCs w:val="30"/>
        </w:rPr>
        <w:t>：</w:t>
      </w:r>
      <w:r>
        <w:rPr>
          <w:rFonts w:hint="eastAsia" w:ascii="宋体" w:cs="宋体"/>
          <w:color w:val="auto"/>
          <w:kern w:val="0"/>
          <w:sz w:val="30"/>
          <w:szCs w:val="30"/>
          <w:lang w:eastAsia="zh-CN"/>
        </w:rPr>
        <w:t>浙江添翼工程管理有限公司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color w:val="auto"/>
          <w:kern w:val="0"/>
          <w:sz w:val="28"/>
          <w:szCs w:val="28"/>
        </w:rPr>
      </w:pPr>
      <w:r>
        <w:rPr>
          <w:rFonts w:hint="eastAsia" w:ascii="宋体" w:hAnsi="宋体" w:cs="宋体"/>
          <w:color w:val="auto"/>
          <w:spacing w:val="20"/>
          <w:sz w:val="28"/>
          <w:szCs w:val="28"/>
          <w:lang w:val="en-US" w:eastAsia="zh-CN"/>
        </w:rPr>
        <w:t>2024年</w:t>
      </w:r>
      <w:r>
        <w:rPr>
          <w:rFonts w:hint="eastAsia" w:ascii="宋体" w:hAnsi="宋体" w:cs="宋体"/>
          <w:color w:val="auto"/>
          <w:spacing w:val="20"/>
          <w:kern w:val="0"/>
          <w:sz w:val="28"/>
          <w:szCs w:val="28"/>
          <w:lang w:val="en-US" w:eastAsia="zh-CN"/>
        </w:rPr>
        <w:t>8</w:t>
      </w:r>
      <w:r>
        <w:rPr>
          <w:rFonts w:hint="eastAsia" w:ascii="宋体" w:hAnsi="宋体" w:cs="宋体"/>
          <w:color w:val="auto"/>
          <w:spacing w:val="20"/>
          <w:kern w:val="0"/>
          <w:sz w:val="28"/>
          <w:szCs w:val="28"/>
        </w:rPr>
        <w:t>月</w:t>
      </w:r>
    </w:p>
    <w:p>
      <w:pPr>
        <w:spacing w:line="360" w:lineRule="auto"/>
        <w:rPr>
          <w:color w:val="auto"/>
        </w:rPr>
      </w:pPr>
    </w:p>
    <w:p>
      <w:pPr>
        <w:spacing w:line="360" w:lineRule="auto"/>
        <w:rPr>
          <w:color w:val="auto"/>
        </w:rPr>
      </w:pPr>
    </w:p>
    <w:p>
      <w:pPr>
        <w:spacing w:line="360" w:lineRule="auto"/>
        <w:rPr>
          <w:color w:val="auto"/>
        </w:rPr>
      </w:pPr>
    </w:p>
    <w:p>
      <w:pPr>
        <w:jc w:val="center"/>
        <w:rPr>
          <w:rFonts w:hint="eastAsia" w:ascii="宋体" w:hAnsi="宋体" w:cs="宋体"/>
          <w:b/>
          <w:bCs/>
          <w:color w:val="auto"/>
          <w:sz w:val="48"/>
          <w:szCs w:val="48"/>
        </w:rPr>
      </w:pPr>
    </w:p>
    <w:p>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pPr>
        <w:spacing w:line="360" w:lineRule="auto"/>
        <w:rPr>
          <w:rFonts w:ascii="新宋体" w:hAnsi="新宋体" w:eastAsia="新宋体"/>
          <w:color w:val="auto"/>
          <w:sz w:val="28"/>
          <w:szCs w:val="28"/>
        </w:rPr>
      </w:pP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lang w:eastAsia="zh-CN"/>
        </w:rPr>
        <w:t>招标公告</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第三章</w:t>
      </w:r>
      <w:r>
        <w:rPr>
          <w:rFonts w:ascii="宋体" w:hAnsi="宋体" w:cs="宋体"/>
          <w:color w:val="auto"/>
          <w:sz w:val="28"/>
          <w:szCs w:val="28"/>
        </w:rPr>
        <w:t xml:space="preserve">  </w:t>
      </w:r>
      <w:r>
        <w:rPr>
          <w:rFonts w:hint="eastAsia" w:ascii="宋体" w:hAnsi="宋体" w:cs="宋体"/>
          <w:color w:val="auto"/>
          <w:sz w:val="28"/>
          <w:szCs w:val="28"/>
          <w:lang w:val="en-US" w:eastAsia="zh-CN"/>
        </w:rPr>
        <w:t>采购需求</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第四章</w:t>
      </w:r>
      <w:r>
        <w:rPr>
          <w:rFonts w:ascii="宋体" w:hAnsi="宋体" w:cs="宋体"/>
          <w:color w:val="auto"/>
          <w:sz w:val="28"/>
          <w:szCs w:val="28"/>
        </w:rPr>
        <w:t xml:space="preserve">  </w:t>
      </w:r>
      <w:r>
        <w:rPr>
          <w:rFonts w:hint="eastAsia" w:ascii="宋体" w:hAnsi="宋体" w:cs="宋体"/>
          <w:color w:val="auto"/>
          <w:sz w:val="28"/>
          <w:szCs w:val="28"/>
          <w:lang w:val="en-US" w:eastAsia="zh-CN"/>
        </w:rPr>
        <w:t>评标</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第五章</w:t>
      </w:r>
      <w:r>
        <w:rPr>
          <w:rFonts w:ascii="宋体" w:hAnsi="宋体" w:cs="宋体"/>
          <w:color w:val="auto"/>
          <w:sz w:val="28"/>
          <w:szCs w:val="28"/>
        </w:rPr>
        <w:t xml:space="preserve">  </w:t>
      </w:r>
      <w:r>
        <w:rPr>
          <w:rFonts w:hint="eastAsia" w:ascii="宋体" w:hAnsi="宋体" w:cs="宋体"/>
          <w:color w:val="auto"/>
          <w:sz w:val="28"/>
          <w:szCs w:val="28"/>
          <w:lang w:eastAsia="zh-CN"/>
        </w:rPr>
        <w:t>拟签订的合同文本</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hAnsi="宋体" w:cs="宋体"/>
          <w:b/>
          <w:bCs/>
          <w:color w:val="auto"/>
          <w:kern w:val="0"/>
          <w:sz w:val="36"/>
          <w:szCs w:val="36"/>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eastAsia="宋体" w:cs="宋体"/>
          <w:b/>
          <w:bCs/>
          <w:color w:val="auto"/>
          <w:kern w:val="0"/>
          <w:sz w:val="36"/>
          <w:szCs w:val="36"/>
          <w:lang w:eastAsia="zh-CN"/>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lang w:eastAsia="zh-CN"/>
        </w:rPr>
        <w:t>招标公告</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rPr>
      </w:pP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bCs/>
          <w:color w:val="auto"/>
          <w:kern w:val="0"/>
          <w:sz w:val="24"/>
          <w:szCs w:val="24"/>
        </w:rPr>
      </w:pPr>
      <w:bookmarkStart w:id="0" w:name="_Toc35393621"/>
      <w:bookmarkStart w:id="1" w:name="_Toc28359079"/>
      <w:bookmarkStart w:id="2" w:name="_Toc35393790"/>
      <w:bookmarkStart w:id="3" w:name="_Toc28359002"/>
      <w:bookmarkStart w:id="4" w:name="_Hlk24379207"/>
      <w:r>
        <w:rPr>
          <w:rFonts w:hint="eastAsia" w:ascii="宋体" w:cs="宋体"/>
          <w:color w:val="auto"/>
          <w:kern w:val="0"/>
          <w:sz w:val="24"/>
          <w:szCs w:val="24"/>
          <w:lang w:val="en-US" w:eastAsia="zh-CN"/>
        </w:rPr>
        <w:t>参照</w:t>
      </w:r>
      <w:r>
        <w:rPr>
          <w:rFonts w:hint="eastAsia" w:ascii="宋体" w:hAnsi="Times New Roman" w:cs="宋体"/>
          <w:color w:val="auto"/>
          <w:kern w:val="0"/>
          <w:sz w:val="24"/>
          <w:szCs w:val="24"/>
          <w:lang w:eastAsia="zh-CN"/>
        </w:rPr>
        <w:t>《中华人民共和国政府采购法》、《中华人民共和国政府采购法实施条例》和财政部令第87号《政府采购货物和服务招标投标管理办法》等有关规定, 浙江添翼工程管理有限公司受</w:t>
      </w:r>
      <w:r>
        <w:rPr>
          <w:rFonts w:hint="eastAsia" w:ascii="宋体" w:cs="宋体"/>
          <w:color w:val="auto"/>
          <w:kern w:val="0"/>
          <w:sz w:val="24"/>
          <w:szCs w:val="24"/>
          <w:lang w:eastAsia="zh-CN"/>
        </w:rPr>
        <w:t>台州市云湖小学</w:t>
      </w:r>
      <w:r>
        <w:rPr>
          <w:rFonts w:hint="eastAsia" w:ascii="宋体" w:hAnsi="Times New Roman" w:cs="宋体"/>
          <w:color w:val="auto"/>
          <w:kern w:val="0"/>
          <w:sz w:val="24"/>
          <w:szCs w:val="24"/>
          <w:lang w:eastAsia="zh-CN"/>
        </w:rPr>
        <w:t>委托，现就台州市云湖小学食堂托管及劳务外包服务采购项目进行公开招标采购，欢迎合格供应商前来投标。潜在投标人</w:t>
      </w:r>
      <w:r>
        <w:rPr>
          <w:rFonts w:hint="eastAsia" w:ascii="宋体" w:hAnsi="Times New Roman" w:cs="宋体"/>
          <w:color w:val="auto"/>
          <w:kern w:val="0"/>
          <w:sz w:val="24"/>
          <w:szCs w:val="24"/>
        </w:rPr>
        <w:t>应</w:t>
      </w:r>
      <w:r>
        <w:rPr>
          <w:rFonts w:hint="eastAsia" w:ascii="宋体" w:hAnsi="Times New Roman" w:cs="宋体"/>
          <w:color w:val="auto"/>
          <w:kern w:val="0"/>
          <w:sz w:val="24"/>
          <w:szCs w:val="24"/>
          <w:lang w:val="en-US" w:eastAsia="zh-CN"/>
        </w:rPr>
        <w:t>采用线上方式获取</w:t>
      </w:r>
      <w:r>
        <w:rPr>
          <w:rFonts w:hint="eastAsia" w:ascii="宋体" w:hAnsi="Times New Roman" w:cs="宋体"/>
          <w:color w:val="auto"/>
          <w:kern w:val="0"/>
          <w:sz w:val="24"/>
          <w:szCs w:val="24"/>
          <w:lang w:eastAsia="zh-CN"/>
        </w:rPr>
        <w:t>采购文件</w:t>
      </w:r>
      <w:r>
        <w:rPr>
          <w:rFonts w:hint="eastAsia" w:ascii="宋体" w:hAnsi="Times New Roman" w:cs="宋体"/>
          <w:color w:val="auto"/>
          <w:kern w:val="0"/>
          <w:sz w:val="24"/>
          <w:szCs w:val="24"/>
        </w:rPr>
        <w:t>，并于</w:t>
      </w:r>
      <w:r>
        <w:rPr>
          <w:rFonts w:hint="eastAsia" w:ascii="宋体" w:hAnsi="Times New Roman" w:cs="宋体"/>
          <w:color w:val="auto"/>
          <w:kern w:val="0"/>
          <w:sz w:val="24"/>
          <w:szCs w:val="24"/>
          <w:lang w:val="en-US" w:eastAsia="zh-CN"/>
        </w:rPr>
        <w:t>2024年</w:t>
      </w:r>
      <w:bookmarkStart w:id="31" w:name="_GoBack"/>
      <w:r>
        <w:rPr>
          <w:rFonts w:hint="eastAsia" w:ascii="宋体" w:cs="宋体"/>
          <w:color w:val="auto"/>
          <w:kern w:val="0"/>
          <w:sz w:val="24"/>
          <w:szCs w:val="24"/>
          <w:lang w:val="en-US" w:eastAsia="zh-CN"/>
        </w:rPr>
        <w:t>8月15日</w:t>
      </w:r>
      <w:bookmarkEnd w:id="31"/>
      <w:r>
        <w:rPr>
          <w:rFonts w:hint="eastAsia" w:ascii="宋体" w:cs="宋体"/>
          <w:color w:val="auto"/>
          <w:kern w:val="0"/>
          <w:sz w:val="24"/>
          <w:szCs w:val="24"/>
          <w:lang w:val="en-US" w:eastAsia="zh-CN"/>
        </w:rPr>
        <w:t>14:30</w:t>
      </w:r>
      <w:r>
        <w:rPr>
          <w:rFonts w:hint="eastAsia" w:ascii="宋体" w:hAnsi="Times New Roman" w:cs="宋体"/>
          <w:color w:val="auto"/>
          <w:kern w:val="0"/>
          <w:sz w:val="24"/>
          <w:szCs w:val="24"/>
        </w:rPr>
        <w:t>（北京时间）前递交投标文件。</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一、项目基本情况</w:t>
      </w:r>
      <w:bookmarkEnd w:id="0"/>
      <w:bookmarkEnd w:id="1"/>
      <w:bookmarkEnd w:id="2"/>
      <w:bookmarkEnd w:id="3"/>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项目编号：</w:t>
      </w:r>
      <w:r>
        <w:rPr>
          <w:rFonts w:hint="eastAsia" w:ascii="宋体" w:cs="宋体"/>
          <w:color w:val="auto"/>
          <w:kern w:val="0"/>
          <w:sz w:val="24"/>
          <w:szCs w:val="24"/>
          <w:lang w:eastAsia="zh-CN"/>
        </w:rPr>
        <w:t>Tytz-2024-017</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项目名称：</w:t>
      </w:r>
      <w:r>
        <w:rPr>
          <w:rFonts w:hint="eastAsia" w:ascii="宋体" w:cs="宋体"/>
          <w:color w:val="auto"/>
          <w:kern w:val="0"/>
          <w:sz w:val="24"/>
          <w:szCs w:val="24"/>
          <w:lang w:eastAsia="zh-CN"/>
        </w:rPr>
        <w:t>台州市云湖小学食堂托管及劳务外包服务采购</w:t>
      </w:r>
    </w:p>
    <w:bookmarkEnd w:id="4"/>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采购方式：公开招标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学生、教职员工所缴纳餐费获得比例</w:t>
      </w:r>
      <w:r>
        <w:rPr>
          <w:rFonts w:hint="eastAsia" w:ascii="宋体" w:cs="宋体"/>
          <w:color w:val="auto"/>
          <w:kern w:val="0"/>
          <w:sz w:val="24"/>
          <w:szCs w:val="24"/>
          <w:highlight w:val="none"/>
          <w:lang w:val="en-US" w:eastAsia="zh-CN"/>
        </w:rPr>
        <w:t>上限价：23%。</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采购需求：</w:t>
      </w:r>
      <w:r>
        <w:rPr>
          <w:rFonts w:hint="eastAsia" w:ascii="宋体" w:cs="宋体"/>
          <w:color w:val="auto"/>
          <w:kern w:val="0"/>
          <w:sz w:val="24"/>
          <w:szCs w:val="24"/>
          <w:lang w:val="en-US" w:eastAsia="zh-CN"/>
        </w:rPr>
        <w:t>详见第三章“采购需求”</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数量:</w:t>
      </w:r>
      <w:r>
        <w:rPr>
          <w:rFonts w:hint="eastAsia" w:ascii="宋体" w:hAnsi="Times New Roman" w:cs="宋体"/>
          <w:color w:val="auto"/>
          <w:kern w:val="0"/>
          <w:sz w:val="24"/>
          <w:szCs w:val="24"/>
          <w:lang w:val="en-US" w:eastAsia="zh-CN"/>
        </w:rPr>
        <w:t>1项</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rPr>
        <w:t>简要规格描述或项目基本概况介绍、用途：</w:t>
      </w:r>
      <w:r>
        <w:rPr>
          <w:rFonts w:hint="eastAsia" w:ascii="宋体" w:cs="宋体"/>
          <w:color w:val="auto"/>
          <w:kern w:val="0"/>
          <w:sz w:val="24"/>
          <w:szCs w:val="24"/>
          <w:lang w:eastAsia="zh-CN"/>
        </w:rPr>
        <w:t>台州市云湖小学食堂托管及劳务外包服务采购</w:t>
      </w:r>
      <w:r>
        <w:rPr>
          <w:rFonts w:hint="eastAsia" w:ascii="宋体" w:cs="宋体"/>
          <w:color w:val="auto"/>
          <w:kern w:val="0"/>
          <w:sz w:val="24"/>
          <w:szCs w:val="24"/>
          <w:lang w:val="en-US" w:eastAsia="zh-CN"/>
        </w:rPr>
        <w:t>项目</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采购内容包含食堂日常管理与运行（包括各项台账的建立）、每日三餐的食品制作以及食品安全、食堂的卫生保洁等服务。</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合同履行期限：</w:t>
      </w:r>
      <w:r>
        <w:rPr>
          <w:rFonts w:hint="eastAsia" w:ascii="宋体" w:hAnsi="Times New Roman" w:cs="宋体"/>
          <w:color w:val="auto"/>
          <w:kern w:val="0"/>
          <w:sz w:val="24"/>
          <w:szCs w:val="24"/>
          <w:lang w:val="en-US" w:eastAsia="zh-CN"/>
        </w:rPr>
        <w:t>合同签订生效之日起</w:t>
      </w:r>
      <w:r>
        <w:rPr>
          <w:rFonts w:hint="eastAsia" w:ascii="宋体" w:cs="宋体"/>
          <w:color w:val="auto"/>
          <w:kern w:val="0"/>
          <w:sz w:val="24"/>
          <w:szCs w:val="24"/>
          <w:lang w:val="en-US" w:eastAsia="zh-CN"/>
        </w:rPr>
        <w:t>1年</w:t>
      </w:r>
      <w:r>
        <w:rPr>
          <w:rFonts w:hint="eastAsia" w:ascii="宋体" w:hAnsi="Times New Roman" w:cs="宋体"/>
          <w:color w:val="auto"/>
          <w:kern w:val="0"/>
          <w:sz w:val="24"/>
          <w:szCs w:val="24"/>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本项目</w:t>
      </w:r>
      <w:r>
        <w:rPr>
          <w:rFonts w:hint="eastAsia" w:ascii="宋体" w:cs="宋体"/>
          <w:color w:val="auto"/>
          <w:kern w:val="0"/>
          <w:sz w:val="24"/>
          <w:szCs w:val="24"/>
          <w:lang w:val="en-US" w:eastAsia="zh-CN"/>
        </w:rPr>
        <w:t>不</w:t>
      </w:r>
      <w:r>
        <w:rPr>
          <w:rFonts w:hint="eastAsia" w:ascii="宋体" w:hAnsi="Times New Roman" w:cs="宋体"/>
          <w:color w:val="auto"/>
          <w:kern w:val="0"/>
          <w:sz w:val="24"/>
          <w:szCs w:val="24"/>
        </w:rPr>
        <w:t>接受联合体投标。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5" w:name="_Toc35393791"/>
      <w:bookmarkStart w:id="6" w:name="_Toc28359003"/>
      <w:bookmarkStart w:id="7" w:name="_Toc28359080"/>
      <w:bookmarkStart w:id="8" w:name="_Toc35393622"/>
      <w:r>
        <w:rPr>
          <w:rFonts w:hint="eastAsia" w:ascii="宋体" w:hAnsi="Times New Roman" w:cs="宋体"/>
          <w:b/>
          <w:bCs/>
          <w:color w:val="auto"/>
          <w:kern w:val="0"/>
          <w:sz w:val="24"/>
          <w:szCs w:val="24"/>
        </w:rPr>
        <w:t>二、申请人的资格要求</w:t>
      </w:r>
      <w:bookmarkEnd w:id="5"/>
      <w:bookmarkEnd w:id="6"/>
      <w:bookmarkEnd w:id="7"/>
      <w:bookmarkEnd w:id="8"/>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cs="宋体"/>
          <w:color w:val="auto"/>
          <w:kern w:val="0"/>
          <w:sz w:val="24"/>
          <w:szCs w:val="24"/>
        </w:rPr>
      </w:pPr>
      <w:r>
        <w:rPr>
          <w:rFonts w:hint="eastAsia" w:ascii="宋体" w:hAnsi="Times New Roman" w:cs="宋体"/>
          <w:color w:val="auto"/>
          <w:kern w:val="0"/>
          <w:sz w:val="24"/>
          <w:szCs w:val="24"/>
        </w:rPr>
        <w:t>1</w:t>
      </w:r>
      <w:r>
        <w:rPr>
          <w:rFonts w:hint="eastAsia" w:ascii="宋体" w:cs="宋体"/>
          <w:color w:val="auto"/>
          <w:kern w:val="0"/>
          <w:sz w:val="24"/>
          <w:szCs w:val="24"/>
          <w:lang w:val="en-US" w:eastAsia="zh-CN"/>
        </w:rPr>
        <w:t>.</w:t>
      </w:r>
      <w:r>
        <w:rPr>
          <w:rFonts w:hint="eastAsia" w:ascii="宋体" w:hAnsi="Times New Roman" w:cs="宋体"/>
          <w:color w:val="auto"/>
          <w:kern w:val="0"/>
          <w:sz w:val="24"/>
          <w:szCs w:val="24"/>
        </w:rPr>
        <w:t>满足《中华人民共和国政府采购法》第二十二条规定；</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cs="宋体"/>
          <w:color w:val="auto"/>
          <w:kern w:val="0"/>
          <w:sz w:val="24"/>
          <w:szCs w:val="24"/>
          <w:lang w:val="en-US" w:eastAsia="zh-CN"/>
        </w:rPr>
        <w:t>2.</w:t>
      </w:r>
      <w:r>
        <w:rPr>
          <w:rFonts w:hint="eastAsia" w:ascii="宋体" w:hAnsi="Times New Roman" w:cs="宋体"/>
          <w:color w:val="auto"/>
          <w:kern w:val="0"/>
          <w:sz w:val="24"/>
          <w:szCs w:val="24"/>
        </w:rPr>
        <w:t>未被“信用中国”（www.creditchina.gov.cn)、中国政府采购网（www.ccgp.gov.cn）列入失信被执行人、</w:t>
      </w:r>
      <w:r>
        <w:rPr>
          <w:rFonts w:hint="eastAsia" w:ascii="宋体" w:cs="宋体"/>
          <w:color w:val="auto"/>
          <w:kern w:val="0"/>
          <w:sz w:val="24"/>
          <w:szCs w:val="24"/>
          <w:lang w:eastAsia="zh-CN"/>
        </w:rPr>
        <w:t>重大税收违法失信主体</w:t>
      </w:r>
      <w:r>
        <w:rPr>
          <w:rFonts w:hint="eastAsia" w:ascii="宋体" w:hAnsi="Times New Roman" w:cs="宋体"/>
          <w:color w:val="auto"/>
          <w:kern w:val="0"/>
          <w:sz w:val="24"/>
          <w:szCs w:val="24"/>
        </w:rPr>
        <w:t>、政府采购严重违法失信行为记录名单</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bookmarkStart w:id="9" w:name="_Toc28359081"/>
      <w:bookmarkStart w:id="10" w:name="_Toc28359004"/>
      <w:r>
        <w:rPr>
          <w:rFonts w:hint="eastAsia" w:ascii="宋体" w:hAnsi="Times New Roman" w:cs="宋体"/>
          <w:color w:val="auto"/>
          <w:kern w:val="0"/>
          <w:sz w:val="24"/>
          <w:szCs w:val="24"/>
          <w:lang w:val="en-US" w:eastAsia="zh-CN"/>
        </w:rPr>
        <w:t>3</w:t>
      </w:r>
      <w:r>
        <w:rPr>
          <w:rFonts w:hint="eastAsia" w:ascii="宋体" w:cs="宋体"/>
          <w:color w:val="auto"/>
          <w:kern w:val="0"/>
          <w:sz w:val="24"/>
          <w:szCs w:val="24"/>
          <w:lang w:val="en-US" w:eastAsia="zh-CN"/>
        </w:rPr>
        <w:t>.</w:t>
      </w:r>
      <w:r>
        <w:rPr>
          <w:rFonts w:hint="eastAsia" w:ascii="宋体" w:hAnsi="Times New Roman" w:cs="宋体"/>
          <w:color w:val="auto"/>
          <w:kern w:val="0"/>
          <w:sz w:val="24"/>
          <w:szCs w:val="24"/>
        </w:rPr>
        <w:t>本项目的特定资格要求：</w:t>
      </w:r>
      <w:r>
        <w:rPr>
          <w:rFonts w:hint="eastAsia" w:ascii="宋体" w:hAnsi="Times New Roman" w:cs="宋体"/>
          <w:color w:val="auto"/>
          <w:kern w:val="0"/>
          <w:sz w:val="24"/>
          <w:szCs w:val="24"/>
          <w:lang w:eastAsia="zh-CN"/>
        </w:rPr>
        <w:t>具有有效的</w:t>
      </w:r>
      <w:r>
        <w:rPr>
          <w:rFonts w:hint="eastAsia" w:ascii="宋体" w:cs="宋体"/>
          <w:color w:val="auto"/>
          <w:kern w:val="0"/>
          <w:sz w:val="24"/>
          <w:szCs w:val="24"/>
          <w:lang w:eastAsia="zh-CN"/>
        </w:rPr>
        <w:t>《</w:t>
      </w:r>
      <w:r>
        <w:rPr>
          <w:rFonts w:hint="eastAsia" w:ascii="宋体" w:hAnsi="Times New Roman" w:cs="宋体"/>
          <w:color w:val="auto"/>
          <w:kern w:val="0"/>
          <w:sz w:val="24"/>
          <w:szCs w:val="24"/>
          <w:lang w:eastAsia="zh-CN"/>
        </w:rPr>
        <w:t>食品经营许可证</w:t>
      </w:r>
      <w:r>
        <w:rPr>
          <w:rFonts w:hint="eastAsia" w:ascii="宋体" w:cs="宋体"/>
          <w:color w:val="auto"/>
          <w:kern w:val="0"/>
          <w:sz w:val="24"/>
          <w:szCs w:val="24"/>
          <w:lang w:eastAsia="zh-CN"/>
        </w:rPr>
        <w:t>》</w:t>
      </w:r>
      <w:r>
        <w:rPr>
          <w:rFonts w:hint="eastAsia" w:ascii="宋体" w:hAnsi="Times New Roman" w:cs="宋体"/>
          <w:color w:val="auto"/>
          <w:kern w:val="0"/>
          <w:sz w:val="24"/>
          <w:szCs w:val="24"/>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hint="eastAsia" w:ascii="宋体" w:hAnsi="Times New Roman" w:eastAsia="宋体" w:cs="宋体"/>
          <w:b/>
          <w:bCs/>
          <w:color w:val="auto"/>
          <w:kern w:val="0"/>
          <w:sz w:val="24"/>
          <w:szCs w:val="24"/>
          <w:lang w:eastAsia="zh-CN"/>
        </w:rPr>
      </w:pPr>
      <w:bookmarkStart w:id="11" w:name="_Toc35393623"/>
      <w:bookmarkStart w:id="12" w:name="_Toc35393792"/>
      <w:r>
        <w:rPr>
          <w:rFonts w:hint="eastAsia" w:ascii="宋体" w:hAnsi="Times New Roman" w:cs="宋体"/>
          <w:b/>
          <w:bCs/>
          <w:color w:val="auto"/>
          <w:kern w:val="0"/>
          <w:sz w:val="24"/>
          <w:szCs w:val="24"/>
        </w:rPr>
        <w:t>三、获取</w:t>
      </w:r>
      <w:bookmarkEnd w:id="9"/>
      <w:bookmarkEnd w:id="10"/>
      <w:bookmarkEnd w:id="11"/>
      <w:bookmarkEnd w:id="12"/>
      <w:r>
        <w:rPr>
          <w:rFonts w:hint="eastAsia" w:ascii="宋体" w:cs="宋体"/>
          <w:b/>
          <w:bCs/>
          <w:color w:val="auto"/>
          <w:kern w:val="0"/>
          <w:sz w:val="24"/>
          <w:szCs w:val="24"/>
          <w:lang w:eastAsia="zh-CN"/>
        </w:rPr>
        <w:t>采购文件</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时间：至</w:t>
      </w:r>
      <w:r>
        <w:rPr>
          <w:rFonts w:hint="eastAsia" w:ascii="宋体" w:hAnsi="Times New Roman" w:cs="宋体"/>
          <w:color w:val="auto"/>
          <w:kern w:val="0"/>
          <w:sz w:val="24"/>
          <w:szCs w:val="24"/>
          <w:lang w:val="en-US" w:eastAsia="zh-CN"/>
        </w:rPr>
        <w:t>提交投标文件截止时间</w:t>
      </w:r>
      <w:r>
        <w:rPr>
          <w:rFonts w:hint="eastAsia" w:ascii="宋体" w:hAnsi="Times New Roman" w:cs="宋体"/>
          <w:color w:val="auto"/>
          <w:kern w:val="0"/>
          <w:sz w:val="24"/>
          <w:szCs w:val="24"/>
        </w:rPr>
        <w:t>，每天上午00:00至12:00 ，下午12:00至23:59（北京时间，法定节假日均可）</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地点（网址）：网上下载-台州湾新区小额工程电子交易平</w:t>
      </w:r>
      <w:r>
        <w:rPr>
          <w:rFonts w:hint="eastAsia" w:ascii="宋体" w:cs="宋体"/>
          <w:color w:val="auto"/>
          <w:kern w:val="0"/>
          <w:sz w:val="24"/>
          <w:szCs w:val="24"/>
          <w:lang w:val="en-US" w:eastAsia="zh-CN"/>
        </w:rPr>
        <w:t>台</w:t>
      </w:r>
      <w:r>
        <w:rPr>
          <w:rFonts w:hint="eastAsia" w:ascii="宋体" w:hAnsi="Times New Roman" w:cs="宋体"/>
          <w:color w:val="auto"/>
          <w:kern w:val="0"/>
          <w:sz w:val="24"/>
          <w:szCs w:val="24"/>
          <w:lang w:val="en-US" w:eastAsia="zh-CN"/>
        </w:rPr>
        <w:t>（http://www.tzwztb.com)。</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lang w:eastAsia="zh-CN"/>
        </w:rPr>
      </w:pPr>
      <w:r>
        <w:rPr>
          <w:rFonts w:hint="eastAsia" w:ascii="宋体" w:hAnsi="Times New Roman" w:cs="宋体"/>
          <w:color w:val="auto"/>
          <w:kern w:val="0"/>
          <w:sz w:val="24"/>
          <w:szCs w:val="24"/>
        </w:rPr>
        <w:t>方式：</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1</w:t>
      </w:r>
      <w:r>
        <w:rPr>
          <w:rFonts w:hint="eastAsia" w:ascii="宋体" w:cs="宋体"/>
          <w:color w:val="auto"/>
          <w:kern w:val="0"/>
          <w:sz w:val="24"/>
          <w:szCs w:val="24"/>
          <w:lang w:eastAsia="zh-CN"/>
        </w:rPr>
        <w:t>）</w:t>
      </w:r>
      <w:r>
        <w:rPr>
          <w:rFonts w:hint="eastAsia" w:ascii="宋体" w:hAnsi="Times New Roman" w:cs="宋体"/>
          <w:color w:val="auto"/>
          <w:kern w:val="0"/>
          <w:sz w:val="24"/>
          <w:szCs w:val="24"/>
        </w:rPr>
        <w:t>尚未注册台州湾新区小额工程电子交易平台正式供应商的应先进行注册申请，</w:t>
      </w:r>
      <w:r>
        <w:rPr>
          <w:rFonts w:hint="eastAsia" w:ascii="宋体" w:cs="宋体"/>
          <w:color w:val="auto"/>
          <w:kern w:val="0"/>
          <w:sz w:val="24"/>
          <w:szCs w:val="24"/>
          <w:lang w:val="en-US" w:eastAsia="zh-CN"/>
        </w:rPr>
        <w:t>注册申请审核通过后方能进行网上报名</w:t>
      </w:r>
      <w:r>
        <w:rPr>
          <w:rFonts w:hint="eastAsia" w:ascii="宋体" w:hAnsi="Times New Roman" w:cs="宋体"/>
          <w:color w:val="auto"/>
          <w:kern w:val="0"/>
          <w:sz w:val="24"/>
          <w:szCs w:val="24"/>
        </w:rPr>
        <w:t>。</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2</w:t>
      </w:r>
      <w:r>
        <w:rPr>
          <w:rFonts w:hint="eastAsia" w:ascii="宋体" w:cs="宋体"/>
          <w:color w:val="auto"/>
          <w:kern w:val="0"/>
          <w:sz w:val="24"/>
          <w:szCs w:val="24"/>
          <w:lang w:eastAsia="zh-CN"/>
        </w:rPr>
        <w:t>）招标公告</w:t>
      </w:r>
      <w:r>
        <w:rPr>
          <w:rFonts w:hint="eastAsia" w:ascii="宋体" w:hAnsi="Times New Roman" w:cs="宋体"/>
          <w:color w:val="auto"/>
          <w:kern w:val="0"/>
          <w:sz w:val="24"/>
          <w:szCs w:val="24"/>
        </w:rPr>
        <w:t>附件</w:t>
      </w:r>
      <w:r>
        <w:rPr>
          <w:rFonts w:hint="eastAsia" w:ascii="宋体" w:cs="宋体"/>
          <w:color w:val="auto"/>
          <w:kern w:val="0"/>
          <w:sz w:val="24"/>
          <w:szCs w:val="24"/>
          <w:lang w:val="en-US" w:eastAsia="zh-CN"/>
        </w:rPr>
        <w:t>所附</w:t>
      </w:r>
      <w:r>
        <w:rPr>
          <w:rFonts w:hint="eastAsia" w:ascii="宋体" w:hAnsi="Times New Roman" w:cs="宋体"/>
          <w:color w:val="auto"/>
          <w:kern w:val="0"/>
          <w:sz w:val="24"/>
          <w:szCs w:val="24"/>
        </w:rPr>
        <w:t>的</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仅供阅览使用，供应商应当在</w:t>
      </w:r>
      <w:r>
        <w:rPr>
          <w:rFonts w:hint="eastAsia" w:ascii="宋体" w:hAnsi="Times New Roman" w:cs="宋体"/>
          <w:color w:val="auto"/>
          <w:kern w:val="0"/>
          <w:sz w:val="24"/>
          <w:szCs w:val="24"/>
          <w:lang w:val="en-US" w:eastAsia="zh-CN"/>
        </w:rPr>
        <w:t>台州湾新区小额工程电子交易平台</w:t>
      </w:r>
      <w:r>
        <w:rPr>
          <w:rFonts w:hint="eastAsia" w:ascii="宋体" w:hAnsi="Times New Roman" w:cs="宋体"/>
          <w:color w:val="auto"/>
          <w:kern w:val="0"/>
          <w:sz w:val="24"/>
          <w:szCs w:val="24"/>
        </w:rPr>
        <w:t>注册登记后再获取</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，没有通过注册登记而获取</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的潜在供应商，对</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提起质疑投诉的，不予受理。</w:t>
      </w:r>
      <w:r>
        <w:rPr>
          <w:rFonts w:hint="eastAsia" w:ascii="宋体" w:hAnsi="Times New Roman" w:cs="宋体"/>
          <w:color w:val="auto"/>
          <w:kern w:val="0"/>
          <w:sz w:val="24"/>
          <w:szCs w:val="24"/>
          <w:lang w:eastAsia="zh-CN"/>
        </w:rPr>
        <w:t>▲采购组织机构将拒绝接受非通过以上方式获取</w:t>
      </w:r>
      <w:r>
        <w:rPr>
          <w:rFonts w:hint="eastAsia" w:ascii="宋体" w:cs="宋体"/>
          <w:color w:val="auto"/>
          <w:kern w:val="0"/>
          <w:sz w:val="24"/>
          <w:szCs w:val="24"/>
          <w:lang w:val="en-US" w:eastAsia="zh-CN"/>
        </w:rPr>
        <w:t>采购文件</w:t>
      </w:r>
      <w:r>
        <w:rPr>
          <w:rFonts w:hint="eastAsia" w:ascii="宋体" w:hAnsi="Times New Roman" w:cs="宋体"/>
          <w:color w:val="auto"/>
          <w:kern w:val="0"/>
          <w:sz w:val="24"/>
          <w:szCs w:val="24"/>
          <w:lang w:eastAsia="zh-CN"/>
        </w:rPr>
        <w:t>的供应商</w:t>
      </w:r>
      <w:r>
        <w:rPr>
          <w:rFonts w:hint="eastAsia" w:ascii="宋体" w:cs="宋体"/>
          <w:color w:val="auto"/>
          <w:kern w:val="0"/>
          <w:sz w:val="24"/>
          <w:szCs w:val="24"/>
          <w:lang w:val="en-US" w:eastAsia="zh-CN"/>
        </w:rPr>
        <w:t>投标文件</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售价：</w:t>
      </w:r>
      <w:r>
        <w:rPr>
          <w:rFonts w:hint="eastAsia" w:ascii="宋体" w:hAnsi="Times New Roman" w:cs="宋体"/>
          <w:color w:val="auto"/>
          <w:kern w:val="0"/>
          <w:sz w:val="24"/>
          <w:szCs w:val="24"/>
          <w:lang w:val="en-US" w:eastAsia="zh-CN"/>
        </w:rPr>
        <w:t>0元。</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13" w:name="_Toc28359005"/>
      <w:bookmarkStart w:id="14" w:name="_Toc28359082"/>
      <w:bookmarkStart w:id="15" w:name="_Toc35393624"/>
      <w:bookmarkStart w:id="16" w:name="_Toc35393793"/>
      <w:r>
        <w:rPr>
          <w:rFonts w:hint="eastAsia" w:ascii="宋体" w:hAnsi="Times New Roman" w:cs="宋体"/>
          <w:b/>
          <w:bCs/>
          <w:color w:val="auto"/>
          <w:kern w:val="0"/>
          <w:sz w:val="24"/>
          <w:szCs w:val="24"/>
        </w:rPr>
        <w:t>四、提交投标文件</w:t>
      </w:r>
      <w:bookmarkEnd w:id="13"/>
      <w:bookmarkEnd w:id="14"/>
      <w:r>
        <w:rPr>
          <w:rFonts w:hint="eastAsia" w:ascii="宋体" w:hAnsi="Times New Roman" w:cs="宋体"/>
          <w:b/>
          <w:bCs/>
          <w:color w:val="auto"/>
          <w:kern w:val="0"/>
          <w:sz w:val="24"/>
          <w:szCs w:val="24"/>
        </w:rPr>
        <w:t>截止时间、开标时间和地点</w:t>
      </w:r>
      <w:bookmarkEnd w:id="15"/>
      <w:bookmarkEnd w:id="16"/>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lang w:val="en-US" w:eastAsia="zh-CN"/>
        </w:rPr>
        <w:t>提交投标文件截止时间：</w:t>
      </w:r>
      <w:r>
        <w:rPr>
          <w:rFonts w:hint="eastAsia" w:ascii="宋体" w:cs="宋体"/>
          <w:color w:val="auto"/>
          <w:kern w:val="0"/>
          <w:sz w:val="24"/>
          <w:szCs w:val="24"/>
          <w:lang w:val="en-US" w:eastAsia="zh-CN"/>
        </w:rPr>
        <w:t>2024年8月15日14:30</w:t>
      </w:r>
      <w:r>
        <w:rPr>
          <w:rFonts w:hint="eastAsia" w:ascii="宋体" w:hAnsi="Times New Roman" w:cs="宋体"/>
          <w:color w:val="auto"/>
          <w:kern w:val="0"/>
          <w:sz w:val="24"/>
          <w:szCs w:val="24"/>
        </w:rPr>
        <w:t>（北京时间）</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投标</w:t>
      </w:r>
      <w:r>
        <w:rPr>
          <w:rFonts w:hint="eastAsia" w:ascii="宋体" w:hAnsi="Times New Roman" w:cs="宋体"/>
          <w:color w:val="auto"/>
          <w:kern w:val="0"/>
          <w:sz w:val="24"/>
          <w:szCs w:val="24"/>
        </w:rPr>
        <w:t>地点</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网址</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val="en-US" w:eastAsia="zh-CN"/>
        </w:rPr>
        <w:t>台州湾新区小额工程电子交易平台（http://www.tzwztb.com)。</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bookmarkStart w:id="17" w:name="_Toc35393625"/>
      <w:bookmarkStart w:id="18" w:name="_Toc35393794"/>
      <w:bookmarkStart w:id="19" w:name="_Toc28359007"/>
      <w:bookmarkStart w:id="20" w:name="_Toc28359084"/>
      <w:r>
        <w:rPr>
          <w:rFonts w:hint="eastAsia" w:ascii="宋体" w:hAnsi="Times New Roman" w:cs="宋体"/>
          <w:color w:val="auto"/>
          <w:kern w:val="0"/>
          <w:sz w:val="24"/>
          <w:szCs w:val="24"/>
          <w:lang w:val="en-US" w:eastAsia="zh-CN"/>
        </w:rPr>
        <w:t>开标时间：</w:t>
      </w:r>
      <w:r>
        <w:rPr>
          <w:rFonts w:hint="eastAsia" w:ascii="宋体" w:cs="宋体"/>
          <w:color w:val="auto"/>
          <w:kern w:val="0"/>
          <w:sz w:val="24"/>
          <w:szCs w:val="24"/>
          <w:lang w:val="en-US" w:eastAsia="zh-CN"/>
        </w:rPr>
        <w:t>2024年8月15日14:30</w:t>
      </w:r>
      <w:r>
        <w:rPr>
          <w:rFonts w:hint="eastAsia" w:ascii="宋体" w:hAnsi="Times New Roman" w:cs="宋体"/>
          <w:color w:val="auto"/>
          <w:kern w:val="0"/>
          <w:sz w:val="24"/>
          <w:szCs w:val="24"/>
          <w:lang w:val="en-US" w:eastAsia="zh-CN"/>
        </w:rPr>
        <w:t>（北京时间）。</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开标地点（网址）：“台州湾新区小额工程电子交易平台（http://www.tzwztb.com)”线上开标</w:t>
      </w:r>
      <w:r>
        <w:rPr>
          <w:rFonts w:hint="eastAsia" w:ascii="宋体" w:cs="宋体"/>
          <w:color w:val="auto"/>
          <w:kern w:val="0"/>
          <w:sz w:val="24"/>
          <w:szCs w:val="24"/>
          <w:lang w:val="en-US" w:eastAsia="zh-CN"/>
        </w:rPr>
        <w:t>（投标人代表一律不参加现场开标，投标人、招标人可通过在线直播参与监督开标过程，台州湾新区小额工程交易中心不见面开标大厅：www.tzwztb.com/live）。</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五、公告期限</w:t>
      </w:r>
      <w:bookmarkEnd w:id="17"/>
      <w:bookmarkEnd w:id="18"/>
      <w:bookmarkEnd w:id="19"/>
      <w:bookmarkEnd w:id="20"/>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自本公告发布之日起5个工作日。</w:t>
      </w:r>
    </w:p>
    <w:p>
      <w:pPr>
        <w:snapToGrid w:val="0"/>
        <w:spacing w:line="440" w:lineRule="exact"/>
        <w:ind w:firstLine="482" w:firstLineChars="200"/>
        <w:rPr>
          <w:rFonts w:hint="eastAsia" w:ascii="宋体" w:hAnsi="宋体" w:eastAsia="宋体" w:cs="宋体"/>
          <w:b/>
          <w:bCs/>
          <w:sz w:val="24"/>
          <w:szCs w:val="24"/>
          <w:highlight w:val="none"/>
          <w:lang w:val="en-US" w:eastAsia="zh-CN"/>
        </w:rPr>
      </w:pPr>
      <w:bookmarkStart w:id="21" w:name="_Toc35393795"/>
      <w:bookmarkStart w:id="22" w:name="_Toc35393626"/>
      <w:r>
        <w:rPr>
          <w:rFonts w:hint="eastAsia" w:ascii="宋体" w:hAnsi="宋体" w:eastAsia="宋体" w:cs="宋体"/>
          <w:b/>
          <w:bCs/>
          <w:sz w:val="24"/>
          <w:szCs w:val="24"/>
          <w:highlight w:val="none"/>
          <w:lang w:val="en-US" w:eastAsia="zh-CN"/>
        </w:rPr>
        <w:t>六、投标保证金</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b/>
          <w:bCs/>
          <w:color w:val="auto"/>
          <w:kern w:val="0"/>
          <w:sz w:val="24"/>
          <w:szCs w:val="24"/>
          <w:lang w:val="en-US" w:eastAsia="zh-CN"/>
        </w:rPr>
      </w:pPr>
      <w:r>
        <w:rPr>
          <w:rFonts w:hint="eastAsia" w:ascii="宋体" w:hAnsi="宋体" w:eastAsia="宋体" w:cs="宋体"/>
          <w:sz w:val="24"/>
          <w:szCs w:val="24"/>
          <w:highlight w:val="none"/>
          <w:lang w:val="en-US" w:eastAsia="zh-CN"/>
        </w:rPr>
        <w:t>本项目不收取投标保证金。</w:t>
      </w:r>
    </w:p>
    <w:bookmarkEnd w:id="21"/>
    <w:bookmarkEnd w:id="22"/>
    <w:p>
      <w:pPr>
        <w:snapToGrid w:val="0"/>
        <w:spacing w:line="440" w:lineRule="exact"/>
        <w:ind w:firstLine="482" w:firstLineChars="200"/>
        <w:rPr>
          <w:rFonts w:ascii="宋体" w:hAnsi="Times New Roman" w:eastAsia="宋体" w:cs="宋体"/>
          <w:b/>
          <w:bCs/>
          <w:sz w:val="24"/>
          <w:szCs w:val="24"/>
          <w:highlight w:val="none"/>
        </w:rPr>
      </w:pPr>
      <w:bookmarkStart w:id="23" w:name="_Toc35393627"/>
      <w:bookmarkStart w:id="24" w:name="_Toc28359008"/>
      <w:bookmarkStart w:id="25" w:name="_Toc35393796"/>
      <w:bookmarkStart w:id="26" w:name="_Toc28359085"/>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、公告发布媒体</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cs="宋体"/>
          <w:b/>
          <w:bCs/>
          <w:color w:val="auto"/>
          <w:kern w:val="0"/>
          <w:sz w:val="24"/>
          <w:szCs w:val="24"/>
          <w:lang w:val="en-US" w:eastAsia="zh-CN"/>
        </w:rPr>
      </w:pPr>
      <w:r>
        <w:rPr>
          <w:rFonts w:hint="eastAsia" w:ascii="宋体" w:hAnsi="Times New Roman" w:eastAsia="宋体" w:cs="宋体"/>
          <w:sz w:val="24"/>
          <w:szCs w:val="24"/>
          <w:highlight w:val="none"/>
          <w:lang w:val="en-US" w:eastAsia="zh-CN"/>
        </w:rPr>
        <w:t>浙江政府采购网（http://zfcg.czt.zj.gov.cn）、台州湾新区小额工程电子交易平台（http://www.tzwztb.com)</w:t>
      </w:r>
      <w:r>
        <w:rPr>
          <w:rFonts w:hint="eastAsia" w:ascii="宋体" w:hAnsi="Times New Roman" w:eastAsia="宋体" w:cs="宋体"/>
          <w:sz w:val="24"/>
          <w:szCs w:val="24"/>
          <w:highlight w:val="none"/>
        </w:rPr>
        <w:t>。</w:t>
      </w:r>
    </w:p>
    <w:p>
      <w:pPr>
        <w:tabs>
          <w:tab w:val="left" w:pos="180"/>
          <w:tab w:val="left" w:pos="360"/>
          <w:tab w:val="left" w:pos="540"/>
          <w:tab w:val="left" w:pos="8280"/>
        </w:tabs>
        <w:autoSpaceDE w:val="0"/>
        <w:autoSpaceDN w:val="0"/>
        <w:adjustRightInd w:val="0"/>
        <w:spacing w:line="440" w:lineRule="exact"/>
        <w:ind w:firstLine="482" w:firstLineChars="200"/>
        <w:jc w:val="left"/>
        <w:rPr>
          <w:rFonts w:hint="eastAsia" w:ascii="宋体" w:hAnsi="Times New Roman" w:eastAsia="宋体" w:cs="宋体"/>
          <w:b/>
          <w:bCs/>
          <w:color w:val="auto"/>
          <w:kern w:val="0"/>
          <w:sz w:val="24"/>
          <w:szCs w:val="24"/>
          <w:lang w:eastAsia="zh-CN"/>
        </w:rPr>
      </w:pPr>
      <w:r>
        <w:rPr>
          <w:rFonts w:hint="eastAsia" w:ascii="宋体" w:cs="宋体"/>
          <w:b/>
          <w:bCs/>
          <w:color w:val="auto"/>
          <w:kern w:val="0"/>
          <w:sz w:val="24"/>
          <w:szCs w:val="24"/>
          <w:lang w:val="en-US" w:eastAsia="zh-CN"/>
        </w:rPr>
        <w:t>八</w:t>
      </w:r>
      <w:r>
        <w:rPr>
          <w:rFonts w:hint="eastAsia" w:ascii="宋体" w:hAnsi="Times New Roman" w:cs="宋体"/>
          <w:b/>
          <w:bCs/>
          <w:color w:val="auto"/>
          <w:kern w:val="0"/>
          <w:sz w:val="24"/>
          <w:szCs w:val="24"/>
        </w:rPr>
        <w:t>、</w:t>
      </w:r>
      <w:bookmarkEnd w:id="23"/>
      <w:bookmarkEnd w:id="24"/>
      <w:bookmarkEnd w:id="25"/>
      <w:bookmarkEnd w:id="26"/>
      <w:r>
        <w:rPr>
          <w:rFonts w:hint="eastAsia" w:ascii="宋体" w:cs="宋体"/>
          <w:b/>
          <w:bCs/>
          <w:color w:val="auto"/>
          <w:kern w:val="0"/>
          <w:sz w:val="24"/>
          <w:szCs w:val="24"/>
          <w:lang w:val="en-US" w:eastAsia="zh-CN"/>
        </w:rPr>
        <w:t>联系方式</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1.采购人</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eastAsia="zh-CN"/>
        </w:rPr>
        <w:t>台州市云湖小学</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地址：浙江省台州市台州湾新区荣和路281号</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highlight w:val="none"/>
          <w:shd w:val="clear" w:color="auto" w:fill="auto"/>
          <w:lang w:val="en-US" w:eastAsia="zh-CN"/>
        </w:rPr>
      </w:pPr>
      <w:r>
        <w:rPr>
          <w:rFonts w:hint="eastAsia" w:ascii="宋体" w:hAnsi="Times New Roman" w:cs="宋体"/>
          <w:color w:val="auto"/>
          <w:kern w:val="0"/>
          <w:sz w:val="24"/>
          <w:szCs w:val="24"/>
          <w:highlight w:val="none"/>
          <w:shd w:val="clear" w:color="auto" w:fill="auto"/>
          <w:lang w:val="en-US" w:eastAsia="zh-CN"/>
        </w:rPr>
        <w:t>项目联系人：项女士</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highlight w:val="none"/>
          <w:shd w:val="clear" w:color="auto" w:fill="auto"/>
          <w:lang w:val="en-US" w:eastAsia="zh-CN"/>
        </w:rPr>
      </w:pPr>
      <w:r>
        <w:rPr>
          <w:rFonts w:hint="eastAsia" w:ascii="宋体" w:hAnsi="Times New Roman" w:cs="宋体"/>
          <w:color w:val="auto"/>
          <w:kern w:val="0"/>
          <w:sz w:val="24"/>
          <w:szCs w:val="24"/>
          <w:highlight w:val="none"/>
          <w:shd w:val="clear" w:color="auto" w:fill="auto"/>
        </w:rPr>
        <w:t>联系方式：</w:t>
      </w:r>
      <w:r>
        <w:rPr>
          <w:rFonts w:hint="eastAsia" w:ascii="宋体" w:hAnsi="Times New Roman" w:cs="宋体"/>
          <w:color w:val="auto"/>
          <w:kern w:val="0"/>
          <w:sz w:val="24"/>
          <w:szCs w:val="24"/>
          <w:highlight w:val="none"/>
          <w:shd w:val="clear" w:color="auto" w:fill="auto"/>
          <w:lang w:val="en-US" w:eastAsia="zh-CN"/>
        </w:rPr>
        <w:t>13736244656</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bookmarkStart w:id="27" w:name="_Toc28359009"/>
      <w:bookmarkStart w:id="28" w:name="_Toc28359086"/>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2.</w:t>
      </w:r>
      <w:bookmarkEnd w:id="27"/>
      <w:bookmarkEnd w:id="28"/>
      <w:r>
        <w:rPr>
          <w:rFonts w:hint="eastAsia" w:ascii="宋体" w:cs="宋体"/>
          <w:color w:val="auto"/>
          <w:kern w:val="0"/>
          <w:sz w:val="24"/>
          <w:szCs w:val="24"/>
          <w:lang w:eastAsia="zh-CN"/>
        </w:rPr>
        <w:t>采购组织机构</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val="en-US" w:eastAsia="zh-CN"/>
        </w:rPr>
        <w:t>浙江添翼工程管理有限公司</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lang w:val="en-US"/>
        </w:rPr>
      </w:pPr>
      <w:r>
        <w:rPr>
          <w:rFonts w:hint="eastAsia" w:ascii="宋体" w:hAnsi="Times New Roman" w:cs="宋体"/>
          <w:color w:val="auto"/>
          <w:kern w:val="0"/>
          <w:sz w:val="24"/>
          <w:szCs w:val="24"/>
        </w:rPr>
        <w:t>地址：</w:t>
      </w:r>
      <w:r>
        <w:rPr>
          <w:rFonts w:hint="eastAsia" w:ascii="宋体" w:hAnsi="Times New Roman" w:cs="宋体"/>
          <w:color w:val="auto"/>
          <w:kern w:val="0"/>
          <w:sz w:val="24"/>
          <w:szCs w:val="24"/>
          <w:lang w:eastAsia="zh-CN"/>
        </w:rPr>
        <w:t>浙江省温岭市城东街道沪商大厦505室</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lang w:val="en-US"/>
        </w:rPr>
      </w:pPr>
      <w:r>
        <w:rPr>
          <w:rFonts w:hint="eastAsia" w:ascii="宋体" w:hAnsi="Times New Roman" w:cs="宋体"/>
          <w:color w:val="auto"/>
          <w:kern w:val="0"/>
          <w:sz w:val="24"/>
          <w:szCs w:val="24"/>
          <w:lang w:val="en-US" w:eastAsia="zh-CN"/>
        </w:rPr>
        <w:t>项目联系人：</w:t>
      </w:r>
      <w:r>
        <w:rPr>
          <w:rFonts w:hint="eastAsia" w:ascii="宋体" w:cs="宋体"/>
          <w:color w:val="auto"/>
          <w:kern w:val="0"/>
          <w:sz w:val="24"/>
          <w:szCs w:val="24"/>
          <w:lang w:val="en-US" w:eastAsia="zh-CN"/>
        </w:rPr>
        <w:t>伍定强</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bookmarkStart w:id="29" w:name="_Toc28359087"/>
      <w:bookmarkStart w:id="30" w:name="_Toc28359010"/>
      <w:r>
        <w:rPr>
          <w:rFonts w:ascii="宋体" w:hAnsi="Times New Roman" w:cs="宋体"/>
          <w:color w:val="auto"/>
          <w:kern w:val="0"/>
          <w:sz w:val="24"/>
          <w:szCs w:val="24"/>
        </w:rPr>
        <w:t>联系方式：</w:t>
      </w:r>
      <w:r>
        <w:rPr>
          <w:rFonts w:hint="eastAsia" w:ascii="宋体" w:cs="宋体"/>
          <w:color w:val="auto"/>
          <w:kern w:val="0"/>
          <w:sz w:val="24"/>
          <w:szCs w:val="24"/>
          <w:lang w:val="en-US" w:eastAsia="zh-CN"/>
        </w:rPr>
        <w:t>13750670723</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3.</w:t>
      </w:r>
      <w:bookmarkEnd w:id="29"/>
      <w:bookmarkEnd w:id="30"/>
      <w:r>
        <w:rPr>
          <w:rFonts w:hint="eastAsia" w:ascii="宋体" w:hAnsi="Times New Roman" w:cs="宋体"/>
          <w:color w:val="auto"/>
          <w:kern w:val="0"/>
          <w:sz w:val="24"/>
          <w:szCs w:val="24"/>
        </w:rPr>
        <w:t>同级政府采购监管机构</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名称：</w:t>
      </w:r>
      <w:r>
        <w:rPr>
          <w:rFonts w:hint="eastAsia" w:ascii="宋体" w:hAnsi="Times New Roman" w:cs="宋体"/>
          <w:color w:val="auto"/>
          <w:kern w:val="0"/>
          <w:sz w:val="24"/>
          <w:szCs w:val="24"/>
          <w:lang w:eastAsia="zh-CN"/>
        </w:rPr>
        <w:t>台州湾新区行政审批与投资服务局</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地址：台州市甲南大道东段9号</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联系人：徐先生</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联系方式：0576-88538849</w:t>
      </w:r>
    </w:p>
    <w:p>
      <w:pPr>
        <w:widowControl w:val="0"/>
        <w:jc w:val="both"/>
        <w:rPr>
          <w:rFonts w:hint="eastAsia" w:ascii="宋体" w:hAnsi="Calibri" w:eastAsia="宋体" w:cs="宋体"/>
          <w:color w:val="auto"/>
          <w:kern w:val="0"/>
          <w:sz w:val="24"/>
          <w:szCs w:val="24"/>
          <w:lang w:val="en-US" w:eastAsia="zh-CN" w:bidi="ar-SA"/>
        </w:rPr>
      </w:pP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cs="宋体"/>
          <w:color w:val="auto"/>
          <w:kern w:val="0"/>
          <w:sz w:val="24"/>
          <w:szCs w:val="24"/>
          <w:lang w:val="en-US" w:eastAsia="zh-CN"/>
        </w:rPr>
        <w:t>4</w:t>
      </w:r>
      <w:r>
        <w:rPr>
          <w:rFonts w:hint="eastAsia" w:ascii="宋体" w:hAnsi="Times New Roman" w:cs="宋体"/>
          <w:color w:val="auto"/>
          <w:kern w:val="0"/>
          <w:sz w:val="24"/>
          <w:szCs w:val="24"/>
          <w:lang w:val="en-US" w:eastAsia="zh-CN"/>
        </w:rPr>
        <w:t>.台州湾新区小额工程电子交易平台</w:t>
      </w: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联系人：蔡先生、王女士</w:t>
      </w: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cs="宋体"/>
          <w:color w:val="auto"/>
          <w:kern w:val="0"/>
          <w:sz w:val="24"/>
          <w:szCs w:val="24"/>
          <w:lang w:val="en-US" w:eastAsia="zh-CN"/>
        </w:rPr>
        <w:t>联系方式</w:t>
      </w:r>
      <w:r>
        <w:rPr>
          <w:rFonts w:hint="eastAsia" w:ascii="宋体" w:hAnsi="Times New Roman" w:cs="宋体"/>
          <w:color w:val="auto"/>
          <w:kern w:val="0"/>
          <w:sz w:val="24"/>
          <w:szCs w:val="24"/>
          <w:lang w:val="en-US" w:eastAsia="zh-CN"/>
        </w:rPr>
        <w:t>：13454667697、13757680207</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cs="宋体"/>
          <w:b/>
          <w:bCs/>
          <w:color w:val="auto"/>
          <w:kern w:val="0"/>
          <w:sz w:val="36"/>
          <w:szCs w:val="36"/>
        </w:rPr>
      </w:pPr>
      <w:r>
        <w:rPr>
          <w:rFonts w:hint="eastAsia" w:ascii="宋体" w:hAnsi="Times New Roman" w:cs="宋体"/>
          <w:color w:val="auto"/>
          <w:kern w:val="0"/>
          <w:sz w:val="24"/>
          <w:szCs w:val="24"/>
          <w:lang w:val="en-US" w:eastAsia="zh-CN"/>
        </w:rPr>
        <w:br w:type="page"/>
      </w:r>
      <w:r>
        <w:rPr>
          <w:rFonts w:hint="eastAsia" w:ascii="宋体" w:hAnsi="宋体" w:cs="宋体"/>
          <w:b/>
          <w:bCs/>
          <w:color w:val="auto"/>
          <w:kern w:val="0"/>
          <w:sz w:val="36"/>
          <w:szCs w:val="36"/>
          <w:lang w:eastAsia="zh-CN"/>
        </w:rPr>
        <w:t>第二章</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投标人须知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8"/>
          <w:szCs w:val="28"/>
        </w:rPr>
      </w:pP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前附表</w:t>
      </w:r>
    </w:p>
    <w:tbl>
      <w:tblPr>
        <w:tblStyle w:val="25"/>
        <w:tblpPr w:leftFromText="181" w:rightFromText="181" w:bottomFromText="170" w:vertAnchor="text" w:horzAnchor="page" w:tblpXSpec="center" w:tblpY="449"/>
        <w:tblOverlap w:val="never"/>
        <w:tblW w:w="9209"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jc w:val="center"/>
              <w:textAlignment w:val="auto"/>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序 号</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采购方式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评标办法</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综合评分法</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是/</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□是（但主体部分不得分包，详见</w:t>
            </w:r>
            <w:r>
              <w:rPr>
                <w:rFonts w:hint="eastAsia" w:asciiTheme="minorEastAsia" w:hAnsiTheme="minorEastAsia" w:eastAsiaTheme="minorEastAsia" w:cstheme="minorEastAsia"/>
                <w:szCs w:val="24"/>
                <w:lang w:eastAsia="zh-CN"/>
              </w:rPr>
              <w:t>采购需求</w:t>
            </w:r>
            <w:r>
              <w:rPr>
                <w:rFonts w:hint="eastAsia" w:asciiTheme="minorEastAsia" w:hAnsiTheme="minorEastAsia" w:eastAsiaTheme="minorEastAsia" w:cstheme="minorEastAsia"/>
                <w:szCs w:val="24"/>
              </w:rPr>
              <w:t>内容）/</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是否包含政府强制采购节能产品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 /</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答疑会或现场踏勘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样品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提供，具体详见</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，中标人提供的样品将由采购人保管、封存并作为履约验收的参考</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演示</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sym w:font="Wingdings 2" w:char="0052"/>
            </w:r>
            <w:r>
              <w:rPr>
                <w:rFonts w:hint="eastAsia" w:asciiTheme="minorEastAsia" w:hAnsiTheme="minorEastAsia" w:eastAsiaTheme="minorEastAsia" w:cstheme="minorEastAsia"/>
                <w:szCs w:val="24"/>
              </w:rPr>
              <w:t xml:space="preserve"> 要求，具体详见</w:t>
            </w:r>
            <w:r>
              <w:rPr>
                <w:rFonts w:hint="eastAsia" w:asciiTheme="minorEastAsia" w:hAnsiTheme="minorEastAsia" w:eastAsiaTheme="minorEastAsia" w:cstheme="minorEastAsia"/>
                <w:szCs w:val="24"/>
                <w:lang w:eastAsia="zh-CN"/>
              </w:rPr>
              <w:t>采购文件</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A8"/>
            </w:r>
            <w:r>
              <w:rPr>
                <w:rFonts w:hint="eastAsia" w:asciiTheme="minorEastAsia" w:hAnsiTheme="minorEastAsia" w:eastAsiaTheme="minorEastAsia" w:cstheme="minorEastAsia"/>
                <w:szCs w:val="24"/>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投标人无需到开标现场，电子投标文件上传至台州湾新区小额工程电子交易平台。如遇有问题的请联系蔡先生</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13454667697</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；王女士</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13757680207</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电子投标文件上传步骤：</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台州湾新区小额工程电子交易平台（网址：http://www.tzwztb.com/）；</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投标人应提前办好ca锁（办理网址：http://www.tseal.cn/tcloud/common.xhtml?projId=295），绑定平台账户。</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本项目开评标环节实行全流程电子化，采取</w:t>
            </w:r>
            <w:r>
              <w:rPr>
                <w:rFonts w:hint="eastAsia" w:asciiTheme="minorEastAsia" w:hAnsiTheme="minorEastAsia" w:eastAsiaTheme="minorEastAsia" w:cstheme="minorEastAsia"/>
                <w:szCs w:val="24"/>
                <w:lang w:val="en-US" w:eastAsia="zh-CN"/>
              </w:rPr>
              <w:t>台州湾新区小额工程交易中心不见面开标大厅</w:t>
            </w:r>
            <w:r>
              <w:rPr>
                <w:rFonts w:hint="eastAsia" w:asciiTheme="minorEastAsia" w:hAnsiTheme="minorEastAsia" w:eastAsiaTheme="minorEastAsia" w:cstheme="minorEastAsia"/>
                <w:szCs w:val="24"/>
              </w:rPr>
              <w:t>实现，</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可自行登录</w:t>
            </w:r>
            <w:r>
              <w:rPr>
                <w:rFonts w:hint="eastAsia" w:asciiTheme="minorEastAsia" w:hAnsiTheme="minorEastAsia" w:eastAsiaTheme="minorEastAsia" w:cstheme="minorEastAsia"/>
                <w:szCs w:val="24"/>
                <w:lang w:val="en-US" w:eastAsia="zh-CN"/>
              </w:rPr>
              <w:t>台州湾新区小额工程电子交易平台</w:t>
            </w:r>
            <w:r>
              <w:rPr>
                <w:rFonts w:hint="eastAsia" w:asciiTheme="minorEastAsia" w:hAnsiTheme="minorEastAsia" w:eastAsiaTheme="minorEastAsia" w:cstheme="minorEastAsia"/>
                <w:szCs w:val="24"/>
              </w:rPr>
              <w:t>进入</w:t>
            </w:r>
            <w:r>
              <w:rPr>
                <w:rFonts w:hint="eastAsia" w:asciiTheme="minorEastAsia" w:hAnsiTheme="minorEastAsia" w:eastAsiaTheme="minorEastAsia" w:cstheme="minorEastAsia"/>
                <w:szCs w:val="24"/>
                <w:lang w:val="en-US" w:eastAsia="zh-CN"/>
              </w:rPr>
              <w:t>不见面开标大厅</w:t>
            </w:r>
            <w:r>
              <w:rPr>
                <w:rFonts w:hint="eastAsia" w:asciiTheme="minorEastAsia" w:hAnsiTheme="minorEastAsia" w:eastAsiaTheme="minorEastAsia" w:cstheme="minorEastAsia"/>
                <w:szCs w:val="24"/>
              </w:rPr>
              <w:t>观看现场直播画面。采购组织机构按照</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规定的时间通过电子交易平台组织开标、开启</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，所有</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均应当准时在线参加。如未参加，造成无法响应或响应失败等后果由</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投标与开标注意事项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信用信息查询渠道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信用中国（网址：</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"http://www.creditchina.gov.cn"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http://www.creditchina.gov.cn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询问、质疑渠道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通过线下书面形式提出询问、质疑。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带“</w:t>
            </w:r>
            <w:r>
              <w:rPr>
                <w:rFonts w:hint="eastAsia" w:asciiTheme="minorEastAsia" w:hAnsiTheme="minorEastAsia" w:eastAsiaTheme="minorEastAsia" w:cstheme="minorEastAsia"/>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投标报价</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▲1.采购人不接受任何选择报价，对任何货物或服务只允许一个报价。</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▲2.投标价报出后，投标人不得以任何理由予以变更。任何包含价格调整的要求，将被认为是非实质性响应投标而予以拒绝。</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3.最低报价不能作为中标的保证。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1.金额：人民币</w:t>
            </w:r>
            <w:r>
              <w:rPr>
                <w:rFonts w:hint="eastAsia" w:asciiTheme="minorEastAsia" w:hAnsiTheme="minorEastAsia" w:eastAsiaTheme="minorEastAsia" w:cstheme="minorEastAsia"/>
                <w:szCs w:val="24"/>
                <w:lang w:val="en-US" w:eastAsia="zh-CN"/>
              </w:rPr>
              <w:t>16000</w:t>
            </w:r>
            <w:r>
              <w:rPr>
                <w:rFonts w:hint="default" w:asciiTheme="minorEastAsia" w:hAnsiTheme="minorEastAsia" w:eastAsiaTheme="minorEastAsia" w:cstheme="minorEastAsia"/>
                <w:szCs w:val="24"/>
                <w:lang w:val="en-US" w:eastAsia="zh-CN"/>
              </w:rPr>
              <w:t>元整；</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2.收取方式：现金（网银、汇票、电汇、转账支付）或银行独立保函形式；</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3.其他详见合同条款。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代理服务费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1.代理服务费的收费标准，以项目中标金额为基数，参考发改价格【2011】534号文件中费率表计算的基准价格计收，不足的8000元的最高可按8000元收取；</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2.收取方式：</w:t>
            </w:r>
            <w:r>
              <w:rPr>
                <w:rFonts w:hint="eastAsia" w:asciiTheme="minorEastAsia" w:hAnsiTheme="minorEastAsia" w:eastAsiaTheme="minorEastAsia" w:cstheme="minorEastAsia"/>
                <w:szCs w:val="24"/>
                <w:lang w:val="en-US" w:eastAsia="zh-CN"/>
              </w:rPr>
              <w:t>电汇或转账；</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3.代理服务费须包含在总报价中，由采购组织机构在签发中标通知书时向中标单位收取。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免责声明</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1.投标人自行承担投标过程中产生的费用。无论何种因素导致采购项目延期开标、废标（流标）、投标人未中标、采购项目终止的，采购人与采购组织机构均不承担投标人的投标费用。</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2.投标人在投标、合同履行过程中必须做好安全保障工作，不因项目实施而危及自身及第三方人员、财产安全。若发生任何安全事故，由中标供应商自行承担一切责任并赔偿相关的所有损失。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1.如发现本采购文件中存在歧视性不公正条款或违法违规等内容时,请投标人在获取采购文件后,在采购文件的质疑有效期内及时提出。</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2.采购结果公告期间,投标人不得通过非正当途径获取法律法规规定评标委员会(包括其他相关人员)应当保密的相关内容。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解释权属于采购人和采购组织机构。</w:t>
            </w:r>
          </w:p>
        </w:tc>
      </w:tr>
    </w:tbl>
    <w:p>
      <w:pPr>
        <w:widowControl/>
        <w:jc w:val="both"/>
        <w:rPr>
          <w:rFonts w:hint="eastAsia" w:hAnsi="宋体"/>
          <w:b/>
          <w:bCs/>
          <w:color w:val="auto"/>
          <w:sz w:val="28"/>
          <w:szCs w:val="28"/>
          <w:lang w:val="en-US" w:eastAsia="zh-CN"/>
        </w:rPr>
      </w:pPr>
      <w:r>
        <w:rPr>
          <w:rFonts w:hint="eastAsia" w:hAnsi="宋体"/>
          <w:b/>
          <w:bCs/>
          <w:color w:val="auto"/>
          <w:sz w:val="28"/>
          <w:szCs w:val="28"/>
          <w:lang w:val="en-US" w:eastAsia="zh-CN"/>
        </w:rPr>
        <w:t xml:space="preserve">    </w:t>
      </w:r>
    </w:p>
    <w:p>
      <w:pPr>
        <w:widowControl/>
        <w:jc w:val="both"/>
        <w:rPr>
          <w:rFonts w:hint="eastAsia" w:asciiTheme="minorEastAsia" w:hAnsiTheme="minorEastAsia" w:eastAsiaTheme="minorEastAsia" w:cstheme="minorEastAsia"/>
          <w:b/>
          <w:kern w:val="2"/>
          <w:sz w:val="24"/>
          <w:szCs w:val="24"/>
          <w:lang w:val="en-US" w:eastAsia="zh-CN" w:bidi="ar-SA"/>
        </w:rPr>
      </w:pPr>
      <w:r>
        <w:rPr>
          <w:rFonts w:hint="eastAsia" w:hAnsi="宋体"/>
          <w:b/>
          <w:bCs/>
          <w:color w:val="auto"/>
          <w:sz w:val="28"/>
          <w:szCs w:val="28"/>
          <w:lang w:val="en-US" w:eastAsia="zh-CN"/>
        </w:rPr>
        <w:br w:type="page"/>
      </w:r>
      <w:r>
        <w:rPr>
          <w:rFonts w:hint="eastAsia" w:asciiTheme="minorEastAsia" w:hAnsiTheme="minorEastAsia" w:eastAsiaTheme="minorEastAsia" w:cstheme="minorEastAsia"/>
          <w:b/>
          <w:kern w:val="2"/>
          <w:sz w:val="24"/>
          <w:szCs w:val="24"/>
          <w:lang w:val="en-US" w:eastAsia="zh-CN" w:bidi="ar-SA"/>
        </w:rPr>
        <w:t>二、说 明</w:t>
      </w:r>
    </w:p>
    <w:p>
      <w:pPr>
        <w:keepNext w:val="0"/>
        <w:keepLines w:val="0"/>
        <w:pageBreakBefore w:val="0"/>
        <w:widowControl w:val="0"/>
        <w:numPr>
          <w:ilvl w:val="0"/>
          <w:numId w:val="3"/>
        </w:numPr>
        <w:kinsoku/>
        <w:wordWrap/>
        <w:overflowPunct/>
        <w:topLinePunct w:val="0"/>
        <w:bidi w:val="0"/>
        <w:spacing w:line="440" w:lineRule="exact"/>
        <w:ind w:left="0" w:leftChars="0"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总则</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lang w:val="en-US" w:eastAsia="zh-CN"/>
        </w:rPr>
        <w:t>参照</w:t>
      </w:r>
      <w:r>
        <w:rPr>
          <w:rFonts w:hint="eastAsia" w:asciiTheme="minorEastAsia" w:hAnsiTheme="minorEastAsia" w:eastAsiaTheme="minorEastAsia" w:cstheme="minorEastAsia"/>
          <w:sz w:val="24"/>
          <w:szCs w:val="24"/>
        </w:rPr>
        <w:t>《中华人民共和国政府采购法》、《中华人民共和国政府采购法实施条例》（国务院令第658号）和《政府采购货物和服务招标投标管理办法》（财政部令第87号）及国家和浙江省有关法律、法规、规章编制。</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投标人应仔细阅读本项目招标公告及</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的所有内容（包括变更、补充、澄清以及修改等，且均为</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的组成部分），按照</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要求以及格式编制投标文件，并保证其真实性，否则由此引起的一切后果应由投标人承担。</w:t>
      </w:r>
    </w:p>
    <w:p>
      <w:pPr>
        <w:keepNext w:val="0"/>
        <w:keepLines w:val="0"/>
        <w:pageBreakBefore w:val="0"/>
        <w:numPr>
          <w:ilvl w:val="0"/>
          <w:numId w:val="3"/>
        </w:numPr>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适用范围</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适用于</w:t>
      </w:r>
      <w:r>
        <w:rPr>
          <w:rFonts w:hint="eastAsia" w:asciiTheme="minorEastAsia" w:hAnsiTheme="minorEastAsia" w:eastAsiaTheme="minorEastAsia" w:cstheme="minorEastAsia"/>
          <w:bCs/>
          <w:sz w:val="24"/>
          <w:szCs w:val="24"/>
        </w:rPr>
        <w:t>本次</w:t>
      </w:r>
      <w:r>
        <w:rPr>
          <w:rFonts w:hint="eastAsia" w:asciiTheme="minorEastAsia" w:hAnsiTheme="minorEastAsia" w:eastAsiaTheme="minorEastAsia" w:cstheme="minorEastAsia"/>
          <w:sz w:val="24"/>
          <w:szCs w:val="24"/>
        </w:rPr>
        <w:t>项目的招标、投标、评标、定标、验收、合同履约、付款等行为（法律、法规另有规定的，从其规定）。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本采购文件仅适用于本次招标公告中所涉及的项目和内容。</w:t>
      </w:r>
    </w:p>
    <w:p>
      <w:pPr>
        <w:keepNext w:val="0"/>
        <w:keepLines w:val="0"/>
        <w:pageBreakBefore w:val="0"/>
        <w:kinsoku/>
        <w:wordWrap/>
        <w:overflowPunct/>
        <w:topLinePunct w:val="0"/>
        <w:bidi w:val="0"/>
        <w:snapToGrid w:val="0"/>
        <w:spacing w:beforeLines="50" w:line="44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（三）当事人</w:t>
      </w:r>
    </w:p>
    <w:p>
      <w:pPr>
        <w:keepNext w:val="0"/>
        <w:keepLines w:val="0"/>
        <w:pageBreakBefore w:val="0"/>
        <w:widowControl w:val="0"/>
        <w:tabs>
          <w:tab w:val="left" w:pos="0"/>
          <w:tab w:val="left" w:pos="851"/>
          <w:tab w:val="left" w:pos="8280"/>
        </w:tabs>
        <w:kinsoku/>
        <w:wordWrap/>
        <w:overflowPunct/>
        <w:topLinePunct w:val="0"/>
        <w:bidi w:val="0"/>
        <w:snapToGrid w:val="0"/>
        <w:spacing w:before="0" w:after="0" w:line="440" w:lineRule="exact"/>
        <w:ind w:firstLine="480" w:firstLineChars="200"/>
        <w:jc w:val="both"/>
        <w:textAlignment w:val="auto"/>
        <w:outlineLvl w:val="2"/>
        <w:rPr>
          <w:rFonts w:hint="eastAsia" w:asciiTheme="minorEastAsia" w:hAnsiTheme="minorEastAsia" w:eastAsiaTheme="minorEastAsia" w:cstheme="minorEastAsia"/>
          <w:bCs w:val="0"/>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r>
        <w:rPr>
          <w:rFonts w:hint="eastAsia" w:asciiTheme="minorEastAsia" w:hAnsiTheme="minorEastAsia" w:eastAsiaTheme="minorEastAsia" w:cstheme="minorEastAsia"/>
          <w:bCs w:val="0"/>
          <w:kern w:val="2"/>
          <w:sz w:val="24"/>
          <w:szCs w:val="24"/>
          <w:lang w:val="zh-CN" w:eastAsia="zh-CN" w:bidi="ar-SA"/>
        </w:rPr>
        <w:t>采购组织机构：</w:t>
      </w:r>
      <w:r>
        <w:rPr>
          <w:rFonts w:hint="eastAsia" w:asciiTheme="minorEastAsia" w:hAnsiTheme="minorEastAsia" w:eastAsiaTheme="minorEastAsia" w:cstheme="minorEastAsia"/>
          <w:bCs/>
          <w:kern w:val="2"/>
          <w:sz w:val="24"/>
          <w:szCs w:val="24"/>
          <w:lang w:val="en-US" w:eastAsia="zh-CN" w:bidi="ar-SA"/>
        </w:rPr>
        <w:t>是</w:t>
      </w:r>
      <w:r>
        <w:rPr>
          <w:rFonts w:hint="eastAsia" w:asciiTheme="minorEastAsia" w:hAnsiTheme="minorEastAsia" w:eastAsiaTheme="minorEastAsia" w:cstheme="minorEastAsia"/>
          <w:bCs w:val="0"/>
          <w:kern w:val="2"/>
          <w:sz w:val="24"/>
          <w:szCs w:val="24"/>
          <w:lang w:val="zh-CN" w:eastAsia="zh-CN" w:bidi="ar-SA"/>
        </w:rPr>
        <w:t>指采购人委托组织招标的集中采购机构</w:t>
      </w:r>
      <w:r>
        <w:rPr>
          <w:rFonts w:hint="eastAsia" w:asciiTheme="minorEastAsia" w:hAnsiTheme="minorEastAsia" w:eastAsiaTheme="minorEastAsia" w:cstheme="minorEastAsia"/>
          <w:bCs w:val="0"/>
          <w:kern w:val="2"/>
          <w:sz w:val="24"/>
          <w:szCs w:val="24"/>
          <w:lang w:val="en-US" w:eastAsia="zh-CN" w:bidi="ar-SA"/>
        </w:rPr>
        <w:t>或采购代理机构</w:t>
      </w:r>
      <w:r>
        <w:rPr>
          <w:rFonts w:hint="eastAsia" w:asciiTheme="minorEastAsia" w:hAnsiTheme="minorEastAsia" w:eastAsiaTheme="minorEastAsia" w:cstheme="minorEastAsia"/>
          <w:bCs w:val="0"/>
          <w:kern w:val="2"/>
          <w:sz w:val="24"/>
          <w:szCs w:val="24"/>
          <w:lang w:val="zh-CN" w:eastAsia="zh-CN" w:bidi="ar-SA"/>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2.采购人：是指依法进行政府采购的国家机关、事业单位和团体组织。</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3.投标人：是指响应招标、参加投标竞争的法人、其他组织或者自然人。</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中标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：是指经评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委员会评审确定的对采购文件</w:t>
      </w:r>
      <w:r>
        <w:rPr>
          <w:rFonts w:hint="eastAsia" w:asciiTheme="minorEastAsia" w:hAnsiTheme="minorEastAsia" w:eastAsiaTheme="minorEastAsia" w:cstheme="minorEastAsia"/>
          <w:sz w:val="24"/>
          <w:szCs w:val="24"/>
        </w:rPr>
        <w:t>作</w:t>
      </w:r>
      <w:r>
        <w:rPr>
          <w:rFonts w:hint="eastAsia" w:asciiTheme="minorEastAsia" w:hAnsiTheme="minorEastAsia" w:eastAsiaTheme="minorEastAsia" w:cstheme="minorEastAsia"/>
          <w:sz w:val="24"/>
          <w:szCs w:val="24"/>
          <w:lang w:val="zh-CN"/>
        </w:rPr>
        <w:t>出实质性响应，经采购人按照规定在评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委员会推荐的中标候选人中确定的或受采购人委托直接确认的，与采购人签订合同资格的投标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联合体：两个或两个以上法人或者其他组织可以组成一个联合体，以一个投标人的身份共同投标。</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（四）以联合体形式投标的，应符合以下规定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本项目不适用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1.联合体各方应签订联合体协议书，明确联合体牵头人和各方权利义务，并作为投标文件组成分部分；</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2.联合体各方均应当具备</w:t>
      </w:r>
      <w:r>
        <w:rPr>
          <w:rFonts w:hint="eastAsia" w:asciiTheme="minorEastAsia" w:hAnsiTheme="minorEastAsia" w:eastAsiaTheme="minorEastAsia" w:cstheme="minorEastAsia"/>
          <w:sz w:val="24"/>
          <w:szCs w:val="24"/>
          <w:lang w:val="zh-CN"/>
        </w:rPr>
        <w:t>《中华人民共和国政府采购法》</w:t>
      </w:r>
      <w:r>
        <w:rPr>
          <w:rFonts w:hint="eastAsia" w:asciiTheme="minorEastAsia" w:hAnsiTheme="minorEastAsia" w:eastAsiaTheme="minorEastAsia" w:cstheme="minorEastAsia"/>
          <w:sz w:val="24"/>
          <w:szCs w:val="24"/>
        </w:rPr>
        <w:t>第二十二条规定的条件，并在投标文件中提供联合体各方的相关证明材料；</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3.联合体成员存在不良信用记录的，视同联合体存在不良信用记录；</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4.联合体各方中至少应当有一方符合采购人规定的资格要求。由同一资质条件的投标人组成的联合体，应当按照资质等级较低的投标人确定联合体资质等级；</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5.联合体各方不得再以自己名义单独在同一合同项中投标，也不得组成新的联合体参加同一项目投标；</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6.联合体各方应当共同与采购人签订采购合同，就合同约定的事项对采购人承担连带责任；</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7.投标时，应以联合体协议中确定的主体方名义投标，对联合体各方均具有约束力。</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（五）语言文字以及度量衡单位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1.投标文件以及投标人与</w:t>
      </w:r>
      <w:r>
        <w:rPr>
          <w:rFonts w:hint="eastAsia" w:asciiTheme="minorEastAsia" w:hAnsiTheme="minorEastAsia" w:eastAsiaTheme="minorEastAsia" w:cstheme="minorEastAsia"/>
          <w:sz w:val="24"/>
          <w:szCs w:val="24"/>
          <w:lang w:val="zh-CN" w:eastAsia="zh-CN"/>
        </w:rPr>
        <w:t>采购组织机构</w:t>
      </w:r>
      <w:r>
        <w:rPr>
          <w:rFonts w:hint="eastAsia" w:asciiTheme="minorEastAsia" w:hAnsiTheme="minorEastAsia" w:eastAsiaTheme="minorEastAsia" w:cstheme="minorEastAsia"/>
          <w:kern w:val="0"/>
          <w:sz w:val="24"/>
          <w:szCs w:val="24"/>
        </w:rPr>
        <w:t>名称</w:t>
      </w:r>
      <w:r>
        <w:rPr>
          <w:rFonts w:hint="eastAsia" w:asciiTheme="minorEastAsia" w:hAnsiTheme="minorEastAsia" w:eastAsiaTheme="minorEastAsia" w:cstheme="minorEastAsia"/>
          <w:sz w:val="24"/>
          <w:szCs w:val="24"/>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2.所有计量均采用中国法定的计量单位。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3.所有报价一律使用人民币，货币单位：元。</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（六）现场踏勘</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规定组织踏勘现场的，采购人按</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规定的时间、地点组织投标人踏勘项目现场。</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2.投标人自行承担踏勘现场发生的责任、风险和自身费用。</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3.采购人在踏勘现场中介绍的资料和数据等，不构成对</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的修改或不作为投标人编制投标文件的依据。</w:t>
      </w:r>
    </w:p>
    <w:p>
      <w:pPr>
        <w:keepNext w:val="0"/>
        <w:keepLines w:val="0"/>
        <w:pageBreakBefore w:val="0"/>
        <w:widowControl w:val="0"/>
        <w:kinsoku/>
        <w:wordWrap/>
        <w:overflowPunct/>
        <w:topLinePunct w:val="0"/>
        <w:bidi w:val="0"/>
        <w:snapToGrid w:val="0"/>
        <w:spacing w:line="440" w:lineRule="exact"/>
        <w:ind w:left="2" w:leftChars="1"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（七）特别说明</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投标所使用的资格、信誉、荣誉、业绩与企业认证必须为本法人所拥有且所提供的资料都是真实有效的。投标人投标所使用的采购项目实施人员必须为本法人员工。▲其中涉及资格条件的如非本法人所拥有，则响应无效。</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2.本采购文件中关于电子招投标内容、流程如与台州湾新区小额工程电子交易平台系统中最新的内容、操作不一致的，以台州湾新区小额工程电子交易平台系统中的要求为准。</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在政府采购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▲4.投标人不得相互串通投标报价，不得妨碍其他投标人的公平竞争，不得损害采购人或其他投标人的合法权益，投标人不得以向采购人、评标委员会成员行贿或者采取其他不正当手段谋取成交。</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6.投标文件格式中的表格式样可以根据项目差别做适当调整,但应当保持表格样式基本形态不变。</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单位负责人为同一人或者存在直接控股、管理关系的不同投标人，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投标人在参与政府采购活动中所签署的一切文件，特别是有关利害关系应如实填写、如实披露，投标人授权参与政府采购的人员视为应当知道与采购人、其他投标人之间的利害关系。如未如实披露，则视为提供虚假材料，由投标人承担不利后果。</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▲9.本项目不允许转包、分包。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三、</w:t>
      </w:r>
      <w:r>
        <w:rPr>
          <w:rFonts w:hint="eastAsia" w:asciiTheme="minorEastAsia" w:hAnsiTheme="minorEastAsia" w:eastAsiaTheme="minorEastAsia" w:cstheme="minorEastAsia"/>
          <w:b/>
          <w:kern w:val="0"/>
          <w:sz w:val="24"/>
          <w:szCs w:val="24"/>
          <w:lang w:eastAsia="zh-CN"/>
        </w:rPr>
        <w:t>采购文件</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（一）采购文件由采购文件目录所列内容组成。</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（二）投标人在规定的时间内未对采购文件提出疑问、质疑或要求澄清的，将视其为无异议。</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（三）对采购文件中描述有歧义或前后不一致的地方，评标委员会有权进行评判，但对同一条款的评判应适用于每个投标人。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组织机构对采购文件进行必要的澄清更正的，澄清或者修改的内容可能影响投标文件编制的，于提交投标文件截止时间的3日前在招标公告发布媒体平台上以更正公告的形式通知各潜在的投标人；不足3日的，采购组织机构应当顺延提交投标文件的截止时间。</w:t>
      </w:r>
    </w:p>
    <w:p>
      <w:pPr>
        <w:keepNext w:val="0"/>
        <w:keepLines w:val="0"/>
        <w:pageBreakBefore w:val="0"/>
        <w:tabs>
          <w:tab w:val="left" w:pos="1418"/>
        </w:tabs>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（一）投标文件的编制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color w:val="000000"/>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 投标人获取采购文件后，按照采购组织机构的要求提供：资格标、技术标和商务标</w:t>
      </w:r>
      <w:r>
        <w:rPr>
          <w:rFonts w:hint="eastAsia" w:asciiTheme="minorEastAsia" w:hAnsiTheme="minorEastAsia" w:eastAsiaTheme="minorEastAsia" w:cstheme="minorEastAsia"/>
          <w:kern w:val="0"/>
          <w:sz w:val="24"/>
          <w:szCs w:val="24"/>
          <w:lang w:val="zh-CN" w:eastAsia="zh-CN" w:bidi="ar-SA"/>
        </w:rPr>
        <w:t>。</w:t>
      </w:r>
      <w:r>
        <w:rPr>
          <w:rFonts w:hint="eastAsia" w:asciiTheme="minorEastAsia" w:hAnsiTheme="minorEastAsia" w:eastAsiaTheme="minorEastAsia" w:cstheme="minorEastAsia"/>
          <w:color w:val="000000"/>
          <w:kern w:val="0"/>
          <w:sz w:val="24"/>
          <w:szCs w:val="24"/>
          <w:lang w:val="zh-CN" w:eastAsia="zh-CN" w:bidi="ar-SA"/>
        </w:rPr>
        <w:t>若参与多标项投标的，则按每个标项分别独立编制投标文件。</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color w:val="000000"/>
          <w:sz w:val="24"/>
          <w:szCs w:val="24"/>
          <w:highlight w:val="none"/>
        </w:rPr>
        <w:t>▲1.</w:t>
      </w:r>
      <w:r>
        <w:rPr>
          <w:rFonts w:hint="eastAsia" w:asciiTheme="minorEastAsia" w:hAnsiTheme="minorEastAsia" w:eastAsiaTheme="minorEastAsia" w:cstheme="minorEastAsia"/>
          <w:b/>
          <w:color w:val="000000"/>
          <w:sz w:val="24"/>
          <w:szCs w:val="24"/>
          <w:highlight w:val="none"/>
          <w:lang w:eastAsia="zh-CN"/>
        </w:rPr>
        <w:t>资格标</w:t>
      </w:r>
      <w:r>
        <w:rPr>
          <w:rFonts w:hint="eastAsia" w:asciiTheme="minorEastAsia" w:hAnsiTheme="minorEastAsia" w:eastAsiaTheme="minorEastAsia" w:cstheme="minorEastAsia"/>
          <w:b/>
          <w:color w:val="000000"/>
          <w:sz w:val="24"/>
          <w:szCs w:val="24"/>
          <w:highlight w:val="none"/>
        </w:rPr>
        <w:t>的组成</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（1）投标声明书；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（2）授权委托书（法定代表人亲自办理投标事宜的，则仅需提供法定代表人资格证明书，无需提交本授权委托书)；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（3）法定代表人资格证明书；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（4）法人或者其他组织的营业执照等证明文件，自然人的身份证明；</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（5）提供符合资格条件的声明函或同时提供以下四项相关材料：①财务状况报告；②依法缴纳税收；③依法缴纳社会保障资金；④具备履行合同所必需的设备和专业技术能力的证明材料；</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特定资格要求证书；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lang w:eastAsia="zh-CN"/>
        </w:rPr>
        <w:t>认为需要提供的其它文件和资料</w:t>
      </w:r>
      <w:r>
        <w:rPr>
          <w:rFonts w:hint="eastAsia" w:asciiTheme="minorEastAsia" w:hAnsiTheme="minorEastAsia" w:eastAsiaTheme="minorEastAsia" w:cstheme="minorEastAsia"/>
          <w:kern w:val="0"/>
          <w:sz w:val="24"/>
          <w:szCs w:val="24"/>
          <w:highlight w:val="none"/>
        </w:rPr>
        <w:t>。</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eastAsia="zh-CN"/>
        </w:rPr>
        <w:t>技术标</w:t>
      </w:r>
      <w:r>
        <w:rPr>
          <w:rFonts w:hint="eastAsia" w:asciiTheme="minorEastAsia" w:hAnsiTheme="minorEastAsia" w:eastAsiaTheme="minorEastAsia" w:cstheme="minorEastAsia"/>
          <w:b/>
          <w:color w:val="000000"/>
          <w:sz w:val="24"/>
          <w:szCs w:val="24"/>
          <w:highlight w:val="none"/>
        </w:rPr>
        <w:t>的组成</w:t>
      </w:r>
    </w:p>
    <w:p>
      <w:pPr>
        <w:keepNext w:val="0"/>
        <w:keepLines w:val="0"/>
        <w:pageBreakBefore w:val="0"/>
        <w:kinsoku/>
        <w:wordWrap/>
        <w:overflowPunct/>
        <w:topLinePunct w:val="0"/>
        <w:autoSpaceDE w:val="0"/>
        <w:autoSpaceDN w:val="0"/>
        <w:bidi w:val="0"/>
        <w:adjustRightInd w:val="0"/>
        <w:spacing w:line="440" w:lineRule="exact"/>
        <w:ind w:firstLine="426" w:firstLineChars="177"/>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bCs/>
          <w:color w:val="000000"/>
          <w:sz w:val="24"/>
          <w:szCs w:val="24"/>
          <w:highlight w:val="none"/>
        </w:rPr>
        <w:t>技术方案描述</w:t>
      </w:r>
      <w:r>
        <w:rPr>
          <w:rFonts w:hint="eastAsia" w:ascii="宋体" w:hAnsi="宋体" w:eastAsia="宋体" w:cs="宋体"/>
          <w:b/>
          <w:bCs/>
          <w:sz w:val="24"/>
          <w:szCs w:val="24"/>
          <w:highlight w:val="none"/>
        </w:rPr>
        <w:t>部分</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①投标人基本情况表；</w:t>
      </w:r>
    </w:p>
    <w:p>
      <w:pPr>
        <w:keepNext w:val="0"/>
        <w:keepLines w:val="0"/>
        <w:pageBreakBefore w:val="0"/>
        <w:widowControl/>
        <w:kinsoku/>
        <w:wordWrap/>
        <w:overflowPunct/>
        <w:topLinePunct w:val="0"/>
        <w:bidi w:val="0"/>
        <w:spacing w:line="440" w:lineRule="exact"/>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②评分索引表；</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③项目采购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④项目组织实施方案（包括项目工期、确保项目进行的措施或方案、项目实施进度安排、项目实施人员及项目负责人的资质、类似经验及社保证明等）；</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⑤项目</w:t>
      </w:r>
      <w:r>
        <w:rPr>
          <w:rFonts w:hint="eastAsia" w:ascii="宋体" w:hAnsi="宋体" w:eastAsia="宋体" w:cs="宋体"/>
          <w:kern w:val="0"/>
          <w:sz w:val="24"/>
          <w:szCs w:val="24"/>
          <w:highlight w:val="none"/>
        </w:rPr>
        <w:t>验收方案</w:t>
      </w:r>
      <w:r>
        <w:rPr>
          <w:rFonts w:hint="eastAsia" w:ascii="宋体" w:hAnsi="宋体" w:eastAsia="宋体" w:cs="宋体"/>
          <w:kern w:val="0"/>
          <w:sz w:val="24"/>
          <w:szCs w:val="24"/>
          <w:highlight w:val="none"/>
          <w:lang w:eastAsia="zh-CN"/>
        </w:rPr>
        <w:t>（包括项目验收标准和验收方法等）；</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⑥</w:t>
      </w:r>
      <w:r>
        <w:rPr>
          <w:rFonts w:hint="eastAsia" w:ascii="宋体" w:hAnsi="宋体" w:eastAsia="宋体" w:cs="宋体"/>
          <w:kern w:val="0"/>
          <w:sz w:val="24"/>
          <w:szCs w:val="24"/>
          <w:highlight w:val="none"/>
        </w:rPr>
        <w:t>投标人需要说明的其他内容（包括可能影响投标人技术性能评分项的各类证明材料）</w:t>
      </w:r>
      <w:r>
        <w:rPr>
          <w:rFonts w:hint="eastAsia" w:ascii="宋体" w:hAnsi="宋体" w:eastAsia="宋体" w:cs="宋体"/>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26" w:firstLineChars="177"/>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（2）商务响应及其他部分</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①证书一览表；</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②投标人类似项目实施情况一览表；</w:t>
      </w:r>
    </w:p>
    <w:p>
      <w:pPr>
        <w:keepNext w:val="0"/>
        <w:keepLines w:val="0"/>
        <w:pageBreakBefore w:val="0"/>
        <w:widowControl/>
        <w:kinsoku/>
        <w:wordWrap/>
        <w:overflowPunct/>
        <w:topLinePunct w:val="0"/>
        <w:bidi w:val="0"/>
        <w:spacing w:line="440" w:lineRule="exact"/>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③投标人需要说明的其他内容（包括可能影响投标人企业实力及信誉评分项的各类证明材料）。</w:t>
      </w:r>
    </w:p>
    <w:p>
      <w:pPr>
        <w:keepNext w:val="0"/>
        <w:keepLines w:val="0"/>
        <w:pageBreakBefore w:val="0"/>
        <w:kinsoku/>
        <w:wordWrap/>
        <w:overflowPunct/>
        <w:topLinePunct w:val="0"/>
        <w:autoSpaceDE w:val="0"/>
        <w:autoSpaceDN w:val="0"/>
        <w:bidi w:val="0"/>
        <w:adjustRightInd w:val="0"/>
        <w:spacing w:line="440" w:lineRule="exact"/>
        <w:ind w:left="426" w:firstLine="65" w:firstLineChars="27"/>
        <w:textAlignment w:val="auto"/>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eastAsiaTheme="minorEastAsia" w:cstheme="minorEastAsia"/>
          <w:b/>
          <w:color w:val="000000"/>
          <w:kern w:val="0"/>
          <w:sz w:val="24"/>
          <w:szCs w:val="24"/>
          <w:highlight w:val="none"/>
        </w:rPr>
        <w:t>3、</w:t>
      </w:r>
      <w:r>
        <w:rPr>
          <w:rFonts w:hint="eastAsia" w:asciiTheme="minorEastAsia" w:hAnsiTheme="minorEastAsia" w:eastAsiaTheme="minorEastAsia" w:cstheme="minorEastAsia"/>
          <w:b/>
          <w:color w:val="000000"/>
          <w:kern w:val="0"/>
          <w:sz w:val="24"/>
          <w:szCs w:val="24"/>
          <w:highlight w:val="none"/>
          <w:lang w:eastAsia="zh-CN"/>
        </w:rPr>
        <w:t>商务标</w:t>
      </w:r>
      <w:r>
        <w:rPr>
          <w:rFonts w:hint="eastAsia" w:asciiTheme="minorEastAsia" w:hAnsiTheme="minorEastAsia" w:eastAsiaTheme="minorEastAsia" w:cstheme="minorEastAsia"/>
          <w:b/>
          <w:color w:val="000000"/>
          <w:kern w:val="0"/>
          <w:sz w:val="24"/>
          <w:szCs w:val="24"/>
          <w:highlight w:val="none"/>
        </w:rPr>
        <w:t>的组成</w:t>
      </w:r>
      <w:r>
        <w:rPr>
          <w:rFonts w:hint="eastAsia" w:asciiTheme="minorEastAsia" w:hAnsiTheme="minorEastAsia" w:eastAsiaTheme="minorEastAsia" w:cstheme="minorEastAsia"/>
          <w:b/>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（1）开标一览表</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highlight w:val="yellow"/>
          <w:lang w:val="en-US" w:eastAsia="zh-CN"/>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rPr>
        <w:t>）针对报价投标人认为其他需要说明的</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highlight w:val="none"/>
          <w:lang w:val="en-US" w:eastAsia="zh-CN" w:bidi="ar-SA"/>
        </w:rPr>
      </w:pPr>
      <w:r>
        <w:rPr>
          <w:rFonts w:hint="eastAsia" w:asciiTheme="minorEastAsia" w:hAnsiTheme="minorEastAsia" w:eastAsiaTheme="minorEastAsia" w:cstheme="minorEastAsia"/>
          <w:bCs/>
          <w:kern w:val="0"/>
          <w:sz w:val="24"/>
          <w:szCs w:val="24"/>
          <w:highlight w:val="none"/>
          <w:lang w:val="en-US" w:eastAsia="zh-CN" w:bidi="ar-SA"/>
        </w:rPr>
        <w:t>1.投标人应按照采购需求内容、责任范围以及合同条款进行报价。并按“开标一览表”规定的格式报出投标报价。投标报价中不得包含采购文件要求以外的内容，否则，在评标时不予核减。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2.投标报价包括本项目采购需求和投入使用的所有费用。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宋体" w:hAnsi="宋体" w:eastAsia="宋体" w:cs="宋体"/>
          <w:bCs/>
          <w:kern w:val="0"/>
          <w:sz w:val="24"/>
          <w:szCs w:val="24"/>
          <w:lang w:val="en-US" w:eastAsia="zh-CN" w:bidi="ar-SA"/>
        </w:rPr>
        <w:t>▲</w:t>
      </w:r>
      <w:r>
        <w:rPr>
          <w:rFonts w:hint="eastAsia" w:asciiTheme="minorEastAsia" w:hAnsiTheme="minorEastAsia" w:eastAsiaTheme="minorEastAsia" w:cstheme="minorEastAsia"/>
          <w:bCs/>
          <w:kern w:val="0"/>
          <w:sz w:val="24"/>
          <w:szCs w:val="24"/>
          <w:lang w:val="en-US" w:eastAsia="zh-CN" w:bidi="ar-SA"/>
        </w:rPr>
        <w:t>3.投标报价不得为选择性报价和附有条件的报价。</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（三）投标文件的有效期</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▲1.投标文件有效期为</w:t>
      </w:r>
      <w:r>
        <w:rPr>
          <w:rFonts w:hint="eastAsia" w:asciiTheme="minorEastAsia" w:hAnsiTheme="minorEastAsia" w:eastAsiaTheme="minorEastAsia" w:cstheme="minorEastAsia"/>
          <w:kern w:val="2"/>
          <w:sz w:val="24"/>
          <w:szCs w:val="24"/>
          <w:lang w:val="en-GB" w:eastAsia="zh-CN" w:bidi="ar-SA"/>
        </w:rPr>
        <w:t>投标截止日起90天。</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GB" w:eastAsia="zh-CN" w:bidi="ar-SA"/>
        </w:rPr>
        <w:t>在特殊情况下，采购人可与投标人协商延长投标文件的有效期。</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3.中标人的投标文件自开标之日起至合同履行完毕均应保持有效。</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（四）投标文件的签署</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1.投标文件需由法定代表人或经其正式授权的代表签字或盖章。授权代表须出具书面授权证明，其《授权委托书》应附在投标文件中。</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▲2.投标文件中所有的插字、涂改和增删，必须由法定代表人或经其正式授权的代表在旁边签字或盖章才有效。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3.投标文件中要求加盖公章处，可使用有效安全的电子签章替代。</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（五）投标文件的递交要求</w:t>
      </w:r>
    </w:p>
    <w:p>
      <w:pPr>
        <w:keepNext w:val="0"/>
        <w:keepLines w:val="0"/>
        <w:pageBreakBefore w:val="0"/>
        <w:tabs>
          <w:tab w:val="left" w:pos="1418"/>
        </w:tabs>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按照前附表要求提交，</w:t>
      </w:r>
      <w:r>
        <w:rPr>
          <w:rFonts w:hint="eastAsia" w:asciiTheme="minorEastAsia" w:hAnsiTheme="minorEastAsia" w:eastAsiaTheme="minorEastAsia" w:cstheme="minorEastAsia"/>
          <w:kern w:val="0"/>
          <w:sz w:val="24"/>
          <w:szCs w:val="24"/>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五、开标</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（一）开标</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投标人代表一律不参加现场开标，通过在线直播参与监督开标过程。直播网络地址：</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"http://www.tzwztb.com/live/"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http://www.tzwztb.com/live/</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 xml:space="preserve"> 。</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（二）开标程序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1.开标由采购组织机构工作人员主持。</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2.投标人可进行在线沟通。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3.采购人依法对资格文件进行审查，评标委员会对技术文件进行评审。</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4.技术文件评审完成后，主持人宣告技术文件评审无效投标人名称及理由，公布经技术文件评审符合采购需求的投标人名单以及技术文件得分情况。</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5.开启各投标人商务文件。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6.当场制作并打印开标记录表，由记录人、监督人当场签字确认。唱标结束后，由评标委员会对报价的合理性、准确性等进行审查核实。</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7.评标结束后，主持人公布投标商务得分、综合得分以及推荐中标候选人排序名单。</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8.开标会议结束。</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9.其他注意事项：</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开标当日，投标人不必抵达开标现场，通过台州湾新区小额工程电子交易平台不见面开标大厅参加开标会议，并根据需要使用开标系统与现场采购人进行互动交流、澄清、质疑等活动。未能在开标会议区内全程参与交互的，视为放弃交互和放弃对开评标全过程提疑的权利。 </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因投标人网络与电源不稳定、未按操作手册要求配置软硬件等自身原因，导致投标文件未在规定时间内上传，视为投标人放弃投标；因采购人原因或网上招投标平台发生故障等，导致无法按时完成投标文件解密或开、评标工作无法进行的，可根据实际情况相应延迟解密时间或调整开、评标时间。</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重要事项说明：</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（1）开标项目的时间均以国家授时中心发布的时间为准。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（2）若投标人已申请多把CA锁，请注意使用差别。因ca锁使用错误引发的问题，由投标人自己负责。</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（三）异常情况处理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1.电子交易平台发生故障而无法登录访问的；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2.电子交易平台应用或数据库出现错误，不能进行正常操作的；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3.电子交易平台发现严重安全漏洞，有潜在泄密危险的；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4.病毒发作导致不能进行正常操作的；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5.其他无法保证电子交易的公平、公正和安全的情况。</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出现前款规定情形，不影响采购公平、公正性的，采购组织机构可以待上述情形消除后继续组织电子交易活动。</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（四）开标异议</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投标人代表对开标过程和开标记录有疑义，以及认为采购人、采购组织机构相关工作人员有需要回避的情形的，应当场提出询问或者回避申请，开标会议结束后不再接受相关询问、质疑或者回避申请。</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（五）投标人不足三家，不得开标。</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（详见第四章）</w:t>
      </w:r>
    </w:p>
    <w:p>
      <w:pPr>
        <w:keepNext w:val="0"/>
        <w:keepLines w:val="0"/>
        <w:pageBreakBefore w:val="0"/>
        <w:widowControl/>
        <w:kinsoku/>
        <w:wordWrap/>
        <w:overflowPunct/>
        <w:topLinePunct w:val="0"/>
        <w:bidi w:val="0"/>
        <w:spacing w:before="0" w:beforeAutospacing="0" w:after="0" w:afterAutospacing="0"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七、定标</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kern w:val="0"/>
          <w:sz w:val="24"/>
          <w:szCs w:val="24"/>
        </w:rPr>
        <w:t>发布</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kern w:val="0"/>
          <w:sz w:val="24"/>
          <w:szCs w:val="24"/>
        </w:rPr>
        <w:t>结果公告。采购组织机构自中标人确定之日起2个工作日内，在</w:t>
      </w:r>
      <w:r>
        <w:rPr>
          <w:rFonts w:hint="eastAsia" w:asciiTheme="minorEastAsia" w:hAnsiTheme="minorEastAsia" w:eastAsiaTheme="minorEastAsia" w:cstheme="minorEastAsia"/>
          <w:kern w:val="0"/>
          <w:sz w:val="24"/>
          <w:szCs w:val="24"/>
          <w:lang w:val="en-US" w:eastAsia="zh-CN"/>
        </w:rPr>
        <w:t>招标公告发布媒体平台</w:t>
      </w:r>
      <w:r>
        <w:rPr>
          <w:rFonts w:hint="eastAsia" w:asciiTheme="minorEastAsia" w:hAnsiTheme="minorEastAsia" w:eastAsiaTheme="minorEastAsia" w:cstheme="minorEastAsia"/>
          <w:kern w:val="0"/>
          <w:sz w:val="24"/>
          <w:szCs w:val="24"/>
        </w:rPr>
        <w:t>上公告中标结果，</w:t>
      </w:r>
      <w:r>
        <w:rPr>
          <w:rFonts w:hint="eastAsia" w:asciiTheme="minorEastAsia" w:hAnsiTheme="minorEastAsia" w:eastAsiaTheme="minorEastAsia" w:cstheme="minorEastAsia"/>
          <w:sz w:val="24"/>
          <w:szCs w:val="24"/>
        </w:rPr>
        <w:t>中标结果公告期为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val="en-US" w:eastAsia="zh-CN"/>
        </w:rPr>
        <w:t>自然日</w:t>
      </w:r>
      <w:r>
        <w:rPr>
          <w:rFonts w:hint="eastAsia" w:asciiTheme="minorEastAsia" w:hAnsiTheme="minorEastAsia" w:eastAsiaTheme="minorEastAsia" w:cstheme="minorEastAsia"/>
          <w:kern w:val="0"/>
          <w:sz w:val="24"/>
          <w:szCs w:val="24"/>
        </w:rPr>
        <w:t>。</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w:t>
      </w:r>
      <w:r>
        <w:rPr>
          <w:rFonts w:hint="eastAsia" w:asciiTheme="minorEastAsia" w:hAnsiTheme="minorEastAsia" w:eastAsiaTheme="minorEastAsia" w:cstheme="minorEastAsia"/>
          <w:kern w:val="2"/>
          <w:sz w:val="24"/>
          <w:szCs w:val="24"/>
          <w:lang w:val="en-US" w:eastAsia="zh-CN" w:bidi="ar-SA"/>
        </w:rPr>
        <w:t>发放中标通知书</w:t>
      </w:r>
      <w:r>
        <w:rPr>
          <w:rFonts w:hint="eastAsia" w:asciiTheme="minorEastAsia" w:hAnsiTheme="minorEastAsia" w:eastAsiaTheme="minorEastAsia" w:cstheme="minorEastAsia"/>
          <w:kern w:val="0"/>
          <w:sz w:val="24"/>
          <w:szCs w:val="24"/>
          <w:lang w:val="en-US" w:eastAsia="zh-CN" w:bidi="ar-SA"/>
        </w:rPr>
        <w:t>。采购组织机构在发布中标结果公告的同时，向中标人发出中标通知书。</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kern w:val="0"/>
          <w:sz w:val="24"/>
          <w:szCs w:val="24"/>
        </w:rPr>
        <w:t>合同签订</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（一）采购人应当自中标通知书发出之日起30日内，按照采购文件和中标人投标文件内容要求，与中标人签订合同。所签订的合同不得对采购文件确定的事项和中标人投标文件作实质性修改。</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（二）采购人不得向中标人提出任何不合理的要求作为签订合同的条件。</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（三）中标人无故拖延、拒签合同的,将取消中标资格。</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（五）询问或者质疑事项可能影响中标结果的，采购人应当暂停签订合同，已经签订合同的，应当中止履行合同。</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九、询问、质疑与投诉</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（一）询问</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招标公告”。</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1.报名本项目的投标人认为采购文件、采购过程和中标结果使自己的权益受到损害的，可通过书面形式一次性针对同一环节（包括采购文件、采购过程、中标结果等）向采购人和采购组织机构提出质疑：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（1）投标人认为采购文件使自己的权益受到损害的，应当在提交投标文件截止时间前提出质疑</w:t>
      </w:r>
      <w:r>
        <w:rPr>
          <w:rFonts w:hint="eastAsia" w:asciiTheme="minorEastAsia" w:hAnsiTheme="minorEastAsia" w:eastAsiaTheme="minorEastAsia" w:cstheme="minorEastAsia"/>
          <w:kern w:val="2"/>
          <w:sz w:val="24"/>
          <w:szCs w:val="24"/>
          <w:lang w:val="en-US" w:eastAsia="zh-CN" w:bidi="ar-SA"/>
        </w:rPr>
        <w:t>；</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（2）投标人对采购过程提出质疑的，应当在各采购程序环节结束之日起3个工作日内提出质疑；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（3）投标人对中标结果提出质疑的，应当在中标结果公告期限届满之日前提出质疑。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2.采购人或采购组织机构在收到投标人的书面质疑后7个工作日内作出答复，并以书面形式回复质疑投标人和其他有关投标人，但答复内容不涉及商业秘密。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（三）投诉</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投标人对采购人或采购组织机构的质疑答复不满意或在规定时间内未得到答复的，可以在答复期满后15个工作日内，向同级政府采购监督管理机构投诉。</w:t>
      </w:r>
    </w:p>
    <w:p>
      <w:pPr>
        <w:widowControl/>
        <w:jc w:val="center"/>
        <w:rPr>
          <w:rFonts w:hint="eastAsia" w:ascii="宋体" w:eastAsia="宋体" w:cs="宋体"/>
          <w:b/>
          <w:bCs/>
          <w:color w:val="auto"/>
          <w:sz w:val="36"/>
          <w:szCs w:val="36"/>
          <w:lang w:eastAsia="zh-CN"/>
        </w:rPr>
      </w:pPr>
      <w:r>
        <w:rPr>
          <w:rFonts w:hint="eastAsia" w:asciiTheme="minorEastAsia" w:hAnsiTheme="minorEastAsia" w:eastAsiaTheme="minorEastAsia" w:cstheme="minorEastAsia"/>
          <w:kern w:val="2"/>
          <w:sz w:val="24"/>
          <w:szCs w:val="24"/>
          <w:lang w:val="en-US" w:eastAsia="zh-CN" w:bidi="ar-SA"/>
        </w:rPr>
        <w:br w:type="page"/>
      </w:r>
      <w:r>
        <w:rPr>
          <w:rFonts w:hint="eastAsia" w:ascii="宋体" w:hAnsi="宋体" w:cs="宋体" w:eastAsiaTheme="minorEastAsia"/>
          <w:b/>
          <w:bCs/>
          <w:color w:val="auto"/>
          <w:sz w:val="36"/>
          <w:szCs w:val="36"/>
          <w:lang w:eastAsia="zh-CN"/>
        </w:rPr>
        <w:t>第三章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采购需求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本采购需求提出的是最低限度的基本技术要求，并未对所有技术细节作出规定，供应商应提供符合本采购需求和国家标准、行业标准的优质服务。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投标人服务与本采购需求不一致时，投标人应在投标文件中予以说明，并由评标委员会鉴定投标人服务能否达到要求。如投标人没有在投标文件中提出异议，则视为投标人提供的服务完全按照本采购文件要求。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投标人提供的服务应执行最新的质量标准。若同一服务同时有几个标准（国际标准、国家标准、行业标准、企业标准等），则按最高层次的标准执行。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投标人须按国家有关规定及标准完成本次招标等各项工作。投标人提供相关数据与说明，投标文件须对下列要求作出实质性回应。</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（一）服务期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本项目服务期为合同签订生效之日起1年。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（二）本项目有下列情形的，采购人有权终止合同，且不承担任何违约责任：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1.本项目遇不可抗力影响或法律、法规、国家政策重大调整影响合同无法执行的；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2.中标人违反安全管理、规范作业规定，造成重大伤亡或重大损失；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3.中标人因管理不善或投诉产生严重不良影响，采购人责令中标人整改仍未改善的；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4.经省、市级新闻媒体曝光，中标人为责任方，造成恶劣影响的；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5.中标人经有关部门认定严重违反劳动法，造成恶劣影响的；或其它因违法经营受到刑事处罚或者责令停产停业、吊销许可证或者执照、较大数额罚款等行政处罚的；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6.中标人其它弄虚作假及其他不正当行为；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7.合同履约期间，中标人法人组织破产，或重组变更法人主体的；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8.根据采购文件及合同约定，其它终止合同的规定，其它法律规定的终止情形；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9.合同期限届满时自行终止。</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default" w:ascii="宋体" w:hAnsi="宋体" w:eastAsia="宋体" w:cs="宋体"/>
          <w:color w:val="000000"/>
          <w:sz w:val="24"/>
          <w:szCs w:val="24"/>
          <w:highlight w:val="none"/>
          <w:lang w:val="en-US" w:eastAsia="zh-CN"/>
        </w:rPr>
        <w:t>中标人提供食堂日常管理与运行（包括各项台账的建立）、每日三餐的食品制作以及食品安全、食堂的卫生保洁等服务。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.用餐人数：早餐教职工</w:t>
      </w:r>
      <w:r>
        <w:rPr>
          <w:rFonts w:hint="eastAsia" w:ascii="宋体" w:hAnsi="宋体" w:cs="宋体"/>
          <w:color w:val="000000"/>
          <w:sz w:val="24"/>
          <w:szCs w:val="24"/>
          <w:highlight w:val="none"/>
          <w:lang w:val="en-US" w:eastAsia="zh-CN"/>
        </w:rPr>
        <w:t>约90</w:t>
      </w:r>
      <w:r>
        <w:rPr>
          <w:rFonts w:hint="default"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中餐学生</w:t>
      </w:r>
      <w:r>
        <w:rPr>
          <w:rFonts w:hint="eastAsia" w:ascii="宋体" w:hAnsi="宋体" w:cs="宋体"/>
          <w:color w:val="000000"/>
          <w:sz w:val="24"/>
          <w:szCs w:val="24"/>
          <w:highlight w:val="none"/>
          <w:lang w:val="en-US" w:eastAsia="zh-CN"/>
        </w:rPr>
        <w:t>约</w:t>
      </w:r>
      <w:r>
        <w:rPr>
          <w:rFonts w:hint="default" w:ascii="宋体" w:hAnsi="宋体" w:eastAsia="宋体" w:cs="宋体"/>
          <w:color w:val="000000"/>
          <w:sz w:val="24"/>
          <w:szCs w:val="24"/>
          <w:highlight w:val="none"/>
          <w:lang w:val="en-US" w:eastAsia="zh-CN"/>
        </w:rPr>
        <w:t>1620人</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教职工</w:t>
      </w:r>
      <w:r>
        <w:rPr>
          <w:rFonts w:hint="eastAsia" w:ascii="宋体" w:hAnsi="宋体" w:cs="宋体"/>
          <w:color w:val="000000"/>
          <w:sz w:val="24"/>
          <w:szCs w:val="24"/>
          <w:highlight w:val="none"/>
          <w:lang w:val="en-US" w:eastAsia="zh-CN"/>
        </w:rPr>
        <w:t>约</w:t>
      </w:r>
      <w:r>
        <w:rPr>
          <w:rFonts w:hint="default" w:ascii="宋体" w:hAnsi="宋体" w:eastAsia="宋体" w:cs="宋体"/>
          <w:color w:val="000000"/>
          <w:sz w:val="24"/>
          <w:szCs w:val="24"/>
          <w:highlight w:val="none"/>
          <w:lang w:val="en-US" w:eastAsia="zh-CN"/>
        </w:rPr>
        <w:t>120人；晚餐教职工</w:t>
      </w:r>
      <w:r>
        <w:rPr>
          <w:rFonts w:hint="eastAsia" w:ascii="宋体" w:hAnsi="宋体" w:cs="宋体"/>
          <w:color w:val="000000"/>
          <w:sz w:val="24"/>
          <w:szCs w:val="24"/>
          <w:highlight w:val="none"/>
          <w:lang w:val="en-US" w:eastAsia="zh-CN"/>
        </w:rPr>
        <w:t>约50</w:t>
      </w:r>
      <w:r>
        <w:rPr>
          <w:rFonts w:hint="default"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；后续可能需要提供学生早晚餐</w:t>
      </w:r>
      <w:r>
        <w:rPr>
          <w:rFonts w:hint="default"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.用餐时间：按采购人根据实际需求及学校作息时间确定供餐时间。早餐7:20-8:20，中餐11:15-12:15，晚餐17:00-18:00。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以劳务输出的形式进行食堂后勤服务总承包，食堂日常的食材、调味品原材料的采购由采购人自行负责。中标人负责劳务输出及服务，包括食堂日常管理与运行(包括各项台账的建立)、每日三餐的食品制作以及食品安全、食堂及周边的保洁等服务。采购人提供食堂设施和餐饮用具，承担食堂水电、燃料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负责食堂员工管理及日常运行；负责每日用餐所需食品及原材料、调料的领用、保管、制作加工等工作；负责制订每周菜谱；负责日常菜肴、面点等食品制作；负责粗加工、清洗等厨房前后道工作；负责窗口、大厅等各项服务以及食堂区域内的安全、卫生保洁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3.中标人每天定时提供食品采购清单，由学校专人负责食品采购，中标人与学校食堂管理人员共同负责食品数量与质量的验收工作。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4.供餐时间及菜品要求：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（1）食堂周一至周五提供早、中、晚三餐。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（2）早餐提供粥汤类（白粥、特色粥、绿豆汤、豆浆、牛奶等）、中点类（肉包、菜包、馒头等）、杂粮（番薯、紫薯、玉米、毛芋等）、蛋类（煎蛋、白煮蛋、茶叶蛋）、酱菜等。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（3）中晚餐品种不少于6种，主荤2款、半荤2款，素菜2款，汤1款。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（4）中晚餐主打菜一周内不重复，菜品应以台州本地特色为主，每餐菜肴荤素搭配均衡、营养安排合理。除特殊菜品，中、晚餐炒菜实行小锅分批炒制，开餐过程中，遇菜品供应不足，应及时补充。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5.中标人应根据季节不同提供适时菜品，定期推出特色菜或新菜(主打菜每天变化)，需提供食堂当日成本核算数据，并做好成本控制工作。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食堂要做好特殊情况下(包括但不限于：加班、公务接待、防御自然灾害、重大活动、会议培训、值班备勤、突发性事件应急处置等情形)的就餐保障。采购人将就餐人数、就餐标准和就餐形式提前通知中标人。就餐以台州本地菜系为主，就餐标准按规定执行，中标人需做到准时开餐、保证质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7.满足采购人其它饮食需求。根据采购人的需求，为就餐人员提供生日餐、熟食（卤牛肉、卤鸭等）、果盘以及净菜等服务。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（三）质量要求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1.国家相关法律法规及标准（包括但不限于）：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（3）《食品生产经营监督检查管理办法》；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（4）GB 31654-2021《食品安全国家标准 餐饮服务通用卫生规范》；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（5）GB 14934-2016《食品安全国家标准 消毒餐（饮）具》；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（6）SB/T 10426-2007《餐饮企业经营规范》。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2.一经发现供应以下食品，采购人将立即没收全部履约保证金并单方面终止合同，由此引发的经济纠纷和法律责任全部由中标人自行承担，与采购人无关。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（1）腐败变质、油脂酸败、霉变、生虫、污秽不洁、混有异物或者其他感官性状异常，对人体健康有害的；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（2）含有毒、有害物质或者被有害物质污染，对人体健康有害的；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（3）含有致病性寄生虫、微生物或者微生物含量超过国家限定标准的；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（4）掺假、掺杂、伪造，影响营养、卫生的；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（5）用非食品原料加工的，加入非食品用化学物质或者将非食品当作食品的；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（6）超过保质期限的。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3.食品储存严格按照原料、半成品、成品等分类存放。食物原辅料要根据标签说明的贮存条件和温度或其他常识要求，选择在常温、通风、冷藏 (0- 5°C) 或冷冻(—1 8°C) 条件下进行存储。冷食类食品宜放置在密闭容器内或使用保鲜膜等进行无污染覆盖，在专用冷冻或冷藏设备中存放，避免生熟食品互相接触，产生交叉污染。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4.不同类别食品分开清冼、切配和存放，防止交叉污染。烹制食品须烧熟煮透，确保中心温度达到70°C以上。严禁使用腐败变质、超过保质期和易于引发食物中毒的高风险食品。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5.清洗消毒。备餐专间使用前，紫外线消毒不少于30分钟，专用分餐场所应每天进行消毒。确保餐用具消毒保洁设施设备运行正常，餐用具消毒温度应在 100°C以上，消毒时间不少于 30 分钟。应使用符合国家标准和卫生规范的洗涤剂和消毒剂。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供餐食品应落实留样管理。留样食品应按照品种分别盛放于清洗消毒后的专用密闭容器（留样盒）内，在专用冷藏设备存放48小时以上，每个品种留样量不少于100g。因中标人提供不洁食物造成食品卫生事故的（依据留样检测且经相关权威部门确认后），由中标人负责赔偿并承担相应的一切经济赔偿及法律责任。因中标人未对菜品进行留样导致无法判断是否是中标人责任的，仍由中标人负责赔偿并承担相应的一切经济赔偿及法律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1.中标人在签订合同前必须向所在地卫生行政主管部门申领《卫生许可证》并接受年度验证，其他各类相关经营证件由中标人自行办理。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企业内部管理必须严格执行国家相关法律法规及标准要求，并接受市、区卫生监督部门的督查，所有工作人员必须持有健康证方可上岗服务。应有健全的防鼠、防蝇、防尘“三防”措施（特别是分菜间、加工间、餐厅等场所的门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3.中标人应加强自身管理，建立健全各项卫生制度和岗位责任制度，配备专职食品卫生管理人员；建立卫生质量检验机构，配备合格的检验人员。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4.中标人须与采购人签订食品卫生安全责任书，保证其生产经营过程符合有关食品卫生法律、法规、规章、标准及规范性文件。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5.食品加工过程严格按照《中华人民共和国食品安全法》、《中华人民共和国食品安全法实施条例》、《食品生产经营监督检查管理办法》、《食品安全国家标准 餐饮服务通用卫生规范》、《餐饮服务食品安全操作规范》等法律法规的要求进行操作，工作人员应穿整洁的工作衣帽、口罩、手套上岗。为避免让手接触或沾染食物和食器，须用架子、勺子等工具取用食物。调味品与小菜应安全卫生的容器盛装，所有的器皿以及菜肴不得与地面或污秽接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6.工作时，不得在食物或食器的附近咳嗽、吐痰、打喷嚏，不可避免要打喷嚏时要背向食物，并随即离岗，更换口罩，清洗消毒后才可上岗。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7.因中标人工作失误，不能正常供餐时，中标人必须及时采取有效措施，妥善处理相关人员用餐问题。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8.需对工作过程中的突发事件，第一时间做出相应的处理，属中标人责任的由中标人负责承担处理。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9.中标人须承诺烹制过程中不添加味重的调味料，按传统方法烹制，保持食物的基本味和营养。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10.在服务期间，其工作时间必须满足采购人的工作要求，包括周六、周日及节假日，不得以任何借口和理由停止服务工作。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中标人须确保就餐人员准时吃到热饭热菜热汤。须采用规定的冷藏、加热保温、高温灭菌等方式。食品应当烧熟煮透，其中心温度不得低于75℃。采用冷藏方式加工的食品，从烧熟至食用的时间不得超过24小时，采用加热保温方式加工的食品，从烧熟至食用的时间不得超过3小时。不得加工供应生拌菜、改刀熟食、色拉、生食水产品等品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（五）卫生管理要求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1.配备卫生负责人，负责全面卫生管理工作。食堂管理须达到餐饮服务食品安全监督量化分级管理的B级标准及以上。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2.食堂的厨房、餐厅、包厢等所有区域的卫生应按“五常法”或“四 D”管理模式、色标管理模式，实行分层负责，定置、定量、定位、定进出、定标识、责任到人。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3.做好食堂卫生管理工作，积极有效地预防食物中毒和食源性疾病的发生，确保师生平安。严格按照《中华人民共和国食品安全法》验收、清洗、加工要求制作食品厨房用品用具严格实行一洗二过三消毒的规程。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4.工作人员必须有良好的卫生习惯，每年必须参加体检，持证上岗，工作期间工作衣、帽整洁统一，工号、口罩佩戴到位。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5.自觉接受卫生管理部门和采购人管理人员对食堂内工作检查、监督。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6.按相关规定做好垃圾处置工作，垃圾污物应按指定地点分类放置，不得随意弃放。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7.做好食堂区域内日常除“四害”工作，做好病原体和传染病防治工作。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（六）安全管理要求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1.把好食材等物品进货验收质量关，严禁使用任何变质或受污染的原料制作食品，防止食物中毒事件发生。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2.严格控制使用食品添加剂，注重食品卫生，防止食物中毒事件发生。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3.严格执行索证制度、农药残留测试制度，预防食物中毒事件发生。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4.严格遵守设备操作规程，防止发生人身设备安全事故。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5.下班后和设备使用完后落实关气、关电、关水、关门检查制度，预防火灾、偷盗事件发生。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（七）节能管理要求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1.餐厅在准备三餐期间要根据季节温度合理开启空调，要充分利用自然光，及时开关照明设备，就餐完毕后及时关闭所有空调电灯。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2.落实好“跑冒滴漏”管理制度，做到厨房在光线良好情况下不开灯，更衣间随手关灯，原料和餐具清洗完后应立即关闭水源。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（八）成本管理耍求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1.加强成本核算。抓好餐饮原料、物料和能耗的综合管理工作，配合采购人做好成本核算，实现每学期食堂的收支平衡目标，盈亏不得超过4%。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2.精准数量统计。做好每日各品种菜肴的原料消耗数量、成品数量的统计。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控制损耗浪费。结合食堂具体情况，在做好保障的基础上，抓好原材料损耗和能源消耗等加工成本的管控，抓好供需配比和成品浪费等成品和半成品的控制，降低损耗，提高绩效，力争代购代销食品无损耗，加工制作食品少损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（九）设备管理要求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1.食堂室内外已经装修，中标人不应私自改变。如确需改动的，必须经采购人同意方可改动。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2.抓好设施设备的使用管理，严格落实设施设备的安全操作和正常维护措施,高效使用现有设施设务，确保设施设备的正常运行。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3.食堂的桌椅、厨房设备，提供给中标人免费使用，中标人应爱惜财物保持其完好性。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（十）质量监督检查和考核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所有工作人员，必须服从采购人管理，如发现不符合采购人管理要求的工作人员，采购人有权提出整改、更换。如中标人15天内未整改、更换、不及时或不到位，采购人有权无条件终止合同，并要求中标人承担合同金额5%的违约金。中标人更换或调整人员应提前征求采购人意见，在征得采购人同意后方可更换、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2.采购人从供餐质量、服务质量、卫生标准、设备使用、成本管控、安全生产、日常管理等方面定期对中标人进行检查和突击抽查，并根据检查、测评情况对中标人进行相应的考核。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在承包期内中标人应保持承包区域内的设施完好、环境况良好，并接受采购人或其授权人员的检查，对由中标人引起或造成设施的损坏及环境卫生不理想状况，采购人将书面通知中标人修复或整改，在书面通知下达一周后，仍未按要求修复或整改，采购人将负责完成这一工作，所需费用及管理费全部由中标人承担。采购人提供的所有设备、设施、工具由中标人使用的，除正常使用折旧外，中标人保证各设备、设施、工具的完好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4.中标人应切实做好节水、节能、防盗、防火、饭菜食品的卫生安全工作，若有发生责任事故，如属管理失职或不到位所造成的，后果由中标人全部承担，采购人有权进行监督和检查。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（十一）违约、处罚、考核说明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1.符合下列条件之一，采购人有权根据情节轻重要求中标人赔偿，并处以罚款，同时终止与中标人的合同。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（1）中标人及下属员工发生严重违法乱纪事件，损坏采购人声誉，造成恶劣影响的。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（2）擅自暂停工作，不能保证正常服务的。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（3）发生重大安全事故。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（4）食堂管理委员会每半度对中标人在服务过程中日常食堂卫生管理、食品安全管理、服务质量和满意度情况进行考核测评，经测评：测评平均分＜65 分为不合格；65≤测评平均分＜80 为合格；80≤测评平均分＜90 为良好；90≤ 测评平均分＜100 为优秀。如考核达不合格，采购人将有权与中标人终止合同，并没收履约保证金。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（5）严重违反法律法规、合同条款及采购人的各项规章制度的，不服从管理的。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2.针对在食品卫生检查中不符合要求的，给予中标人以下处罚：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（1）一次检查不合格，提出警告;二次检查不合格,处罚金 500 元,三次检查仍不合格，处罚金 1000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（2）生、熟食品混放，发现一次扣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（3）台账资料登记不全罚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（4）每周不进行全彻底大扫除的每次罚 500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（5）在卫生监督和市场监管等有关部门卫生检查中存在严重问题的，除承担上级部门罚款外另扣 1000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（6）无健康证而从事食堂工作的，每人扣 5000 元，无证人员应立即清退；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（7）餐后餐具不消毒扣 100 元/次；餐具清洗不仔细有污渍的，每投诉一次查实的扣 50 元/次；菜品里有头发、铁丝等异物，每投诉一次查实的扣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（十二）人员配备要求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1.岗位人数要求（不得少于以下标准）</w:t>
      </w:r>
    </w:p>
    <w:tbl>
      <w:tblPr>
        <w:tblStyle w:val="25"/>
        <w:tblW w:w="910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455"/>
        <w:gridCol w:w="2439"/>
        <w:gridCol w:w="1081"/>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884" w:type="dxa"/>
            <w:noWrap w:val="0"/>
            <w:vAlign w:val="center"/>
          </w:tcPr>
          <w:p>
            <w:pPr>
              <w:adjustRightInd w:val="0"/>
              <w:snapToGrid w:val="0"/>
              <w:ind w:left="178" w:right="173"/>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序号</w:t>
            </w:r>
          </w:p>
        </w:tc>
        <w:tc>
          <w:tcPr>
            <w:tcW w:w="1455" w:type="dxa"/>
            <w:noWrap w:val="0"/>
            <w:vAlign w:val="center"/>
          </w:tcPr>
          <w:p>
            <w:pPr>
              <w:adjustRightInd w:val="0"/>
              <w:snapToGrid w:val="0"/>
              <w:ind w:left="109" w:right="105"/>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岗位</w:t>
            </w:r>
          </w:p>
        </w:tc>
        <w:tc>
          <w:tcPr>
            <w:tcW w:w="2439" w:type="dxa"/>
            <w:noWrap w:val="0"/>
            <w:vAlign w:val="center"/>
          </w:tcPr>
          <w:p>
            <w:pPr>
              <w:adjustRightInd w:val="0"/>
              <w:snapToGrid w:val="0"/>
              <w:ind w:left="114" w:right="108"/>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岗位性质</w:t>
            </w:r>
          </w:p>
        </w:tc>
        <w:tc>
          <w:tcPr>
            <w:tcW w:w="1081" w:type="dxa"/>
            <w:noWrap w:val="0"/>
            <w:vAlign w:val="center"/>
          </w:tcPr>
          <w:p>
            <w:pPr>
              <w:adjustRightInd w:val="0"/>
              <w:snapToGrid w:val="0"/>
              <w:spacing w:before="1" w:line="360" w:lineRule="auto"/>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人员数量</w:t>
            </w:r>
          </w:p>
        </w:tc>
        <w:tc>
          <w:tcPr>
            <w:tcW w:w="3250" w:type="dxa"/>
            <w:noWrap w:val="0"/>
            <w:vAlign w:val="center"/>
          </w:tcPr>
          <w:p>
            <w:pPr>
              <w:adjustRightInd w:val="0"/>
              <w:snapToGrid w:val="0"/>
              <w:ind w:left="71" w:right="65"/>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6"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项目主管</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项目管理</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2</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厨师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left="116"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菜品制作、厨房管理</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left="73"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周岁以下，持相关证书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3</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副厨师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菜品加工</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4</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面点师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面点制作</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5</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洗杂工（</w:t>
            </w:r>
            <w:r>
              <w:rPr>
                <w:rFonts w:hint="eastAsia" w:asciiTheme="minorEastAsia" w:hAnsiTheme="minorEastAsia" w:eastAsiaTheme="minorEastAsia" w:cstheme="minorEastAsia"/>
                <w:b w:val="0"/>
                <w:bCs/>
                <w:kern w:val="2"/>
                <w:sz w:val="21"/>
                <w:szCs w:val="21"/>
                <w:lang w:val="en-US" w:eastAsia="zh-CN" w:bidi="zh-CN"/>
              </w:rPr>
              <w:t>含服务员</w:t>
            </w:r>
            <w:r>
              <w:rPr>
                <w:rFonts w:hint="eastAsia" w:asciiTheme="minorEastAsia" w:hAnsiTheme="minorEastAsia" w:eastAsiaTheme="minorEastAsia" w:cstheme="minorEastAsia"/>
                <w:b w:val="0"/>
                <w:bCs/>
                <w:kern w:val="2"/>
                <w:sz w:val="21"/>
                <w:szCs w:val="21"/>
                <w:lang w:val="zh-CN" w:eastAsia="zh-CN" w:bidi="zh-CN"/>
              </w:rPr>
              <w:t>）</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洗杂及接待服务等</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r>
              <w:rPr>
                <w:rFonts w:hint="eastAsia" w:asciiTheme="minorEastAsia" w:hAnsiTheme="minorEastAsia" w:eastAsiaTheme="minorEastAsia" w:cstheme="minorEastAsia"/>
                <w:b w:val="0"/>
                <w:bCs/>
                <w:kern w:val="2"/>
                <w:sz w:val="21"/>
                <w:szCs w:val="21"/>
                <w:lang w:val="en-US" w:eastAsia="zh-CN" w:bidi="zh-CN"/>
              </w:rPr>
              <w:t>3</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周岁以下，身体健康</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2.人员基本要求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中标人</w:t>
      </w:r>
      <w:r>
        <w:rPr>
          <w:rFonts w:hint="default" w:ascii="宋体" w:hAnsi="宋体" w:eastAsia="宋体" w:cs="宋体"/>
          <w:color w:val="000000"/>
          <w:sz w:val="24"/>
          <w:szCs w:val="24"/>
          <w:highlight w:val="none"/>
          <w:lang w:val="en-US" w:eastAsia="zh-CN"/>
        </w:rPr>
        <w:t>须为</w:t>
      </w:r>
      <w:r>
        <w:rPr>
          <w:rFonts w:hint="eastAsia" w:ascii="宋体" w:hAnsi="宋体" w:eastAsia="宋体" w:cs="宋体"/>
          <w:color w:val="000000"/>
          <w:sz w:val="24"/>
          <w:szCs w:val="24"/>
          <w:highlight w:val="none"/>
          <w:lang w:val="en-US" w:eastAsia="zh-CN"/>
        </w:rPr>
        <w:t>采购人</w:t>
      </w:r>
      <w:r>
        <w:rPr>
          <w:rFonts w:hint="default" w:ascii="宋体" w:hAnsi="宋体" w:eastAsia="宋体" w:cs="宋体"/>
          <w:color w:val="000000"/>
          <w:sz w:val="24"/>
          <w:szCs w:val="24"/>
          <w:highlight w:val="none"/>
          <w:lang w:val="en-US" w:eastAsia="zh-CN"/>
        </w:rPr>
        <w:t>食堂配足食堂工作人员，工作人员均应身体健康，持证上岗，无违法犯罪记录，综合素质应符合采购人要求。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（2）中标人应确保其派遣人员相对固定，不得无故变更。如确需调整，应征得采购人同意。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（3）中标人的派遣人员应服从采购人的相关规定和管理。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备注：投标人岗位人员配备按照评标办法自行配备人员，若未在投标文件中配备相应人员的，则在中标后必须按照要求进行配备即可。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（十三）权利与义务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1.采购人权利及义务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（1）按规定监督中标人依法经营、履行合同，做好协调工作。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（2）提供厨房、餐厅、全套厨房设备和结算、餐具等。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（3）负责水电气费用支出和场地提供。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（4）对中标人配菜、营养搭配、服务水平及卫生状况等日常服务工作开展定期或不定期地巡察，并对工作不到位的情况提出书面整改意见。中标人应在整改限期内整改到位，经提醒仍未完成整改的，按每项 500 元在支付合同款时予以扣除。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（5）有权对中标人工作人员上班工作期间进行监督、检查、考核管理等。对工作人员工作不满意的，采购人有权要求中标人在15个工作日内调换人员； 工作人员有违法乱纪行为的，中标人应立即停止该工作人员在项目驻点工作，并在3个工作日调换人员。中标人未在规定时间内换人的，按每人每日 500 元的标准在支付给中标人的服务费中扣除，超过规定时间 15 个工作日未换人的，采购人有权解除合同。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（6）协助中标人维持食堂各项秩序。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（7）为本项目提供服务的食堂劳务人员用餐由采购人负责提供。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2.中标人的权利义务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（1）中标人必须按照《劳动法》、《劳动合同法》的规定合法规范用工，并全面承担工作人员涉及劳动关系的所有事宜。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（2）中标人应了解工作人员的思想动态、工作表现、遵纪情况以及采购人其他合理要求，提供最佳服务。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（3）根据采购人的服务要求设定工作岗位，分配工作任务，并对工作人员的工作情况实行监督、检查、考核管理。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（4）按相关规定建立健全各项规章制度、岗位责任制、操作规程和各项台账。严格遵循安全消防、卫生检疫、治安管理和采购人的各项规章制度。必须遵守国家和地方有关环境和食品卫生的标准。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（5）设立项目主管，全权负责本项目的管理工作，并与采购人保持密切联系。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6）加强员工的业务培训，提高服务质量和菜肴烹调水平。同时，加强食堂的日常管理，负责每周菜谱制定；负责日常菜肴、面点等食品制作；负责餐厅、包厢等各项服务；负责食堂每天生产的垃圾清理处理及食堂区域内的安全、卫生保洁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（7）负责厨房设施的维护，若财产发生人为损坏，需照价赔偿。承包期内必须添置或更换厨房设备，由中标人提出，经采购人审核同意后由采购人负责购置。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（8）负责食堂员工工资奖金、各项福利及社会保险缴纳等</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（9）各类岗位职工要严格按照采购需求人数配备，不得缺编。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（10）服务区域的各项服务工作时间必须符合及满足采购人的要求，周末及公众假期，需根据采购人需要提供服务。采购人在工作时间内的安排给中标人的临时加班任务，中标人须在 30 分钟内到岗。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（11）工作人员应相对稳定，主要管理岗位人员如需调动需提前征求采购人意见。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（12）工作人员不得捎带学校外部人员在校内食堂就餐。严禁工作人员将剩余饭菜打包带出校外。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13）中标人需做好对用工人员的安全教育措施，强化对食堂工作人员的安全教育，并负责用工人员的一切安全责任事故。遇突发事件或安全检查时，中标人必须配合有关部门执行任务，并指定专职人员协助工作，直至完成。认真做好防火、防盗及有关安全工作。服务期间所有安全责任事故、所发生的经济纠纷、债权债务、伤亡均由中标人负全部责任，中标人实行安全责任制，采购人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（14）员工保险要求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①员工人身意外险:在承包期内，中标人所有工作人员的事故由中标人自行全权负责(中标人对其员工投保人身意外险)，及时为进场人员投保第三者责任险并及时向采购人出示保险凭证。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②其他保险及费用:中标人应按政府各部门有关规定为全体工作人员交纳所有相关的社会保险及其他相关费用。中标人应对此全权负责。</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四、管理要求</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1.中标人须有健全的组织机构，完善的质量监督体系，良好的企业员工形象。</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2.投标人须有完善的管理结构，制订切实可行的管理制度和工作应急预案。其流程清晰，职责明确，有服务优先的管理理念与明确的服务定位和目标方案。</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3.中标人须按照国家有关法律法规以及国家或行业有关安全标准、规范的要求，制定安全防范措施。落实岗位应急措施，依法制定安全事故应急救援预案和安全防范措施。</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4.根据采购人的服务要求设定工作岗位，分配工作任务，并对服务人员的工作情况实行监督、检查、考核管理。</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5.服务人员应相对稳定，主要管理岗位人员如需调动需提前征求采购人意见。</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五、其他要求</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▲1.责任界定</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（1）采购人作为服务的发包方，不承担具体的管理责任，只负责乙方工作成果的验收。</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（2）中标人须按国家有关规定为服务人员购买工伤保险、社会保险及人身意外伤害保险等与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lang w:val="en-US" w:eastAsia="zh-CN"/>
        </w:rPr>
        <w:t>有关的一切保险。要求工伤保险应保尽保，人身意外伤害险全覆盖，纳入考核。因未办理服务人员保险引起的纠纷投诉等，由投标人自行承担，与采购人无关。</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采购人无关，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中标人应严格执行各项国家地方有关法律法规规定，实施严格的各类食品卫生安全防护保证措施，做好食品安全工作。中标人因经营管理失职造成食物中毒事件、人身损害事故及其他食品安全事故，一切法律和经济责任均由中标人承担，与采购人无关，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（5）因中标人的劳动用工、提供服务或其服务领域发生因人身财产损害等所引发的一切纠纷和法律责任均由中标人承担，与采购人无关，保证不对采购人造成任何负面影响。</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（6）合同期内中标人应保证服务责任区域内的设施、设备良好的运营状况和环境状况，并接受采购人或其授权人员的检查，对由中标人养护不当、操作失误等引起或造成设施、设备的损坏，由中标人全额赔偿。</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如中标人因管理不善或其他原因无法提供食堂托管及劳务外包服务，必须提前1个月向采购人提交书面情况说明，征得采购人同意后方可解除合同，否则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2.中标人服务达不到采购文件要求或投标时各项服务承诺，采购人有权要求其整改，拒不整改的，采购人有权没收其履约保证金并无条件终止合同，并要求依法补偿造成的经济损失。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3.合同结束后，中标人须按采购人要求交还原有设备。由中标人养护不当、操作失误等引起或造成设施、设备的损坏，由中标人全额赔偿。</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▲4.服务期内，如中标人所派人员不能满足实际正常运行需要的，中标人须根据实际需要增加人员，相关费用在投标报价时综合考虑，采购人不再另行支付。</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六、投标报价形式</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1.投标人以学生、教职员工所缴纳餐费获得比例进行价格填报。</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2.学生、教职员工所缴纳餐费获得比例报价范围：0%（不含）-23%（含），不按要求填写做无效标处理。</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3.食堂托管经营费=学生、教职员工所缴纳餐费*中标获得比例-考核扣款。</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食堂托管经营费为中标人承担台州市云湖小学食堂托管及劳务外包服务内容所需要的一切费用，包括但不限于服务人员工资（基本工资、奖金、节假日加班费及各类加班费、高温补贴、福利、过节费、夜餐费）、服务人员食宿与交通、运输工具、公积金、企业年金、工会经费、体检、职教费、残保金、培训、奖罚措施、各类社会保险（医疗、工伤、养老等社会保险、人身意外保险及公众责任险等）、开办费、企业管理费、办公、通信、劳保、利润、税费及完成合同所需的一切本身和不可或缺的所有费用开支、政策性文件规定及合同包含的所有风险、责任、不可预见等各项所有费用。除非因特殊原因并经采购人及中标人双方协商同意，中标人不得再要求追加任何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七、付款条件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食堂托管经营费每季度结算一次费用，中标人每</w:t>
      </w:r>
      <w:r>
        <w:rPr>
          <w:rFonts w:hint="eastAsia" w:ascii="宋体" w:hAnsi="宋体" w:cs="宋体"/>
          <w:sz w:val="24"/>
          <w:szCs w:val="24"/>
          <w:highlight w:val="none"/>
          <w:lang w:val="en-US" w:eastAsia="zh-CN"/>
        </w:rPr>
        <w:t>季度</w:t>
      </w:r>
      <w:r>
        <w:rPr>
          <w:rFonts w:hint="eastAsia" w:ascii="宋体" w:hAnsi="宋体" w:eastAsia="宋体" w:cs="宋体"/>
          <w:sz w:val="24"/>
          <w:szCs w:val="24"/>
          <w:highlight w:val="none"/>
          <w:lang w:val="en-US" w:eastAsia="zh-CN"/>
        </w:rPr>
        <w:t>的服务费上报采购人并经审核通过且提供有效的正式税务发票（支付金额100%）后7个工作日内付清，若遇节假日顺延。每季度第一个月的25日前支付上一季度费用。</w:t>
      </w:r>
    </w:p>
    <w:p>
      <w:pPr>
        <w:widowControl/>
        <w:jc w:val="center"/>
        <w:rPr>
          <w:rFonts w:hint="eastAsia" w:ascii="宋体" w:eastAsia="宋体" w:cs="宋体"/>
          <w:b/>
          <w:bCs/>
          <w:color w:val="auto"/>
          <w:sz w:val="36"/>
          <w:szCs w:val="36"/>
          <w:lang w:eastAsia="zh-CN"/>
        </w:rPr>
      </w:pPr>
      <w:r>
        <w:rPr>
          <w:rFonts w:hint="eastAsia" w:ascii="宋体" w:hAnsi="宋体" w:cs="宋体"/>
          <w:b/>
          <w:bCs/>
          <w:color w:val="auto"/>
          <w:sz w:val="36"/>
          <w:szCs w:val="36"/>
        </w:rPr>
        <w:br w:type="page"/>
      </w:r>
      <w:r>
        <w:rPr>
          <w:rFonts w:hint="eastAsia" w:ascii="宋体" w:hAnsi="宋体" w:cs="宋体"/>
          <w:b/>
          <w:bCs/>
          <w:color w:val="auto"/>
          <w:sz w:val="36"/>
          <w:szCs w:val="36"/>
          <w:lang w:eastAsia="zh-CN"/>
        </w:rPr>
        <w:t>第四章</w:t>
      </w:r>
      <w:r>
        <w:rPr>
          <w:rFonts w:ascii="宋体" w:hAnsi="宋体" w:cs="宋体"/>
          <w:b/>
          <w:bCs/>
          <w:color w:val="auto"/>
          <w:sz w:val="36"/>
          <w:szCs w:val="36"/>
        </w:rPr>
        <w:t xml:space="preserve"> </w:t>
      </w:r>
      <w:r>
        <w:rPr>
          <w:rFonts w:hint="eastAsia" w:ascii="宋体" w:hAnsi="宋体" w:cs="宋体"/>
          <w:b/>
          <w:bCs/>
          <w:color w:val="auto"/>
          <w:sz w:val="36"/>
          <w:szCs w:val="36"/>
          <w:lang w:val="en-US" w:eastAsia="zh-CN"/>
        </w:rPr>
        <w:t>评标</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一、评标原则</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（一）评标活动遵循公平、公正、科学和择优的原则，以</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和投标文件为评标的基本依据，并按照</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规定的评标方法和评标标准进行评标。</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（二）任何单位和个人不得干扰、影响评标的正常进行；评标委员会及有关工作人员应不带任何倾向性和启发性，不得向外界透露任何与评标有关的内容，不得私下与投标人接触。</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二、评标方法</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本项目评标办法为</w:t>
      </w:r>
      <w:r>
        <w:rPr>
          <w:rFonts w:hint="eastAsia" w:asciiTheme="minorEastAsia" w:hAnsiTheme="minorEastAsia" w:eastAsiaTheme="minorEastAsia" w:cstheme="minorEastAsia"/>
          <w:b/>
          <w:bCs/>
          <w:sz w:val="24"/>
          <w:szCs w:val="24"/>
          <w:u w:val="single"/>
        </w:rPr>
        <w:t>综合评分法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是指投标文件满足</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全部实质性要求，且按照评审因素的量化指标评审得分最高的投标人为中标候选人的评标方法。</w:t>
      </w:r>
    </w:p>
    <w:p>
      <w:pPr>
        <w:keepNext w:val="0"/>
        <w:keepLines w:val="0"/>
        <w:pageBreakBefore w:val="0"/>
        <w:widowControl w:val="0"/>
        <w:kinsoku/>
        <w:wordWrap/>
        <w:overflowPunct/>
        <w:topLinePunct w:val="0"/>
        <w:bidi w:val="0"/>
        <w:spacing w:after="0" w:line="440" w:lineRule="exact"/>
        <w:ind w:left="0" w:leftChars="0"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三、评标委员会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（一）本项目评标委员会由采购人代表和评审专家组成。</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（二）评标委员会成员与参与投标的供应商有下列情形之一的，应当回避：</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1.参加采购活动前3年内与供应商存在劳动关系；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2.参加采购活动前3年内担任供应商的董事、监事；</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3.参加采购活动前3年内是供应商的控股股东或者实际控制人；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4.与供应商的法定代表人或者负责人有夫妻、直系血亲、三代以内旁系血亲或者近姻亲关系；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5.与供应商有其他可能影响政府采购活动公平、公正进行的关系；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6.法律法规规定的其他情形。</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（三）评标委员会负责具体评标事务，并独立履行下列职责：</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1.审查、评价投标文件是否符合采购文件的商务、技术等实质性要求；</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2.要求投标人对投标文件有关事项作出澄清或者说明；</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3.对投标文件进行比较和评价；</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4.确定中标候选人名单，以及根据采购人委托直接确定中标人；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5.向采购人、采购组织机构或者有关部门报告评标中发现的违法行为；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6.法律法规规定的其他职责。</w:t>
      </w:r>
    </w:p>
    <w:p>
      <w:pPr>
        <w:keepNext w:val="0"/>
        <w:keepLines w:val="0"/>
        <w:pageBreakBefore w:val="0"/>
        <w:widowControl/>
        <w:kinsoku/>
        <w:wordWrap/>
        <w:overflowPunct/>
        <w:topLinePunct w:val="0"/>
        <w:bidi w:val="0"/>
        <w:spacing w:before="0" w:beforeAutospacing="0" w:after="0" w:afterAutospacing="0"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宋体" w:hAnsi="宋体" w:eastAsia="宋体" w:cs="宋体"/>
          <w:b/>
          <w:kern w:val="0"/>
          <w:sz w:val="24"/>
          <w:szCs w:val="24"/>
          <w:lang w:val="en-US" w:eastAsia="zh-CN" w:bidi="ar-SA"/>
        </w:rPr>
        <w:t>▲</w:t>
      </w:r>
      <w:r>
        <w:rPr>
          <w:rFonts w:hint="eastAsia" w:asciiTheme="minorEastAsia" w:hAnsiTheme="minorEastAsia" w:eastAsiaTheme="minorEastAsia" w:cstheme="minorEastAsia"/>
          <w:b/>
          <w:kern w:val="0"/>
          <w:sz w:val="24"/>
          <w:szCs w:val="24"/>
          <w:lang w:val="en-US" w:eastAsia="zh-CN" w:bidi="ar-SA"/>
        </w:rPr>
        <w:t>四、无效标情形</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（一）在</w:t>
      </w:r>
      <w:r>
        <w:rPr>
          <w:rFonts w:hint="eastAsia" w:asciiTheme="minorEastAsia" w:hAnsiTheme="minorEastAsia" w:eastAsiaTheme="minorEastAsia" w:cstheme="minorEastAsia"/>
          <w:kern w:val="0"/>
          <w:sz w:val="24"/>
          <w:szCs w:val="24"/>
          <w:lang w:eastAsia="zh-CN"/>
        </w:rPr>
        <w:t>资格标</w:t>
      </w:r>
      <w:r>
        <w:rPr>
          <w:rFonts w:hint="eastAsia" w:asciiTheme="minorEastAsia" w:hAnsiTheme="minorEastAsia" w:eastAsiaTheme="minorEastAsia" w:cstheme="minorEastAsia"/>
          <w:kern w:val="0"/>
          <w:sz w:val="24"/>
          <w:szCs w:val="24"/>
        </w:rPr>
        <w:t>或</w:t>
      </w:r>
      <w:r>
        <w:rPr>
          <w:rFonts w:hint="eastAsia" w:asciiTheme="minorEastAsia" w:hAnsiTheme="minorEastAsia" w:eastAsiaTheme="minorEastAsia" w:cstheme="minorEastAsia"/>
          <w:kern w:val="0"/>
          <w:sz w:val="24"/>
          <w:szCs w:val="24"/>
          <w:lang w:eastAsia="zh-CN"/>
        </w:rPr>
        <w:t>技术标</w:t>
      </w:r>
      <w:r>
        <w:rPr>
          <w:rFonts w:hint="eastAsia" w:asciiTheme="minorEastAsia" w:hAnsiTheme="minorEastAsia" w:eastAsiaTheme="minorEastAsia" w:cstheme="minorEastAsia"/>
          <w:kern w:val="0"/>
          <w:sz w:val="24"/>
          <w:szCs w:val="24"/>
        </w:rPr>
        <w:t>中出现投标报价的，或者</w:t>
      </w:r>
      <w:r>
        <w:rPr>
          <w:rFonts w:hint="eastAsia" w:asciiTheme="minorEastAsia" w:hAnsiTheme="minorEastAsia" w:eastAsiaTheme="minorEastAsia" w:cstheme="minorEastAsia"/>
          <w:kern w:val="0"/>
          <w:sz w:val="24"/>
          <w:szCs w:val="24"/>
          <w:lang w:eastAsia="zh-CN"/>
        </w:rPr>
        <w:t>商务标</w:t>
      </w:r>
      <w:r>
        <w:rPr>
          <w:rFonts w:hint="eastAsia" w:asciiTheme="minorEastAsia" w:hAnsiTheme="minorEastAsia" w:eastAsiaTheme="minorEastAsia" w:cstheme="minorEastAsia"/>
          <w:kern w:val="0"/>
          <w:sz w:val="24"/>
          <w:szCs w:val="24"/>
        </w:rPr>
        <w:t>中报价的服务跟</w:t>
      </w:r>
      <w:r>
        <w:rPr>
          <w:rFonts w:hint="eastAsia" w:asciiTheme="minorEastAsia" w:hAnsiTheme="minorEastAsia" w:eastAsiaTheme="minorEastAsia" w:cstheme="minorEastAsia"/>
          <w:kern w:val="0"/>
          <w:sz w:val="24"/>
          <w:szCs w:val="24"/>
          <w:lang w:eastAsia="zh-CN"/>
        </w:rPr>
        <w:t>技术标</w:t>
      </w:r>
      <w:r>
        <w:rPr>
          <w:rFonts w:hint="eastAsia" w:asciiTheme="minorEastAsia" w:hAnsiTheme="minorEastAsia" w:eastAsiaTheme="minorEastAsia" w:cstheme="minorEastAsia"/>
          <w:kern w:val="0"/>
          <w:sz w:val="24"/>
          <w:szCs w:val="24"/>
        </w:rPr>
        <w:t>中的投标服务出现重大偏差的；</w:t>
      </w:r>
    </w:p>
    <w:p>
      <w:pPr>
        <w:keepNext w:val="0"/>
        <w:keepLines w:val="0"/>
        <w:pageBreakBefore w:val="0"/>
        <w:widowControl/>
        <w:tabs>
          <w:tab w:val="left" w:pos="7380"/>
        </w:tabs>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（二）不具备采购文件中规定的资格要求的；</w:t>
      </w:r>
      <w:r>
        <w:rPr>
          <w:rFonts w:hint="eastAsia" w:asciiTheme="minorEastAsia" w:hAnsiTheme="minorEastAsia" w:eastAsiaTheme="minorEastAsia" w:cstheme="minorEastAsia"/>
          <w:kern w:val="0"/>
          <w:sz w:val="24"/>
          <w:szCs w:val="24"/>
          <w:lang w:val="en-US" w:eastAsia="zh-CN" w:bidi="ar-SA"/>
        </w:rPr>
        <w:tab/>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（三）投标文件含有采购人不能接受的附加条件的；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（五）报价超过采购文件中规定的投标报价上限的；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六</w:t>
      </w:r>
      <w:r>
        <w:rPr>
          <w:rFonts w:hint="eastAsia" w:asciiTheme="minorEastAsia" w:hAnsiTheme="minorEastAsia" w:eastAsiaTheme="minorEastAsia" w:cstheme="minorEastAsia"/>
          <w:kern w:val="0"/>
          <w:sz w:val="24"/>
          <w:szCs w:val="24"/>
        </w:rPr>
        <w:t>）投标参数未如实填写的；</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七</w:t>
      </w:r>
      <w:r>
        <w:rPr>
          <w:rFonts w:hint="eastAsia" w:asciiTheme="minorEastAsia" w:hAnsiTheme="minorEastAsia" w:eastAsiaTheme="minorEastAsia" w:cstheme="minorEastAsia"/>
          <w:kern w:val="0"/>
          <w:sz w:val="24"/>
          <w:szCs w:val="24"/>
        </w:rPr>
        <w:t xml:space="preserve">）投标文件存在虚假材料的；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八</w:t>
      </w:r>
      <w:r>
        <w:rPr>
          <w:rFonts w:hint="eastAsia" w:asciiTheme="minorEastAsia" w:hAnsiTheme="minorEastAsia" w:eastAsiaTheme="minorEastAsia" w:cstheme="minorEastAsia"/>
          <w:kern w:val="0"/>
          <w:sz w:val="24"/>
          <w:szCs w:val="24"/>
        </w:rPr>
        <w:t>）有中华人民共和国财政部令第87号《政府采购货物和服务招标投标管理办法》第三十七条情形之一的，视为投标人串通投标，其投标无效，并移送采购监管部门：</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1.不同投标人的投标文件由同一单位或者个人编制；</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2.不同投标人委托同一单位或者个人办理投标事宜；</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3.不同投标人的投标文件载明的项目管理成员或者联系人员为同一人；</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4.不同投标人的投标文件异常一致或者投标报价呈规律性差异；</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5.不同投标人的投标文件相互混装。</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（九）实质性要求（采购文件中打“▲”内容）不响应的或响应不符合要求的；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（十）商务条款不响应的；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（十一）投标文件有效期不足的；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（十二）逾期或未按要求提交投标文件的；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（十三）其他</w:t>
      </w:r>
      <w:r>
        <w:rPr>
          <w:rFonts w:hint="eastAsia" w:asciiTheme="minorEastAsia" w:hAnsiTheme="minorEastAsia" w:eastAsiaTheme="minorEastAsia" w:cstheme="minorEastAsia"/>
          <w:kern w:val="2"/>
          <w:sz w:val="24"/>
          <w:szCs w:val="24"/>
          <w:lang w:val="en-US" w:eastAsia="zh-CN" w:bidi="ar-SA"/>
        </w:rPr>
        <w:t>不符合法律法规相关规定的。</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五、废标情形</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（一）出现影响采购公正的违法、违规行为的；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（二）评标委员会发现采购文件存在歧义、重大缺陷导致评标工作无法进行，或者采购文件内容违反国家有关强制性规定的；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（三）因重大变故，采购任务取消的；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（四）法律、法规和采购文件规定的其他导致评标结果无效的。</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六、评标过程的监控</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七、评标程序</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（一）资格审查</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eastAsia="宋体" w:cs="Times New Roman"/>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投标文件解密后，采购人或采购组织机构依法对投标人的资格进行审查，对审查发现无效的进行必要的</w:t>
      </w:r>
      <w:r>
        <w:rPr>
          <w:rFonts w:hint="eastAsia" w:asciiTheme="minorEastAsia" w:hAnsiTheme="minorEastAsia" w:eastAsiaTheme="minorEastAsia" w:cstheme="minorEastAsia"/>
          <w:color w:val="000000"/>
          <w:kern w:val="2"/>
          <w:sz w:val="24"/>
          <w:szCs w:val="24"/>
          <w:lang w:val="en-US" w:eastAsia="zh-CN" w:bidi="ar-SA"/>
        </w:rPr>
        <w:t>询问，</w:t>
      </w:r>
      <w:r>
        <w:rPr>
          <w:rFonts w:hint="eastAsia" w:asciiTheme="minorEastAsia" w:hAnsiTheme="minorEastAsia" w:eastAsiaTheme="minorEastAsia" w:cstheme="minorEastAsia"/>
          <w:kern w:val="2"/>
          <w:sz w:val="24"/>
          <w:szCs w:val="24"/>
          <w:lang w:val="en-US" w:eastAsia="zh-CN" w:bidi="ar-SA"/>
        </w:rPr>
        <w:t>在台州湾新区小额工程电子交易平台公布无效投标的投标人名单、投标无效的原因。</w:t>
      </w:r>
    </w:p>
    <w:tbl>
      <w:tblPr>
        <w:tblStyle w:val="25"/>
        <w:tblpPr w:bottomFromText="170" w:vertAnchor="text" w:tblpXSpec="center" w:tblpY="1"/>
        <w:tblOverlap w:val="never"/>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8"/>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具有独立承担民事责任的能力</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有依法缴纳税收和社会保障资金的良好记录</w:t>
            </w:r>
          </w:p>
        </w:tc>
        <w:tc>
          <w:tcPr>
            <w:tcW w:w="6626" w:type="dxa"/>
            <w:vMerge w:val="restart"/>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SA"/>
              </w:rPr>
              <w:t>符合资格条件的声明函或同时提供以下四项相关材料：①财务状况报告；②依法缴纳税收；③依法缴纳社会保障资金；④具备履行合同所必需的设备和专业技术能力的证明材料。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具有良好的商业信誉和健全的财务会计制度</w:t>
            </w:r>
          </w:p>
        </w:tc>
        <w:tc>
          <w:tcPr>
            <w:tcW w:w="6626" w:type="dxa"/>
            <w:vMerge w:val="continue"/>
            <w:shd w:val="clear" w:color="auto" w:fill="auto"/>
            <w:tcMar>
              <w:top w:w="57" w:type="dxa"/>
              <w:left w:w="108" w:type="dxa"/>
              <w:bottom w:w="0" w:type="dxa"/>
              <w:right w:w="108" w:type="dxa"/>
            </w:tcMar>
            <w:vAlign w:val="center"/>
          </w:tcPr>
          <w:p>
            <w:pPr>
              <w:widowControl w:val="0"/>
              <w:spacing w:before="117"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履行合同所必需的设备和专业技术能力</w:t>
            </w:r>
          </w:p>
        </w:tc>
        <w:tc>
          <w:tcPr>
            <w:tcW w:w="6626" w:type="dxa"/>
            <w:vMerge w:val="continue"/>
            <w:shd w:val="clear" w:color="auto" w:fill="auto"/>
            <w:tcMar>
              <w:top w:w="57" w:type="dxa"/>
              <w:left w:w="108" w:type="dxa"/>
              <w:bottom w:w="0" w:type="dxa"/>
              <w:right w:w="108" w:type="dxa"/>
            </w:tcMar>
            <w:vAlign w:val="center"/>
          </w:tcPr>
          <w:p>
            <w:pPr>
              <w:widowControl w:val="0"/>
              <w:spacing w:before="1"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2"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参加采购活动前3年内，在经营活动中没有重大违法记录</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信用记录</w:t>
            </w:r>
          </w:p>
        </w:tc>
        <w:tc>
          <w:tcPr>
            <w:tcW w:w="6626" w:type="dxa"/>
            <w:shd w:val="clear" w:color="auto" w:fill="auto"/>
            <w:tcMar>
              <w:top w:w="57" w:type="dxa"/>
              <w:left w:w="108" w:type="dxa"/>
              <w:bottom w:w="0" w:type="dxa"/>
              <w:right w:w="108" w:type="dxa"/>
            </w:tcMar>
            <w:vAlign w:val="center"/>
          </w:tcPr>
          <w:p>
            <w:pPr>
              <w:spacing w:line="300" w:lineRule="auto"/>
              <w:ind w:right="-17" w:rightChars="-8"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截止时点：</w:t>
            </w:r>
            <w:r>
              <w:rPr>
                <w:rFonts w:hint="eastAsia" w:ascii="Times New Roman" w:hAnsi="Times New Roman" w:eastAsia="宋体" w:cs="Times New Roman"/>
                <w:szCs w:val="24"/>
              </w:rPr>
              <w:t>开标后评标前</w:t>
            </w:r>
            <w:r>
              <w:rPr>
                <w:rFonts w:ascii="Times New Roman" w:hAnsi="Times New Roman" w:eastAsia="宋体" w:cs="Times New Roman"/>
                <w:szCs w:val="24"/>
              </w:rPr>
              <w:t>。</w:t>
            </w:r>
            <w:r>
              <w:rPr>
                <w:rFonts w:ascii="Times New Roman" w:hAnsi="Times New Roman" w:eastAsia="宋体" w:cs="Times New Roman"/>
                <w:szCs w:val="24"/>
              </w:rPr>
              <w:br w:type="textWrapping"/>
            </w:r>
            <w:r>
              <w:rPr>
                <w:rFonts w:hint="eastAsia" w:ascii="Times New Roman" w:hAnsi="Times New Roman" w:eastAsia="宋体" w:cs="Times New Roman"/>
                <w:szCs w:val="24"/>
              </w:rPr>
              <w:t xml:space="preserve">    </w:t>
            </w:r>
            <w:r>
              <w:rPr>
                <w:rFonts w:hint="eastAsia" w:cs="Times New Roman"/>
                <w:szCs w:val="24"/>
                <w:lang w:val="en-US" w:eastAsia="zh-CN"/>
              </w:rPr>
              <w:t>2</w:t>
            </w:r>
            <w:r>
              <w:rPr>
                <w:rFonts w:hint="eastAsia" w:ascii="Times New Roman" w:hAnsi="Times New Roman" w:eastAsia="宋体" w:cs="Times New Roman"/>
                <w:szCs w:val="24"/>
              </w:rPr>
              <w:t>.</w:t>
            </w:r>
            <w:r>
              <w:rPr>
                <w:rFonts w:ascii="Times New Roman" w:hAnsi="Times New Roman" w:eastAsia="宋体" w:cs="Times New Roman"/>
                <w:szCs w:val="24"/>
              </w:rPr>
              <w:t>使用规则</w:t>
            </w:r>
            <w:r>
              <w:rPr>
                <w:rFonts w:hint="eastAsia" w:ascii="Times New Roman" w:hAnsi="Times New Roman" w:eastAsia="宋体" w:cs="Times New Roman"/>
                <w:szCs w:val="24"/>
              </w:rPr>
              <w:t>：投标人</w:t>
            </w:r>
            <w:r>
              <w:rPr>
                <w:rFonts w:ascii="Times New Roman" w:hAnsi="Times New Roman" w:eastAsia="宋体" w:cs="Times New Roman"/>
                <w:szCs w:val="24"/>
              </w:rPr>
              <w:t>未被列入“信用中国”失信被执行人或</w:t>
            </w:r>
            <w:r>
              <w:rPr>
                <w:rFonts w:hint="eastAsia" w:cs="Times New Roman"/>
                <w:szCs w:val="24"/>
                <w:lang w:eastAsia="zh-CN"/>
              </w:rPr>
              <w:t>重大税收违法失信主体</w:t>
            </w:r>
            <w:r>
              <w:rPr>
                <w:rFonts w:ascii="Times New Roman" w:hAnsi="Times New Roman" w:eastAsia="宋体" w:cs="Times New Roman"/>
                <w:szCs w:val="24"/>
              </w:rPr>
              <w:t>；</w:t>
            </w:r>
            <w:r>
              <w:rPr>
                <w:rFonts w:hint="eastAsia" w:ascii="Times New Roman" w:hAnsi="Times New Roman" w:eastAsia="宋体" w:cs="Times New Roman"/>
                <w:szCs w:val="24"/>
              </w:rPr>
              <w:t>未</w:t>
            </w:r>
            <w:r>
              <w:rPr>
                <w:rFonts w:ascii="Times New Roman" w:hAnsi="Times New Roman" w:eastAsia="宋体" w:cs="Times New Roman"/>
                <w:szCs w:val="24"/>
              </w:rPr>
              <w:t>处于“中国政府采购网”政府采购严重违法失信行为信息记录中的禁止参加政府采购活动期间</w:t>
            </w:r>
            <w:r>
              <w:rPr>
                <w:rFonts w:hint="eastAsia" w:ascii="Times New Roman" w:hAnsi="Times New Roman" w:eastAsia="宋体" w:cs="Times New Roman"/>
                <w:szCs w:val="24"/>
              </w:rPr>
              <w:t>。</w:t>
            </w:r>
          </w:p>
          <w:p>
            <w:pPr>
              <w:spacing w:line="300" w:lineRule="auto"/>
              <w:ind w:left="15" w:leftChars="7" w:right="-17" w:rightChars="-8" w:firstLine="405" w:firstLineChars="192"/>
              <w:rPr>
                <w:rFonts w:hint="default" w:ascii="宋体" w:hAnsi="宋体" w:eastAsia="宋体" w:cs="宋体"/>
                <w:szCs w:val="21"/>
                <w:lang w:val="en-US" w:eastAsia="zh-CN"/>
              </w:rPr>
            </w:pPr>
            <w:r>
              <w:rPr>
                <w:rFonts w:hint="default" w:ascii="宋体" w:hAnsi="宋体" w:eastAsia="宋体" w:cs="宋体"/>
                <w:b/>
                <w:bCs/>
                <w:szCs w:val="21"/>
                <w:lang w:val="en-US" w:eastAsia="zh-CN"/>
              </w:rPr>
              <w:t>注：</w:t>
            </w:r>
            <w:r>
              <w:rPr>
                <w:rFonts w:hint="eastAsia" w:ascii="宋体" w:hAnsi="宋体" w:cs="宋体"/>
                <w:b/>
                <w:bCs/>
                <w:szCs w:val="21"/>
                <w:lang w:val="en-US" w:eastAsia="zh-CN"/>
              </w:rPr>
              <w:t>投标人</w:t>
            </w:r>
            <w:r>
              <w:rPr>
                <w:rFonts w:hint="default" w:ascii="宋体" w:hAnsi="宋体" w:eastAsia="宋体" w:cs="宋体"/>
                <w:b/>
                <w:bCs/>
                <w:szCs w:val="21"/>
                <w:lang w:val="en-US" w:eastAsia="zh-CN"/>
              </w:rPr>
              <w:t>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必须符合法律、行政法规规定的其他条件</w:t>
            </w:r>
          </w:p>
        </w:tc>
        <w:tc>
          <w:tcPr>
            <w:tcW w:w="6626" w:type="dxa"/>
            <w:shd w:val="clear" w:color="auto" w:fill="auto"/>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1.单位负责人为同一人或者存在直接控股、管理关系的不同供应商，不得同时参加本项目投标。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2108" w:type="dxa"/>
            <w:shd w:val="clear" w:color="auto" w:fill="auto"/>
            <w:tcMar>
              <w:top w:w="57" w:type="dxa"/>
              <w:left w:w="108" w:type="dxa"/>
              <w:bottom w:w="0" w:type="dxa"/>
              <w:right w:w="108" w:type="dxa"/>
            </w:tcMar>
            <w:vAlign w:val="center"/>
          </w:tcPr>
          <w:p>
            <w:pPr>
              <w:widowControl w:val="0"/>
              <w:spacing w:before="48"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联合体投标</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特定资质</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具有有效的《食品经营许可证》</w:t>
            </w:r>
          </w:p>
        </w:tc>
      </w:tr>
    </w:tbl>
    <w:p>
      <w:pPr>
        <w:widowControl w:val="0"/>
        <w:spacing w:line="360" w:lineRule="auto"/>
        <w:ind w:firstLine="482" w:firstLineChars="200"/>
        <w:jc w:val="left"/>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w:t>
      </w:r>
      <w:r>
        <w:rPr>
          <w:rFonts w:ascii="宋体" w:hAnsi="宋体" w:eastAsia="宋体" w:cs="Times New Roman"/>
          <w:b/>
          <w:bCs/>
          <w:kern w:val="2"/>
          <w:sz w:val="24"/>
          <w:szCs w:val="24"/>
          <w:lang w:val="en-US" w:eastAsia="zh-CN" w:bidi="ar-SA"/>
        </w:rPr>
        <w:t>符合性审查</w:t>
      </w:r>
    </w:p>
    <w:p>
      <w:pPr>
        <w:widowControl w:val="0"/>
        <w:spacing w:line="360" w:lineRule="auto"/>
        <w:ind w:firstLine="480" w:firstLineChars="200"/>
        <w:jc w:val="left"/>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评标委员会应当对符合资格的投标人的投标文件进行符合性审查，以确定其是否满足</w:t>
      </w:r>
      <w:r>
        <w:rPr>
          <w:rFonts w:hint="eastAsia" w:ascii="宋体" w:hAnsi="宋体" w:cs="Times New Roman"/>
          <w:kern w:val="2"/>
          <w:sz w:val="24"/>
          <w:szCs w:val="24"/>
          <w:lang w:val="en-US" w:eastAsia="zh-CN" w:bidi="ar-SA"/>
        </w:rPr>
        <w:t>采购文件</w:t>
      </w:r>
      <w:r>
        <w:rPr>
          <w:rFonts w:ascii="宋体" w:hAnsi="宋体" w:eastAsia="宋体" w:cs="Times New Roman"/>
          <w:kern w:val="2"/>
          <w:sz w:val="24"/>
          <w:szCs w:val="24"/>
          <w:lang w:val="en-US" w:eastAsia="zh-CN" w:bidi="ar-SA"/>
        </w:rPr>
        <w:t>的实质性要求，对审查发现无效的进行必要的</w:t>
      </w:r>
      <w:r>
        <w:rPr>
          <w:rFonts w:hint="eastAsia" w:ascii="宋体" w:hAnsi="宋体" w:eastAsia="宋体" w:cs="Times New Roman"/>
          <w:kern w:val="2"/>
          <w:sz w:val="24"/>
          <w:szCs w:val="24"/>
          <w:lang w:val="en-US" w:eastAsia="zh-CN" w:bidi="ar-SA"/>
        </w:rPr>
        <w:t>询问</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在</w:t>
      </w:r>
      <w:r>
        <w:rPr>
          <w:rFonts w:hint="eastAsia" w:ascii="宋体" w:hAnsi="宋体" w:cs="宋体"/>
          <w:kern w:val="2"/>
          <w:sz w:val="24"/>
          <w:szCs w:val="24"/>
          <w:lang w:val="en-US" w:eastAsia="zh-CN" w:bidi="ar-SA"/>
        </w:rPr>
        <w:t>台州湾新区小额工程电子交易平台</w:t>
      </w:r>
      <w:r>
        <w:rPr>
          <w:rFonts w:hint="eastAsia" w:ascii="宋体" w:hAnsi="宋体" w:eastAsia="宋体" w:cs="宋体"/>
          <w:kern w:val="2"/>
          <w:sz w:val="24"/>
          <w:szCs w:val="24"/>
          <w:lang w:val="en-US" w:eastAsia="zh-CN" w:bidi="ar-SA"/>
        </w:rPr>
        <w:t>公布无效投标的投标人名单、投标无效的原因</w:t>
      </w:r>
      <w:r>
        <w:rPr>
          <w:rFonts w:hint="eastAsia" w:ascii="宋体" w:hAnsi="宋体" w:eastAsia="宋体" w:cs="Times New Roman"/>
          <w:kern w:val="2"/>
          <w:sz w:val="24"/>
          <w:szCs w:val="24"/>
          <w:lang w:val="en-US" w:eastAsia="zh-CN" w:bidi="ar-SA"/>
        </w:rPr>
        <w:t>。</w:t>
      </w:r>
    </w:p>
    <w:tbl>
      <w:tblPr>
        <w:tblStyle w:val="25"/>
        <w:tblpPr w:leftFromText="181" w:rightFromText="181" w:bottomFromText="170" w:vertAnchor="text" w:tblpXSpec="center" w:tblpY="1"/>
        <w:tblOverlap w:val="never"/>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“▲”实质性条款</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“▲”实质性条款必须满足</w:t>
            </w:r>
            <w:r>
              <w:rPr>
                <w:rFonts w:hint="eastAsia" w:cs="Times New Roman"/>
                <w:kern w:val="2"/>
                <w:sz w:val="21"/>
                <w:szCs w:val="24"/>
                <w:lang w:val="en-US" w:eastAsia="zh-CN" w:bidi="ar-SA"/>
              </w:rPr>
              <w:t>采购文件</w:t>
            </w:r>
            <w:r>
              <w:rPr>
                <w:rFonts w:hint="eastAsia" w:ascii="Times New Roman" w:hAnsi="Times New Roman" w:eastAsia="宋体" w:cs="Times New Roman"/>
                <w:kern w:val="2"/>
                <w:sz w:val="21"/>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串通投标</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附加条件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不存在</w:t>
            </w:r>
            <w:r>
              <w:rPr>
                <w:rFonts w:hint="eastAsia" w:cs="Times New Roman"/>
                <w:kern w:val="2"/>
                <w:sz w:val="21"/>
                <w:szCs w:val="24"/>
                <w:lang w:val="en-US" w:eastAsia="zh-CN" w:bidi="ar-SA"/>
              </w:rPr>
              <w:t>采购文件</w:t>
            </w:r>
            <w:r>
              <w:rPr>
                <w:rFonts w:hint="eastAsia" w:ascii="Times New Roman" w:hAnsi="Times New Roman" w:eastAsia="宋体" w:cs="Times New Roman"/>
                <w:kern w:val="2"/>
                <w:sz w:val="21"/>
                <w:szCs w:val="24"/>
                <w:lang w:val="en-US" w:eastAsia="zh-CN" w:bidi="ar-SA"/>
              </w:rPr>
              <w:t>规定的其他无效情形。</w:t>
            </w:r>
          </w:p>
        </w:tc>
      </w:tr>
    </w:tbl>
    <w:p>
      <w:pPr>
        <w:widowControl/>
        <w:spacing w:before="0" w:beforeAutospacing="0" w:after="0" w:afterAutospacing="0" w:line="360" w:lineRule="auto"/>
        <w:ind w:firstLine="482" w:firstLineChars="200"/>
        <w:jc w:val="both"/>
        <w:rPr>
          <w:rFonts w:hint="default" w:ascii="宋体" w:hAnsi="宋体" w:eastAsia="宋体" w:cs="Times New Roman"/>
          <w:kern w:val="0"/>
          <w:sz w:val="24"/>
          <w:szCs w:val="24"/>
          <w:lang w:val="en-US" w:eastAsia="zh-CN" w:bidi="ar-SA"/>
        </w:rPr>
      </w:pPr>
      <w:r>
        <w:rPr>
          <w:rFonts w:hint="eastAsia" w:ascii="宋体" w:hAnsi="宋体" w:eastAsia="宋体" w:cs="Times New Roman"/>
          <w:b/>
          <w:bCs/>
          <w:kern w:val="0"/>
          <w:sz w:val="24"/>
          <w:szCs w:val="24"/>
          <w:lang w:val="en-US" w:eastAsia="zh-CN" w:bidi="ar-SA"/>
        </w:rPr>
        <w:t>（三）</w:t>
      </w:r>
      <w:r>
        <w:rPr>
          <w:rFonts w:hint="eastAsia" w:ascii="Arial" w:hAnsi="Arial" w:eastAsia="宋体" w:cs="Arial"/>
          <w:b/>
          <w:bCs/>
          <w:kern w:val="0"/>
          <w:sz w:val="24"/>
          <w:szCs w:val="24"/>
          <w:lang w:val="en-US" w:eastAsia="zh-CN" w:bidi="ar-SA"/>
        </w:rPr>
        <w:t>商务技术及价格评审</w:t>
      </w:r>
    </w:p>
    <w:p>
      <w:pPr>
        <w:autoSpaceDE w:val="0"/>
        <w:autoSpaceDN w:val="0"/>
        <w:spacing w:line="360" w:lineRule="auto"/>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评标方法为综合评分法，总计100分，评标按以下标准及要求进行：</w:t>
      </w:r>
    </w:p>
    <w:p>
      <w:pPr>
        <w:numPr>
          <w:ilvl w:val="0"/>
          <w:numId w:val="0"/>
        </w:numPr>
        <w:autoSpaceDE w:val="0"/>
        <w:autoSpaceDN w:val="0"/>
        <w:adjustRightInd w:val="0"/>
        <w:spacing w:line="360" w:lineRule="auto"/>
        <w:ind w:right="85" w:rightChars="0" w:firstLine="482" w:firstLineChars="200"/>
        <w:rPr>
          <w:rFonts w:ascii="Times New Roman" w:hAnsi="Times New Roman" w:eastAsia="宋体" w:cs="Times New Roman"/>
          <w:szCs w:val="24"/>
        </w:rPr>
      </w:pPr>
      <w:r>
        <w:rPr>
          <w:rFonts w:hint="eastAsia" w:ascii="宋体" w:cs="Times New Roman"/>
          <w:b/>
          <w:bCs/>
          <w:sz w:val="24"/>
          <w:szCs w:val="24"/>
          <w:lang w:val="en-US" w:eastAsia="zh-CN"/>
        </w:rPr>
        <w:t>1.</w:t>
      </w:r>
      <w:r>
        <w:rPr>
          <w:rFonts w:hint="eastAsia" w:ascii="宋体" w:hAnsi="Times New Roman" w:eastAsia="宋体" w:cs="Times New Roman"/>
          <w:b/>
          <w:bCs/>
          <w:sz w:val="24"/>
          <w:szCs w:val="24"/>
        </w:rPr>
        <w:t>评分标准</w:t>
      </w:r>
    </w:p>
    <w:tbl>
      <w:tblPr>
        <w:tblStyle w:val="25"/>
        <w:tblW w:w="100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8445"/>
        <w:gridCol w:w="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blHeader/>
          <w:jc w:val="center"/>
        </w:trPr>
        <w:tc>
          <w:tcPr>
            <w:tcW w:w="827" w:type="dxa"/>
            <w:tcBorders>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w:t>
            </w:r>
          </w:p>
          <w:p>
            <w:pPr>
              <w:widowControl/>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项目</w:t>
            </w:r>
          </w:p>
        </w:tc>
        <w:tc>
          <w:tcPr>
            <w:tcW w:w="8445" w:type="dxa"/>
            <w:tcBorders>
              <w:left w:val="single" w:color="auto" w:sz="4" w:space="0"/>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c>
          <w:tcPr>
            <w:tcW w:w="750" w:type="dxa"/>
            <w:tcBorders>
              <w:left w:val="single" w:color="auto" w:sz="4" w:space="0"/>
              <w:bottom w:val="single" w:color="auto" w:sz="4" w:space="0"/>
            </w:tcBorders>
            <w:shd w:val="pct20" w:color="auto" w:fill="auto"/>
            <w:noWrap w:val="0"/>
            <w:vAlign w:val="center"/>
          </w:tcPr>
          <w:p>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1"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投标人20</w:t>
            </w:r>
            <w:r>
              <w:rPr>
                <w:rFonts w:hint="eastAsia" w:ascii="宋体" w:hAnsi="宋体" w:cs="宋体"/>
                <w:b w:val="0"/>
                <w:bCs/>
                <w:color w:val="auto"/>
                <w:szCs w:val="21"/>
                <w:highlight w:val="none"/>
                <w:lang w:val="en-US" w:eastAsia="zh-CN"/>
              </w:rPr>
              <w:t>19</w:t>
            </w:r>
            <w:r>
              <w:rPr>
                <w:rFonts w:hint="eastAsia" w:ascii="宋体" w:hAnsi="宋体" w:eastAsia="宋体" w:cs="宋体"/>
                <w:b w:val="0"/>
                <w:bCs/>
                <w:color w:val="auto"/>
                <w:szCs w:val="21"/>
                <w:highlight w:val="none"/>
                <w:lang w:val="en-US" w:eastAsia="zh-CN"/>
              </w:rPr>
              <w:t>年1月1日至招标公告发布之日（以合同签订时间为准）承担过本项目类似项目业绩的，每提供一个业绩的得</w:t>
            </w:r>
            <w:r>
              <w:rPr>
                <w:rFonts w:hint="eastAsia" w:ascii="宋体" w:hAnsi="宋体" w:cs="宋体"/>
                <w:b w:val="0"/>
                <w:bCs/>
                <w:color w:val="auto"/>
                <w:szCs w:val="21"/>
                <w:highlight w:val="none"/>
                <w:lang w:val="en-US" w:eastAsia="zh-CN"/>
              </w:rPr>
              <w:t>0.5</w:t>
            </w:r>
            <w:r>
              <w:rPr>
                <w:rFonts w:hint="eastAsia" w:ascii="宋体" w:hAnsi="宋体" w:eastAsia="宋体" w:cs="宋体"/>
                <w:b w:val="0"/>
                <w:bCs/>
                <w:color w:val="auto"/>
                <w:szCs w:val="21"/>
                <w:highlight w:val="none"/>
                <w:lang w:val="en-US" w:eastAsia="zh-CN"/>
              </w:rPr>
              <w:t>分，本项最多得</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lang w:eastAsia="zh-CN"/>
              </w:rPr>
            </w:pPr>
            <w:r>
              <w:rPr>
                <w:rFonts w:hint="eastAsia" w:ascii="宋体" w:hAnsi="宋体" w:eastAsia="宋体" w:cs="宋体"/>
                <w:b/>
                <w:bCs w:val="0"/>
                <w:color w:val="auto"/>
                <w:szCs w:val="21"/>
                <w:highlight w:val="none"/>
                <w:lang w:val="en-US" w:eastAsia="zh-CN"/>
              </w:rPr>
              <w:t>注：上述评分项合同</w:t>
            </w:r>
            <w:r>
              <w:rPr>
                <w:rFonts w:hint="eastAsia" w:ascii="宋体" w:hAnsi="宋体" w:cs="宋体"/>
                <w:b/>
                <w:bCs w:val="0"/>
                <w:color w:val="auto"/>
                <w:szCs w:val="21"/>
                <w:highlight w:val="none"/>
                <w:lang w:val="en-US" w:eastAsia="zh-CN"/>
              </w:rPr>
              <w:t>原件</w:t>
            </w:r>
            <w:r>
              <w:rPr>
                <w:rFonts w:hint="eastAsia" w:ascii="宋体" w:hAnsi="宋体" w:eastAsia="宋体" w:cs="宋体"/>
                <w:b/>
                <w:bCs w:val="0"/>
                <w:color w:val="auto"/>
                <w:szCs w:val="21"/>
                <w:highlight w:val="none"/>
                <w:lang w:val="en-US" w:eastAsia="zh-CN"/>
              </w:rPr>
              <w:t>扫描件加盖</w:t>
            </w:r>
            <w:r>
              <w:rPr>
                <w:rFonts w:hint="eastAsia" w:ascii="宋体" w:hAnsi="宋体" w:cs="宋体"/>
                <w:b/>
                <w:bCs w:val="0"/>
                <w:color w:val="auto"/>
                <w:szCs w:val="21"/>
                <w:highlight w:val="none"/>
                <w:lang w:val="en-US" w:eastAsia="zh-CN"/>
              </w:rPr>
              <w:t>投标人</w:t>
            </w:r>
            <w:r>
              <w:rPr>
                <w:rFonts w:hint="eastAsia" w:ascii="宋体" w:hAnsi="宋体" w:eastAsia="宋体" w:cs="宋体"/>
                <w:b/>
                <w:bCs w:val="0"/>
                <w:color w:val="auto"/>
                <w:szCs w:val="21"/>
                <w:highlight w:val="none"/>
                <w:lang w:val="en-US" w:eastAsia="zh-CN"/>
              </w:rPr>
              <w:t>公章编入投标文件，未提供不得分。若投标人提供2份及以上合同，合同业主、项目名称均相同又分多个年份签订的，按一个业绩计算。</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认证证书</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以下体系认证证书</w:t>
            </w:r>
            <w:r>
              <w:rPr>
                <w:rFonts w:hint="eastAsia" w:ascii="宋体" w:hAnsi="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ISO质量管理体系认证；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（2）ISO环境管理体系认证</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（3）ISO职业健康安全管理体系认证</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每提供其中一个证书得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本项最多</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val="en-US" w:eastAsia="zh-CN"/>
              </w:rPr>
              <w:t>上述评分项</w:t>
            </w:r>
            <w:r>
              <w:rPr>
                <w:rFonts w:hint="eastAsia" w:ascii="宋体" w:hAnsi="宋体" w:cs="宋体"/>
                <w:b/>
                <w:color w:val="auto"/>
                <w:szCs w:val="21"/>
                <w:highlight w:val="none"/>
                <w:lang w:val="en-US" w:eastAsia="zh-CN"/>
              </w:rPr>
              <w:t>有效</w:t>
            </w:r>
            <w:r>
              <w:rPr>
                <w:rFonts w:hint="eastAsia" w:ascii="宋体" w:hAnsi="宋体" w:eastAsia="宋体" w:cs="宋体"/>
                <w:b/>
                <w:color w:val="auto"/>
                <w:szCs w:val="21"/>
                <w:highlight w:val="none"/>
                <w:lang w:val="en-US" w:eastAsia="zh-CN"/>
              </w:rPr>
              <w:t>证书原件扫描件</w:t>
            </w:r>
            <w:r>
              <w:rPr>
                <w:rFonts w:hint="eastAsia" w:ascii="宋体" w:hAnsi="宋体" w:cs="宋体"/>
                <w:b/>
                <w:color w:val="auto"/>
                <w:szCs w:val="21"/>
                <w:highlight w:val="none"/>
                <w:lang w:val="en-US" w:eastAsia="zh-CN"/>
              </w:rPr>
              <w:t>及全国认证认可信息公共服务平台(http://cx.cnca.cn/CertECloud/result/skipResultList）查询的证书信息（网页截图）</w:t>
            </w:r>
            <w:r>
              <w:rPr>
                <w:rFonts w:hint="eastAsia" w:ascii="宋体" w:hAnsi="宋体" w:eastAsia="宋体" w:cs="宋体"/>
                <w:b/>
                <w:color w:val="auto"/>
                <w:szCs w:val="21"/>
                <w:highlight w:val="none"/>
                <w:lang w:val="en-US" w:eastAsia="zh-CN"/>
              </w:rPr>
              <w:t>加盖</w:t>
            </w:r>
            <w:r>
              <w:rPr>
                <w:rFonts w:hint="eastAsia" w:ascii="宋体" w:hAnsi="宋体" w:cs="宋体"/>
                <w:b/>
                <w:color w:val="auto"/>
                <w:szCs w:val="21"/>
                <w:highlight w:val="none"/>
                <w:lang w:val="en-US" w:eastAsia="zh-CN"/>
              </w:rPr>
              <w:t>投标人</w:t>
            </w:r>
            <w:r>
              <w:rPr>
                <w:rFonts w:hint="eastAsia" w:ascii="宋体" w:hAnsi="宋体" w:eastAsia="宋体" w:cs="宋体"/>
                <w:b/>
                <w:color w:val="auto"/>
                <w:szCs w:val="21"/>
                <w:highlight w:val="none"/>
                <w:lang w:val="en-US" w:eastAsia="zh-CN"/>
              </w:rPr>
              <w:t>公章编入投标文件</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未提供不得分</w:t>
            </w:r>
            <w:r>
              <w:rPr>
                <w:rFonts w:hint="eastAsia" w:ascii="宋体" w:hAnsi="宋体" w:eastAsia="宋体" w:cs="宋体"/>
                <w:b/>
                <w:color w:val="auto"/>
                <w:szCs w:val="21"/>
                <w:highlight w:val="none"/>
              </w:rPr>
              <w:t>。</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项目人员</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1.拟派本项目的项目负责人，</w:t>
            </w:r>
            <w:r>
              <w:rPr>
                <w:rFonts w:hint="eastAsia" w:ascii="宋体" w:hAnsi="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（1）《高级食品安全员》；</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（2）《高级健康管理师》；</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每提供其中一个证书得</w:t>
            </w:r>
            <w:r>
              <w:rPr>
                <w:rFonts w:hint="eastAsia" w:ascii="宋体" w:hAnsi="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lang w:val="en-US" w:eastAsia="zh-CN"/>
              </w:rPr>
              <w:t>分，本子项最多得</w:t>
            </w: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2.拟派本项目的</w:t>
            </w:r>
            <w:r>
              <w:rPr>
                <w:rFonts w:hint="eastAsia" w:ascii="宋体" w:hAnsi="宋体" w:cs="宋体"/>
                <w:b w:val="0"/>
                <w:bCs w:val="0"/>
                <w:color w:val="auto"/>
                <w:kern w:val="0"/>
                <w:szCs w:val="21"/>
                <w:highlight w:val="none"/>
                <w:lang w:val="en-US" w:eastAsia="zh-CN"/>
              </w:rPr>
              <w:t>厨师长</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lang w:val="en-US" w:eastAsia="zh-CN"/>
              </w:rPr>
              <w:t>《中式烹饪师高级</w:t>
            </w:r>
            <w:r>
              <w:rPr>
                <w:rFonts w:hint="eastAsia" w:ascii="宋体" w:hAnsi="宋体" w:cs="宋体"/>
                <w:b w:val="0"/>
                <w:bCs w:val="0"/>
                <w:color w:val="auto"/>
                <w:kern w:val="0"/>
                <w:szCs w:val="21"/>
                <w:highlight w:val="none"/>
                <w:lang w:val="en-US" w:eastAsia="zh-CN"/>
              </w:rPr>
              <w:t>技师</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（2）《中式面点师》；</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每提供其中一个证书得2分，本子项最多得4分。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3.拟派本项目的</w:t>
            </w:r>
            <w:r>
              <w:rPr>
                <w:rFonts w:hint="eastAsia" w:ascii="宋体" w:hAnsi="宋体" w:cs="宋体"/>
                <w:b w:val="0"/>
                <w:bCs w:val="0"/>
                <w:color w:val="auto"/>
                <w:kern w:val="0"/>
                <w:szCs w:val="21"/>
                <w:highlight w:val="none"/>
                <w:lang w:val="en-US" w:eastAsia="zh-CN"/>
              </w:rPr>
              <w:t>副厨师</w:t>
            </w:r>
            <w:r>
              <w:rPr>
                <w:rFonts w:hint="eastAsia" w:ascii="宋体" w:hAnsi="宋体" w:eastAsia="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r>
              <w:rPr>
                <w:rFonts w:hint="eastAsia" w:ascii="宋体" w:hAnsi="宋体" w:cs="宋体"/>
                <w:b w:val="0"/>
                <w:bCs w:val="0"/>
                <w:color w:val="auto"/>
                <w:kern w:val="0"/>
                <w:szCs w:val="21"/>
                <w:highlight w:val="none"/>
                <w:lang w:val="en-US" w:eastAsia="zh-CN"/>
              </w:rPr>
              <w:t>《中式烹调师》</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w:t>
            </w:r>
            <w:r>
              <w:rPr>
                <w:rFonts w:hint="eastAsia" w:ascii="宋体" w:hAnsi="宋体" w:cs="宋体"/>
                <w:b w:val="0"/>
                <w:bCs w:val="0"/>
                <w:color w:val="auto"/>
                <w:kern w:val="0"/>
                <w:szCs w:val="21"/>
                <w:highlight w:val="none"/>
                <w:lang w:val="en-US" w:eastAsia="zh-CN"/>
              </w:rPr>
              <w:t>《面点师》</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每提供其中一个证书得</w:t>
            </w:r>
            <w:r>
              <w:rPr>
                <w:rFonts w:hint="eastAsia" w:ascii="宋体" w:hAnsi="宋体" w:cs="宋体"/>
                <w:b w:val="0"/>
                <w:bCs w:val="0"/>
                <w:color w:val="auto"/>
                <w:kern w:val="0"/>
                <w:szCs w:val="21"/>
                <w:highlight w:val="none"/>
                <w:lang w:val="en-US" w:eastAsia="zh-CN"/>
              </w:rPr>
              <w:t>2</w:t>
            </w:r>
            <w:r>
              <w:rPr>
                <w:rFonts w:hint="default" w:ascii="宋体" w:hAnsi="宋体" w:eastAsia="宋体" w:cs="宋体"/>
                <w:b w:val="0"/>
                <w:bCs w:val="0"/>
                <w:color w:val="auto"/>
                <w:kern w:val="0"/>
                <w:szCs w:val="21"/>
                <w:highlight w:val="none"/>
                <w:lang w:val="en-US" w:eastAsia="zh-CN"/>
              </w:rPr>
              <w:t>分，本</w:t>
            </w:r>
            <w:r>
              <w:rPr>
                <w:rFonts w:hint="eastAsia" w:ascii="宋体" w:hAnsi="宋体" w:eastAsia="宋体" w:cs="宋体"/>
                <w:b w:val="0"/>
                <w:bCs w:val="0"/>
                <w:color w:val="auto"/>
                <w:kern w:val="0"/>
                <w:szCs w:val="21"/>
                <w:highlight w:val="none"/>
                <w:lang w:val="en-US" w:eastAsia="zh-CN"/>
              </w:rPr>
              <w:t>子</w:t>
            </w:r>
            <w:r>
              <w:rPr>
                <w:rFonts w:hint="default" w:ascii="宋体" w:hAnsi="宋体" w:eastAsia="宋体" w:cs="宋体"/>
                <w:b w:val="0"/>
                <w:bCs w:val="0"/>
                <w:color w:val="auto"/>
                <w:kern w:val="0"/>
                <w:szCs w:val="21"/>
                <w:highlight w:val="none"/>
                <w:lang w:val="en-US" w:eastAsia="zh-CN"/>
              </w:rPr>
              <w:t>项最多得</w:t>
            </w:r>
            <w:r>
              <w:rPr>
                <w:rFonts w:hint="eastAsia" w:ascii="宋体" w:hAnsi="宋体" w:cs="宋体"/>
                <w:b w:val="0"/>
                <w:bCs w:val="0"/>
                <w:color w:val="auto"/>
                <w:kern w:val="0"/>
                <w:szCs w:val="21"/>
                <w:highlight w:val="none"/>
                <w:lang w:val="en-US" w:eastAsia="zh-CN"/>
              </w:rPr>
              <w:t>4</w:t>
            </w:r>
            <w:r>
              <w:rPr>
                <w:rFonts w:hint="default" w:ascii="宋体" w:hAnsi="宋体" w:eastAsia="宋体" w:cs="宋体"/>
                <w:b w:val="0"/>
                <w:bCs w:val="0"/>
                <w:color w:val="auto"/>
                <w:kern w:val="0"/>
                <w:szCs w:val="21"/>
                <w:highlight w:val="none"/>
                <w:lang w:val="en-US" w:eastAsia="zh-CN"/>
              </w:rPr>
              <w:t>分</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eastAsia="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eastAsia="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eastAsia="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eastAsia="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eastAsia="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项目整体实施方案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投标人结合本项目采购需求，就如何完成本项目各项任务的具体实施方案（包含但不限于项目组织机构、服务理念、实现目标、服务总体构想、服务过程跟踪、服务质量反馈、服务流程后续跟踪有无具体措施、验收标准、考核方案、考核反馈、实施流程、质量控制、绩效分配、食堂环境卫生管理、消防安全管理、餐饮服务食品安全管理五常法落实、原材料检验使用、食材制作烹饪、食品质量控制、食品保存管理流程</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运行成本管理、安全管理等内容）、工作方法的可行性、科学性、</w:t>
            </w:r>
            <w:r>
              <w:rPr>
                <w:rFonts w:hint="eastAsia" w:ascii="宋体" w:hAnsi="宋体" w:cs="宋体"/>
                <w:b w:val="0"/>
                <w:bCs w:val="0"/>
                <w:color w:val="auto"/>
                <w:kern w:val="0"/>
                <w:szCs w:val="21"/>
                <w:highlight w:val="none"/>
                <w:lang w:val="en-US" w:eastAsia="zh-CN"/>
              </w:rPr>
              <w:t>合理性、规范性、</w:t>
            </w:r>
            <w:r>
              <w:rPr>
                <w:rFonts w:hint="eastAsia" w:ascii="宋体" w:hAnsi="宋体" w:eastAsia="宋体" w:cs="宋体"/>
                <w:b w:val="0"/>
                <w:bCs w:val="0"/>
                <w:color w:val="auto"/>
                <w:kern w:val="0"/>
                <w:szCs w:val="21"/>
                <w:highlight w:val="none"/>
                <w:lang w:val="en-US" w:eastAsia="zh-CN"/>
              </w:rPr>
              <w:t>可操作性</w:t>
            </w:r>
            <w:r>
              <w:rPr>
                <w:rFonts w:hint="eastAsia" w:ascii="宋体" w:hAnsi="宋体" w:cs="宋体"/>
                <w:b w:val="0"/>
                <w:bCs w:val="0"/>
                <w:color w:val="auto"/>
                <w:kern w:val="0"/>
                <w:szCs w:val="21"/>
                <w:highlight w:val="none"/>
                <w:lang w:val="en-US" w:eastAsia="zh-CN"/>
              </w:rPr>
              <w:t>、针对性</w:t>
            </w:r>
            <w:r>
              <w:rPr>
                <w:rFonts w:hint="eastAsia" w:ascii="宋体" w:hAnsi="宋体" w:eastAsia="宋体" w:cs="宋体"/>
                <w:b w:val="0"/>
                <w:bCs w:val="0"/>
                <w:color w:val="auto"/>
                <w:kern w:val="0"/>
                <w:szCs w:val="21"/>
                <w:highlight w:val="none"/>
                <w:lang w:val="en-US" w:eastAsia="zh-CN"/>
              </w:rPr>
              <w:t>等进行</w:t>
            </w:r>
            <w:r>
              <w:rPr>
                <w:rFonts w:hint="eastAsia" w:ascii="宋体" w:hAnsi="宋体" w:cs="宋体"/>
                <w:b w:val="0"/>
                <w:bCs w:val="0"/>
                <w:color w:val="auto"/>
                <w:kern w:val="0"/>
                <w:szCs w:val="21"/>
                <w:highlight w:val="none"/>
                <w:lang w:val="en-US" w:eastAsia="zh-CN"/>
              </w:rPr>
              <w:t>评分</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①对食堂托管及劳务外包服务有深刻的认识，熟悉台州市云湖小学食堂现状及存在问题，有较好的技术积累，有较好的适用性，能拿出针对性的解决方案；详尽的描述了本项目中各项任务的实施方案，且实施方案贴合本项目的实际，能够充分保障项目的顺利实施，可行性、科学性、可操作性强，有针对性，得</w:t>
            </w:r>
            <w:r>
              <w:rPr>
                <w:rFonts w:hint="eastAsia" w:ascii="宋体" w:hAnsi="宋体" w:cs="宋体"/>
                <w:b w:val="0"/>
                <w:bCs w:val="0"/>
                <w:color w:val="auto"/>
                <w:kern w:val="0"/>
                <w:szCs w:val="21"/>
                <w:highlight w:val="none"/>
                <w:lang w:val="en-US" w:eastAsia="zh-CN"/>
              </w:rPr>
              <w:t>24</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18</w:t>
            </w:r>
            <w:r>
              <w:rPr>
                <w:rFonts w:hint="eastAsia" w:ascii="宋体" w:hAnsi="宋体" w:eastAsia="宋体" w:cs="宋体"/>
                <w:b w:val="0"/>
                <w:bCs w:val="0"/>
                <w:color w:val="auto"/>
                <w:kern w:val="0"/>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②对食堂托管及劳务外包服务有较强的认识，熟悉台州市云湖小学食堂现状及存在问题，有较强的技术积累、适用性，能拿出较强的解决方案；较详尽的描述了本项目中各项任务的实施方案，能够较好地保障项目的顺利实施，可行性、科学性、可操作性、针对性较强，得</w:t>
            </w:r>
            <w:r>
              <w:rPr>
                <w:rFonts w:hint="eastAsia" w:ascii="宋体" w:hAnsi="宋体" w:cs="宋体"/>
                <w:b w:val="0"/>
                <w:bCs w:val="0"/>
                <w:color w:val="auto"/>
                <w:kern w:val="0"/>
                <w:szCs w:val="21"/>
                <w:highlight w:val="none"/>
                <w:lang w:val="en-US" w:eastAsia="zh-CN"/>
              </w:rPr>
              <w:t>18</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③对食堂托管及劳务外包服务有一定的认识，较熟悉台州市云湖小学食堂现状及存在问题，有一定的技术积累，有一定的适用性，能拿出一定的解决方案，但有一定不足，需进一步完善；就如何完成本项目的各项任务均有描述，基本能够保障项目的顺利实施，内容中的方案可行性、科学性、可操作性较普通，针对性欠佳，得</w:t>
            </w:r>
            <w:r>
              <w:rPr>
                <w:rFonts w:hint="eastAsia" w:ascii="宋体" w:hAnsi="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④对食堂托管及劳务外包服务不太了解，技术积累、适用性较差，解决方案偏离较大；就如何完成本项目的各项任务描述不完善，实施方案内容、工作方法不完善，不能很好的针对本项目，得</w:t>
            </w: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lang w:val="en-US" w:eastAsia="zh-CN"/>
              </w:rPr>
              <w:t>-0.1分；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val="0"/>
                <w:bCs w:val="0"/>
                <w:color w:val="auto"/>
                <w:kern w:val="0"/>
                <w:szCs w:val="21"/>
                <w:highlight w:val="none"/>
                <w:lang w:val="en-US" w:eastAsia="zh-CN"/>
              </w:rPr>
              <w:t>⑤方案不合理或未提供的得0分。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食品安全保障方案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制定的食品安全保障方案（食品安全风险分析、食品安全保证体系、食品安全保障措施、食品安全内控机制及能力、食品卫生安全事故处理方法）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①食品安全保障方案科学、合理、完整且可行性、可操作性</w:t>
            </w:r>
            <w:r>
              <w:rPr>
                <w:rFonts w:hint="eastAsia" w:ascii="宋体" w:hAnsi="宋体" w:eastAsia="宋体" w:cs="宋体"/>
                <w:b w:val="0"/>
                <w:bCs/>
                <w:color w:val="auto"/>
                <w:szCs w:val="21"/>
                <w:highlight w:val="none"/>
                <w:lang w:val="en-US" w:eastAsia="zh-CN"/>
              </w:rPr>
              <w:t>、</w:t>
            </w:r>
            <w:r>
              <w:rPr>
                <w:rFonts w:hint="default" w:ascii="宋体" w:hAnsi="宋体" w:eastAsia="宋体" w:cs="宋体"/>
                <w:b w:val="0"/>
                <w:bCs/>
                <w:color w:val="auto"/>
                <w:szCs w:val="21"/>
                <w:highlight w:val="none"/>
                <w:lang w:val="en-US" w:eastAsia="zh-CN"/>
              </w:rPr>
              <w:t>针对性强，食品安全保障方案贴合本项目的实际，能够充分保障项目的</w:t>
            </w:r>
            <w:r>
              <w:rPr>
                <w:rFonts w:hint="eastAsia" w:ascii="宋体" w:hAnsi="宋体" w:eastAsia="宋体" w:cs="宋体"/>
                <w:b w:val="0"/>
                <w:bCs/>
                <w:color w:val="auto"/>
                <w:szCs w:val="21"/>
                <w:highlight w:val="none"/>
                <w:lang w:val="en-US" w:eastAsia="zh-CN"/>
              </w:rPr>
              <w:t>顺利实施</w:t>
            </w:r>
            <w:r>
              <w:rPr>
                <w:rFonts w:hint="default" w:ascii="宋体" w:hAnsi="宋体" w:eastAsia="宋体" w:cs="宋体"/>
                <w:b w:val="0"/>
                <w:bCs/>
                <w:color w:val="auto"/>
                <w:szCs w:val="21"/>
                <w:highlight w:val="none"/>
                <w:lang w:val="en-US" w:eastAsia="zh-CN"/>
              </w:rPr>
              <w:t>，得</w:t>
            </w:r>
            <w:r>
              <w:rPr>
                <w:rFonts w:hint="eastAsia" w:ascii="宋体" w:hAnsi="宋体" w:eastAsia="宋体" w:cs="宋体"/>
                <w:b w:val="0"/>
                <w:bCs/>
                <w:color w:val="auto"/>
                <w:szCs w:val="21"/>
                <w:highlight w:val="none"/>
                <w:lang w:val="en-US" w:eastAsia="zh-CN"/>
              </w:rPr>
              <w:t>10-8.1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②食品安全保障方案基本科学、合理、完整且可行性、可操作性、针对性一般，基本能够保障项目的</w:t>
            </w:r>
            <w:r>
              <w:rPr>
                <w:rFonts w:hint="eastAsia" w:ascii="宋体" w:hAnsi="宋体" w:eastAsia="宋体" w:cs="宋体"/>
                <w:b w:val="0"/>
                <w:bCs/>
                <w:color w:val="auto"/>
                <w:szCs w:val="21"/>
                <w:highlight w:val="none"/>
                <w:lang w:val="en-US" w:eastAsia="zh-CN"/>
              </w:rPr>
              <w:t>顺利实施</w:t>
            </w:r>
            <w:r>
              <w:rPr>
                <w:rFonts w:hint="default" w:ascii="宋体" w:hAnsi="宋体" w:eastAsia="宋体" w:cs="宋体"/>
                <w:b w:val="0"/>
                <w:bCs/>
                <w:color w:val="auto"/>
                <w:szCs w:val="21"/>
                <w:highlight w:val="none"/>
                <w:lang w:val="en-US" w:eastAsia="zh-CN"/>
              </w:rPr>
              <w:t>，但有一定不足，需进一步完善，得</w:t>
            </w:r>
            <w:r>
              <w:rPr>
                <w:rFonts w:hint="eastAsia" w:ascii="宋体" w:hAnsi="宋体" w:eastAsia="宋体" w:cs="宋体"/>
                <w:b w:val="0"/>
                <w:bCs/>
                <w:color w:val="auto"/>
                <w:szCs w:val="21"/>
                <w:highlight w:val="none"/>
                <w:lang w:val="en-US" w:eastAsia="zh-CN"/>
              </w:rPr>
              <w:t>8-4.1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③食品安全保障方案欠科学、合理、完整且可行性、可操作性、针对性欠缺，得</w:t>
            </w:r>
            <w:r>
              <w:rPr>
                <w:rFonts w:hint="eastAsia" w:ascii="宋体" w:hAnsi="宋体" w:eastAsia="宋体" w:cs="宋体"/>
                <w:b w:val="0"/>
                <w:bCs/>
                <w:color w:val="auto"/>
                <w:szCs w:val="21"/>
                <w:highlight w:val="none"/>
                <w:lang w:val="en-US" w:eastAsia="zh-CN"/>
              </w:rPr>
              <w:t>4-0.1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default" w:ascii="宋体" w:hAnsi="宋体" w:eastAsia="宋体" w:cs="宋体"/>
                <w:b w:val="0"/>
                <w:bCs/>
                <w:color w:val="auto"/>
                <w:szCs w:val="21"/>
                <w:highlight w:val="none"/>
                <w:lang w:val="en-US" w:eastAsia="zh-CN"/>
              </w:rPr>
              <w:t>④食品安全保障方案不合理或未提供的得0分。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营养配餐方案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根据投标人结合本项目采购需求制定</w:t>
            </w:r>
            <w:r>
              <w:rPr>
                <w:rFonts w:hint="eastAsia" w:ascii="宋体" w:hAnsi="宋体" w:cs="宋体"/>
                <w:b w:val="0"/>
                <w:bCs/>
                <w:color w:val="auto"/>
                <w:szCs w:val="21"/>
                <w:highlight w:val="none"/>
                <w:lang w:val="en-US" w:eastAsia="zh-CN"/>
              </w:rPr>
              <w:t>的</w:t>
            </w:r>
            <w:r>
              <w:rPr>
                <w:rFonts w:hint="eastAsia" w:ascii="宋体" w:hAnsi="宋体" w:eastAsia="宋体" w:cs="宋体"/>
                <w:b w:val="0"/>
                <w:bCs/>
                <w:color w:val="auto"/>
                <w:szCs w:val="21"/>
                <w:highlight w:val="none"/>
              </w:rPr>
              <w:t>营养配餐方案</w:t>
            </w:r>
            <w:r>
              <w:rPr>
                <w:rFonts w:hint="eastAsia" w:ascii="宋体" w:hAnsi="宋体" w:eastAsia="宋体" w:cs="宋体"/>
                <w:b w:val="0"/>
                <w:bCs/>
                <w:color w:val="auto"/>
                <w:szCs w:val="21"/>
                <w:highlight w:val="none"/>
                <w:lang w:val="en-US" w:eastAsia="zh-CN"/>
              </w:rPr>
              <w:t>进行评分</w:t>
            </w:r>
            <w:r>
              <w:rPr>
                <w:rFonts w:hint="eastAsia" w:ascii="宋体" w:hAnsi="宋体" w:cs="宋体"/>
                <w:b w:val="0"/>
                <w:bCs/>
                <w:color w:val="auto"/>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提供营养配餐方案的得</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分，</w:t>
            </w:r>
            <w:r>
              <w:rPr>
                <w:rFonts w:hint="eastAsia" w:ascii="宋体" w:hAnsi="宋体" w:cs="宋体"/>
                <w:b w:val="0"/>
                <w:bCs/>
                <w:color w:val="auto"/>
                <w:szCs w:val="21"/>
                <w:highlight w:val="none"/>
                <w:lang w:val="en-US" w:eastAsia="zh-CN"/>
              </w:rPr>
              <w:t>未</w:t>
            </w:r>
            <w:r>
              <w:rPr>
                <w:rFonts w:hint="eastAsia" w:ascii="宋体" w:hAnsi="宋体" w:eastAsia="宋体" w:cs="宋体"/>
                <w:b w:val="0"/>
                <w:bCs/>
                <w:color w:val="auto"/>
                <w:szCs w:val="21"/>
                <w:highlight w:val="none"/>
              </w:rPr>
              <w:t>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如未能提供营养配餐方案的，以下评分项不得分</w:t>
            </w:r>
            <w:r>
              <w:rPr>
                <w:rFonts w:hint="eastAsia" w:ascii="宋体" w:hAnsi="宋体" w:cs="宋体"/>
                <w:b w:val="0"/>
                <w:bCs/>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营养配餐方案</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包括食谱计划、菜式搭配等内容</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优于采购需求的得4分，满足采购需求的</w:t>
            </w:r>
            <w:r>
              <w:rPr>
                <w:rFonts w:hint="eastAsia" w:ascii="宋体" w:hAnsi="宋体" w:eastAsia="宋体" w:cs="宋体"/>
                <w:b w:val="0"/>
                <w:bCs/>
                <w:color w:val="auto"/>
                <w:szCs w:val="21"/>
                <w:highlight w:val="none"/>
              </w:rPr>
              <w:t>得</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分</w:t>
            </w:r>
            <w:r>
              <w:rPr>
                <w:rFonts w:hint="eastAsia" w:ascii="宋体" w:hAnsi="宋体" w:cs="宋体"/>
                <w:b w:val="0"/>
                <w:bCs/>
                <w:color w:val="auto"/>
                <w:szCs w:val="21"/>
                <w:highlight w:val="none"/>
                <w:lang w:eastAsia="zh-CN"/>
              </w:rPr>
              <w:t>。</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岗位职责、内部管理、考核制度</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根据投标人结合本项目采购需求及实际情况制定的岗位职责、内部管理制度、内部考核制度是否科学、合理、完整及可行性、可操作性、针对性等进行评分。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①岗位职责、内部管理制度、内部考核制度科学、合理、完整且可行性、可操作性、针对性强，贴合本项目的实际，能够充分保障项目的顺利实施，得</w:t>
            </w:r>
            <w:r>
              <w:rPr>
                <w:rFonts w:hint="eastAsia" w:ascii="宋体" w:hAnsi="宋体" w:cs="宋体"/>
                <w:b w:val="0"/>
                <w:bCs/>
                <w:color w:val="auto"/>
                <w:szCs w:val="21"/>
                <w:highlight w:val="none"/>
                <w:lang w:val="en-US" w:eastAsia="zh-CN"/>
              </w:rPr>
              <w:t>10</w:t>
            </w:r>
            <w:r>
              <w:rPr>
                <w:rFonts w:hint="default"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8</w:t>
            </w:r>
            <w:r>
              <w:rPr>
                <w:rFonts w:hint="default" w:ascii="宋体" w:hAnsi="宋体" w:eastAsia="宋体" w:cs="宋体"/>
                <w:b w:val="0"/>
                <w:bCs/>
                <w:color w:val="auto"/>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②岗位职责、内部管理制度、内部考核制度基本科学、合理、完整且可行性、可操作性、针对性一般，基本能够保障项目的顺利实施，但有一定不足，需进一步完善，得</w:t>
            </w:r>
            <w:r>
              <w:rPr>
                <w:rFonts w:hint="eastAsia" w:ascii="宋体" w:hAnsi="宋体" w:cs="宋体"/>
                <w:b w:val="0"/>
                <w:bCs/>
                <w:color w:val="auto"/>
                <w:szCs w:val="21"/>
                <w:highlight w:val="none"/>
                <w:lang w:val="en-US" w:eastAsia="zh-CN"/>
              </w:rPr>
              <w:t>8</w:t>
            </w:r>
            <w:r>
              <w:rPr>
                <w:rFonts w:hint="default"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4</w:t>
            </w:r>
            <w:r>
              <w:rPr>
                <w:rFonts w:hint="default" w:ascii="宋体" w:hAnsi="宋体" w:eastAsia="宋体" w:cs="宋体"/>
                <w:b w:val="0"/>
                <w:bCs/>
                <w:color w:val="auto"/>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③岗位职责、内部管理制度、内部考核制度欠科学、合理、完整且可行性、可操作性、针对性欠缺，得</w:t>
            </w:r>
            <w:r>
              <w:rPr>
                <w:rFonts w:hint="eastAsia" w:ascii="宋体" w:hAnsi="宋体" w:cs="宋体"/>
                <w:b w:val="0"/>
                <w:bCs/>
                <w:color w:val="auto"/>
                <w:szCs w:val="21"/>
                <w:highlight w:val="none"/>
                <w:lang w:val="en-US" w:eastAsia="zh-CN"/>
              </w:rPr>
              <w:t>4</w:t>
            </w:r>
            <w:r>
              <w:rPr>
                <w:rFonts w:hint="default" w:ascii="宋体" w:hAnsi="宋体" w:eastAsia="宋体" w:cs="宋体"/>
                <w:b w:val="0"/>
                <w:bCs/>
                <w:color w:val="auto"/>
                <w:szCs w:val="21"/>
                <w:highlight w:val="none"/>
                <w:lang w:val="en-US" w:eastAsia="zh-CN"/>
              </w:rPr>
              <w:t>-0.1分；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rPr>
            </w:pPr>
            <w:r>
              <w:rPr>
                <w:rFonts w:hint="default" w:ascii="宋体" w:hAnsi="宋体" w:eastAsia="宋体" w:cs="宋体"/>
                <w:b w:val="0"/>
                <w:bCs/>
                <w:color w:val="auto"/>
                <w:szCs w:val="21"/>
                <w:highlight w:val="none"/>
                <w:lang w:val="en-US" w:eastAsia="zh-CN"/>
              </w:rPr>
              <w:t>④岗位职责、内部管理制度、内部考核制度不合理或未提供的得0分。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重大活动、突发事件应急预案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根据投标人结合本项目采购需求及实际情况制定的重大活动及突发事件应急预案（极端天气应急保障方案、重大疫情期间执行方案、恶性事故应急方案等）是否科学、合理、完整及可行性、针对性进行评分。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①重大活动、突发事件应急预案科学、合理、完整且可行性、针对性强，重大活动、突发事件应急预案贴合本项目的实际，能够充分保障项目的建设实施，得8-6.1分；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②重大活动、突发事件应急预案基本科学、合理、完整且可行性、针对性一般，基本能够保障项目的建设实施，但有一定不足，需进一步完善，得6-3.1分；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③重大活动、突发事件应急预案欠科学、合理、完整且可行性、针对性欠缺，得3-0.1分；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val="0"/>
                <w:bCs/>
                <w:color w:val="auto"/>
                <w:szCs w:val="21"/>
                <w:highlight w:val="none"/>
                <w:lang w:val="en-US" w:eastAsia="zh-CN"/>
              </w:rPr>
              <w:t>④重大活动、突发事件应急预案不合理或未提供的得0分。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827" w:type="dxa"/>
            <w:tcBorders>
              <w:top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价格</w:t>
            </w:r>
          </w:p>
        </w:tc>
        <w:tc>
          <w:tcPr>
            <w:tcW w:w="8445" w:type="dxa"/>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以合格投标人有效投标报价中的最低评标价为评标基准价，最低评标价的投标报价得分为</w:t>
            </w:r>
            <w:r>
              <w:rPr>
                <w:rFonts w:hint="eastAsia" w:ascii="宋体" w:hAnsi="宋体" w:cs="宋体"/>
                <w:b/>
                <w:bCs w:val="0"/>
                <w:color w:val="auto"/>
                <w:kern w:val="0"/>
                <w:szCs w:val="21"/>
                <w:highlight w:val="none"/>
                <w:lang w:val="en-US" w:eastAsia="zh-CN"/>
              </w:rPr>
              <w:t>20</w:t>
            </w:r>
            <w:r>
              <w:rPr>
                <w:rFonts w:hint="eastAsia" w:ascii="宋体" w:hAnsi="宋体" w:eastAsia="宋体" w:cs="宋体"/>
                <w:b/>
                <w:bCs w:val="0"/>
                <w:color w:val="auto"/>
                <w:kern w:val="0"/>
                <w:szCs w:val="21"/>
                <w:highlight w:val="none"/>
                <w:lang w:val="en-US" w:eastAsia="zh-CN"/>
              </w:rPr>
              <w:t>分。投标报价得分=（评标基准价/有效投标报价）×</w:t>
            </w:r>
            <w:r>
              <w:rPr>
                <w:rFonts w:hint="eastAsia" w:ascii="宋体" w:hAnsi="宋体" w:cs="宋体"/>
                <w:b/>
                <w:bCs w:val="0"/>
                <w:color w:val="auto"/>
                <w:kern w:val="0"/>
                <w:szCs w:val="21"/>
                <w:highlight w:val="none"/>
                <w:lang w:val="en-US" w:eastAsia="zh-CN"/>
              </w:rPr>
              <w:t>20</w:t>
            </w:r>
            <w:r>
              <w:rPr>
                <w:rFonts w:hint="eastAsia" w:ascii="宋体" w:hAnsi="宋体" w:eastAsia="宋体" w:cs="宋体"/>
                <w:b/>
                <w:bCs w:val="0"/>
                <w:color w:val="auto"/>
                <w:kern w:val="0"/>
                <w:szCs w:val="21"/>
                <w:highlight w:val="none"/>
                <w:lang w:val="en-US" w:eastAsia="zh-CN"/>
              </w:rPr>
              <w:t>%×100（小数点后保留2位小数）。</w:t>
            </w:r>
          </w:p>
        </w:tc>
        <w:tc>
          <w:tcPr>
            <w:tcW w:w="750" w:type="dxa"/>
            <w:tcBorders>
              <w:top w:val="single" w:color="auto" w:sz="4" w:space="0"/>
              <w:lef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20</w:t>
            </w:r>
          </w:p>
        </w:tc>
      </w:tr>
    </w:tbl>
    <w:p>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2.评审要求</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评标委员会应当按照</w:t>
      </w:r>
      <w:r>
        <w:rPr>
          <w:rFonts w:hint="eastAsia" w:ascii="宋体" w:hAnsi="宋体" w:cs="宋体"/>
          <w:sz w:val="24"/>
          <w:szCs w:val="24"/>
          <w:lang w:eastAsia="zh-CN"/>
        </w:rPr>
        <w:t>采购文件</w:t>
      </w:r>
      <w:r>
        <w:rPr>
          <w:rFonts w:hint="eastAsia" w:ascii="宋体" w:hAnsi="宋体" w:eastAsia="宋体" w:cs="宋体"/>
          <w:sz w:val="24"/>
          <w:szCs w:val="24"/>
        </w:rPr>
        <w:t>中规定的评标方法和标准，对符合性审查合格的投标文件的商务部分和技术部分进行综合比较与评价，其中</w:t>
      </w:r>
      <w:r>
        <w:rPr>
          <w:rFonts w:hint="eastAsia" w:ascii="宋体" w:hAnsi="Times New Roman" w:eastAsia="宋体" w:cs="Times New Roman"/>
          <w:bCs/>
          <w:sz w:val="24"/>
          <w:szCs w:val="24"/>
          <w:lang w:val="zh-CN"/>
        </w:rPr>
        <w:t>客观</w:t>
      </w:r>
      <w:r>
        <w:rPr>
          <w:rFonts w:hint="eastAsia" w:ascii="宋体" w:hAnsi="Times New Roman" w:eastAsia="宋体" w:cs="Times New Roman"/>
          <w:bCs/>
          <w:sz w:val="24"/>
          <w:szCs w:val="24"/>
        </w:rPr>
        <w:t>评分项的分值</w:t>
      </w:r>
      <w:r>
        <w:rPr>
          <w:rFonts w:hint="eastAsia" w:ascii="宋体" w:hAnsi="Times New Roman" w:eastAsia="宋体" w:cs="Times New Roman"/>
          <w:bCs/>
          <w:sz w:val="24"/>
          <w:szCs w:val="24"/>
          <w:lang w:val="zh-CN"/>
        </w:rPr>
        <w:t>应当一致。</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对于投标文件报价出现前后不一致的，除</w:t>
      </w:r>
      <w:r>
        <w:rPr>
          <w:rFonts w:hint="eastAsia" w:ascii="宋体" w:hAnsi="宋体" w:cs="宋体"/>
          <w:sz w:val="24"/>
          <w:szCs w:val="24"/>
          <w:lang w:eastAsia="zh-CN"/>
        </w:rPr>
        <w:t>采购文件</w:t>
      </w:r>
      <w:r>
        <w:rPr>
          <w:rFonts w:hint="eastAsia" w:ascii="宋体" w:hAnsi="宋体" w:eastAsia="宋体" w:cs="宋体"/>
          <w:sz w:val="24"/>
          <w:szCs w:val="24"/>
        </w:rPr>
        <w:t>另有规定外，按照下列规定修正：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eastAsia="zh-CN"/>
        </w:rPr>
        <w:t>台州湾新区小额工程电子交易平台</w:t>
      </w:r>
      <w:r>
        <w:rPr>
          <w:rFonts w:hint="eastAsia" w:ascii="宋体" w:hAnsi="宋体" w:eastAsia="宋体" w:cs="宋体"/>
          <w:sz w:val="24"/>
          <w:szCs w:val="24"/>
        </w:rPr>
        <w:t>上开启的投标报价与电子投标文件中开标一览表（报价表）内容不一致的，以电子投标文件中开标一览表（报价表）为准；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②投标文件中开标一览表（报价表）内容与投标文件中相应内容不一致的，以开标一览表（报价表）为准；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③大写金额和小写金额不一致的，以大写金额为准；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④单价金额小数点或者百分比有明显错位的，以开标一览表的总价为准，并修改单价；</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ascii="Times New Roman" w:hAnsi="Times New Roman" w:eastAsia="宋体" w:cs="Times New Roman"/>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总价金额与按单价汇总金额不一致的，以单价金额计算结果为准。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同时出现两种以上不一致的，按照前款规定的顺序修正。修正应当采用询标的形式，并加盖公章。</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（4）投标人的澄清、说明或者补正采用书面形式，并加盖公章或者由法定代表人或授权代表签字，且不得超出投标文件的范围或者改变投标文件的实质性内容。</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Times New Roman" w:eastAsia="宋体" w:cs="Times New Roman"/>
          <w:sz w:val="24"/>
          <w:szCs w:val="24"/>
        </w:rPr>
      </w:pPr>
      <w:r>
        <w:rPr>
          <w:rFonts w:hint="eastAsia" w:ascii="宋体" w:hAnsi="宋体" w:eastAsia="宋体" w:cs="宋体"/>
          <w:b/>
          <w:bCs/>
          <w:sz w:val="24"/>
          <w:szCs w:val="24"/>
        </w:rPr>
        <w:t>（四）结果汇总及排序</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评标委员会各成员应当独立对每个投标人的投标文件进行评价，并汇总每个投标人的得分。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到高顺序排列。综合得分且投标报价均相同的，则</w:t>
      </w:r>
      <w:r>
        <w:rPr>
          <w:rFonts w:hint="eastAsia" w:ascii="宋体" w:hAnsi="宋体" w:cs="宋体"/>
          <w:sz w:val="24"/>
          <w:szCs w:val="24"/>
          <w:lang w:val="en-US" w:eastAsia="zh-CN"/>
        </w:rPr>
        <w:t>采取现场</w:t>
      </w:r>
      <w:r>
        <w:rPr>
          <w:rFonts w:hint="eastAsia" w:ascii="宋体" w:hAnsi="宋体" w:eastAsia="宋体" w:cs="宋体"/>
          <w:sz w:val="24"/>
          <w:szCs w:val="24"/>
        </w:rPr>
        <w:t>抽签确定</w:t>
      </w:r>
      <w:r>
        <w:rPr>
          <w:rFonts w:hint="eastAsia" w:ascii="宋体" w:hAnsi="宋体" w:cs="宋体"/>
          <w:sz w:val="24"/>
          <w:szCs w:val="24"/>
          <w:lang w:val="en-US" w:eastAsia="zh-CN"/>
        </w:rPr>
        <w:t>顺序排列</w:t>
      </w:r>
      <w:r>
        <w:rPr>
          <w:rFonts w:hint="eastAsia" w:ascii="宋体" w:hAnsi="宋体" w:eastAsia="宋体" w:cs="宋体"/>
          <w:sz w:val="24"/>
          <w:szCs w:val="24"/>
          <w:lang w:val="zh-CN"/>
        </w:rPr>
        <w:t>。</w:t>
      </w:r>
      <w:r>
        <w:rPr>
          <w:rFonts w:hint="eastAsia" w:ascii="宋体" w:hAnsi="宋体" w:eastAsia="宋体" w:cs="宋体"/>
          <w:sz w:val="24"/>
          <w:szCs w:val="24"/>
        </w:rPr>
        <w:t>投标文件满足</w:t>
      </w:r>
      <w:r>
        <w:rPr>
          <w:rFonts w:hint="eastAsia" w:ascii="宋体" w:hAnsi="宋体" w:cs="宋体"/>
          <w:sz w:val="24"/>
          <w:szCs w:val="24"/>
          <w:lang w:eastAsia="zh-CN"/>
        </w:rPr>
        <w:t>采购文件</w:t>
      </w:r>
      <w:r>
        <w:rPr>
          <w:rFonts w:hint="eastAsia" w:ascii="宋体" w:hAnsi="宋体" w:eastAsia="宋体" w:cs="宋体"/>
          <w:sz w:val="24"/>
          <w:szCs w:val="24"/>
        </w:rPr>
        <w:t>全部实质性要求，且按照评审因素的量化指标评审得分最高的投标人为排名第一的中标候选人。</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宋体" w:eastAsia="宋体" w:cs="宋体"/>
          <w:b/>
          <w:bCs/>
          <w:sz w:val="24"/>
          <w:szCs w:val="24"/>
        </w:rPr>
      </w:pPr>
      <w:r>
        <w:rPr>
          <w:rFonts w:hint="eastAsia" w:ascii="宋体" w:hAnsi="宋体" w:eastAsia="宋体" w:cs="宋体"/>
          <w:b/>
          <w:bCs/>
          <w:sz w:val="24"/>
          <w:szCs w:val="24"/>
        </w:rPr>
        <w:t>（五）评标报告撰写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sz w:val="24"/>
          <w:szCs w:val="24"/>
        </w:rPr>
        <w:t>评标委员会根据全体评标成员签字的原始评标记录和评标结果编写评标报告。</w:t>
      </w:r>
    </w:p>
    <w:p>
      <w:pPr>
        <w:pStyle w:val="33"/>
        <w:rPr>
          <w:rFonts w:hint="eastAsia" w:ascii="宋体" w:hAnsi="宋体" w:cs="宋体"/>
          <w:color w:val="auto"/>
          <w:kern w:val="0"/>
          <w:sz w:val="24"/>
          <w:szCs w:val="24"/>
        </w:rPr>
      </w:pPr>
    </w:p>
    <w:p>
      <w:pPr>
        <w:pStyle w:val="10"/>
        <w:rPr>
          <w:color w:val="auto"/>
        </w:rPr>
      </w:pPr>
    </w:p>
    <w:p>
      <w:pPr>
        <w:spacing w:line="440" w:lineRule="exact"/>
        <w:jc w:val="center"/>
        <w:rPr>
          <w:rFonts w:ascii="宋体" w:cs="宋体"/>
          <w:b/>
          <w:bCs/>
          <w:color w:val="auto"/>
          <w:sz w:val="36"/>
          <w:szCs w:val="36"/>
        </w:rPr>
      </w:pPr>
      <w:r>
        <w:rPr>
          <w:rFonts w:ascii="宋体" w:cs="宋体"/>
          <w:b/>
          <w:bCs/>
          <w:color w:val="auto"/>
          <w:sz w:val="36"/>
          <w:szCs w:val="36"/>
        </w:rPr>
        <w:br w:type="page"/>
      </w:r>
    </w:p>
    <w:p>
      <w:pPr>
        <w:spacing w:line="440" w:lineRule="exact"/>
        <w:jc w:val="center"/>
        <w:rPr>
          <w:rFonts w:hint="eastAsia" w:ascii="宋体" w:eastAsia="宋体" w:cs="宋体"/>
          <w:b/>
          <w:bCs/>
          <w:color w:val="auto"/>
          <w:sz w:val="36"/>
          <w:szCs w:val="36"/>
          <w:lang w:eastAsia="zh-CN"/>
        </w:rPr>
      </w:pPr>
      <w:r>
        <w:rPr>
          <w:rFonts w:hint="eastAsia" w:ascii="宋体" w:hAnsi="宋体" w:cs="宋体"/>
          <w:b/>
          <w:bCs/>
          <w:color w:val="auto"/>
          <w:sz w:val="36"/>
          <w:szCs w:val="36"/>
          <w:lang w:eastAsia="zh-CN"/>
        </w:rPr>
        <w:t>第五章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拟签订的合同文本</w:t>
      </w:r>
    </w:p>
    <w:p>
      <w:pPr>
        <w:snapToGrid w:val="0"/>
        <w:spacing w:line="440" w:lineRule="exact"/>
        <w:jc w:val="center"/>
        <w:rPr>
          <w:rFonts w:ascii="宋体" w:cs="宋体"/>
          <w:b/>
          <w:bCs/>
          <w:color w:val="auto"/>
          <w:sz w:val="36"/>
          <w:szCs w:val="36"/>
        </w:rPr>
      </w:pP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以下为成交后</w:t>
      </w:r>
      <w:r>
        <w:rPr>
          <w:rFonts w:hint="eastAsia" w:ascii="宋体" w:eastAsia="宋体" w:cs="宋体"/>
          <w:color w:val="auto"/>
          <w:sz w:val="24"/>
          <w:szCs w:val="24"/>
          <w:lang w:val="en-US" w:eastAsia="zh-CN"/>
        </w:rPr>
        <w:t>签订</w:t>
      </w:r>
      <w:r>
        <w:rPr>
          <w:rFonts w:hint="eastAsia" w:ascii="宋体" w:hAnsi="Times New Roman" w:eastAsia="宋体" w:cs="宋体"/>
          <w:color w:val="auto"/>
          <w:sz w:val="24"/>
          <w:szCs w:val="24"/>
          <w:lang w:val="en-US" w:eastAsia="zh-CN"/>
        </w:rPr>
        <w:t>本项目合同的通用条款，中标人不得提出实质性的修改，关于专用条款将由采购人与中标人结合本项目具体情况协商后签订。</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项目编号：</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甲方：（采购人）</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所在地：</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乙方：（中标供应商）</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所在地：</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甲、乙双方根据××(</w:t>
      </w:r>
      <w:r>
        <w:rPr>
          <w:rFonts w:hint="eastAsia" w:ascii="宋体" w:eastAsia="宋体" w:cs="宋体"/>
          <w:color w:val="auto"/>
          <w:sz w:val="24"/>
          <w:szCs w:val="24"/>
          <w:lang w:val="en-US" w:eastAsia="zh-CN"/>
        </w:rPr>
        <w:t>采购组织机构</w:t>
      </w:r>
      <w:r>
        <w:rPr>
          <w:rFonts w:hint="eastAsia" w:ascii="宋体" w:hAnsi="Times New Roman" w:eastAsia="宋体" w:cs="宋体"/>
          <w:color w:val="auto"/>
          <w:sz w:val="24"/>
          <w:szCs w:val="24"/>
          <w:lang w:val="en-US" w:eastAsia="zh-CN"/>
        </w:rPr>
        <w:t>名称）关于××项目公开招标的结果，签署本合同。</w:t>
      </w:r>
    </w:p>
    <w:p>
      <w:pPr>
        <w:spacing w:line="440" w:lineRule="exact"/>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一、合同文件</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1</w:t>
      </w:r>
      <w:r>
        <w:rPr>
          <w:rFonts w:hint="eastAsia" w:ascii="宋体" w:hAnsi="宋体" w:eastAsia="宋体" w:cs="宋体"/>
          <w:color w:val="auto"/>
          <w:sz w:val="24"/>
          <w:szCs w:val="24"/>
          <w:lang w:val="zh-CN"/>
        </w:rPr>
        <w:t>、合同条款。</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2</w:t>
      </w:r>
      <w:r>
        <w:rPr>
          <w:rFonts w:hint="eastAsia" w:ascii="宋体" w:hAnsi="宋体" w:eastAsia="宋体" w:cs="宋体"/>
          <w:color w:val="auto"/>
          <w:sz w:val="24"/>
          <w:szCs w:val="24"/>
          <w:lang w:val="zh-CN"/>
        </w:rPr>
        <w:t>、中标通知书。</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3</w:t>
      </w:r>
      <w:r>
        <w:rPr>
          <w:rFonts w:hint="eastAsia" w:ascii="宋体" w:hAnsi="宋体" w:eastAsia="宋体" w:cs="宋体"/>
          <w:color w:val="auto"/>
          <w:sz w:val="24"/>
          <w:szCs w:val="24"/>
          <w:lang w:val="zh-CN"/>
        </w:rPr>
        <w:t>、更正补充文件。</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4</w:t>
      </w:r>
      <w:r>
        <w:rPr>
          <w:rFonts w:hint="eastAsia" w:ascii="宋体" w:hAnsi="宋体" w:eastAsia="宋体" w:cs="宋体"/>
          <w:color w:val="auto"/>
          <w:sz w:val="24"/>
          <w:szCs w:val="24"/>
          <w:lang w:val="zh-CN"/>
        </w:rPr>
        <w:t>、采购文件。</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5</w:t>
      </w:r>
      <w:r>
        <w:rPr>
          <w:rFonts w:hint="eastAsia" w:ascii="宋体" w:hAnsi="宋体" w:eastAsia="宋体" w:cs="宋体"/>
          <w:color w:val="auto"/>
          <w:sz w:val="24"/>
          <w:szCs w:val="24"/>
          <w:lang w:val="zh-CN"/>
        </w:rPr>
        <w:t>、中标供应商投标文件。</w:t>
      </w:r>
    </w:p>
    <w:p>
      <w:pPr>
        <w:spacing w:line="440" w:lineRule="exact"/>
        <w:ind w:firstLine="480" w:firstLineChars="200"/>
        <w:rPr>
          <w:rFonts w:ascii="宋体" w:hAnsi="Times New Roman" w:eastAsia="宋体" w:cs="宋体"/>
          <w:color w:val="auto"/>
          <w:sz w:val="24"/>
          <w:szCs w:val="24"/>
          <w:lang w:val="zh-CN"/>
        </w:rPr>
      </w:pPr>
      <w:r>
        <w:rPr>
          <w:rFonts w:ascii="宋体" w:hAnsi="宋体" w:eastAsia="宋体" w:cs="宋体"/>
          <w:color w:val="auto"/>
          <w:sz w:val="24"/>
          <w:szCs w:val="24"/>
          <w:lang w:val="zh-CN"/>
        </w:rPr>
        <w:t>6</w:t>
      </w:r>
      <w:r>
        <w:rPr>
          <w:rFonts w:hint="eastAsia" w:ascii="宋体" w:hAnsi="宋体" w:eastAsia="宋体" w:cs="宋体"/>
          <w:color w:val="auto"/>
          <w:sz w:val="24"/>
          <w:szCs w:val="24"/>
          <w:lang w:val="zh-CN"/>
        </w:rPr>
        <w:t>、其他。</w:t>
      </w:r>
    </w:p>
    <w:p>
      <w:pPr>
        <w:widowControl w:val="0"/>
        <w:snapToGrid w:val="0"/>
        <w:spacing w:line="440" w:lineRule="exact"/>
        <w:ind w:firstLine="480" w:firstLineChars="200"/>
        <w:jc w:val="both"/>
        <w:rPr>
          <w:rFonts w:ascii="宋体" w:hAnsi="宋体" w:eastAsia="宋体" w:cs="Times New Roman"/>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上述所指合同文件应认为是互相补充和解释的，但是有模棱两可或互相矛盾之处，以其所列内容顺序为准。</w:t>
      </w:r>
    </w:p>
    <w:p>
      <w:pPr>
        <w:spacing w:line="440" w:lineRule="exact"/>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二、合同内容及服务标准</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（具体见采购需求）</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三、合同金额</w:t>
      </w:r>
    </w:p>
    <w:p>
      <w:pPr>
        <w:keepNext w:val="0"/>
        <w:keepLines w:val="0"/>
        <w:pageBreakBefore w:val="0"/>
        <w:widowControl w:val="0"/>
        <w:kinsoku/>
        <w:wordWrap w:val="0"/>
        <w:overflowPunct/>
        <w:topLinePunct/>
        <w:autoSpaceDE/>
        <w:autoSpaceDN/>
        <w:bidi w:val="0"/>
        <w:adjustRightInd/>
        <w:snapToGrid w:val="0"/>
        <w:spacing w:line="480" w:lineRule="exact"/>
        <w:ind w:firstLine="480" w:firstLineChars="200"/>
        <w:jc w:val="left"/>
        <w:textAlignment w:val="auto"/>
        <w:rPr>
          <w:rFonts w:hint="eastAsia" w:ascii="Times New Roman" w:hAnsi="宋体" w:eastAsia="宋体" w:cs="Times New Roman"/>
          <w:color w:val="auto"/>
          <w:sz w:val="24"/>
          <w:szCs w:val="24"/>
          <w:lang w:val="en-US" w:eastAsia="zh-CN"/>
        </w:rPr>
      </w:pPr>
      <w:r>
        <w:rPr>
          <w:rFonts w:hint="eastAsia" w:ascii="宋体" w:hAnsi="宋体" w:eastAsia="宋体" w:cs="宋体"/>
          <w:color w:val="auto"/>
          <w:kern w:val="2"/>
          <w:sz w:val="24"/>
          <w:szCs w:val="24"/>
          <w:lang w:val="en-US" w:eastAsia="zh-CN" w:bidi="ar-SA"/>
        </w:rPr>
        <w:t xml:space="preserve"> </w:t>
      </w:r>
    </w:p>
    <w:p>
      <w:pPr>
        <w:spacing w:line="440" w:lineRule="exact"/>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四、甲乙双方责任</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（一）甲方责任</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（根据招标结果确定）</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（二）乙方责任</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（根据招标结果确定）</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五、技术资料</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、乙方应按采购文件规定的时间向甲方提供有关技术资料。</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六、知识产权</w:t>
      </w:r>
    </w:p>
    <w:p>
      <w:pPr>
        <w:widowControl w:val="0"/>
        <w:snapToGrid w:val="0"/>
        <w:spacing w:line="440" w:lineRule="exact"/>
        <w:ind w:firstLine="480" w:firstLineChars="200"/>
        <w:jc w:val="both"/>
        <w:rPr>
          <w:rFonts w:ascii="宋体" w:hAnsi="宋体" w:eastAsia="宋体" w:cs="Times New Roman"/>
          <w:b w:val="0"/>
          <w:bCs w:val="0"/>
          <w:color w:val="auto"/>
          <w:kern w:val="2"/>
          <w:sz w:val="24"/>
          <w:szCs w:val="24"/>
          <w:lang w:val="en-US" w:eastAsia="zh-CN" w:bidi="ar-SA"/>
        </w:rPr>
      </w:pPr>
      <w:r>
        <w:rPr>
          <w:rFonts w:ascii="宋体" w:hAnsi="宋体" w:eastAsia="宋体" w:cs="Times New Roman"/>
          <w:b w:val="0"/>
          <w:bCs w:val="0"/>
          <w:color w:val="auto"/>
          <w:kern w:val="2"/>
          <w:sz w:val="24"/>
          <w:szCs w:val="24"/>
          <w:lang w:val="en-US" w:eastAsia="zh-CN" w:bidi="ar-SA"/>
        </w:rPr>
        <w:t>乙方应保证提供服务过程中不会侵犯任何第三方的知识产权</w:t>
      </w:r>
      <w:r>
        <w:rPr>
          <w:rFonts w:hint="eastAsia" w:ascii="宋体" w:hAnsi="宋体" w:eastAsia="宋体" w:cs="Times New Roman"/>
          <w:b w:val="0"/>
          <w:bCs w:val="0"/>
          <w:color w:val="auto"/>
          <w:kern w:val="2"/>
          <w:sz w:val="24"/>
          <w:szCs w:val="24"/>
          <w:lang w:val="en-US" w:eastAsia="zh-CN" w:bidi="ar-SA"/>
        </w:rPr>
        <w:t>；若侵犯,由乙方赔偿甲方因此遭受的损失（包括但不限于应对及追偿过程中所支付的律师费、差旅费、诉讼费、保全费、鉴定费、评估费等）。</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七、履约保证金</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1</w:t>
      </w:r>
      <w:r>
        <w:rPr>
          <w:rFonts w:hint="eastAsia" w:ascii="宋体" w:eastAsia="宋体" w:cs="宋体"/>
          <w:color w:val="auto"/>
          <w:sz w:val="24"/>
          <w:szCs w:val="24"/>
          <w:lang w:val="en-US" w:eastAsia="zh-CN"/>
        </w:rPr>
        <w:t>、</w:t>
      </w:r>
      <w:r>
        <w:rPr>
          <w:rFonts w:hint="eastAsia" w:ascii="宋体" w:hAnsi="Times New Roman" w:eastAsia="宋体" w:cs="宋体"/>
          <w:color w:val="auto"/>
          <w:sz w:val="24"/>
          <w:szCs w:val="24"/>
          <w:lang w:val="en-US" w:eastAsia="zh-CN"/>
        </w:rPr>
        <w:t>金额：人民币16000元整；</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lang w:val="en-US" w:eastAsia="zh-CN"/>
        </w:rPr>
      </w:pPr>
      <w:r>
        <w:rPr>
          <w:rFonts w:hint="eastAsia" w:ascii="宋体" w:hAnsi="Times New Roman" w:eastAsia="宋体" w:cs="宋体"/>
          <w:color w:val="auto"/>
          <w:sz w:val="24"/>
          <w:szCs w:val="24"/>
          <w:lang w:val="en-US" w:eastAsia="zh-CN"/>
        </w:rPr>
        <w:t>2</w:t>
      </w:r>
      <w:r>
        <w:rPr>
          <w:rFonts w:hint="eastAsia" w:ascii="宋体" w:eastAsia="宋体" w:cs="宋体"/>
          <w:color w:val="auto"/>
          <w:sz w:val="24"/>
          <w:szCs w:val="24"/>
          <w:lang w:val="en-US" w:eastAsia="zh-CN"/>
        </w:rPr>
        <w:t>、</w:t>
      </w:r>
      <w:r>
        <w:rPr>
          <w:rFonts w:hint="eastAsia" w:ascii="宋体" w:hAnsi="Times New Roman" w:eastAsia="宋体" w:cs="宋体"/>
          <w:color w:val="auto"/>
          <w:sz w:val="24"/>
          <w:szCs w:val="24"/>
          <w:lang w:val="en-US" w:eastAsia="zh-CN"/>
        </w:rPr>
        <w:t>收取方式：现金（网银、汇票、电汇、转账支付）或银行独立保函形式；</w:t>
      </w:r>
    </w:p>
    <w:p>
      <w:pPr>
        <w:tabs>
          <w:tab w:val="left" w:pos="1418"/>
        </w:tabs>
        <w:autoSpaceDE w:val="0"/>
        <w:autoSpaceDN w:val="0"/>
        <w:adjustRightInd w:val="0"/>
        <w:spacing w:line="440" w:lineRule="exact"/>
        <w:ind w:firstLine="480" w:firstLineChars="200"/>
        <w:rPr>
          <w:rFonts w:hint="default" w:ascii="宋体" w:hAnsi="Times New Roman" w:eastAsia="宋体" w:cs="宋体"/>
          <w:color w:val="auto"/>
          <w:sz w:val="24"/>
          <w:szCs w:val="24"/>
          <w:lang w:val="en-US" w:eastAsia="zh-CN"/>
        </w:rPr>
      </w:pPr>
      <w:r>
        <w:rPr>
          <w:rFonts w:hint="eastAsia" w:ascii="宋体" w:eastAsia="宋体" w:cs="宋体"/>
          <w:color w:val="auto"/>
          <w:sz w:val="24"/>
          <w:szCs w:val="24"/>
          <w:lang w:val="en-US" w:eastAsia="zh-CN"/>
        </w:rPr>
        <w:t>3、</w:t>
      </w:r>
      <w:r>
        <w:rPr>
          <w:rFonts w:hint="eastAsia" w:ascii="宋体" w:hAnsi="Times New Roman" w:eastAsia="宋体" w:cs="宋体"/>
          <w:color w:val="auto"/>
          <w:sz w:val="24"/>
          <w:szCs w:val="24"/>
          <w:lang w:val="en-US" w:eastAsia="zh-CN"/>
        </w:rPr>
        <w:t>履约保证金在合同签订前交至甲方处；</w:t>
      </w:r>
    </w:p>
    <w:p>
      <w:pPr>
        <w:tabs>
          <w:tab w:val="left" w:pos="1418"/>
        </w:tabs>
        <w:autoSpaceDE w:val="0"/>
        <w:autoSpaceDN w:val="0"/>
        <w:adjustRightInd w:val="0"/>
        <w:spacing w:line="440" w:lineRule="exact"/>
        <w:ind w:firstLine="480" w:firstLineChars="200"/>
        <w:rPr>
          <w:rFonts w:ascii="宋体" w:hAnsi="Times New Roman" w:eastAsia="宋体" w:cs="宋体"/>
          <w:color w:val="auto"/>
          <w:sz w:val="24"/>
          <w:szCs w:val="24"/>
          <w:lang w:val="en-US" w:eastAsia="zh-CN"/>
        </w:rPr>
      </w:pPr>
      <w:r>
        <w:rPr>
          <w:rFonts w:hint="eastAsia" w:ascii="宋体" w:eastAsia="宋体" w:cs="宋体"/>
          <w:color w:val="auto"/>
          <w:sz w:val="24"/>
          <w:szCs w:val="24"/>
          <w:lang w:val="en-US" w:eastAsia="zh-CN"/>
        </w:rPr>
        <w:t>4、</w:t>
      </w:r>
      <w:r>
        <w:rPr>
          <w:rFonts w:hint="eastAsia" w:ascii="宋体" w:hAnsi="Times New Roman" w:eastAsia="宋体" w:cs="宋体"/>
          <w:color w:val="auto"/>
          <w:sz w:val="24"/>
          <w:szCs w:val="24"/>
          <w:lang w:val="en-US" w:eastAsia="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tabs>
          <w:tab w:val="left" w:pos="1418"/>
        </w:tabs>
        <w:autoSpaceDE w:val="0"/>
        <w:autoSpaceDN w:val="0"/>
        <w:adjustRightInd w:val="0"/>
        <w:spacing w:line="440" w:lineRule="exact"/>
        <w:ind w:firstLine="480" w:firstLineChars="200"/>
        <w:rPr>
          <w:rFonts w:hint="eastAsia" w:ascii="宋体" w:hAnsi="Times New Roman" w:eastAsia="宋体" w:cs="宋体"/>
          <w:color w:val="auto"/>
          <w:sz w:val="24"/>
          <w:szCs w:val="24"/>
        </w:rPr>
      </w:pPr>
      <w:r>
        <w:rPr>
          <w:rFonts w:hint="eastAsia" w:ascii="宋体" w:eastAsia="宋体" w:cs="宋体"/>
          <w:color w:val="auto"/>
          <w:sz w:val="24"/>
          <w:szCs w:val="24"/>
          <w:lang w:val="en-US" w:eastAsia="zh-CN"/>
        </w:rPr>
        <w:t>5、</w:t>
      </w:r>
      <w:r>
        <w:rPr>
          <w:rFonts w:hint="eastAsia" w:ascii="宋体" w:hAnsi="Times New Roman" w:eastAsia="宋体" w:cs="宋体"/>
          <w:color w:val="auto"/>
          <w:sz w:val="24"/>
          <w:szCs w:val="24"/>
          <w:lang w:val="en-US" w:eastAsia="zh-CN"/>
        </w:rPr>
        <w:t>履约保证金采用现金形式的，在合同约定服务内容全部履行并取得甲方认可或本合同因甲方要求终止或甲乙双方协商终止时，扣除应由乙方承担的违约金或者其他款项后15个工作日内一次性将剩余履约保证金款项无息退还给乙方，因乙方违约没收履约保证金的除外；合同履行期间，如果乙方存在违约情形，甲方有权优先在履约保证金中优先扣除乙方应当支付的违约金或者其他款项，如有扣除的，乙方须在5个工作日内补足；</w:t>
      </w:r>
    </w:p>
    <w:p>
      <w:pPr>
        <w:tabs>
          <w:tab w:val="left" w:pos="1418"/>
        </w:tabs>
        <w:autoSpaceDE w:val="0"/>
        <w:autoSpaceDN w:val="0"/>
        <w:adjustRightInd w:val="0"/>
        <w:spacing w:line="440" w:lineRule="exact"/>
        <w:ind w:firstLine="480" w:firstLineChars="200"/>
        <w:rPr>
          <w:rFonts w:hint="default" w:ascii="宋体" w:hAnsi="Times New Roman" w:eastAsia="宋体" w:cs="宋体"/>
          <w:color w:val="auto"/>
          <w:sz w:val="24"/>
          <w:szCs w:val="24"/>
          <w:lang w:val="en-US" w:eastAsia="zh-CN"/>
        </w:rPr>
      </w:pPr>
      <w:r>
        <w:rPr>
          <w:rFonts w:hint="eastAsia" w:ascii="宋体" w:eastAsia="宋体" w:cs="宋体"/>
          <w:color w:val="auto"/>
          <w:sz w:val="24"/>
          <w:szCs w:val="24"/>
          <w:lang w:val="en-US" w:eastAsia="zh-CN"/>
        </w:rPr>
        <w:t>6、</w:t>
      </w:r>
      <w:r>
        <w:rPr>
          <w:rFonts w:hint="eastAsia" w:ascii="宋体" w:hAnsi="Times New Roman" w:eastAsia="宋体" w:cs="宋体"/>
          <w:color w:val="auto"/>
          <w:sz w:val="24"/>
          <w:szCs w:val="24"/>
          <w:lang w:val="en-US" w:eastAsia="zh-CN"/>
        </w:rPr>
        <w:t>履约保证金采用银行独立保函形式的，应保证其有效期不短于合同履行期届满之日起30日内；</w:t>
      </w:r>
    </w:p>
    <w:p>
      <w:pPr>
        <w:tabs>
          <w:tab w:val="left" w:pos="1418"/>
        </w:tabs>
        <w:autoSpaceDE w:val="0"/>
        <w:autoSpaceDN w:val="0"/>
        <w:adjustRightInd w:val="0"/>
        <w:spacing w:line="440" w:lineRule="exact"/>
        <w:ind w:firstLine="480" w:firstLineChars="200"/>
        <w:rPr>
          <w:rFonts w:hint="default" w:ascii="宋体" w:hAnsi="Times New Roman" w:eastAsia="宋体" w:cs="宋体"/>
          <w:color w:val="auto"/>
          <w:sz w:val="24"/>
          <w:szCs w:val="24"/>
          <w:lang w:val="en-US" w:eastAsia="zh-CN"/>
        </w:rPr>
      </w:pPr>
      <w:r>
        <w:rPr>
          <w:rFonts w:hint="eastAsia" w:ascii="宋体" w:eastAsia="宋体" w:cs="宋体"/>
          <w:color w:val="auto"/>
          <w:sz w:val="24"/>
          <w:szCs w:val="24"/>
          <w:lang w:val="en-US" w:eastAsia="zh-CN"/>
        </w:rPr>
        <w:t>7、</w:t>
      </w:r>
      <w:r>
        <w:rPr>
          <w:rFonts w:hint="eastAsia" w:ascii="宋体" w:hAnsi="Times New Roman" w:eastAsia="宋体" w:cs="宋体"/>
          <w:color w:val="auto"/>
          <w:sz w:val="24"/>
          <w:szCs w:val="24"/>
          <w:lang w:val="en-US" w:eastAsia="zh-CN"/>
        </w:rPr>
        <w:t>在本合同期限内，乙方不得以任何理由将履约保证金冲抵其它费用，亦不得将履约保证金作为债权转让给任何第三者，或作为对第三者债务的担保；</w:t>
      </w:r>
    </w:p>
    <w:p>
      <w:pPr>
        <w:tabs>
          <w:tab w:val="left" w:pos="1418"/>
        </w:tabs>
        <w:autoSpaceDE w:val="0"/>
        <w:autoSpaceDN w:val="0"/>
        <w:adjustRightInd w:val="0"/>
        <w:spacing w:line="440" w:lineRule="exact"/>
        <w:ind w:firstLine="480" w:firstLineChars="200"/>
        <w:rPr>
          <w:rFonts w:ascii="宋体" w:hAnsi="Times New Roman" w:eastAsia="宋体" w:cs="宋体"/>
          <w:color w:val="auto"/>
          <w:sz w:val="24"/>
          <w:szCs w:val="24"/>
        </w:rPr>
      </w:pPr>
      <w:r>
        <w:rPr>
          <w:rFonts w:hint="eastAsia" w:ascii="宋体" w:eastAsia="宋体" w:cs="宋体"/>
          <w:color w:val="auto"/>
          <w:sz w:val="24"/>
          <w:szCs w:val="24"/>
          <w:lang w:val="en-US" w:eastAsia="zh-CN"/>
        </w:rPr>
        <w:t>8、甲方</w:t>
      </w:r>
      <w:r>
        <w:rPr>
          <w:rFonts w:hint="eastAsia" w:ascii="宋体" w:hAnsi="Times New Roman" w:eastAsia="宋体" w:cs="宋体"/>
          <w:color w:val="auto"/>
          <w:sz w:val="24"/>
          <w:szCs w:val="24"/>
        </w:rPr>
        <w:t>逾期退还</w:t>
      </w:r>
      <w:r>
        <w:rPr>
          <w:rFonts w:hint="eastAsia" w:ascii="宋体" w:hAnsi="Times New Roman" w:eastAsia="宋体" w:cs="宋体"/>
          <w:color w:val="auto"/>
          <w:sz w:val="24"/>
          <w:szCs w:val="24"/>
          <w:lang w:val="en-US" w:eastAsia="zh-CN"/>
        </w:rPr>
        <w:t>履约保证金</w:t>
      </w:r>
      <w:r>
        <w:rPr>
          <w:rFonts w:hint="eastAsia" w:ascii="宋体" w:hAnsi="Times New Roman" w:eastAsia="宋体" w:cs="宋体"/>
          <w:color w:val="auto"/>
          <w:sz w:val="24"/>
          <w:szCs w:val="24"/>
        </w:rPr>
        <w:t>的，乙方可要求甲方支付违约金，违约金按每迟延退还一日的应退还而未退还金额的</w:t>
      </w:r>
      <w:r>
        <w:rPr>
          <w:rFonts w:hint="eastAsia" w:ascii="宋体" w:hAnsi="Times New Roman" w:eastAsia="宋体" w:cs="宋体"/>
          <w:color w:val="auto"/>
          <w:sz w:val="24"/>
          <w:szCs w:val="24"/>
          <w:lang w:val="en-US" w:eastAsia="zh-CN"/>
        </w:rPr>
        <w:t>6‰</w:t>
      </w:r>
      <w:r>
        <w:rPr>
          <w:rFonts w:hint="eastAsia" w:ascii="宋体" w:hAnsi="Times New Roman" w:eastAsia="宋体" w:cs="宋体"/>
          <w:color w:val="auto"/>
          <w:sz w:val="24"/>
          <w:szCs w:val="24"/>
        </w:rPr>
        <w:t>计算，最高限额为本合同履约保证金的20%</w:t>
      </w:r>
      <w:r>
        <w:rPr>
          <w:rFonts w:hint="eastAsia" w:ascii="宋体" w:hAnsi="Times New Roman" w:eastAsia="宋体" w:cs="宋体"/>
          <w:color w:val="auto"/>
          <w:sz w:val="24"/>
          <w:szCs w:val="24"/>
          <w:lang w:eastAsia="zh-CN"/>
        </w:rPr>
        <w:t>。</w:t>
      </w:r>
    </w:p>
    <w:p>
      <w:pPr>
        <w:snapToGrid w:val="0"/>
        <w:spacing w:line="440" w:lineRule="exact"/>
        <w:ind w:firstLine="482" w:firstLineChars="200"/>
        <w:rPr>
          <w:rFonts w:ascii="宋体" w:hAnsi="Times New Roman" w:eastAsia="宋体" w:cs="宋体"/>
          <w:b/>
          <w:bCs/>
          <w:color w:val="auto"/>
          <w:sz w:val="24"/>
          <w:szCs w:val="24"/>
        </w:rPr>
      </w:pPr>
      <w:r>
        <w:rPr>
          <w:rFonts w:hint="eastAsia" w:ascii="宋体" w:hAnsi="宋体" w:eastAsia="宋体" w:cs="宋体"/>
          <w:b/>
          <w:bCs/>
          <w:color w:val="auto"/>
          <w:sz w:val="24"/>
          <w:szCs w:val="24"/>
        </w:rPr>
        <w:t>八、转包或分包</w:t>
      </w:r>
    </w:p>
    <w:p>
      <w:pPr>
        <w:snapToGrid w:val="0"/>
        <w:spacing w:line="440" w:lineRule="exact"/>
        <w:ind w:firstLine="480" w:firstLineChars="200"/>
        <w:rPr>
          <w:rFonts w:hint="eastAsia" w:ascii="宋体" w:hAnsi="Times New Roman" w:eastAsia="宋体" w:cs="宋体"/>
          <w:color w:val="auto"/>
          <w:sz w:val="24"/>
          <w:szCs w:val="24"/>
          <w:lang w:eastAsia="zh-CN"/>
        </w:rPr>
      </w:pPr>
      <w:r>
        <w:rPr>
          <w:rFonts w:ascii="宋体" w:hAnsi="Times New Roman" w:eastAsia="宋体" w:cs="宋体"/>
          <w:color w:val="auto"/>
          <w:sz w:val="24"/>
          <w:szCs w:val="24"/>
        </w:rPr>
        <w:t>1</w:t>
      </w:r>
      <w:r>
        <w:rPr>
          <w:rFonts w:hint="eastAsia" w:ascii="宋体" w:hAnsi="Times New Roman" w:eastAsia="宋体" w:cs="宋体"/>
          <w:color w:val="auto"/>
          <w:sz w:val="24"/>
          <w:szCs w:val="24"/>
        </w:rPr>
        <w:t>、本合同范围的服务，应由乙方直接供应，不得转让</w:t>
      </w:r>
      <w:r>
        <w:rPr>
          <w:rFonts w:hint="eastAsia" w:ascii="宋体" w:hAnsi="Times New Roman" w:eastAsia="宋体" w:cs="宋体"/>
          <w:color w:val="auto"/>
          <w:sz w:val="24"/>
          <w:szCs w:val="24"/>
          <w:lang w:eastAsia="zh-CN"/>
        </w:rPr>
        <w:t>或分包给第三方；</w:t>
      </w:r>
    </w:p>
    <w:p>
      <w:pPr>
        <w:snapToGrid w:val="0"/>
        <w:spacing w:line="440" w:lineRule="exact"/>
        <w:ind w:firstLine="480" w:firstLineChars="200"/>
        <w:rPr>
          <w:rFonts w:ascii="宋体" w:hAnsi="Times New Roman" w:eastAsia="宋体" w:cs="宋体"/>
          <w:color w:val="auto"/>
          <w:sz w:val="24"/>
          <w:szCs w:val="24"/>
        </w:rPr>
      </w:pPr>
      <w:r>
        <w:rPr>
          <w:rFonts w:ascii="宋体" w:hAnsi="Times New Roman" w:eastAsia="宋体" w:cs="宋体"/>
          <w:color w:val="auto"/>
          <w:sz w:val="24"/>
          <w:szCs w:val="24"/>
        </w:rPr>
        <w:t>2</w:t>
      </w:r>
      <w:r>
        <w:rPr>
          <w:rFonts w:hint="eastAsia" w:ascii="宋体" w:hAnsi="Times New Roman" w:eastAsia="宋体" w:cs="宋体"/>
          <w:color w:val="auto"/>
          <w:sz w:val="24"/>
          <w:szCs w:val="24"/>
        </w:rPr>
        <w:t>、如有转让和分包行为，甲方有权解除合同，没收</w:t>
      </w:r>
      <w:r>
        <w:rPr>
          <w:rFonts w:hint="eastAsia" w:ascii="宋体" w:hAnsi="Times New Roman" w:eastAsia="宋体" w:cs="宋体"/>
          <w:color w:val="auto"/>
          <w:sz w:val="24"/>
          <w:szCs w:val="24"/>
          <w:lang w:val="en-US" w:eastAsia="zh-CN"/>
        </w:rPr>
        <w:t>全部</w:t>
      </w:r>
      <w:r>
        <w:rPr>
          <w:rFonts w:hint="eastAsia" w:ascii="宋体" w:hAnsi="Times New Roman" w:eastAsia="宋体" w:cs="宋体"/>
          <w:color w:val="auto"/>
          <w:sz w:val="24"/>
          <w:szCs w:val="24"/>
        </w:rPr>
        <w:t>履约保证金并追究乙方的违约责任。</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九、合同履行时间、履行方式及履行地点</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、履行时间：</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、履行方式：</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、履行地点：</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十、款项支付</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p>
      <w:pPr>
        <w:snapToGrid w:val="0"/>
        <w:spacing w:line="440" w:lineRule="exact"/>
        <w:ind w:firstLine="482" w:firstLineChars="200"/>
        <w:rPr>
          <w:rFonts w:ascii="宋体" w:hAnsi="Times New Roman"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、税费</w:t>
      </w:r>
    </w:p>
    <w:p>
      <w:pPr>
        <w:snapToGrid w:val="0"/>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本合同执行中相关的一切税费均由乙方负担。</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十二、违约责任</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、甲方无正当理由拒收接受服务的，甲方向乙方偿付合同款项5%作为违约金。</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、甲方无故逾期验收和办理款项支付手续的,甲方应按逾期付款总额每日0.5‰向乙方支付违约金。</w:t>
      </w:r>
    </w:p>
    <w:p>
      <w:pPr>
        <w:widowControl w:val="0"/>
        <w:snapToGrid w:val="0"/>
        <w:spacing w:line="440" w:lineRule="exact"/>
        <w:ind w:firstLine="480" w:firstLineChars="200"/>
        <w:jc w:val="both"/>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乙方未能如期提供服务的，每日向甲方支付合同款项的6‰作为违约金。乙方超过约定日期10个工作日仍不能提供服务的，甲方可解除本合同。乙方因未能如期提供服务或因其他违约行为导致甲方解除合同的，乙方还应另行向甲方支付合同总值5%的违约金，如造成甲方损失超过违约金的，超出部分由乙方继续承担赔偿责任。</w:t>
      </w:r>
      <w:r>
        <w:rPr>
          <w:rFonts w:ascii="宋体" w:hAnsi="宋体" w:eastAsia="宋体" w:cs="宋体"/>
          <w:color w:val="auto"/>
          <w:kern w:val="2"/>
          <w:sz w:val="24"/>
          <w:szCs w:val="24"/>
          <w:lang w:val="en-US" w:eastAsia="zh-CN" w:bidi="ar-SA"/>
        </w:rPr>
        <w:t xml:space="preserve"> </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十三、不可抗力事件处理</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、在合同有效期内，任何一方因不可抗力事件导致不能履行合同，则合同履行期可延长，其延长期与不可抗力影响期相同。</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、不可抗力事件发生后，应立即通知对方，并寄送有关权威机构出具的证明。</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、不可抗力事件延续</w:t>
      </w:r>
      <w:r>
        <w:rPr>
          <w:rFonts w:ascii="宋体" w:hAnsi="宋体" w:eastAsia="宋体" w:cs="宋体"/>
          <w:color w:val="auto"/>
          <w:kern w:val="2"/>
          <w:sz w:val="24"/>
          <w:szCs w:val="24"/>
          <w:lang w:val="en-US" w:eastAsia="zh-CN" w:bidi="ar-SA"/>
        </w:rPr>
        <w:t>120</w:t>
      </w:r>
      <w:r>
        <w:rPr>
          <w:rFonts w:hint="eastAsia" w:ascii="宋体" w:hAnsi="宋体" w:eastAsia="宋体" w:cs="宋体"/>
          <w:color w:val="auto"/>
          <w:kern w:val="2"/>
          <w:sz w:val="24"/>
          <w:szCs w:val="24"/>
          <w:lang w:val="en-US" w:eastAsia="zh-CN" w:bidi="ar-SA"/>
        </w:rPr>
        <w:t>天以上，双方应通过友好协商，确定是否继续履行合同。</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十四、解决争议的方法</w:t>
      </w:r>
    </w:p>
    <w:p>
      <w:pPr>
        <w:widowControl w:val="0"/>
        <w:snapToGrid w:val="0"/>
        <w:spacing w:line="44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如双方在履行合同时发生纠纷，应协商解决；协商不成时，通过以下第（ ）方式解决：</w:t>
      </w:r>
    </w:p>
    <w:p>
      <w:pPr>
        <w:widowControl w:val="0"/>
        <w:snapToGrid w:val="0"/>
        <w:spacing w:line="44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）提交台州仲裁委员会仲裁。</w:t>
      </w:r>
    </w:p>
    <w:p>
      <w:pPr>
        <w:widowControl w:val="0"/>
        <w:snapToGrid w:val="0"/>
        <w:spacing w:line="44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）依法向合同履行地人民法院提起诉讼。</w:t>
      </w:r>
    </w:p>
    <w:p>
      <w:pPr>
        <w:widowControl w:val="0"/>
        <w:snapToGrid w:val="0"/>
        <w:spacing w:line="440" w:lineRule="exact"/>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十五、合同生效及其它</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、合同经双方法定代表人或授权代表签字并加盖单位公章后生效。</w:t>
      </w:r>
    </w:p>
    <w:p>
      <w:pPr>
        <w:widowControl w:val="0"/>
        <w:snapToGrid w:val="0"/>
        <w:spacing w:line="440" w:lineRule="exact"/>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、本合同未尽事宜，遵照《中华人民共和国民法典》有关条文执行。</w:t>
      </w:r>
    </w:p>
    <w:p>
      <w:pPr>
        <w:widowControl/>
        <w:spacing w:line="44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陆</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采购组织机构</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部门各执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份。本项目未尽事宜以</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、投标文件及澄清文件等为准。</w:t>
      </w:r>
    </w:p>
    <w:p>
      <w:pPr>
        <w:widowControl/>
        <w:spacing w:line="440" w:lineRule="exact"/>
        <w:ind w:firstLine="480" w:firstLineChars="200"/>
        <w:rPr>
          <w:rFonts w:ascii="宋体" w:hAnsi="Times New Roman" w:eastAsia="宋体" w:cs="宋体"/>
          <w:color w:val="auto"/>
          <w:kern w:val="0"/>
          <w:sz w:val="24"/>
          <w:szCs w:val="24"/>
        </w:rPr>
      </w:pPr>
    </w:p>
    <w:p>
      <w:pPr>
        <w:widowControl/>
        <w:spacing w:line="440" w:lineRule="exact"/>
        <w:ind w:firstLine="482" w:firstLineChars="200"/>
        <w:rPr>
          <w:rFonts w:ascii="宋体" w:hAnsi="Times New Roman" w:eastAsia="宋体" w:cs="宋体"/>
          <w:b/>
          <w:bCs/>
          <w:color w:val="auto"/>
          <w:sz w:val="24"/>
          <w:szCs w:val="24"/>
        </w:rPr>
      </w:pP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甲方（公章）</w:t>
      </w:r>
      <w:r>
        <w:rPr>
          <w:rFonts w:ascii="宋体" w:hAnsi="宋体" w:eastAsia="宋体" w:cs="宋体"/>
          <w:color w:val="auto"/>
          <w:sz w:val="24"/>
          <w:szCs w:val="24"/>
        </w:rPr>
        <w:t xml:space="preserve">                              </w:t>
      </w:r>
      <w:r>
        <w:rPr>
          <w:rFonts w:hint="eastAsia" w:ascii="宋体" w:hAnsi="宋体" w:eastAsia="宋体" w:cs="宋体"/>
          <w:color w:val="auto"/>
          <w:sz w:val="24"/>
          <w:szCs w:val="24"/>
        </w:rPr>
        <w:t>乙方（公章）</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法定代表人：</w:t>
      </w:r>
      <w:r>
        <w:rPr>
          <w:rFonts w:ascii="宋体" w:hAnsi="宋体" w:eastAsia="宋体" w:cs="宋体"/>
          <w:color w:val="auto"/>
          <w:sz w:val="24"/>
          <w:szCs w:val="24"/>
        </w:rPr>
        <w:t xml:space="preserve">                              </w:t>
      </w:r>
      <w:r>
        <w:rPr>
          <w:rFonts w:hint="eastAsia" w:ascii="宋体" w:hAnsi="宋体" w:eastAsia="宋体" w:cs="宋体"/>
          <w:color w:val="auto"/>
          <w:sz w:val="24"/>
          <w:szCs w:val="24"/>
        </w:rPr>
        <w:t>法定代表人：</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委托代理人：</w:t>
      </w:r>
      <w:r>
        <w:rPr>
          <w:rFonts w:ascii="宋体" w:hAnsi="宋体" w:eastAsia="宋体" w:cs="宋体"/>
          <w:color w:val="auto"/>
          <w:sz w:val="24"/>
          <w:szCs w:val="24"/>
        </w:rPr>
        <w:t xml:space="preserve">                               </w:t>
      </w:r>
      <w:r>
        <w:rPr>
          <w:rFonts w:hint="eastAsia" w:ascii="宋体" w:hAnsi="宋体" w:eastAsia="宋体" w:cs="宋体"/>
          <w:color w:val="auto"/>
          <w:sz w:val="24"/>
          <w:szCs w:val="24"/>
        </w:rPr>
        <w:t>委托代理人：</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联系电话：</w:t>
      </w:r>
      <w:r>
        <w:rPr>
          <w:rFonts w:ascii="宋体" w:hAnsi="宋体" w:eastAsia="宋体" w:cs="宋体"/>
          <w:color w:val="auto"/>
          <w:sz w:val="24"/>
          <w:szCs w:val="24"/>
        </w:rPr>
        <w:t xml:space="preserve">                                 </w:t>
      </w:r>
      <w:r>
        <w:rPr>
          <w:rFonts w:hint="eastAsia" w:ascii="宋体" w:hAnsi="宋体" w:eastAsia="宋体" w:cs="宋体"/>
          <w:color w:val="auto"/>
          <w:sz w:val="24"/>
          <w:szCs w:val="24"/>
        </w:rPr>
        <w:t>联系电话：</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开户银行：</w:t>
      </w:r>
      <w:r>
        <w:rPr>
          <w:rFonts w:ascii="宋体" w:hAnsi="宋体" w:eastAsia="宋体" w:cs="宋体"/>
          <w:color w:val="auto"/>
          <w:sz w:val="24"/>
          <w:szCs w:val="24"/>
        </w:rPr>
        <w:t xml:space="preserve">                                 </w:t>
      </w:r>
      <w:r>
        <w:rPr>
          <w:rFonts w:hint="eastAsia" w:ascii="宋体" w:hAnsi="宋体" w:eastAsia="宋体" w:cs="宋体"/>
          <w:color w:val="auto"/>
          <w:sz w:val="24"/>
          <w:szCs w:val="24"/>
        </w:rPr>
        <w:t>开户银行：</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帐号：</w:t>
      </w:r>
      <w:r>
        <w:rPr>
          <w:rFonts w:ascii="宋体" w:hAnsi="宋体" w:eastAsia="宋体" w:cs="宋体"/>
          <w:color w:val="auto"/>
          <w:sz w:val="24"/>
          <w:szCs w:val="24"/>
        </w:rPr>
        <w:t xml:space="preserve">                                     </w:t>
      </w:r>
      <w:r>
        <w:rPr>
          <w:rFonts w:hint="eastAsia" w:ascii="宋体" w:hAnsi="宋体" w:eastAsia="宋体" w:cs="宋体"/>
          <w:color w:val="auto"/>
          <w:sz w:val="24"/>
          <w:szCs w:val="24"/>
        </w:rPr>
        <w:t>帐号：</w:t>
      </w:r>
    </w:p>
    <w:p>
      <w:pPr>
        <w:spacing w:line="44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地址及邮编：</w:t>
      </w:r>
      <w:r>
        <w:rPr>
          <w:rFonts w:ascii="宋体" w:hAnsi="宋体" w:eastAsia="宋体" w:cs="宋体"/>
          <w:color w:val="auto"/>
          <w:sz w:val="24"/>
          <w:szCs w:val="24"/>
        </w:rPr>
        <w:t xml:space="preserve">                               </w:t>
      </w:r>
      <w:r>
        <w:rPr>
          <w:rFonts w:hint="eastAsia" w:ascii="宋体" w:hAnsi="宋体" w:eastAsia="宋体" w:cs="宋体"/>
          <w:color w:val="auto"/>
          <w:sz w:val="24"/>
          <w:szCs w:val="24"/>
        </w:rPr>
        <w:t>地址及邮编：</w:t>
      </w:r>
    </w:p>
    <w:p>
      <w:pPr>
        <w:spacing w:line="440" w:lineRule="exact"/>
        <w:ind w:firstLine="480" w:firstLineChars="200"/>
        <w:rPr>
          <w:rFonts w:ascii="宋体" w:hAnsi="Times New Roman" w:eastAsia="宋体" w:cs="宋体"/>
          <w:color w:val="auto"/>
          <w:sz w:val="24"/>
          <w:szCs w:val="24"/>
        </w:rPr>
      </w:pPr>
    </w:p>
    <w:p>
      <w:pPr>
        <w:widowControl/>
        <w:jc w:val="left"/>
        <w:rPr>
          <w:rFonts w:ascii="Times New Roman" w:hAnsi="Times New Roman" w:eastAsia="宋体" w:cs="Times New Roman"/>
          <w:sz w:val="23"/>
          <w:szCs w:val="23"/>
        </w:rPr>
      </w:pPr>
      <w:r>
        <w:rPr>
          <w:rFonts w:hint="eastAsia" w:ascii="宋体" w:hAnsi="宋体" w:eastAsia="宋体" w:cs="宋体"/>
          <w:color w:val="auto"/>
          <w:sz w:val="24"/>
          <w:szCs w:val="24"/>
        </w:rPr>
        <w:t>签订时间：</w:t>
      </w:r>
      <w:r>
        <w:rPr>
          <w:rFonts w:ascii="宋体" w:hAnsi="宋体" w:eastAsia="宋体" w:cs="宋体"/>
          <w:color w:val="auto"/>
          <w:sz w:val="24"/>
          <w:szCs w:val="24"/>
        </w:rPr>
        <w:t xml:space="preserve">    </w:t>
      </w:r>
      <w:r>
        <w:rPr>
          <w:rFonts w:hint="eastAsia" w:ascii="宋体" w:hAnsi="宋体" w:eastAsia="宋体" w:cs="宋体"/>
          <w:color w:val="auto"/>
          <w:sz w:val="24"/>
          <w:szCs w:val="24"/>
        </w:rPr>
        <w:t>年</w:t>
      </w:r>
      <w:r>
        <w:rPr>
          <w:rFonts w:ascii="宋体" w:hAnsi="宋体" w:eastAsia="宋体" w:cs="宋体"/>
          <w:color w:val="auto"/>
          <w:sz w:val="24"/>
          <w:szCs w:val="24"/>
        </w:rPr>
        <w:t xml:space="preserve">   </w:t>
      </w:r>
      <w:r>
        <w:rPr>
          <w:rFonts w:hint="eastAsia" w:ascii="宋体" w:hAnsi="宋体" w:eastAsia="宋体" w:cs="宋体"/>
          <w:color w:val="auto"/>
          <w:sz w:val="24"/>
          <w:szCs w:val="24"/>
        </w:rPr>
        <w:t>月</w:t>
      </w:r>
      <w:r>
        <w:rPr>
          <w:rFonts w:ascii="宋体" w:hAnsi="宋体" w:eastAsia="宋体" w:cs="宋体"/>
          <w:color w:val="auto"/>
          <w:sz w:val="24"/>
          <w:szCs w:val="24"/>
        </w:rPr>
        <w:t xml:space="preserve">    </w:t>
      </w:r>
      <w:r>
        <w:rPr>
          <w:rFonts w:hint="eastAsia" w:ascii="宋体" w:hAnsi="宋体" w:eastAsia="宋体" w:cs="宋体"/>
          <w:color w:val="auto"/>
          <w:sz w:val="24"/>
          <w:szCs w:val="24"/>
        </w:rPr>
        <w:t>日</w:t>
      </w:r>
      <w:r>
        <w:rPr>
          <w:rFonts w:hint="eastAsia" w:ascii="宋体" w:hAnsi="宋体" w:cs="宋体"/>
          <w:color w:val="auto"/>
          <w:sz w:val="24"/>
          <w:szCs w:val="24"/>
        </w:rPr>
        <w:br w:type="page"/>
      </w:r>
      <w:r>
        <w:rPr>
          <w:rFonts w:hint="eastAsia" w:ascii="宋体" w:hAnsi="宋体" w:cs="宋体"/>
          <w:color w:val="auto"/>
          <w:sz w:val="24"/>
          <w:szCs w:val="24"/>
          <w:lang w:val="en-US" w:eastAsia="zh-CN"/>
        </w:rPr>
        <w:t>合同</w:t>
      </w:r>
      <w:r>
        <w:rPr>
          <w:rFonts w:hint="eastAsia" w:ascii="Times New Roman" w:hAnsi="Times New Roman" w:eastAsia="宋体" w:cs="Times New Roman"/>
          <w:sz w:val="23"/>
          <w:szCs w:val="23"/>
        </w:rPr>
        <w:t>附件1：</w:t>
      </w:r>
    </w:p>
    <w:p>
      <w:pPr>
        <w:widowControl/>
        <w:adjustRightInd w:val="0"/>
        <w:snapToGrid w:val="0"/>
        <w:spacing w:before="0"/>
        <w:ind w:right="0"/>
        <w:jc w:val="center"/>
        <w:rPr>
          <w:rFonts w:ascii="宋体" w:hAnsi="宋体" w:eastAsia="宋体" w:cs="宋体"/>
          <w:b/>
          <w:sz w:val="20"/>
          <w:szCs w:val="24"/>
          <w:lang w:val="zh-CN" w:eastAsia="zh-CN" w:bidi="zh-CN"/>
        </w:rPr>
      </w:pPr>
      <w:r>
        <w:rPr>
          <w:rFonts w:hint="eastAsia" w:asciiTheme="majorEastAsia" w:hAnsiTheme="majorEastAsia" w:eastAsiaTheme="majorEastAsia" w:cstheme="majorEastAsia"/>
          <w:b/>
          <w:kern w:val="0"/>
          <w:sz w:val="44"/>
          <w:szCs w:val="44"/>
        </w:rPr>
        <w:t>台州</w:t>
      </w:r>
      <w:r>
        <w:rPr>
          <w:rFonts w:hint="eastAsia" w:asciiTheme="majorEastAsia" w:hAnsiTheme="majorEastAsia" w:eastAsiaTheme="majorEastAsia" w:cstheme="majorEastAsia"/>
          <w:b/>
          <w:kern w:val="0"/>
          <w:sz w:val="44"/>
          <w:szCs w:val="44"/>
          <w:lang w:val="en-US" w:eastAsia="zh-CN"/>
        </w:rPr>
        <w:t>云湖</w:t>
      </w:r>
      <w:r>
        <w:rPr>
          <w:rFonts w:hint="eastAsia" w:asciiTheme="majorEastAsia" w:hAnsiTheme="majorEastAsia" w:eastAsiaTheme="majorEastAsia" w:cstheme="majorEastAsia"/>
          <w:b/>
          <w:kern w:val="0"/>
          <w:sz w:val="44"/>
          <w:szCs w:val="44"/>
        </w:rPr>
        <w:t>小学食堂卫生管理考核细则</w:t>
      </w:r>
    </w:p>
    <w:p>
      <w:pPr>
        <w:adjustRightInd w:val="0"/>
        <w:snapToGrid w:val="0"/>
        <w:spacing w:before="8"/>
        <w:ind w:left="0"/>
        <w:rPr>
          <w:rFonts w:ascii="宋体" w:hAnsi="宋体" w:eastAsia="宋体" w:cs="宋体"/>
          <w:b/>
          <w:sz w:val="22"/>
          <w:szCs w:val="24"/>
          <w:lang w:val="zh-CN" w:eastAsia="zh-CN" w:bidi="zh-CN"/>
        </w:rPr>
      </w:pPr>
    </w:p>
    <w:tbl>
      <w:tblPr>
        <w:tblStyle w:val="25"/>
        <w:tblW w:w="8900" w:type="dxa"/>
        <w:jc w:val="center"/>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741"/>
        <w:gridCol w:w="4881"/>
        <w:gridCol w:w="593"/>
        <w:gridCol w:w="886"/>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noWrap w:val="0"/>
            <w:vAlign w:val="center"/>
          </w:tcPr>
          <w:p>
            <w:pPr>
              <w:adjustRightInd w:val="0"/>
              <w:snapToGrid w:val="0"/>
              <w:spacing w:before="17"/>
              <w:ind w:left="237"/>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项目</w:t>
            </w:r>
          </w:p>
        </w:tc>
        <w:tc>
          <w:tcPr>
            <w:tcW w:w="741" w:type="dxa"/>
            <w:noWrap w:val="0"/>
            <w:vAlign w:val="center"/>
          </w:tcPr>
          <w:p>
            <w:pPr>
              <w:adjustRightInd w:val="0"/>
              <w:snapToGrid w:val="0"/>
              <w:spacing w:before="156"/>
              <w:ind w:left="91" w:right="86"/>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序号</w:t>
            </w:r>
          </w:p>
        </w:tc>
        <w:tc>
          <w:tcPr>
            <w:tcW w:w="4881" w:type="dxa"/>
            <w:noWrap w:val="0"/>
            <w:vAlign w:val="center"/>
          </w:tcPr>
          <w:p>
            <w:pPr>
              <w:tabs>
                <w:tab w:val="left" w:pos="1975"/>
                <w:tab w:val="left" w:pos="2457"/>
                <w:tab w:val="left" w:pos="2940"/>
              </w:tabs>
              <w:adjustRightInd w:val="0"/>
              <w:snapToGrid w:val="0"/>
              <w:spacing w:before="156"/>
              <w:ind w:left="1495"/>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核</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内</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容</w:t>
            </w:r>
          </w:p>
        </w:tc>
        <w:tc>
          <w:tcPr>
            <w:tcW w:w="593" w:type="dxa"/>
            <w:noWrap w:val="0"/>
            <w:vAlign w:val="center"/>
          </w:tcPr>
          <w:p>
            <w:pPr>
              <w:adjustRightInd w:val="0"/>
              <w:snapToGrid w:val="0"/>
              <w:ind w:left="16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分</w:t>
            </w:r>
          </w:p>
          <w:p>
            <w:pPr>
              <w:adjustRightInd w:val="0"/>
              <w:snapToGrid w:val="0"/>
              <w:spacing w:before="4" w:line="290" w:lineRule="exact"/>
              <w:ind w:left="16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值</w:t>
            </w:r>
          </w:p>
        </w:tc>
        <w:tc>
          <w:tcPr>
            <w:tcW w:w="886" w:type="dxa"/>
            <w:noWrap w:val="0"/>
            <w:vAlign w:val="center"/>
          </w:tcPr>
          <w:p>
            <w:pPr>
              <w:adjustRightInd w:val="0"/>
              <w:snapToGrid w:val="0"/>
              <w:ind w:left="18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5"/>
                <w:sz w:val="21"/>
                <w:szCs w:val="21"/>
                <w:lang w:val="zh-CN" w:eastAsia="zh-CN" w:bidi="zh-CN"/>
              </w:rPr>
              <w:t>考核</w:t>
            </w:r>
          </w:p>
          <w:p>
            <w:pPr>
              <w:adjustRightInd w:val="0"/>
              <w:snapToGrid w:val="0"/>
              <w:spacing w:before="4" w:line="290" w:lineRule="exact"/>
              <w:ind w:left="18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5"/>
                <w:sz w:val="21"/>
                <w:szCs w:val="21"/>
                <w:lang w:val="zh-CN" w:eastAsia="zh-CN" w:bidi="zh-CN"/>
              </w:rPr>
              <w:t>情况</w:t>
            </w:r>
          </w:p>
        </w:tc>
        <w:tc>
          <w:tcPr>
            <w:tcW w:w="799" w:type="dxa"/>
            <w:noWrap w:val="0"/>
            <w:vAlign w:val="center"/>
          </w:tcPr>
          <w:p>
            <w:pPr>
              <w:adjustRightInd w:val="0"/>
              <w:snapToGrid w:val="0"/>
              <w:spacing w:before="156"/>
              <w:ind w:left="14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餐厅20 分</w:t>
            </w:r>
          </w:p>
        </w:tc>
        <w:tc>
          <w:tcPr>
            <w:tcW w:w="741"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各项制度上墙餐厅人员知晓并执行。</w:t>
            </w:r>
          </w:p>
        </w:tc>
        <w:tc>
          <w:tcPr>
            <w:tcW w:w="593"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餐厅四周墙壁及房顶无蜘蛛网、污斑,无苍</w:t>
            </w:r>
            <w:r>
              <w:rPr>
                <w:rFonts w:hint="eastAsia" w:asciiTheme="minorEastAsia" w:hAnsiTheme="minorEastAsia" w:eastAsiaTheme="minorEastAsia" w:cstheme="minorEastAsia"/>
                <w:spacing w:val="-12"/>
                <w:sz w:val="21"/>
                <w:szCs w:val="21"/>
                <w:lang w:val="zh-CN" w:eastAsia="zh-CN" w:bidi="zh-CN"/>
              </w:rPr>
              <w:t>蝇、老鼠，地面应清洁，无尘、无水、无油</w:t>
            </w:r>
          </w:p>
          <w:p>
            <w:pPr>
              <w:adjustRightInd w:val="0"/>
              <w:snapToGrid w:val="0"/>
              <w:spacing w:before="1"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渍，保持干爽。</w:t>
            </w:r>
          </w:p>
        </w:tc>
        <w:tc>
          <w:tcPr>
            <w:tcW w:w="593"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餐厅的电视、电扇、空调、灭蚊器、日光灯</w:t>
            </w:r>
            <w:r>
              <w:rPr>
                <w:rFonts w:hint="eastAsia" w:asciiTheme="minorEastAsia" w:hAnsiTheme="minorEastAsia" w:eastAsiaTheme="minorEastAsia" w:cstheme="minorEastAsia"/>
                <w:sz w:val="21"/>
                <w:szCs w:val="21"/>
                <w:lang w:val="zh-CN" w:eastAsia="zh-CN" w:bidi="zh-CN"/>
              </w:rPr>
              <w:t>等电器保持清洁。</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7"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2" w:line="287"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餐台、坐椅保持清洁干净、无油渍。</w:t>
            </w:r>
          </w:p>
        </w:tc>
        <w:tc>
          <w:tcPr>
            <w:tcW w:w="593" w:type="dxa"/>
            <w:noWrap w:val="0"/>
            <w:vAlign w:val="top"/>
          </w:tcPr>
          <w:p>
            <w:pPr>
              <w:adjustRightInd w:val="0"/>
              <w:snapToGrid w:val="0"/>
              <w:spacing w:before="2" w:line="287"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清洁员必须准备干、湿两种抹布,抹台与抹凳的布不能混用，抹布用后及时清洁晾干。</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spacing w:before="2" w:line="289" w:lineRule="exact"/>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6"/>
                <w:sz w:val="21"/>
                <w:szCs w:val="21"/>
                <w:lang w:val="zh-CN" w:eastAsia="zh-CN" w:bidi="zh-CN"/>
              </w:rPr>
              <w:t>垃圾按规定分类，存放指定地点，及时清理。</w:t>
            </w:r>
          </w:p>
        </w:tc>
        <w:tc>
          <w:tcPr>
            <w:tcW w:w="593"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洗手洗碗池保持卫生，并保证有洗洁精或清</w:t>
            </w:r>
            <w:r>
              <w:rPr>
                <w:rFonts w:hint="eastAsia" w:asciiTheme="minorEastAsia" w:hAnsiTheme="minorEastAsia" w:eastAsiaTheme="minorEastAsia" w:cstheme="minorEastAsia"/>
                <w:sz w:val="21"/>
                <w:szCs w:val="21"/>
                <w:lang w:val="zh-CN" w:eastAsia="zh-CN" w:bidi="zh-CN"/>
              </w:rPr>
              <w:t>洁剂等</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9"/>
                <w:sz w:val="21"/>
                <w:szCs w:val="21"/>
                <w:lang w:val="zh-CN" w:eastAsia="zh-CN" w:bidi="zh-CN"/>
              </w:rPr>
              <w:t>餐厅周围</w:t>
            </w:r>
            <w:r>
              <w:rPr>
                <w:rFonts w:hint="eastAsia" w:asciiTheme="minorEastAsia" w:hAnsiTheme="minorEastAsia" w:eastAsiaTheme="minorEastAsia" w:cstheme="minorEastAsia"/>
                <w:sz w:val="21"/>
                <w:szCs w:val="21"/>
                <w:lang w:val="zh-CN" w:eastAsia="zh-CN" w:bidi="zh-CN"/>
              </w:rPr>
              <w:t>（</w:t>
            </w:r>
            <w:r>
              <w:rPr>
                <w:rFonts w:hint="eastAsia" w:asciiTheme="minorEastAsia" w:hAnsiTheme="minorEastAsia" w:eastAsiaTheme="minorEastAsia" w:cstheme="minorEastAsia"/>
                <w:spacing w:val="-6"/>
                <w:sz w:val="21"/>
                <w:szCs w:val="21"/>
                <w:lang w:val="zh-CN" w:eastAsia="zh-CN" w:bidi="zh-CN"/>
              </w:rPr>
              <w:t>门口窗外、过道排水沟等</w:t>
            </w:r>
            <w:r>
              <w:rPr>
                <w:rFonts w:hint="eastAsia" w:asciiTheme="minorEastAsia" w:hAnsiTheme="minorEastAsia" w:eastAsiaTheme="minorEastAsia" w:cstheme="minorEastAsia"/>
                <w:spacing w:val="-34"/>
                <w:sz w:val="21"/>
                <w:szCs w:val="21"/>
                <w:lang w:val="zh-CN" w:eastAsia="zh-CN" w:bidi="zh-CN"/>
              </w:rPr>
              <w:t>）</w:t>
            </w:r>
            <w:r>
              <w:rPr>
                <w:rFonts w:hint="eastAsia" w:asciiTheme="minorEastAsia" w:hAnsiTheme="minorEastAsia" w:eastAsiaTheme="minorEastAsia" w:cstheme="minorEastAsia"/>
                <w:sz w:val="21"/>
                <w:szCs w:val="21"/>
                <w:lang w:val="zh-CN" w:eastAsia="zh-CN" w:bidi="zh-CN"/>
              </w:rPr>
              <w:t>无垃圾，保持清洁。</w:t>
            </w:r>
          </w:p>
        </w:tc>
        <w:tc>
          <w:tcPr>
            <w:tcW w:w="593" w:type="dxa"/>
            <w:noWrap w:val="0"/>
            <w:vAlign w:val="top"/>
          </w:tcPr>
          <w:p>
            <w:pPr>
              <w:adjustRightInd w:val="0"/>
              <w:snapToGrid w:val="0"/>
              <w:spacing w:before="158"/>
              <w:ind w:left="15"/>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2"/>
                <w:sz w:val="21"/>
                <w:szCs w:val="21"/>
                <w:lang w:val="zh-CN" w:eastAsia="zh-CN" w:bidi="zh-CN"/>
              </w:rPr>
              <w:t>餐具清洗干净，无水渍油渍。消毒柜内餐具</w:t>
            </w:r>
            <w:r>
              <w:rPr>
                <w:rFonts w:hint="eastAsia" w:asciiTheme="minorEastAsia" w:hAnsiTheme="minorEastAsia" w:eastAsiaTheme="minorEastAsia" w:cstheme="minorEastAsia"/>
                <w:spacing w:val="-11"/>
                <w:sz w:val="21"/>
                <w:szCs w:val="21"/>
                <w:lang w:val="zh-CN" w:eastAsia="zh-CN" w:bidi="zh-CN"/>
              </w:rPr>
              <w:t>按规定摆放整齐，能达到消毒效果。不允许</w:t>
            </w:r>
          </w:p>
          <w:p>
            <w:pPr>
              <w:adjustRightInd w:val="0"/>
              <w:snapToGrid w:val="0"/>
              <w:spacing w:before="3"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提供使用一次性筷子。</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6"/>
              <w:rPr>
                <w:rFonts w:hint="eastAsia" w:asciiTheme="minorEastAsia" w:hAnsiTheme="minorEastAsia" w:eastAsiaTheme="minorEastAsia" w:cstheme="minorEastAsia"/>
                <w:b/>
                <w:sz w:val="21"/>
                <w:szCs w:val="21"/>
                <w:lang w:val="zh-CN" w:eastAsia="zh-CN" w:bidi="zh-CN"/>
              </w:rPr>
            </w:pPr>
          </w:p>
          <w:p>
            <w:pPr>
              <w:adjustRightInd w:val="0"/>
              <w:snapToGrid w:val="0"/>
              <w:spacing w:line="242" w:lineRule="auto"/>
              <w:ind w:left="206" w:right="117" w:hanging="99"/>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操作间40 分</w:t>
            </w:r>
          </w:p>
        </w:tc>
        <w:tc>
          <w:tcPr>
            <w:tcW w:w="741"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销售凉菜应设置凉菜间。操作间内不能有老</w:t>
            </w:r>
            <w:r>
              <w:rPr>
                <w:rFonts w:hint="eastAsia" w:asciiTheme="minorEastAsia" w:hAnsiTheme="minorEastAsia" w:eastAsiaTheme="minorEastAsia" w:cstheme="minorEastAsia"/>
                <w:sz w:val="21"/>
                <w:szCs w:val="21"/>
                <w:lang w:val="zh-CN" w:eastAsia="zh-CN" w:bidi="zh-CN"/>
              </w:rPr>
              <w:t>鼠、苍蝇。</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1"/>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切配台在操作过程中应始终保持清洁。刀、案板等应保持卫生，生熟须分开摆放使用。</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食具应经过粗洗、清洁精洗、清水清洗、消</w:t>
            </w:r>
            <w:r>
              <w:rPr>
                <w:rFonts w:hint="eastAsia" w:asciiTheme="minorEastAsia" w:hAnsiTheme="minorEastAsia" w:eastAsiaTheme="minorEastAsia" w:cstheme="minorEastAsia"/>
                <w:sz w:val="21"/>
                <w:szCs w:val="21"/>
                <w:lang w:val="zh-CN" w:eastAsia="zh-CN" w:bidi="zh-CN"/>
              </w:rPr>
              <w:t>毒四道工序。然后将洗碗池周围打扫干净。</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3"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7"/>
                <w:sz w:val="21"/>
                <w:szCs w:val="21"/>
                <w:lang w:val="zh-CN" w:eastAsia="zh-CN" w:bidi="zh-CN"/>
              </w:rPr>
              <w:t>洗菜过程中应保持洗菜池及周围干净，把废</w:t>
            </w:r>
            <w:r>
              <w:rPr>
                <w:rFonts w:hint="eastAsia" w:asciiTheme="minorEastAsia" w:hAnsiTheme="minorEastAsia" w:eastAsiaTheme="minorEastAsia" w:cstheme="minorEastAsia"/>
                <w:spacing w:val="-12"/>
                <w:sz w:val="21"/>
                <w:szCs w:val="21"/>
                <w:lang w:val="zh-CN" w:eastAsia="zh-CN" w:bidi="zh-CN"/>
              </w:rPr>
              <w:t>弃的菜头、烂叶、杂物随时放入垃圾桶。洗</w:t>
            </w:r>
            <w:r>
              <w:rPr>
                <w:rFonts w:hint="eastAsia" w:asciiTheme="minorEastAsia" w:hAnsiTheme="minorEastAsia" w:eastAsiaTheme="minorEastAsia" w:cstheme="minorEastAsia"/>
                <w:spacing w:val="-9"/>
                <w:sz w:val="21"/>
                <w:szCs w:val="21"/>
                <w:lang w:val="zh-CN" w:eastAsia="zh-CN" w:bidi="zh-CN"/>
              </w:rPr>
              <w:t>完菜后应清理洗菜池及下水道，并把垃圾桶</w:t>
            </w:r>
          </w:p>
          <w:p>
            <w:pPr>
              <w:adjustRightInd w:val="0"/>
              <w:snapToGrid w:val="0"/>
              <w:spacing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加盖或搬出厨房。</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过餐的饭菜及其他变质、变味的食品应及时</w:t>
            </w:r>
          </w:p>
          <w:p>
            <w:pPr>
              <w:adjustRightInd w:val="0"/>
              <w:snapToGrid w:val="0"/>
              <w:spacing w:before="4"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清理。</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spacing w:before="1" w:line="242" w:lineRule="auto"/>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 xml:space="preserve">厨师操作期间应始终保持台面、锅边干净， </w:t>
            </w:r>
            <w:r>
              <w:rPr>
                <w:rFonts w:hint="eastAsia" w:asciiTheme="minorEastAsia" w:hAnsiTheme="minorEastAsia" w:eastAsiaTheme="minorEastAsia" w:cstheme="minorEastAsia"/>
                <w:spacing w:val="-9"/>
                <w:sz w:val="21"/>
                <w:szCs w:val="21"/>
                <w:lang w:val="zh-CN" w:eastAsia="zh-CN" w:bidi="zh-CN"/>
              </w:rPr>
              <w:t>在做好菜后应清洗炒菜锅、台面、油烟罩及</w:t>
            </w:r>
            <w:r>
              <w:rPr>
                <w:rFonts w:hint="eastAsia" w:asciiTheme="minorEastAsia" w:hAnsiTheme="minorEastAsia" w:eastAsiaTheme="minorEastAsia" w:cstheme="minorEastAsia"/>
                <w:spacing w:val="-13"/>
                <w:sz w:val="21"/>
                <w:szCs w:val="21"/>
                <w:lang w:val="zh-CN" w:eastAsia="zh-CN" w:bidi="zh-CN"/>
              </w:rPr>
              <w:t>其厨具。蒸饭台应保持卫生，散漏的饭应收</w:t>
            </w:r>
          </w:p>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集放剩菜桶。</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spacing w:before="2"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3"/>
                <w:sz w:val="21"/>
                <w:szCs w:val="21"/>
                <w:lang w:val="zh-CN" w:eastAsia="zh-CN" w:bidi="zh-CN"/>
              </w:rPr>
              <w:t>冰箱、冰柜等内外保持清洁，生熟食品应分</w:t>
            </w:r>
            <w:r>
              <w:rPr>
                <w:rFonts w:hint="eastAsia" w:asciiTheme="minorEastAsia" w:hAnsiTheme="minorEastAsia" w:eastAsiaTheme="minorEastAsia" w:cstheme="minorEastAsia"/>
                <w:spacing w:val="-12"/>
                <w:sz w:val="21"/>
                <w:szCs w:val="21"/>
                <w:lang w:val="zh-CN" w:eastAsia="zh-CN" w:bidi="zh-CN"/>
              </w:rPr>
              <w:t>开存放。冰箱内的食品每周应至少解冻清理</w:t>
            </w:r>
          </w:p>
          <w:p>
            <w:pPr>
              <w:adjustRightInd w:val="0"/>
              <w:snapToGrid w:val="0"/>
              <w:spacing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一次。</w:t>
            </w:r>
          </w:p>
        </w:tc>
        <w:tc>
          <w:tcPr>
            <w:tcW w:w="593"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90" w:lineRule="exact"/>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调料品摆放整齐，标示清楚。</w:t>
            </w:r>
          </w:p>
        </w:tc>
        <w:tc>
          <w:tcPr>
            <w:tcW w:w="593"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 w:line="289" w:lineRule="exact"/>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before="1"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用来盛熟菜的盆不得直接层叠放置。</w:t>
            </w:r>
          </w:p>
        </w:tc>
        <w:tc>
          <w:tcPr>
            <w:tcW w:w="593" w:type="dxa"/>
            <w:noWrap w:val="0"/>
            <w:vAlign w:val="top"/>
          </w:tcPr>
          <w:p>
            <w:pPr>
              <w:adjustRightInd w:val="0"/>
              <w:snapToGrid w:val="0"/>
              <w:spacing w:before="1"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5"/>
              <w:ind w:left="179"/>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10</w:t>
            </w:r>
          </w:p>
        </w:tc>
        <w:tc>
          <w:tcPr>
            <w:tcW w:w="4881" w:type="dxa"/>
            <w:noWrap w:val="0"/>
            <w:vAlign w:val="center"/>
          </w:tcPr>
          <w:p>
            <w:pPr>
              <w:adjustRightInd w:val="0"/>
              <w:snapToGrid w:val="0"/>
              <w:spacing w:line="310" w:lineRule="atLeast"/>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厨房内压面机、搅面机等设备应保持清洁， 使用规定合格的润滑油。</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235"/>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11</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供餐台应清洁卫生，与餐厅应有能封闭的隔</w:t>
            </w:r>
            <w:r>
              <w:rPr>
                <w:rFonts w:hint="eastAsia" w:asciiTheme="minorEastAsia" w:hAnsiTheme="minorEastAsia" w:eastAsiaTheme="minorEastAsia" w:cstheme="minorEastAsia"/>
                <w:spacing w:val="-12"/>
                <w:sz w:val="21"/>
                <w:szCs w:val="21"/>
                <w:lang w:val="zh-CN" w:eastAsia="zh-CN" w:bidi="zh-CN"/>
              </w:rPr>
              <w:t>断，不供餐时进行封闭；供餐期间随时清理</w:t>
            </w:r>
            <w:r>
              <w:rPr>
                <w:rFonts w:hint="eastAsia" w:asciiTheme="minorEastAsia" w:hAnsiTheme="minorEastAsia" w:eastAsiaTheme="minorEastAsia" w:cstheme="minorEastAsia"/>
                <w:spacing w:val="-9"/>
                <w:sz w:val="21"/>
                <w:szCs w:val="21"/>
                <w:lang w:val="zh-CN" w:eastAsia="zh-CN" w:bidi="zh-CN"/>
              </w:rPr>
              <w:t>散漏的菜饭并收集放入剩菜桶，保持供餐台</w:t>
            </w:r>
          </w:p>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清洁；供餐后供餐台随时打扫干净。</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储物间与前台20 分</w:t>
            </w: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仓库地面干净，无水渍、无油渍，每天至少</w:t>
            </w:r>
          </w:p>
          <w:p>
            <w:pPr>
              <w:adjustRightInd w:val="0"/>
              <w:snapToGrid w:val="0"/>
              <w:spacing w:before="5"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清扫一次。</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line="310" w:lineRule="atLeast"/>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8"/>
                <w:sz w:val="21"/>
                <w:szCs w:val="21"/>
                <w:lang w:val="zh-CN" w:eastAsia="zh-CN" w:bidi="zh-CN"/>
              </w:rPr>
              <w:t>仓库的食品应做好卫生防护，做好防潮、防</w:t>
            </w:r>
            <w:r>
              <w:rPr>
                <w:rFonts w:hint="eastAsia" w:asciiTheme="minorEastAsia" w:hAnsiTheme="minorEastAsia" w:eastAsiaTheme="minorEastAsia" w:cstheme="minorEastAsia"/>
                <w:sz w:val="21"/>
                <w:szCs w:val="21"/>
                <w:lang w:val="zh-CN" w:eastAsia="zh-CN" w:bidi="zh-CN"/>
              </w:rPr>
              <w:t>霉、防尘。</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仓库应做好除“四害”工作，使仓库内无老</w:t>
            </w:r>
          </w:p>
          <w:p>
            <w:pPr>
              <w:adjustRightInd w:val="0"/>
              <w:snapToGrid w:val="0"/>
              <w:spacing w:before="5" w:line="288"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鼠、苍蝇、蟑螂及其他有害虫类。</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9"/>
                <w:sz w:val="21"/>
                <w:szCs w:val="21"/>
                <w:lang w:val="zh-CN" w:eastAsia="zh-CN" w:bidi="zh-CN"/>
              </w:rPr>
              <w:t>食品的外包装应每天清洁，不应有灰尘及其</w:t>
            </w:r>
          </w:p>
          <w:p>
            <w:pPr>
              <w:adjustRightInd w:val="0"/>
              <w:snapToGrid w:val="0"/>
              <w:spacing w:before="5"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他污物。</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2"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过期、变质、变味的食品应及时清理。</w:t>
            </w:r>
          </w:p>
        </w:tc>
        <w:tc>
          <w:tcPr>
            <w:tcW w:w="593"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仓库及餐厅的门、窗等应保持清洁，无尘无</w:t>
            </w:r>
          </w:p>
          <w:p>
            <w:pPr>
              <w:adjustRightInd w:val="0"/>
              <w:snapToGrid w:val="0"/>
              <w:spacing w:before="5"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污斑。</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应对已开封口未用完的食品做好卫生及防</w:t>
            </w:r>
          </w:p>
          <w:p>
            <w:pPr>
              <w:adjustRightInd w:val="0"/>
              <w:snapToGrid w:val="0"/>
              <w:spacing w:before="4"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腐保护。</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line="242" w:lineRule="auto"/>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7"/>
                <w:sz w:val="21"/>
                <w:szCs w:val="21"/>
                <w:lang w:val="zh-CN" w:eastAsia="zh-CN" w:bidi="zh-CN"/>
              </w:rPr>
              <w:t xml:space="preserve">仓库的柜、货架、盛物篮等工具应保持清洁， </w:t>
            </w:r>
            <w:r>
              <w:rPr>
                <w:rFonts w:hint="eastAsia" w:asciiTheme="minorEastAsia" w:hAnsiTheme="minorEastAsia" w:eastAsiaTheme="minorEastAsia" w:cstheme="minorEastAsia"/>
                <w:spacing w:val="-18"/>
                <w:sz w:val="21"/>
                <w:szCs w:val="21"/>
                <w:lang w:val="zh-CN" w:eastAsia="zh-CN" w:bidi="zh-CN"/>
              </w:rPr>
              <w:t>库存原料及调料品摆放整齐，标示清楚，标</w:t>
            </w:r>
          </w:p>
          <w:p>
            <w:pPr>
              <w:adjustRightInd w:val="0"/>
              <w:snapToGrid w:val="0"/>
              <w:spacing w:before="3"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有出厂日期。</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6"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8"/>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前台物品摆放整齐，地面干净卫生，墙面屋</w:t>
            </w:r>
            <w:r>
              <w:rPr>
                <w:rFonts w:hint="eastAsia" w:asciiTheme="minorEastAsia" w:hAnsiTheme="minorEastAsia" w:eastAsiaTheme="minorEastAsia" w:cstheme="minorEastAsia"/>
                <w:sz w:val="21"/>
                <w:szCs w:val="21"/>
                <w:lang w:val="zh-CN" w:eastAsia="zh-CN" w:bidi="zh-CN"/>
              </w:rPr>
              <w:t>顶无蜘蛛网、污斑,无苍蝇、老鼠，地面清</w:t>
            </w:r>
            <w:r>
              <w:rPr>
                <w:rFonts w:hint="eastAsia" w:asciiTheme="minorEastAsia" w:hAnsiTheme="minorEastAsia" w:eastAsiaTheme="minorEastAsia" w:cstheme="minorEastAsia"/>
                <w:spacing w:val="-12"/>
                <w:sz w:val="21"/>
                <w:szCs w:val="21"/>
                <w:lang w:val="zh-CN" w:eastAsia="zh-CN" w:bidi="zh-CN"/>
              </w:rPr>
              <w:t>洁，无尘、无水、无油渍，保持干爽；不能</w:t>
            </w:r>
            <w:r>
              <w:rPr>
                <w:rFonts w:hint="eastAsia" w:asciiTheme="minorEastAsia" w:hAnsiTheme="minorEastAsia" w:eastAsiaTheme="minorEastAsia" w:cstheme="minorEastAsia"/>
                <w:spacing w:val="-7"/>
                <w:sz w:val="21"/>
                <w:szCs w:val="21"/>
                <w:lang w:val="zh-CN" w:eastAsia="zh-CN" w:bidi="zh-CN"/>
              </w:rPr>
              <w:t>摆放、出售无关的商品</w:t>
            </w:r>
            <w:r>
              <w:rPr>
                <w:rFonts w:hint="eastAsia" w:asciiTheme="minorEastAsia" w:hAnsiTheme="minorEastAsia" w:eastAsiaTheme="minorEastAsia" w:cstheme="minorEastAsia"/>
                <w:sz w:val="21"/>
                <w:szCs w:val="21"/>
                <w:lang w:val="zh-CN" w:eastAsia="zh-CN" w:bidi="zh-CN"/>
              </w:rPr>
              <w:t>（米面油烟等</w:t>
            </w:r>
            <w:r>
              <w:rPr>
                <w:rFonts w:hint="eastAsia" w:asciiTheme="minorEastAsia" w:hAnsiTheme="minorEastAsia" w:eastAsiaTheme="minorEastAsia" w:cstheme="minorEastAsia"/>
                <w:spacing w:val="-26"/>
                <w:sz w:val="21"/>
                <w:szCs w:val="21"/>
                <w:lang w:val="zh-CN" w:eastAsia="zh-CN" w:bidi="zh-CN"/>
              </w:rPr>
              <w:t>）</w:t>
            </w:r>
            <w:r>
              <w:rPr>
                <w:rFonts w:hint="eastAsia" w:asciiTheme="minorEastAsia" w:hAnsiTheme="minorEastAsia" w:eastAsiaTheme="minorEastAsia" w:cstheme="minorEastAsia"/>
                <w:spacing w:val="-21"/>
                <w:sz w:val="21"/>
                <w:szCs w:val="21"/>
                <w:lang w:val="zh-CN" w:eastAsia="zh-CN" w:bidi="zh-CN"/>
              </w:rPr>
              <w:t>；餐</w:t>
            </w:r>
          </w:p>
          <w:p>
            <w:pPr>
              <w:adjustRightInd w:val="0"/>
              <w:snapToGrid w:val="0"/>
              <w:spacing w:before="1" w:line="291"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厅台账清楚，购置合格食材,有购货发票。</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8"/>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91" w:line="242" w:lineRule="auto"/>
              <w:ind w:left="115" w:right="109"/>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个人卫生 20 分</w:t>
            </w: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工作期间必须按规定穿好工作衣、戴好工</w:t>
            </w:r>
          </w:p>
          <w:p>
            <w:pPr>
              <w:adjustRightInd w:val="0"/>
              <w:snapToGrid w:val="0"/>
              <w:spacing w:before="5"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帽，更衣室内清洁、整齐。</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工作前应清洁双手。供餐时须戴口罩和卫生</w:t>
            </w:r>
          </w:p>
          <w:p>
            <w:pPr>
              <w:adjustRightInd w:val="0"/>
              <w:snapToGrid w:val="0"/>
              <w:spacing w:before="4"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手套。</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7"/>
                <w:sz w:val="21"/>
                <w:szCs w:val="21"/>
                <w:lang w:val="zh-CN" w:eastAsia="zh-CN" w:bidi="zh-CN"/>
              </w:rPr>
              <w:t>个人须办健康证并保证健康证有效，有疾病</w:t>
            </w:r>
          </w:p>
          <w:p>
            <w:pPr>
              <w:adjustRightInd w:val="0"/>
              <w:snapToGrid w:val="0"/>
              <w:spacing w:before="2" w:line="310" w:lineRule="atLeast"/>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应及时报告主管，如有传染病或皮肤病不能</w:t>
            </w:r>
            <w:r>
              <w:rPr>
                <w:rFonts w:hint="eastAsia" w:asciiTheme="minorEastAsia" w:hAnsiTheme="minorEastAsia" w:eastAsiaTheme="minorEastAsia" w:cstheme="minorEastAsia"/>
                <w:sz w:val="21"/>
                <w:szCs w:val="21"/>
                <w:lang w:val="zh-CN" w:eastAsia="zh-CN" w:bidi="zh-CN"/>
              </w:rPr>
              <w:t>上班。</w:t>
            </w:r>
          </w:p>
        </w:tc>
        <w:tc>
          <w:tcPr>
            <w:tcW w:w="593"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2"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员工工作期间不得戴戒指。男员工不得留长</w:t>
            </w:r>
            <w:r>
              <w:rPr>
                <w:rFonts w:hint="eastAsia" w:asciiTheme="minorEastAsia" w:hAnsiTheme="minorEastAsia" w:eastAsiaTheme="minorEastAsia" w:cstheme="minorEastAsia"/>
                <w:spacing w:val="-12"/>
                <w:sz w:val="21"/>
                <w:szCs w:val="21"/>
                <w:lang w:val="zh-CN" w:eastAsia="zh-CN" w:bidi="zh-CN"/>
              </w:rPr>
              <w:t>发，不留胡子，不留长指甲；女员工头发应</w:t>
            </w:r>
          </w:p>
          <w:p>
            <w:pPr>
              <w:adjustRightInd w:val="0"/>
              <w:snapToGrid w:val="0"/>
              <w:spacing w:line="289" w:lineRule="exact"/>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6"/>
                <w:sz w:val="21"/>
                <w:szCs w:val="21"/>
                <w:lang w:val="zh-CN" w:eastAsia="zh-CN" w:bidi="zh-CN"/>
              </w:rPr>
              <w:t>用工帽扎好，不得留长指甲，不得涂指甲油。</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餐厅、厨房、仓库、电脑室内严禁吸烟、吐</w:t>
            </w:r>
          </w:p>
          <w:p>
            <w:pPr>
              <w:adjustRightInd w:val="0"/>
              <w:snapToGrid w:val="0"/>
              <w:spacing w:before="4"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痰、丢垃圾。</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bl>
    <w:p>
      <w:pPr>
        <w:keepNext w:val="0"/>
        <w:keepLines w:val="0"/>
        <w:pageBreakBefore w:val="0"/>
        <w:widowControl w:val="0"/>
        <w:kinsoku/>
        <w:wordWrap/>
        <w:overflowPunct/>
        <w:topLinePunct w:val="0"/>
        <w:autoSpaceDE/>
        <w:autoSpaceDN/>
        <w:bidi w:val="0"/>
        <w:adjustRightInd w:val="0"/>
        <w:snapToGrid w:val="0"/>
        <w:spacing w:after="312" w:afterLines="100" w:line="264" w:lineRule="auto"/>
        <w:jc w:val="right"/>
        <w:textAlignment w:val="auto"/>
        <w:rPr>
          <w:rFonts w:ascii="Times New Roman" w:hAnsi="Times New Roman" w:eastAsia="宋体" w:cs="Times New Roman"/>
          <w:sz w:val="23"/>
          <w:szCs w:val="23"/>
        </w:rPr>
      </w:pPr>
    </w:p>
    <w:p>
      <w:pPr>
        <w:widowControl/>
        <w:jc w:val="left"/>
        <w:rPr>
          <w:rFonts w:ascii="Times New Roman" w:hAnsi="Times New Roman" w:eastAsia="宋体" w:cs="Times New Roman"/>
          <w:sz w:val="23"/>
          <w:szCs w:val="23"/>
        </w:rPr>
      </w:pPr>
      <w:r>
        <w:rPr>
          <w:rFonts w:hint="eastAsia" w:ascii="Times New Roman" w:hAnsi="Times New Roman" w:eastAsia="宋体" w:cs="Times New Roman"/>
          <w:sz w:val="23"/>
          <w:szCs w:val="23"/>
          <w:lang w:val="en-US" w:eastAsia="zh-CN"/>
        </w:rPr>
        <w:br w:type="page"/>
      </w:r>
      <w:r>
        <w:rPr>
          <w:rFonts w:hint="eastAsia" w:ascii="Times New Roman" w:hAnsi="Times New Roman" w:eastAsia="宋体" w:cs="Times New Roman"/>
          <w:sz w:val="23"/>
          <w:szCs w:val="23"/>
          <w:lang w:val="en-US" w:eastAsia="zh-CN"/>
        </w:rPr>
        <w:t>合同</w:t>
      </w:r>
      <w:r>
        <w:rPr>
          <w:rFonts w:hint="eastAsia" w:ascii="Times New Roman" w:hAnsi="Times New Roman" w:eastAsia="宋体" w:cs="Times New Roman"/>
          <w:sz w:val="23"/>
          <w:szCs w:val="23"/>
        </w:rPr>
        <w:t>附件2：</w:t>
      </w:r>
    </w:p>
    <w:p>
      <w:pPr>
        <w:widowControl/>
        <w:tabs>
          <w:tab w:val="left" w:pos="2077"/>
        </w:tabs>
        <w:adjustRightInd w:val="0"/>
        <w:snapToGrid w:val="0"/>
        <w:spacing w:before="66"/>
        <w:ind w:left="217" w:right="0" w:firstLine="0"/>
        <w:jc w:val="center"/>
        <w:rPr>
          <w:rFonts w:hint="eastAsia" w:ascii="黑体" w:hAnsi="黑体" w:eastAsia="黑体" w:cs="黑体"/>
          <w:b/>
          <w:kern w:val="0"/>
          <w:sz w:val="44"/>
          <w:szCs w:val="44"/>
        </w:rPr>
      </w:pPr>
      <w:r>
        <w:rPr>
          <w:rFonts w:hint="eastAsia" w:asciiTheme="majorEastAsia" w:hAnsiTheme="majorEastAsia" w:eastAsiaTheme="majorEastAsia" w:cstheme="majorEastAsia"/>
          <w:b/>
          <w:kern w:val="0"/>
          <w:sz w:val="44"/>
          <w:szCs w:val="44"/>
        </w:rPr>
        <w:t>台州</w:t>
      </w:r>
      <w:r>
        <w:rPr>
          <w:rFonts w:hint="eastAsia" w:asciiTheme="majorEastAsia" w:hAnsiTheme="majorEastAsia" w:eastAsiaTheme="majorEastAsia" w:cstheme="majorEastAsia"/>
          <w:b/>
          <w:kern w:val="0"/>
          <w:sz w:val="44"/>
          <w:szCs w:val="44"/>
          <w:lang w:val="en-US" w:eastAsia="zh-CN"/>
        </w:rPr>
        <w:t>云湖</w:t>
      </w:r>
      <w:r>
        <w:rPr>
          <w:rFonts w:hint="eastAsia" w:asciiTheme="majorEastAsia" w:hAnsiTheme="majorEastAsia" w:eastAsiaTheme="majorEastAsia" w:cstheme="majorEastAsia"/>
          <w:b/>
          <w:kern w:val="0"/>
          <w:sz w:val="44"/>
          <w:szCs w:val="44"/>
        </w:rPr>
        <w:t>小学食品安全管理考核细则</w:t>
      </w:r>
    </w:p>
    <w:p>
      <w:pPr>
        <w:adjustRightInd w:val="0"/>
        <w:snapToGrid w:val="0"/>
        <w:spacing w:before="5" w:after="1"/>
        <w:ind w:left="0"/>
        <w:rPr>
          <w:rFonts w:ascii="宋体" w:hAnsi="宋体" w:eastAsia="宋体" w:cs="宋体"/>
          <w:b/>
          <w:sz w:val="12"/>
          <w:szCs w:val="24"/>
          <w:lang w:val="zh-CN" w:eastAsia="zh-CN" w:bidi="zh-CN"/>
        </w:rPr>
      </w:pPr>
    </w:p>
    <w:tbl>
      <w:tblPr>
        <w:tblStyle w:val="25"/>
        <w:tblW w:w="9080" w:type="dxa"/>
        <w:jc w:val="center"/>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486"/>
        <w:gridCol w:w="6103"/>
        <w:gridCol w:w="487"/>
        <w:gridCol w:w="544"/>
        <w:gridCol w:w="486"/>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0" w:hRule="atLeast"/>
          <w:jc w:val="center"/>
        </w:trPr>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8" w:right="96"/>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项目</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序号</w:t>
            </w:r>
          </w:p>
        </w:tc>
        <w:tc>
          <w:tcPr>
            <w:tcW w:w="610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tabs>
                <w:tab w:val="left" w:pos="488"/>
                <w:tab w:val="left" w:pos="970"/>
                <w:tab w:val="left" w:pos="1575"/>
              </w:tabs>
              <w:adjustRightInd w:val="0"/>
              <w:snapToGrid w:val="0"/>
              <w:spacing w:before="1"/>
              <w:ind w:left="8"/>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核</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内</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容</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分值</w:t>
            </w:r>
          </w:p>
        </w:tc>
        <w:tc>
          <w:tcPr>
            <w:tcW w:w="544" w:type="dxa"/>
            <w:noWrap w:val="0"/>
            <w:vAlign w:val="top"/>
          </w:tcPr>
          <w:p>
            <w:pPr>
              <w:adjustRightInd w:val="0"/>
              <w:snapToGrid w:val="0"/>
              <w:spacing w:before="1" w:line="364" w:lineRule="auto"/>
              <w:ind w:left="135" w:right="123"/>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考核情</w:t>
            </w:r>
          </w:p>
          <w:p>
            <w:pPr>
              <w:adjustRightInd w:val="0"/>
              <w:snapToGrid w:val="0"/>
              <w:spacing w:line="304" w:lineRule="exact"/>
              <w:ind w:left="135"/>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况</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扣分</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8" w:right="96"/>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jc w:val="center"/>
        </w:trPr>
        <w:tc>
          <w:tcPr>
            <w:tcW w:w="487" w:type="dxa"/>
            <w:vMerge w:val="restart"/>
            <w:noWrap w:val="0"/>
            <w:vAlign w:val="top"/>
          </w:tcPr>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w:t>
            </w:r>
          </w:p>
          <w:p>
            <w:pPr>
              <w:adjustRightInd w:val="0"/>
              <w:snapToGrid w:val="0"/>
              <w:spacing w:before="11"/>
              <w:ind w:left="13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厅</w:t>
            </w:r>
          </w:p>
          <w:p>
            <w:pPr>
              <w:adjustRightInd w:val="0"/>
              <w:snapToGrid w:val="0"/>
              <w:spacing w:line="298" w:lineRule="exact"/>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20</w:t>
            </w:r>
          </w:p>
          <w:p>
            <w:pPr>
              <w:adjustRightInd w:val="0"/>
              <w:snapToGrid w:val="0"/>
              <w:spacing w:before="160"/>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center"/>
          </w:tcPr>
          <w:p>
            <w:pPr>
              <w:adjustRightInd w:val="0"/>
              <w:snapToGrid w:val="0"/>
              <w:spacing w:before="3"/>
              <w:ind w:left="7"/>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3"/>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门口必须设置风幕机，或防蝇门帘防蝇，并保持完整、</w:t>
            </w:r>
            <w:r>
              <w:rPr>
                <w:rFonts w:hint="eastAsia" w:asciiTheme="minorEastAsia" w:hAnsiTheme="minorEastAsia" w:eastAsiaTheme="minorEastAsia" w:cstheme="minorEastAsia"/>
                <w:sz w:val="21"/>
                <w:szCs w:val="21"/>
                <w:lang w:val="zh-CN" w:eastAsia="zh-CN" w:bidi="zh-CN"/>
              </w:rPr>
              <w:t>清洁。</w:t>
            </w:r>
          </w:p>
        </w:tc>
        <w:tc>
          <w:tcPr>
            <w:tcW w:w="487" w:type="dxa"/>
            <w:noWrap w:val="0"/>
            <w:vAlign w:val="center"/>
          </w:tcPr>
          <w:p>
            <w:pPr>
              <w:adjustRightInd w:val="0"/>
              <w:snapToGrid w:val="0"/>
              <w:spacing w:before="3"/>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adjustRightInd w:val="0"/>
              <w:snapToGrid w:val="0"/>
              <w:spacing w:before="160"/>
              <w:ind w:left="108"/>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应有纱窗并保持完整，并及时清洁。</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8"/>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5"/>
                <w:sz w:val="21"/>
                <w:szCs w:val="21"/>
                <w:lang w:val="zh-CN" w:eastAsia="zh-CN" w:bidi="zh-CN"/>
              </w:rPr>
              <w:t xml:space="preserve">应有灭蝇灯，灭蝇灯设置高度在离地 </w:t>
            </w:r>
            <w:r>
              <w:rPr>
                <w:rFonts w:hint="eastAsia" w:asciiTheme="minorEastAsia" w:hAnsiTheme="minorEastAsia" w:eastAsiaTheme="minorEastAsia" w:cstheme="minorEastAsia"/>
                <w:sz w:val="21"/>
                <w:szCs w:val="21"/>
                <w:lang w:val="zh-CN" w:eastAsia="zh-CN" w:bidi="zh-CN"/>
              </w:rPr>
              <w:t>1.5</w:t>
            </w:r>
            <w:r>
              <w:rPr>
                <w:rFonts w:hint="eastAsia" w:asciiTheme="minorEastAsia" w:hAnsiTheme="minorEastAsia" w:eastAsiaTheme="minorEastAsia" w:cstheme="minorEastAsia"/>
                <w:spacing w:val="-11"/>
                <w:sz w:val="21"/>
                <w:szCs w:val="21"/>
                <w:lang w:val="zh-CN" w:eastAsia="zh-CN" w:bidi="zh-CN"/>
              </w:rPr>
              <w:t xml:space="preserve"> 米左右，一</w:t>
            </w:r>
            <w:r>
              <w:rPr>
                <w:rFonts w:hint="eastAsia" w:asciiTheme="minorEastAsia" w:hAnsiTheme="minorEastAsia" w:eastAsiaTheme="minorEastAsia" w:cstheme="minorEastAsia"/>
                <w:sz w:val="21"/>
                <w:szCs w:val="21"/>
                <w:lang w:val="zh-CN" w:eastAsia="zh-CN" w:bidi="zh-CN"/>
              </w:rPr>
              <w:t>般每 50 平方米安装 2 盏；</w:t>
            </w:r>
          </w:p>
          <w:p>
            <w:pPr>
              <w:adjustRightInd w:val="0"/>
              <w:snapToGrid w:val="0"/>
              <w:spacing w:before="16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灭蝇灯应保持完好并定期清洁。</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8"/>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应有灭蚊器并保持完好并定期清洁。</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各种通风口必须设置纱网，并保持完整、清洁。</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3"/>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应设置密封加盖的垃圾桶，并定期冲洗喷药，不得有</w:t>
            </w:r>
          </w:p>
          <w:p>
            <w:pPr>
              <w:adjustRightInd w:val="0"/>
              <w:snapToGrid w:val="0"/>
              <w:spacing w:before="158"/>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蚊蝇。</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餐厅无苍蝇、蟑螂、老鼠等病媒生物。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如果发现有病媒生物侵入，应及时用器械或化学药物进行杀灭，或者通过专业公司定期开展杀灭。</w:t>
            </w:r>
          </w:p>
        </w:tc>
        <w:tc>
          <w:tcPr>
            <w:tcW w:w="487"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
              <w:rPr>
                <w:rFonts w:hint="eastAsia" w:asciiTheme="minorEastAsia" w:hAnsiTheme="minorEastAsia" w:eastAsiaTheme="minorEastAsia" w:cstheme="minorEastAsia"/>
                <w:b/>
                <w:sz w:val="21"/>
                <w:szCs w:val="21"/>
                <w:lang w:val="zh-CN" w:eastAsia="zh-CN" w:bidi="zh-CN"/>
              </w:rPr>
            </w:pPr>
          </w:p>
          <w:p>
            <w:pPr>
              <w:adjustRightInd w:val="0"/>
              <w:snapToGrid w:val="0"/>
              <w:spacing w:line="364" w:lineRule="auto"/>
              <w:ind w:left="108" w:right="6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操作间55</w:t>
            </w:r>
          </w:p>
          <w:p>
            <w:pPr>
              <w:adjustRightInd w:val="0"/>
              <w:snapToGrid w:val="0"/>
              <w:spacing w:line="305" w:lineRule="exact"/>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2" w:line="362"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餐具清洗水池设置２个专用水池。各类水池以明显标识标明其用途；与粗加工操作场所水池不得混用。清洗水池不得污染食品及其加工制作过程。</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3" w:line="362" w:lineRule="auto"/>
              <w:ind w:left="108" w:right="91"/>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用于原料、半成品、成品的刀、案板、盛食物的容器等用具应生熟分开，标示清楚，存放区域分开设置；</w:t>
            </w:r>
          </w:p>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用来盛熟菜的盆不得直接层叠放置，并保持卫生。</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加工生食海产品，设置相应的专用操作场所。</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销售凉菜应设置凉菜间。</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熟食应加防蝇罩。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冰箱、冰柜等内外保持清洁，生熟食品应分开存放。</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垃圾桶加盖，操作间不能有老鼠、苍蝇等病媒生物。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工作时必须按规定穿好工作衣、戴好工帽，并清洁双手。</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个人须办健康证并保证健康证有效，如有传染病或皮肤病，不得上班，并如实告知餐厅管理人员。</w:t>
            </w:r>
          </w:p>
        </w:tc>
        <w:tc>
          <w:tcPr>
            <w:tcW w:w="487"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Layout w:type="fixed"/>
          <w:tblCellMar>
            <w:top w:w="0" w:type="dxa"/>
            <w:left w:w="0" w:type="dxa"/>
            <w:bottom w:w="0" w:type="dxa"/>
            <w:right w:w="0" w:type="dxa"/>
          </w:tblCellMar>
        </w:tblPrEx>
        <w:trPr>
          <w:trHeight w:val="98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10</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pacing w:val="-13"/>
                <w:sz w:val="21"/>
                <w:szCs w:val="21"/>
                <w:lang w:val="zh-CN" w:eastAsia="zh-CN" w:bidi="zh-CN"/>
              </w:rPr>
            </w:pPr>
            <w:r>
              <w:rPr>
                <w:rFonts w:hint="eastAsia" w:asciiTheme="minorEastAsia" w:hAnsiTheme="minorEastAsia" w:eastAsiaTheme="minorEastAsia" w:cstheme="minorEastAsia"/>
                <w:sz w:val="21"/>
                <w:szCs w:val="21"/>
                <w:lang w:val="zh-CN" w:eastAsia="zh-CN" w:bidi="zh-CN"/>
              </w:rPr>
              <w:t>操作流程合理,按照原料进入、原料处理、半成品加</w:t>
            </w:r>
            <w:r>
              <w:rPr>
                <w:rFonts w:hint="eastAsia" w:asciiTheme="minorEastAsia" w:hAnsiTheme="minorEastAsia" w:eastAsiaTheme="minorEastAsia" w:cstheme="minorEastAsia"/>
                <w:spacing w:val="-13"/>
                <w:sz w:val="21"/>
                <w:szCs w:val="21"/>
                <w:lang w:val="zh-CN" w:eastAsia="zh-CN" w:bidi="zh-CN"/>
              </w:rPr>
              <w:t>工、成品供应的顺序合理布局，并能防止食品在存放、</w:t>
            </w:r>
          </w:p>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操作中产生交叉污染。</w:t>
            </w:r>
          </w:p>
        </w:tc>
        <w:tc>
          <w:tcPr>
            <w:tcW w:w="487"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11</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供餐时须戴口罩和卫生手套。</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12</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不得出售变质、变味的食品。</w:t>
            </w:r>
          </w:p>
        </w:tc>
        <w:tc>
          <w:tcPr>
            <w:tcW w:w="487" w:type="dxa"/>
            <w:noWrap w:val="0"/>
            <w:vAlign w:val="top"/>
          </w:tcPr>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108" w:right="6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仓库25</w:t>
            </w:r>
          </w:p>
          <w:p>
            <w:pPr>
              <w:adjustRightInd w:val="0"/>
              <w:snapToGrid w:val="0"/>
              <w:spacing w:before="6"/>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1" w:line="362"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食品和非食品（不会导致食品污染的食品容器、包装材料、工具等物品除外）库房分开设置；食品要分类分架存放，距离地面墙壁 10 公分以上。</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1"/>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2" w:line="364" w:lineRule="auto"/>
              <w:ind w:left="108" w:right="96"/>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
                <w:sz w:val="21"/>
                <w:szCs w:val="21"/>
                <w:lang w:val="zh-CN" w:eastAsia="zh-CN" w:bidi="zh-CN"/>
              </w:rPr>
              <w:t>冷藏、冷冻柜</w:t>
            </w:r>
            <w:r>
              <w:rPr>
                <w:rFonts w:hint="eastAsia" w:asciiTheme="minorEastAsia" w:hAnsiTheme="minorEastAsia" w:eastAsiaTheme="minorEastAsia" w:cstheme="minorEastAsia"/>
                <w:sz w:val="21"/>
                <w:szCs w:val="21"/>
                <w:lang w:val="zh-CN" w:eastAsia="zh-CN" w:bidi="zh-CN"/>
              </w:rPr>
              <w:t>（库</w:t>
            </w:r>
            <w:r>
              <w:rPr>
                <w:rFonts w:hint="eastAsia" w:asciiTheme="minorEastAsia" w:hAnsiTheme="minorEastAsia" w:eastAsiaTheme="minorEastAsia" w:cstheme="minorEastAsia"/>
                <w:spacing w:val="-3"/>
                <w:sz w:val="21"/>
                <w:szCs w:val="21"/>
                <w:lang w:val="zh-CN" w:eastAsia="zh-CN" w:bidi="zh-CN"/>
              </w:rPr>
              <w:t>）</w:t>
            </w:r>
            <w:r>
              <w:rPr>
                <w:rFonts w:hint="eastAsia" w:asciiTheme="minorEastAsia" w:hAnsiTheme="minorEastAsia" w:eastAsiaTheme="minorEastAsia" w:cstheme="minorEastAsia"/>
                <w:spacing w:val="-2"/>
                <w:sz w:val="21"/>
                <w:szCs w:val="21"/>
                <w:lang w:val="zh-CN" w:eastAsia="zh-CN" w:bidi="zh-CN"/>
              </w:rPr>
              <w:t>数量和结构能使原料、半成品和</w:t>
            </w:r>
            <w:r>
              <w:rPr>
                <w:rFonts w:hint="eastAsia" w:asciiTheme="minorEastAsia" w:hAnsiTheme="minorEastAsia" w:eastAsiaTheme="minorEastAsia" w:cstheme="minorEastAsia"/>
                <w:spacing w:val="-3"/>
                <w:sz w:val="21"/>
                <w:szCs w:val="21"/>
                <w:lang w:val="zh-CN" w:eastAsia="zh-CN" w:bidi="zh-CN"/>
              </w:rPr>
              <w:t>成品分开存放，有明显区分标识；除冷库外的库房有</w:t>
            </w:r>
            <w:r>
              <w:rPr>
                <w:rFonts w:hint="eastAsia" w:asciiTheme="minorEastAsia" w:hAnsiTheme="minorEastAsia" w:eastAsiaTheme="minorEastAsia" w:cstheme="minorEastAsia"/>
                <w:spacing w:val="-2"/>
                <w:sz w:val="21"/>
                <w:szCs w:val="21"/>
                <w:lang w:val="zh-CN" w:eastAsia="zh-CN" w:bidi="zh-CN"/>
              </w:rPr>
              <w:t>良好的通风、防潮、防鼠</w:t>
            </w:r>
            <w:r>
              <w:rPr>
                <w:rFonts w:hint="eastAsia" w:asciiTheme="minorEastAsia" w:hAnsiTheme="minorEastAsia" w:eastAsiaTheme="minorEastAsia" w:cstheme="minorEastAsia"/>
                <w:spacing w:val="-3"/>
                <w:sz w:val="21"/>
                <w:szCs w:val="21"/>
                <w:lang w:val="zh-CN" w:eastAsia="zh-CN" w:bidi="zh-CN"/>
              </w:rPr>
              <w:t>（</w:t>
            </w:r>
            <w:r>
              <w:rPr>
                <w:rFonts w:hint="eastAsia" w:asciiTheme="minorEastAsia" w:hAnsiTheme="minorEastAsia" w:eastAsiaTheme="minorEastAsia" w:cstheme="minorEastAsia"/>
                <w:spacing w:val="-2"/>
                <w:sz w:val="21"/>
                <w:szCs w:val="21"/>
                <w:lang w:val="zh-CN" w:eastAsia="zh-CN" w:bidi="zh-CN"/>
              </w:rPr>
              <w:t>如设防鼠板或木质门下方</w:t>
            </w:r>
            <w:r>
              <w:rPr>
                <w:rFonts w:hint="eastAsia" w:asciiTheme="minorEastAsia" w:hAnsiTheme="minorEastAsia" w:eastAsiaTheme="minorEastAsia" w:cstheme="minorEastAsia"/>
                <w:sz w:val="21"/>
                <w:szCs w:val="21"/>
                <w:lang w:val="zh-CN" w:eastAsia="zh-CN" w:bidi="zh-CN"/>
              </w:rPr>
              <w:t>以金属包覆）设施。</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1"/>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spacing w:before="1" w:line="364"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在库房的出入口可用铁皮或铝板，镶在一块高 60 厘米、宽同入口一样宽的木板上，两边做一个槽，以便固定防鼠板，防鼠板的底边与地面和固定槽（框）缝隙应小于 6 毫米。</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5"/>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3"/>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仓库应有防蝇防鼠等病媒生物防制设施，不得有苍蝇、老鼠、蟑螂及其他病媒生物，并保持清洁整齐。</w:t>
            </w:r>
          </w:p>
        </w:tc>
        <w:tc>
          <w:tcPr>
            <w:tcW w:w="487" w:type="dxa"/>
            <w:noWrap w:val="0"/>
            <w:vAlign w:val="top"/>
          </w:tcPr>
          <w:p>
            <w:pPr>
              <w:adjustRightInd w:val="0"/>
              <w:snapToGrid w:val="0"/>
              <w:spacing w:before="5"/>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库存原料及调料品摆放整齐，标示清楚，标有出厂日期。不得有失效食材及地沟油。</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餐厅台账清楚，购货小票齐全。</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cs="宋体"/>
          <w:b/>
          <w:bCs/>
          <w:color w:val="auto"/>
          <w:sz w:val="36"/>
          <w:szCs w:val="36"/>
        </w:rPr>
      </w:pPr>
      <w:r>
        <w:rPr>
          <w:rFonts w:hint="eastAsia" w:ascii="宋体" w:hAnsi="宋体" w:cs="宋体"/>
          <w:color w:val="auto"/>
          <w:sz w:val="24"/>
          <w:szCs w:val="24"/>
        </w:rPr>
        <w:br w:type="page"/>
      </w: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both"/>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ascii="宋体" w:cs="宋体"/>
          <w:b/>
          <w:bCs/>
          <w:color w:val="auto"/>
          <w:sz w:val="36"/>
          <w:szCs w:val="36"/>
        </w:rPr>
      </w:pPr>
      <w:r>
        <w:rPr>
          <w:rFonts w:hint="eastAsia" w:ascii="宋体" w:hAnsi="宋体" w:cs="宋体"/>
          <w:b/>
          <w:bCs/>
          <w:color w:val="auto"/>
          <w:sz w:val="36"/>
          <w:szCs w:val="36"/>
          <w:lang w:eastAsia="zh-CN"/>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pPr>
        <w:rPr>
          <w:rFonts w:ascii="宋体" w:cs="宋体"/>
          <w:b/>
          <w:bCs/>
          <w:color w:val="auto"/>
          <w:sz w:val="30"/>
          <w:szCs w:val="30"/>
        </w:rPr>
      </w:pPr>
      <w:r>
        <w:rPr>
          <w:rFonts w:hint="eastAsia" w:ascii="宋体" w:hAnsi="宋体" w:cs="宋体"/>
          <w:b/>
          <w:bCs/>
          <w:color w:val="auto"/>
          <w:kern w:val="0"/>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eastAsia="zh-CN"/>
        </w:rPr>
        <w:t>台州市云湖小学食堂托管及劳务外包服务采购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Tytz-2024-017</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b/>
          <w:bCs/>
          <w:color w:val="auto"/>
          <w:spacing w:val="40"/>
          <w:sz w:val="28"/>
          <w:szCs w:val="28"/>
        </w:rPr>
      </w:pPr>
      <w:r>
        <w:rPr>
          <w:rFonts w:hint="eastAsia" w:ascii="宋体" w:hAnsi="宋体" w:cs="宋体"/>
          <w:b/>
          <w:bCs/>
          <w:color w:val="auto"/>
          <w:sz w:val="30"/>
          <w:szCs w:val="30"/>
          <w:lang w:val="zh-CN"/>
        </w:rPr>
        <w:t>（</w:t>
      </w:r>
      <w:r>
        <w:rPr>
          <w:rFonts w:hint="eastAsia" w:ascii="宋体" w:hAnsi="宋体" w:cs="宋体"/>
          <w:b/>
          <w:bCs/>
          <w:color w:val="auto"/>
          <w:spacing w:val="40"/>
          <w:sz w:val="30"/>
          <w:szCs w:val="30"/>
          <w:lang w:eastAsia="zh-CN"/>
        </w:rPr>
        <w:t>资格标</w:t>
      </w:r>
      <w:r>
        <w:rPr>
          <w:rFonts w:hint="eastAsia" w:ascii="宋体" w:hAnsi="宋体" w:cs="宋体"/>
          <w:b/>
          <w:bCs/>
          <w:color w:val="auto"/>
          <w:spacing w:val="40"/>
          <w:sz w:val="30"/>
          <w:szCs w:val="30"/>
        </w:rPr>
        <w:t>）</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rPr>
          <w:rFonts w:ascii="仿宋_GB2312" w:hAnsi="宋体" w:eastAsia="仿宋_GB2312"/>
          <w:b/>
          <w:bCs/>
          <w:color w:val="auto"/>
          <w:sz w:val="36"/>
          <w:szCs w:val="36"/>
        </w:rPr>
      </w:pPr>
    </w:p>
    <w:p>
      <w:pPr>
        <w:snapToGrid w:val="0"/>
        <w:spacing w:before="50" w:after="50" w:line="360" w:lineRule="auto"/>
        <w:rPr>
          <w:rFonts w:ascii="仿宋_GB2312" w:hAnsi="宋体" w:eastAsia="仿宋_GB2312"/>
          <w:b/>
          <w:bCs/>
          <w:color w:val="auto"/>
          <w:sz w:val="36"/>
          <w:szCs w:val="36"/>
        </w:rPr>
      </w:pPr>
    </w:p>
    <w:p>
      <w:pPr>
        <w:snapToGrid w:val="0"/>
        <w:spacing w:before="50" w:after="50" w:line="360" w:lineRule="auto"/>
        <w:jc w:val="both"/>
        <w:rPr>
          <w:rFonts w:hint="eastAsia" w:ascii="宋体" w:hAnsi="宋体" w:cs="宋体"/>
          <w:b/>
          <w:bCs/>
          <w:color w:val="auto"/>
          <w:sz w:val="36"/>
          <w:szCs w:val="36"/>
        </w:rPr>
      </w:pPr>
    </w:p>
    <w:p>
      <w:pPr>
        <w:snapToGrid w:val="0"/>
        <w:spacing w:before="50" w:after="50" w:line="360" w:lineRule="auto"/>
        <w:jc w:val="center"/>
        <w:rPr>
          <w:rFonts w:hint="eastAsia" w:ascii="宋体" w:hAnsi="宋体" w:eastAsia="宋体" w:cs="宋体"/>
          <w:b/>
          <w:bCs/>
          <w:color w:val="auto"/>
          <w:sz w:val="36"/>
          <w:szCs w:val="36"/>
        </w:rPr>
      </w:pPr>
    </w:p>
    <w:p>
      <w:pPr>
        <w:snapToGrid w:val="0"/>
        <w:spacing w:before="50" w:after="50" w:line="360" w:lineRule="auto"/>
        <w:jc w:val="center"/>
        <w:rPr>
          <w:rFonts w:ascii="仿宋_GB2312" w:hAnsi="宋体" w:eastAsia="仿宋_GB2312"/>
          <w:b/>
          <w:bCs/>
          <w:color w:val="auto"/>
          <w:sz w:val="36"/>
          <w:szCs w:val="36"/>
        </w:rPr>
      </w:pPr>
      <w:r>
        <w:rPr>
          <w:rFonts w:hint="eastAsia" w:ascii="宋体" w:hAnsi="宋体" w:cs="宋体"/>
          <w:b/>
          <w:bCs/>
          <w:color w:val="auto"/>
          <w:sz w:val="36"/>
          <w:szCs w:val="36"/>
          <w:lang w:eastAsia="zh-CN"/>
        </w:rPr>
        <w:t>资格标</w:t>
      </w:r>
      <w:r>
        <w:rPr>
          <w:rFonts w:hint="eastAsia" w:ascii="宋体" w:hAnsi="宋体" w:eastAsia="宋体" w:cs="宋体"/>
          <w:b/>
          <w:bCs/>
          <w:color w:val="auto"/>
          <w:sz w:val="36"/>
          <w:szCs w:val="36"/>
        </w:rPr>
        <w:t>目录</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（1）投标声明书（</w:t>
      </w:r>
      <w:r>
        <w:rPr>
          <w:rFonts w:hint="eastAsia" w:ascii="宋体" w:hAnsi="宋体" w:eastAsia="宋体" w:cs="宋体"/>
          <w:color w:val="auto"/>
          <w:kern w:val="0"/>
          <w:sz w:val="28"/>
          <w:szCs w:val="28"/>
          <w:lang w:val="en-US" w:eastAsia="zh-CN"/>
        </w:rPr>
        <w:t>附件1</w:t>
      </w:r>
      <w:r>
        <w:rPr>
          <w:rFonts w:hint="eastAsia" w:ascii="宋体" w:hAnsi="宋体" w:eastAsia="宋体" w:cs="宋体"/>
          <w:color w:val="auto"/>
          <w:kern w:val="0"/>
          <w:sz w:val="28"/>
          <w:szCs w:val="28"/>
          <w:lang w:eastAsia="zh-CN"/>
        </w:rPr>
        <w:t>）；</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（2）授权委托书（</w:t>
      </w:r>
      <w:r>
        <w:rPr>
          <w:rFonts w:hint="eastAsia" w:ascii="宋体" w:hAnsi="宋体" w:eastAsia="宋体" w:cs="宋体"/>
          <w:color w:val="auto"/>
          <w:kern w:val="0"/>
          <w:sz w:val="28"/>
          <w:szCs w:val="28"/>
          <w:lang w:val="en-US" w:eastAsia="zh-CN"/>
        </w:rPr>
        <w:t>附件2</w:t>
      </w:r>
      <w:r>
        <w:rPr>
          <w:rFonts w:hint="eastAsia" w:ascii="宋体" w:hAnsi="宋体" w:eastAsia="宋体" w:cs="宋体"/>
          <w:color w:val="auto"/>
          <w:kern w:val="0"/>
          <w:sz w:val="28"/>
          <w:szCs w:val="28"/>
          <w:lang w:eastAsia="zh-CN"/>
        </w:rPr>
        <w:t>）（法定代表人亲自办理投标事宜的，则仅需提供</w:t>
      </w:r>
      <w:r>
        <w:rPr>
          <w:rFonts w:hint="eastAsia" w:ascii="宋体" w:hAnsi="宋体" w:eastAsia="宋体" w:cs="宋体"/>
          <w:color w:val="auto"/>
          <w:kern w:val="0"/>
          <w:sz w:val="28"/>
          <w:szCs w:val="28"/>
          <w:lang w:val="en-US" w:eastAsia="zh-CN"/>
        </w:rPr>
        <w:t>法定代表人资格证明书</w:t>
      </w:r>
      <w:r>
        <w:rPr>
          <w:rFonts w:hint="eastAsia" w:ascii="宋体" w:hAnsi="宋体" w:eastAsia="宋体" w:cs="宋体"/>
          <w:color w:val="auto"/>
          <w:kern w:val="0"/>
          <w:sz w:val="28"/>
          <w:szCs w:val="28"/>
          <w:lang w:eastAsia="zh-CN"/>
        </w:rPr>
        <w:t>，无需提交本授权委托书)；</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法定代表人资格证明书（附件3）；</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eastAsia="zh-CN"/>
        </w:rPr>
        <w:t>）法人或者其他组织的营业执照等证明文件，自然人的身份证明；</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提供符合资格条件的声明函（附件4）或同时提供以下四项相关材料：①</w:t>
      </w:r>
      <w:r>
        <w:rPr>
          <w:rFonts w:hint="eastAsia" w:ascii="宋体" w:hAnsi="宋体" w:eastAsia="宋体" w:cs="宋体"/>
          <w:color w:val="auto"/>
          <w:kern w:val="0"/>
          <w:sz w:val="28"/>
          <w:szCs w:val="28"/>
          <w:lang w:eastAsia="zh-CN"/>
        </w:rPr>
        <w:t>财务状况报告；</w:t>
      </w:r>
      <w:r>
        <w:rPr>
          <w:rFonts w:hint="eastAsia" w:ascii="宋体" w:hAnsi="宋体" w:eastAsia="宋体" w:cs="宋体"/>
          <w:color w:val="auto"/>
          <w:kern w:val="0"/>
          <w:sz w:val="28"/>
          <w:szCs w:val="28"/>
          <w:lang w:val="en-US" w:eastAsia="zh-CN"/>
        </w:rPr>
        <w:t>②</w:t>
      </w:r>
      <w:r>
        <w:rPr>
          <w:rFonts w:hint="eastAsia" w:ascii="宋体" w:hAnsi="宋体" w:eastAsia="宋体" w:cs="宋体"/>
          <w:color w:val="auto"/>
          <w:kern w:val="0"/>
          <w:sz w:val="28"/>
          <w:szCs w:val="28"/>
          <w:lang w:eastAsia="zh-CN"/>
        </w:rPr>
        <w:t>依法缴纳税收；</w:t>
      </w:r>
      <w:r>
        <w:rPr>
          <w:rFonts w:hint="eastAsia" w:ascii="宋体" w:hAnsi="宋体" w:eastAsia="宋体" w:cs="宋体"/>
          <w:color w:val="auto"/>
          <w:kern w:val="0"/>
          <w:sz w:val="28"/>
          <w:szCs w:val="28"/>
          <w:lang w:val="en-US" w:eastAsia="zh-CN"/>
        </w:rPr>
        <w:t>③</w:t>
      </w:r>
      <w:r>
        <w:rPr>
          <w:rFonts w:hint="eastAsia" w:ascii="宋体" w:hAnsi="宋体" w:eastAsia="宋体" w:cs="宋体"/>
          <w:color w:val="auto"/>
          <w:kern w:val="0"/>
          <w:sz w:val="28"/>
          <w:szCs w:val="28"/>
          <w:lang w:eastAsia="zh-CN"/>
        </w:rPr>
        <w:t>依法缴纳社会保障资金；</w:t>
      </w:r>
      <w:r>
        <w:rPr>
          <w:rFonts w:hint="eastAsia" w:ascii="宋体" w:hAnsi="宋体" w:eastAsia="宋体" w:cs="宋体"/>
          <w:color w:val="auto"/>
          <w:kern w:val="0"/>
          <w:sz w:val="28"/>
          <w:szCs w:val="28"/>
          <w:lang w:val="en-US" w:eastAsia="zh-CN"/>
        </w:rPr>
        <w:t>④</w:t>
      </w:r>
      <w:r>
        <w:rPr>
          <w:rFonts w:hint="eastAsia" w:ascii="宋体" w:hAnsi="宋体" w:eastAsia="宋体" w:cs="宋体"/>
          <w:color w:val="auto"/>
          <w:kern w:val="0"/>
          <w:sz w:val="28"/>
          <w:szCs w:val="28"/>
          <w:lang w:eastAsia="zh-CN"/>
        </w:rPr>
        <w:t>具备履行合同所必需的设备和专业技术能力的证明材料；</w:t>
      </w:r>
    </w:p>
    <w:p>
      <w:pPr>
        <w:snapToGrid w:val="0"/>
        <w:spacing w:line="360" w:lineRule="auto"/>
        <w:ind w:firstLine="548" w:firstLineChars="196"/>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特定资格要求证书；</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cs="宋体"/>
          <w:color w:val="auto"/>
          <w:kern w:val="0"/>
          <w:sz w:val="28"/>
          <w:szCs w:val="28"/>
          <w:lang w:val="en-US" w:eastAsia="zh-CN"/>
        </w:rPr>
        <w:t>7</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投标人</w:t>
      </w:r>
      <w:r>
        <w:rPr>
          <w:rFonts w:hint="eastAsia" w:ascii="宋体" w:hAnsi="宋体" w:eastAsia="宋体" w:cs="宋体"/>
          <w:color w:val="auto"/>
          <w:kern w:val="0"/>
          <w:sz w:val="28"/>
          <w:szCs w:val="28"/>
          <w:lang w:eastAsia="zh-CN"/>
        </w:rPr>
        <w:t>认为需要提供的其它文件和资料。</w:t>
      </w:r>
    </w:p>
    <w:p>
      <w:pPr>
        <w:spacing w:line="360" w:lineRule="auto"/>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1</w:t>
      </w:r>
    </w:p>
    <w:p>
      <w:pPr>
        <w:adjustRightInd w:val="0"/>
        <w:snapToGrid w:val="0"/>
        <w:spacing w:line="440" w:lineRule="exact"/>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投标声明书</w:t>
      </w:r>
    </w:p>
    <w:p>
      <w:pPr>
        <w:keepNext w:val="0"/>
        <w:keepLines w:val="0"/>
        <w:pageBreakBefore w:val="0"/>
        <w:widowControl w:val="0"/>
        <w:kinsoku/>
        <w:overflowPunct/>
        <w:topLinePunct w:val="0"/>
        <w:autoSpaceDE/>
        <w:autoSpaceDN/>
        <w:bidi w:val="0"/>
        <w:adjustRightInd/>
        <w:snapToGrid w:val="0"/>
        <w:spacing w:line="400" w:lineRule="exact"/>
        <w:textAlignment w:val="auto"/>
        <w:rPr>
          <w:rFonts w:ascii="宋体" w:eastAsia="宋体"/>
          <w:color w:val="auto"/>
          <w:kern w:val="0"/>
          <w:sz w:val="24"/>
          <w:szCs w:val="24"/>
        </w:rPr>
      </w:pPr>
      <w:r>
        <w:rPr>
          <w:rFonts w:hint="eastAsia" w:ascii="宋体" w:hAnsi="宋体" w:cs="宋体"/>
          <w:color w:val="auto"/>
          <w:kern w:val="0"/>
          <w:sz w:val="24"/>
          <w:szCs w:val="24"/>
          <w:u w:val="single"/>
          <w:lang w:val="en-US" w:eastAsia="zh-CN"/>
        </w:rPr>
        <w:t>台州市云湖小学</w:t>
      </w:r>
      <w:r>
        <w:rPr>
          <w:rFonts w:hint="eastAsia" w:ascii="宋体" w:hAnsi="宋体" w:eastAsia="宋体" w:cs="宋体"/>
          <w:color w:val="auto"/>
          <w:kern w:val="0"/>
          <w:sz w:val="24"/>
          <w:szCs w:val="24"/>
        </w:rPr>
        <w:t>：</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kern w:val="0"/>
          <w:sz w:val="24"/>
          <w:szCs w:val="24"/>
        </w:rPr>
      </w:pPr>
      <w:r>
        <w:rPr>
          <w:rFonts w:hint="eastAsia" w:ascii="宋体" w:hAnsi="宋体" w:eastAsia="宋体" w:cs="宋体"/>
          <w:color w:val="auto"/>
          <w:kern w:val="0"/>
          <w:sz w:val="24"/>
          <w:szCs w:val="24"/>
        </w:rPr>
        <w:t>（投标人名称）系中华人民共和国合法企业，（经营地址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ascii="宋体" w:eastAsia="宋体"/>
          <w:color w:val="auto"/>
          <w:kern w:val="0"/>
          <w:sz w:val="24"/>
          <w:szCs w:val="24"/>
        </w:rPr>
      </w:pPr>
      <w:r>
        <w:rPr>
          <w:rFonts w:hint="eastAsia" w:ascii="宋体" w:hAnsi="宋体" w:eastAsia="宋体" w:cs="宋体"/>
          <w:color w:val="auto"/>
          <w:kern w:val="0"/>
          <w:sz w:val="24"/>
          <w:szCs w:val="24"/>
        </w:rPr>
        <w:t>我（</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姓名</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）系（</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投标人名称</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）的法定代表人，我公司自愿参加贵方组织的（</w:t>
      </w:r>
      <w:r>
        <w:rPr>
          <w:rFonts w:hint="eastAsia" w:ascii="宋体" w:hAnsi="宋体" w:cs="宋体"/>
          <w:color w:val="auto"/>
          <w:kern w:val="0"/>
          <w:sz w:val="24"/>
          <w:szCs w:val="24"/>
          <w:u w:val="single"/>
          <w:lang w:eastAsia="zh-CN"/>
        </w:rPr>
        <w:t>台州市云湖小学食堂托管及劳务外包服务采购</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编号为</w:t>
      </w:r>
      <w:r>
        <w:rPr>
          <w:rFonts w:hint="eastAsia" w:ascii="宋体" w:hAnsi="宋体" w:cs="宋体"/>
          <w:color w:val="auto"/>
          <w:kern w:val="0"/>
          <w:sz w:val="24"/>
          <w:szCs w:val="24"/>
          <w:u w:val="single"/>
          <w:lang w:eastAsia="zh-CN"/>
        </w:rPr>
        <w:t>Tytz-2024-017</w:t>
      </w:r>
      <w:r>
        <w:rPr>
          <w:rFonts w:hint="eastAsia" w:ascii="宋体" w:hAnsi="宋体" w:eastAsia="宋体" w:cs="宋体"/>
          <w:color w:val="auto"/>
          <w:kern w:val="0"/>
          <w:sz w:val="24"/>
          <w:szCs w:val="24"/>
        </w:rPr>
        <w:t>）的投标，为此，我公司就本次投标有关事项郑重声明如下：</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1.我公司在参与投标前已详细审查了</w:t>
      </w:r>
      <w:r>
        <w:rPr>
          <w:rFonts w:hint="eastAsia" w:ascii="宋体"/>
          <w:color w:val="auto"/>
          <w:sz w:val="24"/>
          <w:szCs w:val="24"/>
          <w:lang w:val="en-US" w:eastAsia="zh-CN"/>
        </w:rPr>
        <w:t>采购文件</w:t>
      </w:r>
      <w:r>
        <w:rPr>
          <w:rFonts w:hint="eastAsia" w:ascii="宋体" w:eastAsia="宋体"/>
          <w:color w:val="auto"/>
          <w:sz w:val="24"/>
          <w:szCs w:val="24"/>
          <w:lang w:val="en-US" w:eastAsia="zh-CN"/>
        </w:rPr>
        <w:t>和所有相关资料，我方完全理解并接受</w:t>
      </w:r>
      <w:r>
        <w:rPr>
          <w:rFonts w:hint="eastAsia" w:ascii="宋体"/>
          <w:color w:val="auto"/>
          <w:sz w:val="24"/>
          <w:szCs w:val="24"/>
          <w:lang w:val="en-US" w:eastAsia="zh-CN"/>
        </w:rPr>
        <w:t>采购文件</w:t>
      </w:r>
      <w:r>
        <w:rPr>
          <w:rFonts w:hint="eastAsia" w:ascii="宋体" w:eastAsia="宋体"/>
          <w:color w:val="auto"/>
          <w:sz w:val="24"/>
          <w:szCs w:val="24"/>
          <w:lang w:val="en-US" w:eastAsia="zh-CN"/>
        </w:rPr>
        <w:t>（包括更正文件）的各项规定和要求，我方完全知悉并认为此</w:t>
      </w:r>
      <w:r>
        <w:rPr>
          <w:rFonts w:hint="eastAsia" w:ascii="宋体"/>
          <w:color w:val="auto"/>
          <w:sz w:val="24"/>
          <w:szCs w:val="24"/>
          <w:lang w:val="en-US" w:eastAsia="zh-CN"/>
        </w:rPr>
        <w:t>采购文件</w:t>
      </w:r>
      <w:r>
        <w:rPr>
          <w:rFonts w:hint="eastAsia" w:ascii="宋体" w:eastAsia="宋体"/>
          <w:color w:val="auto"/>
          <w:sz w:val="24"/>
          <w:szCs w:val="24"/>
          <w:lang w:val="en-US" w:eastAsia="zh-CN"/>
        </w:rPr>
        <w:t>没有倾向性，也没有存在排斥潜在</w:t>
      </w:r>
      <w:r>
        <w:rPr>
          <w:rFonts w:hint="eastAsia" w:ascii="宋体"/>
          <w:color w:val="auto"/>
          <w:sz w:val="24"/>
          <w:szCs w:val="24"/>
          <w:lang w:val="en-US" w:eastAsia="zh-CN"/>
        </w:rPr>
        <w:t>投标人</w:t>
      </w:r>
      <w:r>
        <w:rPr>
          <w:rFonts w:hint="eastAsia" w:ascii="宋体" w:eastAsia="宋体"/>
          <w:color w:val="auto"/>
          <w:sz w:val="24"/>
          <w:szCs w:val="24"/>
          <w:lang w:val="en-US" w:eastAsia="zh-CN"/>
        </w:rPr>
        <w:t>的内容，我方对</w:t>
      </w:r>
      <w:r>
        <w:rPr>
          <w:rFonts w:hint="eastAsia" w:ascii="宋体"/>
          <w:color w:val="auto"/>
          <w:sz w:val="24"/>
          <w:szCs w:val="24"/>
          <w:lang w:val="en-US" w:eastAsia="zh-CN"/>
        </w:rPr>
        <w:t>采购文件</w:t>
      </w:r>
      <w:r>
        <w:rPr>
          <w:rFonts w:hint="eastAsia" w:ascii="宋体" w:eastAsia="宋体"/>
          <w:color w:val="auto"/>
          <w:sz w:val="24"/>
          <w:szCs w:val="24"/>
          <w:lang w:val="en-US" w:eastAsia="zh-CN"/>
        </w:rPr>
        <w:t>的合理性、合法性等相关内容没有任何异议，不申请澄清和质疑。</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2.本次投标有效期自投标截止之日起90天内有效。</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3.我公司向贵方提交的所有响应文件、资料（包括所有证明材料等）都是准确、真实、合规的。</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4.</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不是采购人的附属机构；在获知本项目采购信息后，与采购人聘请的为此项目提供咨询服务的公司及其附属机构没有任何联系。</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5.如成交，本投标文件至本项目合同履行完毕均保持有效，同意按照贵方要求提供与投标响应有关的一切数据或资料，并按</w:t>
      </w:r>
      <w:r>
        <w:rPr>
          <w:rFonts w:hint="eastAsia" w:ascii="宋体"/>
          <w:color w:val="auto"/>
          <w:sz w:val="24"/>
          <w:szCs w:val="24"/>
          <w:lang w:val="en-US" w:eastAsia="zh-CN"/>
        </w:rPr>
        <w:t>采购文件</w:t>
      </w:r>
      <w:r>
        <w:rPr>
          <w:rFonts w:hint="eastAsia" w:ascii="宋体" w:eastAsia="宋体"/>
          <w:color w:val="auto"/>
          <w:sz w:val="24"/>
          <w:szCs w:val="24"/>
          <w:lang w:val="en-US" w:eastAsia="zh-CN"/>
        </w:rPr>
        <w:t>及采购法律、法规的规定履行合同责任和义务。</w:t>
      </w:r>
      <w:r>
        <w:rPr>
          <w:rFonts w:hint="eastAsia" w:ascii="宋体" w:eastAsia="宋体"/>
          <w:color w:val="auto"/>
          <w:sz w:val="24"/>
          <w:szCs w:val="24"/>
          <w:lang w:val="af-ZA"/>
        </w:rPr>
        <w:t>除在</w:t>
      </w:r>
      <w:r>
        <w:rPr>
          <w:rFonts w:hint="eastAsia" w:ascii="宋体" w:eastAsia="宋体"/>
          <w:color w:val="auto"/>
          <w:sz w:val="24"/>
          <w:szCs w:val="24"/>
          <w:lang w:val="en-US" w:eastAsia="zh-CN"/>
        </w:rPr>
        <w:t>投标文件</w:t>
      </w:r>
      <w:r>
        <w:rPr>
          <w:rFonts w:hint="eastAsia" w:ascii="宋体" w:eastAsia="宋体"/>
          <w:color w:val="auto"/>
          <w:sz w:val="24"/>
          <w:szCs w:val="24"/>
          <w:lang w:val="af-ZA"/>
        </w:rPr>
        <w:t>中明确拒绝之外，均接受</w:t>
      </w:r>
      <w:r>
        <w:rPr>
          <w:rFonts w:hint="eastAsia" w:ascii="宋体"/>
          <w:color w:val="auto"/>
          <w:sz w:val="24"/>
          <w:szCs w:val="24"/>
          <w:lang w:val="af-ZA" w:eastAsia="zh-CN"/>
        </w:rPr>
        <w:t>采购文件</w:t>
      </w:r>
      <w:r>
        <w:rPr>
          <w:rFonts w:hint="eastAsia" w:ascii="宋体" w:eastAsia="宋体"/>
          <w:color w:val="auto"/>
          <w:sz w:val="24"/>
          <w:szCs w:val="24"/>
          <w:lang w:val="af-ZA"/>
        </w:rPr>
        <w:t>中的全部条件</w:t>
      </w:r>
      <w:r>
        <w:rPr>
          <w:rFonts w:hint="eastAsia" w:ascii="宋体" w:eastAsia="宋体"/>
          <w:color w:val="auto"/>
          <w:sz w:val="24"/>
          <w:szCs w:val="24"/>
          <w:lang w:val="af-ZA" w:eastAsia="zh-CN"/>
        </w:rPr>
        <w:t>，</w:t>
      </w:r>
      <w:r>
        <w:rPr>
          <w:rFonts w:hint="eastAsia" w:ascii="宋体" w:eastAsia="宋体"/>
          <w:color w:val="auto"/>
          <w:sz w:val="24"/>
          <w:szCs w:val="24"/>
          <w:lang w:val="af-ZA"/>
        </w:rPr>
        <w:t>不降低合同约定的产品质量和服务，不擅自变更、中止、终止合同，或拒绝履行合同义务</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lang w:val="af-ZA"/>
        </w:rPr>
      </w:pPr>
      <w:r>
        <w:rPr>
          <w:rFonts w:hint="eastAsia" w:ascii="宋体" w:eastAsia="宋体"/>
          <w:color w:val="auto"/>
          <w:sz w:val="24"/>
          <w:szCs w:val="24"/>
          <w:lang w:val="en-US" w:eastAsia="zh-CN"/>
        </w:rPr>
        <w:t>6.</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保证，</w:t>
      </w:r>
      <w:r>
        <w:rPr>
          <w:rFonts w:hint="eastAsia" w:ascii="宋体" w:eastAsia="宋体"/>
          <w:color w:val="auto"/>
          <w:sz w:val="24"/>
          <w:szCs w:val="24"/>
          <w:lang w:val="af-ZA"/>
        </w:rPr>
        <w:t>采购人在中华人民共和国境内使用</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lang w:val="af-ZA"/>
        </w:rPr>
        <w:t>投标货物、资料、技术、服务或其任何一部分时，享有不受限制的无偿使用权，如有第三方向采购人提出侵犯其专利权、商标权或其它知识产权的主张，该责任由我方承担。我方的</w:t>
      </w:r>
      <w:r>
        <w:rPr>
          <w:rFonts w:hint="eastAsia" w:ascii="宋体" w:eastAsia="宋体"/>
          <w:color w:val="auto"/>
          <w:sz w:val="24"/>
          <w:szCs w:val="24"/>
          <w:lang w:val="af-ZA" w:eastAsia="zh-CN"/>
        </w:rPr>
        <w:t>投标报价</w:t>
      </w:r>
      <w:r>
        <w:rPr>
          <w:rFonts w:hint="eastAsia" w:ascii="宋体" w:eastAsia="宋体"/>
          <w:color w:val="auto"/>
          <w:sz w:val="24"/>
          <w:szCs w:val="24"/>
          <w:lang w:val="af-ZA"/>
        </w:rPr>
        <w:t>已包含所有应向所有权人支付的专利权、商标权或其它知识产权的一切相关费用。</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kern w:val="0"/>
          <w:sz w:val="24"/>
          <w:szCs w:val="24"/>
        </w:rPr>
      </w:pPr>
      <w:r>
        <w:rPr>
          <w:rFonts w:hint="eastAsia" w:ascii="宋体" w:eastAsia="宋体"/>
          <w:color w:val="auto"/>
          <w:sz w:val="24"/>
          <w:szCs w:val="24"/>
          <w:lang w:val="en-US" w:eastAsia="zh-CN"/>
        </w:rPr>
        <w:t>7.以上事项如有虚假或隐瞒，我方愿意承担一切后果，并不再寻求任何旨在减轻或免除法律责任的辩解，同意我方的履约保证金不予退回，并对采购人因此引起的损失予以赔偿</w:t>
      </w:r>
      <w:r>
        <w:rPr>
          <w:rFonts w:hint="eastAsia" w:ascii="宋体" w:eastAsia="宋体"/>
          <w:color w:val="auto"/>
          <w:sz w:val="24"/>
          <w:szCs w:val="24"/>
          <w:lang w:val="af-ZA"/>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日期：</w:t>
      </w:r>
    </w:p>
    <w:p>
      <w:pPr>
        <w:adjustRightInd w:val="0"/>
        <w:snapToGrid w:val="0"/>
        <w:spacing w:line="360" w:lineRule="auto"/>
        <w:ind w:right="480"/>
        <w:rPr>
          <w:rFonts w:hint="eastAsia" w:ascii="宋体" w:eastAsia="宋体"/>
          <w:b/>
          <w:bCs/>
          <w:color w:val="auto"/>
          <w:sz w:val="30"/>
          <w:szCs w:val="30"/>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2</w:t>
      </w:r>
    </w:p>
    <w:p>
      <w:pPr>
        <w:spacing w:line="360" w:lineRule="auto"/>
        <w:ind w:firstLine="723" w:firstLineChars="200"/>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授权委托书</w:t>
      </w:r>
    </w:p>
    <w:p>
      <w:pPr>
        <w:snapToGrid w:val="0"/>
        <w:spacing w:beforeLines="50" w:after="50" w:line="360" w:lineRule="auto"/>
        <w:rPr>
          <w:rFonts w:ascii="宋体" w:hAnsi="宋体" w:eastAsia="宋体" w:cs="宋体"/>
          <w:kern w:val="0"/>
          <w:sz w:val="24"/>
          <w:szCs w:val="24"/>
        </w:rPr>
      </w:pPr>
      <w:r>
        <w:rPr>
          <w:rFonts w:hint="eastAsia" w:ascii="宋体" w:hAnsi="宋体" w:cs="宋体"/>
          <w:kern w:val="0"/>
          <w:sz w:val="24"/>
          <w:szCs w:val="24"/>
          <w:u w:val="single"/>
          <w:lang w:val="en-US" w:eastAsia="zh-CN"/>
        </w:rPr>
        <w:t>台州市云湖小学</w:t>
      </w:r>
      <w:r>
        <w:rPr>
          <w:rFonts w:hint="eastAsia" w:ascii="宋体" w:hAnsi="宋体" w:eastAsia="宋体" w:cs="宋体"/>
          <w:kern w:val="0"/>
          <w:sz w:val="24"/>
          <w:szCs w:val="24"/>
        </w:rPr>
        <w:t>：</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u w:val="single"/>
          <w:lang w:val="en-US" w:eastAsia="zh-CN" w:bidi="ar-SA"/>
        </w:rPr>
        <w:t xml:space="preserve">  （投标人全称）  </w:t>
      </w:r>
      <w:r>
        <w:rPr>
          <w:rFonts w:ascii="宋体" w:hAnsi="宋体" w:eastAsia="宋体" w:cs="Times New Roman"/>
          <w:kern w:val="2"/>
          <w:sz w:val="24"/>
          <w:szCs w:val="24"/>
          <w:lang w:val="en-US" w:eastAsia="zh-CN" w:bidi="ar-SA"/>
        </w:rPr>
        <w:t>法定代表人</w:t>
      </w:r>
      <w:r>
        <w:rPr>
          <w:rFonts w:hint="eastAsia" w:ascii="Arial" w:hAnsi="Arial" w:eastAsia="宋体" w:cs="Arial"/>
          <w:kern w:val="2"/>
          <w:sz w:val="24"/>
          <w:szCs w:val="24"/>
          <w:lang w:val="en-US" w:eastAsia="zh-CN" w:bidi="ar-SA"/>
        </w:rPr>
        <w:t>（或营业执照中单位负责人）</w:t>
      </w:r>
      <w:r>
        <w:rPr>
          <w:rFonts w:ascii="宋体" w:hAnsi="宋体" w:eastAsia="宋体" w:cs="Times New Roman"/>
          <w:kern w:val="2"/>
          <w:sz w:val="24"/>
          <w:szCs w:val="24"/>
          <w:u w:val="single"/>
          <w:lang w:val="en-US" w:eastAsia="zh-CN" w:bidi="ar-SA"/>
        </w:rPr>
        <w:tab/>
      </w:r>
      <w:r>
        <w:rPr>
          <w:rFonts w:ascii="宋体" w:hAnsi="宋体" w:eastAsia="宋体" w:cs="Times New Roman"/>
          <w:kern w:val="2"/>
          <w:sz w:val="24"/>
          <w:szCs w:val="24"/>
          <w:u w:val="single"/>
          <w:lang w:val="en-US" w:eastAsia="zh-CN" w:bidi="ar-SA"/>
        </w:rPr>
        <w:t>（法定代表</w:t>
      </w:r>
      <w:r>
        <w:rPr>
          <w:rFonts w:hint="eastAsia" w:ascii="宋体" w:hAnsi="宋体" w:eastAsia="宋体" w:cs="Times New Roman"/>
          <w:kern w:val="2"/>
          <w:sz w:val="24"/>
          <w:szCs w:val="24"/>
          <w:u w:val="single"/>
          <w:lang w:val="en-US" w:eastAsia="zh-CN" w:bidi="ar-SA"/>
        </w:rPr>
        <w:t>人</w:t>
      </w:r>
      <w:r>
        <w:rPr>
          <w:rFonts w:hint="eastAsia" w:ascii="Arial" w:hAnsi="Arial" w:eastAsia="宋体" w:cs="Arial"/>
          <w:kern w:val="2"/>
          <w:sz w:val="24"/>
          <w:szCs w:val="24"/>
          <w:u w:val="single"/>
          <w:lang w:val="en-US" w:eastAsia="zh-CN" w:bidi="ar-SA"/>
        </w:rPr>
        <w:t>或营业执照中单位负责人</w:t>
      </w:r>
      <w:r>
        <w:rPr>
          <w:rFonts w:ascii="宋体" w:hAnsi="宋体" w:eastAsia="宋体" w:cs="Times New Roman"/>
          <w:kern w:val="2"/>
          <w:sz w:val="24"/>
          <w:szCs w:val="24"/>
          <w:u w:val="single"/>
          <w:lang w:val="en-US" w:eastAsia="zh-CN" w:bidi="ar-SA"/>
        </w:rPr>
        <w:t xml:space="preserve">姓名） </w:t>
      </w:r>
      <w:r>
        <w:rPr>
          <w:rFonts w:ascii="宋体" w:hAnsi="宋体" w:eastAsia="宋体" w:cs="Times New Roman"/>
          <w:kern w:val="2"/>
          <w:sz w:val="24"/>
          <w:szCs w:val="24"/>
          <w:lang w:val="en-US" w:eastAsia="zh-CN" w:bidi="ar-SA"/>
        </w:rPr>
        <w:t>授权</w:t>
      </w:r>
      <w:r>
        <w:rPr>
          <w:rFonts w:hint="eastAsia" w:ascii="宋体" w:hAnsi="宋体" w:eastAsia="宋体" w:cs="Times New Roman"/>
          <w:kern w:val="2"/>
          <w:sz w:val="24"/>
          <w:szCs w:val="24"/>
          <w:u w:val="single"/>
          <w:lang w:val="en-US" w:eastAsia="zh-CN" w:bidi="ar-SA"/>
        </w:rPr>
        <w:t xml:space="preserve">   （全权代表</w:t>
      </w:r>
      <w:r>
        <w:rPr>
          <w:rFonts w:ascii="宋体" w:hAnsi="宋体" w:eastAsia="宋体" w:cs="Times New Roman"/>
          <w:kern w:val="2"/>
          <w:sz w:val="24"/>
          <w:szCs w:val="24"/>
          <w:u w:val="single"/>
          <w:lang w:val="en-US" w:eastAsia="zh-CN" w:bidi="ar-SA"/>
        </w:rPr>
        <w:t>姓名</w:t>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为</w:t>
      </w:r>
      <w:r>
        <w:rPr>
          <w:rFonts w:hint="eastAsia" w:ascii="宋体" w:hAnsi="宋体" w:eastAsia="宋体" w:cs="Times New Roman"/>
          <w:kern w:val="2"/>
          <w:sz w:val="24"/>
          <w:szCs w:val="24"/>
          <w:lang w:val="en-US" w:eastAsia="zh-CN" w:bidi="ar-SA"/>
        </w:rPr>
        <w:t>全权代表</w:t>
      </w:r>
      <w:r>
        <w:rPr>
          <w:rFonts w:ascii="宋体" w:hAnsi="宋体" w:eastAsia="宋体" w:cs="Times New Roman"/>
          <w:kern w:val="2"/>
          <w:sz w:val="24"/>
          <w:szCs w:val="24"/>
          <w:lang w:val="en-US" w:eastAsia="zh-CN" w:bidi="ar-SA"/>
        </w:rPr>
        <w:t>，参加贵单位组织的</w:t>
      </w:r>
      <w:r>
        <w:rPr>
          <w:rFonts w:ascii="宋体" w:hAnsi="宋体" w:eastAsia="宋体" w:cs="Times New Roman"/>
          <w:kern w:val="2"/>
          <w:sz w:val="24"/>
          <w:szCs w:val="24"/>
          <w:u w:val="single"/>
          <w:lang w:val="en-US" w:eastAsia="zh-CN" w:bidi="ar-SA"/>
        </w:rPr>
        <w:tab/>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项目的采购活动，并代表我方全权办理针对上述项目的投标、开标、评标、签约等具体事务和签署相关文件。</w:t>
      </w:r>
      <w:r>
        <w:rPr>
          <w:rFonts w:hint="eastAsia" w:ascii="宋体" w:hAnsi="宋体" w:eastAsia="宋体" w:cs="Times New Roman"/>
          <w:kern w:val="2"/>
          <w:sz w:val="24"/>
          <w:szCs w:val="24"/>
          <w:lang w:val="en-US" w:eastAsia="zh-CN" w:bidi="ar-SA"/>
        </w:rPr>
        <w:t>我方对全权代表的签字事项负全部责任。</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在撤销授权的书面通知以前，本授权书一直有效。全权代表在授权委托书有效期内签署的所有文件不因授权的撤销而失效。</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全权代表无转委托权，特此委托。</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法定代表人</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签字或盖章</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lang w:val="zh-CN"/>
        </w:rPr>
        <w:t>投标人名称</w:t>
      </w:r>
      <w:r>
        <w:rPr>
          <w:rFonts w:hint="eastAsia" w:ascii="宋体" w:hAnsi="Times New Roman" w:eastAsia="宋体" w:cs="Times New Roman"/>
          <w:sz w:val="24"/>
          <w:szCs w:val="24"/>
        </w:rPr>
        <w:t>（公章）：                              日期：</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sz w:val="24"/>
          <w:szCs w:val="24"/>
        </w:rPr>
      </w:pPr>
      <w:r>
        <w:rPr>
          <w:rFonts w:hint="eastAsia" w:ascii="宋体" w:hAnsi="Times New Roman" w:eastAsia="宋体" w:cs="Times New Roman"/>
          <w:b/>
          <w:sz w:val="24"/>
          <w:szCs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法定代表身份证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法定代表人姓名：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邮政编码：</w:t>
      </w:r>
    </w:p>
    <w:p>
      <w:pPr>
        <w:spacing w:line="360" w:lineRule="auto"/>
        <w:rPr>
          <w:rFonts w:ascii="Times New Roman" w:hAnsi="Times New Roman" w:eastAsia="宋体" w:cs="Times New Roman"/>
          <w:b/>
          <w:sz w:val="24"/>
          <w:szCs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全权代表身份证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 xml:space="preserve">全权代表姓名：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职务：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hint="eastAsia" w:ascii="宋体" w:hAnsi="宋体" w:eastAsia="宋体" w:cs="宋体"/>
          <w:b/>
          <w:bCs/>
          <w:color w:val="auto"/>
          <w:sz w:val="28"/>
          <w:szCs w:val="28"/>
          <w:lang w:val="en-US" w:eastAsia="zh-CN"/>
        </w:rPr>
      </w:pPr>
      <w:r>
        <w:rPr>
          <w:rFonts w:hint="eastAsia" w:ascii="宋体" w:hAnsi="Times New Roman" w:eastAsia="宋体" w:cs="Times New Roman"/>
          <w:sz w:val="24"/>
          <w:szCs w:val="24"/>
        </w:rPr>
        <w:t>邮政编码：</w:t>
      </w: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p>
    <w:p>
      <w:pPr>
        <w:ind w:firstLine="723" w:firstLineChars="200"/>
        <w:jc w:val="center"/>
        <w:rPr>
          <w:rFonts w:ascii="宋体" w:hAnsi="宋体" w:eastAsia="宋体" w:cs="Times New Roman"/>
          <w:b/>
          <w:bCs/>
          <w:color w:val="auto"/>
          <w:kern w:val="2"/>
          <w:sz w:val="32"/>
          <w:szCs w:val="24"/>
        </w:rPr>
      </w:pPr>
      <w:r>
        <w:rPr>
          <w:rFonts w:hint="eastAsia" w:ascii="宋体" w:hAnsi="宋体" w:eastAsia="宋体" w:cs="宋体"/>
          <w:b/>
          <w:bCs/>
          <w:color w:val="auto"/>
          <w:kern w:val="0"/>
          <w:sz w:val="36"/>
          <w:szCs w:val="36"/>
          <w:lang w:val="zh-CN"/>
        </w:rPr>
        <w:t>法定代表人资格证明书</w:t>
      </w:r>
    </w:p>
    <w:p>
      <w:pPr>
        <w:ind w:firstLine="480" w:firstLineChars="200"/>
        <w:rPr>
          <w:rFonts w:ascii="宋体" w:hAnsi="宋体" w:eastAsia="宋体" w:cs="Times New Roman"/>
          <w:color w:val="auto"/>
          <w:kern w:val="2"/>
          <w:sz w:val="24"/>
          <w:szCs w:val="24"/>
        </w:rPr>
      </w:pP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5"/>
        <w:tblpPr w:leftFromText="180" w:rightFromText="180" w:vertAnchor="text" w:horzAnchor="page" w:tblpXSpec="center" w:tblpY="1457"/>
        <w:tblW w:w="6720"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97" w:hRule="atLeast"/>
          <w:jc w:val="center"/>
        </w:trPr>
        <w:tc>
          <w:tcPr>
            <w:tcW w:w="6720" w:type="dxa"/>
            <w:noWrap w:val="0"/>
            <w:vAlign w:val="center"/>
          </w:tcPr>
          <w:p>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pPr>
        <w:spacing w:line="360" w:lineRule="auto"/>
        <w:rPr>
          <w:rFonts w:hint="eastAsia" w:ascii="宋体" w:hAnsi="宋体" w:eastAsia="宋体" w:cs="Times New Roman"/>
          <w:color w:val="auto"/>
          <w:kern w:val="0"/>
          <w:sz w:val="34"/>
          <w:szCs w:val="20"/>
        </w:rPr>
      </w:pPr>
    </w:p>
    <w:p>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tabs>
          <w:tab w:val="center" w:pos="4153"/>
        </w:tabs>
        <w:spacing w:line="600" w:lineRule="exact"/>
        <w:jc w:val="left"/>
        <w:rPr>
          <w:rFonts w:hint="eastAsia" w:ascii="宋体" w:hAnsi="Calibri" w:eastAsia="宋体" w:cs="Times New Roman"/>
          <w:color w:val="auto"/>
          <w:kern w:val="0"/>
          <w:sz w:val="24"/>
          <w:szCs w:val="20"/>
        </w:rPr>
      </w:pPr>
      <w:r>
        <w:rPr>
          <w:rFonts w:hint="eastAsia" w:ascii="宋体" w:hAnsi="Calibri" w:eastAsia="宋体" w:cs="Times New Roman"/>
          <w:color w:val="auto"/>
          <w:kern w:val="0"/>
          <w:sz w:val="24"/>
          <w:szCs w:val="20"/>
          <w:lang w:val="zh-CN"/>
        </w:rPr>
        <w:t>投标人名称</w:t>
      </w:r>
      <w:r>
        <w:rPr>
          <w:rFonts w:ascii="宋体" w:hAnsi="Calibri" w:eastAsia="宋体" w:cs="Times New Roman"/>
          <w:color w:val="auto"/>
          <w:kern w:val="0"/>
          <w:sz w:val="24"/>
          <w:szCs w:val="20"/>
          <w:lang w:val="zh-CN"/>
        </w:rPr>
        <w:t>(</w:t>
      </w:r>
      <w:r>
        <w:rPr>
          <w:rFonts w:hint="eastAsia" w:ascii="宋体" w:hAnsi="Calibri" w:eastAsia="宋体" w:cs="Times New Roman"/>
          <w:color w:val="auto"/>
          <w:kern w:val="0"/>
          <w:sz w:val="24"/>
          <w:szCs w:val="20"/>
          <w:lang w:val="zh-CN"/>
        </w:rPr>
        <w:t>公章</w:t>
      </w:r>
      <w:r>
        <w:rPr>
          <w:rFonts w:ascii="宋体" w:hAnsi="Calibri" w:eastAsia="宋体" w:cs="Times New Roman"/>
          <w:color w:val="auto"/>
          <w:kern w:val="0"/>
          <w:sz w:val="24"/>
          <w:szCs w:val="20"/>
          <w:lang w:val="zh-CN"/>
        </w:rPr>
        <w:t>)</w:t>
      </w:r>
      <w:r>
        <w:rPr>
          <w:rFonts w:ascii="宋体" w:hAnsi="Calibri" w:eastAsia="宋体" w:cs="Times New Roman"/>
          <w:color w:val="auto"/>
          <w:kern w:val="0"/>
          <w:sz w:val="24"/>
          <w:szCs w:val="20"/>
        </w:rPr>
        <w:t>：</w:t>
      </w:r>
    </w:p>
    <w:p>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p>
    <w:p>
      <w:pPr>
        <w:widowControl/>
        <w:jc w:val="left"/>
        <w:rPr>
          <w:rFonts w:ascii="宋体" w:hAnsi="Calibri" w:eastAsia="宋体" w:cs="Times New Roman"/>
          <w:color w:val="auto"/>
          <w:kern w:val="0"/>
          <w:sz w:val="24"/>
          <w:szCs w:val="20"/>
        </w:rPr>
      </w:pPr>
    </w:p>
    <w:p>
      <w:pPr>
        <w:widowControl/>
        <w:jc w:val="left"/>
        <w:rPr>
          <w:rFonts w:ascii="宋体" w:hAnsi="Calibri" w:eastAsia="宋体" w:cs="Times New Roman"/>
          <w:color w:val="auto"/>
          <w:kern w:val="0"/>
          <w:sz w:val="24"/>
          <w:szCs w:val="20"/>
        </w:rPr>
      </w:pPr>
      <w:r>
        <w:rPr>
          <w:rFonts w:ascii="宋体" w:hAnsi="Calibri" w:eastAsia="宋体" w:cs="Times New Roman"/>
          <w:color w:val="auto"/>
          <w:kern w:val="0"/>
          <w:sz w:val="24"/>
          <w:szCs w:val="20"/>
        </w:rPr>
        <w:t>日</w:t>
      </w:r>
      <w:r>
        <w:rPr>
          <w:rFonts w:hint="eastAsia" w:ascii="宋体" w:hAnsi="Calibri" w:eastAsia="宋体" w:cs="Times New Roman"/>
          <w:color w:val="auto"/>
          <w:kern w:val="0"/>
          <w:sz w:val="24"/>
          <w:szCs w:val="20"/>
          <w:lang w:val="en-US" w:eastAsia="zh-CN"/>
        </w:rPr>
        <w:t xml:space="preserve">  </w:t>
      </w:r>
      <w:r>
        <w:rPr>
          <w:rFonts w:ascii="宋体" w:hAnsi="Calibri" w:eastAsia="宋体" w:cs="Times New Roman"/>
          <w:color w:val="auto"/>
          <w:kern w:val="0"/>
          <w:sz w:val="24"/>
          <w:szCs w:val="20"/>
        </w:rPr>
        <w:t>期：</w:t>
      </w:r>
    </w:p>
    <w:p>
      <w:pPr>
        <w:spacing w:line="360" w:lineRule="auto"/>
        <w:jc w:val="both"/>
        <w:rPr>
          <w:rFonts w:hint="eastAsia" w:ascii="宋体" w:hAnsi="Times New Roman" w:eastAsia="宋体" w:cs="Times New Roman"/>
          <w:b/>
          <w:bCs/>
          <w:color w:val="auto"/>
          <w:sz w:val="28"/>
          <w:szCs w:val="28"/>
          <w:highlight w:val="none"/>
          <w:lang w:val="en-US" w:eastAsia="zh-CN"/>
        </w:rPr>
      </w:pPr>
      <w:r>
        <w:rPr>
          <w:rFonts w:ascii="宋体" w:hAnsi="Calibri" w:eastAsia="宋体" w:cs="Times New Roman"/>
          <w:color w:val="auto"/>
          <w:kern w:val="0"/>
          <w:sz w:val="24"/>
          <w:szCs w:val="20"/>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p>
    <w:p>
      <w:pPr>
        <w:spacing w:line="360" w:lineRule="auto"/>
        <w:jc w:val="center"/>
        <w:rPr>
          <w:rFonts w:hint="eastAsia" w:ascii="微软雅黑" w:hAnsi="微软雅黑" w:eastAsia="微软雅黑" w:cs="微软雅黑"/>
          <w:b/>
          <w:bCs/>
          <w:color w:val="auto"/>
          <w:kern w:val="0"/>
          <w:sz w:val="32"/>
          <w:szCs w:val="32"/>
          <w:highlight w:val="none"/>
          <w:lang w:val="zh-CN"/>
        </w:rPr>
      </w:pPr>
      <w:r>
        <w:rPr>
          <w:rFonts w:hint="eastAsia" w:ascii="宋体" w:hAnsi="宋体" w:eastAsia="宋体" w:cs="宋体"/>
          <w:b/>
          <w:bCs/>
          <w:kern w:val="0"/>
          <w:sz w:val="36"/>
          <w:szCs w:val="36"/>
          <w:highlight w:val="none"/>
          <w:lang w:val="zh-CN"/>
        </w:rPr>
        <w:t>符合资格条件的声明函</w:t>
      </w:r>
    </w:p>
    <w:p>
      <w:pPr>
        <w:keepNext w:val="0"/>
        <w:keepLines w:val="0"/>
        <w:pageBreakBefore w:val="0"/>
        <w:widowControl w:val="0"/>
        <w:kinsoku/>
        <w:wordWrap w:val="0"/>
        <w:overflowPunct/>
        <w:topLinePunct w:val="0"/>
        <w:autoSpaceDE/>
        <w:autoSpaceDN/>
        <w:bidi w:val="0"/>
        <w:adjustRightInd/>
        <w:snapToGrid w:val="0"/>
        <w:spacing w:line="700" w:lineRule="exact"/>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u w:val="single"/>
          <w:lang w:val="en-US" w:eastAsia="zh-CN"/>
        </w:rPr>
        <w:t>台州市云湖小学</w:t>
      </w:r>
      <w:r>
        <w:rPr>
          <w:rFonts w:hint="eastAsia" w:ascii="宋体" w:hAnsi="宋体" w:eastAsia="宋体" w:cs="宋体"/>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截至（</w:t>
      </w:r>
      <w:r>
        <w:rPr>
          <w:rFonts w:hint="eastAsia" w:ascii="宋体" w:hAnsi="宋体" w:cs="宋体"/>
          <w:kern w:val="0"/>
          <w:sz w:val="24"/>
          <w:szCs w:val="24"/>
          <w:highlight w:val="none"/>
          <w:u w:val="single"/>
          <w:lang w:eastAsia="zh-CN"/>
        </w:rPr>
        <w:t>台州市云湖小学食堂托管及劳务外包服务采购</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编号为</w:t>
      </w:r>
      <w:r>
        <w:rPr>
          <w:rFonts w:hint="eastAsia" w:ascii="宋体" w:hAnsi="宋体" w:cs="宋体"/>
          <w:kern w:val="0"/>
          <w:sz w:val="24"/>
          <w:szCs w:val="24"/>
          <w:highlight w:val="none"/>
          <w:u w:val="single"/>
          <w:lang w:eastAsia="zh-CN"/>
        </w:rPr>
        <w:t>Tytz-2024-017</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项目</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投标截止时间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本</w:t>
      </w:r>
      <w:r>
        <w:rPr>
          <w:rFonts w:hint="eastAsia" w:ascii="宋体" w:hAnsi="宋体" w:eastAsia="宋体" w:cs="宋体"/>
          <w:kern w:val="0"/>
          <w:sz w:val="24"/>
          <w:szCs w:val="24"/>
          <w:highlight w:val="none"/>
        </w:rPr>
        <w:t>公司符合参与</w:t>
      </w:r>
      <w:r>
        <w:rPr>
          <w:rFonts w:hint="eastAsia" w:ascii="宋体" w:hAnsi="宋体" w:eastAsia="宋体" w:cs="宋体"/>
          <w:kern w:val="0"/>
          <w:sz w:val="24"/>
          <w:szCs w:val="24"/>
          <w:highlight w:val="none"/>
          <w:lang w:eastAsia="zh-CN"/>
        </w:rPr>
        <w:t>政府采购活动</w:t>
      </w:r>
      <w:r>
        <w:rPr>
          <w:rFonts w:hint="eastAsia" w:ascii="宋体" w:hAnsi="宋体" w:eastAsia="宋体" w:cs="宋体"/>
          <w:kern w:val="0"/>
          <w:sz w:val="24"/>
          <w:szCs w:val="24"/>
          <w:highlight w:val="none"/>
        </w:rPr>
        <w:t>的资格条件</w:t>
      </w:r>
      <w:r>
        <w:rPr>
          <w:rFonts w:hint="eastAsia" w:ascii="宋体" w:hAnsi="宋体" w:eastAsia="宋体" w:cs="宋体"/>
          <w:kern w:val="0"/>
          <w:sz w:val="24"/>
          <w:szCs w:val="24"/>
          <w:highlight w:val="none"/>
          <w:lang w:eastAsia="zh-CN"/>
        </w:rPr>
        <w:t>，不存在不符合《中华人民共和国政府采购法》第二十二条规定的条件，</w:t>
      </w:r>
      <w:r>
        <w:rPr>
          <w:rFonts w:hint="eastAsia" w:ascii="宋体" w:hAnsi="宋体" w:eastAsia="宋体" w:cs="宋体"/>
          <w:kern w:val="0"/>
          <w:sz w:val="24"/>
          <w:szCs w:val="24"/>
          <w:highlight w:val="none"/>
          <w:lang w:val="en-US" w:eastAsia="zh-CN"/>
        </w:rPr>
        <w:t>具有良好的商业信誉和健全的财务会计制度</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具有依法缴纳税收和社会保障资金的良好记录</w:t>
      </w:r>
      <w:r>
        <w:rPr>
          <w:rFonts w:hint="eastAsia" w:ascii="宋体" w:hAnsi="宋体" w:eastAsia="宋体" w:cs="宋体"/>
          <w:kern w:val="0"/>
          <w:sz w:val="24"/>
          <w:szCs w:val="24"/>
          <w:highlight w:val="none"/>
        </w:rPr>
        <w:t>，不存在欠税、偷税、逃税和欠缴、</w:t>
      </w:r>
      <w:r>
        <w:rPr>
          <w:rFonts w:hint="eastAsia" w:ascii="宋体" w:hAnsi="宋体" w:eastAsia="宋体" w:cs="宋体"/>
          <w:kern w:val="0"/>
          <w:sz w:val="24"/>
          <w:szCs w:val="24"/>
          <w:highlight w:val="none"/>
          <w:lang w:eastAsia="zh-CN"/>
        </w:rPr>
        <w:t>逃避</w:t>
      </w:r>
      <w:r>
        <w:rPr>
          <w:rFonts w:hint="eastAsia" w:ascii="宋体" w:hAnsi="宋体" w:eastAsia="宋体" w:cs="宋体"/>
          <w:kern w:val="0"/>
          <w:sz w:val="24"/>
          <w:szCs w:val="24"/>
          <w:highlight w:val="none"/>
        </w:rPr>
        <w:t>社会保障资金等方面的相关记录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具有履行合同所必需的设备和专业技术能力</w:t>
      </w:r>
      <w:r>
        <w:rPr>
          <w:rFonts w:hint="eastAsia" w:ascii="宋体" w:hAnsi="宋体" w:eastAsia="宋体" w:cs="宋体"/>
          <w:kern w:val="0"/>
          <w:sz w:val="24"/>
          <w:szCs w:val="24"/>
          <w:highlight w:val="none"/>
          <w:lang w:eastAsia="zh-CN"/>
        </w:rPr>
        <w:t>；未被“信用中国”（www.creditchina.gov.cn)、中国政府采购网（www.ccgp.gov.cn）列入失信被执行人、重大税收违法失信主体、政府采购严重违法失信行为记录名单；</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val="en-US" w:eastAsia="zh-CN"/>
        </w:rPr>
        <w:t>参加此项采购活动前三年内</w:t>
      </w:r>
      <w:r>
        <w:rPr>
          <w:rFonts w:hint="eastAsia" w:ascii="宋体" w:hAnsi="宋体" w:eastAsia="宋体" w:cs="宋体"/>
          <w:kern w:val="0"/>
          <w:sz w:val="24"/>
          <w:szCs w:val="24"/>
          <w:highlight w:val="none"/>
        </w:rPr>
        <w:t>没有重大违法记录（重大违法记录是指因违法经营受到刑事处罚或者责令停产停业、吊销许可证或者执照、较大数额罚款等行政处罚），没有因违法经营被禁止参加政府采购活动的期限未满情形。</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我方对上述声明的真实性负责。如有虚假，可取消我方任何资格（</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/中标/签订合同）</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rPr>
        <w:t>愿意承担相应责任，</w:t>
      </w:r>
      <w:r>
        <w:rPr>
          <w:rFonts w:hint="eastAsia" w:ascii="宋体" w:hAnsi="宋体" w:eastAsia="宋体" w:cs="宋体"/>
          <w:kern w:val="0"/>
          <w:sz w:val="24"/>
          <w:szCs w:val="24"/>
          <w:highlight w:val="none"/>
          <w:lang w:val="en-US" w:eastAsia="zh-CN"/>
        </w:rPr>
        <w:t>我方</w:t>
      </w:r>
      <w:r>
        <w:rPr>
          <w:rFonts w:hint="eastAsia" w:ascii="宋体" w:hAnsi="宋体" w:eastAsia="宋体" w:cs="宋体"/>
          <w:kern w:val="0"/>
          <w:sz w:val="24"/>
          <w:szCs w:val="24"/>
          <w:highlight w:val="none"/>
        </w:rPr>
        <w:t>对此无任何异议。</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特此声明！</w:t>
      </w:r>
      <w:r>
        <w:rPr>
          <w:rFonts w:hint="eastAsia" w:ascii="宋体" w:hAnsi="宋体" w:eastAsia="宋体" w:cs="宋体"/>
          <w:kern w:val="0"/>
          <w:sz w:val="24"/>
          <w:szCs w:val="24"/>
          <w:highlight w:val="none"/>
          <w:lang w:val="zh-CN"/>
        </w:rPr>
        <w:t xml:space="preserve">                  </w:t>
      </w: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widowControl/>
        <w:jc w:val="left"/>
        <w:rPr>
          <w:rFonts w:ascii="仿宋_GB2312" w:hAnsi="宋体" w:eastAsia="仿宋_GB2312"/>
          <w:color w:val="auto"/>
          <w:sz w:val="30"/>
          <w:szCs w:val="30"/>
        </w:rPr>
      </w:pPr>
      <w:r>
        <w:rPr>
          <w:rFonts w:hint="eastAsia" w:ascii="宋体" w:hAnsi="宋体" w:eastAsia="宋体" w:cs="宋体"/>
          <w:color w:val="auto"/>
          <w:kern w:val="0"/>
          <w:sz w:val="24"/>
          <w:szCs w:val="24"/>
          <w:lang w:val="zh-CN"/>
        </w:rPr>
        <w:t>日期：</w:t>
      </w:r>
      <w:r>
        <w:rPr>
          <w:rFonts w:ascii="宋体"/>
          <w:b/>
          <w:bCs/>
          <w:color w:val="auto"/>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台州市云湖小学食堂托管及劳务外包服务采购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Tytz-2024-017</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30"/>
          <w:szCs w:val="30"/>
          <w:lang w:val="zh-CN"/>
        </w:rPr>
        <w:t>（技术标）</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cs="宋体"/>
          <w:b/>
          <w:bCs/>
          <w:color w:val="auto"/>
          <w:sz w:val="32"/>
          <w:szCs w:val="32"/>
          <w:lang w:val="zh-CN"/>
        </w:rPr>
      </w:pP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pPr>
        <w:snapToGrid w:val="0"/>
        <w:spacing w:before="50" w:after="50" w:line="360" w:lineRule="auto"/>
        <w:jc w:val="center"/>
        <w:rPr>
          <w:rFonts w:hint="eastAsia" w:ascii="宋体" w:hAnsi="宋体" w:eastAsia="宋体" w:cs="宋体"/>
          <w:b/>
          <w:bCs/>
          <w:color w:val="auto"/>
          <w:sz w:val="36"/>
          <w:szCs w:val="36"/>
        </w:rPr>
      </w:pPr>
      <w:r>
        <w:rPr>
          <w:rFonts w:hint="eastAsia" w:ascii="宋体" w:hAnsi="宋体" w:cs="宋体"/>
          <w:b/>
          <w:bCs/>
          <w:color w:val="auto"/>
          <w:sz w:val="36"/>
          <w:szCs w:val="36"/>
          <w:lang w:val="zh-CN"/>
        </w:rPr>
        <w:t>技术标</w:t>
      </w:r>
      <w:r>
        <w:rPr>
          <w:rFonts w:hint="eastAsia" w:ascii="宋体" w:hAnsi="宋体" w:eastAsia="宋体" w:cs="宋体"/>
          <w:b/>
          <w:bCs/>
          <w:color w:val="auto"/>
          <w:sz w:val="36"/>
          <w:szCs w:val="36"/>
        </w:rPr>
        <w:t>目录</w:t>
      </w:r>
    </w:p>
    <w:p>
      <w:pPr>
        <w:snapToGrid w:val="0"/>
        <w:spacing w:line="360" w:lineRule="auto"/>
        <w:rPr>
          <w:rFonts w:ascii="宋体" w:hAnsi="Times New Roman" w:eastAsia="宋体" w:cs="Times New Roman"/>
          <w:color w:val="auto"/>
          <w:sz w:val="24"/>
          <w:szCs w:val="24"/>
        </w:rPr>
      </w:pPr>
    </w:p>
    <w:p>
      <w:pPr>
        <w:snapToGrid w:val="0"/>
        <w:spacing w:line="360" w:lineRule="auto"/>
        <w:ind w:firstLine="562" w:firstLineChars="200"/>
        <w:rPr>
          <w:rFonts w:ascii="宋体" w:hAnsi="Times New Roman" w:eastAsia="宋体" w:cs="Times New Roman"/>
          <w:b/>
          <w:bCs/>
          <w:color w:val="auto"/>
          <w:sz w:val="28"/>
          <w:szCs w:val="28"/>
        </w:rPr>
      </w:pPr>
      <w:r>
        <w:rPr>
          <w:rFonts w:hint="eastAsia" w:ascii="宋体" w:hAnsi="宋体" w:eastAsia="宋体" w:cs="宋体"/>
          <w:b/>
          <w:bCs/>
          <w:color w:val="auto"/>
          <w:sz w:val="28"/>
          <w:szCs w:val="28"/>
        </w:rPr>
        <w:t>第一部分</w:t>
      </w:r>
      <w:r>
        <w:rPr>
          <w:rFonts w:ascii="宋体" w:hAnsi="宋体" w:eastAsia="宋体" w:cs="宋体"/>
          <w:b/>
          <w:bCs/>
          <w:color w:val="auto"/>
          <w:sz w:val="28"/>
          <w:szCs w:val="28"/>
        </w:rPr>
        <w:t xml:space="preserve">  </w:t>
      </w:r>
      <w:r>
        <w:rPr>
          <w:rFonts w:hint="eastAsia" w:ascii="宋体" w:hAnsi="宋体" w:eastAsia="宋体" w:cs="宋体"/>
          <w:b/>
          <w:bCs/>
          <w:color w:val="auto"/>
          <w:sz w:val="28"/>
          <w:szCs w:val="28"/>
        </w:rPr>
        <w:t>技术方案描述部分</w:t>
      </w:r>
    </w:p>
    <w:p>
      <w:pPr>
        <w:snapToGrid w:val="0"/>
        <w:spacing w:line="360" w:lineRule="auto"/>
        <w:ind w:firstLine="560" w:firstLineChars="200"/>
        <w:rPr>
          <w:rFonts w:ascii="宋体" w:hAnsi="Times New Roman" w:eastAsia="宋体" w:cs="Times New Roman"/>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投标人基本情况表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2、评分索引表（附件6）；</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需求的理解与分析；</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、项目组织实施方案；</w:t>
      </w:r>
      <w:r>
        <w:rPr>
          <w:rFonts w:ascii="宋体" w:hAnsi="宋体" w:eastAsia="宋体" w:cs="宋体"/>
          <w:color w:val="auto"/>
          <w:sz w:val="28"/>
          <w:szCs w:val="28"/>
        </w:rPr>
        <w:t xml:space="preserve"> </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5、项目实施人员一览表（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7）；</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6、项目负责人资格情况表（附件8）；</w:t>
      </w:r>
    </w:p>
    <w:p>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验收方案</w:t>
      </w:r>
      <w:r>
        <w:rPr>
          <w:rFonts w:hint="eastAsia" w:ascii="宋体" w:hAnsi="宋体" w:eastAsia="宋体" w:cs="宋体"/>
          <w:color w:val="auto"/>
          <w:sz w:val="28"/>
          <w:szCs w:val="28"/>
          <w:lang w:eastAsia="zh-CN"/>
        </w:rPr>
        <w:t>；</w:t>
      </w:r>
    </w:p>
    <w:p>
      <w:pPr>
        <w:snapToGrid w:val="0"/>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技术需求响应表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p>
    <w:p>
      <w:pPr>
        <w:snapToGrid w:val="0"/>
        <w:spacing w:line="360" w:lineRule="auto"/>
        <w:ind w:left="559" w:leftChars="266"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、投标人需要说明的其他内容</w:t>
      </w:r>
      <w:r>
        <w:rPr>
          <w:rFonts w:hint="eastAsia" w:ascii="宋体" w:hAnsi="宋体" w:eastAsia="宋体" w:cs="宋体"/>
          <w:color w:val="auto"/>
          <w:sz w:val="28"/>
          <w:szCs w:val="28"/>
          <w:lang w:eastAsia="zh-CN"/>
        </w:rPr>
        <w:t>。</w:t>
      </w:r>
    </w:p>
    <w:p>
      <w:pPr>
        <w:snapToGrid w:val="0"/>
        <w:spacing w:line="360" w:lineRule="auto"/>
        <w:ind w:firstLine="551" w:firstLineChars="196"/>
        <w:rPr>
          <w:rFonts w:hint="eastAsia" w:ascii="宋体" w:hAnsi="Times New Roman" w:eastAsia="宋体" w:cs="Times New Roman"/>
          <w:b/>
          <w:bCs/>
          <w:color w:val="auto"/>
          <w:kern w:val="0"/>
          <w:sz w:val="28"/>
          <w:szCs w:val="28"/>
          <w:lang w:eastAsia="zh-CN"/>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rPr>
        <w:t>部分</w:t>
      </w: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eastAsia="zh-CN"/>
        </w:rPr>
        <w:t>商务响应及其他部分</w:t>
      </w:r>
    </w:p>
    <w:p>
      <w:pPr>
        <w:snapToGrid w:val="0"/>
        <w:spacing w:line="360" w:lineRule="auto"/>
        <w:ind w:firstLine="548" w:firstLineChars="196"/>
        <w:rPr>
          <w:rFonts w:ascii="宋体" w:hAnsi="Times New Roman" w:eastAsia="宋体" w:cs="Times New Roman"/>
          <w:color w:val="auto"/>
          <w:kern w:val="0"/>
          <w:sz w:val="28"/>
          <w:szCs w:val="28"/>
        </w:rPr>
      </w:pPr>
      <w:r>
        <w:rPr>
          <w:rFonts w:ascii="宋体" w:hAnsi="宋体" w:eastAsia="宋体" w:cs="宋体"/>
          <w:color w:val="auto"/>
          <w:kern w:val="0"/>
          <w:sz w:val="28"/>
          <w:szCs w:val="28"/>
        </w:rPr>
        <w:t>1</w:t>
      </w:r>
      <w:r>
        <w:rPr>
          <w:rFonts w:hint="eastAsia" w:ascii="宋体" w:hAnsi="宋体" w:eastAsia="宋体" w:cs="宋体"/>
          <w:color w:val="auto"/>
          <w:kern w:val="0"/>
          <w:sz w:val="28"/>
          <w:szCs w:val="28"/>
        </w:rPr>
        <w:t>、证书一览表（附件</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w:t>
      </w:r>
    </w:p>
    <w:p>
      <w:pPr>
        <w:snapToGrid w:val="0"/>
        <w:spacing w:line="360" w:lineRule="auto"/>
        <w:ind w:firstLine="548" w:firstLineChars="196"/>
        <w:rPr>
          <w:rFonts w:hint="eastAsia" w:ascii="宋体" w:hAnsi="Times New Roman" w:eastAsia="宋体" w:cs="Times New Roman"/>
          <w:color w:val="auto"/>
          <w:kern w:val="0"/>
          <w:sz w:val="28"/>
          <w:szCs w:val="28"/>
          <w:lang w:eastAsia="zh-CN"/>
        </w:rPr>
      </w:pPr>
      <w:r>
        <w:rPr>
          <w:rFonts w:ascii="宋体" w:hAnsi="宋体" w:eastAsia="宋体" w:cs="宋体"/>
          <w:color w:val="auto"/>
          <w:kern w:val="0"/>
          <w:sz w:val="28"/>
          <w:szCs w:val="28"/>
        </w:rPr>
        <w:t>2</w:t>
      </w:r>
      <w:r>
        <w:rPr>
          <w:rFonts w:hint="eastAsia" w:ascii="宋体" w:hAnsi="宋体" w:eastAsia="宋体" w:cs="宋体"/>
          <w:color w:val="auto"/>
          <w:kern w:val="0"/>
          <w:sz w:val="28"/>
          <w:szCs w:val="28"/>
        </w:rPr>
        <w:t>、投标人类似项目实施情况一览表（附件</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p>
    <w:p>
      <w:pPr>
        <w:snapToGrid w:val="0"/>
        <w:spacing w:line="360" w:lineRule="auto"/>
        <w:ind w:left="837" w:leftChars="260" w:hanging="291" w:hangingChars="104"/>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3、商务技术响应表（附件12）；</w:t>
      </w:r>
    </w:p>
    <w:p>
      <w:pPr>
        <w:snapToGrid w:val="0"/>
        <w:spacing w:line="360" w:lineRule="auto"/>
        <w:ind w:left="559" w:leftChars="266"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4、投标人需要说明的其他内容。</w:t>
      </w:r>
    </w:p>
    <w:p>
      <w:pPr>
        <w:snapToGrid w:val="0"/>
        <w:spacing w:line="360" w:lineRule="auto"/>
        <w:ind w:left="837" w:leftChars="260" w:hanging="291" w:hangingChars="104"/>
        <w:rPr>
          <w:rFonts w:hint="eastAsia" w:ascii="宋体" w:eastAsia="宋体"/>
          <w:color w:val="auto"/>
          <w:kern w:val="0"/>
          <w:sz w:val="28"/>
          <w:szCs w:val="28"/>
          <w:lang w:eastAsia="zh-CN"/>
        </w:rPr>
      </w:pPr>
    </w:p>
    <w:p>
      <w:pPr>
        <w:widowControl/>
        <w:jc w:val="left"/>
        <w:rPr>
          <w:rFonts w:hint="default" w:ascii="宋体" w:hAnsi="宋体" w:eastAsia="宋体" w:cs="宋体"/>
          <w:b/>
          <w:bCs/>
          <w:color w:val="auto"/>
          <w:sz w:val="28"/>
          <w:szCs w:val="28"/>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5</w:t>
      </w:r>
    </w:p>
    <w:p>
      <w:pPr>
        <w:widowControl w:val="0"/>
        <w:adjustRightInd w:val="0"/>
        <w:snapToGrid w:val="0"/>
        <w:spacing w:line="420" w:lineRule="atLeast"/>
        <w:jc w:val="center"/>
        <w:textAlignment w:val="baseline"/>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t>投标人基本情况表</w:t>
      </w:r>
    </w:p>
    <w:tbl>
      <w:tblPr>
        <w:tblStyle w:val="25"/>
        <w:tblW w:w="9545" w:type="dxa"/>
        <w:jc w:val="center"/>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990"/>
        <w:gridCol w:w="1783"/>
        <w:gridCol w:w="974"/>
        <w:gridCol w:w="188"/>
        <w:gridCol w:w="1070"/>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32" w:hRule="atLeast"/>
          <w:jc w:val="center"/>
        </w:trPr>
        <w:tc>
          <w:tcPr>
            <w:tcW w:w="1802" w:type="dxa"/>
            <w:tcBorders>
              <w:top w:val="doub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投标人名称</w:t>
            </w:r>
          </w:p>
        </w:tc>
        <w:tc>
          <w:tcPr>
            <w:tcW w:w="7743" w:type="dxa"/>
            <w:gridSpan w:val="8"/>
            <w:tcBorders>
              <w:top w:val="doub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注册地址</w:t>
            </w:r>
          </w:p>
        </w:tc>
        <w:tc>
          <w:tcPr>
            <w:tcW w:w="374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邮政编码</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restart"/>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联系方式</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联系人</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 话</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continue"/>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传 真</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电子邮件</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法定代表人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技术负责人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成立时间</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4970" w:type="dxa"/>
            <w:gridSpan w:val="6"/>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企业资质</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其中</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en-US"/>
              </w:rPr>
              <w:t>具备大专以上学历人</w:t>
            </w:r>
            <w:r>
              <w:rPr>
                <w:rFonts w:hint="eastAsia" w:hAnsi="宋体" w:eastAsia="宋体" w:cs="宋体"/>
                <w:color w:val="auto"/>
                <w:kern w:val="2"/>
                <w:sz w:val="21"/>
                <w:szCs w:val="21"/>
                <w:highlight w:val="none"/>
                <w:lang w:val="en-US" w:eastAsia="zh-CN"/>
              </w:rPr>
              <w:t>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统一社会信用代码</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高级职称人员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注册资金</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中级职称人员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基本账户开户银行</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初级职称人员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基本账户账号</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其他</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经营范围</w:t>
            </w:r>
          </w:p>
        </w:tc>
        <w:tc>
          <w:tcPr>
            <w:tcW w:w="7743" w:type="dxa"/>
            <w:gridSpan w:val="8"/>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资产构成情况及投标人投资参股的关联企业情况</w:t>
            </w:r>
          </w:p>
        </w:tc>
        <w:tc>
          <w:tcPr>
            <w:tcW w:w="7743" w:type="dxa"/>
            <w:gridSpan w:val="8"/>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5" w:hRule="atLeast"/>
          <w:jc w:val="center"/>
        </w:trPr>
        <w:tc>
          <w:tcPr>
            <w:tcW w:w="1802" w:type="dxa"/>
            <w:tcBorders>
              <w:top w:val="single" w:color="000000" w:sz="4" w:space="0"/>
              <w:left w:val="double" w:color="000000" w:sz="4" w:space="0"/>
              <w:bottom w:val="doub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备</w:t>
            </w:r>
            <w:r>
              <w:rPr>
                <w:rFonts w:hint="eastAsia" w:hAnsi="宋体" w:eastAsia="宋体" w:cs="宋体"/>
                <w:color w:val="auto"/>
                <w:kern w:val="2"/>
                <w:sz w:val="21"/>
                <w:szCs w:val="21"/>
                <w:highlight w:val="none"/>
                <w:lang w:val="en-US" w:eastAsia="en-US"/>
              </w:rPr>
              <w:tab/>
            </w:r>
            <w:r>
              <w:rPr>
                <w:rFonts w:hint="eastAsia" w:hAnsi="宋体" w:eastAsia="宋体" w:cs="宋体"/>
                <w:color w:val="auto"/>
                <w:kern w:val="2"/>
                <w:sz w:val="21"/>
                <w:szCs w:val="21"/>
                <w:highlight w:val="none"/>
                <w:lang w:val="en-US" w:eastAsia="en-US"/>
              </w:rPr>
              <w:t>注</w:t>
            </w:r>
          </w:p>
        </w:tc>
        <w:tc>
          <w:tcPr>
            <w:tcW w:w="7743" w:type="dxa"/>
            <w:gridSpan w:val="8"/>
            <w:tcBorders>
              <w:top w:val="single" w:color="000000" w:sz="4" w:space="0"/>
              <w:left w:val="single" w:color="000000" w:sz="4" w:space="0"/>
              <w:bottom w:val="doub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bl>
    <w:p>
      <w:pPr>
        <w:widowControl/>
        <w:jc w:val="left"/>
        <w:rPr>
          <w:rFonts w:hint="default" w:ascii="Times New Roman" w:hAnsi="Times New Roman" w:eastAsia="宋体" w:cs="Times New Roman"/>
          <w:b/>
          <w:bCs/>
          <w:color w:val="auto"/>
          <w:sz w:val="28"/>
          <w:szCs w:val="28"/>
          <w:lang w:val="en-US" w:eastAsia="zh-CN"/>
        </w:rPr>
      </w:pPr>
      <w:r>
        <w:rPr>
          <w:rFonts w:hint="eastAsia" w:eastAsia="宋体"/>
          <w:b/>
          <w:bCs/>
          <w:color w:val="auto"/>
          <w:sz w:val="28"/>
          <w:szCs w:val="28"/>
        </w:rPr>
        <w:br w:type="page"/>
      </w:r>
      <w:r>
        <w:rPr>
          <w:rFonts w:hint="eastAsia" w:ascii="Times New Roman" w:hAnsi="Times New Roman" w:eastAsia="宋体" w:cs="Times New Roman"/>
          <w:b/>
          <w:bCs/>
          <w:color w:val="auto"/>
          <w:sz w:val="28"/>
          <w:szCs w:val="28"/>
          <w:lang w:val="en-US" w:eastAsia="zh-CN"/>
        </w:rPr>
        <w:t>附件</w:t>
      </w:r>
      <w:r>
        <w:rPr>
          <w:rFonts w:hint="eastAsia" w:cs="Times New Roman"/>
          <w:b/>
          <w:bCs/>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宋体" w:eastAsia="宋体" w:cs="Times New Roman"/>
          <w:color w:val="auto"/>
          <w:sz w:val="38"/>
          <w:lang w:val="en-US" w:eastAsia="zh-CN"/>
        </w:rPr>
      </w:pPr>
      <w:r>
        <w:rPr>
          <w:rFonts w:hint="eastAsia" w:ascii="宋体" w:hAnsi="宋体" w:eastAsia="宋体" w:cs="Times New Roman"/>
          <w:b/>
          <w:color w:val="auto"/>
          <w:sz w:val="36"/>
          <w:szCs w:val="36"/>
          <w:lang w:val="en-US" w:eastAsia="zh-CN" w:bidi="ar-SA"/>
        </w:rPr>
        <w:t>评分索引表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p>
      <w:pPr>
        <w:spacing w:line="360" w:lineRule="auto"/>
        <w:rPr>
          <w:rFonts w:ascii="宋体" w:hAnsi="宋体" w:eastAsia="宋体" w:cs="Times New Roman"/>
          <w:color w:val="auto"/>
          <w:kern w:val="2"/>
          <w:sz w:val="24"/>
          <w:szCs w:val="24"/>
        </w:rPr>
      </w:pPr>
      <w:r>
        <w:rPr>
          <w:rFonts w:hint="eastAsia" w:ascii="宋体" w:hAnsi="宋体" w:eastAsia="宋体" w:cs="宋体"/>
          <w:color w:val="auto"/>
          <w:sz w:val="24"/>
          <w:szCs w:val="24"/>
          <w:lang w:val="en-US" w:eastAsia="zh-CN" w:bidi="ar-SA"/>
        </w:rPr>
        <w:t>招标编号：</w:t>
      </w:r>
    </w:p>
    <w:tbl>
      <w:tblPr>
        <w:tblStyle w:val="26"/>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112"/>
        <w:gridCol w:w="8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3" w:type="dxa"/>
            <w:tcBorders>
              <w:top w:val="thinThickSmallGap" w:color="auto" w:sz="12" w:space="0"/>
              <w:lef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序号</w:t>
            </w:r>
          </w:p>
        </w:tc>
        <w:tc>
          <w:tcPr>
            <w:tcW w:w="6112"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评分内容</w:t>
            </w:r>
          </w:p>
        </w:tc>
        <w:tc>
          <w:tcPr>
            <w:tcW w:w="840"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自评分值</w:t>
            </w:r>
          </w:p>
        </w:tc>
        <w:tc>
          <w:tcPr>
            <w:tcW w:w="1105" w:type="dxa"/>
            <w:tcBorders>
              <w:top w:val="thinThickSmallGap" w:color="auto" w:sz="12" w:space="0"/>
              <w:righ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jc w:val="left"/>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bottom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tcBorders>
              <w:bottom w:val="thinThickSmallGap" w:color="auto" w:sz="12" w:space="0"/>
            </w:tcBorders>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tcBorders>
              <w:bottom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c>
          <w:tcPr>
            <w:tcW w:w="1105" w:type="dxa"/>
            <w:tcBorders>
              <w:bottom w:val="thinThickSmallGap" w:color="auto" w:sz="12" w:space="0"/>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bl>
    <w:p>
      <w:pPr>
        <w:rPr>
          <w:rFonts w:hint="eastAsia" w:ascii="Times New Roman" w:hAnsi="宋体" w:eastAsia="宋体" w:cs="宋体"/>
          <w:color w:val="auto"/>
          <w:sz w:val="24"/>
          <w:szCs w:val="24"/>
        </w:rPr>
      </w:pPr>
      <w:r>
        <w:rPr>
          <w:rFonts w:hint="eastAsia" w:ascii="Times New Roman" w:hAnsi="宋体" w:eastAsia="宋体" w:cs="Times New Roman"/>
          <w:color w:val="auto"/>
          <w:sz w:val="24"/>
          <w:szCs w:val="24"/>
          <w:lang w:eastAsia="zh-CN"/>
        </w:rPr>
        <w:t>注：本表可在不更改格式的情况下由投标人自行增减。</w:t>
      </w:r>
    </w:p>
    <w:p>
      <w:pPr>
        <w:tabs>
          <w:tab w:val="left" w:pos="5792"/>
        </w:tabs>
        <w:spacing w:line="460" w:lineRule="exact"/>
        <w:jc w:val="left"/>
        <w:rPr>
          <w:rFonts w:hint="eastAsia" w:ascii="Times New Roman"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sz w:val="24"/>
          <w:szCs w:val="24"/>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eastAsia="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eastAsia="宋体"/>
          <w:color w:val="auto"/>
          <w:kern w:val="0"/>
          <w:sz w:val="24"/>
          <w:szCs w:val="20"/>
          <w:highlight w:val="none"/>
        </w:rPr>
      </w:pP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5"/>
        <w:tblW w:w="9460"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290"/>
        <w:gridCol w:w="1155"/>
        <w:gridCol w:w="1515"/>
        <w:gridCol w:w="1980"/>
        <w:gridCol w:w="130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jc w:val="center"/>
        </w:trPr>
        <w:tc>
          <w:tcPr>
            <w:tcW w:w="679" w:type="dxa"/>
            <w:tcBorders>
              <w:top w:val="thinThickSmallGap" w:color="auto" w:sz="12" w:space="0"/>
              <w:left w:val="thinThickSmallGap" w:color="auto" w:sz="12"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序号</w:t>
            </w:r>
          </w:p>
        </w:tc>
        <w:tc>
          <w:tcPr>
            <w:tcW w:w="129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姓名</w:t>
            </w:r>
          </w:p>
        </w:tc>
        <w:tc>
          <w:tcPr>
            <w:tcW w:w="115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职务</w:t>
            </w:r>
          </w:p>
        </w:tc>
        <w:tc>
          <w:tcPr>
            <w:tcW w:w="151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专业技术资格</w:t>
            </w:r>
          </w:p>
        </w:tc>
        <w:tc>
          <w:tcPr>
            <w:tcW w:w="198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证书编号</w:t>
            </w:r>
          </w:p>
        </w:tc>
        <w:tc>
          <w:tcPr>
            <w:tcW w:w="130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参加本单位工作时间</w:t>
            </w:r>
          </w:p>
        </w:tc>
        <w:tc>
          <w:tcPr>
            <w:tcW w:w="1536" w:type="dxa"/>
            <w:tcBorders>
              <w:top w:val="thinThickSmallGap" w:color="auto" w:sz="12" w:space="0"/>
              <w:left w:val="single" w:color="auto" w:sz="4" w:space="0"/>
              <w:bottom w:val="single" w:color="auto" w:sz="4" w:space="0"/>
              <w:right w:val="thinThickSmallGap" w:color="auto" w:sz="12"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color w:val="auto"/>
                <w:kern w:val="0"/>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ind w:left="5250" w:leftChars="2500"/>
              <w:jc w:val="both"/>
              <w:rPr>
                <w:rFonts w:ascii="宋体" w:hAnsi="宋体" w:eastAsia="宋体" w:cs="Times New Roman"/>
                <w:color w:val="auto"/>
                <w:sz w:val="24"/>
                <w:highlight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thinThickSmallGap" w:color="auto" w:sz="12"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要求：在填写时，如本表格不适合</w:t>
      </w:r>
      <w:r>
        <w:rPr>
          <w:rFonts w:hint="eastAsia" w:ascii="宋体" w:hAnsi="宋体" w:cs="宋体"/>
          <w:color w:val="auto"/>
          <w:kern w:val="0"/>
          <w:sz w:val="21"/>
          <w:szCs w:val="21"/>
          <w:lang w:val="en-US" w:eastAsia="zh-CN" w:bidi="ar-SA"/>
        </w:rPr>
        <w:t>投标人</w:t>
      </w:r>
      <w:r>
        <w:rPr>
          <w:rFonts w:hint="eastAsia" w:ascii="宋体" w:hAnsi="宋体" w:eastAsia="宋体" w:cs="宋体"/>
          <w:color w:val="auto"/>
          <w:kern w:val="0"/>
          <w:sz w:val="21"/>
          <w:szCs w:val="21"/>
          <w:lang w:val="en-US" w:eastAsia="zh-CN" w:bidi="ar-SA"/>
        </w:rPr>
        <w:t>的实际情况，可根据本表格式自行划表填写</w:t>
      </w:r>
    </w:p>
    <w:p>
      <w:pPr>
        <w:tabs>
          <w:tab w:val="left" w:pos="5792"/>
        </w:tabs>
        <w:spacing w:line="460" w:lineRule="exact"/>
        <w:jc w:val="left"/>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8</w:t>
      </w:r>
    </w:p>
    <w:p>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pPr>
        <w:tabs>
          <w:tab w:val="left" w:pos="5792"/>
        </w:tabs>
        <w:spacing w:line="460" w:lineRule="exact"/>
        <w:rPr>
          <w:rFonts w:hint="eastAsia" w:ascii="宋体" w:hAnsi="宋体" w:eastAsia="宋体" w:cs="Times New Roman"/>
          <w:color w:val="auto"/>
          <w:kern w:val="0"/>
          <w:sz w:val="24"/>
          <w:szCs w:val="2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9</w:t>
      </w:r>
    </w:p>
    <w:p>
      <w:pPr>
        <w:widowControl/>
        <w:overflowPunct w:val="0"/>
        <w:autoSpaceDE w:val="0"/>
        <w:autoSpaceDN w:val="0"/>
        <w:adjustRightInd w:val="0"/>
        <w:jc w:val="center"/>
        <w:textAlignment w:val="baseline"/>
        <w:rPr>
          <w:rFonts w:ascii="宋体" w:hAnsi="宋体" w:eastAsia="宋体" w:cs="Times New Roman"/>
          <w:b/>
          <w:color w:val="000000"/>
          <w:sz w:val="36"/>
          <w:szCs w:val="36"/>
        </w:rPr>
      </w:pPr>
      <w:r>
        <w:rPr>
          <w:rFonts w:hint="eastAsia" w:ascii="宋体" w:hAnsi="宋体" w:eastAsia="宋体" w:cs="Times New Roman"/>
          <w:b/>
          <w:color w:val="000000"/>
          <w:sz w:val="36"/>
          <w:szCs w:val="36"/>
        </w:rPr>
        <w:t>技术需求响应表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lang w:val="en-US" w:eastAsia="zh-CN" w:bidi="ar-SA"/>
        </w:rPr>
        <w:t>招标编号：</w:t>
      </w:r>
    </w:p>
    <w:tbl>
      <w:tblPr>
        <w:tblStyle w:val="25"/>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92"/>
        <w:gridCol w:w="33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4092" w:type="dxa"/>
            <w:tcBorders>
              <w:top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Times New Roman" w:hAnsi="宋体" w:eastAsia="宋体" w:cs="宋体"/>
                <w:b/>
                <w:bCs/>
                <w:color w:val="auto"/>
                <w:kern w:val="2"/>
                <w:sz w:val="21"/>
                <w:szCs w:val="21"/>
                <w:highlight w:val="none"/>
                <w:lang w:eastAsia="zh-CN"/>
              </w:rPr>
              <w:t>采购文件</w:t>
            </w:r>
            <w:r>
              <w:rPr>
                <w:rFonts w:hint="eastAsia" w:ascii="宋体" w:hAnsi="宋体" w:eastAsia="宋体" w:cs="宋体"/>
                <w:b/>
                <w:bCs/>
                <w:color w:val="auto"/>
                <w:kern w:val="2"/>
                <w:sz w:val="21"/>
                <w:szCs w:val="21"/>
                <w:highlight w:val="none"/>
              </w:rPr>
              <w:t>要求</w:t>
            </w:r>
          </w:p>
        </w:tc>
        <w:tc>
          <w:tcPr>
            <w:tcW w:w="3350" w:type="dxa"/>
            <w:tcBorders>
              <w:top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投标人响应详细内容</w:t>
            </w:r>
          </w:p>
        </w:tc>
        <w:tc>
          <w:tcPr>
            <w:tcW w:w="1084" w:type="dxa"/>
            <w:tcBorders>
              <w:top w:val="thinThickSmallGap" w:color="auto" w:sz="12" w:space="0"/>
              <w:right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tcBorders>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tcBorders>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bottom w:val="thinThickSmallGap" w:color="auto" w:sz="12" w:space="0"/>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bl>
    <w:p>
      <w:pPr>
        <w:autoSpaceDE w:val="0"/>
        <w:autoSpaceDN w:val="0"/>
        <w:adjustRightInd w:val="0"/>
        <w:spacing w:line="45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1.本表参照“采购需求”内容填制，投标人应根据服务指标在“偏离说明”栏注明“正偏离”、“负偏离”或“无偏离”。</w:t>
      </w:r>
    </w:p>
    <w:p>
      <w:pPr>
        <w:autoSpaceDE w:val="0"/>
        <w:autoSpaceDN w:val="0"/>
        <w:adjustRightInd w:val="0"/>
        <w:spacing w:line="45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对于所投服务的技术偏离情况需严格按照采购文件的技术要求一一比对给出，未达到技术要求中规定的应以负偏离标注。若因技术实现方式等其他问题而导致的理解不同未标注负偏离的，需在偏离说明中具体说明；若未按要求标注负偏离又未予以说明的，评标委员会将视偏离程度给予扣分或认定为虚假应标。</w:t>
      </w:r>
    </w:p>
    <w:p>
      <w:pPr>
        <w:tabs>
          <w:tab w:val="left" w:pos="5792"/>
        </w:tabs>
        <w:spacing w:line="460" w:lineRule="exact"/>
        <w:jc w:val="left"/>
        <w:rPr>
          <w:rFonts w:hint="eastAsia" w:ascii="Times New Roman"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宋体" w:eastAsia="宋体"/>
          <w:b/>
          <w:bCs/>
          <w:color w:val="auto"/>
          <w:sz w:val="28"/>
          <w:szCs w:val="28"/>
          <w:lang w:val="en-US" w:eastAsia="zh-CN"/>
        </w:rPr>
      </w:pPr>
      <w:r>
        <w:rPr>
          <w:rFonts w:hint="eastAsia" w:ascii="宋体" w:hAnsi="宋体" w:eastAsia="宋体" w:cs="宋体"/>
          <w:color w:val="auto"/>
          <w:kern w:val="0"/>
          <w:sz w:val="24"/>
          <w:szCs w:val="24"/>
          <w:lang w:val="zh-CN"/>
        </w:rPr>
        <w:t>日期：</w:t>
      </w: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10</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证书一览表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eastAsia="宋体"/>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5"/>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double" w:color="auto" w:sz="4" w:space="0"/>
              <w:left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证书名称</w:t>
            </w:r>
          </w:p>
        </w:tc>
        <w:tc>
          <w:tcPr>
            <w:tcW w:w="2258" w:type="dxa"/>
            <w:tcBorders>
              <w:top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发证单位</w:t>
            </w:r>
          </w:p>
        </w:tc>
        <w:tc>
          <w:tcPr>
            <w:tcW w:w="2260" w:type="dxa"/>
            <w:tcBorders>
              <w:top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证书等级</w:t>
            </w:r>
          </w:p>
        </w:tc>
        <w:tc>
          <w:tcPr>
            <w:tcW w:w="2047" w:type="dxa"/>
            <w:tcBorders>
              <w:top w:val="double" w:color="auto" w:sz="4" w:space="0"/>
              <w:right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tcBorders>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tcBorders>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bottom w:val="double" w:color="auto" w:sz="4" w:space="0"/>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bl>
    <w:p>
      <w:pPr>
        <w:widowControl w:val="0"/>
        <w:tabs>
          <w:tab w:val="left" w:pos="1050"/>
        </w:tabs>
        <w:spacing w:line="360" w:lineRule="auto"/>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jc w:val="both"/>
        <w:rPr>
          <w:rFonts w:ascii="宋体" w:hAnsi="Times New Roman" w:eastAsia="宋体" w:cs="Times New Roman"/>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要求：</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填写投标人获得资质、认证或企业信誉证书；</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附所列证书复印件或其他证明材料。</w:t>
      </w: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b/>
          <w:bCs/>
          <w:color w:val="auto"/>
          <w:sz w:val="28"/>
          <w:szCs w:val="28"/>
        </w:rPr>
      </w:pPr>
      <w:r>
        <w:rPr>
          <w:rFonts w:hint="eastAsia" w:ascii="宋体" w:hAnsi="宋体" w:eastAsia="宋体" w:cs="宋体"/>
          <w:color w:val="auto"/>
          <w:kern w:val="0"/>
          <w:sz w:val="24"/>
          <w:szCs w:val="24"/>
          <w:lang w:val="zh-CN"/>
        </w:rPr>
        <w:t>日期：</w:t>
      </w:r>
    </w:p>
    <w:p>
      <w:pPr>
        <w:spacing w:line="360" w:lineRule="auto"/>
        <w:rPr>
          <w:rFonts w:ascii="宋体" w:eastAsia="宋体"/>
          <w:b/>
          <w:bCs/>
          <w:color w:val="auto"/>
          <w:sz w:val="28"/>
          <w:szCs w:val="28"/>
        </w:rPr>
      </w:pPr>
    </w:p>
    <w:p>
      <w:pPr>
        <w:widowControl/>
        <w:jc w:val="left"/>
        <w:rPr>
          <w:rFonts w:ascii="宋体" w:eastAsia="宋体"/>
          <w:b/>
          <w:bCs/>
          <w:color w:val="auto"/>
          <w:sz w:val="28"/>
          <w:szCs w:val="28"/>
        </w:rPr>
      </w:pPr>
    </w:p>
    <w:p>
      <w:pPr>
        <w:widowControl/>
        <w:jc w:val="left"/>
        <w:rPr>
          <w:rFonts w:hint="default" w:ascii="宋体" w:eastAsia="宋体"/>
          <w:b/>
          <w:bCs/>
          <w:color w:val="auto"/>
          <w:sz w:val="28"/>
          <w:szCs w:val="28"/>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11</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投标人类似项目实施情况一览表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仿宋_GB2312" w:hAnsi="Times New Roman" w:eastAsia="仿宋_GB2312" w:cs="Times New Roman"/>
          <w:b/>
          <w:bCs/>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5"/>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918"/>
        <w:gridCol w:w="1255"/>
        <w:gridCol w:w="1109"/>
        <w:gridCol w:w="1174"/>
        <w:gridCol w:w="88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jc w:val="center"/>
        </w:trPr>
        <w:tc>
          <w:tcPr>
            <w:tcW w:w="486"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291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项目名称</w:t>
            </w:r>
          </w:p>
        </w:tc>
        <w:tc>
          <w:tcPr>
            <w:tcW w:w="125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项目地址</w:t>
            </w:r>
          </w:p>
        </w:tc>
        <w:tc>
          <w:tcPr>
            <w:tcW w:w="1109"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合同总价</w:t>
            </w:r>
          </w:p>
        </w:tc>
        <w:tc>
          <w:tcPr>
            <w:tcW w:w="1174"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实施时间</w:t>
            </w:r>
          </w:p>
        </w:tc>
        <w:tc>
          <w:tcPr>
            <w:tcW w:w="88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项目质量</w:t>
            </w:r>
          </w:p>
        </w:tc>
        <w:tc>
          <w:tcPr>
            <w:tcW w:w="1718"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doub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bl>
    <w:p>
      <w:pPr>
        <w:autoSpaceDE w:val="0"/>
        <w:autoSpaceDN w:val="0"/>
        <w:adjustRightInd w:val="0"/>
        <w:spacing w:beforeLines="50" w:line="360" w:lineRule="auto"/>
        <w:rPr>
          <w:rFonts w:ascii="宋体" w:hAnsi="Times New Roman" w:eastAsia="宋体" w:cs="Times New Roman"/>
          <w:b/>
          <w:bCs/>
          <w:color w:val="auto"/>
        </w:rPr>
      </w:pPr>
      <w:r>
        <w:rPr>
          <w:rFonts w:hint="eastAsia" w:ascii="宋体" w:hAnsi="宋体" w:eastAsia="宋体" w:cs="宋体"/>
          <w:b/>
          <w:bCs/>
          <w:color w:val="auto"/>
        </w:rPr>
        <w:t>要求：</w:t>
      </w:r>
    </w:p>
    <w:p>
      <w:pPr>
        <w:autoSpaceDE w:val="0"/>
        <w:autoSpaceDN w:val="0"/>
        <w:adjustRightInd w:val="0"/>
        <w:spacing w:beforeLines="50" w:line="360" w:lineRule="auto"/>
        <w:ind w:firstLine="424" w:firstLineChars="202"/>
        <w:rPr>
          <w:rFonts w:ascii="宋体" w:hAnsi="Times New Roman" w:eastAsia="宋体" w:cs="Times New Roman"/>
          <w:b/>
          <w:bCs/>
          <w:color w:val="auto"/>
        </w:rPr>
      </w:pPr>
      <w:r>
        <w:rPr>
          <w:rFonts w:ascii="宋体" w:hAnsi="宋体" w:eastAsia="宋体" w:cs="宋体"/>
          <w:color w:val="auto"/>
        </w:rPr>
        <w:t>1</w:t>
      </w:r>
      <w:r>
        <w:rPr>
          <w:rFonts w:ascii="宋体" w:hAnsi="Times New Roman" w:eastAsia="宋体" w:cs="宋体"/>
          <w:color w:val="auto"/>
        </w:rPr>
        <w:t>.</w:t>
      </w:r>
      <w:r>
        <w:rPr>
          <w:rFonts w:hint="eastAsia" w:ascii="宋体" w:hAnsi="宋体" w:eastAsia="宋体" w:cs="宋体"/>
          <w:color w:val="auto"/>
        </w:rPr>
        <w:t>业绩证明应提供证明材料（根据</w:t>
      </w:r>
      <w:r>
        <w:rPr>
          <w:rFonts w:hint="eastAsia" w:ascii="宋体" w:hAnsi="宋体" w:eastAsia="宋体" w:cs="宋体"/>
          <w:color w:val="auto"/>
          <w:lang w:eastAsia="zh-CN"/>
        </w:rPr>
        <w:t>采购要求</w:t>
      </w:r>
      <w:r>
        <w:rPr>
          <w:rFonts w:hint="eastAsia" w:ascii="宋体" w:hAnsi="宋体" w:eastAsia="宋体" w:cs="宋体"/>
          <w:color w:val="auto"/>
        </w:rPr>
        <w:t>填写）；</w:t>
      </w:r>
    </w:p>
    <w:p>
      <w:pPr>
        <w:spacing w:line="360" w:lineRule="auto"/>
        <w:ind w:firstLine="424" w:firstLineChars="202"/>
        <w:jc w:val="left"/>
        <w:rPr>
          <w:rFonts w:ascii="宋体" w:hAnsi="Times New Roman" w:eastAsia="宋体" w:cs="Times New Roman"/>
          <w:color w:val="auto"/>
        </w:rPr>
      </w:pPr>
      <w:r>
        <w:rPr>
          <w:rFonts w:ascii="宋体" w:hAnsi="宋体" w:eastAsia="宋体" w:cs="宋体"/>
          <w:color w:val="auto"/>
        </w:rPr>
        <w:t>2</w:t>
      </w:r>
      <w:r>
        <w:rPr>
          <w:rFonts w:ascii="宋体" w:hAnsi="Times New Roman" w:eastAsia="宋体" w:cs="宋体"/>
          <w:color w:val="auto"/>
        </w:rPr>
        <w:t>.</w:t>
      </w:r>
      <w:r>
        <w:rPr>
          <w:rFonts w:hint="eastAsia" w:ascii="宋体" w:hAnsi="宋体" w:eastAsia="宋体" w:cs="宋体"/>
          <w:color w:val="auto"/>
          <w:lang w:val="en-US" w:eastAsia="zh-CN"/>
        </w:rPr>
        <w:t>投标人</w:t>
      </w:r>
      <w:r>
        <w:rPr>
          <w:rFonts w:hint="eastAsia" w:ascii="宋体" w:hAnsi="宋体" w:eastAsia="宋体" w:cs="宋体"/>
          <w:color w:val="auto"/>
        </w:rPr>
        <w:t>可按此表格式复制。</w:t>
      </w:r>
    </w:p>
    <w:p>
      <w:pPr>
        <w:spacing w:line="360" w:lineRule="auto"/>
        <w:rPr>
          <w:rFonts w:ascii="宋体" w:hAnsi="Times New Roman" w:eastAsia="宋体" w:cs="Times New Roman"/>
          <w:color w:val="auto"/>
          <w:sz w:val="22"/>
          <w:szCs w:val="22"/>
        </w:rPr>
      </w:pPr>
    </w:p>
    <w:p>
      <w:pPr>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b/>
          <w:bCs/>
          <w:color w:val="auto"/>
          <w:sz w:val="28"/>
          <w:szCs w:val="28"/>
        </w:rPr>
      </w:pPr>
      <w:r>
        <w:rPr>
          <w:rFonts w:hint="eastAsia" w:ascii="宋体" w:hAnsi="宋体" w:eastAsia="宋体" w:cs="宋体"/>
          <w:color w:val="auto"/>
          <w:kern w:val="0"/>
          <w:sz w:val="24"/>
          <w:szCs w:val="24"/>
          <w:lang w:val="zh-CN"/>
        </w:rPr>
        <w:t>日期：</w:t>
      </w:r>
    </w:p>
    <w:p>
      <w:pPr>
        <w:jc w:val="center"/>
        <w:rPr>
          <w:rFonts w:ascii="仿宋" w:hAnsi="仿宋" w:eastAsia="仿宋"/>
          <w:snapToGrid w:val="0"/>
          <w:color w:val="auto"/>
          <w:kern w:val="0"/>
          <w:sz w:val="24"/>
          <w:szCs w:val="24"/>
        </w:rPr>
      </w:pPr>
    </w:p>
    <w:p>
      <w:pPr>
        <w:widowControl/>
        <w:jc w:val="left"/>
        <w:rPr>
          <w:rFonts w:hint="default" w:ascii="仿宋_GB2312" w:hAnsi="宋体" w:eastAsia="宋体"/>
          <w:color w:val="auto"/>
          <w:sz w:val="24"/>
          <w:szCs w:val="24"/>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12</w:t>
      </w:r>
    </w:p>
    <w:p>
      <w:pPr>
        <w:spacing w:line="360" w:lineRule="auto"/>
        <w:ind w:left="621" w:hanging="690" w:hangingChars="171"/>
        <w:jc w:val="center"/>
        <w:rPr>
          <w:rFonts w:ascii="宋体" w:hAnsi="Times New Roman" w:eastAsia="宋体" w:cs="Times New Roman"/>
          <w:b/>
          <w:bCs/>
          <w:color w:val="auto"/>
          <w:spacing w:val="21"/>
          <w:kern w:val="0"/>
          <w:sz w:val="32"/>
          <w:szCs w:val="32"/>
        </w:rPr>
      </w:pPr>
      <w:r>
        <w:rPr>
          <w:rFonts w:hint="eastAsia" w:ascii="宋体" w:hAnsi="宋体" w:eastAsia="宋体" w:cs="宋体"/>
          <w:b/>
          <w:bCs/>
          <w:color w:val="auto"/>
          <w:spacing w:val="21"/>
          <w:kern w:val="0"/>
          <w:sz w:val="36"/>
          <w:szCs w:val="36"/>
        </w:rPr>
        <w:t>商务技术响应表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Times New Roman" w:eastAsia="宋体" w:cs="Times New Roman"/>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5"/>
        <w:tblW w:w="8880" w:type="dxa"/>
        <w:jc w:val="center"/>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261"/>
        <w:gridCol w:w="2054"/>
        <w:gridCol w:w="1239"/>
        <w:gridCol w:w="18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jc w:val="center"/>
        </w:trPr>
        <w:tc>
          <w:tcPr>
            <w:tcW w:w="524"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序号</w:t>
            </w:r>
          </w:p>
        </w:tc>
        <w:tc>
          <w:tcPr>
            <w:tcW w:w="3261"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内容</w:t>
            </w:r>
          </w:p>
        </w:tc>
        <w:tc>
          <w:tcPr>
            <w:tcW w:w="2054" w:type="dxa"/>
            <w:tcBorders>
              <w:tl2br w:val="nil"/>
              <w:tr2bl w:val="nil"/>
            </w:tcBorders>
            <w:noWrap w:val="0"/>
            <w:vAlign w:val="center"/>
          </w:tcPr>
          <w:p>
            <w:pPr>
              <w:jc w:val="center"/>
              <w:rPr>
                <w:rFonts w:hint="eastAsia" w:ascii="宋体" w:hAnsi="Times New Roman" w:eastAsia="宋体" w:cs="Times New Roman"/>
                <w:b/>
                <w:bCs/>
                <w:color w:val="auto"/>
                <w:sz w:val="24"/>
                <w:szCs w:val="24"/>
                <w:lang w:eastAsia="zh-CN"/>
              </w:rPr>
            </w:pPr>
            <w:r>
              <w:rPr>
                <w:rFonts w:hint="eastAsia" w:ascii="宋体" w:hAnsi="宋体" w:eastAsia="宋体" w:cs="宋体"/>
                <w:b/>
                <w:bCs/>
                <w:color w:val="auto"/>
                <w:sz w:val="24"/>
                <w:szCs w:val="24"/>
                <w:lang w:eastAsia="zh-CN"/>
              </w:rPr>
              <w:t>采购需求</w:t>
            </w:r>
          </w:p>
        </w:tc>
        <w:tc>
          <w:tcPr>
            <w:tcW w:w="1239"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是否响应</w:t>
            </w:r>
          </w:p>
        </w:tc>
        <w:tc>
          <w:tcPr>
            <w:tcW w:w="1802"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投标人的承诺或说明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1</w:t>
            </w: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服务</w:t>
            </w:r>
          </w:p>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时间及地点</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2</w:t>
            </w: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付款条件</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r>
              <w:rPr>
                <w:rFonts w:hint="eastAsia" w:ascii="宋体" w:hAnsi="Times New Roman" w:cs="Times New Roman"/>
                <w:color w:val="auto"/>
                <w:sz w:val="24"/>
                <w:szCs w:val="24"/>
                <w:lang w:val="en-US" w:eastAsia="zh-CN"/>
              </w:rPr>
              <w:t>3</w:t>
            </w:r>
          </w:p>
        </w:tc>
        <w:tc>
          <w:tcPr>
            <w:tcW w:w="3261" w:type="dxa"/>
            <w:tcBorders>
              <w:tl2br w:val="nil"/>
              <w:tr2bl w:val="nil"/>
            </w:tcBorders>
            <w:noWrap w:val="0"/>
            <w:vAlign w:val="center"/>
          </w:tcPr>
          <w:p>
            <w:pPr>
              <w:snapToGrid w:val="0"/>
              <w:jc w:val="both"/>
              <w:rPr>
                <w:rFonts w:ascii="宋体" w:hAnsi="Times New Roman" w:eastAsia="宋体" w:cs="Times New Roman"/>
                <w:color w:val="auto"/>
                <w:sz w:val="24"/>
                <w:szCs w:val="24"/>
              </w:rPr>
            </w:pPr>
            <w:r>
              <w:rPr>
                <w:rFonts w:hint="eastAsia" w:ascii="宋体" w:hAnsi="宋体" w:cs="宋体"/>
                <w:color w:val="auto"/>
                <w:sz w:val="24"/>
                <w:szCs w:val="24"/>
              </w:rPr>
              <w:t>……</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bl>
    <w:p>
      <w:pPr>
        <w:spacing w:line="360" w:lineRule="auto"/>
        <w:rPr>
          <w:rFonts w:ascii="宋体"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default" w:ascii="宋体" w:eastAsia="宋体"/>
          <w:color w:val="auto"/>
          <w:spacing w:val="40"/>
          <w:sz w:val="52"/>
          <w:szCs w:val="52"/>
          <w:lang w:val="en-US" w:eastAsia="zh-CN"/>
        </w:rPr>
      </w:pPr>
      <w:r>
        <w:rPr>
          <w:rFonts w:hint="eastAsia" w:ascii="宋体" w:hAnsi="宋体" w:eastAsia="宋体" w:cs="宋体"/>
          <w:color w:val="auto"/>
          <w:kern w:val="0"/>
          <w:sz w:val="24"/>
          <w:szCs w:val="24"/>
          <w:lang w:val="zh-CN"/>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台州市云湖小学食堂托管及劳务外包服务采购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Tytz-2024-017</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30"/>
          <w:szCs w:val="30"/>
          <w:lang w:val="zh-CN"/>
        </w:rPr>
        <w:t>（</w:t>
      </w:r>
      <w:r>
        <w:rPr>
          <w:rFonts w:hint="eastAsia" w:ascii="宋体" w:hAnsi="宋体" w:cs="宋体"/>
          <w:b/>
          <w:bCs/>
          <w:color w:val="auto"/>
          <w:sz w:val="30"/>
          <w:szCs w:val="30"/>
          <w:lang w:val="en-US" w:eastAsia="zh-CN"/>
        </w:rPr>
        <w:t>商务</w:t>
      </w:r>
      <w:r>
        <w:rPr>
          <w:rFonts w:hint="eastAsia" w:ascii="宋体" w:hAnsi="宋体" w:cs="宋体"/>
          <w:b/>
          <w:bCs/>
          <w:color w:val="auto"/>
          <w:sz w:val="30"/>
          <w:szCs w:val="30"/>
          <w:lang w:val="zh-CN"/>
        </w:rPr>
        <w:t>标）</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cs="宋体"/>
          <w:b/>
          <w:bCs/>
          <w:color w:val="auto"/>
          <w:sz w:val="32"/>
          <w:szCs w:val="32"/>
          <w:lang w:val="zh-CN"/>
        </w:rPr>
      </w:pP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商务标目录</w:t>
      </w:r>
    </w:p>
    <w:p>
      <w:pPr>
        <w:snapToGrid w:val="0"/>
        <w:spacing w:line="360" w:lineRule="auto"/>
        <w:jc w:val="left"/>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宋体" w:hAnsi="Times New Roman"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13</w:t>
      </w:r>
      <w:r>
        <w:rPr>
          <w:rFonts w:hint="eastAsia" w:ascii="宋体" w:hAnsi="宋体" w:cs="宋体"/>
          <w:color w:val="auto"/>
          <w:sz w:val="28"/>
          <w:szCs w:val="28"/>
        </w:rPr>
        <w:t>）；</w:t>
      </w:r>
    </w:p>
    <w:p>
      <w:pPr>
        <w:pStyle w:val="15"/>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eastAsia" w:ascii="宋体" w:hAnsi="宋体" w:eastAsia="宋体" w:cs="Times New Roman"/>
          <w:color w:val="auto"/>
          <w:sz w:val="28"/>
          <w:szCs w:val="28"/>
          <w:lang w:val="en-US" w:eastAsia="zh-CN"/>
        </w:rPr>
      </w:pPr>
      <w:r>
        <w:rPr>
          <w:rFonts w:hint="eastAsia" w:ascii="宋体" w:hAnsi="宋体" w:eastAsia="宋体" w:cs="宋体"/>
          <w:color w:val="auto"/>
          <w:sz w:val="28"/>
          <w:szCs w:val="28"/>
          <w:lang w:val="en-US" w:eastAsia="zh-CN"/>
        </w:rPr>
        <w:t>2、针对报价投标人认为其他需要说明的。</w:t>
      </w: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rPr>
          <w:rFonts w:hint="default" w:ascii="宋体" w:hAnsi="宋体" w:eastAsia="宋体" w:cs="宋体"/>
          <w:b/>
          <w:bCs/>
          <w:color w:val="auto"/>
          <w:spacing w:val="21"/>
          <w:kern w:val="0"/>
          <w:sz w:val="32"/>
          <w:szCs w:val="32"/>
          <w:lang w:val="en-US" w:eastAsia="zh-CN"/>
        </w:rPr>
      </w:pPr>
      <w:r>
        <w:rPr>
          <w:rFonts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13</w:t>
      </w:r>
    </w:p>
    <w:p>
      <w:pPr>
        <w:spacing w:line="360" w:lineRule="auto"/>
        <w:ind w:left="-2" w:hanging="2"/>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宋体"/>
          <w:b/>
          <w:bCs/>
          <w:color w:val="auto"/>
          <w:spacing w:val="21"/>
          <w:kern w:val="0"/>
          <w:sz w:val="36"/>
          <w:szCs w:val="36"/>
          <w:highlight w:val="none"/>
        </w:rPr>
        <w:t>开标一览表</w:t>
      </w:r>
    </w:p>
    <w:p>
      <w:pPr>
        <w:widowControl w:val="0"/>
        <w:spacing w:line="440" w:lineRule="exact"/>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项目名称:                              </w:t>
      </w:r>
    </w:p>
    <w:p>
      <w:pPr>
        <w:widowControl w:val="0"/>
        <w:spacing w:line="440" w:lineRule="exact"/>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项目编号：                                    </w:t>
      </w:r>
    </w:p>
    <w:tbl>
      <w:tblPr>
        <w:tblStyle w:val="25"/>
        <w:tblW w:w="854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7"/>
        <w:gridCol w:w="621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90" w:hRule="atLeast"/>
          <w:jc w:val="center"/>
        </w:trPr>
        <w:tc>
          <w:tcPr>
            <w:tcW w:w="2327" w:type="dxa"/>
            <w:vMerge w:val="restart"/>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spacing w:val="20"/>
                <w:kern w:val="2"/>
                <w:sz w:val="24"/>
                <w:szCs w:val="22"/>
                <w:highlight w:val="none"/>
                <w:lang w:val="en-US" w:eastAsia="zh-CN" w:bidi="ar-SA"/>
              </w:rPr>
              <w:t>项目报价</w:t>
            </w:r>
          </w:p>
        </w:tc>
        <w:tc>
          <w:tcPr>
            <w:tcW w:w="6213" w:type="dxa"/>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b/>
                <w:bCs/>
                <w:spacing w:val="20"/>
                <w:kern w:val="2"/>
                <w:sz w:val="24"/>
                <w:szCs w:val="22"/>
                <w:highlight w:val="none"/>
                <w:lang w:val="en-US" w:eastAsia="zh-CN" w:bidi="ar-SA"/>
              </w:rPr>
              <w:t>学生、教职员工所缴纳餐费获得比例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6" w:hRule="atLeast"/>
          <w:jc w:val="center"/>
        </w:trPr>
        <w:tc>
          <w:tcPr>
            <w:tcW w:w="2327" w:type="dxa"/>
            <w:vMerge w:val="continue"/>
            <w:tcBorders>
              <w:tl2br w:val="nil"/>
              <w:tr2bl w:val="nil"/>
            </w:tcBorders>
            <w:noWrap w:val="0"/>
            <w:vAlign w:val="center"/>
          </w:tcPr>
          <w:p>
            <w:pPr>
              <w:widowControl w:val="0"/>
              <w:spacing w:line="360" w:lineRule="auto"/>
              <w:jc w:val="both"/>
              <w:rPr>
                <w:rFonts w:hint="eastAsia" w:asciiTheme="minorEastAsia" w:hAnsiTheme="minorEastAsia" w:eastAsiaTheme="minorEastAsia" w:cstheme="minorEastAsia"/>
                <w:kern w:val="2"/>
                <w:sz w:val="21"/>
                <w:szCs w:val="22"/>
                <w:highlight w:val="none"/>
                <w:lang w:val="en-US" w:eastAsia="zh-CN" w:bidi="ar-SA"/>
              </w:rPr>
            </w:pPr>
          </w:p>
        </w:tc>
        <w:tc>
          <w:tcPr>
            <w:tcW w:w="6213" w:type="dxa"/>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spacing w:val="20"/>
                <w:kern w:val="2"/>
                <w:sz w:val="24"/>
                <w:szCs w:val="22"/>
                <w:highlight w:val="none"/>
                <w:lang w:val="en-US" w:eastAsia="zh-CN" w:bidi="ar-SA"/>
              </w:rPr>
              <w:t>%</w:t>
            </w:r>
          </w:p>
        </w:tc>
      </w:tr>
    </w:tbl>
    <w:p>
      <w:pPr>
        <w:spacing w:line="360" w:lineRule="auto"/>
        <w:rPr>
          <w:rFonts w:ascii="宋体" w:hAnsi="Times New Roman" w:eastAsia="宋体" w:cs="Times New Roman"/>
          <w:color w:val="auto"/>
          <w:sz w:val="24"/>
          <w:szCs w:val="24"/>
          <w:highlight w:val="none"/>
        </w:rPr>
      </w:pPr>
      <w:r>
        <w:rPr>
          <w:rFonts w:hint="eastAsia" w:ascii="宋体" w:hAnsi="宋体" w:eastAsia="宋体" w:cs="宋体"/>
          <w:b/>
          <w:bCs/>
          <w:color w:val="auto"/>
          <w:highlight w:val="none"/>
        </w:rPr>
        <w:t>填报要求：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食堂托管经营费</w:t>
      </w:r>
      <w:r>
        <w:rPr>
          <w:rFonts w:hint="eastAsia" w:ascii="宋体" w:hAnsi="宋体" w:cs="宋体"/>
          <w:color w:val="auto"/>
          <w:kern w:val="0"/>
          <w:sz w:val="21"/>
          <w:szCs w:val="21"/>
          <w:highlight w:val="none"/>
          <w:lang w:val="en-US" w:eastAsia="zh-CN" w:bidi="ar-SA"/>
        </w:rPr>
        <w:t>=学生、教职员工所缴纳餐费*中标获得比例-考核扣款。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Times New Roman" w:eastAsia="宋体" w:cs="Times New Roman"/>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食堂托管经营费为中标人承担台州市云湖小学食堂托管及劳务外包服务内容所需要的一切费用，包括但不限于服务人员工资（基本工资、奖金、节假日加班费及各类加班费、高温补贴、福利、过节费、夜餐费）、服务人员食宿与交通、运输工具、公积金、企业年金、工会经费、体检、职教费、残保金、培训、奖罚措施、各类社会保险（医疗、工伤、养老等社会保险、人身意外保险及公众责任险等）、开办费、企业管理费、办公、通信、劳保、利润、税费及完成合同所需的一切本身和不可或缺的所有费用开支、政策性文件规定及合同包含的所有风险、责任、不可预见等各项所有费用。</w:t>
      </w:r>
      <w:r>
        <w:rPr>
          <w:rFonts w:hint="eastAsia" w:ascii="宋体" w:hAnsi="宋体" w:eastAsia="宋体" w:cs="宋体"/>
          <w:color w:val="auto"/>
          <w:kern w:val="0"/>
          <w:sz w:val="21"/>
          <w:szCs w:val="21"/>
          <w:highlight w:val="none"/>
          <w:lang w:val="en-US" w:eastAsia="zh-CN" w:bidi="ar-SA"/>
        </w:rPr>
        <w:t>投标人应列入而未列入其中的费用，均视为已包含在内，风险由投标人承担。</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.采购人已设学生、教职员工所缴纳餐费获得比例最高限价，各投标人在最高限价的</w:t>
      </w:r>
      <w:r>
        <w:rPr>
          <w:rFonts w:hint="eastAsia" w:ascii="宋体" w:hAnsi="宋体" w:cs="宋体"/>
          <w:color w:val="auto"/>
          <w:kern w:val="0"/>
          <w:sz w:val="21"/>
          <w:szCs w:val="21"/>
          <w:highlight w:val="none"/>
          <w:lang w:val="en-US" w:eastAsia="zh-CN" w:bidi="ar-SA"/>
        </w:rPr>
        <w:t>范围内</w:t>
      </w:r>
      <w:r>
        <w:rPr>
          <w:rFonts w:hint="eastAsia" w:ascii="宋体" w:hAnsi="宋体" w:eastAsia="宋体" w:cs="宋体"/>
          <w:color w:val="auto"/>
          <w:kern w:val="0"/>
          <w:sz w:val="21"/>
          <w:szCs w:val="21"/>
          <w:highlight w:val="none"/>
          <w:lang w:val="en-US" w:eastAsia="zh-CN" w:bidi="ar-SA"/>
        </w:rPr>
        <w:t>根据企业自身实力及市场行情自行填报获得比例，获得比例按百分比填写（小数点后保留2位）。学生、教职员工所缴纳餐费获得比例范围为0%（不含）-</w:t>
      </w:r>
      <w:r>
        <w:rPr>
          <w:rFonts w:hint="eastAsia" w:ascii="宋体" w:hAnsi="宋体" w:cs="宋体"/>
          <w:color w:val="auto"/>
          <w:kern w:val="0"/>
          <w:sz w:val="21"/>
          <w:szCs w:val="21"/>
          <w:highlight w:val="none"/>
          <w:lang w:val="en-US" w:eastAsia="zh-CN" w:bidi="ar-SA"/>
        </w:rPr>
        <w:t>23</w:t>
      </w:r>
      <w:r>
        <w:rPr>
          <w:rFonts w:hint="eastAsia" w:ascii="宋体" w:hAnsi="宋体" w:eastAsia="宋体" w:cs="宋体"/>
          <w:color w:val="auto"/>
          <w:kern w:val="0"/>
          <w:sz w:val="21"/>
          <w:szCs w:val="21"/>
          <w:highlight w:val="none"/>
          <w:lang w:val="en-US" w:eastAsia="zh-CN" w:bidi="ar-SA"/>
        </w:rPr>
        <w:t>%（含），不按要求填写做无效标处理。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b w:val="0"/>
          <w:bCs w:val="0"/>
          <w:i w:val="0"/>
          <w:iCs w:val="0"/>
          <w:color w:val="auto"/>
          <w:u w:val="none"/>
        </w:rPr>
      </w:pPr>
      <w:r>
        <w:rPr>
          <w:rFonts w:hint="eastAsia" w:ascii="宋体" w:hAnsi="宋体" w:eastAsia="宋体" w:cs="宋体"/>
          <w:color w:val="auto"/>
          <w:kern w:val="0"/>
          <w:sz w:val="21"/>
          <w:szCs w:val="21"/>
          <w:highlight w:val="none"/>
          <w:lang w:val="en-US" w:eastAsia="zh-CN" w:bidi="ar-SA"/>
        </w:rPr>
        <w:t>4</w:t>
      </w:r>
      <w:r>
        <w:rPr>
          <w:rFonts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报价一经涂改，应在涂改处加盖单位公章，或者由法定代表人或授权委托代理人签字或盖章，否则其投标作无效标处理。</w:t>
      </w:r>
    </w:p>
    <w:p>
      <w:pPr>
        <w:spacing w:line="360" w:lineRule="auto"/>
        <w:rPr>
          <w:rFonts w:ascii="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rPr>
          <w:color w:val="auto"/>
        </w:rPr>
      </w:pPr>
      <w:r>
        <w:rPr>
          <w:rFonts w:hint="eastAsia" w:ascii="宋体" w:hAnsi="宋体" w:eastAsia="宋体" w:cs="宋体"/>
          <w:color w:val="auto"/>
          <w:kern w:val="0"/>
          <w:sz w:val="24"/>
          <w:szCs w:val="24"/>
          <w:lang w:val="zh-CN"/>
        </w:rPr>
        <w:t>日期：</w:t>
      </w:r>
    </w:p>
    <w:sectPr>
      <w:headerReference r:id="rId5" w:type="first"/>
      <w:headerReference r:id="rId3" w:type="default"/>
      <w:headerReference r:id="rId4" w:type="even"/>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0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color w:val="000000"/>
        <w:kern w:val="0"/>
        <w:sz w:val="18"/>
        <w:szCs w:val="18"/>
        <w:u w:val="single"/>
        <w:lang w:val="en-US" w:eastAsia="zh-CN"/>
      </w:rPr>
      <w:t>采购文件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rFonts w:hint="eastAsia" w:cs="宋体"/>
        <w:b w:val="0"/>
        <w:bCs w:val="0"/>
        <w:color w:val="000000"/>
        <w:spacing w:val="0"/>
        <w:kern w:val="0"/>
        <w:sz w:val="18"/>
        <w:szCs w:val="18"/>
        <w:u w:val="single"/>
      </w:rPr>
      <w:t>第</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PAGE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1</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页共</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NUMPAGES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54</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1070"/>
        </w:tabs>
        <w:ind w:left="1070" w:hanging="360"/>
      </w:pPr>
      <w:rPr>
        <w:rFonts w:cs="Times New Roman"/>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824083C"/>
    <w:multiLevelType w:val="multilevel"/>
    <w:tmpl w:val="0824083C"/>
    <w:lvl w:ilvl="0" w:tentative="0">
      <w:start w:val="1"/>
      <w:numFmt w:val="chineseCountingThousand"/>
      <w:suff w:val="space"/>
      <w:lvlText w:val="第%1部分"/>
      <w:lvlJc w:val="left"/>
      <w:pPr>
        <w:ind w:left="0" w:firstLine="0"/>
      </w:pPr>
      <w:rPr>
        <w:rFonts w:hint="eastAsia" w:ascii="Times New Roman" w:hAnsi="Times New Roman" w:cs="Times New Roman"/>
        <w:b/>
        <w:bCs w:val="0"/>
        <w:i w:val="0"/>
        <w:iCs w:val="0"/>
        <w:caps w:val="0"/>
        <w:smallCaps w:val="0"/>
        <w:strike w:val="0"/>
        <w:dstrike w:val="0"/>
        <w:vanish w:val="0"/>
        <w:spacing w:val="0"/>
        <w:position w:val="0"/>
        <w:u w:val="none"/>
        <w:vertAlign w:val="baseline"/>
      </w:rPr>
    </w:lvl>
    <w:lvl w:ilvl="1" w:tentative="0">
      <w:start w:val="1"/>
      <w:numFmt w:val="decimal"/>
      <w:pStyle w:val="4"/>
      <w:lvlText w:val="%2."/>
      <w:lvlJc w:val="left"/>
      <w:pPr>
        <w:tabs>
          <w:tab w:val="left" w:pos="454"/>
        </w:tabs>
        <w:ind w:left="0" w:firstLine="0"/>
      </w:pPr>
      <w:rPr>
        <w:rFonts w:hint="default" w:ascii="Times New Roman" w:hAnsi="Times New Roman" w:eastAsia="楷体_GB2312" w:cs="Times New Roman"/>
        <w:b/>
        <w:i w:val="0"/>
        <w:strike w:val="0"/>
        <w:dstrike w:val="0"/>
        <w:color w:val="auto"/>
        <w:sz w:val="21"/>
        <w:szCs w:val="21"/>
        <w:u w:val="none"/>
      </w:rPr>
    </w:lvl>
    <w:lvl w:ilvl="2" w:tentative="0">
      <w:start w:val="1"/>
      <w:numFmt w:val="decimal"/>
      <w:suff w:val="nothing"/>
      <w:lvlText w:val="%2.%3."/>
      <w:lvlJc w:val="right"/>
      <w:pPr>
        <w:ind w:left="0" w:firstLine="284"/>
      </w:pPr>
      <w:rPr>
        <w:rFonts w:hint="default" w:ascii="Times New Roman" w:hAnsi="Times New Roman" w:cs="Times New Roman"/>
        <w:b/>
        <w:i w:val="0"/>
        <w:strike w:val="0"/>
        <w:dstrike w:val="0"/>
        <w:color w:val="auto"/>
        <w:sz w:val="21"/>
        <w:szCs w:val="18"/>
        <w:u w:val="none"/>
      </w:rPr>
    </w:lvl>
    <w:lvl w:ilvl="3" w:tentative="0">
      <w:start w:val="1"/>
      <w:numFmt w:val="decimal"/>
      <w:lvlText w:val="%4)"/>
      <w:lvlJc w:val="left"/>
      <w:pPr>
        <w:tabs>
          <w:tab w:val="left" w:pos="284"/>
        </w:tabs>
        <w:ind w:left="0" w:firstLine="284"/>
      </w:pPr>
      <w:rPr>
        <w:rFonts w:hint="eastAsia"/>
        <w:b/>
        <w:i w:val="0"/>
        <w:color w:val="auto"/>
        <w:sz w:val="21"/>
      </w:rPr>
    </w:lvl>
    <w:lvl w:ilvl="4" w:tentative="0">
      <w:start w:val="1"/>
      <w:numFmt w:val="lowerLetter"/>
      <w:lvlText w:val="%5)"/>
      <w:lvlJc w:val="left"/>
      <w:pPr>
        <w:ind w:left="2604" w:hanging="420"/>
      </w:pPr>
      <w:rPr>
        <w:rFonts w:hint="eastAsia"/>
      </w:rPr>
    </w:lvl>
    <w:lvl w:ilvl="5" w:tentative="0">
      <w:start w:val="1"/>
      <w:numFmt w:val="lowerRoman"/>
      <w:lvlText w:val="%6."/>
      <w:lvlJc w:val="right"/>
      <w:pPr>
        <w:ind w:left="3024" w:hanging="420"/>
      </w:pPr>
      <w:rPr>
        <w:rFonts w:hint="eastAsia"/>
      </w:rPr>
    </w:lvl>
    <w:lvl w:ilvl="6" w:tentative="0">
      <w:start w:val="1"/>
      <w:numFmt w:val="decimal"/>
      <w:lvlText w:val="%7."/>
      <w:lvlJc w:val="left"/>
      <w:pPr>
        <w:ind w:left="3444" w:hanging="420"/>
      </w:pPr>
      <w:rPr>
        <w:rFonts w:hint="eastAsia"/>
      </w:rPr>
    </w:lvl>
    <w:lvl w:ilvl="7" w:tentative="0">
      <w:start w:val="1"/>
      <w:numFmt w:val="lowerLetter"/>
      <w:lvlText w:val="%8)"/>
      <w:lvlJc w:val="left"/>
      <w:pPr>
        <w:ind w:left="3864" w:hanging="420"/>
      </w:pPr>
      <w:rPr>
        <w:rFonts w:hint="eastAsia"/>
      </w:rPr>
    </w:lvl>
    <w:lvl w:ilvl="8" w:tentative="0">
      <w:start w:val="1"/>
      <w:numFmt w:val="lowerRoman"/>
      <w:lvlText w:val="%9."/>
      <w:lvlJc w:val="right"/>
      <w:pPr>
        <w:ind w:left="4284"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17"/>
    <w:rsid w:val="00001503"/>
    <w:rsid w:val="0002199D"/>
    <w:rsid w:val="0004261B"/>
    <w:rsid w:val="000455D1"/>
    <w:rsid w:val="0004585A"/>
    <w:rsid w:val="00051A10"/>
    <w:rsid w:val="0006294D"/>
    <w:rsid w:val="00062AB3"/>
    <w:rsid w:val="000A1EB9"/>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07365"/>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940DB"/>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8C6D15"/>
    <w:rsid w:val="01935887"/>
    <w:rsid w:val="020146EC"/>
    <w:rsid w:val="0234123F"/>
    <w:rsid w:val="02A77ECF"/>
    <w:rsid w:val="02BD4EC6"/>
    <w:rsid w:val="02DE3190"/>
    <w:rsid w:val="03127647"/>
    <w:rsid w:val="03DC3010"/>
    <w:rsid w:val="0414176D"/>
    <w:rsid w:val="042A3307"/>
    <w:rsid w:val="04CC341D"/>
    <w:rsid w:val="05137CD7"/>
    <w:rsid w:val="060B26E0"/>
    <w:rsid w:val="06C25656"/>
    <w:rsid w:val="06F86182"/>
    <w:rsid w:val="07B10D92"/>
    <w:rsid w:val="07D93F1A"/>
    <w:rsid w:val="086559D3"/>
    <w:rsid w:val="0939646E"/>
    <w:rsid w:val="0952674C"/>
    <w:rsid w:val="0A7E3011"/>
    <w:rsid w:val="0C1E2BA0"/>
    <w:rsid w:val="0C1F6085"/>
    <w:rsid w:val="0C765CB2"/>
    <w:rsid w:val="0CBE4B6E"/>
    <w:rsid w:val="0CCC7049"/>
    <w:rsid w:val="0E6965BF"/>
    <w:rsid w:val="0E970358"/>
    <w:rsid w:val="0EB13109"/>
    <w:rsid w:val="0F552362"/>
    <w:rsid w:val="10392EAE"/>
    <w:rsid w:val="10706EC2"/>
    <w:rsid w:val="10E86C5C"/>
    <w:rsid w:val="113365BD"/>
    <w:rsid w:val="11420056"/>
    <w:rsid w:val="11D00227"/>
    <w:rsid w:val="12186CCC"/>
    <w:rsid w:val="12807280"/>
    <w:rsid w:val="129A0231"/>
    <w:rsid w:val="135F00C0"/>
    <w:rsid w:val="136739BC"/>
    <w:rsid w:val="13BF2726"/>
    <w:rsid w:val="13D87726"/>
    <w:rsid w:val="148463E6"/>
    <w:rsid w:val="14D20D9B"/>
    <w:rsid w:val="14F87FEE"/>
    <w:rsid w:val="15953F43"/>
    <w:rsid w:val="15A72BED"/>
    <w:rsid w:val="15D85660"/>
    <w:rsid w:val="16074FCA"/>
    <w:rsid w:val="1621170E"/>
    <w:rsid w:val="16473338"/>
    <w:rsid w:val="166C7AFB"/>
    <w:rsid w:val="16BE4C18"/>
    <w:rsid w:val="17CB7A6F"/>
    <w:rsid w:val="18634955"/>
    <w:rsid w:val="18B91D2B"/>
    <w:rsid w:val="18C40414"/>
    <w:rsid w:val="191524A3"/>
    <w:rsid w:val="19A10F9B"/>
    <w:rsid w:val="19C42C4A"/>
    <w:rsid w:val="1A2D0C95"/>
    <w:rsid w:val="1A6A6D44"/>
    <w:rsid w:val="1A817123"/>
    <w:rsid w:val="1A956250"/>
    <w:rsid w:val="1B42721F"/>
    <w:rsid w:val="1C093ECB"/>
    <w:rsid w:val="1C187E15"/>
    <w:rsid w:val="1C21432F"/>
    <w:rsid w:val="1CE4433A"/>
    <w:rsid w:val="1D0C03D0"/>
    <w:rsid w:val="1DBD0CB9"/>
    <w:rsid w:val="1DD6136D"/>
    <w:rsid w:val="1E02243F"/>
    <w:rsid w:val="1E6308D8"/>
    <w:rsid w:val="1EE84AA8"/>
    <w:rsid w:val="1F4B2431"/>
    <w:rsid w:val="1F586079"/>
    <w:rsid w:val="1FB01DF0"/>
    <w:rsid w:val="20171774"/>
    <w:rsid w:val="20551A50"/>
    <w:rsid w:val="205A1BFB"/>
    <w:rsid w:val="205C46E0"/>
    <w:rsid w:val="20621A87"/>
    <w:rsid w:val="20C30B8E"/>
    <w:rsid w:val="20C82C90"/>
    <w:rsid w:val="20DE3E9F"/>
    <w:rsid w:val="210A1CCE"/>
    <w:rsid w:val="2120585F"/>
    <w:rsid w:val="215A242E"/>
    <w:rsid w:val="21B71E5E"/>
    <w:rsid w:val="22411EF5"/>
    <w:rsid w:val="228447E5"/>
    <w:rsid w:val="22C50966"/>
    <w:rsid w:val="23424F53"/>
    <w:rsid w:val="236E14E2"/>
    <w:rsid w:val="23950AD7"/>
    <w:rsid w:val="23FC31DF"/>
    <w:rsid w:val="24DC538E"/>
    <w:rsid w:val="25A27E34"/>
    <w:rsid w:val="25D3640E"/>
    <w:rsid w:val="26401901"/>
    <w:rsid w:val="269C6C0B"/>
    <w:rsid w:val="27B8531C"/>
    <w:rsid w:val="281F3C9D"/>
    <w:rsid w:val="282512FC"/>
    <w:rsid w:val="29D148D0"/>
    <w:rsid w:val="29EE6818"/>
    <w:rsid w:val="2A345F30"/>
    <w:rsid w:val="2A35441F"/>
    <w:rsid w:val="2AAC761D"/>
    <w:rsid w:val="2AC803DC"/>
    <w:rsid w:val="2BAD1647"/>
    <w:rsid w:val="2BDE6060"/>
    <w:rsid w:val="2C231FD0"/>
    <w:rsid w:val="2C2B587D"/>
    <w:rsid w:val="2CC361A3"/>
    <w:rsid w:val="2EE70457"/>
    <w:rsid w:val="30143D85"/>
    <w:rsid w:val="30564D02"/>
    <w:rsid w:val="30617903"/>
    <w:rsid w:val="30F97FAF"/>
    <w:rsid w:val="31433FF7"/>
    <w:rsid w:val="31752B09"/>
    <w:rsid w:val="31924C4D"/>
    <w:rsid w:val="32815EC5"/>
    <w:rsid w:val="32A70B81"/>
    <w:rsid w:val="32A711FE"/>
    <w:rsid w:val="33246E99"/>
    <w:rsid w:val="33E111B6"/>
    <w:rsid w:val="33FA21F0"/>
    <w:rsid w:val="341548E3"/>
    <w:rsid w:val="346C1EF3"/>
    <w:rsid w:val="34C55474"/>
    <w:rsid w:val="353D6BE9"/>
    <w:rsid w:val="356D1203"/>
    <w:rsid w:val="37712A39"/>
    <w:rsid w:val="37C82989"/>
    <w:rsid w:val="38611BD6"/>
    <w:rsid w:val="389D4FF1"/>
    <w:rsid w:val="38AB29E2"/>
    <w:rsid w:val="3AE50133"/>
    <w:rsid w:val="3B345EA5"/>
    <w:rsid w:val="3B483548"/>
    <w:rsid w:val="3BDC5663"/>
    <w:rsid w:val="3C0D29A0"/>
    <w:rsid w:val="3C941487"/>
    <w:rsid w:val="3C9A2CDC"/>
    <w:rsid w:val="3CA535CA"/>
    <w:rsid w:val="3D3648F6"/>
    <w:rsid w:val="3DB531EC"/>
    <w:rsid w:val="3E1B7489"/>
    <w:rsid w:val="3E3D4271"/>
    <w:rsid w:val="3EA60408"/>
    <w:rsid w:val="3F4243D0"/>
    <w:rsid w:val="3F6C6A50"/>
    <w:rsid w:val="405D6C94"/>
    <w:rsid w:val="40957ECE"/>
    <w:rsid w:val="42384142"/>
    <w:rsid w:val="42C500D0"/>
    <w:rsid w:val="43036342"/>
    <w:rsid w:val="434D441E"/>
    <w:rsid w:val="43ED602E"/>
    <w:rsid w:val="44410744"/>
    <w:rsid w:val="44EA0FFB"/>
    <w:rsid w:val="44EC51F5"/>
    <w:rsid w:val="45167A09"/>
    <w:rsid w:val="4563730C"/>
    <w:rsid w:val="45865A6B"/>
    <w:rsid w:val="46EA43D2"/>
    <w:rsid w:val="4747308B"/>
    <w:rsid w:val="47C1150F"/>
    <w:rsid w:val="48694FA0"/>
    <w:rsid w:val="486B3F94"/>
    <w:rsid w:val="488E768B"/>
    <w:rsid w:val="489327D5"/>
    <w:rsid w:val="492531C5"/>
    <w:rsid w:val="4942608A"/>
    <w:rsid w:val="497E1148"/>
    <w:rsid w:val="499C13B1"/>
    <w:rsid w:val="49F41D5E"/>
    <w:rsid w:val="4A9005E6"/>
    <w:rsid w:val="4B1E31F7"/>
    <w:rsid w:val="4B781478"/>
    <w:rsid w:val="4B923333"/>
    <w:rsid w:val="4BBB2361"/>
    <w:rsid w:val="4BCA30C8"/>
    <w:rsid w:val="4BCB3573"/>
    <w:rsid w:val="4CA73A21"/>
    <w:rsid w:val="4CE75373"/>
    <w:rsid w:val="4DE051DA"/>
    <w:rsid w:val="4E04000A"/>
    <w:rsid w:val="4EA1398B"/>
    <w:rsid w:val="4EB46CF8"/>
    <w:rsid w:val="4F8E55A9"/>
    <w:rsid w:val="503A1726"/>
    <w:rsid w:val="504B7B95"/>
    <w:rsid w:val="51264DCF"/>
    <w:rsid w:val="5155639F"/>
    <w:rsid w:val="5217237F"/>
    <w:rsid w:val="524B7C7F"/>
    <w:rsid w:val="530232B2"/>
    <w:rsid w:val="53F30952"/>
    <w:rsid w:val="53F66639"/>
    <w:rsid w:val="54865770"/>
    <w:rsid w:val="563871F2"/>
    <w:rsid w:val="566975BC"/>
    <w:rsid w:val="566D4B95"/>
    <w:rsid w:val="56BD2978"/>
    <w:rsid w:val="572656D4"/>
    <w:rsid w:val="57440ED8"/>
    <w:rsid w:val="57DD6D7B"/>
    <w:rsid w:val="587E32BC"/>
    <w:rsid w:val="58CE42C2"/>
    <w:rsid w:val="59841919"/>
    <w:rsid w:val="59AD06A4"/>
    <w:rsid w:val="59BD1DAD"/>
    <w:rsid w:val="59C06DA6"/>
    <w:rsid w:val="5A021E4E"/>
    <w:rsid w:val="5A4D586D"/>
    <w:rsid w:val="5A6249B0"/>
    <w:rsid w:val="5AC97C78"/>
    <w:rsid w:val="5D0D2E5F"/>
    <w:rsid w:val="5DD91587"/>
    <w:rsid w:val="5EE84C68"/>
    <w:rsid w:val="5F500EF1"/>
    <w:rsid w:val="5F970E5F"/>
    <w:rsid w:val="60514E5B"/>
    <w:rsid w:val="605517C7"/>
    <w:rsid w:val="60C27C0D"/>
    <w:rsid w:val="61272E51"/>
    <w:rsid w:val="61C92A58"/>
    <w:rsid w:val="621D5BA4"/>
    <w:rsid w:val="622751B6"/>
    <w:rsid w:val="63311AF4"/>
    <w:rsid w:val="635B6748"/>
    <w:rsid w:val="63947A95"/>
    <w:rsid w:val="643707B9"/>
    <w:rsid w:val="65527F36"/>
    <w:rsid w:val="65672C3C"/>
    <w:rsid w:val="662C41AD"/>
    <w:rsid w:val="66611D72"/>
    <w:rsid w:val="66F421BB"/>
    <w:rsid w:val="66F6412D"/>
    <w:rsid w:val="67067F59"/>
    <w:rsid w:val="67161F0E"/>
    <w:rsid w:val="67AA34D1"/>
    <w:rsid w:val="67B167D1"/>
    <w:rsid w:val="685F1C50"/>
    <w:rsid w:val="68B32B69"/>
    <w:rsid w:val="68C33073"/>
    <w:rsid w:val="69142A63"/>
    <w:rsid w:val="699022E9"/>
    <w:rsid w:val="69A90E42"/>
    <w:rsid w:val="6A01130C"/>
    <w:rsid w:val="6A714498"/>
    <w:rsid w:val="6B3E7B98"/>
    <w:rsid w:val="6CC2539E"/>
    <w:rsid w:val="6CC41A5E"/>
    <w:rsid w:val="6D4F25CE"/>
    <w:rsid w:val="6E410BA1"/>
    <w:rsid w:val="6F8770DA"/>
    <w:rsid w:val="70927E72"/>
    <w:rsid w:val="710F6C6D"/>
    <w:rsid w:val="727939DD"/>
    <w:rsid w:val="733E7A58"/>
    <w:rsid w:val="74023684"/>
    <w:rsid w:val="7456581C"/>
    <w:rsid w:val="745919C6"/>
    <w:rsid w:val="74702A9A"/>
    <w:rsid w:val="7605332A"/>
    <w:rsid w:val="761C2BBB"/>
    <w:rsid w:val="7674398B"/>
    <w:rsid w:val="769A2965"/>
    <w:rsid w:val="776A1DE8"/>
    <w:rsid w:val="785D00CA"/>
    <w:rsid w:val="78C170FB"/>
    <w:rsid w:val="79ED513B"/>
    <w:rsid w:val="7A7A2784"/>
    <w:rsid w:val="7AC20A54"/>
    <w:rsid w:val="7CCF0FC2"/>
    <w:rsid w:val="7CF0193A"/>
    <w:rsid w:val="7DAD0422"/>
    <w:rsid w:val="7DDD6CEA"/>
    <w:rsid w:val="7DDE763D"/>
    <w:rsid w:val="7E2F683B"/>
    <w:rsid w:val="7E636E14"/>
    <w:rsid w:val="7F8C23D4"/>
    <w:rsid w:val="7F9B354B"/>
    <w:rsid w:val="7FCE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shadow/>
      <w:color w:val="000000"/>
      <w:kern w:val="0"/>
      <w:sz w:val="36"/>
      <w:szCs w:val="20"/>
    </w:rPr>
  </w:style>
  <w:style w:type="paragraph" w:styleId="4">
    <w:name w:val="heading 2"/>
    <w:basedOn w:val="1"/>
    <w:next w:val="1"/>
    <w:qFormat/>
    <w:uiPriority w:val="0"/>
    <w:pPr>
      <w:keepNext/>
      <w:keepLines/>
      <w:numPr>
        <w:ilvl w:val="1"/>
        <w:numId w:val="1"/>
      </w:numPr>
      <w:spacing w:before="260" w:after="260" w:line="240" w:lineRule="atLeast"/>
      <w:jc w:val="left"/>
      <w:outlineLvl w:val="1"/>
    </w:pPr>
    <w:rPr>
      <w:b/>
      <w:bCs/>
      <w:szCs w:val="21"/>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7">
    <w:name w:val="List Number"/>
    <w:basedOn w:val="1"/>
    <w:qFormat/>
    <w:uiPriority w:val="99"/>
    <w:pPr>
      <w:numPr>
        <w:ilvl w:val="0"/>
        <w:numId w:val="2"/>
      </w:numPr>
    </w:pPr>
  </w:style>
  <w:style w:type="paragraph" w:styleId="8">
    <w:name w:val="Normal Indent"/>
    <w:basedOn w:val="1"/>
    <w:qFormat/>
    <w:uiPriority w:val="99"/>
    <w:pPr>
      <w:ind w:firstLine="420"/>
    </w:pPr>
  </w:style>
  <w:style w:type="paragraph" w:styleId="9">
    <w:name w:val="annotation text"/>
    <w:basedOn w:val="1"/>
    <w:link w:val="36"/>
    <w:semiHidden/>
    <w:qFormat/>
    <w:uiPriority w:val="99"/>
    <w:pPr>
      <w:jc w:val="left"/>
    </w:pPr>
  </w:style>
  <w:style w:type="paragraph" w:styleId="10">
    <w:name w:val="Body Text"/>
    <w:basedOn w:val="1"/>
    <w:next w:val="11"/>
    <w:link w:val="38"/>
    <w:qFormat/>
    <w:uiPriority w:val="99"/>
    <w:pPr>
      <w:spacing w:line="360" w:lineRule="exact"/>
    </w:pPr>
    <w:rPr>
      <w:sz w:val="24"/>
      <w:szCs w:val="24"/>
    </w:rPr>
  </w:style>
  <w:style w:type="paragraph" w:styleId="11">
    <w:name w:val="Body Text First Indent"/>
    <w:basedOn w:val="10"/>
    <w:next w:val="12"/>
    <w:qFormat/>
    <w:locked/>
    <w:uiPriority w:val="99"/>
    <w:pPr>
      <w:autoSpaceDE/>
      <w:autoSpaceDN/>
      <w:adjustRightInd/>
      <w:ind w:firstLine="420"/>
      <w:jc w:val="both"/>
    </w:pPr>
    <w:rPr>
      <w:rFonts w:ascii="Times New Roman"/>
      <w:kern w:val="2"/>
      <w:sz w:val="21"/>
      <w:szCs w:val="24"/>
    </w:rPr>
  </w:style>
  <w:style w:type="paragraph" w:styleId="12">
    <w:name w:val="toc 6"/>
    <w:basedOn w:val="1"/>
    <w:next w:val="1"/>
    <w:qFormat/>
    <w:uiPriority w:val="0"/>
    <w:pPr>
      <w:ind w:left="2100" w:leftChars="1000"/>
    </w:pPr>
  </w:style>
  <w:style w:type="paragraph" w:styleId="13">
    <w:name w:val="Body Text Indent"/>
    <w:basedOn w:val="1"/>
    <w:next w:val="1"/>
    <w:link w:val="39"/>
    <w:qFormat/>
    <w:uiPriority w:val="99"/>
    <w:pPr>
      <w:spacing w:after="120"/>
      <w:ind w:left="420" w:leftChars="200"/>
    </w:pPr>
  </w:style>
  <w:style w:type="paragraph" w:styleId="14">
    <w:name w:val="Plain Text"/>
    <w:basedOn w:val="1"/>
    <w:next w:val="15"/>
    <w:link w:val="40"/>
    <w:qFormat/>
    <w:uiPriority w:val="99"/>
    <w:rPr>
      <w:rFonts w:ascii="宋体" w:hAnsi="Courier New" w:cs="宋体"/>
    </w:rPr>
  </w:style>
  <w:style w:type="paragraph" w:styleId="15">
    <w:name w:val="Date"/>
    <w:basedOn w:val="1"/>
    <w:next w:val="1"/>
    <w:link w:val="41"/>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2"/>
    <w:semiHidden/>
    <w:qFormat/>
    <w:uiPriority w:val="99"/>
    <w:rPr>
      <w:sz w:val="18"/>
      <w:szCs w:val="18"/>
    </w:rPr>
  </w:style>
  <w:style w:type="paragraph" w:styleId="18">
    <w:name w:val="footer"/>
    <w:basedOn w:val="1"/>
    <w:link w:val="43"/>
    <w:qFormat/>
    <w:uiPriority w:val="99"/>
    <w:pPr>
      <w:tabs>
        <w:tab w:val="center" w:pos="4153"/>
        <w:tab w:val="right" w:pos="8306"/>
      </w:tabs>
      <w:snapToGrid w:val="0"/>
      <w:jc w:val="left"/>
    </w:pPr>
    <w:rPr>
      <w:sz w:val="18"/>
      <w:szCs w:val="18"/>
    </w:rPr>
  </w:style>
  <w:style w:type="paragraph" w:styleId="19">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Body Text Indent 3"/>
    <w:basedOn w:val="1"/>
    <w:qFormat/>
    <w:locked/>
    <w:uiPriority w:val="0"/>
    <w:pPr>
      <w:spacing w:after="120"/>
      <w:ind w:left="420" w:leftChars="200"/>
    </w:pPr>
    <w:rPr>
      <w:sz w:val="16"/>
      <w:szCs w:val="16"/>
    </w:rPr>
  </w:style>
  <w:style w:type="paragraph" w:styleId="21">
    <w:name w:val="Body Text 2"/>
    <w:basedOn w:val="1"/>
    <w:next w:val="1"/>
    <w:qFormat/>
    <w:locked/>
    <w:uiPriority w:val="0"/>
    <w:pPr>
      <w:jc w:val="center"/>
    </w:pPr>
    <w:rPr>
      <w:rFonts w:ascii="宋体" w:hAnsi="宋体"/>
      <w:bCs/>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9"/>
    <w:next w:val="9"/>
    <w:link w:val="37"/>
    <w:semiHidden/>
    <w:qFormat/>
    <w:uiPriority w:val="99"/>
    <w:rPr>
      <w:b/>
      <w:bCs/>
    </w:rPr>
  </w:style>
  <w:style w:type="paragraph" w:styleId="24">
    <w:name w:val="Body Text First Indent 2"/>
    <w:basedOn w:val="13"/>
    <w:qFormat/>
    <w:locked/>
    <w:uiPriority w:val="99"/>
    <w:pPr>
      <w:spacing w:line="300" w:lineRule="auto"/>
      <w:ind w:firstLine="420" w:firstLineChars="200"/>
    </w:p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8">
    <w:name w:val="page number"/>
    <w:basedOn w:val="27"/>
    <w:qFormat/>
    <w:locked/>
    <w:uiPriority w:val="0"/>
  </w:style>
  <w:style w:type="character" w:styleId="29">
    <w:name w:val="Hyperlink"/>
    <w:basedOn w:val="27"/>
    <w:semiHidden/>
    <w:unhideWhenUsed/>
    <w:qFormat/>
    <w:locked/>
    <w:uiPriority w:val="99"/>
    <w:rPr>
      <w:color w:val="0000FF"/>
      <w:u w:val="single"/>
    </w:rPr>
  </w:style>
  <w:style w:type="character" w:styleId="30">
    <w:name w:val="annotation reference"/>
    <w:basedOn w:val="27"/>
    <w:semiHidden/>
    <w:qFormat/>
    <w:uiPriority w:val="99"/>
    <w:rPr>
      <w:rFonts w:cs="Times New Roman"/>
      <w:sz w:val="21"/>
      <w:szCs w:val="21"/>
    </w:rPr>
  </w:style>
  <w:style w:type="paragraph" w:customStyle="1" w:styleId="31">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32">
    <w:name w:val="_Style 3"/>
    <w:next w:val="16"/>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表格文字"/>
    <w:basedOn w:val="34"/>
    <w:next w:val="10"/>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34">
    <w:name w:val="表格文字（两侧对齐）"/>
    <w:basedOn w:val="1"/>
    <w:qFormat/>
    <w:uiPriority w:val="0"/>
    <w:pPr>
      <w:snapToGrid w:val="0"/>
    </w:pPr>
    <w:rPr>
      <w:sz w:val="20"/>
      <w:szCs w:val="24"/>
    </w:rPr>
  </w:style>
  <w:style w:type="character" w:customStyle="1" w:styleId="35">
    <w:name w:val="标题 3 Char"/>
    <w:basedOn w:val="27"/>
    <w:link w:val="5"/>
    <w:semiHidden/>
    <w:qFormat/>
    <w:locked/>
    <w:uiPriority w:val="99"/>
    <w:rPr>
      <w:rFonts w:cs="Times New Roman"/>
      <w:b/>
      <w:bCs/>
      <w:sz w:val="32"/>
      <w:szCs w:val="32"/>
    </w:rPr>
  </w:style>
  <w:style w:type="character" w:customStyle="1" w:styleId="36">
    <w:name w:val="批注文字 Char"/>
    <w:basedOn w:val="27"/>
    <w:link w:val="9"/>
    <w:qFormat/>
    <w:locked/>
    <w:uiPriority w:val="99"/>
    <w:rPr>
      <w:rFonts w:ascii="Times New Roman" w:hAnsi="Times New Roman" w:eastAsia="宋体" w:cs="Times New Roman"/>
      <w:kern w:val="2"/>
      <w:sz w:val="24"/>
      <w:szCs w:val="24"/>
    </w:rPr>
  </w:style>
  <w:style w:type="character" w:customStyle="1" w:styleId="37">
    <w:name w:val="批注主题 Char"/>
    <w:basedOn w:val="36"/>
    <w:link w:val="23"/>
    <w:qFormat/>
    <w:locked/>
    <w:uiPriority w:val="99"/>
    <w:rPr>
      <w:b/>
      <w:bCs/>
    </w:rPr>
  </w:style>
  <w:style w:type="character" w:customStyle="1" w:styleId="38">
    <w:name w:val="正文文本 Char"/>
    <w:basedOn w:val="27"/>
    <w:link w:val="10"/>
    <w:semiHidden/>
    <w:qFormat/>
    <w:locked/>
    <w:uiPriority w:val="99"/>
    <w:rPr>
      <w:rFonts w:cs="Times New Roman"/>
      <w:sz w:val="21"/>
      <w:szCs w:val="21"/>
    </w:rPr>
  </w:style>
  <w:style w:type="character" w:customStyle="1" w:styleId="39">
    <w:name w:val="正文文本缩进 Char"/>
    <w:basedOn w:val="27"/>
    <w:link w:val="13"/>
    <w:qFormat/>
    <w:locked/>
    <w:uiPriority w:val="99"/>
    <w:rPr>
      <w:rFonts w:cs="Times New Roman"/>
      <w:kern w:val="2"/>
      <w:sz w:val="24"/>
      <w:szCs w:val="24"/>
    </w:rPr>
  </w:style>
  <w:style w:type="character" w:customStyle="1" w:styleId="40">
    <w:name w:val="纯文本 Char"/>
    <w:basedOn w:val="27"/>
    <w:link w:val="14"/>
    <w:semiHidden/>
    <w:qFormat/>
    <w:locked/>
    <w:uiPriority w:val="99"/>
    <w:rPr>
      <w:rFonts w:ascii="宋体" w:hAnsi="Courier New" w:cs="Courier New"/>
      <w:sz w:val="21"/>
      <w:szCs w:val="21"/>
    </w:rPr>
  </w:style>
  <w:style w:type="character" w:customStyle="1" w:styleId="41">
    <w:name w:val="日期 Char"/>
    <w:basedOn w:val="27"/>
    <w:link w:val="15"/>
    <w:semiHidden/>
    <w:qFormat/>
    <w:locked/>
    <w:uiPriority w:val="99"/>
    <w:rPr>
      <w:rFonts w:cs="Times New Roman"/>
      <w:sz w:val="21"/>
      <w:szCs w:val="21"/>
    </w:rPr>
  </w:style>
  <w:style w:type="character" w:customStyle="1" w:styleId="42">
    <w:name w:val="批注框文本 Char"/>
    <w:basedOn w:val="27"/>
    <w:link w:val="17"/>
    <w:qFormat/>
    <w:locked/>
    <w:uiPriority w:val="99"/>
    <w:rPr>
      <w:rFonts w:ascii="Times New Roman" w:hAnsi="Times New Roman" w:eastAsia="宋体" w:cs="Times New Roman"/>
      <w:kern w:val="2"/>
      <w:sz w:val="18"/>
      <w:szCs w:val="18"/>
    </w:rPr>
  </w:style>
  <w:style w:type="character" w:customStyle="1" w:styleId="43">
    <w:name w:val="页脚 Char"/>
    <w:basedOn w:val="27"/>
    <w:link w:val="18"/>
    <w:semiHidden/>
    <w:qFormat/>
    <w:locked/>
    <w:uiPriority w:val="99"/>
    <w:rPr>
      <w:rFonts w:cs="Times New Roman"/>
      <w:sz w:val="18"/>
      <w:szCs w:val="18"/>
    </w:rPr>
  </w:style>
  <w:style w:type="character" w:customStyle="1" w:styleId="44">
    <w:name w:val="页眉 Char"/>
    <w:basedOn w:val="27"/>
    <w:link w:val="19"/>
    <w:semiHidden/>
    <w:qFormat/>
    <w:locked/>
    <w:uiPriority w:val="99"/>
    <w:rPr>
      <w:rFonts w:cs="Times New Roman"/>
      <w:sz w:val="18"/>
      <w:szCs w:val="18"/>
    </w:rPr>
  </w:style>
  <w:style w:type="paragraph" w:customStyle="1" w:styleId="45">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6">
    <w:name w:val="List Paragraph"/>
    <w:basedOn w:val="1"/>
    <w:qFormat/>
    <w:uiPriority w:val="99"/>
    <w:pPr>
      <w:ind w:firstLine="420" w:firstLineChars="200"/>
    </w:pPr>
    <w:rPr>
      <w:rFonts w:ascii="Calibri" w:hAnsi="Calibri" w:cs="Calibri"/>
    </w:rPr>
  </w:style>
  <w:style w:type="paragraph" w:customStyle="1" w:styleId="4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列出段落1"/>
    <w:basedOn w:val="1"/>
    <w:qFormat/>
    <w:uiPriority w:val="99"/>
    <w:pPr>
      <w:ind w:firstLine="420" w:firstLineChars="200"/>
    </w:pPr>
    <w:rPr>
      <w:rFonts w:ascii="Calibri" w:hAnsi="Calibri" w:cs="Calibri"/>
      <w:kern w:val="0"/>
    </w:rPr>
  </w:style>
  <w:style w:type="paragraph" w:customStyle="1" w:styleId="4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14"/>
    <w:qFormat/>
    <w:uiPriority w:val="99"/>
    <w:rPr>
      <w:rFonts w:ascii="Times New Roman" w:hAnsi="Times New Roman" w:eastAsia="宋体" w:cs="Times New Roman"/>
      <w:sz w:val="21"/>
      <w:szCs w:val="21"/>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纯文本_3"/>
    <w:basedOn w:val="55"/>
    <w:qFormat/>
    <w:uiPriority w:val="99"/>
    <w:pPr>
      <w:widowControl/>
      <w:jc w:val="left"/>
    </w:pPr>
    <w:rPr>
      <w:rFonts w:ascii="宋体" w:hAnsi="Courier New" w:cs="宋体"/>
    </w:rPr>
  </w:style>
  <w:style w:type="paragraph" w:customStyle="1" w:styleId="57">
    <w:name w:val="纯文本_0_1"/>
    <w:basedOn w:val="1"/>
    <w:qFormat/>
    <w:uiPriority w:val="99"/>
    <w:pPr>
      <w:widowControl/>
      <w:jc w:val="left"/>
    </w:pPr>
    <w:rPr>
      <w:rFonts w:ascii="宋体" w:hAnsi="Courier New" w:cs="宋体"/>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Table Paragraph"/>
    <w:basedOn w:val="1"/>
    <w:qFormat/>
    <w:uiPriority w:val="1"/>
    <w:rPr>
      <w:rFonts w:ascii="微软雅黑" w:hAnsi="微软雅黑" w:eastAsia="微软雅黑" w:cs="微软雅黑"/>
    </w:rPr>
  </w:style>
  <w:style w:type="paragraph" w:customStyle="1" w:styleId="63">
    <w:name w:val="纯文本1"/>
    <w:basedOn w:val="64"/>
    <w:qFormat/>
    <w:uiPriority w:val="99"/>
    <w:pPr>
      <w:widowControl/>
      <w:jc w:val="left"/>
    </w:pPr>
    <w:rPr>
      <w:rFonts w:ascii="宋体" w:hAnsi="Courier New" w:cs="宋体"/>
    </w:rPr>
  </w:style>
  <w:style w:type="paragraph" w:customStyle="1" w:styleId="64">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5">
    <w:name w:val="reader-word-layer reader-word-s1-12"/>
    <w:basedOn w:val="1"/>
    <w:qFormat/>
    <w:uiPriority w:val="0"/>
    <w:pPr>
      <w:spacing w:before="100" w:beforeAutospacing="1" w:after="100" w:afterAutospacing="1"/>
      <w:jc w:val="left"/>
    </w:pPr>
    <w:rPr>
      <w:rFonts w:ascii="宋体" w:hAnsi="宋体" w:cs="宋体"/>
      <w:kern w:val="0"/>
      <w:sz w:val="24"/>
      <w:szCs w:val="24"/>
    </w:rPr>
  </w:style>
  <w:style w:type="paragraph" w:customStyle="1" w:styleId="66">
    <w:name w:val="表 靠左"/>
    <w:basedOn w:val="1"/>
    <w:qFormat/>
    <w:uiPriority w:val="0"/>
    <w:pPr>
      <w:widowControl w:val="0"/>
      <w:kinsoku/>
      <w:autoSpaceDE/>
      <w:autoSpaceDN/>
      <w:adjustRightInd/>
      <w:snapToGrid/>
      <w:textAlignment w:val="auto"/>
    </w:pPr>
    <w:rPr>
      <w:rFonts w:ascii="Times New Roman" w:hAnsi="Times New Roman" w:eastAsiaTheme="minorEastAsia" w:cstheme="minorBidi"/>
      <w:snapToGrid/>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27822</Words>
  <Characters>29013</Characters>
  <Lines>185</Lines>
  <Paragraphs>52</Paragraphs>
  <TotalTime>26</TotalTime>
  <ScaleCrop>false</ScaleCrop>
  <LinksUpToDate>false</LinksUpToDate>
  <CharactersWithSpaces>29657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wdq</cp:lastModifiedBy>
  <cp:lastPrinted>2024-05-30T05:26:00Z</cp:lastPrinted>
  <dcterms:modified xsi:type="dcterms:W3CDTF">2024-08-07T07:11:03Z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