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b/>
          <w:bCs/>
          <w:sz w:val="36"/>
          <w:szCs w:val="40"/>
        </w:rPr>
      </w:pPr>
      <w:r>
        <w:rPr>
          <w:rFonts w:hint="eastAsia"/>
          <w:b/>
          <w:bCs/>
          <w:sz w:val="36"/>
          <w:szCs w:val="40"/>
        </w:rPr>
        <w:t>台州“飞安行”低空飞行管控服务平台</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Pr>
          <w:rFonts w:hint="eastAsia" w:ascii="宋体" w:hAnsi="宋体" w:cs="Calibri Light"/>
          <w:kern w:val="0"/>
          <w:sz w:val="24"/>
        </w:rPr>
        <w:t>采购编号：</w:t>
      </w:r>
      <w:r>
        <w:rPr>
          <w:rFonts w:ascii="宋体"/>
          <w:b/>
          <w:kern w:val="0"/>
          <w:sz w:val="24"/>
        </w:rPr>
        <w:t xml:space="preserve"> </w:t>
      </w:r>
    </w:p>
    <w:p>
      <w:pPr>
        <w:tabs>
          <w:tab w:val="left" w:pos="1260"/>
        </w:tabs>
        <w:spacing w:line="640" w:lineRule="exact"/>
        <w:outlineLvl w:val="0"/>
        <w:rPr>
          <w:rFonts w:ascii="宋体" w:hAnsi="宋体"/>
          <w:spacing w:val="20"/>
          <w:kern w:val="21"/>
          <w:sz w:val="30"/>
          <w:szCs w:val="30"/>
        </w:rPr>
      </w:pPr>
    </w:p>
    <w:p>
      <w:pPr>
        <w:tabs>
          <w:tab w:val="left" w:pos="1260"/>
        </w:tabs>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lang w:eastAsia="zh-CN"/>
        </w:rPr>
        <w:t>招标人</w:t>
      </w:r>
      <w:r>
        <w:rPr>
          <w:rFonts w:hint="eastAsia" w:ascii="宋体" w:hAnsi="宋体"/>
          <w:spacing w:val="20"/>
          <w:kern w:val="21"/>
          <w:sz w:val="30"/>
          <w:szCs w:val="30"/>
        </w:rPr>
        <w:t>：</w:t>
      </w:r>
      <w:r>
        <w:rPr>
          <w:rFonts w:hint="eastAsia" w:ascii="宋体" w:hAnsi="宋体"/>
          <w:spacing w:val="20"/>
          <w:kern w:val="21"/>
          <w:sz w:val="30"/>
          <w:szCs w:val="30"/>
          <w:u w:val="single"/>
          <w:lang w:eastAsia="zh-CN"/>
        </w:rPr>
        <w:t>台州循环经济发展有限公司</w:t>
      </w:r>
      <w:r>
        <w:rPr>
          <w:rFonts w:hint="eastAsia" w:ascii="宋体" w:hAnsi="宋体"/>
          <w:spacing w:val="20"/>
          <w:kern w:val="21"/>
          <w:sz w:val="30"/>
          <w:szCs w:val="30"/>
        </w:rPr>
        <w:t>（盖章）</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hAnsi="宋体"/>
          <w:sz w:val="28"/>
          <w:u w:val="single"/>
          <w:lang w:val="en-US" w:eastAsia="zh-CN"/>
        </w:rPr>
        <w:t>毛先生</w:t>
      </w:r>
      <w:r>
        <w:rPr>
          <w:rFonts w:hAnsi="宋体"/>
          <w:sz w:val="28"/>
          <w:u w:val="single"/>
        </w:rPr>
        <w:t xml:space="preserve">      </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联系电话：</w:t>
      </w:r>
      <w:r>
        <w:rPr>
          <w:rFonts w:hint="eastAsia" w:hAnsi="宋体"/>
          <w:sz w:val="28"/>
          <w:u w:val="single"/>
        </w:rPr>
        <w:t>0576-</w:t>
      </w:r>
      <w:r>
        <w:rPr>
          <w:rFonts w:hAnsi="宋体"/>
          <w:sz w:val="28"/>
          <w:u w:val="single"/>
        </w:rPr>
        <w:t xml:space="preserve">         </w:t>
      </w:r>
    </w:p>
    <w:p>
      <w:pPr>
        <w:pStyle w:val="13"/>
        <w:numPr>
          <w:ilvl w:val="0"/>
          <w:numId w:val="0"/>
        </w:numPr>
      </w:pP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招标代理：</w:t>
      </w:r>
      <w:r>
        <w:rPr>
          <w:rFonts w:hint="eastAsia" w:ascii="宋体" w:hAnsi="宋体"/>
          <w:sz w:val="28"/>
          <w:u w:val="single"/>
          <w:lang w:eastAsia="zh-CN"/>
        </w:rPr>
        <w:t>台州市建设咨询有限公司</w:t>
      </w:r>
      <w:r>
        <w:rPr>
          <w:rFonts w:hint="eastAsia" w:ascii="宋体" w:hAnsi="宋体"/>
          <w:spacing w:val="20"/>
          <w:kern w:val="21"/>
          <w:sz w:val="30"/>
          <w:szCs w:val="30"/>
        </w:rPr>
        <w:t>（盖章）</w:t>
      </w:r>
    </w:p>
    <w:p>
      <w:pPr>
        <w:spacing w:line="640" w:lineRule="exact"/>
        <w:ind w:firstLine="1020" w:firstLineChars="300"/>
        <w:outlineLvl w:val="0"/>
        <w:rPr>
          <w:rFonts w:ascii="宋体" w:hAnsi="宋体"/>
          <w:spacing w:val="20"/>
          <w:kern w:val="21"/>
          <w:sz w:val="30"/>
          <w:szCs w:val="30"/>
        </w:rPr>
      </w:pPr>
      <w:r>
        <w:rPr>
          <w:rFonts w:hint="eastAsia" w:ascii="宋体" w:hAnsi="宋体"/>
          <w:spacing w:val="20"/>
          <w:kern w:val="21"/>
          <w:sz w:val="30"/>
          <w:szCs w:val="30"/>
        </w:rPr>
        <w:t>联 系 人：</w:t>
      </w:r>
      <w:r>
        <w:rPr>
          <w:rFonts w:hint="eastAsia" w:ascii="宋体" w:hAnsi="宋体"/>
          <w:sz w:val="28"/>
          <w:u w:val="single"/>
          <w:lang w:val="en-US" w:eastAsia="zh-CN"/>
        </w:rPr>
        <w:t>李女士</w:t>
      </w:r>
      <w:r>
        <w:rPr>
          <w:rFonts w:ascii="宋体" w:hAnsi="宋体"/>
          <w:sz w:val="28"/>
          <w:u w:val="single"/>
        </w:rPr>
        <w:t xml:space="preserve"> </w:t>
      </w:r>
    </w:p>
    <w:p>
      <w:pPr>
        <w:spacing w:line="480" w:lineRule="auto"/>
        <w:ind w:firstLine="1020" w:firstLineChars="300"/>
        <w:rPr>
          <w:rFonts w:hint="default" w:ascii="宋体" w:hAnsi="宋体" w:eastAsia="宋体"/>
          <w:spacing w:val="20"/>
          <w:kern w:val="21"/>
          <w:sz w:val="30"/>
          <w:szCs w:val="30"/>
          <w:lang w:val="en-US" w:eastAsia="zh-CN"/>
        </w:rPr>
      </w:pPr>
      <w:r>
        <w:rPr>
          <w:rFonts w:hint="eastAsia" w:ascii="宋体" w:hAnsi="宋体"/>
          <w:spacing w:val="20"/>
          <w:kern w:val="21"/>
          <w:sz w:val="30"/>
          <w:szCs w:val="30"/>
        </w:rPr>
        <w:t>联系电话：</w:t>
      </w:r>
      <w:r>
        <w:rPr>
          <w:rFonts w:hint="eastAsia" w:ascii="宋体" w:hAnsi="宋体"/>
          <w:spacing w:val="20"/>
          <w:kern w:val="21"/>
          <w:sz w:val="30"/>
          <w:szCs w:val="30"/>
          <w:u w:val="single"/>
        </w:rPr>
        <w:t>0576-</w:t>
      </w:r>
      <w:r>
        <w:rPr>
          <w:rFonts w:hint="eastAsia" w:ascii="宋体" w:hAnsi="宋体"/>
          <w:spacing w:val="20"/>
          <w:kern w:val="21"/>
          <w:sz w:val="30"/>
          <w:szCs w:val="30"/>
          <w:u w:val="single"/>
          <w:lang w:val="en-US" w:eastAsia="zh-CN"/>
        </w:rPr>
        <w:t>88517783</w:t>
      </w:r>
    </w:p>
    <w:p>
      <w:pPr>
        <w:spacing w:line="640" w:lineRule="exact"/>
        <w:ind w:firstLine="1020" w:firstLineChars="300"/>
        <w:outlineLvl w:val="0"/>
        <w:rPr>
          <w:rFonts w:ascii="宋体" w:hAnsi="宋体"/>
          <w:b/>
          <w:sz w:val="36"/>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spacing w:val="20"/>
          <w:kern w:val="21"/>
          <w:sz w:val="30"/>
          <w:szCs w:val="30"/>
        </w:rPr>
        <w:t>日    期：202</w:t>
      </w:r>
      <w:r>
        <w:rPr>
          <w:rFonts w:hint="eastAsia" w:ascii="宋体" w:hAnsi="宋体"/>
          <w:spacing w:val="20"/>
          <w:kern w:val="21"/>
          <w:sz w:val="30"/>
          <w:szCs w:val="30"/>
          <w:lang w:val="en-US" w:eastAsia="zh-CN"/>
        </w:rPr>
        <w:t>4</w:t>
      </w:r>
      <w:r>
        <w:rPr>
          <w:rFonts w:hint="eastAsia" w:ascii="宋体" w:hAnsi="宋体"/>
          <w:spacing w:val="20"/>
          <w:kern w:val="21"/>
          <w:sz w:val="30"/>
          <w:szCs w:val="30"/>
        </w:rPr>
        <w:t>年</w:t>
      </w:r>
      <w:r>
        <w:rPr>
          <w:rFonts w:hint="eastAsia" w:ascii="宋体" w:hAnsi="宋体"/>
          <w:spacing w:val="20"/>
          <w:kern w:val="21"/>
          <w:sz w:val="30"/>
          <w:szCs w:val="30"/>
          <w:lang w:val="en-US" w:eastAsia="zh-CN"/>
        </w:rPr>
        <w:t>8</w:t>
      </w:r>
      <w:r>
        <w:rPr>
          <w:rFonts w:hint="eastAsia" w:ascii="宋体" w:hAnsi="宋体"/>
          <w:spacing w:val="20"/>
          <w:kern w:val="21"/>
          <w:sz w:val="30"/>
          <w:szCs w:val="30"/>
        </w:rPr>
        <w:t>月</w:t>
      </w:r>
    </w:p>
    <w:p>
      <w:pPr>
        <w:pStyle w:val="34"/>
      </w:pPr>
    </w:p>
    <w:sdt>
      <w:sdtPr>
        <w:rPr>
          <w:rFonts w:ascii="宋体" w:hAnsi="宋体"/>
          <w:kern w:val="0"/>
          <w:sz w:val="28"/>
          <w:szCs w:val="28"/>
        </w:rPr>
        <w:id w:val="147471336"/>
        <w:docPartObj>
          <w:docPartGallery w:val="Table of Contents"/>
          <w:docPartUnique/>
        </w:docPartObj>
      </w:sdtPr>
      <w:sdtEndPr>
        <w:rPr>
          <w:rFonts w:ascii="宋体" w:hAnsi="宋体"/>
          <w:kern w:val="0"/>
          <w:sz w:val="28"/>
          <w:szCs w:val="28"/>
        </w:rPr>
      </w:sdtEndPr>
      <w:sdtContent>
        <w:p>
          <w:pPr>
            <w:spacing w:line="480" w:lineRule="auto"/>
            <w:jc w:val="center"/>
            <w:rPr>
              <w:rFonts w:ascii="宋体" w:hAnsi="宋体"/>
              <w:kern w:val="0"/>
              <w:sz w:val="28"/>
              <w:szCs w:val="28"/>
            </w:rPr>
          </w:pPr>
          <w:bookmarkStart w:id="0" w:name="_Toc25017_WPSOffice_Type1"/>
        </w:p>
        <w:p>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pPr>
            <w:pStyle w:val="19"/>
            <w:tabs>
              <w:tab w:val="right" w:leader="dot" w:pos="8620"/>
            </w:tabs>
            <w:rPr>
              <w:rFonts w:eastAsiaTheme="minorEastAsia" w:cstheme="minorBidi"/>
              <w:sz w:val="28"/>
              <w:szCs w:val="28"/>
            </w:rPr>
          </w:pPr>
          <w:r>
            <w:fldChar w:fldCharType="begin"/>
          </w:r>
          <w:r>
            <w:instrText xml:space="preserve"> HYPERLINK \l "_Toc4350_WPSOffice_Level1" </w:instrText>
          </w:r>
          <w: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"_Toc25017_WPSOffice_Level1" </w:instrText>
          </w:r>
          <w: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9"/>
            <w:tabs>
              <w:tab w:val="right" w:leader="dot" w:pos="8620"/>
            </w:tabs>
            <w:ind w:right="638" w:rightChars="304"/>
            <w:rPr>
              <w:rFonts w:eastAsiaTheme="minorEastAsia" w:cstheme="minorBidi"/>
              <w:sz w:val="28"/>
              <w:szCs w:val="28"/>
            </w:rPr>
          </w:pPr>
          <w:r>
            <w:fldChar w:fldCharType="begin"/>
          </w:r>
          <w:r>
            <w:instrText xml:space="preserve"> HYPERLINK \l "_Toc13072_WPSOffice_Level1" </w:instrText>
          </w:r>
          <w: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9"/>
            <w:tabs>
              <w:tab w:val="right" w:leader="dot" w:pos="8620"/>
            </w:tabs>
            <w:rPr>
              <w:rFonts w:eastAsiaTheme="minorEastAsia" w:cstheme="minorBidi"/>
              <w:sz w:val="28"/>
              <w:szCs w:val="28"/>
            </w:rPr>
          </w:pPr>
          <w:r>
            <w:fldChar w:fldCharType="begin"/>
          </w:r>
          <w:r>
            <w:instrText xml:space="preserve"> HYPERLINK \l "_Toc31173_WPSOffice_Level1" </w:instrText>
          </w:r>
          <w: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pPr>
            <w:pStyle w:val="19"/>
            <w:tabs>
              <w:tab w:val="right" w:leader="dot" w:pos="8620"/>
            </w:tabs>
            <w:rPr>
              <w:rFonts w:eastAsiaTheme="minorEastAsia" w:cstheme="minorBidi"/>
              <w:sz w:val="28"/>
              <w:szCs w:val="28"/>
            </w:rPr>
          </w:pPr>
          <w:r>
            <w:fldChar w:fldCharType="begin"/>
          </w:r>
          <w:r>
            <w:instrText xml:space="preserve"> HYPERLINK \l "_Toc27944_WPSOffice_Level1" </w:instrText>
          </w:r>
          <w: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pPr>
            <w:pStyle w:val="19"/>
            <w:tabs>
              <w:tab w:val="right" w:leader="dot" w:pos="8620"/>
            </w:tabs>
          </w:pPr>
          <w:r>
            <w:fldChar w:fldCharType="begin"/>
          </w:r>
          <w:r>
            <w:instrText xml:space="preserve"> HYPERLINK \l "_Toc5481_WPSOffice_Level1" </w:instrText>
          </w:r>
          <w: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6"/>
        <w:ind w:firstLine="480" w:firstLineChars="200"/>
        <w:rPr>
          <w:rFonts w:cs="宋体"/>
          <w:b w:val="0"/>
          <w:sz w:val="24"/>
          <w:szCs w:val="24"/>
        </w:rPr>
      </w:pPr>
      <w:bookmarkStart w:id="6" w:name="_Toc28359002"/>
      <w:bookmarkStart w:id="7" w:name="_Toc35393790"/>
      <w:bookmarkStart w:id="8" w:name="_Toc35393621"/>
      <w:bookmarkStart w:id="9" w:name="_Toc28359079"/>
      <w:bookmarkStart w:id="10" w:name="_Hlk24379207"/>
      <w:r>
        <w:rPr>
          <w:rFonts w:hint="eastAsia" w:cs="宋体"/>
          <w:b w:val="0"/>
          <w:sz w:val="24"/>
          <w:szCs w:val="24"/>
          <w:u w:val="single"/>
          <w:lang w:eastAsia="zh-CN"/>
        </w:rPr>
        <w:t>台州市建设咨询有限公司</w:t>
      </w:r>
      <w:r>
        <w:rPr>
          <w:rFonts w:hint="eastAsia" w:cs="宋体"/>
          <w:b w:val="0"/>
          <w:sz w:val="24"/>
          <w:szCs w:val="24"/>
          <w:highlight w:val="none"/>
        </w:rPr>
        <w:t>受</w:t>
      </w:r>
      <w:r>
        <w:rPr>
          <w:rFonts w:hint="eastAsia" w:cs="宋体"/>
          <w:b w:val="0"/>
          <w:sz w:val="24"/>
          <w:szCs w:val="24"/>
          <w:highlight w:val="none"/>
          <w:u w:val="single"/>
          <w:lang w:eastAsia="zh-CN"/>
        </w:rPr>
        <w:t>台州循环经济发展有限公司</w:t>
      </w:r>
      <w:r>
        <w:rPr>
          <w:rFonts w:hint="eastAsia" w:cs="宋体"/>
          <w:b w:val="0"/>
          <w:sz w:val="24"/>
          <w:szCs w:val="24"/>
          <w:highlight w:val="none"/>
        </w:rPr>
        <w:t>委</w:t>
      </w:r>
      <w:r>
        <w:rPr>
          <w:rFonts w:hint="eastAsia" w:cs="宋体"/>
          <w:b w:val="0"/>
          <w:sz w:val="24"/>
          <w:szCs w:val="24"/>
        </w:rPr>
        <w:t>托，</w:t>
      </w:r>
      <w:r>
        <w:rPr>
          <w:rFonts w:hint="eastAsia" w:ascii="宋体" w:hAnsi="宋体" w:eastAsia="宋体" w:cs="宋体"/>
          <w:b w:val="0"/>
          <w:sz w:val="24"/>
          <w:szCs w:val="24"/>
        </w:rPr>
        <w:t>根据《中华人民共和国</w:t>
      </w:r>
      <w:r>
        <w:rPr>
          <w:rFonts w:hint="eastAsia" w:ascii="宋体" w:hAnsi="宋体" w:eastAsia="宋体" w:cs="宋体"/>
          <w:b w:val="0"/>
          <w:sz w:val="24"/>
          <w:szCs w:val="24"/>
          <w:lang w:val="en-US" w:eastAsia="zh-CN"/>
        </w:rPr>
        <w:t>招标投标</w:t>
      </w:r>
      <w:r>
        <w:rPr>
          <w:rFonts w:hint="eastAsia" w:ascii="宋体" w:hAnsi="宋体" w:eastAsia="宋体" w:cs="宋体"/>
          <w:b w:val="0"/>
          <w:sz w:val="24"/>
          <w:szCs w:val="24"/>
        </w:rPr>
        <w:t>法》等相关法律、法规规定，</w:t>
      </w:r>
      <w:r>
        <w:rPr>
          <w:rFonts w:hint="eastAsia" w:cs="宋体"/>
          <w:b w:val="0"/>
          <w:sz w:val="24"/>
          <w:szCs w:val="24"/>
        </w:rPr>
        <w:t>就</w:t>
      </w:r>
      <w:r>
        <w:rPr>
          <w:rFonts w:hint="eastAsia" w:cs="宋体"/>
          <w:b w:val="0"/>
          <w:sz w:val="24"/>
          <w:szCs w:val="24"/>
          <w:u w:val="single"/>
        </w:rPr>
        <w:t>台州“飞安行”低空飞行管控服务平台</w:t>
      </w:r>
      <w:r>
        <w:rPr>
          <w:rFonts w:hint="eastAsia" w:cs="宋体"/>
          <w:b w:val="0"/>
          <w:sz w:val="24"/>
          <w:szCs w:val="24"/>
        </w:rPr>
        <w:t>进行公开招标，欢迎符合资格条件的国内投标人参加投标。</w:t>
      </w:r>
    </w:p>
    <w:p>
      <w:pPr>
        <w:pStyle w:val="6"/>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pPr>
        <w:spacing w:line="312" w:lineRule="auto"/>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 xml:space="preserve"> </w:t>
      </w:r>
      <w:bookmarkEnd w:id="10"/>
    </w:p>
    <w:p>
      <w:pPr>
        <w:spacing w:line="312" w:lineRule="auto"/>
        <w:ind w:firstLine="420" w:firstLineChars="200"/>
        <w:rPr>
          <w:rFonts w:hint="eastAsia" w:ascii="宋体" w:hAnsi="宋体" w:cs="宋体"/>
          <w:sz w:val="24"/>
        </w:rPr>
      </w:pPr>
      <w:r>
        <w:t xml:space="preserve"> </w:t>
      </w:r>
      <w:r>
        <w:rPr>
          <w:rFonts w:hint="eastAsia" w:ascii="宋体" w:hAnsi="宋体" w:cs="宋体"/>
          <w:sz w:val="24"/>
        </w:rPr>
        <w:t>项目名称：</w:t>
      </w:r>
      <w:r>
        <w:rPr>
          <w:rFonts w:hint="eastAsia" w:ascii="宋体" w:hAnsi="宋体" w:cs="宋体"/>
          <w:sz w:val="24"/>
          <w:u w:val="single"/>
        </w:rPr>
        <w:t>台州“飞安行”低空飞行管控服务平台</w:t>
      </w:r>
    </w:p>
    <w:tbl>
      <w:tblPr>
        <w:tblStyle w:val="25"/>
        <w:tblpPr w:leftFromText="181" w:rightFromText="181" w:bottomFromText="170" w:vertAnchor="text" w:tblpXSpec="center" w:tblpY="1"/>
        <w:tblOverlap w:val="never"/>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3112"/>
        <w:gridCol w:w="1040"/>
        <w:gridCol w:w="799"/>
        <w:gridCol w:w="119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标项号</w:t>
            </w:r>
          </w:p>
        </w:tc>
        <w:tc>
          <w:tcPr>
            <w:tcW w:w="3112" w:type="dxa"/>
            <w:vAlign w:val="center"/>
          </w:tcPr>
          <w:p>
            <w:pPr>
              <w:tabs>
                <w:tab w:val="left" w:pos="8280"/>
              </w:tabs>
              <w:autoSpaceDE w:val="0"/>
              <w:autoSpaceDN w:val="0"/>
              <w:adjustRightInd w:val="0"/>
              <w:ind w:firstLine="105" w:firstLineChars="50"/>
              <w:jc w:val="center"/>
              <w:rPr>
                <w:rFonts w:ascii="宋体" w:hAnsi="宋体" w:cs="宋体"/>
                <w:b/>
                <w:szCs w:val="21"/>
              </w:rPr>
            </w:pPr>
            <w:r>
              <w:rPr>
                <w:rFonts w:hint="eastAsia" w:ascii="宋体" w:hAnsi="宋体" w:cs="宋体"/>
                <w:b/>
                <w:szCs w:val="21"/>
              </w:rPr>
              <w:t>标项名称</w:t>
            </w:r>
          </w:p>
        </w:tc>
        <w:tc>
          <w:tcPr>
            <w:tcW w:w="104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kern w:val="0"/>
                <w:szCs w:val="21"/>
              </w:rPr>
              <w:t>数量</w:t>
            </w:r>
          </w:p>
        </w:tc>
        <w:tc>
          <w:tcPr>
            <w:tcW w:w="799"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单位</w:t>
            </w:r>
          </w:p>
        </w:tc>
        <w:tc>
          <w:tcPr>
            <w:tcW w:w="119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（万元）</w:t>
            </w:r>
          </w:p>
        </w:tc>
        <w:tc>
          <w:tcPr>
            <w:tcW w:w="1372" w:type="dxa"/>
            <w:vAlign w:val="center"/>
          </w:tcPr>
          <w:p>
            <w:pPr>
              <w:jc w:val="center"/>
              <w:rPr>
                <w:rFonts w:ascii="宋体" w:hAnsi="宋体" w:cs="宋体"/>
                <w:b/>
                <w:szCs w:val="21"/>
              </w:rPr>
            </w:pPr>
            <w:r>
              <w:rPr>
                <w:rFonts w:hint="eastAsia" w:ascii="宋体" w:hAnsi="宋体" w:cs="宋体"/>
                <w:b/>
                <w:szCs w:val="21"/>
              </w:rPr>
              <w:t>最高限价</w:t>
            </w:r>
          </w:p>
          <w:p>
            <w:pPr>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030"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b/>
                <w:szCs w:val="21"/>
              </w:rPr>
              <w:t>1</w:t>
            </w:r>
          </w:p>
        </w:tc>
        <w:tc>
          <w:tcPr>
            <w:tcW w:w="3112" w:type="dxa"/>
            <w:vAlign w:val="center"/>
          </w:tcPr>
          <w:p>
            <w:pPr>
              <w:tabs>
                <w:tab w:val="left" w:pos="8280"/>
              </w:tabs>
              <w:autoSpaceDE w:val="0"/>
              <w:autoSpaceDN w:val="0"/>
              <w:adjustRightInd w:val="0"/>
              <w:rPr>
                <w:rFonts w:ascii="宋体" w:hAnsi="宋体" w:cs="宋体"/>
                <w:b/>
                <w:szCs w:val="21"/>
              </w:rPr>
            </w:pPr>
            <w:r>
              <w:rPr>
                <w:rFonts w:hint="eastAsia" w:ascii="宋体" w:hAnsi="宋体" w:cs="宋体"/>
                <w:b/>
                <w:szCs w:val="21"/>
              </w:rPr>
              <w:t>台州“飞安行”低空飞行管控服务平台</w:t>
            </w:r>
          </w:p>
        </w:tc>
        <w:tc>
          <w:tcPr>
            <w:tcW w:w="1040" w:type="dxa"/>
            <w:vAlign w:val="center"/>
          </w:tcPr>
          <w:p>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799" w:type="dxa"/>
            <w:vAlign w:val="center"/>
          </w:tcPr>
          <w:p>
            <w:pPr>
              <w:tabs>
                <w:tab w:val="left" w:pos="8280"/>
              </w:tabs>
              <w:autoSpaceDE w:val="0"/>
              <w:autoSpaceDN w:val="0"/>
              <w:adjustRightInd w:val="0"/>
              <w:jc w:val="center"/>
              <w:rPr>
                <w:rFonts w:hint="eastAsia" w:ascii="宋体" w:hAnsi="宋体" w:eastAsia="宋体" w:cs="宋体"/>
                <w:bCs/>
                <w:szCs w:val="21"/>
                <w:lang w:val="en-US" w:eastAsia="zh-CN"/>
              </w:rPr>
            </w:pPr>
            <w:r>
              <w:rPr>
                <w:rFonts w:hint="eastAsia" w:ascii="宋体" w:hAnsi="宋体" w:cs="宋体"/>
                <w:bCs/>
                <w:szCs w:val="21"/>
                <w:lang w:val="en-US" w:eastAsia="zh-CN"/>
              </w:rPr>
              <w:t>项</w:t>
            </w:r>
          </w:p>
        </w:tc>
        <w:tc>
          <w:tcPr>
            <w:tcW w:w="1190" w:type="dxa"/>
            <w:vAlign w:val="center"/>
          </w:tcPr>
          <w:p>
            <w:pPr>
              <w:tabs>
                <w:tab w:val="left" w:pos="8280"/>
              </w:tabs>
              <w:autoSpaceDE w:val="0"/>
              <w:autoSpaceDN w:val="0"/>
              <w:adjustRightInd w:val="0"/>
              <w:jc w:val="center"/>
              <w:rPr>
                <w:rFonts w:hint="default" w:ascii="宋体" w:hAnsi="宋体" w:eastAsia="宋体" w:cs="宋体"/>
                <w:bCs/>
                <w:szCs w:val="21"/>
                <w:lang w:val="en-US" w:eastAsia="zh-CN"/>
              </w:rPr>
            </w:pPr>
            <w:r>
              <w:rPr>
                <w:rFonts w:hint="eastAsia" w:ascii="宋体" w:hAnsi="宋体" w:cs="宋体"/>
                <w:bCs/>
                <w:szCs w:val="21"/>
                <w:lang w:val="en-US" w:eastAsia="zh-CN"/>
              </w:rPr>
              <w:t>350</w:t>
            </w:r>
          </w:p>
        </w:tc>
        <w:tc>
          <w:tcPr>
            <w:tcW w:w="1372" w:type="dxa"/>
            <w:vAlign w:val="center"/>
          </w:tcPr>
          <w:p>
            <w:pPr>
              <w:tabs>
                <w:tab w:val="left" w:pos="8280"/>
              </w:tabs>
              <w:autoSpaceDE w:val="0"/>
              <w:autoSpaceDN w:val="0"/>
              <w:adjustRightInd w:val="0"/>
              <w:jc w:val="center"/>
              <w:rPr>
                <w:rStyle w:val="68"/>
                <w:rFonts w:hint="default" w:ascii="宋体" w:hAnsi="宋体" w:eastAsia="宋体"/>
                <w:szCs w:val="21"/>
                <w:lang w:val="en-US" w:eastAsia="zh-CN"/>
              </w:rPr>
            </w:pPr>
            <w:r>
              <w:rPr>
                <w:rStyle w:val="68"/>
                <w:rFonts w:hint="eastAsia" w:ascii="宋体" w:hAnsi="宋体"/>
                <w:szCs w:val="21"/>
                <w:lang w:val="en-US" w:eastAsia="zh-CN"/>
              </w:rPr>
              <w:t>350</w:t>
            </w:r>
          </w:p>
        </w:tc>
      </w:tr>
    </w:tbl>
    <w:p>
      <w:pPr>
        <w:pStyle w:val="6"/>
        <w:tabs>
          <w:tab w:val="left" w:pos="9660"/>
          <w:tab w:val="clear" w:pos="8280"/>
        </w:tabs>
        <w:ind w:right="23" w:firstLine="482" w:firstLineChars="200"/>
        <w:jc w:val="left"/>
        <w:rPr>
          <w:rFonts w:cs="宋体"/>
          <w:bCs/>
          <w:sz w:val="24"/>
          <w:szCs w:val="24"/>
        </w:rPr>
      </w:pPr>
      <w:bookmarkStart w:id="11" w:name="_Toc35393622"/>
      <w:bookmarkStart w:id="12" w:name="_Toc35393791"/>
      <w:bookmarkStart w:id="13" w:name="_Toc28359080"/>
      <w:bookmarkStart w:id="14" w:name="_Toc28359003"/>
      <w:r>
        <w:rPr>
          <w:rFonts w:hint="eastAsia" w:cs="宋体"/>
          <w:bCs/>
          <w:sz w:val="24"/>
          <w:szCs w:val="24"/>
        </w:rPr>
        <w:t>二、投标人的资格要求</w:t>
      </w:r>
      <w:bookmarkEnd w:id="11"/>
      <w:bookmarkEnd w:id="12"/>
      <w:bookmarkEnd w:id="13"/>
      <w:bookmarkEnd w:id="14"/>
    </w:p>
    <w:p>
      <w:pPr>
        <w:pStyle w:val="83"/>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bookmarkStart w:id="15" w:name="_Toc35393792"/>
      <w:bookmarkStart w:id="16" w:name="_Toc28359004"/>
      <w:bookmarkStart w:id="17" w:name="_Toc35393623"/>
      <w:bookmarkStart w:id="18" w:name="_Toc28359081"/>
      <w:r>
        <w:rPr>
          <w:rFonts w:hint="eastAsia" w:ascii="宋体" w:hAnsi="宋体" w:eastAsia="宋体" w:cs="Arial"/>
          <w:color w:val="auto"/>
          <w:kern w:val="2"/>
          <w:sz w:val="24"/>
          <w:szCs w:val="24"/>
          <w:highlight w:val="none"/>
          <w:lang w:val="en-US" w:eastAsia="zh-CN" w:bidi="ar-SA"/>
        </w:rPr>
        <w:t>（一）</w:t>
      </w:r>
      <w:r>
        <w:rPr>
          <w:rFonts w:hint="eastAsia" w:ascii="宋体" w:eastAsia="宋体" w:cs="Arial"/>
          <w:color w:val="auto"/>
          <w:kern w:val="2"/>
          <w:sz w:val="24"/>
          <w:szCs w:val="24"/>
          <w:highlight w:val="none"/>
          <w:lang w:val="en-US" w:eastAsia="zh-CN" w:bidi="ar-SA"/>
        </w:rPr>
        <w:t>能提供本项目货物服务能力的供应商</w:t>
      </w:r>
      <w:r>
        <w:rPr>
          <w:rFonts w:hint="eastAsia" w:ascii="宋体" w:hAnsi="宋体" w:eastAsia="宋体" w:cs="Arial"/>
          <w:color w:val="auto"/>
          <w:kern w:val="2"/>
          <w:sz w:val="24"/>
          <w:szCs w:val="24"/>
          <w:highlight w:val="none"/>
          <w:lang w:val="en-US" w:eastAsia="zh-CN" w:bidi="ar-SA"/>
        </w:rPr>
        <w:t>；</w:t>
      </w:r>
    </w:p>
    <w:p>
      <w:pPr>
        <w:pStyle w:val="83"/>
        <w:spacing w:before="0" w:line="300" w:lineRule="auto"/>
        <w:ind w:left="0" w:right="0" w:firstLine="480" w:firstLineChars="200"/>
        <w:jc w:val="left"/>
        <w:rPr>
          <w:rFonts w:hint="eastAsia" w:ascii="宋体" w:hAnsi="宋体"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w:t>
      </w:r>
      <w:r>
        <w:rPr>
          <w:rFonts w:hint="eastAsia" w:ascii="宋体" w:eastAsia="宋体" w:cs="Arial"/>
          <w:color w:val="auto"/>
          <w:kern w:val="2"/>
          <w:sz w:val="24"/>
          <w:szCs w:val="24"/>
          <w:highlight w:val="none"/>
          <w:lang w:val="en-US" w:eastAsia="zh-CN" w:bidi="ar-SA"/>
        </w:rPr>
        <w:t>二</w:t>
      </w:r>
      <w:r>
        <w:rPr>
          <w:rFonts w:hint="eastAsia" w:ascii="宋体" w:hAnsi="宋体" w:eastAsia="宋体" w:cs="Arial"/>
          <w:color w:val="auto"/>
          <w:kern w:val="2"/>
          <w:sz w:val="24"/>
          <w:szCs w:val="24"/>
          <w:highlight w:val="none"/>
          <w:lang w:val="en-US" w:eastAsia="zh-CN" w:bidi="ar-SA"/>
        </w:rPr>
        <w:t>）本项目不接受联合体投标。</w:t>
      </w:r>
    </w:p>
    <w:p>
      <w:pPr>
        <w:pStyle w:val="6"/>
        <w:tabs>
          <w:tab w:val="left" w:pos="9660"/>
          <w:tab w:val="clear" w:pos="8280"/>
        </w:tabs>
        <w:ind w:right="23" w:firstLine="482" w:firstLineChars="200"/>
        <w:jc w:val="left"/>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jc w:val="left"/>
        <w:rPr>
          <w:rFonts w:ascii="宋体" w:hAnsi="宋体" w:cs="宋体"/>
          <w:sz w:val="24"/>
        </w:rPr>
      </w:pPr>
      <w:r>
        <w:rPr>
          <w:rFonts w:hint="eastAsia" w:ascii="宋体" w:hAnsi="宋体" w:cs="宋体"/>
          <w:sz w:val="24"/>
        </w:rPr>
        <w:t>（一）时间：项目发布之日起至</w:t>
      </w:r>
      <w:r>
        <w:rPr>
          <w:rFonts w:hint="eastAsia" w:ascii="宋体" w:hAnsi="宋体" w:cs="宋体"/>
          <w:sz w:val="24"/>
          <w:u w:val="single"/>
        </w:rPr>
        <w:t>开标截止时间</w:t>
      </w:r>
    </w:p>
    <w:p>
      <w:pPr>
        <w:snapToGrid w:val="0"/>
        <w:spacing w:line="360" w:lineRule="auto"/>
        <w:ind w:firstLine="539"/>
        <w:rPr>
          <w:rFonts w:hint="eastAsia" w:ascii="宋体" w:hAnsi="宋体" w:cs="Arial"/>
          <w:color w:val="auto"/>
          <w:sz w:val="24"/>
          <w:highlight w:val="none"/>
        </w:rPr>
      </w:pPr>
      <w:r>
        <w:rPr>
          <w:rFonts w:hint="eastAsia" w:ascii="宋体" w:hAnsi="宋体" w:cs="宋体"/>
          <w:sz w:val="24"/>
        </w:rPr>
        <w:t>（二）方式：</w:t>
      </w:r>
      <w:r>
        <w:rPr>
          <w:rFonts w:hint="eastAsia" w:ascii="宋体" w:hAnsi="宋体" w:cs="Arial"/>
          <w:color w:val="auto"/>
          <w:sz w:val="24"/>
          <w:highlight w:val="none"/>
        </w:rPr>
        <w:t>本次招标文件的获取由各投标人自行到</w:t>
      </w:r>
      <w:r>
        <w:rPr>
          <w:rFonts w:hint="eastAsia" w:ascii="宋体" w:hAnsi="宋体" w:cs="宋体"/>
          <w:sz w:val="24"/>
          <w:szCs w:val="24"/>
        </w:rPr>
        <w:t>台州湾新区小额工程电子交易平台（网址：</w:t>
      </w:r>
      <w:r>
        <w:rPr>
          <w:sz w:val="24"/>
          <w:szCs w:val="24"/>
        </w:rPr>
        <w:t>http://www.tzwztb.com/</w:t>
      </w:r>
      <w:r>
        <w:rPr>
          <w:rFonts w:hint="eastAsia" w:ascii="宋体" w:hAnsi="宋体" w:cs="宋体"/>
          <w:sz w:val="24"/>
          <w:szCs w:val="24"/>
        </w:rPr>
        <w:t>）</w:t>
      </w:r>
      <w:r>
        <w:rPr>
          <w:rFonts w:hint="eastAsia" w:ascii="宋体" w:hAnsi="宋体" w:cs="Arial"/>
          <w:color w:val="auto"/>
          <w:sz w:val="24"/>
          <w:highlight w:val="none"/>
        </w:rPr>
        <w:t>下载获取。本次招标取消报名环节请各投标人密切关注</w:t>
      </w:r>
      <w:r>
        <w:rPr>
          <w:rFonts w:hint="eastAsia" w:ascii="宋体" w:hAnsi="宋体" w:cs="宋体"/>
          <w:sz w:val="24"/>
          <w:szCs w:val="24"/>
        </w:rPr>
        <w:t>台州湾新区小额工程电子交易平台</w:t>
      </w:r>
      <w:r>
        <w:rPr>
          <w:rFonts w:hint="eastAsia" w:ascii="宋体" w:hAnsi="宋体" w:cs="Arial"/>
          <w:color w:val="auto"/>
          <w:sz w:val="24"/>
          <w:highlight w:val="none"/>
        </w:rPr>
        <w:t>或</w:t>
      </w:r>
      <w:r>
        <w:rPr>
          <w:rFonts w:hint="eastAsia" w:ascii="宋体" w:hAnsi="宋体" w:cs="Arial"/>
          <w:color w:val="auto"/>
          <w:sz w:val="24"/>
          <w:highlight w:val="none"/>
          <w:lang w:val="en-US" w:eastAsia="zh-CN"/>
        </w:rPr>
        <w:t>浙江省政府采购网</w:t>
      </w:r>
      <w:r>
        <w:rPr>
          <w:rFonts w:hint="eastAsia" w:ascii="宋体" w:hAnsi="宋体" w:cs="Arial"/>
          <w:color w:val="auto"/>
          <w:sz w:val="24"/>
          <w:highlight w:val="none"/>
        </w:rPr>
        <w:t>对本项目的答疑和澄清，由于投标人未及时了解</w:t>
      </w:r>
      <w:r>
        <w:rPr>
          <w:rFonts w:hint="eastAsia" w:ascii="宋体" w:hAnsi="宋体" w:cs="Arial"/>
          <w:color w:val="auto"/>
          <w:sz w:val="24"/>
          <w:highlight w:val="none"/>
          <w:lang w:eastAsia="zh-CN"/>
        </w:rPr>
        <w:t>，</w:t>
      </w:r>
      <w:r>
        <w:rPr>
          <w:rFonts w:hint="eastAsia" w:ascii="宋体" w:hAnsi="宋体" w:cs="Arial"/>
          <w:color w:val="auto"/>
          <w:sz w:val="24"/>
          <w:highlight w:val="none"/>
        </w:rPr>
        <w:t>由此造成的后果招标人、招标代理概不负责。</w:t>
      </w:r>
    </w:p>
    <w:p>
      <w:pPr>
        <w:pStyle w:val="6"/>
        <w:ind w:right="0" w:firstLine="482" w:firstLineChars="200"/>
        <w:rPr>
          <w:rFonts w:cs="宋体"/>
          <w:bCs/>
          <w:sz w:val="24"/>
          <w:szCs w:val="24"/>
        </w:rPr>
      </w:pPr>
      <w:bookmarkStart w:id="19" w:name="_Toc35393624"/>
      <w:bookmarkStart w:id="20" w:name="_Toc28359082"/>
      <w:bookmarkStart w:id="21" w:name="_Toc28359005"/>
      <w:bookmarkStart w:id="22" w:name="_Toc35393793"/>
      <w:r>
        <w:rPr>
          <w:rFonts w:hint="eastAsia" w:cs="宋体"/>
          <w:bCs/>
          <w:sz w:val="24"/>
          <w:szCs w:val="24"/>
        </w:rPr>
        <w:t>四、提交投标文件</w:t>
      </w:r>
      <w:bookmarkEnd w:id="19"/>
      <w:bookmarkEnd w:id="20"/>
      <w:bookmarkEnd w:id="21"/>
      <w:bookmarkEnd w:id="22"/>
    </w:p>
    <w:p>
      <w:pPr>
        <w:spacing w:line="360" w:lineRule="auto"/>
        <w:ind w:firstLine="480" w:firstLineChars="200"/>
        <w:jc w:val="left"/>
        <w:rPr>
          <w:rFonts w:ascii="宋体" w:hAnsi="宋体" w:cs="宋体"/>
          <w:sz w:val="24"/>
        </w:rPr>
      </w:pPr>
      <w:bookmarkStart w:id="23" w:name="_Toc35393625"/>
      <w:bookmarkStart w:id="24" w:name="_Toc28359007"/>
      <w:bookmarkStart w:id="25" w:name="_Toc35393794"/>
      <w:bookmarkStart w:id="26" w:name="_Toc28359084"/>
      <w:r>
        <w:rPr>
          <w:rFonts w:hint="eastAsia" w:ascii="宋体" w:hAnsi="宋体" w:cs="宋体"/>
          <w:sz w:val="24"/>
        </w:rPr>
        <w:t>（一）截止时间（开标时间）：</w:t>
      </w:r>
      <w:r>
        <w:rPr>
          <w:rFonts w:hint="eastAsia" w:ascii="宋体" w:hAnsi="宋体" w:cs="宋体"/>
          <w:bCs/>
          <w:sz w:val="24"/>
          <w:highlight w:val="none"/>
          <w:u w:val="single"/>
        </w:rPr>
        <w:t>202</w:t>
      </w:r>
      <w:r>
        <w:rPr>
          <w:rFonts w:hint="eastAsia" w:ascii="宋体" w:hAnsi="宋体" w:cs="宋体"/>
          <w:bCs/>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sz w:val="24"/>
          <w:highlight w:val="none"/>
          <w:u w:val="single"/>
        </w:rPr>
        <w:t>0</w:t>
      </w:r>
      <w:r>
        <w:rPr>
          <w:rFonts w:hint="eastAsia" w:ascii="宋体" w:hAnsi="宋体" w:cs="宋体"/>
          <w:sz w:val="24"/>
          <w:highlight w:val="none"/>
          <w:u w:val="single"/>
          <w:lang w:val="en-US" w:eastAsia="zh-CN"/>
        </w:rPr>
        <w:t>8</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u w:val="single"/>
        </w:rPr>
        <w:t>日</w:t>
      </w:r>
      <w:r>
        <w:rPr>
          <w:rFonts w:hint="eastAsia" w:ascii="宋体" w:hAnsi="宋体" w:cs="宋体"/>
          <w:bCs/>
          <w:sz w:val="24"/>
          <w:highlight w:val="none"/>
          <w:u w:val="single"/>
          <w:lang w:val="en-US" w:eastAsia="zh-CN"/>
        </w:rPr>
        <w:t>9</w:t>
      </w:r>
      <w:r>
        <w:rPr>
          <w:rFonts w:hint="eastAsia" w:ascii="宋体" w:hAnsi="宋体" w:cs="宋体"/>
          <w:bCs/>
          <w:sz w:val="24"/>
          <w:highlight w:val="none"/>
          <w:u w:val="single"/>
        </w:rPr>
        <w:t>点</w:t>
      </w:r>
      <w:r>
        <w:rPr>
          <w:rFonts w:hint="eastAsia" w:ascii="宋体" w:hAnsi="宋体" w:cs="宋体"/>
          <w:bCs/>
          <w:sz w:val="24"/>
          <w:highlight w:val="none"/>
          <w:u w:val="single"/>
          <w:lang w:val="en-US" w:eastAsia="zh-CN"/>
        </w:rPr>
        <w:t>3</w:t>
      </w:r>
      <w:r>
        <w:rPr>
          <w:rFonts w:hint="eastAsia" w:ascii="宋体" w:hAnsi="宋体" w:cs="宋体"/>
          <w:bCs/>
          <w:sz w:val="24"/>
          <w:highlight w:val="none"/>
          <w:u w:val="single"/>
        </w:rPr>
        <w:t>0分</w:t>
      </w:r>
      <w:r>
        <w:rPr>
          <w:rFonts w:hint="eastAsia" w:ascii="宋体" w:hAnsi="宋体" w:cs="宋体"/>
          <w:sz w:val="24"/>
        </w:rPr>
        <w:t>（北京时间）</w:t>
      </w:r>
    </w:p>
    <w:p>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23"/>
    <w:bookmarkEnd w:id="24"/>
    <w:bookmarkEnd w:id="25"/>
    <w:bookmarkEnd w:id="26"/>
    <w:p>
      <w:pPr>
        <w:pStyle w:val="24"/>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24"/>
        <w:spacing w:after="0" w:line="360" w:lineRule="auto"/>
        <w:ind w:left="0" w:leftChars="0" w:firstLine="480" w:firstLineChars="200"/>
        <w:rPr>
          <w:rFonts w:ascii="宋体" w:hAnsi="宋体" w:cs="宋体"/>
          <w:kern w:val="0"/>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p>
    <w:p>
      <w:pPr>
        <w:pStyle w:val="6"/>
        <w:ind w:right="0" w:firstLine="482" w:firstLineChars="200"/>
        <w:rPr>
          <w:rFonts w:cs="宋体"/>
          <w:bCs/>
          <w:sz w:val="24"/>
          <w:szCs w:val="24"/>
        </w:rPr>
      </w:pPr>
      <w:bookmarkStart w:id="27" w:name="_Toc35393795"/>
      <w:bookmarkStart w:id="28" w:name="_Toc35393626"/>
      <w:r>
        <w:rPr>
          <w:rFonts w:hint="eastAsia" w:cs="宋体"/>
          <w:bCs/>
          <w:sz w:val="24"/>
          <w:szCs w:val="24"/>
        </w:rPr>
        <w:t>六、</w:t>
      </w:r>
      <w:bookmarkEnd w:id="27"/>
      <w:bookmarkEnd w:id="28"/>
      <w:r>
        <w:rPr>
          <w:rFonts w:hint="eastAsia" w:cs="宋体"/>
          <w:bCs/>
          <w:sz w:val="24"/>
          <w:szCs w:val="24"/>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pPr>
        <w:snapToGrid w:val="0"/>
        <w:spacing w:line="360" w:lineRule="auto"/>
        <w:ind w:firstLine="482" w:firstLineChars="200"/>
        <w:rPr>
          <w:rFonts w:ascii="宋体" w:hAnsi="宋体" w:cs="宋体"/>
          <w:sz w:val="24"/>
          <w:szCs w:val="20"/>
        </w:rPr>
      </w:pPr>
      <w:r>
        <w:rPr>
          <w:rFonts w:hint="eastAsia" w:ascii="宋体" w:hAnsi="宋体" w:cs="宋体"/>
          <w:b/>
          <w:bCs/>
          <w:sz w:val="24"/>
        </w:rPr>
        <w:t>七、投标保证金</w:t>
      </w:r>
      <w:r>
        <w:rPr>
          <w:rFonts w:hint="eastAsia" w:ascii="宋体" w:hAnsi="宋体" w:cs="宋体"/>
          <w:sz w:val="24"/>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bookmarkStart w:id="29" w:name="_Toc28359008"/>
      <w:bookmarkStart w:id="30" w:name="_Toc28359085"/>
      <w:bookmarkStart w:id="31" w:name="_Toc35393627"/>
      <w:bookmarkStart w:id="32" w:name="_Toc35393796"/>
      <w:r>
        <w:rPr>
          <w:rFonts w:hint="eastAsia" w:ascii="宋体" w:hAnsi="宋体" w:cs="宋体"/>
          <w:bCs/>
          <w:kern w:val="0"/>
          <w:sz w:val="24"/>
        </w:rPr>
        <w:t>1.投标保证金金额</w:t>
      </w:r>
      <w:r>
        <w:rPr>
          <w:rFonts w:hint="eastAsia" w:ascii="宋体" w:hAnsi="宋体" w:cs="宋体"/>
          <w:bCs/>
          <w:kern w:val="0"/>
          <w:sz w:val="24"/>
          <w:u w:val="single"/>
        </w:rPr>
        <w:t>：</w:t>
      </w:r>
      <w:r>
        <w:rPr>
          <w:rFonts w:hint="eastAsia" w:ascii="宋体" w:hAnsi="宋体" w:cs="宋体"/>
          <w:bCs/>
          <w:kern w:val="0"/>
          <w:sz w:val="24"/>
          <w:u w:val="single"/>
          <w:lang w:val="en-US" w:eastAsia="zh-CN"/>
        </w:rPr>
        <w:t>7万</w:t>
      </w:r>
      <w:r>
        <w:rPr>
          <w:rFonts w:hint="eastAsia" w:ascii="宋体" w:hAnsi="宋体" w:cs="宋体"/>
          <w:bCs/>
          <w:kern w:val="0"/>
          <w:sz w:val="24"/>
        </w:rPr>
        <w:t>元。</w:t>
      </w:r>
    </w:p>
    <w:p>
      <w:pPr>
        <w:pStyle w:val="24"/>
        <w:ind w:left="0" w:leftChars="0" w:firstLine="480"/>
        <w:jc w:val="left"/>
        <w:rPr>
          <w:rFonts w:hint="eastAsia"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w:t>
      </w:r>
      <w:r>
        <w:rPr>
          <w:rFonts w:hint="eastAsia" w:ascii="宋体" w:hAnsi="宋体" w:cs="宋体"/>
          <w:bCs/>
          <w:kern w:val="0"/>
          <w:sz w:val="24"/>
          <w:lang w:val="en-US" w:eastAsia="zh-CN"/>
        </w:rPr>
        <w:t>及时</w:t>
      </w:r>
      <w:r>
        <w:rPr>
          <w:rFonts w:hint="eastAsia" w:ascii="宋体" w:hAnsi="宋体" w:cs="宋体"/>
          <w:bCs/>
          <w:kern w:val="0"/>
          <w:sz w:val="24"/>
        </w:rPr>
        <w:t>返还;中标人的投标保证金由招标人暂时保管，待履约担保办理完毕并签订施工合同后，招标人返还中标人 。</w:t>
      </w:r>
    </w:p>
    <w:p>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u w:val="single"/>
          <w:lang w:eastAsia="zh-CN"/>
        </w:rPr>
      </w:pPr>
      <w:r>
        <w:rPr>
          <w:rFonts w:hint="eastAsia" w:ascii="宋体" w:hAnsi="宋体" w:cs="宋体"/>
          <w:bCs/>
          <w:kern w:val="0"/>
          <w:sz w:val="24"/>
        </w:rPr>
        <w:t>①工程保函的受益人</w:t>
      </w:r>
      <w:r>
        <w:rPr>
          <w:rFonts w:hint="eastAsia" w:ascii="宋体" w:hAnsi="宋体" w:eastAsia="宋体" w:cs="宋体"/>
          <w:bCs/>
          <w:kern w:val="0"/>
          <w:sz w:val="24"/>
          <w:u w:val="single"/>
        </w:rPr>
        <w:t>：台州循环经济发展有限公司</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提交地</w:t>
      </w:r>
      <w:r>
        <w:rPr>
          <w:rFonts w:hint="eastAsia" w:ascii="宋体" w:hAnsi="宋体" w:cs="宋体"/>
          <w:bCs/>
          <w:kern w:val="0"/>
          <w:sz w:val="24"/>
          <w:highlight w:val="none"/>
        </w:rPr>
        <w:t>点：</w:t>
      </w:r>
      <w:r>
        <w:rPr>
          <w:rFonts w:hint="eastAsia" w:ascii="宋体" w:hAnsi="宋体" w:cs="宋体"/>
          <w:bCs/>
          <w:kern w:val="0"/>
          <w:sz w:val="24"/>
          <w:highlight w:val="none"/>
          <w:u w:val="single"/>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cs="宋体"/>
          <w:bCs/>
          <w:kern w:val="0"/>
          <w:sz w:val="24"/>
          <w:highlight w:val="none"/>
          <w:lang w:val="en-US"/>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8</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9</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9</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rPr>
        <w:t>台州市建设咨询有限公司</w:t>
      </w:r>
      <w:r>
        <w:rPr>
          <w:rFonts w:hint="eastAsia" w:ascii="宋体" w:hAnsi="宋体" w:cs="宋体"/>
          <w:bCs/>
          <w:kern w:val="0"/>
          <w:sz w:val="24"/>
          <w:highlight w:val="none"/>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88517783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3、注意事项</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①若招标文件允许联合体投标且投标人以联合体身份投标的，由联合体牵头人提交投标保证金；</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②以银行转账形式提交的投标保证金应当从投标人基本账户转出，购买工程保函的费用应当从投标人基本账户支付；</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③若有疑问，请咨询技术服务热线：13454667697</w:t>
      </w:r>
    </w:p>
    <w:p>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④以上未按要求提供或提供不清晰的，评标委员会可能做出不利于投标人的评审结果，由此造成的风险由投标人自行承担。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8</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w:t>
      </w:r>
      <w:r>
        <w:rPr>
          <w:rFonts w:hint="eastAsia" w:ascii="宋体" w:hAnsi="宋体" w:cs="宋体"/>
          <w:b/>
          <w:bCs/>
          <w:color w:val="000000"/>
          <w:kern w:val="0"/>
          <w:sz w:val="24"/>
          <w:highlight w:val="none"/>
          <w:u w:val="none"/>
          <w:lang w:val="en-US" w:eastAsia="zh-CN"/>
        </w:rPr>
        <w:t>日</w:t>
      </w:r>
      <w:r>
        <w:rPr>
          <w:rFonts w:hint="eastAsia" w:ascii="宋体" w:hAnsi="宋体" w:cs="宋体"/>
          <w:b/>
          <w:bCs/>
          <w:color w:val="000000"/>
          <w:kern w:val="0"/>
          <w:sz w:val="24"/>
          <w:highlight w:val="none"/>
        </w:rPr>
        <w:t>下午16点前</w:t>
      </w:r>
    </w:p>
    <w:p>
      <w:pPr>
        <w:pStyle w:val="6"/>
        <w:ind w:right="0" w:firstLine="482" w:firstLineChars="200"/>
        <w:rPr>
          <w:rFonts w:cs="宋体"/>
          <w:bCs/>
          <w:sz w:val="24"/>
          <w:szCs w:val="24"/>
        </w:rPr>
      </w:pPr>
      <w:r>
        <w:rPr>
          <w:rFonts w:hint="eastAsia" w:cs="宋体"/>
          <w:bCs/>
          <w:sz w:val="24"/>
          <w:szCs w:val="24"/>
        </w:rPr>
        <w:t>八、</w:t>
      </w:r>
      <w:bookmarkEnd w:id="29"/>
      <w:bookmarkEnd w:id="30"/>
      <w:bookmarkEnd w:id="31"/>
      <w:bookmarkEnd w:id="32"/>
      <w:r>
        <w:rPr>
          <w:rFonts w:hint="eastAsia" w:cs="宋体"/>
          <w:bCs/>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（一）</w:t>
      </w:r>
      <w:r>
        <w:rPr>
          <w:rFonts w:hint="eastAsia" w:ascii="宋体" w:hAnsi="宋体" w:cs="宋体"/>
          <w:b/>
          <w:bCs/>
          <w:sz w:val="24"/>
          <w:lang w:eastAsia="zh-CN"/>
        </w:rPr>
        <w:t>招标人</w:t>
      </w:r>
      <w:r>
        <w:rPr>
          <w:rFonts w:hint="eastAsia" w:ascii="宋体" w:hAnsi="宋体" w:cs="宋体"/>
          <w:b/>
          <w:bCs/>
          <w:sz w:val="24"/>
        </w:rPr>
        <w:t xml:space="preserve">（受理招标文件相关质疑及答复）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名 称：</w:t>
      </w:r>
      <w:r>
        <w:rPr>
          <w:rFonts w:hint="eastAsia" w:cs="宋体"/>
          <w:sz w:val="24"/>
          <w:highlight w:val="none"/>
          <w:u w:val="single"/>
        </w:rPr>
        <w:t>台州循环经济发展有限公司</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台州市甲南大道东段9号</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联系人：</w:t>
      </w:r>
      <w:bookmarkStart w:id="33" w:name="_Toc28359009"/>
      <w:bookmarkStart w:id="34" w:name="_Toc28359086"/>
      <w:r>
        <w:rPr>
          <w:rFonts w:hint="eastAsia" w:ascii="宋体" w:hAnsi="宋体" w:cs="宋体"/>
          <w:sz w:val="24"/>
          <w:highlight w:val="none"/>
        </w:rPr>
        <w:t xml:space="preserve"> </w:t>
      </w:r>
      <w:r>
        <w:rPr>
          <w:rFonts w:hint="eastAsia" w:ascii="宋体" w:hAnsi="宋体" w:cs="宋体"/>
          <w:sz w:val="24"/>
          <w:highlight w:val="none"/>
          <w:u w:val="single"/>
          <w:lang w:val="en-US" w:eastAsia="zh-CN"/>
        </w:rPr>
        <w:t>毛先生</w:t>
      </w:r>
      <w:r>
        <w:rPr>
          <w:rFonts w:ascii="宋体" w:hAnsi="宋体" w:cs="宋体"/>
          <w:sz w:val="24"/>
          <w:highlight w:val="none"/>
          <w:u w:val="single"/>
        </w:rPr>
        <w:t xml:space="preserve">   </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联系电话：</w:t>
      </w:r>
      <w:r>
        <w:rPr>
          <w:rFonts w:hint="eastAsia" w:ascii="宋体" w:hAnsi="宋体" w:cs="宋体"/>
          <w:sz w:val="24"/>
          <w:highlight w:val="none"/>
          <w:u w:val="single"/>
        </w:rPr>
        <w:t>0576-</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bookmarkEnd w:id="33"/>
    <w:bookmarkEnd w:id="34"/>
    <w:p>
      <w:pPr>
        <w:spacing w:line="360" w:lineRule="auto"/>
        <w:ind w:firstLine="482" w:firstLineChars="200"/>
        <w:rPr>
          <w:rFonts w:ascii="宋体" w:hAnsi="宋体" w:cs="宋体"/>
          <w:b/>
          <w:sz w:val="24"/>
          <w:highlight w:val="none"/>
        </w:rPr>
      </w:pPr>
      <w:r>
        <w:rPr>
          <w:rFonts w:hint="eastAsia" w:ascii="宋体" w:hAnsi="宋体" w:cs="宋体"/>
          <w:b/>
          <w:bCs/>
          <w:sz w:val="24"/>
          <w:highlight w:val="none"/>
        </w:rPr>
        <w:t>（二）采购组织机构</w:t>
      </w:r>
    </w:p>
    <w:p>
      <w:pPr>
        <w:widowControl/>
        <w:spacing w:line="336" w:lineRule="auto"/>
        <w:ind w:firstLine="600" w:firstLineChars="250"/>
        <w:jc w:val="left"/>
        <w:rPr>
          <w:rFonts w:hint="eastAsia" w:ascii="宋体" w:hAnsi="宋体" w:cs="宋体"/>
          <w:color w:val="auto"/>
          <w:kern w:val="0"/>
          <w:sz w:val="24"/>
          <w:highlight w:val="none"/>
        </w:rPr>
      </w:pPr>
      <w:bookmarkStart w:id="35" w:name="_Toc28359010"/>
      <w:bookmarkStart w:id="36" w:name="_Toc28359087"/>
      <w:r>
        <w:rPr>
          <w:rFonts w:hint="eastAsia" w:ascii="宋体" w:hAnsi="宋体" w:cs="宋体"/>
          <w:color w:val="auto"/>
          <w:kern w:val="0"/>
          <w:sz w:val="24"/>
          <w:highlight w:val="none"/>
        </w:rPr>
        <w:t>代理机构：</w:t>
      </w:r>
      <w:r>
        <w:rPr>
          <w:rFonts w:hint="eastAsia" w:ascii="宋体" w:hAnsi="宋体" w:cs="宋体"/>
          <w:color w:val="auto"/>
          <w:kern w:val="0"/>
          <w:sz w:val="24"/>
          <w:highlight w:val="none"/>
          <w:u w:val="single"/>
          <w:lang w:eastAsia="zh-CN"/>
        </w:rPr>
        <w:t>台州市建设咨询有限公司</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lang w:val="en-US" w:eastAsia="zh-CN"/>
        </w:rPr>
        <w:t>李女士</w:t>
      </w:r>
      <w:r>
        <w:rPr>
          <w:rFonts w:hint="eastAsia" w:ascii="宋体" w:hAnsi="宋体" w:cs="宋体"/>
          <w:color w:val="auto"/>
          <w:sz w:val="24"/>
          <w:highlight w:val="none"/>
        </w:rPr>
        <w:t xml:space="preserve">    </w:t>
      </w:r>
    </w:p>
    <w:p>
      <w:pPr>
        <w:widowControl/>
        <w:spacing w:line="336" w:lineRule="auto"/>
        <w:ind w:firstLine="600" w:firstLineChars="250"/>
        <w:jc w:val="left"/>
        <w:rPr>
          <w:rFonts w:hint="eastAsia" w:ascii="宋体" w:hAnsi="宋体" w:cs="宋体"/>
          <w:color w:val="auto"/>
          <w:sz w:val="24"/>
          <w:highlight w:val="none"/>
        </w:rPr>
      </w:pPr>
      <w:r>
        <w:rPr>
          <w:rFonts w:hint="eastAsia" w:ascii="宋体" w:hAnsi="宋体" w:cs="宋体"/>
          <w:color w:val="auto"/>
          <w:kern w:val="0"/>
          <w:sz w:val="24"/>
          <w:highlight w:val="none"/>
        </w:rPr>
        <w:t>电  话：</w:t>
      </w:r>
      <w:r>
        <w:rPr>
          <w:rFonts w:hint="eastAsia" w:ascii="宋体" w:hAnsi="宋体" w:cs="宋体"/>
          <w:color w:val="auto"/>
          <w:sz w:val="24"/>
          <w:highlight w:val="none"/>
          <w:u w:val="single"/>
        </w:rPr>
        <w:t>0576-885177</w:t>
      </w:r>
      <w:r>
        <w:rPr>
          <w:rFonts w:hint="eastAsia" w:ascii="宋体" w:hAnsi="宋体" w:cs="宋体"/>
          <w:color w:val="auto"/>
          <w:sz w:val="24"/>
          <w:highlight w:val="none"/>
          <w:u w:val="single"/>
          <w:lang w:val="en-US" w:eastAsia="zh-CN"/>
        </w:rPr>
        <w:t>83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pacing w:line="336" w:lineRule="auto"/>
        <w:ind w:firstLine="600" w:firstLineChars="250"/>
        <w:rPr>
          <w:rFonts w:hint="default" w:ascii="宋体" w:hAnsi="宋体" w:eastAsia="宋体" w:cs="宋体"/>
          <w:color w:val="auto"/>
          <w:sz w:val="24"/>
          <w:highlight w:val="none"/>
          <w:u w:val="single"/>
          <w:lang w:val="en-US" w:eastAsia="zh-CN"/>
        </w:rPr>
      </w:pPr>
      <w:r>
        <w:rPr>
          <w:rFonts w:hint="eastAsia" w:ascii="宋体" w:hAnsi="宋体" w:cs="宋体"/>
          <w:color w:val="auto"/>
          <w:kern w:val="0"/>
          <w:sz w:val="24"/>
          <w:highlight w:val="none"/>
        </w:rPr>
        <w:t>传  真：</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88517650</w:t>
      </w:r>
    </w:p>
    <w:p>
      <w:pPr>
        <w:spacing w:line="336" w:lineRule="auto"/>
        <w:ind w:firstLine="600" w:firstLineChars="250"/>
        <w:rPr>
          <w:rFonts w:hint="default" w:ascii="宋体" w:hAnsi="宋体" w:eastAsia="宋体" w:cs="宋体"/>
          <w:color w:val="auto"/>
          <w:kern w:val="0"/>
          <w:sz w:val="24"/>
          <w:highlight w:val="none"/>
          <w:lang w:val="en-US" w:eastAsia="zh-CN"/>
        </w:rPr>
      </w:pPr>
      <w:r>
        <w:rPr>
          <w:rFonts w:hint="eastAsia" w:ascii="宋体" w:hAnsi="宋体" w:cs="宋体"/>
          <w:color w:val="auto"/>
          <w:sz w:val="24"/>
          <w:highlight w:val="none"/>
          <w:lang w:val="en-US" w:eastAsia="zh-CN"/>
        </w:rPr>
        <w:t>地址：</w:t>
      </w:r>
      <w:r>
        <w:rPr>
          <w:rFonts w:hint="eastAsia" w:ascii="宋体" w:hAnsi="宋体" w:cs="宋体"/>
          <w:sz w:val="24"/>
          <w:highlight w:val="none"/>
          <w:u w:val="single"/>
          <w:lang w:val="en-US" w:eastAsia="zh-CN"/>
        </w:rPr>
        <w:t>浙江省台州市椒江区市府大道东段507号台州国际商务广场1幢11楼</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台州湾新区行政审批与投资服务局</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台州市甲南大道东段9号</w:t>
      </w:r>
    </w:p>
    <w:p>
      <w:pPr>
        <w:spacing w:line="360" w:lineRule="auto"/>
        <w:ind w:firstLine="480" w:firstLineChars="200"/>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徐先生</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0576-88538849</w:t>
      </w:r>
    </w:p>
    <w:p>
      <w:pPr>
        <w:spacing w:line="360" w:lineRule="auto"/>
        <w:ind w:firstLine="482" w:firstLineChars="200"/>
        <w:rPr>
          <w:rFonts w:ascii="宋体" w:hAnsi="宋体" w:cs="宋体"/>
          <w:b/>
          <w:sz w:val="24"/>
        </w:rPr>
      </w:pPr>
      <w:r>
        <w:rPr>
          <w:rFonts w:hint="eastAsia" w:ascii="宋体" w:hAnsi="宋体" w:cs="宋体"/>
          <w:b/>
          <w:sz w:val="24"/>
        </w:rPr>
        <w:t>（四）台州湾新区小额工程电子交易平台</w:t>
      </w:r>
    </w:p>
    <w:p>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蔡先生、王女士</w:t>
      </w:r>
    </w:p>
    <w:p>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lang w:eastAsia="zh-CN"/>
        </w:rPr>
        <w:t>台州市建设咨询有限公司</w:t>
      </w:r>
      <w:r>
        <w:rPr>
          <w:rFonts w:hint="eastAsia" w:ascii="宋体" w:hAnsi="宋体" w:cs="宋体"/>
          <w:kern w:val="0"/>
          <w:sz w:val="24"/>
        </w:rPr>
        <w:t xml:space="preserve">  </w:t>
      </w:r>
    </w:p>
    <w:p>
      <w:pPr>
        <w:widowControl/>
        <w:spacing w:line="360" w:lineRule="auto"/>
        <w:ind w:firstLine="200"/>
        <w:jc w:val="right"/>
        <w:rPr>
          <w:rFonts w:asciiTheme="minorEastAsia" w:hAnsiTheme="minorEastAsia" w:eastAsiaTheme="minorEastAsia" w:cstheme="minorEastAsia"/>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rPr>
        <w:t>202</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kern w:val="0"/>
          <w:sz w:val="24"/>
        </w:rPr>
        <w:t>月</w:t>
      </w: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480"/>
        <w:rPr>
          <w:rFonts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p>
      <w:pPr>
        <w:pStyle w:val="32"/>
        <w:ind w:firstLine="0" w:firstLineChars="0"/>
        <w:rPr>
          <w:rFonts w:hint="eastAsia" w:asciiTheme="minorEastAsia" w:hAnsiTheme="minorEastAsia" w:eastAsiaTheme="minorEastAsia" w:cstheme="minorEastAsia"/>
          <w:kern w:val="0"/>
        </w:rPr>
      </w:pPr>
    </w:p>
    <w:bookmarkEnd w:id="35"/>
    <w:bookmarkEnd w:id="36"/>
    <w:p>
      <w:pPr>
        <w:numPr>
          <w:ilvl w:val="0"/>
          <w:numId w:val="6"/>
        </w:numPr>
        <w:spacing w:line="360" w:lineRule="auto"/>
        <w:jc w:val="cente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t>投标人须知</w:t>
      </w:r>
      <w:bookmarkEnd w:id="37"/>
    </w:p>
    <w:p>
      <w:pPr>
        <w:numPr>
          <w:ilvl w:val="0"/>
          <w:numId w:val="7"/>
        </w:numPr>
        <w:ind w:firstLine="482" w:firstLineChars="200"/>
      </w:pPr>
      <w:r>
        <w:rPr>
          <w:rFonts w:hint="eastAsia" w:asciiTheme="minorEastAsia" w:hAnsiTheme="minorEastAsia" w:eastAsiaTheme="minorEastAsia"/>
          <w:b/>
          <w:sz w:val="24"/>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67"/>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序 号</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事 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rPr>
            </w:pPr>
            <w:r>
              <w:rPr>
                <w:rFonts w:hint="eastAsia" w:ascii="宋体" w:hAnsi="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是否允许联合体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是否允许分包</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答疑会或</w:t>
            </w:r>
          </w:p>
          <w:p>
            <w:pPr>
              <w:spacing w:line="300" w:lineRule="auto"/>
              <w:jc w:val="center"/>
              <w:rPr>
                <w:rFonts w:ascii="宋体" w:hAnsi="宋体" w:cs="宋体"/>
              </w:rPr>
            </w:pPr>
            <w:r>
              <w:rPr>
                <w:rFonts w:hint="eastAsia" w:ascii="宋体" w:hAnsi="宋体" w:cs="宋体"/>
              </w:rPr>
              <w:t>现场踏勘</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rPr>
            </w:pPr>
            <w:r>
              <w:rPr>
                <w:rFonts w:hint="eastAsia" w:ascii="宋体" w:hAnsi="宋体" w:cs="宋体"/>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投标文件的制作和投标</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rPr>
            </w:pPr>
            <w:r>
              <w:rPr>
                <w:rFonts w:hint="eastAsia" w:ascii="宋体" w:hAnsi="宋体" w:cs="宋体"/>
              </w:rPr>
              <w:t>2、电子投标文件上传步骤：</w:t>
            </w:r>
          </w:p>
          <w:p>
            <w:pPr>
              <w:spacing w:line="300" w:lineRule="auto"/>
              <w:ind w:firstLine="420" w:firstLineChars="200"/>
              <w:rPr>
                <w:rFonts w:ascii="宋体" w:hAnsi="宋体" w:cs="宋体"/>
              </w:rPr>
            </w:pPr>
            <w:r>
              <w:rPr>
                <w:rFonts w:hint="eastAsia" w:ascii="宋体" w:hAnsi="宋体" w:cs="宋体"/>
              </w:rPr>
              <w:t>1) 台州湾新区小额工程电子交易平台（网址：http://www.tzwztb.com/）；</w:t>
            </w:r>
          </w:p>
          <w:p>
            <w:pPr>
              <w:spacing w:line="300" w:lineRule="auto"/>
              <w:ind w:firstLine="420" w:firstLineChars="200"/>
              <w:rPr>
                <w:rFonts w:ascii="宋体" w:hAnsi="宋体" w:cs="宋体"/>
              </w:rPr>
            </w:pPr>
            <w:r>
              <w:rPr>
                <w:rFonts w:hint="eastAsia" w:ascii="宋体" w:hAnsi="宋体" w:cs="宋体"/>
              </w:rPr>
              <w:t>2) 投标人应提前办好ca锁（办理网址：http://www.tseal.cn/tcloud/common.xhtml?projId=295），绑定平台账户。</w:t>
            </w:r>
          </w:p>
          <w:p>
            <w:pPr>
              <w:spacing w:line="300" w:lineRule="auto"/>
              <w:ind w:firstLine="420" w:firstLineChars="200"/>
              <w:rPr>
                <w:rFonts w:ascii="宋体" w:hAnsi="宋体" w:cs="宋体"/>
              </w:rPr>
            </w:pPr>
            <w:r>
              <w:rPr>
                <w:rFonts w:hint="eastAsia" w:ascii="宋体" w:hAnsi="宋体" w:cs="宋体"/>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投标与开标</w:t>
            </w:r>
          </w:p>
          <w:p>
            <w:pPr>
              <w:spacing w:line="300" w:lineRule="auto"/>
              <w:jc w:val="center"/>
              <w:rPr>
                <w:rFonts w:ascii="宋体" w:hAnsi="宋体" w:cs="宋体"/>
              </w:rPr>
            </w:pPr>
            <w:r>
              <w:rPr>
                <w:rFonts w:hint="eastAsia" w:ascii="宋体" w:hAnsi="宋体" w:cs="宋体"/>
              </w:rPr>
              <w:t>注意事项</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1.本项目实行电子投标，投标人自行承担投标一切费用。</w:t>
            </w:r>
          </w:p>
          <w:p>
            <w:pPr>
              <w:spacing w:line="300" w:lineRule="auto"/>
              <w:ind w:firstLine="420" w:firstLineChars="200"/>
              <w:rPr>
                <w:rFonts w:ascii="宋体" w:hAnsi="宋体" w:cs="宋体"/>
              </w:rPr>
            </w:pPr>
            <w:r>
              <w:rPr>
                <w:rFonts w:hint="eastAsia" w:ascii="宋体" w:hAnsi="宋体" w:cs="宋体"/>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6</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信用信息</w:t>
            </w:r>
          </w:p>
          <w:p>
            <w:pPr>
              <w:spacing w:line="300" w:lineRule="auto"/>
              <w:jc w:val="center"/>
              <w:rPr>
                <w:rFonts w:ascii="宋体" w:hAnsi="宋体" w:cs="宋体"/>
              </w:rPr>
            </w:pPr>
            <w:r>
              <w:rPr>
                <w:rFonts w:hint="eastAsia" w:ascii="宋体" w:hAnsi="宋体" w:cs="宋体"/>
              </w:rPr>
              <w:t>查询渠道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信用中国（网址：</w:t>
            </w:r>
            <w:r>
              <w:fldChar w:fldCharType="begin"/>
            </w:r>
            <w:r>
              <w:instrText xml:space="preserve"> HYPERLINK "http://www.creditchina.gov.cn" </w:instrText>
            </w:r>
            <w:r>
              <w:fldChar w:fldCharType="separate"/>
            </w:r>
            <w:r>
              <w:rPr>
                <w:rFonts w:hint="eastAsia" w:ascii="宋体" w:hAnsi="宋体" w:cs="宋体"/>
              </w:rPr>
              <w:t>http://www.creditchina.gov.cn</w:t>
            </w:r>
            <w:r>
              <w:rPr>
                <w:rFonts w:ascii="宋体" w:hAnsi="宋体" w:cs="宋体"/>
              </w:rPr>
              <w:fldChar w:fldCharType="end"/>
            </w:r>
            <w:r>
              <w:rPr>
                <w:rFonts w:hint="eastAsia" w:ascii="宋体" w:hAnsi="宋体" w:cs="宋体"/>
              </w:rPr>
              <w:t>）</w:t>
            </w:r>
          </w:p>
          <w:p>
            <w:pPr>
              <w:spacing w:line="300" w:lineRule="auto"/>
              <w:rPr>
                <w:rFonts w:ascii="宋体" w:hAnsi="宋体" w:cs="宋体"/>
              </w:rPr>
            </w:pPr>
            <w:r>
              <w:rPr>
                <w:rFonts w:hint="eastAsia" w:ascii="宋体" w:hAnsi="宋体" w:cs="宋体"/>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7</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质疑渠道</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以书面形式向</w:t>
            </w:r>
            <w:r>
              <w:rPr>
                <w:rFonts w:hint="eastAsia" w:ascii="宋体" w:hAnsi="宋体" w:cs="宋体"/>
                <w:lang w:eastAsia="zh-CN"/>
              </w:rPr>
              <w:t>招标人</w:t>
            </w:r>
            <w:r>
              <w:rPr>
                <w:rFonts w:hint="eastAsia" w:ascii="宋体" w:hAnsi="宋体" w:cs="宋体"/>
              </w:rPr>
              <w:t>、采购代理机构递交质疑函。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8</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lang w:val="zh-CN"/>
              </w:rPr>
              <w:t>实质性条款</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lang w:val="zh-CN"/>
              </w:rPr>
              <w:t>带“</w:t>
            </w:r>
            <w:r>
              <w:rPr>
                <w:rFonts w:hint="eastAsia" w:ascii="宋体" w:hAnsi="宋体" w:cs="宋体"/>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9</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主要性能参数</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10</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书面形式</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12</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highlight w:val="none"/>
              </w:rPr>
            </w:pPr>
            <w:r>
              <w:rPr>
                <w:rFonts w:hint="eastAsia" w:ascii="宋体" w:hAnsi="宋体" w:eastAsia="宋体" w:cs="宋体"/>
                <w:highlight w:val="none"/>
                <w:lang w:eastAsia="zh-CN"/>
              </w:rPr>
              <w:t>中标</w:t>
            </w:r>
            <w:r>
              <w:rPr>
                <w:rFonts w:hint="eastAsia" w:ascii="宋体" w:hAnsi="宋体" w:cs="宋体"/>
                <w:highlight w:val="none"/>
                <w:lang w:val="en-US" w:eastAsia="zh-CN"/>
              </w:rPr>
              <w:t>公示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cs="宋体"/>
                <w:highlight w:val="none"/>
              </w:rPr>
            </w:pPr>
            <w:r>
              <w:rPr>
                <w:rFonts w:hint="eastAsia" w:ascii="宋体" w:hAnsi="宋体" w:cs="宋体"/>
                <w:highlight w:val="none"/>
                <w:lang w:val="en-US" w:eastAsia="zh-CN"/>
              </w:rPr>
              <w:t>招标人</w:t>
            </w:r>
            <w:r>
              <w:rPr>
                <w:rFonts w:hint="eastAsia" w:ascii="宋体" w:hAnsi="宋体" w:eastAsia="宋体" w:cs="宋体"/>
                <w:highlight w:val="none"/>
                <w:lang w:val="en-US" w:eastAsia="zh-CN"/>
              </w:rPr>
              <w:t>确认</w:t>
            </w:r>
            <w:r>
              <w:rPr>
                <w:rFonts w:hint="eastAsia" w:ascii="宋体" w:hAnsi="宋体" w:eastAsia="宋体" w:cs="宋体"/>
                <w:highlight w:val="none"/>
                <w:lang w:eastAsia="zh-CN"/>
              </w:rPr>
              <w:t>后</w:t>
            </w:r>
            <w:r>
              <w:rPr>
                <w:rFonts w:hint="eastAsia" w:ascii="宋体" w:hAnsi="宋体" w:cs="宋体"/>
                <w:highlight w:val="none"/>
                <w:lang w:val="en-US" w:eastAsia="zh-CN"/>
              </w:rPr>
              <w:t>3</w:t>
            </w:r>
            <w:r>
              <w:rPr>
                <w:rFonts w:hint="eastAsia" w:ascii="宋体" w:hAnsi="宋体" w:eastAsia="宋体" w:cs="宋体"/>
                <w:highlight w:val="none"/>
                <w:lang w:eastAsia="zh-CN"/>
              </w:rPr>
              <w:t>日内，中标公告发布于台州湾新区小额工程电子交易平台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13</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cs="宋体"/>
                <w:highlight w:val="none"/>
              </w:rPr>
            </w:pPr>
            <w:r>
              <w:rPr>
                <w:rFonts w:hint="eastAsia" w:ascii="宋体" w:hAnsi="宋体" w:eastAsia="宋体" w:cs="宋体"/>
                <w:highlight w:val="none"/>
                <w:lang w:val="en-US" w:eastAsia="zh-CN"/>
              </w:rPr>
              <w:t>合同签订</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hint="eastAsia" w:ascii="宋体" w:hAnsi="宋体" w:cs="宋体"/>
                <w:highlight w:val="none"/>
              </w:rPr>
            </w:pPr>
            <w:r>
              <w:rPr>
                <w:rFonts w:hint="eastAsia" w:ascii="宋体" w:hAnsi="宋体" w:eastAsia="宋体" w:cs="宋体"/>
                <w:highlight w:val="none"/>
                <w:lang w:eastAsia="zh-CN"/>
              </w:rPr>
              <w:t>中标通知书发出</w:t>
            </w:r>
            <w:r>
              <w:rPr>
                <w:rFonts w:hint="eastAsia" w:ascii="宋体" w:hAnsi="宋体" w:cs="宋体"/>
                <w:highlight w:val="none"/>
                <w:lang w:val="en-US" w:eastAsia="zh-CN"/>
              </w:rPr>
              <w:t>之日起</w:t>
            </w:r>
            <w:r>
              <w:rPr>
                <w:rFonts w:hint="eastAsia" w:ascii="宋体" w:hAnsi="宋体" w:eastAsia="宋体" w:cs="宋体"/>
                <w:highlight w:val="none"/>
                <w:lang w:eastAsia="zh-CN"/>
              </w:rPr>
              <w:t>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lang w:val="en-US" w:eastAsia="zh-CN"/>
              </w:rPr>
            </w:pPr>
            <w:r>
              <w:rPr>
                <w:rFonts w:hint="eastAsia" w:ascii="宋体" w:hAnsi="宋体" w:cs="宋体"/>
                <w:lang w:val="en-US" w:eastAsia="zh-CN"/>
              </w:rPr>
              <w:t>14</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rPr>
            </w:pPr>
            <w:r>
              <w:rPr>
                <w:rFonts w:hint="eastAsia" w:ascii="宋体" w:hAnsi="宋体" w:cs="宋体"/>
              </w:rPr>
              <w:t>解释权</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rPr>
            </w:pPr>
            <w:r>
              <w:rPr>
                <w:rFonts w:hint="eastAsia" w:ascii="宋体" w:hAnsi="宋体" w:cs="宋体"/>
              </w:rPr>
              <w:t>本招标文件解释权属于</w:t>
            </w:r>
            <w:r>
              <w:rPr>
                <w:rFonts w:hint="eastAsia" w:ascii="宋体" w:hAnsi="宋体" w:cs="宋体"/>
                <w:lang w:eastAsia="zh-CN"/>
              </w:rPr>
              <w:t>招标人</w:t>
            </w:r>
            <w:r>
              <w:rPr>
                <w:rFonts w:hint="eastAsia" w:ascii="宋体" w:hAnsi="宋体" w:cs="宋体"/>
              </w:rPr>
              <w:t>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cs="宋体"/>
                <w:lang w:val="en-US" w:eastAsia="zh-CN"/>
              </w:rPr>
            </w:pPr>
            <w:r>
              <w:rPr>
                <w:rFonts w:hint="eastAsia" w:ascii="宋体" w:hAnsi="宋体" w:cs="宋体"/>
                <w:lang w:val="en-US" w:eastAsia="zh-CN"/>
              </w:rPr>
              <w:t>15</w:t>
            </w:r>
          </w:p>
        </w:tc>
        <w:tc>
          <w:tcPr>
            <w:tcW w:w="14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lang w:val="en-US" w:eastAsia="zh-CN"/>
              </w:rPr>
            </w:pPr>
            <w:r>
              <w:rPr>
                <w:rFonts w:hint="eastAsia" w:ascii="宋体" w:hAnsi="宋体" w:cs="宋体"/>
                <w:lang w:val="en-US" w:eastAsia="zh-CN"/>
              </w:rPr>
              <w:t>真实系统演示</w:t>
            </w:r>
          </w:p>
        </w:tc>
        <w:tc>
          <w:tcPr>
            <w:tcW w:w="669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5"/>
              <w:numPr>
                <w:ilvl w:val="0"/>
                <w:numId w:val="0"/>
              </w:numPr>
              <w:jc w:val="both"/>
              <w:rPr>
                <w:rFonts w:hint="default"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演示人员需自行携带演示设备（电脑）到现场演示</w:t>
            </w:r>
            <w:r>
              <w:rPr>
                <w:rFonts w:hint="eastAsia" w:ascii="宋体" w:hAnsi="宋体" w:cs="宋体"/>
                <w:b w:val="0"/>
                <w:bCs w:val="0"/>
                <w:kern w:val="2"/>
                <w:sz w:val="21"/>
                <w:szCs w:val="24"/>
                <w:lang w:val="en-US" w:eastAsia="zh-CN" w:bidi="ar-SA"/>
              </w:rPr>
              <w:t>真实系统，演示人员仅限1人。</w:t>
            </w:r>
          </w:p>
          <w:p>
            <w:pPr>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演示人员签到时间：开标当天9：00-9:30 ；</w:t>
            </w:r>
          </w:p>
          <w:p>
            <w:pPr>
              <w:rPr>
                <w:rFonts w:hint="default"/>
                <w:lang w:val="en-US" w:eastAsia="zh-CN"/>
              </w:rPr>
            </w:pPr>
            <w:r>
              <w:rPr>
                <w:rFonts w:hint="eastAsia" w:ascii="宋体" w:hAnsi="宋体" w:eastAsia="宋体" w:cs="宋体"/>
                <w:b w:val="0"/>
                <w:bCs w:val="0"/>
                <w:kern w:val="2"/>
                <w:sz w:val="21"/>
                <w:szCs w:val="24"/>
                <w:lang w:val="en-US" w:eastAsia="zh-CN" w:bidi="ar-SA"/>
              </w:rPr>
              <w:t>地址：台州湾新区海虹街道办事处一楼大厅。</w:t>
            </w:r>
          </w:p>
        </w:tc>
      </w:tr>
    </w:tbl>
    <w:p>
      <w:pPr>
        <w:pStyle w:val="14"/>
        <w:snapToGrid w:val="0"/>
        <w:spacing w:line="360" w:lineRule="auto"/>
        <w:rPr>
          <w:rFonts w:asciiTheme="minorEastAsia" w:hAnsiTheme="minorEastAsia" w:eastAsiaTheme="minorEastAsia"/>
          <w:b/>
          <w:sz w:val="24"/>
        </w:rPr>
      </w:pPr>
    </w:p>
    <w:p>
      <w:pPr>
        <w:pStyle w:val="14"/>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5"/>
        <w:numPr>
          <w:ilvl w:val="0"/>
          <w:numId w:val="8"/>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pPr>
        <w:snapToGrid w:val="0"/>
        <w:spacing w:line="360" w:lineRule="auto"/>
        <w:ind w:firstLine="480" w:firstLineChars="200"/>
        <w:rPr>
          <w:rFonts w:cs="Times New Roman" w:asciiTheme="minorEastAsia" w:hAnsiTheme="minorEastAsia" w:eastAsiaTheme="minorEastAsia"/>
          <w:sz w:val="24"/>
        </w:rPr>
      </w:pPr>
      <w:r>
        <w:rPr>
          <w:rFonts w:hint="eastAsia" w:cs="Times New Roman" w:asciiTheme="minorEastAsia" w:hAnsiTheme="minorEastAsia" w:eastAsiaTheme="minorEastAsia"/>
          <w:sz w:val="24"/>
        </w:rPr>
        <w:t>本招标文件适用于本项目的招标、投标、评标、定标、验收、合同履约、付款等行为（法律、法规另有规定的，从其规定）。</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pPr>
        <w:numPr>
          <w:ilvl w:val="0"/>
          <w:numId w:val="8"/>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
        <w:spacing w:line="360" w:lineRule="auto"/>
        <w:ind w:firstLine="480" w:firstLineChars="200"/>
      </w:pPr>
      <w:r>
        <w:t>本招标文件仅适用于本次招标公告中所涉及的项目和内容。</w:t>
      </w:r>
    </w:p>
    <w:p>
      <w:pPr>
        <w:snapToGrid w:val="0"/>
        <w:spacing w:before="156" w:beforeLines="50"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eastAsia="zh-CN"/>
        </w:rPr>
        <w:t>招标人</w:t>
      </w:r>
      <w:r>
        <w:rPr>
          <w:rFonts w:hint="eastAsia" w:asciiTheme="minorEastAsia" w:hAnsiTheme="minorEastAsia" w:eastAsiaTheme="minorEastAsia"/>
          <w:sz w:val="24"/>
        </w:rPr>
        <w:t>：是指</w:t>
      </w:r>
      <w:r>
        <w:rPr>
          <w:rFonts w:hint="eastAsia" w:asciiTheme="minorEastAsia" w:hAnsiTheme="minorEastAsia" w:eastAsiaTheme="minorEastAsia"/>
          <w:sz w:val="24"/>
          <w:lang w:val="en-US" w:eastAsia="zh-CN"/>
        </w:rPr>
        <w:t>台州循环经济发展有限公司</w:t>
      </w:r>
      <w:r>
        <w:rPr>
          <w:rFonts w:hint="eastAsia" w:asciiTheme="minorEastAsia" w:hAnsiTheme="minorEastAsia" w:eastAsiaTheme="minor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出实质性响应，经招标人按照规定在评</w:t>
      </w:r>
      <w:r>
        <w:rPr>
          <w:rFonts w:hint="eastAsia" w:ascii="宋体" w:hAnsi="宋体"/>
          <w:sz w:val="24"/>
        </w:rPr>
        <w:t>标</w:t>
      </w:r>
      <w:r>
        <w:rPr>
          <w:rFonts w:hint="eastAsia" w:ascii="宋体" w:hAnsi="宋体"/>
          <w:sz w:val="24"/>
          <w:lang w:val="zh-CN"/>
        </w:rPr>
        <w:t>委员会推荐的中标候选人中确定的或受招标人委托直接确认的，与招标人签订合同资格的投标</w:t>
      </w:r>
      <w:r>
        <w:rPr>
          <w:rFonts w:hint="eastAsia" w:ascii="宋体" w:hAnsi="宋体"/>
          <w:sz w:val="24"/>
        </w:rPr>
        <w:t>人；</w:t>
      </w:r>
    </w:p>
    <w:p>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本项目不接受联合体投标。</w:t>
      </w:r>
    </w:p>
    <w:p>
      <w:pPr>
        <w:snapToGrid w:val="0"/>
        <w:spacing w:line="360" w:lineRule="auto"/>
        <w:ind w:firstLine="482" w:firstLineChars="200"/>
        <w:rPr>
          <w:b/>
          <w:bCs/>
          <w:sz w:val="24"/>
        </w:rPr>
      </w:pPr>
      <w:r>
        <w:rPr>
          <w:rFonts w:hint="eastAsia"/>
          <w:b/>
          <w:bCs/>
          <w:sz w:val="24"/>
        </w:rPr>
        <w:t>（五）</w:t>
      </w:r>
      <w:r>
        <w:rPr>
          <w:b/>
          <w:bCs/>
          <w:sz w:val="24"/>
        </w:rPr>
        <w:t>语言文字以及度量衡单位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ascii="宋体" w:hAnsi="宋体" w:cs="宋体" w:eastAsiaTheme="minorEastAsia"/>
          <w:kern w:val="0"/>
          <w:sz w:val="24"/>
          <w:lang w:eastAsia="zh-CN"/>
        </w:rPr>
        <w:t>台州市建设咨询有限公司</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pPr>
        <w:snapToGrid w:val="0"/>
        <w:spacing w:line="360" w:lineRule="auto"/>
        <w:ind w:firstLine="482" w:firstLineChars="200"/>
        <w:rPr>
          <w:b/>
          <w:bCs/>
          <w:sz w:val="24"/>
        </w:rPr>
      </w:pPr>
      <w:r>
        <w:rPr>
          <w:rFonts w:hint="eastAsia"/>
          <w:b/>
          <w:bCs/>
          <w:sz w:val="24"/>
        </w:rPr>
        <w:t>（六）</w:t>
      </w:r>
      <w:r>
        <w:rPr>
          <w:b/>
          <w:bCs/>
          <w:sz w:val="24"/>
        </w:rPr>
        <w:t>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1.本项目不组织现场踏勘。</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pPr>
        <w:snapToGrid w:val="0"/>
        <w:spacing w:line="360" w:lineRule="auto"/>
        <w:ind w:firstLine="480" w:firstLineChars="200"/>
        <w:rPr>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eastAsia="zh-CN"/>
        </w:rPr>
        <w:t>招标人</w:t>
      </w:r>
      <w:r>
        <w:rPr>
          <w:sz w:val="24"/>
        </w:rPr>
        <w:t>在踏勘现场中介绍的资料和数据等，不构成对招标文件的修改或不作为投标人编制投标文件的依据。</w:t>
      </w:r>
    </w:p>
    <w:p>
      <w:pPr>
        <w:pStyle w:val="14"/>
        <w:snapToGrid w:val="0"/>
        <w:spacing w:line="360" w:lineRule="auto"/>
        <w:ind w:left="2" w:leftChars="1" w:firstLine="482" w:firstLineChars="200"/>
        <w:rPr>
          <w:rFonts w:hAnsi="宋体"/>
          <w:b/>
          <w:sz w:val="24"/>
        </w:rPr>
      </w:pPr>
      <w:r>
        <w:rPr>
          <w:rFonts w:hint="eastAsia" w:hAnsi="宋体"/>
          <w:b/>
          <w:sz w:val="24"/>
        </w:rPr>
        <w:t>（七）特别说明</w:t>
      </w:r>
    </w:p>
    <w:p>
      <w:pPr>
        <w:pStyle w:val="14"/>
        <w:snapToGrid w:val="0"/>
        <w:spacing w:line="360" w:lineRule="auto"/>
        <w:ind w:left="2" w:leftChars="1"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1、非单一产品采购项目，</w:t>
      </w:r>
      <w:r>
        <w:rPr>
          <w:rFonts w:hint="eastAsia" w:asciiTheme="minorEastAsia" w:hAnsiTheme="minorEastAsia" w:eastAsiaTheme="minorEastAsia"/>
          <w:sz w:val="24"/>
          <w:highlight w:val="none"/>
          <w:lang w:val="en-US" w:eastAsia="zh-CN"/>
        </w:rPr>
        <w:t>招标</w:t>
      </w:r>
      <w:r>
        <w:rPr>
          <w:rFonts w:hint="eastAsia" w:asciiTheme="minorEastAsia" w:hAnsiTheme="minorEastAsia" w:eastAsiaTheme="minorEastAsia"/>
          <w:sz w:val="24"/>
          <w:highlight w:val="none"/>
        </w:rPr>
        <w:t>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w:t>
      </w:r>
    </w:p>
    <w:p>
      <w:pPr>
        <w:pStyle w:val="14"/>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。投标人投标所使用的采购项目实施人员必须为本</w:t>
      </w:r>
      <w:r>
        <w:rPr>
          <w:rFonts w:hint="eastAsia" w:asciiTheme="minorEastAsia" w:hAnsiTheme="minorEastAsia" w:eastAsiaTheme="minorEastAsia"/>
          <w:sz w:val="24"/>
          <w:highlight w:val="none"/>
          <w:lang w:val="en-US" w:eastAsia="zh-CN"/>
        </w:rPr>
        <w:t>单位</w:t>
      </w:r>
      <w:r>
        <w:rPr>
          <w:rFonts w:asciiTheme="minorEastAsia" w:hAnsiTheme="minorEastAsia" w:eastAsiaTheme="minorEastAsia"/>
          <w:sz w:val="24"/>
          <w:highlight w:val="none"/>
        </w:rPr>
        <w:t>员工。</w:t>
      </w:r>
    </w:p>
    <w:p>
      <w:pPr>
        <w:pStyle w:val="35"/>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35"/>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35"/>
        <w:snapToGrid w:val="0"/>
        <w:spacing w:line="360" w:lineRule="auto"/>
        <w:ind w:firstLine="480"/>
        <w:rPr>
          <w:rFonts w:asciiTheme="minorEastAsia" w:hAnsiTheme="minorEastAsia" w:eastAsiaTheme="minorEastAsia" w:cstheme="minorBidi"/>
          <w:sz w:val="24"/>
          <w:highlight w:val="none"/>
          <w:u w:val="none"/>
        </w:rPr>
      </w:pPr>
      <w:r>
        <w:rPr>
          <w:rFonts w:hint="eastAsia" w:asciiTheme="minorEastAsia" w:hAnsiTheme="minorEastAsia" w:eastAsiaTheme="minorEastAsia" w:cstheme="minorBidi"/>
          <w:sz w:val="24"/>
          <w:highlight w:val="none"/>
          <w:u w:val="none"/>
        </w:rPr>
        <w:t>（四）采购组织机构对招标文件进行必要的澄清更正的，澄清或者修改的内容可能影响投标文件编制的，于投标截止时间的</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日前在台州湾新区小额工程电子交易平台上以更正公告的形式通知各潜在的投标人；不足</w:t>
      </w:r>
      <w:r>
        <w:rPr>
          <w:rFonts w:hint="eastAsia" w:asciiTheme="minorEastAsia" w:hAnsiTheme="minorEastAsia" w:eastAsiaTheme="minorEastAsia" w:cstheme="minorBidi"/>
          <w:sz w:val="24"/>
          <w:highlight w:val="none"/>
          <w:u w:val="none"/>
          <w:lang w:val="en-US" w:eastAsia="zh-CN"/>
        </w:rPr>
        <w:t>15</w:t>
      </w:r>
      <w:r>
        <w:rPr>
          <w:rFonts w:hint="eastAsia" w:asciiTheme="minorEastAsia" w:hAnsiTheme="minorEastAsia" w:eastAsiaTheme="minorEastAsia" w:cstheme="minorBidi"/>
          <w:sz w:val="24"/>
          <w:highlight w:val="none"/>
          <w:u w:val="none"/>
        </w:rPr>
        <w:t>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投标人获取招标文件后，按照采购组织机构的要求提供：资格标、技术标和商务标</w:t>
      </w:r>
      <w:r>
        <w:rPr>
          <w:rFonts w:hint="eastAsia" w:asciiTheme="minorEastAsia" w:hAnsiTheme="minorEastAsia" w:eastAsiaTheme="minorEastAsia"/>
          <w:kern w:val="0"/>
          <w:sz w:val="24"/>
          <w:lang w:val="zh-CN"/>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1.资格标</w:t>
      </w:r>
      <w:r>
        <w:rPr>
          <w:rFonts w:hint="eastAsia" w:ascii="宋体" w:hAnsi="宋体"/>
          <w:b/>
          <w:sz w:val="24"/>
        </w:rPr>
        <w:t>组成</w:t>
      </w: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p>
    <w:p>
      <w:pPr>
        <w:snapToGrid w:val="0"/>
        <w:spacing w:line="360" w:lineRule="auto"/>
        <w:ind w:firstLine="482" w:firstLineChars="200"/>
        <w:rPr>
          <w:rFonts w:ascii="宋体" w:hAnsi="宋体"/>
          <w:b/>
          <w:sz w:val="24"/>
        </w:rPr>
      </w:pPr>
      <w:r>
        <w:rPr>
          <w:rFonts w:hint="eastAsia" w:asciiTheme="minorEastAsia" w:hAnsiTheme="minorEastAsia" w:eastAsiaTheme="minorEastAsia"/>
          <w:b/>
          <w:sz w:val="24"/>
        </w:rPr>
        <w:t>2.</w:t>
      </w:r>
      <w:r>
        <w:rPr>
          <w:rFonts w:hint="eastAsia" w:ascii="宋体" w:hAnsi="宋体" w:eastAsiaTheme="minorEastAsia"/>
          <w:b/>
          <w:sz w:val="24"/>
        </w:rPr>
        <w:t>技术标</w:t>
      </w:r>
      <w:r>
        <w:rPr>
          <w:rFonts w:hint="eastAsia" w:ascii="宋体" w:hAnsi="宋体"/>
          <w:b/>
          <w:sz w:val="24"/>
        </w:rPr>
        <w:t>组成</w:t>
      </w:r>
    </w:p>
    <w:p>
      <w:pPr>
        <w:snapToGrid w:val="0"/>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投标人基本情况表（附件</w:t>
      </w:r>
      <w:r>
        <w:rPr>
          <w:rFonts w:hint="eastAsia" w:ascii="宋体" w:hAnsi="宋体"/>
          <w:bCs/>
          <w:sz w:val="24"/>
          <w:lang w:val="en-US" w:eastAsia="zh-CN"/>
        </w:rPr>
        <w:t>3</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（2）技术方案（</w:t>
      </w:r>
      <w:r>
        <w:rPr>
          <w:rFonts w:hint="eastAsia" w:ascii="宋体" w:hAnsi="宋体"/>
          <w:bCs/>
          <w:sz w:val="24"/>
          <w:lang w:val="en-US" w:eastAsia="zh-CN"/>
        </w:rPr>
        <w:t>根据评分办法自行编制</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pPr>
        <w:pStyle w:val="8"/>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（8）符合招标文件规定的其他证明文件及评分标准中涉及的其他材料。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3、商务标组成</w:t>
      </w:r>
    </w:p>
    <w:p>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（1）开标一览表（附件</w:t>
      </w:r>
      <w:r>
        <w:rPr>
          <w:rFonts w:hint="eastAsia" w:cs="Times New Roman" w:asciiTheme="minorEastAsia" w:hAnsiTheme="minorEastAsia" w:eastAsiaTheme="minorEastAsia"/>
          <w:kern w:val="0"/>
          <w:sz w:val="24"/>
          <w:lang w:val="en-US" w:eastAsia="zh-CN"/>
        </w:rPr>
        <w:t>9</w:t>
      </w:r>
      <w:r>
        <w:rPr>
          <w:rFonts w:hint="eastAsia" w:cs="Times New Roman" w:asciiTheme="minorEastAsia" w:hAnsiTheme="minorEastAsia" w:eastAsiaTheme="minorEastAsia"/>
          <w:kern w:val="0"/>
          <w:sz w:val="24"/>
        </w:rPr>
        <w:t>）；</w:t>
      </w:r>
    </w:p>
    <w:p>
      <w:pPr>
        <w:autoSpaceDE w:val="0"/>
        <w:autoSpaceDN w:val="0"/>
        <w:adjustRightInd w:val="0"/>
        <w:spacing w:line="360" w:lineRule="auto"/>
        <w:ind w:firstLine="480" w:firstLineChars="200"/>
        <w:rPr>
          <w:rFonts w:hint="default"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eastAsia="zh-CN"/>
        </w:rPr>
        <w:t>（</w:t>
      </w:r>
      <w:r>
        <w:rPr>
          <w:rFonts w:hint="eastAsia" w:cs="Times New Roman" w:asciiTheme="minorEastAsia" w:hAnsiTheme="minorEastAsia" w:eastAsiaTheme="minorEastAsia"/>
          <w:kern w:val="0"/>
          <w:sz w:val="24"/>
          <w:lang w:val="en-US" w:eastAsia="zh-CN"/>
        </w:rPr>
        <w:t>2</w:t>
      </w:r>
      <w:r>
        <w:rPr>
          <w:rFonts w:hint="eastAsia" w:cs="Times New Roman" w:asciiTheme="minorEastAsia" w:hAnsiTheme="minorEastAsia" w:eastAsiaTheme="minorEastAsia"/>
          <w:kern w:val="0"/>
          <w:sz w:val="24"/>
          <w:lang w:eastAsia="zh-CN"/>
        </w:rPr>
        <w:t>）</w:t>
      </w:r>
      <w:r>
        <w:rPr>
          <w:rFonts w:hint="eastAsia" w:ascii="宋体" w:hAnsi="宋体" w:cs="宋体"/>
          <w:color w:val="auto"/>
          <w:kern w:val="0"/>
          <w:sz w:val="24"/>
          <w:highlight w:val="none"/>
        </w:rPr>
        <w:t>报价明细表</w:t>
      </w:r>
      <w:r>
        <w:rPr>
          <w:rFonts w:hint="eastAsia" w:cs="Times New Roman" w:asciiTheme="minorEastAsia" w:hAnsiTheme="minorEastAsia" w:eastAsiaTheme="minorEastAsia"/>
          <w:kern w:val="0"/>
          <w:sz w:val="24"/>
          <w:lang w:val="en-US" w:eastAsia="zh-CN"/>
        </w:rPr>
        <w:t>（附件10）；</w:t>
      </w:r>
    </w:p>
    <w:p>
      <w:pPr>
        <w:autoSpaceDE w:val="0"/>
        <w:autoSpaceDN w:val="0"/>
        <w:adjustRightInd w:val="0"/>
        <w:spacing w:line="360" w:lineRule="auto"/>
        <w:ind w:firstLine="480" w:firstLineChars="200"/>
        <w:rPr>
          <w:rFonts w:hint="eastAsia" w:cs="Times New Roman" w:asciiTheme="minorEastAsia" w:hAnsiTheme="minorEastAsia" w:eastAsiaTheme="minorEastAsia"/>
          <w:kern w:val="0"/>
          <w:sz w:val="24"/>
        </w:rPr>
      </w:pPr>
      <w:r>
        <w:rPr>
          <w:rFonts w:hint="eastAsia" w:cs="Times New Roman" w:asciiTheme="minorEastAsia" w:hAnsiTheme="minorEastAsia" w:eastAsiaTheme="minorEastAsia"/>
          <w:kern w:val="0"/>
          <w:sz w:val="24"/>
        </w:rPr>
        <w:t>（</w:t>
      </w:r>
      <w:r>
        <w:rPr>
          <w:rFonts w:hint="eastAsia" w:cs="Times New Roman" w:asciiTheme="minorEastAsia" w:hAnsiTheme="minorEastAsia" w:eastAsiaTheme="minorEastAsia"/>
          <w:kern w:val="0"/>
          <w:sz w:val="24"/>
          <w:lang w:val="en-US" w:eastAsia="zh-CN"/>
        </w:rPr>
        <w:t>3</w:t>
      </w:r>
      <w:r>
        <w:rPr>
          <w:rFonts w:hint="eastAsia" w:cs="Times New Roman" w:asciiTheme="minorEastAsia" w:hAnsiTheme="minorEastAsia" w:eastAsiaTheme="minorEastAsia"/>
          <w:kern w:val="0"/>
          <w:sz w:val="24"/>
        </w:rPr>
        <w:t>）针对报价投标人认为其他需要说明的。</w:t>
      </w:r>
    </w:p>
    <w:p>
      <w:pPr>
        <w:autoSpaceDE w:val="0"/>
        <w:autoSpaceDN w:val="0"/>
        <w:adjustRightInd w:val="0"/>
        <w:spacing w:line="360" w:lineRule="auto"/>
        <w:ind w:firstLine="482" w:firstLineChars="200"/>
        <w:rPr>
          <w:rFonts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2.投标报价是履行合同的最终价格</w:t>
      </w:r>
      <w:r>
        <w:rPr>
          <w:rFonts w:hint="eastAsia" w:cs="Times New Roman" w:asciiTheme="minorEastAsia" w:hAnsiTheme="minorEastAsia" w:eastAsiaTheme="minorEastAsia"/>
          <w:bCs/>
          <w:kern w:val="0"/>
          <w:sz w:val="24"/>
          <w:highlight w:val="none"/>
        </w:rPr>
        <w:t>，</w:t>
      </w:r>
      <w:r>
        <w:rPr>
          <w:rFonts w:hint="eastAsia" w:cs="Times New Roman" w:asciiTheme="minorEastAsia" w:hAnsiTheme="minorEastAsia" w:eastAsiaTheme="minorEastAsia"/>
          <w:bCs/>
          <w:kern w:val="0"/>
          <w:sz w:val="24"/>
          <w:highlight w:val="none"/>
          <w:lang w:val="en-US" w:eastAsia="zh-CN"/>
        </w:rPr>
        <w:t>其应包括</w:t>
      </w:r>
      <w:r>
        <w:rPr>
          <w:rFonts w:hint="eastAsia" w:cs="Times New Roman" w:asciiTheme="minorEastAsia" w:hAnsiTheme="minorEastAsia" w:eastAsiaTheme="minorEastAsia"/>
          <w:bCs/>
          <w:kern w:val="0"/>
          <w:sz w:val="24"/>
          <w:highlight w:val="none"/>
        </w:rPr>
        <w:t>本项目的软件开发实施项目所需的需求调研费</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系统设计、开发、测试、</w:t>
      </w:r>
      <w:r>
        <w:rPr>
          <w:rFonts w:hint="eastAsia" w:cs="Times New Roman" w:asciiTheme="minorEastAsia" w:hAnsiTheme="minorEastAsia" w:eastAsiaTheme="minorEastAsia"/>
          <w:bCs/>
          <w:kern w:val="0"/>
          <w:sz w:val="24"/>
          <w:highlight w:val="none"/>
        </w:rPr>
        <w:t>系统集成（含软、硬件）</w:t>
      </w:r>
      <w:r>
        <w:rPr>
          <w:rFonts w:hint="eastAsia" w:cs="Times New Roman" w:asciiTheme="minorEastAsia" w:hAnsiTheme="minorEastAsia" w:eastAsiaTheme="minorEastAsia"/>
          <w:bCs/>
          <w:kern w:val="0"/>
          <w:sz w:val="24"/>
          <w:highlight w:val="none"/>
          <w:lang w:val="en-US" w:eastAsia="zh-CN"/>
        </w:rPr>
        <w:t>实施、</w:t>
      </w:r>
      <w:r>
        <w:rPr>
          <w:rFonts w:hint="eastAsia" w:cs="Times New Roman" w:asciiTheme="minorEastAsia" w:hAnsiTheme="minorEastAsia" w:eastAsiaTheme="minorEastAsia"/>
          <w:bCs/>
          <w:kern w:val="0"/>
          <w:sz w:val="24"/>
          <w:highlight w:val="none"/>
        </w:rPr>
        <w:t>接口费用</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运行维护、</w:t>
      </w:r>
      <w:r>
        <w:rPr>
          <w:rFonts w:hint="eastAsia" w:cs="Times New Roman" w:asciiTheme="minorEastAsia" w:hAnsiTheme="minorEastAsia" w:eastAsiaTheme="minorEastAsia"/>
          <w:bCs/>
          <w:kern w:val="0"/>
          <w:sz w:val="24"/>
          <w:highlight w:val="none"/>
        </w:rPr>
        <w:t>安全性评估、</w:t>
      </w:r>
      <w:r>
        <w:rPr>
          <w:rFonts w:hint="eastAsia" w:cs="Times New Roman" w:asciiTheme="minorEastAsia" w:hAnsiTheme="minorEastAsia" w:eastAsiaTheme="minorEastAsia"/>
          <w:bCs/>
          <w:kern w:val="0"/>
          <w:sz w:val="24"/>
          <w:highlight w:val="none"/>
          <w:lang w:val="en-US" w:eastAsia="zh-CN"/>
        </w:rPr>
        <w:t>配合</w:t>
      </w:r>
      <w:r>
        <w:rPr>
          <w:rFonts w:hint="eastAsia" w:cs="Times New Roman" w:asciiTheme="minorEastAsia" w:hAnsiTheme="minorEastAsia" w:eastAsiaTheme="minorEastAsia"/>
          <w:bCs/>
          <w:kern w:val="0"/>
          <w:sz w:val="24"/>
          <w:highlight w:val="none"/>
        </w:rPr>
        <w:t>密评检测、</w:t>
      </w:r>
      <w:r>
        <w:rPr>
          <w:rFonts w:hint="eastAsia" w:cs="Times New Roman" w:asciiTheme="minorEastAsia" w:hAnsiTheme="minorEastAsia" w:eastAsiaTheme="minorEastAsia"/>
          <w:bCs/>
          <w:kern w:val="0"/>
          <w:sz w:val="24"/>
          <w:highlight w:val="none"/>
          <w:lang w:val="en-US" w:eastAsia="zh-CN"/>
        </w:rPr>
        <w:t>税</w:t>
      </w:r>
      <w:r>
        <w:rPr>
          <w:rFonts w:hint="eastAsia" w:asciiTheme="minorEastAsia" w:hAnsiTheme="minorEastAsia" w:eastAsiaTheme="minorEastAsia"/>
          <w:bCs/>
          <w:kern w:val="0"/>
          <w:sz w:val="24"/>
          <w:highlight w:val="none"/>
          <w:lang w:val="en-US" w:eastAsia="zh-CN"/>
        </w:rPr>
        <w:t>金、验收、培训、辅助工作、验收、保险、税金、质保及售后技术服务等一切项目发生的其他费用。</w:t>
      </w:r>
      <w:r>
        <w:rPr>
          <w:rFonts w:hint="eastAsia" w:asciiTheme="minorEastAsia" w:hAnsiTheme="minorEastAsia" w:eastAsiaTheme="minorEastAsia"/>
          <w:bCs/>
          <w:kern w:val="0"/>
          <w:sz w:val="24"/>
          <w:highlight w:val="none"/>
        </w:rPr>
        <w:t>供应商须充分考虑实际服务内容和需求，针对自身实际情况，核算所需的成本及合理的利润，自行报价，结算时由供应商开具正式发票。各投标人应根据招标人提供的技术资料、工程量清单，以及本工程实际情况和自身的综合实力，竞报投标报价。总报价以人民币元计。知识产权等由投标人在投标报价时综合考虑，以后不作任何调整。</w:t>
      </w:r>
    </w:p>
    <w:p>
      <w:pPr>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pPr>
        <w:pStyle w:val="8"/>
        <w:spacing w:line="360" w:lineRule="auto"/>
        <w:ind w:firstLine="480" w:firstLineChars="200"/>
        <w:rPr>
          <w:rFonts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w:t>
      </w:r>
      <w:r>
        <w:rPr>
          <w:rFonts w:hint="eastAsia" w:asciiTheme="minorEastAsia" w:hAnsiTheme="minorEastAsia" w:eastAsiaTheme="minorEastAsia" w:cstheme="minorEastAsia"/>
          <w:sz w:val="24"/>
          <w:lang w:val="en-GB" w:eastAsia="zh-CN"/>
        </w:rPr>
        <w:t>招标人</w:t>
      </w:r>
      <w:r>
        <w:rPr>
          <w:rFonts w:hint="eastAsia" w:asciiTheme="minorEastAsia" w:hAnsiTheme="minorEastAsia" w:eastAsiaTheme="minorEastAsia" w:cstheme="minorEastAsia"/>
          <w:sz w:val="24"/>
          <w:lang w:val="en-GB"/>
        </w:rPr>
        <w:t>可与投标人协商延长投标文件的有效期。</w:t>
      </w:r>
    </w:p>
    <w:p>
      <w:pPr>
        <w:snapToGrid w:val="0"/>
        <w:spacing w:line="360" w:lineRule="auto"/>
        <w:ind w:firstLine="480" w:firstLineChars="200"/>
        <w:rPr>
          <w:rFonts w:ascii="宋体" w:hAnsi="宋体"/>
          <w:b/>
          <w:color w:val="auto"/>
          <w:sz w:val="24"/>
          <w:highlight w:val="none"/>
        </w:rPr>
      </w:pPr>
      <w:r>
        <w:rPr>
          <w:rFonts w:hint="eastAsia" w:asciiTheme="minorEastAsia" w:hAnsiTheme="minorEastAsia" w:eastAsiaTheme="minorEastAsia" w:cstheme="minorEastAsia"/>
          <w:sz w:val="24"/>
        </w:rPr>
        <w:t>3.中标人的投标文件自开标之日起至合同履行完毕均应保持有效。</w:t>
      </w:r>
    </w:p>
    <w:p>
      <w:pPr>
        <w:spacing w:line="360" w:lineRule="auto"/>
        <w:ind w:firstLine="482" w:firstLineChars="200"/>
        <w:rPr>
          <w:rFonts w:hint="eastAsia" w:cs="Times New Roman" w:asciiTheme="minorEastAsia" w:hAnsiTheme="minorEastAsia" w:eastAsiaTheme="minorEastAsia"/>
          <w:b/>
          <w:bCs w:val="0"/>
          <w:kern w:val="0"/>
          <w:sz w:val="24"/>
          <w:highlight w:val="none"/>
        </w:rPr>
      </w:pPr>
      <w:r>
        <w:rPr>
          <w:rFonts w:hint="eastAsia" w:cs="Times New Roman" w:asciiTheme="minorEastAsia" w:hAnsiTheme="minorEastAsia" w:eastAsiaTheme="minorEastAsia"/>
          <w:b/>
          <w:bCs w:val="0"/>
          <w:kern w:val="0"/>
          <w:sz w:val="24"/>
          <w:highlight w:val="none"/>
        </w:rPr>
        <w:t>（</w:t>
      </w:r>
      <w:r>
        <w:rPr>
          <w:rFonts w:hint="eastAsia" w:cs="Times New Roman" w:asciiTheme="minorEastAsia" w:hAnsiTheme="minorEastAsia" w:eastAsiaTheme="minorEastAsia"/>
          <w:b/>
          <w:bCs w:val="0"/>
          <w:kern w:val="0"/>
          <w:sz w:val="24"/>
          <w:highlight w:val="none"/>
          <w:lang w:val="en-US" w:eastAsia="zh-CN"/>
        </w:rPr>
        <w:t>四</w:t>
      </w:r>
      <w:r>
        <w:rPr>
          <w:rFonts w:hint="eastAsia" w:cs="Times New Roman" w:asciiTheme="minorEastAsia" w:hAnsiTheme="minorEastAsia" w:eastAsiaTheme="minorEastAsia"/>
          <w:b/>
          <w:bCs w:val="0"/>
          <w:kern w:val="0"/>
          <w:sz w:val="24"/>
          <w:highlight w:val="none"/>
        </w:rPr>
        <w:t>）投标保证金</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▲1.投标人须按规定提交投标保证金。否则，其投标将被拒绝。</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2.保证金形式：现金转账、银行保函、保险机构保证保险保单、融资担保公司保函。</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3.未中标人的投标保证金在中标通知书发出后5个工作日内退还。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4.中标人应在中标通知书发出后30日内与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签订合同，中标人的投标保证金在合同签订后5天内退还。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5.保证金不计息。</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6.投标人有下列情形之一的，投标保证金将不予退还：</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（1）投标人在投标有效期内撤回投标文件的；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（2）未按规定提交履约保证金或履约保函的；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（3）投标人在投标过程中弄虚作假，提供虚假材料的；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（4）中标人无正当理由不与</w:t>
      </w:r>
      <w:r>
        <w:rPr>
          <w:rFonts w:hint="eastAsia" w:cs="Times New Roman" w:asciiTheme="minorEastAsia" w:hAnsiTheme="minorEastAsia" w:eastAsiaTheme="minorEastAsia"/>
          <w:bCs/>
          <w:kern w:val="0"/>
          <w:sz w:val="24"/>
          <w:highlight w:val="none"/>
          <w:lang w:eastAsia="zh-CN"/>
        </w:rPr>
        <w:t>招标人</w:t>
      </w:r>
      <w:r>
        <w:rPr>
          <w:rFonts w:hint="eastAsia" w:cs="Times New Roman" w:asciiTheme="minorEastAsia" w:hAnsiTheme="minorEastAsia" w:eastAsiaTheme="minorEastAsia"/>
          <w:bCs/>
          <w:kern w:val="0"/>
          <w:sz w:val="24"/>
          <w:highlight w:val="none"/>
        </w:rPr>
        <w:t>签订合同的；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（5）将中标项目转让给他人或者在投标文件中未说明且未经招标采购单位同意，将中标项目分包给他人的；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（6）拒绝履行合同义务的；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（7）其他严重扰乱招投标程序的；</w:t>
      </w:r>
    </w:p>
    <w:p>
      <w:pPr>
        <w:spacing w:line="360" w:lineRule="auto"/>
        <w:ind w:firstLine="480" w:firstLineChars="200"/>
        <w:rPr>
          <w:rFonts w:hint="eastAsia" w:cs="Times New Roman" w:asciiTheme="minorEastAsia" w:hAnsiTheme="minorEastAsia" w:eastAsiaTheme="minorEastAsia"/>
          <w:bCs/>
          <w:kern w:val="0"/>
          <w:sz w:val="24"/>
          <w:highlight w:val="none"/>
        </w:rPr>
      </w:pPr>
      <w:r>
        <w:rPr>
          <w:rFonts w:hint="eastAsia" w:cs="Times New Roman" w:asciiTheme="minorEastAsia" w:hAnsiTheme="minorEastAsia" w:eastAsiaTheme="minorEastAsia"/>
          <w:bCs/>
          <w:kern w:val="0"/>
          <w:sz w:val="24"/>
          <w:highlight w:val="none"/>
        </w:rPr>
        <w:t>（8）投标人违反《</w:t>
      </w:r>
      <w:r>
        <w:rPr>
          <w:rFonts w:hint="eastAsia" w:cs="Times New Roman" w:asciiTheme="minorEastAsia" w:hAnsiTheme="minorEastAsia" w:eastAsiaTheme="minorEastAsia"/>
          <w:bCs/>
          <w:kern w:val="0"/>
          <w:sz w:val="24"/>
          <w:highlight w:val="none"/>
          <w:lang w:val="en-US" w:eastAsia="zh-CN"/>
        </w:rPr>
        <w:t>投标声明书</w:t>
      </w:r>
      <w:r>
        <w:rPr>
          <w:rFonts w:hint="eastAsia" w:cs="Times New Roman" w:asciiTheme="minorEastAsia" w:hAnsiTheme="minorEastAsia" w:eastAsiaTheme="minorEastAsia"/>
          <w:bCs/>
          <w:kern w:val="0"/>
          <w:sz w:val="24"/>
          <w:highlight w:val="none"/>
        </w:rPr>
        <w:t>》承诺内容的；</w:t>
      </w:r>
    </w:p>
    <w:p>
      <w:pPr>
        <w:spacing w:line="360" w:lineRule="auto"/>
        <w:ind w:firstLine="480" w:firstLineChars="200"/>
        <w:rPr>
          <w:rFonts w:ascii="宋体" w:hAnsi="宋体"/>
          <w:color w:val="auto"/>
          <w:sz w:val="24"/>
          <w:highlight w:val="none"/>
        </w:rPr>
      </w:pPr>
      <w:r>
        <w:rPr>
          <w:rFonts w:hint="eastAsia" w:cs="Times New Roman" w:asciiTheme="minorEastAsia" w:hAnsiTheme="minorEastAsia" w:eastAsiaTheme="minorEastAsia"/>
          <w:bCs/>
          <w:kern w:val="0"/>
          <w:sz w:val="24"/>
          <w:highlight w:val="none"/>
        </w:rPr>
        <w:t>（9）有《关于印发&lt;台州市工程建设投标保函管理规定&gt;的通知》（台公管办〔2022〕2号）第十一条规定情形的。</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w:t>
      </w:r>
      <w:r>
        <w:rPr>
          <w:rFonts w:hint="eastAsia" w:asciiTheme="minorEastAsia" w:hAnsiTheme="minorEastAsia" w:eastAsiaTheme="minorEastAsia"/>
          <w:b/>
          <w:kern w:val="0"/>
          <w:sz w:val="24"/>
          <w:lang w:val="en-US" w:eastAsia="zh-CN"/>
        </w:rPr>
        <w:t>五</w:t>
      </w:r>
      <w:r>
        <w:rPr>
          <w:rFonts w:hint="eastAsia" w:asciiTheme="minorEastAsia" w:hAnsiTheme="minorEastAsia" w:eastAsiaTheme="minorEastAsia"/>
          <w:b/>
          <w:kern w:val="0"/>
          <w:sz w:val="24"/>
        </w:rPr>
        <w:t>）投标文件的签署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或经其正式授权的代表签字或盖章，其《授权</w:t>
      </w:r>
      <w:r>
        <w:rPr>
          <w:rFonts w:hint="eastAsia" w:asciiTheme="minorEastAsia" w:hAnsiTheme="minorEastAsia" w:eastAsiaTheme="minorEastAsia"/>
          <w:bCs/>
          <w:kern w:val="0"/>
          <w:sz w:val="24"/>
          <w:lang w:val="en-US" w:eastAsia="zh-CN"/>
        </w:rPr>
        <w:t>委托书</w:t>
      </w:r>
      <w:r>
        <w:rPr>
          <w:rFonts w:hint="eastAsia" w:asciiTheme="minorEastAsia" w:hAnsiTheme="minorEastAsia" w:eastAsiaTheme="minorEastAsia"/>
          <w:bCs/>
          <w:kern w:val="0"/>
          <w:sz w:val="24"/>
        </w:rPr>
        <w:t>》应附在投标文件中。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w:t>
      </w:r>
      <w:r>
        <w:rPr>
          <w:rFonts w:hint="eastAsia" w:asciiTheme="minorEastAsia" w:hAnsiTheme="minorEastAsia" w:eastAsiaTheme="minorEastAsia"/>
          <w:bCs/>
          <w:kern w:val="0"/>
          <w:sz w:val="24"/>
          <w:lang w:val="en-US" w:eastAsia="zh-CN"/>
        </w:rPr>
        <w:t>或负责人</w:t>
      </w:r>
      <w:r>
        <w:rPr>
          <w:rFonts w:hint="eastAsia" w:asciiTheme="minorEastAsia" w:hAnsiTheme="minorEastAsia" w:eastAsiaTheme="minorEastAsia"/>
          <w:bCs/>
          <w:kern w:val="0"/>
          <w:sz w:val="24"/>
        </w:rPr>
        <w:t>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w:t>
      </w:r>
      <w:r>
        <w:rPr>
          <w:rFonts w:hint="eastAsia" w:asciiTheme="minorEastAsia" w:hAnsiTheme="minorEastAsia"/>
          <w:b/>
          <w:bCs/>
          <w:sz w:val="24"/>
          <w:lang w:val="en-US" w:eastAsia="zh-CN"/>
        </w:rPr>
        <w:t>六</w:t>
      </w:r>
      <w:r>
        <w:rPr>
          <w:rFonts w:hint="eastAsia" w:asciiTheme="minorEastAsia" w:hAnsiTheme="minorEastAsia"/>
          <w:b/>
          <w:bCs/>
          <w:sz w:val="24"/>
        </w:rPr>
        <w:t>）</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beforeLines="50" w:line="360" w:lineRule="exact"/>
        <w:ind w:firstLine="472" w:firstLineChars="196"/>
        <w:outlineLvl w:val="2"/>
        <w:rPr>
          <w:rFonts w:ascii="宋体" w:hAnsi="宋体"/>
          <w:b/>
          <w:color w:val="auto"/>
          <w:sz w:val="24"/>
          <w:szCs w:val="20"/>
          <w:highlight w:val="none"/>
        </w:rPr>
      </w:pPr>
      <w:r>
        <w:rPr>
          <w:rFonts w:hint="eastAsia" w:ascii="宋体" w:hAnsi="宋体"/>
          <w:b/>
          <w:color w:val="auto"/>
          <w:sz w:val="24"/>
          <w:highlight w:val="none"/>
        </w:rPr>
        <w:t>（</w:t>
      </w:r>
      <w:r>
        <w:rPr>
          <w:rFonts w:hint="eastAsia" w:ascii="宋体" w:hAnsi="宋体"/>
          <w:b/>
          <w:color w:val="auto"/>
          <w:sz w:val="24"/>
          <w:highlight w:val="none"/>
          <w:lang w:val="en-US" w:eastAsia="zh-CN"/>
        </w:rPr>
        <w:t>七</w:t>
      </w:r>
      <w:r>
        <w:rPr>
          <w:rFonts w:hint="eastAsia" w:ascii="宋体" w:hAnsi="宋体"/>
          <w:b/>
          <w:color w:val="auto"/>
          <w:sz w:val="24"/>
          <w:highlight w:val="none"/>
        </w:rPr>
        <w:t>）投标无效的情形</w:t>
      </w:r>
    </w:p>
    <w:p>
      <w:pPr>
        <w:snapToGrid w:val="0"/>
        <w:spacing w:line="360" w:lineRule="auto"/>
        <w:ind w:firstLine="480" w:firstLineChars="200"/>
        <w:rPr>
          <w:rFonts w:ascii="宋体" w:hAnsi="宋体"/>
          <w:bCs/>
          <w:color w:val="auto"/>
          <w:sz w:val="24"/>
          <w:szCs w:val="20"/>
          <w:highlight w:val="none"/>
        </w:rPr>
      </w:pPr>
      <w:r>
        <w:rPr>
          <w:rFonts w:hint="eastAsia" w:cs="Times New Roman" w:asciiTheme="minorEastAsia" w:hAnsiTheme="minorEastAsia" w:eastAsiaTheme="minorEastAsia"/>
          <w:kern w:val="0"/>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auto"/>
        <w:ind w:firstLine="472" w:firstLineChars="196"/>
        <w:rPr>
          <w:rFonts w:ascii="宋体" w:hAnsi="宋体"/>
          <w:b/>
          <w:bCs/>
          <w:color w:val="auto"/>
          <w:sz w:val="24"/>
          <w:szCs w:val="20"/>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w:t>
      </w:r>
      <w:r>
        <w:rPr>
          <w:rFonts w:hint="eastAsia" w:ascii="宋体" w:hAnsi="宋体"/>
          <w:b/>
          <w:bCs/>
          <w:color w:val="auto"/>
          <w:sz w:val="24"/>
          <w:highlight w:val="none"/>
          <w:lang w:val="en-US" w:eastAsia="zh-CN"/>
        </w:rPr>
        <w:t>资格</w:t>
      </w:r>
      <w:r>
        <w:rPr>
          <w:rFonts w:ascii="宋体" w:hAnsi="宋体"/>
          <w:b/>
          <w:bCs/>
          <w:color w:val="auto"/>
          <w:sz w:val="24"/>
          <w:highlight w:val="none"/>
        </w:rPr>
        <w:t>评审时，如发现下列情形之一的，投标文件将被视为无效：</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未按照招标文件的规定提交投标保证金的；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不具备招标文件中规定的资格要求的或</w:t>
      </w:r>
      <w:r>
        <w:rPr>
          <w:rFonts w:ascii="宋体" w:hAnsi="宋体"/>
          <w:color w:val="auto"/>
          <w:sz w:val="24"/>
          <w:highlight w:val="none"/>
        </w:rPr>
        <w:t>资格证明文件不全的</w:t>
      </w:r>
      <w:r>
        <w:rPr>
          <w:rFonts w:hint="eastAsia" w:ascii="宋体" w:hAnsi="宋体"/>
          <w:color w:val="auto"/>
          <w:sz w:val="24"/>
          <w:highlight w:val="none"/>
        </w:rPr>
        <w:t>；</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（3）投标文件未按招标文件要求签署、盖章的；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投标代表人未能出具身份证明或与法定代表人授权委托人身份不符的；</w:t>
      </w:r>
      <w:r>
        <w:rPr>
          <w:rFonts w:ascii="宋体" w:hAnsi="宋体"/>
          <w:color w:val="auto"/>
          <w:sz w:val="24"/>
          <w:highlight w:val="none"/>
        </w:rPr>
        <w:t xml:space="preserve"> </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）投标文件</w:t>
      </w:r>
      <w:r>
        <w:rPr>
          <w:rFonts w:hint="eastAsia" w:ascii="宋体" w:hAnsi="宋体"/>
          <w:color w:val="auto"/>
          <w:sz w:val="24"/>
          <w:highlight w:val="none"/>
        </w:rPr>
        <w:t>组成不符合招标文件要求的</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rPr>
      </w:pP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lang w:eastAsia="zh-CN"/>
        </w:rPr>
        <w:t>）</w:t>
      </w:r>
      <w:r>
        <w:rPr>
          <w:rFonts w:hint="eastAsia" w:ascii="宋体" w:hAnsi="宋体" w:eastAsia="宋体" w:cs="Times New Roman"/>
          <w:bCs/>
          <w:color w:val="auto"/>
          <w:sz w:val="24"/>
          <w:highlight w:val="none"/>
        </w:rPr>
        <w:t>投标文件</w:t>
      </w:r>
      <w:r>
        <w:rPr>
          <w:rFonts w:hint="eastAsia" w:ascii="宋体" w:hAnsi="宋体" w:eastAsia="宋体" w:cs="Times New Roman"/>
          <w:bCs/>
          <w:color w:val="auto"/>
          <w:sz w:val="24"/>
          <w:highlight w:val="none"/>
          <w:lang w:val="en-US" w:eastAsia="zh-CN"/>
        </w:rPr>
        <w:t>格式</w:t>
      </w:r>
      <w:r>
        <w:rPr>
          <w:rFonts w:hint="eastAsia" w:ascii="宋体" w:hAnsi="宋体" w:eastAsia="宋体" w:cs="Times New Roman"/>
          <w:bCs/>
          <w:color w:val="auto"/>
          <w:sz w:val="24"/>
          <w:highlight w:val="none"/>
        </w:rPr>
        <w:t>不符合招标文件要求的；</w:t>
      </w:r>
    </w:p>
    <w:p>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ascii="宋体" w:hAnsi="宋体"/>
          <w:color w:val="auto"/>
          <w:sz w:val="24"/>
          <w:highlight w:val="none"/>
        </w:rPr>
        <w:t>投标文件的实质性内容未使用中文表述、意思表述不明确、前后矛盾或者使用计量单位不符合招标文件要求的（经评标委员会认定</w:t>
      </w:r>
      <w:r>
        <w:rPr>
          <w:rFonts w:hint="eastAsia" w:ascii="宋体" w:hAnsi="宋体"/>
          <w:color w:val="auto"/>
          <w:sz w:val="24"/>
          <w:highlight w:val="none"/>
        </w:rPr>
        <w:t>并</w:t>
      </w:r>
      <w:r>
        <w:rPr>
          <w:rFonts w:ascii="宋体" w:hAnsi="宋体"/>
          <w:color w:val="auto"/>
          <w:sz w:val="24"/>
          <w:highlight w:val="none"/>
        </w:rPr>
        <w:t>允许其当场更正的笔误除外）</w:t>
      </w:r>
      <w:r>
        <w:rPr>
          <w:rFonts w:hint="eastAsia" w:ascii="宋体" w:hAnsi="宋体"/>
          <w:color w:val="auto"/>
          <w:sz w:val="24"/>
          <w:highlight w:val="none"/>
        </w:rPr>
        <w:t>；</w:t>
      </w:r>
    </w:p>
    <w:p>
      <w:pPr>
        <w:snapToGrid w:val="0"/>
        <w:spacing w:line="360" w:lineRule="auto"/>
        <w:ind w:firstLine="470" w:firstLineChars="196"/>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lang w:val="en-US" w:eastAsia="zh-CN"/>
        </w:rPr>
        <w:t>8</w:t>
      </w:r>
      <w:r>
        <w:rPr>
          <w:rFonts w:ascii="宋体" w:hAnsi="宋体"/>
          <w:color w:val="auto"/>
          <w:sz w:val="24"/>
          <w:highlight w:val="none"/>
        </w:rPr>
        <w:t>）投标有效期、</w:t>
      </w:r>
      <w:r>
        <w:rPr>
          <w:rFonts w:hint="eastAsia" w:ascii="宋体" w:hAnsi="宋体"/>
          <w:color w:val="auto"/>
          <w:sz w:val="24"/>
          <w:highlight w:val="none"/>
        </w:rPr>
        <w:t>服务</w:t>
      </w:r>
      <w:r>
        <w:rPr>
          <w:rFonts w:ascii="宋体" w:hAnsi="宋体"/>
          <w:color w:val="auto"/>
          <w:sz w:val="24"/>
          <w:highlight w:val="none"/>
        </w:rPr>
        <w:t>时间等商务条款不能满足招标文件要求的；</w:t>
      </w:r>
    </w:p>
    <w:p>
      <w:pPr>
        <w:snapToGrid w:val="0"/>
        <w:spacing w:line="360" w:lineRule="auto"/>
        <w:ind w:firstLine="470" w:firstLineChars="196"/>
        <w:jc w:val="left"/>
        <w:rPr>
          <w:rFonts w:hint="default" w:eastAsia="宋体"/>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9</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投标人有串通投标、弄虚作假、行贿等违法行为的；</w:t>
      </w:r>
    </w:p>
    <w:p>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10</w:t>
      </w:r>
      <w:r>
        <w:rPr>
          <w:rFonts w:hint="eastAsia" w:ascii="宋体" w:hAnsi="宋体" w:eastAsia="宋体" w:cs="Times New Roman"/>
          <w:bCs/>
          <w:color w:val="auto"/>
          <w:sz w:val="24"/>
          <w:highlight w:val="none"/>
        </w:rPr>
        <w:t>）两家或两家以上投标单位的ip地址（或工程清单锁地址）相同，视为串标行为，取消评标资格。</w:t>
      </w:r>
    </w:p>
    <w:p>
      <w:pPr>
        <w:snapToGrid w:val="0"/>
        <w:spacing w:line="360" w:lineRule="auto"/>
        <w:ind w:firstLine="470" w:firstLineChars="196"/>
        <w:jc w:val="left"/>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（11）未实质性响应招标文件要求或者投标文件有招标方不能接受的附加条件的；</w:t>
      </w:r>
    </w:p>
    <w:p>
      <w:pPr>
        <w:snapToGrid w:val="0"/>
        <w:spacing w:line="360" w:lineRule="auto"/>
        <w:ind w:firstLine="470" w:firstLineChars="196"/>
        <w:jc w:val="left"/>
        <w:rPr>
          <w:rFonts w:hAnsi="宋体"/>
          <w:color w:val="auto"/>
          <w:sz w:val="24"/>
          <w:highlight w:val="none"/>
        </w:rPr>
      </w:pPr>
      <w:r>
        <w:rPr>
          <w:rFonts w:hint="eastAsia" w:ascii="宋体" w:hAnsi="宋体" w:cs="Times New Roman"/>
          <w:color w:val="auto"/>
          <w:sz w:val="24"/>
          <w:highlight w:val="none"/>
          <w:lang w:val="en-US" w:eastAsia="zh-CN"/>
        </w:rPr>
        <w:t>（12）法律</w:t>
      </w:r>
      <w:r>
        <w:rPr>
          <w:rFonts w:hint="eastAsia" w:hAnsi="宋体"/>
          <w:color w:val="auto"/>
          <w:sz w:val="24"/>
          <w:highlight w:val="none"/>
        </w:rPr>
        <w:t>法规或规章规定属无效标情形的。</w:t>
      </w:r>
    </w:p>
    <w:p>
      <w:pPr>
        <w:pStyle w:val="12"/>
        <w:snapToGrid w:val="0"/>
        <w:spacing w:line="360" w:lineRule="auto"/>
        <w:rPr>
          <w:rFonts w:hAnsi="宋体"/>
          <w:b/>
          <w:bCs/>
          <w:color w:val="auto"/>
          <w:sz w:val="24"/>
          <w:highlight w:val="none"/>
        </w:rPr>
      </w:pPr>
      <w:r>
        <w:rPr>
          <w:rFonts w:hint="eastAsia" w:hAnsi="宋体"/>
          <w:b/>
          <w:bCs/>
          <w:color w:val="auto"/>
          <w:sz w:val="24"/>
          <w:highlight w:val="none"/>
        </w:rPr>
        <w:t>2.在技术标评审时，如发现下列情形之一的，投标文件将被视为无效：</w:t>
      </w:r>
    </w:p>
    <w:p>
      <w:pPr>
        <w:pStyle w:val="12"/>
        <w:snapToGrid w:val="0"/>
        <w:spacing w:line="360" w:lineRule="auto"/>
        <w:rPr>
          <w:rFonts w:ascii="仿宋" w:hAnsi="仿宋" w:cs="仿宋"/>
          <w:color w:val="auto"/>
          <w:sz w:val="22"/>
          <w:szCs w:val="22"/>
          <w:highlight w:val="none"/>
        </w:rPr>
      </w:pPr>
      <w:r>
        <w:rPr>
          <w:rFonts w:hint="eastAsia" w:hAnsi="宋体"/>
          <w:color w:val="auto"/>
          <w:sz w:val="24"/>
          <w:highlight w:val="none"/>
        </w:rPr>
        <w:t>（1）未实质性响应招标文件要求或者明显不符合招标文件要求的规格型号、质量标准</w:t>
      </w:r>
      <w:r>
        <w:rPr>
          <w:rFonts w:hint="eastAsia" w:ascii="仿宋" w:hAnsi="仿宋" w:eastAsia="仿宋" w:cs="仿宋"/>
          <w:color w:val="auto"/>
          <w:sz w:val="22"/>
          <w:szCs w:val="22"/>
          <w:highlight w:val="none"/>
        </w:rPr>
        <w:t>。</w:t>
      </w:r>
    </w:p>
    <w:p>
      <w:pPr>
        <w:pStyle w:val="12"/>
        <w:snapToGrid w:val="0"/>
        <w:spacing w:line="360" w:lineRule="auto"/>
        <w:rPr>
          <w:rFonts w:hAnsi="宋体"/>
          <w:b/>
          <w:bCs/>
          <w:color w:val="auto"/>
          <w:sz w:val="24"/>
          <w:highlight w:val="none"/>
        </w:rPr>
      </w:pPr>
      <w:r>
        <w:rPr>
          <w:rFonts w:hint="eastAsia" w:hAnsi="宋体" w:cs="Calibri"/>
          <w:b/>
          <w:bCs/>
          <w:color w:val="auto"/>
          <w:sz w:val="24"/>
          <w:highlight w:val="none"/>
        </w:rPr>
        <w:t>3</w:t>
      </w:r>
      <w:r>
        <w:rPr>
          <w:rFonts w:hAnsi="宋体" w:cs="Calibri"/>
          <w:b/>
          <w:bCs/>
          <w:color w:val="auto"/>
          <w:sz w:val="24"/>
          <w:highlight w:val="none"/>
        </w:rPr>
        <w:t>.</w:t>
      </w:r>
      <w:r>
        <w:rPr>
          <w:rFonts w:hAnsi="宋体"/>
          <w:b/>
          <w:bCs/>
          <w:color w:val="auto"/>
          <w:sz w:val="24"/>
          <w:highlight w:val="none"/>
        </w:rPr>
        <w:t>在报价评审时，如发现下列情形之一的，投标文件将被视为无效：</w:t>
      </w:r>
    </w:p>
    <w:p>
      <w:pPr>
        <w:pStyle w:val="12"/>
        <w:snapToGrid w:val="0"/>
        <w:spacing w:line="360" w:lineRule="auto"/>
        <w:rPr>
          <w:rFonts w:hAnsi="宋体"/>
          <w:color w:val="auto"/>
          <w:sz w:val="24"/>
          <w:highlight w:val="none"/>
        </w:rPr>
      </w:pPr>
      <w:r>
        <w:rPr>
          <w:rFonts w:hint="eastAsia" w:hAnsi="宋体"/>
          <w:color w:val="auto"/>
          <w:sz w:val="24"/>
          <w:highlight w:val="none"/>
        </w:rPr>
        <w:t>（1）未采用人民币报价或者未按照招标文件标明的币种报价的；</w:t>
      </w:r>
    </w:p>
    <w:p>
      <w:pPr>
        <w:pStyle w:val="12"/>
        <w:snapToGrid w:val="0"/>
        <w:spacing w:line="360" w:lineRule="auto"/>
        <w:rPr>
          <w:rFonts w:hAnsi="宋体"/>
          <w:color w:val="auto"/>
          <w:sz w:val="24"/>
          <w:highlight w:val="none"/>
        </w:rPr>
      </w:pPr>
      <w:r>
        <w:rPr>
          <w:rFonts w:hint="eastAsia" w:hAnsi="宋体"/>
          <w:color w:val="auto"/>
          <w:sz w:val="24"/>
          <w:highlight w:val="none"/>
        </w:rPr>
        <w:t>（2）投标报价具有选择性，或者开标价格与投标文件承诺的优惠（折扣）价格不一致的；</w:t>
      </w:r>
    </w:p>
    <w:p>
      <w:pPr>
        <w:pStyle w:val="12"/>
        <w:snapToGrid w:val="0"/>
        <w:spacing w:line="360" w:lineRule="auto"/>
        <w:rPr>
          <w:rFonts w:hAnsi="宋体"/>
          <w:color w:val="auto"/>
          <w:sz w:val="24"/>
          <w:highlight w:val="none"/>
        </w:rPr>
      </w:pPr>
      <w:r>
        <w:rPr>
          <w:rFonts w:hint="eastAsia" w:hAnsi="宋体"/>
          <w:color w:val="auto"/>
          <w:sz w:val="24"/>
          <w:highlight w:val="none"/>
        </w:rPr>
        <w:t>（3）投标报价不得超过单价最高限价或总价最高限价，超过单价最高限价或总价最高限价的报价为无效标。</w:t>
      </w:r>
    </w:p>
    <w:p>
      <w:pPr>
        <w:pStyle w:val="12"/>
        <w:snapToGrid w:val="0"/>
        <w:spacing w:line="360" w:lineRule="auto"/>
        <w:rPr>
          <w:rFonts w:hAnsi="宋体"/>
          <w:color w:val="auto"/>
          <w:sz w:val="24"/>
          <w:highlight w:val="none"/>
        </w:rPr>
      </w:pPr>
      <w:r>
        <w:rPr>
          <w:rFonts w:hint="eastAsia" w:hAnsi="宋体"/>
          <w:color w:val="auto"/>
          <w:sz w:val="24"/>
          <w:highlight w:val="none"/>
        </w:rPr>
        <w:t>（4）</w:t>
      </w:r>
      <w:r>
        <w:rPr>
          <w:rFonts w:hint="eastAsia" w:hAnsi="宋体"/>
          <w:b/>
          <w:color w:val="auto"/>
          <w:sz w:val="24"/>
          <w:highlight w:val="none"/>
        </w:rPr>
        <w:t>评标委员会认为投标人的报价明显低于其他通过符合性审查投标人的报价，有可能影响产品质量或者不能诚信履约的，应当要求其在评标程序中给予的合理时间内提供书面说明，必要时提交相关证明材料;投标人不能证明其报价合理性的，评标委员会应当将其作为无效投标处理</w:t>
      </w:r>
      <w:r>
        <w:rPr>
          <w:rFonts w:hint="eastAsia" w:hAnsi="宋体"/>
          <w:color w:val="auto"/>
          <w:sz w:val="24"/>
          <w:highlight w:val="none"/>
        </w:rPr>
        <w:t>。</w:t>
      </w:r>
    </w:p>
    <w:p>
      <w:pPr>
        <w:pStyle w:val="12"/>
        <w:snapToGrid w:val="0"/>
        <w:spacing w:line="360" w:lineRule="auto"/>
        <w:rPr>
          <w:rFonts w:hAnsi="宋体"/>
          <w:b/>
          <w:color w:val="auto"/>
          <w:sz w:val="24"/>
          <w:highlight w:val="none"/>
        </w:rPr>
      </w:pPr>
      <w:r>
        <w:rPr>
          <w:rFonts w:hint="eastAsia" w:hAnsi="宋体"/>
          <w:b/>
          <w:color w:val="auto"/>
          <w:sz w:val="24"/>
          <w:highlight w:val="none"/>
        </w:rPr>
        <w:t>4</w:t>
      </w:r>
      <w:r>
        <w:rPr>
          <w:rFonts w:hAnsi="宋体"/>
          <w:b/>
          <w:color w:val="auto"/>
          <w:sz w:val="24"/>
          <w:highlight w:val="none"/>
        </w:rPr>
        <w:t>.被拒绝的报价文件为无效。</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pStyle w:val="14"/>
        <w:snapToGrid w:val="0"/>
        <w:spacing w:line="360" w:lineRule="auto"/>
        <w:ind w:firstLine="413" w:firstLineChars="196"/>
        <w:rPr>
          <w:rFonts w:hAnsi="宋体"/>
          <w:b/>
          <w:bCs/>
        </w:rPr>
      </w:pPr>
      <w:r>
        <w:rPr>
          <w:rFonts w:hAnsi="宋体"/>
          <w:b/>
          <w:bCs/>
        </w:rPr>
        <w:t>（一）开标</w:t>
      </w:r>
    </w:p>
    <w:p>
      <w:pPr>
        <w:pStyle w:val="21"/>
        <w:widowControl w:val="0"/>
        <w:snapToGrid w:val="0"/>
        <w:spacing w:before="156" w:beforeLines="50" w:beforeAutospacing="0" w:after="0" w:afterAutospacing="0" w:line="360" w:lineRule="auto"/>
        <w:ind w:firstLine="480" w:firstLineChars="200"/>
        <w:jc w:val="both"/>
        <w:rPr>
          <w:rFonts w:hint="default"/>
          <w:bCs/>
        </w:rPr>
      </w:pPr>
      <w:r>
        <w:rPr>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28"/>
        </w:rPr>
        <w:t>http://www.tzwztb.com/live/</w:t>
      </w:r>
      <w:r>
        <w:rPr>
          <w:rStyle w:val="28"/>
        </w:rPr>
        <w:fldChar w:fldCharType="end"/>
      </w:r>
      <w:r>
        <w:rPr>
          <w:rFonts w:hint="default"/>
        </w:rPr>
        <w:t xml:space="preserve"> </w:t>
      </w:r>
      <w:r>
        <w:t>。</w:t>
      </w:r>
    </w:p>
    <w:p>
      <w:pPr>
        <w:pStyle w:val="14"/>
        <w:snapToGrid w:val="0"/>
        <w:spacing w:before="120" w:after="120" w:line="360" w:lineRule="auto"/>
        <w:ind w:firstLine="482" w:firstLineChars="200"/>
        <w:rPr>
          <w:rFonts w:hAnsi="宋体" w:cs="宋体"/>
          <w:b/>
          <w:bCs/>
          <w:sz w:val="24"/>
        </w:rPr>
      </w:pPr>
      <w:r>
        <w:rPr>
          <w:rFonts w:hAnsi="宋体" w:cs="宋体"/>
          <w:b/>
          <w:bCs/>
          <w:sz w:val="24"/>
        </w:rPr>
        <w:t>（二） 开标程序：</w:t>
      </w:r>
    </w:p>
    <w:p>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pPr>
        <w:snapToGrid w:val="0"/>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lang w:eastAsia="zh-CN"/>
        </w:rPr>
        <w:t>招标人</w:t>
      </w:r>
      <w:r>
        <w:rPr>
          <w:rFonts w:ascii="宋体" w:hAnsi="宋体" w:cs="宋体"/>
          <w:sz w:val="24"/>
        </w:rPr>
        <w:t>依法对资格文件进行审查，评标委员会对技术文件进行评审。</w:t>
      </w:r>
    </w:p>
    <w:p>
      <w:pPr>
        <w:snapToGrid w:val="0"/>
        <w:spacing w:line="360" w:lineRule="auto"/>
        <w:ind w:firstLine="480" w:firstLineChars="200"/>
        <w:rPr>
          <w:rFonts w:ascii="宋体" w:hAnsi="宋体" w:cs="宋体"/>
          <w:sz w:val="24"/>
        </w:rPr>
      </w:pPr>
      <w:r>
        <w:rPr>
          <w:rFonts w:ascii="宋体" w:hAnsi="宋体" w:cs="宋体"/>
          <w:sz w:val="24"/>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sz w:val="24"/>
        </w:rPr>
      </w:pPr>
      <w:r>
        <w:rPr>
          <w:rFonts w:ascii="宋体" w:hAnsi="宋体" w:cs="宋体"/>
          <w:sz w:val="24"/>
        </w:rPr>
        <w:t>5、开启各投标人</w:t>
      </w:r>
      <w:r>
        <w:rPr>
          <w:rFonts w:hint="eastAsia" w:ascii="宋体" w:hAnsi="宋体" w:cs="宋体"/>
          <w:sz w:val="24"/>
        </w:rPr>
        <w:t>商务</w:t>
      </w:r>
      <w:r>
        <w:rPr>
          <w:rFonts w:ascii="宋体" w:hAnsi="宋体" w:cs="宋体"/>
          <w:sz w:val="24"/>
        </w:rPr>
        <w:t>文件。</w:t>
      </w:r>
    </w:p>
    <w:p>
      <w:pPr>
        <w:snapToGrid w:val="0"/>
        <w:spacing w:line="360" w:lineRule="auto"/>
        <w:ind w:firstLine="480" w:firstLineChars="200"/>
        <w:rPr>
          <w:rFonts w:ascii="宋体" w:hAnsi="宋体" w:cs="宋体"/>
          <w:sz w:val="24"/>
          <w:lang w:val="zh-CN"/>
        </w:rPr>
      </w:pPr>
      <w:r>
        <w:rPr>
          <w:rFonts w:ascii="宋体" w:hAnsi="宋体" w:cs="宋体"/>
          <w:sz w:val="24"/>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sz w:val="24"/>
        </w:rPr>
      </w:pPr>
      <w:r>
        <w:rPr>
          <w:rFonts w:ascii="宋体" w:hAnsi="宋体" w:cs="宋体"/>
          <w:sz w:val="24"/>
        </w:rPr>
        <w:t>7、评标结束后，主持人公布投标</w:t>
      </w:r>
      <w:r>
        <w:rPr>
          <w:rFonts w:hint="eastAsia" w:ascii="宋体" w:hAnsi="宋体" w:cs="宋体"/>
          <w:sz w:val="24"/>
        </w:rPr>
        <w:t>商务</w:t>
      </w:r>
      <w:r>
        <w:rPr>
          <w:rFonts w:ascii="宋体" w:hAnsi="宋体" w:cs="宋体"/>
          <w:sz w:val="24"/>
        </w:rPr>
        <w:t>得分、综合得分以及推荐中标候选人排序名单。</w:t>
      </w:r>
    </w:p>
    <w:p>
      <w:pPr>
        <w:snapToGrid w:val="0"/>
        <w:spacing w:line="360" w:lineRule="auto"/>
        <w:ind w:firstLine="480" w:firstLineChars="200"/>
        <w:rPr>
          <w:rFonts w:ascii="宋体" w:hAnsi="宋体" w:cs="宋体"/>
          <w:sz w:val="24"/>
        </w:rPr>
      </w:pPr>
      <w:r>
        <w:rPr>
          <w:rFonts w:ascii="宋体" w:hAnsi="宋体" w:cs="宋体"/>
          <w:sz w:val="24"/>
        </w:rPr>
        <w:t>8、开标会议结束。</w:t>
      </w:r>
    </w:p>
    <w:p>
      <w:pPr>
        <w:snapToGrid w:val="0"/>
        <w:spacing w:line="360" w:lineRule="auto"/>
        <w:ind w:firstLine="480" w:firstLineChars="200"/>
        <w:rPr>
          <w:rFonts w:ascii="宋体" w:hAnsi="宋体" w:cs="宋体"/>
          <w:sz w:val="24"/>
        </w:rPr>
      </w:pPr>
      <w:r>
        <w:rPr>
          <w:rFonts w:ascii="宋体" w:hAnsi="宋体" w:cs="宋体"/>
          <w:sz w:val="24"/>
        </w:rPr>
        <w:t>9、其他注意事项：</w:t>
      </w:r>
    </w:p>
    <w:p>
      <w:pPr>
        <w:snapToGrid w:val="0"/>
        <w:spacing w:line="360" w:lineRule="auto"/>
        <w:ind w:firstLine="480" w:firstLineChars="200"/>
        <w:rPr>
          <w:rFonts w:ascii="宋体" w:hAnsi="宋体" w:cs="宋体"/>
          <w:sz w:val="24"/>
        </w:rPr>
      </w:pPr>
      <w:r>
        <w:rPr>
          <w:rFonts w:hint="eastAsia" w:ascii="宋体" w:hAnsi="宋体" w:cs="宋体"/>
          <w:sz w:val="24"/>
        </w:rPr>
        <w:t xml:space="preserve">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sz w:val="24"/>
        </w:rPr>
      </w:pPr>
      <w:r>
        <w:rPr>
          <w:rFonts w:hint="eastAsia" w:ascii="宋体" w:hAnsi="宋体" w:cs="宋体"/>
          <w:sz w:val="24"/>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sz w:val="24"/>
        </w:rPr>
      </w:pPr>
      <w:r>
        <w:rPr>
          <w:rFonts w:hint="eastAsia" w:ascii="宋体" w:hAnsi="宋体" w:cs="宋体"/>
          <w:sz w:val="24"/>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pPr>
        <w:snapToGrid w:val="0"/>
        <w:spacing w:line="360" w:lineRule="auto"/>
        <w:ind w:firstLine="480" w:firstLineChars="200"/>
        <w:rPr>
          <w:rFonts w:ascii="宋体" w:hAnsi="宋体" w:cs="宋体"/>
          <w:sz w:val="24"/>
        </w:rPr>
      </w:pPr>
      <w:r>
        <w:rPr>
          <w:rFonts w:hint="eastAsia" w:ascii="宋体" w:hAnsi="宋体" w:cs="宋体"/>
          <w:sz w:val="24"/>
        </w:rPr>
        <w:t>（1）开标项目的时间均以国家授时中心发布的时间为准。</w:t>
      </w:r>
    </w:p>
    <w:p>
      <w:pPr>
        <w:snapToGrid w:val="0"/>
        <w:spacing w:line="360" w:lineRule="auto"/>
        <w:ind w:firstLine="480" w:firstLineChars="200"/>
        <w:rPr>
          <w:rFonts w:ascii="宋体" w:hAnsi="宋体" w:cs="宋体"/>
          <w:sz w:val="24"/>
        </w:rPr>
      </w:pPr>
      <w:r>
        <w:rPr>
          <w:rFonts w:hint="eastAsia" w:ascii="宋体" w:hAnsi="宋体" w:cs="宋体"/>
          <w:sz w:val="24"/>
        </w:rPr>
        <w:t>（2）若投标人已申请多把CA锁，请注意使用差别。因ca锁使用错误引发的问题，由投标人自己负责。</w:t>
      </w:r>
    </w:p>
    <w:p>
      <w:pPr>
        <w:snapToGrid w:val="0"/>
        <w:spacing w:line="360" w:lineRule="auto"/>
        <w:ind w:firstLine="480" w:firstLineChars="200"/>
        <w:rPr>
          <w:rFonts w:hAnsi="宋体"/>
          <w:bCs/>
        </w:rPr>
      </w:pPr>
      <w:r>
        <w:rPr>
          <w:rFonts w:hint="eastAsia" w:ascii="宋体" w:hAnsi="宋体" w:cs="宋体"/>
          <w:sz w:val="24"/>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kern w:val="0"/>
          <w:sz w:val="24"/>
        </w:rPr>
      </w:pPr>
      <w:r>
        <w:rPr>
          <w:rFonts w:hint="eastAsia" w:ascii="宋体" w:hAnsi="宋体"/>
          <w:b/>
          <w:kern w:val="0"/>
          <w:sz w:val="24"/>
        </w:rPr>
        <w:t>（三） 异常情况处理：</w:t>
      </w:r>
    </w:p>
    <w:p>
      <w:pPr>
        <w:snapToGrid w:val="0"/>
        <w:spacing w:line="360" w:lineRule="auto"/>
        <w:ind w:firstLine="480" w:firstLineChars="200"/>
        <w:rPr>
          <w:rFonts w:ascii="宋体" w:hAnsi="宋体"/>
          <w:sz w:val="24"/>
        </w:rPr>
      </w:pPr>
      <w:r>
        <w:rPr>
          <w:rFonts w:hint="eastAsia" w:ascii="宋体" w:hAnsi="宋体"/>
          <w:sz w:val="24"/>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sz w:val="24"/>
        </w:rPr>
      </w:pPr>
      <w:r>
        <w:rPr>
          <w:rFonts w:hint="eastAsia" w:ascii="宋体" w:hAnsi="宋体"/>
          <w:sz w:val="24"/>
        </w:rPr>
        <w:t>1、电子交易平台发生故障而无法登录访问的；</w:t>
      </w:r>
    </w:p>
    <w:p>
      <w:pPr>
        <w:snapToGrid w:val="0"/>
        <w:spacing w:line="360" w:lineRule="auto"/>
        <w:ind w:firstLine="480" w:firstLineChars="200"/>
        <w:rPr>
          <w:rFonts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rPr>
          <w:rFonts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rPr>
          <w:rFonts w:ascii="宋体" w:hAnsi="宋体"/>
          <w:sz w:val="24"/>
        </w:rPr>
      </w:pPr>
      <w:r>
        <w:rPr>
          <w:rFonts w:hint="eastAsia" w:ascii="宋体" w:hAnsi="宋体"/>
          <w:sz w:val="24"/>
        </w:rPr>
        <w:t>4、病毒发作导致不能进行正常操作的；</w:t>
      </w:r>
    </w:p>
    <w:p>
      <w:pPr>
        <w:snapToGrid w:val="0"/>
        <w:spacing w:line="360" w:lineRule="auto"/>
        <w:ind w:firstLine="480" w:firstLineChars="200"/>
        <w:rPr>
          <w:rFonts w:ascii="宋体" w:hAnsi="宋体"/>
          <w:sz w:val="24"/>
        </w:rPr>
      </w:pPr>
      <w:r>
        <w:rPr>
          <w:rFonts w:hint="eastAsia" w:ascii="宋体" w:hAnsi="宋体"/>
          <w:sz w:val="24"/>
        </w:rPr>
        <w:t>5、其他无法保证电子交易的公平、公正和安全的情况。</w:t>
      </w:r>
    </w:p>
    <w:p>
      <w:pPr>
        <w:pStyle w:val="8"/>
        <w:spacing w:line="360" w:lineRule="auto"/>
        <w:ind w:firstLine="480" w:firstLineChars="200"/>
        <w:rPr>
          <w:rFonts w:ascii="宋体" w:hAnsi="宋体"/>
          <w:sz w:val="24"/>
        </w:rPr>
      </w:pPr>
      <w:r>
        <w:rPr>
          <w:rFonts w:hint="eastAsia" w:ascii="宋体" w:hAnsi="宋体"/>
          <w:sz w:val="24"/>
        </w:rPr>
        <w:t>出现前款规定情形，不影响采购公平、公正性的，采购组织机构可以待上述情形消除后继续组织电子交易活动。</w:t>
      </w:r>
    </w:p>
    <w:p>
      <w:pPr>
        <w:pStyle w:val="8"/>
        <w:spacing w:line="360" w:lineRule="auto"/>
        <w:ind w:firstLine="723" w:firstLineChars="300"/>
        <w:rPr>
          <w:b/>
          <w:bCs/>
          <w:sz w:val="24"/>
          <w:szCs w:val="22"/>
        </w:rPr>
      </w:pPr>
      <w:r>
        <w:rPr>
          <w:rFonts w:hint="eastAsia"/>
          <w:b/>
          <w:bCs/>
          <w:sz w:val="24"/>
          <w:szCs w:val="22"/>
        </w:rPr>
        <w:t>（四）开标异议</w:t>
      </w:r>
    </w:p>
    <w:p>
      <w:pPr>
        <w:pStyle w:val="8"/>
        <w:spacing w:line="360" w:lineRule="auto"/>
        <w:ind w:firstLine="480" w:firstLineChars="200"/>
        <w:rPr>
          <w:sz w:val="24"/>
          <w:szCs w:val="22"/>
        </w:rPr>
      </w:pPr>
      <w:r>
        <w:rPr>
          <w:rFonts w:hint="eastAsia"/>
          <w:sz w:val="24"/>
          <w:szCs w:val="22"/>
        </w:rPr>
        <w:t>投标人代表对开标过程和开标记录有疑义，以及认为</w:t>
      </w:r>
      <w:r>
        <w:rPr>
          <w:rFonts w:hint="eastAsia"/>
          <w:sz w:val="24"/>
          <w:szCs w:val="22"/>
          <w:lang w:eastAsia="zh-CN"/>
        </w:rPr>
        <w:t>招标人</w:t>
      </w:r>
      <w:r>
        <w:rPr>
          <w:rFonts w:hint="eastAsia"/>
          <w:sz w:val="24"/>
          <w:szCs w:val="22"/>
        </w:rPr>
        <w:t>、采购组织机构相关工作人员有需要回避的情形的，应当场提出询问或者回避申请，开标会议结束后不再接受相关询问、质疑或者回避申请。</w:t>
      </w:r>
    </w:p>
    <w:p>
      <w:pPr>
        <w:snapToGrid w:val="0"/>
        <w:spacing w:line="360" w:lineRule="auto"/>
        <w:ind w:firstLine="482" w:firstLineChars="200"/>
        <w:rPr>
          <w:rFonts w:hint="eastAsia" w:ascii="宋体" w:hAnsi="宋体" w:eastAsia="宋体" w:cs="Times New Roman"/>
          <w:sz w:val="24"/>
        </w:rPr>
      </w:pPr>
      <w:r>
        <w:rPr>
          <w:rFonts w:hint="eastAsia" w:ascii="宋体" w:hAnsi="宋体" w:eastAsia="宋体" w:cs="Times New Roman"/>
          <w:b/>
          <w:bCs/>
          <w:sz w:val="24"/>
        </w:rPr>
        <w:t>（五）投标人不足三家，不得开标。</w:t>
      </w:r>
    </w:p>
    <w:p>
      <w:pPr>
        <w:pStyle w:val="14"/>
        <w:snapToGrid w:val="0"/>
        <w:spacing w:before="156" w:after="156" w:line="360" w:lineRule="auto"/>
        <w:ind w:left="787" w:leftChars="128" w:hanging="518" w:hangingChars="215"/>
        <w:rPr>
          <w:rFonts w:hint="eastAsia" w:asciiTheme="minorEastAsia" w:hAnsiTheme="minorEastAsia" w:eastAsiaTheme="minorEastAsia"/>
          <w:b/>
          <w:sz w:val="24"/>
        </w:rPr>
      </w:pPr>
      <w:r>
        <w:rPr>
          <w:rFonts w:hint="eastAsia" w:asciiTheme="minorEastAsia" w:hAnsiTheme="minorEastAsia" w:eastAsiaTheme="minorEastAsia"/>
          <w:b/>
          <w:sz w:val="24"/>
        </w:rPr>
        <w:t>五、评标</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（一）组建</w:t>
      </w:r>
      <w:r>
        <w:rPr>
          <w:rFonts w:hint="eastAsia" w:ascii="宋体" w:hAnsi="宋体" w:eastAsia="宋体" w:cs="Times New Roman"/>
          <w:b/>
          <w:bCs/>
          <w:color w:val="0D0D0D"/>
          <w:kern w:val="2"/>
          <w:sz w:val="24"/>
          <w:szCs w:val="24"/>
          <w:lang w:val="en-US" w:eastAsia="zh-CN" w:bidi="ar-SA"/>
        </w:rPr>
        <w:t>评标委员会</w:t>
      </w:r>
    </w:p>
    <w:p>
      <w:pPr>
        <w:pStyle w:val="14"/>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本项目评标委员会由评审专家和</w:t>
      </w:r>
      <w:r>
        <w:rPr>
          <w:rFonts w:hint="eastAsia" w:ascii="Times New Roman" w:hAnsi="Times New Roman" w:cs="Times New Roman"/>
          <w:kern w:val="2"/>
          <w:sz w:val="24"/>
          <w:szCs w:val="22"/>
          <w:lang w:val="en-US" w:eastAsia="zh-CN" w:bidi="ar-SA"/>
        </w:rPr>
        <w:t>招标人</w:t>
      </w:r>
      <w:r>
        <w:rPr>
          <w:rFonts w:hint="eastAsia" w:ascii="Times New Roman" w:hAnsi="Times New Roman" w:eastAsia="宋体" w:cs="Times New Roman"/>
          <w:kern w:val="2"/>
          <w:sz w:val="24"/>
          <w:szCs w:val="22"/>
          <w:lang w:val="en-US" w:eastAsia="zh-CN" w:bidi="ar-SA"/>
        </w:rPr>
        <w:t>代表</w:t>
      </w:r>
      <w:r>
        <w:rPr>
          <w:rFonts w:hint="eastAsia" w:ascii="Times New Roman" w:hAnsi="Times New Roman" w:cs="Times New Roman"/>
          <w:kern w:val="2"/>
          <w:sz w:val="24"/>
          <w:szCs w:val="22"/>
          <w:lang w:val="en-US" w:eastAsia="zh-CN" w:bidi="ar-SA"/>
        </w:rPr>
        <w:t>（如有）</w:t>
      </w:r>
      <w:r>
        <w:rPr>
          <w:rFonts w:hint="eastAsia" w:ascii="Times New Roman" w:hAnsi="Times New Roman" w:eastAsia="宋体" w:cs="Times New Roman"/>
          <w:kern w:val="2"/>
          <w:sz w:val="24"/>
          <w:szCs w:val="22"/>
          <w:lang w:val="en-US" w:eastAsia="zh-CN" w:bidi="ar-SA"/>
        </w:rPr>
        <w:t>组成。</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（二）评标的方式</w:t>
      </w:r>
    </w:p>
    <w:p>
      <w:pPr>
        <w:pStyle w:val="14"/>
        <w:snapToGrid w:val="0"/>
        <w:spacing w:beforeLines="0" w:afterLines="0" w:line="360" w:lineRule="auto"/>
        <w:ind w:firstLine="480" w:firstLineChars="200"/>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本项目采用不公开方式评标，评标的依据为招标文件和报价文件。</w:t>
      </w:r>
    </w:p>
    <w:p>
      <w:pPr>
        <w:pStyle w:val="14"/>
        <w:snapToGrid w:val="0"/>
        <w:spacing w:beforeLines="0" w:afterLines="0" w:line="360" w:lineRule="auto"/>
        <w:ind w:left="787" w:leftChars="128" w:hanging="518" w:hangingChars="215"/>
        <w:rPr>
          <w:rFonts w:ascii="宋体" w:hAnsi="宋体" w:eastAsia="宋体" w:cs="Times New Roman"/>
          <w:b/>
          <w:bCs/>
          <w:color w:val="0D0D0D"/>
          <w:kern w:val="2"/>
          <w:sz w:val="24"/>
          <w:szCs w:val="24"/>
          <w:lang w:val="en-US" w:eastAsia="zh-CN" w:bidi="ar-SA"/>
        </w:rPr>
      </w:pPr>
      <w:r>
        <w:rPr>
          <w:rFonts w:ascii="宋体" w:hAnsi="宋体" w:eastAsia="宋体" w:cs="Times New Roman"/>
          <w:b/>
          <w:bCs/>
          <w:color w:val="0D0D0D"/>
          <w:kern w:val="2"/>
          <w:sz w:val="24"/>
          <w:szCs w:val="24"/>
          <w:lang w:val="en-US" w:eastAsia="zh-CN" w:bidi="ar-SA"/>
        </w:rPr>
        <w:t>（三）评标程序</w:t>
      </w:r>
    </w:p>
    <w:p>
      <w:pPr>
        <w:snapToGrid w:val="0"/>
        <w:spacing w:line="360" w:lineRule="auto"/>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pPr>
        <w:snapToGrid w:val="0"/>
        <w:spacing w:line="360" w:lineRule="auto"/>
        <w:ind w:firstLine="480" w:firstLineChars="200"/>
        <w:rPr>
          <w:rFonts w:hint="eastAsia" w:ascii="宋体" w:hAnsi="宋体"/>
          <w:b/>
          <w:color w:val="0D0D0D"/>
          <w:sz w:val="24"/>
          <w:szCs w:val="20"/>
        </w:rPr>
      </w:pPr>
      <w:r>
        <w:rPr>
          <w:rFonts w:hint="eastAsia" w:ascii="宋体" w:hAnsi="宋体"/>
          <w:color w:val="0D0D0D"/>
          <w:sz w:val="24"/>
        </w:rPr>
        <w:t>评标委员会对投标人的资格</w:t>
      </w:r>
      <w:r>
        <w:rPr>
          <w:rFonts w:ascii="宋体" w:hAnsi="宋体"/>
          <w:color w:val="0D0D0D"/>
          <w:sz w:val="24"/>
        </w:rPr>
        <w:t>和报价文件的完整性、合法性等进行审查。</w:t>
      </w:r>
    </w:p>
    <w:p>
      <w:pPr>
        <w:snapToGrid w:val="0"/>
        <w:spacing w:line="360" w:lineRule="auto"/>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pPr>
        <w:snapToGrid w:val="0"/>
        <w:spacing w:line="360" w:lineRule="auto"/>
        <w:ind w:firstLine="480" w:firstLineChars="200"/>
        <w:rPr>
          <w:rFonts w:hint="eastAsia"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pPr>
        <w:snapToGrid w:val="0"/>
        <w:spacing w:line="360" w:lineRule="auto"/>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pPr>
        <w:snapToGrid w:val="0"/>
        <w:spacing w:line="360" w:lineRule="auto"/>
        <w:ind w:firstLine="359" w:firstLineChars="149"/>
        <w:rPr>
          <w:rFonts w:ascii="宋体" w:hAnsi="宋体"/>
          <w:b/>
          <w:color w:val="0D0D0D"/>
          <w:sz w:val="24"/>
          <w:szCs w:val="20"/>
        </w:rPr>
      </w:pPr>
      <w:r>
        <w:rPr>
          <w:rFonts w:hint="eastAsia" w:ascii="宋体" w:hAnsi="宋体"/>
          <w:b/>
          <w:color w:val="0D0D0D"/>
          <w:sz w:val="24"/>
        </w:rPr>
        <w:t>（四）澄清问题的形式</w:t>
      </w:r>
    </w:p>
    <w:p>
      <w:pPr>
        <w:snapToGrid w:val="0"/>
        <w:spacing w:line="360" w:lineRule="auto"/>
        <w:ind w:firstLine="480" w:firstLineChars="200"/>
        <w:rPr>
          <w:rFonts w:ascii="宋体" w:hAnsi="宋体"/>
          <w:color w:val="auto"/>
          <w:sz w:val="24"/>
          <w:szCs w:val="20"/>
          <w:highlight w:val="none"/>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pPr>
        <w:autoSpaceDE w:val="0"/>
        <w:autoSpaceDN w:val="0"/>
        <w:adjustRightInd w:val="0"/>
        <w:spacing w:line="360" w:lineRule="auto"/>
        <w:ind w:firstLine="359" w:firstLineChars="149"/>
        <w:rPr>
          <w:rFonts w:ascii="宋体" w:hAnsi="宋体"/>
          <w:b/>
          <w:color w:val="auto"/>
          <w:kern w:val="0"/>
          <w:sz w:val="24"/>
          <w:highlight w:val="none"/>
        </w:rPr>
      </w:pPr>
      <w:r>
        <w:rPr>
          <w:rFonts w:hint="eastAsia" w:ascii="宋体" w:hAnsi="宋体"/>
          <w:b/>
          <w:color w:val="auto"/>
          <w:kern w:val="0"/>
          <w:sz w:val="24"/>
          <w:highlight w:val="none"/>
        </w:rPr>
        <w:t>（</w:t>
      </w:r>
      <w:r>
        <w:rPr>
          <w:rFonts w:hint="eastAsia" w:ascii="宋体" w:hAnsi="宋体"/>
          <w:b/>
          <w:color w:val="auto"/>
          <w:kern w:val="0"/>
          <w:sz w:val="24"/>
          <w:highlight w:val="none"/>
          <w:lang w:val="en-US" w:eastAsia="zh-CN"/>
        </w:rPr>
        <w:t>五</w:t>
      </w:r>
      <w:r>
        <w:rPr>
          <w:rFonts w:hint="eastAsia" w:ascii="宋体" w:hAnsi="宋体"/>
          <w:b/>
          <w:color w:val="auto"/>
          <w:kern w:val="0"/>
          <w:sz w:val="24"/>
          <w:highlight w:val="none"/>
        </w:rPr>
        <w:t>）有下列情况之一的，本次招标作为废标处理，除采购任务取消外，由</w:t>
      </w:r>
      <w:r>
        <w:rPr>
          <w:rFonts w:hint="eastAsia" w:ascii="宋体" w:hAnsi="宋体"/>
          <w:b/>
          <w:color w:val="auto"/>
          <w:kern w:val="0"/>
          <w:sz w:val="24"/>
          <w:highlight w:val="none"/>
          <w:lang w:eastAsia="zh-CN"/>
        </w:rPr>
        <w:t>招标人</w:t>
      </w:r>
      <w:r>
        <w:rPr>
          <w:rFonts w:hint="eastAsia" w:ascii="宋体" w:hAnsi="宋体"/>
          <w:b/>
          <w:color w:val="auto"/>
          <w:kern w:val="0"/>
          <w:sz w:val="24"/>
          <w:highlight w:val="none"/>
        </w:rPr>
        <w:t>重新组织招标：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1、评标委员会否决不合格投标后因有效标不足3个使得投标明显缺乏竞争，评标委员会否决全部投标的；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2、出现影响采购公正的违法、违规行为的；</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3、投标人的报价均超过了采购最高限价，</w:t>
      </w:r>
      <w:r>
        <w:rPr>
          <w:rFonts w:hint="eastAsia" w:ascii="宋体" w:hAnsi="宋体"/>
          <w:color w:val="auto"/>
          <w:sz w:val="24"/>
          <w:highlight w:val="none"/>
          <w:lang w:eastAsia="zh-CN"/>
        </w:rPr>
        <w:t>招标人</w:t>
      </w:r>
      <w:r>
        <w:rPr>
          <w:rFonts w:hint="eastAsia" w:ascii="宋体" w:hAnsi="宋体"/>
          <w:color w:val="auto"/>
          <w:sz w:val="24"/>
          <w:highlight w:val="none"/>
        </w:rPr>
        <w:t>不能支付的；</w:t>
      </w:r>
    </w:p>
    <w:p>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4、因重大变故，采购任务取消的。</w:t>
      </w:r>
    </w:p>
    <w:p>
      <w:pPr>
        <w:pStyle w:val="14"/>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（六）评标原则和评标办法</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2、评标办法。具体评标内容及评分标准等详见《第四章：评标办法及评分标准》。</w:t>
      </w:r>
    </w:p>
    <w:p>
      <w:pPr>
        <w:pStyle w:val="14"/>
        <w:tabs>
          <w:tab w:val="left" w:pos="630"/>
        </w:tabs>
        <w:snapToGrid w:val="0"/>
        <w:spacing w:before="156" w:after="156" w:line="360" w:lineRule="auto"/>
        <w:ind w:firstLine="359" w:firstLineChars="149"/>
        <w:rPr>
          <w:rFonts w:hint="eastAsia" w:ascii="宋体" w:hAnsi="宋体" w:eastAsia="宋体" w:cs="Times New Roman"/>
          <w:b/>
          <w:color w:val="auto"/>
          <w:kern w:val="0"/>
          <w:sz w:val="24"/>
          <w:szCs w:val="24"/>
          <w:highlight w:val="none"/>
          <w:lang w:val="en-US" w:eastAsia="zh-CN" w:bidi="ar-SA"/>
        </w:rPr>
      </w:pPr>
      <w:r>
        <w:rPr>
          <w:rFonts w:hint="eastAsia" w:ascii="宋体" w:hAnsi="宋体" w:eastAsia="宋体" w:cs="Times New Roman"/>
          <w:b/>
          <w:color w:val="auto"/>
          <w:kern w:val="0"/>
          <w:sz w:val="24"/>
          <w:szCs w:val="24"/>
          <w:highlight w:val="none"/>
          <w:lang w:val="en-US" w:eastAsia="zh-CN" w:bidi="ar-SA"/>
        </w:rPr>
        <w:t>（七）评标过程的监控</w:t>
      </w:r>
    </w:p>
    <w:p>
      <w:pPr>
        <w:snapToGrid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本项目评标过程实行全程录音、录像监控，投标人在评标过程中所进行的试图影响评标结果的不公正活动，可能导致其投标被拒绝。</w:t>
      </w:r>
    </w:p>
    <w:p>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六、定标</w:t>
      </w:r>
    </w:p>
    <w:p>
      <w:pPr>
        <w:spacing w:line="360" w:lineRule="auto"/>
        <w:ind w:firstLine="482" w:firstLineChars="200"/>
        <w:rPr>
          <w:rFonts w:ascii="宋体" w:hAnsi="宋体"/>
          <w:b/>
          <w:bCs/>
          <w:kern w:val="0"/>
          <w:sz w:val="24"/>
        </w:rPr>
      </w:pPr>
      <w:r>
        <w:rPr>
          <w:rFonts w:hint="eastAsia" w:asciiTheme="minorEastAsia" w:hAnsiTheme="minorEastAsia" w:eastAsiaTheme="minorEastAsia"/>
          <w:b/>
          <w:bCs/>
          <w:sz w:val="24"/>
        </w:rPr>
        <w:t>（一）</w:t>
      </w:r>
      <w:r>
        <w:rPr>
          <w:rFonts w:hint="eastAsia" w:ascii="宋体" w:hAnsi="宋体"/>
          <w:b/>
          <w:bCs/>
          <w:kern w:val="0"/>
          <w:sz w:val="24"/>
        </w:rPr>
        <w:t>发布</w:t>
      </w:r>
      <w:r>
        <w:rPr>
          <w:b/>
          <w:bCs/>
          <w:sz w:val="24"/>
        </w:rPr>
        <w:t>中标</w:t>
      </w:r>
      <w:r>
        <w:rPr>
          <w:rFonts w:hint="eastAsia" w:ascii="宋体" w:hAnsi="宋体"/>
          <w:b/>
          <w:bCs/>
          <w:kern w:val="0"/>
          <w:sz w:val="24"/>
        </w:rPr>
        <w:t>结果公示</w:t>
      </w:r>
    </w:p>
    <w:p>
      <w:pPr>
        <w:spacing w:line="360" w:lineRule="auto"/>
        <w:ind w:firstLine="480" w:firstLineChars="200"/>
        <w:rPr>
          <w:rFonts w:ascii="宋体" w:hAnsi="宋体"/>
          <w:kern w:val="0"/>
          <w:sz w:val="24"/>
        </w:rPr>
      </w:pPr>
      <w:r>
        <w:rPr>
          <w:rFonts w:hint="eastAsia" w:ascii="宋体" w:hAnsi="宋体"/>
          <w:kern w:val="0"/>
          <w:sz w:val="24"/>
          <w:lang w:val="en-US" w:eastAsia="zh-CN"/>
        </w:rPr>
        <w:t>本项目推荐二名中标候选人，</w:t>
      </w:r>
      <w:r>
        <w:rPr>
          <w:rFonts w:hint="eastAsia" w:ascii="宋体" w:hAnsi="宋体"/>
          <w:kern w:val="0"/>
          <w:sz w:val="24"/>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1"/>
        <w:spacing w:before="0" w:beforeAutospacing="0" w:after="0" w:afterAutospacing="0" w:line="360" w:lineRule="auto"/>
        <w:jc w:val="both"/>
        <w:rPr>
          <w:rFonts w:hint="default"/>
        </w:rPr>
      </w:pPr>
      <w:r>
        <w:t>采购组织机构自中标候选人确定之日起3日内，在</w:t>
      </w:r>
      <w:r>
        <w:rPr>
          <w:rFonts w:cs="宋体"/>
        </w:rPr>
        <w:t>台州湾新区小额工程电子交易平台</w:t>
      </w:r>
      <w:r>
        <w:t>公告中标结果，中标结果公示期为3日。</w:t>
      </w:r>
    </w:p>
    <w:p>
      <w:pPr>
        <w:pStyle w:val="21"/>
        <w:spacing w:before="0" w:beforeAutospacing="0" w:after="0" w:afterAutospacing="0" w:line="360" w:lineRule="auto"/>
        <w:ind w:firstLine="482" w:firstLineChars="200"/>
        <w:jc w:val="both"/>
        <w:rPr>
          <w:rFonts w:hint="default"/>
          <w:b/>
          <w:bCs/>
        </w:rPr>
      </w:pPr>
      <w:r>
        <w:rPr>
          <w:rFonts w:asciiTheme="minorEastAsia" w:hAnsiTheme="minorEastAsia" w:eastAsiaTheme="minorEastAsia"/>
          <w:b/>
          <w:bCs/>
        </w:rPr>
        <w:t>（二）</w:t>
      </w:r>
      <w:r>
        <w:rPr>
          <w:b/>
          <w:bCs/>
        </w:rPr>
        <w:t>确定中标人</w:t>
      </w:r>
    </w:p>
    <w:p>
      <w:pPr>
        <w:spacing w:line="360" w:lineRule="auto"/>
        <w:ind w:firstLine="480" w:firstLineChars="200"/>
        <w:rPr>
          <w:rFonts w:ascii="宋体" w:hAnsi="宋体"/>
          <w:kern w:val="0"/>
          <w:sz w:val="24"/>
          <w:highlight w:val="none"/>
        </w:rPr>
      </w:pPr>
      <w:r>
        <w:rPr>
          <w:rFonts w:hint="eastAsia" w:ascii="宋体" w:hAnsi="宋体"/>
          <w:kern w:val="0"/>
          <w:sz w:val="24"/>
          <w:highlight w:val="none"/>
        </w:rPr>
        <w:t>本项目确定</w:t>
      </w:r>
      <w:r>
        <w:rPr>
          <w:rFonts w:hint="eastAsia" w:ascii="宋体" w:hAnsi="宋体"/>
          <w:kern w:val="0"/>
          <w:sz w:val="24"/>
          <w:highlight w:val="none"/>
          <w:lang w:val="en-US" w:eastAsia="zh-CN"/>
        </w:rPr>
        <w:t>一</w:t>
      </w:r>
      <w:r>
        <w:rPr>
          <w:rFonts w:hint="eastAsia" w:ascii="宋体" w:hAnsi="宋体"/>
          <w:kern w:val="0"/>
          <w:sz w:val="24"/>
          <w:highlight w:val="none"/>
        </w:rPr>
        <w:t>名中标人，公示期满后，</w:t>
      </w:r>
      <w:r>
        <w:rPr>
          <w:rFonts w:hint="eastAsia" w:ascii="宋体" w:hAnsi="宋体"/>
          <w:kern w:val="0"/>
          <w:sz w:val="24"/>
          <w:highlight w:val="none"/>
          <w:lang w:eastAsia="zh-CN"/>
        </w:rPr>
        <w:t>招标人</w:t>
      </w:r>
      <w:r>
        <w:rPr>
          <w:rFonts w:hint="eastAsia" w:ascii="宋体" w:hAnsi="宋体"/>
          <w:kern w:val="0"/>
          <w:sz w:val="24"/>
          <w:highlight w:val="none"/>
        </w:rPr>
        <w:t>应确定本项目第一中标候选人为本项目中标人。</w:t>
      </w:r>
    </w:p>
    <w:p>
      <w:pPr>
        <w:pStyle w:val="11"/>
        <w:numPr>
          <w:ilvl w:val="0"/>
          <w:numId w:val="8"/>
        </w:numPr>
        <w:spacing w:line="360" w:lineRule="auto"/>
        <w:ind w:firstLine="482" w:firstLineChars="200"/>
        <w:jc w:val="both"/>
        <w:rPr>
          <w:b/>
          <w:bCs/>
          <w:sz w:val="24"/>
        </w:rPr>
      </w:pPr>
      <w:r>
        <w:rPr>
          <w:rFonts w:hint="eastAsia"/>
          <w:b/>
          <w:bCs/>
          <w:sz w:val="24"/>
        </w:rPr>
        <w:t>发放中标通知书</w:t>
      </w:r>
    </w:p>
    <w:p>
      <w:pPr>
        <w:pStyle w:val="2"/>
        <w:tabs>
          <w:tab w:val="left" w:pos="574"/>
        </w:tabs>
        <w:spacing w:line="400" w:lineRule="exact"/>
        <w:ind w:firstLine="480" w:firstLineChars="200"/>
      </w:pPr>
      <w:r>
        <w:rPr>
          <w:rFonts w:hint="eastAsia"/>
          <w:szCs w:val="32"/>
          <w:lang w:eastAsia="zh-CN"/>
        </w:rPr>
        <w:t>招标人</w:t>
      </w:r>
      <w:r>
        <w:rPr>
          <w:rFonts w:hint="eastAsia"/>
          <w:szCs w:val="32"/>
        </w:rPr>
        <w:t>应当确定第一中标候选人为中标人。如涉及第二中标候选人和其他投标人资格无效的，评标结果不作调整。</w:t>
      </w:r>
    </w:p>
    <w:p>
      <w:pPr>
        <w:pStyle w:val="2"/>
        <w:tabs>
          <w:tab w:val="left" w:pos="574"/>
        </w:tabs>
        <w:spacing w:line="400" w:lineRule="exact"/>
        <w:ind w:firstLine="480" w:firstLineChars="200"/>
      </w:pPr>
      <w:r>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pPr>
        <w:pStyle w:val="2"/>
        <w:tabs>
          <w:tab w:val="left" w:pos="574"/>
        </w:tabs>
        <w:spacing w:line="400" w:lineRule="exact"/>
        <w:ind w:firstLine="480" w:firstLineChars="200"/>
      </w:pPr>
      <w:r>
        <w:rPr>
          <w:rFonts w:hint="eastAsia"/>
          <w:szCs w:val="32"/>
        </w:rPr>
        <w:t>中标人确定后，</w:t>
      </w:r>
      <w:r>
        <w:rPr>
          <w:rFonts w:hint="eastAsia"/>
          <w:szCs w:val="32"/>
          <w:lang w:eastAsia="zh-CN"/>
        </w:rPr>
        <w:t>招标人</w:t>
      </w:r>
      <w:r>
        <w:rPr>
          <w:rFonts w:hint="eastAsia"/>
          <w:szCs w:val="32"/>
        </w:rPr>
        <w:t>应当向中标人发出《中标通知书》。</w:t>
      </w:r>
    </w:p>
    <w:p>
      <w:pPr>
        <w:pStyle w:val="2"/>
        <w:tabs>
          <w:tab w:val="left" w:pos="574"/>
        </w:tabs>
        <w:spacing w:line="400" w:lineRule="exact"/>
        <w:ind w:firstLine="480" w:firstLineChars="200"/>
        <w:rPr>
          <w:szCs w:val="32"/>
        </w:rPr>
      </w:pPr>
      <w:r>
        <w:rPr>
          <w:rFonts w:hint="eastAsia"/>
          <w:szCs w:val="32"/>
          <w:lang w:eastAsia="zh-CN"/>
        </w:rPr>
        <w:t>招标人</w:t>
      </w:r>
      <w:r>
        <w:rPr>
          <w:rFonts w:hint="eastAsia"/>
          <w:szCs w:val="32"/>
        </w:rPr>
        <w:t>在发出《中标通知书》的同时，应当将中标结果在交易场所（发布招标公告的媒体上）通知所有未中标的投标人。</w:t>
      </w:r>
    </w:p>
    <w:p>
      <w:pPr>
        <w:pStyle w:val="2"/>
        <w:tabs>
          <w:tab w:val="left" w:pos="574"/>
        </w:tabs>
        <w:spacing w:line="400" w:lineRule="exact"/>
        <w:ind w:firstLine="480" w:firstLineChars="200"/>
        <w:rPr>
          <w:szCs w:val="32"/>
        </w:rPr>
      </w:pPr>
      <w:r>
        <w:rPr>
          <w:rFonts w:hint="eastAsia"/>
          <w:szCs w:val="32"/>
        </w:rPr>
        <w:t>《中标通知书》对</w:t>
      </w:r>
      <w:r>
        <w:rPr>
          <w:rFonts w:hint="eastAsia"/>
          <w:szCs w:val="32"/>
          <w:lang w:eastAsia="zh-CN"/>
        </w:rPr>
        <w:t>招标人</w:t>
      </w:r>
      <w:r>
        <w:rPr>
          <w:rFonts w:hint="eastAsia"/>
          <w:szCs w:val="32"/>
        </w:rPr>
        <w:t>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1.</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应当自中标通知书发出之日起30日内，按照招标文件和中标人投标文件内容要求，与中标人签订合同。所签订的合同不得对招标文件确定的事项和中标人投标文件作实质性修改。</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2.</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不得向中标人提出任何不合理的要求作为签订合同的条件。</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3.中标人无故拖延、拒签合同的，将取消中标资格。</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4.中标人拒绝与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可以按照评标报告推荐的中标候选人名单排序，确定下一候选人为中标人，也可以重新开展</w:t>
      </w:r>
      <w:r>
        <w:rPr>
          <w:rFonts w:hint="eastAsia" w:asciiTheme="minorEastAsia" w:hAnsiTheme="minorEastAsia" w:eastAsiaTheme="minorEastAsia" w:cstheme="minorEastAsia"/>
          <w:lang w:val="en-US" w:eastAsia="zh-CN"/>
        </w:rPr>
        <w:t>招标</w:t>
      </w:r>
      <w:r>
        <w:rPr>
          <w:rFonts w:asciiTheme="minorEastAsia" w:hAnsiTheme="minorEastAsia" w:eastAsiaTheme="minorEastAsia" w:cstheme="minorEastAsia"/>
        </w:rPr>
        <w:t>。同时，拒绝与</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签订合同的中标人，由同级</w:t>
      </w:r>
      <w:r>
        <w:rPr>
          <w:rFonts w:hint="eastAsia" w:asciiTheme="minorEastAsia" w:hAnsiTheme="minorEastAsia" w:eastAsiaTheme="minorEastAsia" w:cstheme="minorEastAsia"/>
          <w:lang w:val="en-US" w:eastAsia="zh-CN"/>
        </w:rPr>
        <w:t>监管</w:t>
      </w:r>
      <w:r>
        <w:rPr>
          <w:rFonts w:asciiTheme="minorEastAsia" w:hAnsiTheme="minorEastAsia" w:eastAsiaTheme="minorEastAsia" w:cstheme="minorEastAsia"/>
        </w:rPr>
        <w:t>部门依法作出处理。</w:t>
      </w:r>
    </w:p>
    <w:p>
      <w:pPr>
        <w:pStyle w:val="21"/>
        <w:spacing w:before="0" w:beforeAutospacing="0" w:after="0" w:afterAutospacing="0" w:line="360" w:lineRule="auto"/>
        <w:ind w:firstLine="480" w:firstLineChars="200"/>
        <w:jc w:val="both"/>
        <w:rPr>
          <w:rFonts w:hint="default" w:asciiTheme="minorEastAsia" w:hAnsiTheme="minorEastAsia" w:eastAsiaTheme="minorEastAsia" w:cstheme="minorEastAsia"/>
        </w:rPr>
      </w:pPr>
      <w:r>
        <w:rPr>
          <w:rFonts w:asciiTheme="minorEastAsia" w:hAnsiTheme="minorEastAsia" w:eastAsiaTheme="minorEastAsia" w:cstheme="minorEastAsia"/>
        </w:rPr>
        <w:t>5.询问或者质疑事项可能影响中标结果的，</w:t>
      </w:r>
      <w:r>
        <w:rPr>
          <w:rFonts w:hint="eastAsia" w:asciiTheme="minorEastAsia" w:hAnsiTheme="minorEastAsia" w:eastAsiaTheme="minorEastAsia" w:cstheme="minorEastAsia"/>
          <w:lang w:eastAsia="zh-CN"/>
        </w:rPr>
        <w:t>招标人</w:t>
      </w:r>
      <w:r>
        <w:rPr>
          <w:rFonts w:asciiTheme="minorEastAsia" w:hAnsiTheme="minorEastAsia" w:eastAsiaTheme="minorEastAsia" w:cstheme="minorEastAsia"/>
        </w:rPr>
        <w:t>应当暂停签订合同，已经签订合同的，应当中止履行合同。</w:t>
      </w:r>
    </w:p>
    <w:p>
      <w:pPr>
        <w:pStyle w:val="11"/>
        <w:spacing w:line="360" w:lineRule="auto"/>
        <w:ind w:firstLine="482" w:firstLineChars="200"/>
        <w:jc w:val="both"/>
        <w:rPr>
          <w:rFonts w:ascii="宋体" w:hAnsi="宋体"/>
          <w:b/>
          <w:bCs/>
          <w:sz w:val="24"/>
        </w:rPr>
      </w:pPr>
      <w:r>
        <w:rPr>
          <w:rFonts w:hint="eastAsia" w:ascii="宋体" w:hAnsi="宋体"/>
          <w:b/>
          <w:bCs/>
          <w:sz w:val="24"/>
        </w:rPr>
        <w:t>八、询问、质疑与投诉</w:t>
      </w:r>
    </w:p>
    <w:p>
      <w:pPr>
        <w:pStyle w:val="11"/>
        <w:spacing w:line="360" w:lineRule="auto"/>
        <w:ind w:firstLine="482" w:firstLineChars="200"/>
        <w:jc w:val="both"/>
        <w:rPr>
          <w:rFonts w:ascii="宋体" w:hAnsi="宋体"/>
          <w:b/>
          <w:bCs/>
          <w:sz w:val="24"/>
        </w:rPr>
      </w:pPr>
      <w:r>
        <w:rPr>
          <w:rFonts w:hint="eastAsia" w:ascii="宋体" w:hAnsi="宋体"/>
          <w:b/>
          <w:bCs/>
          <w:sz w:val="24"/>
        </w:rPr>
        <w:t>（一）询问</w:t>
      </w:r>
    </w:p>
    <w:p>
      <w:pPr>
        <w:pStyle w:val="11"/>
        <w:spacing w:line="360" w:lineRule="auto"/>
        <w:ind w:firstLine="480" w:firstLineChars="200"/>
        <w:jc w:val="both"/>
        <w:rPr>
          <w:rFonts w:ascii="宋体" w:hAnsi="宋体"/>
          <w:sz w:val="24"/>
        </w:rPr>
      </w:pPr>
      <w:r>
        <w:rPr>
          <w:rFonts w:hint="eastAsia" w:ascii="宋体" w:hAnsi="宋体"/>
          <w:sz w:val="24"/>
        </w:rPr>
        <w:t>投标人对</w:t>
      </w:r>
      <w:r>
        <w:rPr>
          <w:rFonts w:hint="eastAsia" w:ascii="宋体" w:hAnsi="宋体"/>
          <w:sz w:val="24"/>
          <w:lang w:val="en-US" w:eastAsia="zh-CN"/>
        </w:rPr>
        <w:t>招投标</w:t>
      </w:r>
      <w:r>
        <w:rPr>
          <w:rFonts w:hint="eastAsia" w:ascii="宋体" w:hAnsi="宋体"/>
          <w:sz w:val="24"/>
        </w:rPr>
        <w:t>活动事项（招标文件、采购过程和中标结果）有疑问的，可以向</w:t>
      </w:r>
      <w:r>
        <w:rPr>
          <w:rFonts w:hint="eastAsia" w:ascii="宋体" w:hAnsi="宋体"/>
          <w:sz w:val="24"/>
          <w:lang w:eastAsia="zh-CN"/>
        </w:rPr>
        <w:t>招标人</w:t>
      </w:r>
      <w:r>
        <w:rPr>
          <w:rFonts w:hint="eastAsia" w:ascii="宋体" w:hAnsi="宋体"/>
          <w:sz w:val="24"/>
        </w:rPr>
        <w:t>或采购组织机构提出询问，</w:t>
      </w:r>
      <w:r>
        <w:rPr>
          <w:rFonts w:hint="eastAsia" w:ascii="宋体" w:hAnsi="宋体"/>
          <w:sz w:val="24"/>
          <w:lang w:eastAsia="zh-CN"/>
        </w:rPr>
        <w:t>招标人</w:t>
      </w:r>
      <w:r>
        <w:rPr>
          <w:rFonts w:hint="eastAsia" w:ascii="宋体" w:hAnsi="宋体"/>
          <w:sz w:val="24"/>
        </w:rPr>
        <w:t>或采购组织机构将及时作出答复，但答复的内容不涉及商业秘密。询问可以口头方式提出，也可以书面方式提出。联系方式见第一章“投标邀请”中“</w:t>
      </w:r>
      <w:r>
        <w:rPr>
          <w:rFonts w:hint="eastAsia" w:ascii="宋体" w:hAnsi="宋体"/>
          <w:sz w:val="24"/>
          <w:lang w:eastAsia="zh-CN"/>
        </w:rPr>
        <w:t>招标人</w:t>
      </w:r>
      <w:r>
        <w:rPr>
          <w:rFonts w:hint="eastAsia" w:ascii="宋体" w:hAnsi="宋体"/>
          <w:sz w:val="24"/>
        </w:rPr>
        <w:t>、采购组织机构的名称、地址和联系方式”。</w:t>
      </w:r>
    </w:p>
    <w:p>
      <w:pPr>
        <w:pStyle w:val="11"/>
        <w:spacing w:line="360" w:lineRule="auto"/>
        <w:ind w:firstLine="482" w:firstLineChars="200"/>
        <w:jc w:val="both"/>
        <w:rPr>
          <w:rFonts w:ascii="宋体" w:hAnsi="宋体"/>
          <w:b/>
          <w:bCs/>
          <w:sz w:val="24"/>
        </w:rPr>
      </w:pPr>
      <w:r>
        <w:rPr>
          <w:rFonts w:hint="eastAsia" w:ascii="宋体" w:hAnsi="宋体"/>
          <w:b/>
          <w:bCs/>
          <w:sz w:val="24"/>
        </w:rPr>
        <w:t>（二）质疑</w:t>
      </w:r>
    </w:p>
    <w:p>
      <w:pPr>
        <w:pStyle w:val="11"/>
        <w:spacing w:line="360" w:lineRule="auto"/>
        <w:ind w:firstLine="480" w:firstLineChars="200"/>
        <w:jc w:val="both"/>
        <w:rPr>
          <w:rFonts w:hint="eastAsia" w:ascii="宋体" w:hAnsi="宋体" w:eastAsia="宋体" w:cs="Times New Roman"/>
          <w:sz w:val="24"/>
        </w:rPr>
      </w:pPr>
      <w:r>
        <w:rPr>
          <w:rFonts w:hint="eastAsia" w:ascii="宋体" w:hAnsi="宋体" w:eastAsia="宋体" w:cs="Times New Roman"/>
          <w:sz w:val="24"/>
        </w:rPr>
        <w:t>1.报名本项目的投标人认为招标文件、采购过程和中标结果使自己的权益受到损害的，通过书面形式一次性向</w:t>
      </w:r>
      <w:r>
        <w:rPr>
          <w:rFonts w:hint="eastAsia" w:ascii="宋体" w:hAnsi="宋体" w:cs="Times New Roman"/>
          <w:sz w:val="24"/>
          <w:lang w:eastAsia="zh-CN"/>
        </w:rPr>
        <w:t>招标人</w:t>
      </w:r>
      <w:r>
        <w:rPr>
          <w:rFonts w:hint="eastAsia" w:ascii="宋体" w:hAnsi="宋体" w:eastAsia="宋体" w:cs="Times New Roman"/>
          <w:sz w:val="24"/>
        </w:rPr>
        <w:t>或采购组织机构提出质疑：</w:t>
      </w:r>
    </w:p>
    <w:p>
      <w:pPr>
        <w:pStyle w:val="11"/>
        <w:spacing w:line="360" w:lineRule="auto"/>
        <w:ind w:firstLine="480" w:firstLineChars="200"/>
        <w:jc w:val="both"/>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投标人认为招标投标活动不符合法律、行政法规规定的，可以自知道或者应当知道之日起10日内向有关行政监督部门提出（附相关有效证明材料）。属于《中华人民共和国招标投标法实施条例》第二十二条、第四十四条、第五十四条规定事项投诉的，应当以书面形式向</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、采购代理机构提出（附相关有效证明材料），</w:t>
      </w:r>
      <w:r>
        <w:rPr>
          <w:rFonts w:hint="eastAsia" w:ascii="宋体" w:hAnsi="宋体" w:cs="Times New Roman"/>
          <w:sz w:val="24"/>
          <w:highlight w:val="none"/>
          <w:lang w:val="en-US" w:eastAsia="zh-CN"/>
        </w:rPr>
        <w:t>招标人</w:t>
      </w:r>
      <w:r>
        <w:rPr>
          <w:rFonts w:hint="eastAsia" w:ascii="宋体" w:hAnsi="宋体" w:eastAsia="宋体" w:cs="Times New Roman"/>
          <w:sz w:val="24"/>
          <w:highlight w:val="none"/>
          <w:lang w:val="en-US" w:eastAsia="zh-CN"/>
        </w:rPr>
        <w:t>、采购代理机构应给予答复。投标人对答复不服或认为采购代理机构有违反有关规定及其他弄虚作假情形的，可在接到答复之日起3日内向招标监管机构书面申请核查，并提交相关材料。</w:t>
      </w:r>
    </w:p>
    <w:p>
      <w:pPr>
        <w:pStyle w:val="11"/>
        <w:spacing w:line="360" w:lineRule="auto"/>
        <w:ind w:firstLine="482" w:firstLineChars="200"/>
        <w:jc w:val="both"/>
        <w:rPr>
          <w:rFonts w:ascii="宋体" w:hAnsi="宋体"/>
          <w:b/>
          <w:bCs/>
          <w:sz w:val="24"/>
        </w:rPr>
      </w:pPr>
      <w:r>
        <w:rPr>
          <w:rFonts w:hint="eastAsia" w:ascii="宋体" w:hAnsi="宋体"/>
          <w:b/>
          <w:bCs/>
          <w:sz w:val="24"/>
        </w:rPr>
        <w:t>（三）投诉</w:t>
      </w:r>
    </w:p>
    <w:p>
      <w:pPr>
        <w:pStyle w:val="11"/>
        <w:spacing w:line="360" w:lineRule="auto"/>
        <w:ind w:firstLine="480" w:firstLineChars="200"/>
        <w:jc w:val="both"/>
        <w:rPr>
          <w:rFonts w:hint="eastAsia" w:ascii="宋体" w:hAnsi="宋体" w:eastAsia="宋体" w:cs="Times New Roman"/>
          <w:sz w:val="24"/>
          <w:lang w:val="en-US" w:eastAsia="zh-CN"/>
        </w:rPr>
      </w:pPr>
      <w:r>
        <w:rPr>
          <w:rFonts w:hint="eastAsia" w:ascii="宋体" w:hAnsi="宋体" w:eastAsia="宋体" w:cs="Times New Roman"/>
          <w:sz w:val="24"/>
          <w:lang w:val="en-US" w:eastAsia="zh-CN"/>
        </w:rPr>
        <w:t>1.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11"/>
        <w:spacing w:line="360" w:lineRule="auto"/>
        <w:ind w:firstLine="480" w:firstLineChars="200"/>
        <w:jc w:val="both"/>
        <w:rPr>
          <w:rFonts w:ascii="宋体" w:hAnsi="宋体"/>
          <w:sz w:val="24"/>
        </w:rPr>
      </w:pPr>
      <w:r>
        <w:rPr>
          <w:rFonts w:hint="eastAsia" w:ascii="宋体" w:hAnsi="宋体"/>
          <w:sz w:val="24"/>
          <w:lang w:val="en-US" w:eastAsia="zh-CN"/>
        </w:rPr>
        <w:t>2.</w:t>
      </w:r>
      <w:r>
        <w:rPr>
          <w:rFonts w:hint="eastAsia" w:ascii="宋体" w:hAnsi="宋体"/>
          <w:sz w:val="24"/>
        </w:rPr>
        <w:t>投标人对</w:t>
      </w:r>
      <w:r>
        <w:rPr>
          <w:rFonts w:hint="eastAsia" w:ascii="宋体" w:hAnsi="宋体"/>
          <w:sz w:val="24"/>
          <w:lang w:eastAsia="zh-CN"/>
        </w:rPr>
        <w:t>招标人</w:t>
      </w:r>
      <w:r>
        <w:rPr>
          <w:rFonts w:hint="eastAsia" w:ascii="宋体" w:hAnsi="宋体"/>
          <w:sz w:val="24"/>
        </w:rPr>
        <w:t>或采购组织机构的质疑答复不满意或在规定时间内未得到答复的，可以在答复期满后15个工作日内，向同级监督管理机构投诉。</w:t>
      </w:r>
    </w:p>
    <w:p>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right="25"/>
        <w:rPr>
          <w:sz w:val="24"/>
        </w:rPr>
      </w:pPr>
      <w:r>
        <w:rPr>
          <w:rFonts w:hint="eastAsia"/>
          <w:b/>
          <w:sz w:val="24"/>
        </w:rPr>
        <w:t>一、招标项目一览表</w:t>
      </w:r>
    </w:p>
    <w:p>
      <w:pPr>
        <w:tabs>
          <w:tab w:val="left" w:pos="8280"/>
        </w:tabs>
        <w:autoSpaceDE w:val="0"/>
        <w:autoSpaceDN w:val="0"/>
        <w:adjustRightInd w:val="0"/>
        <w:spacing w:line="360" w:lineRule="auto"/>
        <w:ind w:right="25" w:firstLine="280"/>
        <w:rPr>
          <w:sz w:val="24"/>
        </w:rPr>
      </w:pPr>
      <w:r>
        <w:rPr>
          <w:rFonts w:hint="eastAsia"/>
          <w:sz w:val="24"/>
        </w:rPr>
        <w:t>本次招标共</w:t>
      </w:r>
      <w:r>
        <w:rPr>
          <w:rFonts w:hint="eastAsia"/>
          <w:sz w:val="24"/>
          <w:u w:val="single"/>
        </w:rPr>
        <w:t xml:space="preserve"> 1 </w:t>
      </w:r>
      <w:r>
        <w:rPr>
          <w:rFonts w:hint="eastAsia"/>
          <w:sz w:val="24"/>
        </w:rPr>
        <w:t>个标段，具体内容如下表：</w:t>
      </w:r>
    </w:p>
    <w:tbl>
      <w:tblPr>
        <w:tblStyle w:val="2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322"/>
        <w:gridCol w:w="1254"/>
        <w:gridCol w:w="811"/>
        <w:gridCol w:w="863"/>
        <w:gridCol w:w="1462"/>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9"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标段号</w:t>
            </w:r>
          </w:p>
        </w:tc>
        <w:tc>
          <w:tcPr>
            <w:tcW w:w="2322" w:type="dxa"/>
            <w:vAlign w:val="center"/>
          </w:tcPr>
          <w:p>
            <w:pPr>
              <w:tabs>
                <w:tab w:val="left" w:pos="8280"/>
              </w:tabs>
              <w:autoSpaceDE w:val="0"/>
              <w:autoSpaceDN w:val="0"/>
              <w:adjustRightInd w:val="0"/>
              <w:spacing w:line="360" w:lineRule="auto"/>
              <w:ind w:right="25" w:firstLine="105" w:firstLineChars="50"/>
              <w:jc w:val="center"/>
              <w:rPr>
                <w:b/>
                <w:szCs w:val="21"/>
              </w:rPr>
            </w:pPr>
            <w:r>
              <w:rPr>
                <w:rFonts w:hint="eastAsia"/>
                <w:b/>
                <w:szCs w:val="21"/>
              </w:rPr>
              <w:t>项目名称</w:t>
            </w:r>
          </w:p>
        </w:tc>
        <w:tc>
          <w:tcPr>
            <w:tcW w:w="1254" w:type="dxa"/>
            <w:vAlign w:val="center"/>
          </w:tcPr>
          <w:p>
            <w:pPr>
              <w:tabs>
                <w:tab w:val="left" w:pos="8280"/>
              </w:tabs>
              <w:autoSpaceDE w:val="0"/>
              <w:autoSpaceDN w:val="0"/>
              <w:adjustRightInd w:val="0"/>
              <w:spacing w:line="360" w:lineRule="auto"/>
              <w:ind w:right="25"/>
              <w:rPr>
                <w:b/>
                <w:szCs w:val="21"/>
              </w:rPr>
            </w:pPr>
            <w:r>
              <w:rPr>
                <w:rFonts w:hint="eastAsia"/>
                <w:b/>
                <w:szCs w:val="21"/>
              </w:rPr>
              <w:t>规格型号</w:t>
            </w:r>
          </w:p>
        </w:tc>
        <w:tc>
          <w:tcPr>
            <w:tcW w:w="811"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数量</w:t>
            </w:r>
          </w:p>
        </w:tc>
        <w:tc>
          <w:tcPr>
            <w:tcW w:w="863"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单位</w:t>
            </w:r>
          </w:p>
        </w:tc>
        <w:tc>
          <w:tcPr>
            <w:tcW w:w="1462" w:type="dxa"/>
            <w:vAlign w:val="center"/>
          </w:tcPr>
          <w:p>
            <w:pPr>
              <w:tabs>
                <w:tab w:val="left" w:pos="8280"/>
              </w:tabs>
              <w:autoSpaceDE w:val="0"/>
              <w:autoSpaceDN w:val="0"/>
              <w:adjustRightInd w:val="0"/>
              <w:spacing w:line="360" w:lineRule="auto"/>
              <w:ind w:right="25"/>
              <w:jc w:val="center"/>
              <w:rPr>
                <w:b/>
                <w:szCs w:val="21"/>
              </w:rPr>
            </w:pPr>
            <w:r>
              <w:rPr>
                <w:rFonts w:hint="eastAsia"/>
                <w:b/>
                <w:szCs w:val="21"/>
              </w:rPr>
              <w:t>预算（</w:t>
            </w:r>
            <w:r>
              <w:rPr>
                <w:rFonts w:hint="eastAsia"/>
                <w:b/>
                <w:szCs w:val="21"/>
                <w:lang w:val="en-US" w:eastAsia="zh-CN"/>
              </w:rPr>
              <w:t>万</w:t>
            </w:r>
            <w:r>
              <w:rPr>
                <w:rFonts w:hint="eastAsia"/>
                <w:b/>
                <w:szCs w:val="21"/>
              </w:rPr>
              <w:t>元）</w:t>
            </w:r>
          </w:p>
        </w:tc>
        <w:tc>
          <w:tcPr>
            <w:tcW w:w="1209" w:type="dxa"/>
            <w:vAlign w:val="center"/>
          </w:tcPr>
          <w:p>
            <w:pPr>
              <w:tabs>
                <w:tab w:val="left" w:pos="8280"/>
              </w:tabs>
              <w:autoSpaceDE w:val="0"/>
              <w:autoSpaceDN w:val="0"/>
              <w:adjustRightInd w:val="0"/>
              <w:spacing w:line="360" w:lineRule="auto"/>
              <w:ind w:right="25"/>
              <w:jc w:val="center"/>
              <w:rPr>
                <w:b/>
                <w:szCs w:val="21"/>
              </w:rPr>
            </w:pPr>
            <w:r>
              <w:rPr>
                <w:rFonts w:hint="eastAsia"/>
                <w:b/>
                <w:szCs w:val="21"/>
                <w:lang w:val="en-US" w:eastAsia="zh-CN"/>
              </w:rPr>
              <w:t>服务</w:t>
            </w:r>
            <w:r>
              <w:rPr>
                <w:rFonts w:hint="eastAsia"/>
                <w:b/>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899" w:type="dxa"/>
            <w:vAlign w:val="center"/>
          </w:tcPr>
          <w:p>
            <w:pPr>
              <w:tabs>
                <w:tab w:val="left" w:pos="8280"/>
              </w:tabs>
              <w:autoSpaceDE w:val="0"/>
              <w:autoSpaceDN w:val="0"/>
              <w:adjustRightInd w:val="0"/>
              <w:spacing w:line="360" w:lineRule="auto"/>
              <w:ind w:right="25"/>
              <w:jc w:val="center"/>
              <w:rPr>
                <w:sz w:val="22"/>
                <w:szCs w:val="22"/>
              </w:rPr>
            </w:pPr>
            <w:r>
              <w:rPr>
                <w:rFonts w:hint="eastAsia"/>
                <w:sz w:val="22"/>
                <w:szCs w:val="22"/>
              </w:rPr>
              <w:t>1</w:t>
            </w:r>
          </w:p>
        </w:tc>
        <w:tc>
          <w:tcPr>
            <w:tcW w:w="2322" w:type="dxa"/>
            <w:vAlign w:val="center"/>
          </w:tcPr>
          <w:p>
            <w:pPr>
              <w:jc w:val="center"/>
              <w:rPr>
                <w:sz w:val="22"/>
                <w:szCs w:val="22"/>
              </w:rPr>
            </w:pPr>
            <w:r>
              <w:rPr>
                <w:rFonts w:hint="eastAsia"/>
                <w:sz w:val="22"/>
                <w:szCs w:val="22"/>
              </w:rPr>
              <w:t>台州“飞安行”低空飞行管控服务平台</w:t>
            </w:r>
          </w:p>
        </w:tc>
        <w:tc>
          <w:tcPr>
            <w:tcW w:w="1254" w:type="dxa"/>
            <w:vAlign w:val="center"/>
          </w:tcPr>
          <w:p>
            <w:pPr>
              <w:jc w:val="center"/>
              <w:rPr>
                <w:sz w:val="22"/>
                <w:szCs w:val="22"/>
              </w:rPr>
            </w:pPr>
            <w:r>
              <w:rPr>
                <w:rFonts w:hint="eastAsia"/>
                <w:sz w:val="22"/>
                <w:szCs w:val="22"/>
              </w:rPr>
              <w:t>详见具体技术需求</w:t>
            </w:r>
          </w:p>
        </w:tc>
        <w:tc>
          <w:tcPr>
            <w:tcW w:w="811" w:type="dxa"/>
            <w:vAlign w:val="center"/>
          </w:tcPr>
          <w:p>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w:t>
            </w:r>
          </w:p>
        </w:tc>
        <w:tc>
          <w:tcPr>
            <w:tcW w:w="863" w:type="dxa"/>
            <w:vAlign w:val="center"/>
          </w:tcPr>
          <w:p>
            <w:pPr>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项</w:t>
            </w:r>
          </w:p>
        </w:tc>
        <w:tc>
          <w:tcPr>
            <w:tcW w:w="1462" w:type="dxa"/>
            <w:vAlign w:val="center"/>
          </w:tcPr>
          <w:p>
            <w:pPr>
              <w:jc w:val="center"/>
              <w:rPr>
                <w:rFonts w:hint="default" w:ascii="Times New Roman" w:hAnsi="Times New Roman" w:eastAsia="宋体" w:cs="Times New Roman"/>
                <w:sz w:val="22"/>
                <w:szCs w:val="22"/>
                <w:lang w:val="en-US" w:eastAsia="zh-CN"/>
              </w:rPr>
            </w:pPr>
            <w:r>
              <w:rPr>
                <w:rFonts w:hint="eastAsia" w:cs="Times New Roman"/>
                <w:sz w:val="22"/>
                <w:szCs w:val="22"/>
                <w:lang w:val="en-US" w:eastAsia="zh-CN"/>
              </w:rPr>
              <w:t>350</w:t>
            </w:r>
          </w:p>
        </w:tc>
        <w:tc>
          <w:tcPr>
            <w:tcW w:w="1209" w:type="dxa"/>
            <w:vAlign w:val="center"/>
          </w:tcPr>
          <w:p>
            <w:pPr>
              <w:jc w:val="center"/>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采购人指定地点</w:t>
            </w:r>
          </w:p>
        </w:tc>
      </w:tr>
    </w:tbl>
    <w:p>
      <w:pPr>
        <w:tabs>
          <w:tab w:val="left" w:pos="8280"/>
        </w:tabs>
        <w:autoSpaceDE w:val="0"/>
        <w:autoSpaceDN w:val="0"/>
        <w:adjustRightInd w:val="0"/>
        <w:spacing w:line="360" w:lineRule="auto"/>
        <w:ind w:right="25"/>
        <w:rPr>
          <w:rFonts w:hint="eastAsia"/>
          <w:b/>
          <w:sz w:val="24"/>
          <w:lang w:val="en-US" w:eastAsia="zh-CN"/>
        </w:rPr>
      </w:pPr>
      <w:bookmarkStart w:id="39" w:name="_Toc37599085"/>
    </w:p>
    <w:p>
      <w:pPr>
        <w:numPr>
          <w:ilvl w:val="0"/>
          <w:numId w:val="7"/>
        </w:numPr>
        <w:tabs>
          <w:tab w:val="left" w:pos="8280"/>
        </w:tabs>
        <w:autoSpaceDE w:val="0"/>
        <w:autoSpaceDN w:val="0"/>
        <w:adjustRightInd w:val="0"/>
        <w:spacing w:line="360" w:lineRule="auto"/>
        <w:ind w:left="0" w:leftChars="0" w:right="25" w:firstLine="482" w:firstLineChars="200"/>
        <w:rPr>
          <w:rFonts w:hint="eastAsia"/>
          <w:b/>
          <w:sz w:val="24"/>
        </w:rPr>
      </w:pPr>
      <w:r>
        <w:rPr>
          <w:rFonts w:hint="eastAsia"/>
          <w:b/>
          <w:sz w:val="24"/>
        </w:rPr>
        <w:t>项目需求</w:t>
      </w:r>
      <w:bookmarkEnd w:id="39"/>
    </w:p>
    <w:p>
      <w:pPr>
        <w:numPr>
          <w:ilvl w:val="0"/>
          <w:numId w:val="0"/>
        </w:numPr>
        <w:tabs>
          <w:tab w:val="left" w:pos="8280"/>
        </w:tabs>
        <w:autoSpaceDE w:val="0"/>
        <w:autoSpaceDN w:val="0"/>
        <w:adjustRightInd w:val="0"/>
        <w:spacing w:line="360" w:lineRule="auto"/>
        <w:ind w:leftChars="200" w:right="25" w:rightChars="0" w:firstLine="241" w:firstLineChars="100"/>
        <w:rPr>
          <w:rFonts w:hint="default" w:ascii="宋体" w:hAnsi="宋体" w:eastAsia="宋体" w:cs="宋体"/>
          <w:sz w:val="24"/>
          <w:lang w:val="en-US" w:eastAsia="zh-CN"/>
        </w:rPr>
      </w:pPr>
      <w:r>
        <w:rPr>
          <w:rFonts w:hint="eastAsia"/>
          <w:b/>
          <w:sz w:val="24"/>
          <w:lang w:val="en-US" w:eastAsia="zh-CN"/>
        </w:rPr>
        <w:t>软件需求</w:t>
      </w:r>
    </w:p>
    <w:tbl>
      <w:tblPr>
        <w:tblStyle w:val="25"/>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9"/>
        <w:gridCol w:w="1382"/>
        <w:gridCol w:w="1136"/>
        <w:gridCol w:w="1913"/>
        <w:gridCol w:w="4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blHeader/>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功能模块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一级功能</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二级功能</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功能描述说明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全域监测</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全域监测</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地图底图控制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支持2D\3D模式卫星地图和矢量地图的切换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2D模式下以支持平面卫星图、路网图应用，显示地图中心点经纬度；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3D模式下切换卫星地图、自动叠加地形数据，使地图上的山体、丘陵等以接近正式海拔高度的形态体现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显示地图中心点经纬度、海拔高度。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无人机实时定位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涵盖地面侦测、网络透传等多种方式发现的无人机在地图上呈现实时位置，当前状态和数据来源，以图标区分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基站实时状态</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在地图上以不同图标区分不同感知侦测设备、区分设备不同状态和不同范围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基站详情信息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点击基站图标可显示当前基站基础信息和动态侦测信息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无人机详情信息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点击侦测到的无人机图标可关联显示其实名信息、飞控位置、起降点位置等信息，可一键通知警员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坐标二维码</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支持自动生成飞机位置、飞控位置、返航位置二维码、快速定位找到飞手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实时报警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支持按事件维度按预设行为进行报警，报警信息高亮推送给当前登录账号并在左侧显示报警信息列表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快速出警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报警信息快速定位至指定位置，点击信息跳转至该报警位置，并指定飞手进行设备到达后远程控制；支持一键通知飞手和警员以短信、App通知的形式，下发无人机命令同时，同步至指定飞手；第一时间处理事件，将出警的数据、警情、联合无人机飞行画面，进行快速联动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图层控制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支持隐藏各类型无人机、基站设备、侦测设备、空域信息等图层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数据驾驶舱</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数据大屏</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飞行计划数据汇总</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基于时间、空间的飞行计划报备数据统计分析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平台用户数量汇总</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截止当前的实时平台飞手端用户数据统计分析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实时飞行动态数据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当前实时侦测到的无人机动态飞行数据统计分析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飞行分类数据统计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依据飞行计划报备的类型进行统计分析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空域分类统计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截止当前所有的空域类型统计分析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空域信息统计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截止当前所有的空域所包含的有效信息统计分析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黑飞告警数量统计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截止当前的所有黑飞行为次数类型统计分析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历史飞行数量统计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截止当前的所有历史侦测数据统计分析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其他类型数据查看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截止当前的所有其他类型数据统计分析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气象信息</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对接气象系统，显示航空气象信息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低空服务应用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个人实名</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飞手列表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显示已在本地登记审核通过的飞手信息，包含飞手个人信息、所持有无人机的信息、驾驶资质信息等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支持实名信息的登记、飞手飞行驾驶证期限的登记等功能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本地飞手审核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通过飞手端小程序申请飞手实名登记、登记信息同步至平台端进行后台审核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新提交的飞手审核信息与已通过的信息做区分，新提交的信息以红点形式提醒，并显示未审核信息总数；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在平台端审核是否通过飞手实名登记，未审核通过的填写未通过原因，并通过小程序推送反馈至飞手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企业实名</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企业列表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支持维护本地企业已通过实名登记的企业列表，包含企业注册信息、辖区信息、所持无人机信息、认证资质等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本地企业审核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通过企业端小程序申请企业实名登记、登记信息同步至平台端进行后台审核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新提交的企业审核信息与已通过的信息做区分，新提交的信息以红点形式提醒，并显示未审核信息总数；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在平台端审核是否通过企业实名登记，未审核通过的填写未通过原因，并通过小程序推送反馈至企业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飞行活动报备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在飞手端应用申请飞行活动，提交无人机飞行的原因，可选择活动类型，飞行时间和飞行范围；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飞行范围支持在地图上进行框选，框选的图像信息会以数据形式回到平台进行报备；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框选的信息支持调整修改，并重新提交，覆盖原先申请的范围。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飞行活动审核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通过飞手端发起的飞行活动，可在平台上查看申请的详细信息，可选择是否通过并保留所有已处理的记录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品牌无人机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通过飞手端可申请注册无人机通过后可在平台维护无人机信息，支持手动添加身份认证设备信息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自制无人机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通过飞手端可申请注册无人机通过后可在平台维护无人机信息，支持手动添加身份认证设备信息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支持管理当前辖区内所有无人机自动航线，支持通过其他平台规划好的航线进行导入应用（需格式相同）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可支持申请长期可用的指定航路，同空域下多航线的相对位置等信息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停机坪管理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停机坪列表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管理当前辖区内所有的无人机固定起降点、机场、固定充电仓等信息，可在GIS地图显示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低空监管应用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空域绘制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支持多种不同类型的管制区域和适航区域绘制，包括多边形或圆形绘制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支持直接在地图上进行绘制，并支持所有类型的空域在地图上统一展示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自定义名称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支持修改空域名称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空域列表查看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支持空域列表的查看，点击列表空域，右侧地图即可精准定位到相应区域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立体化显示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不同的空域能够依据各自相应的高度，在三维地图上清晰显示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使用web端展示控件，实现三维地图在网页端的优化呈现，体现不同空域之间的相互关系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空域标签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支持为空域添加标签，按照警用、民用、公共设施等范围进行划分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警用范围不允许民用、公共设施的应用设备进入，空域之间范围允许叠加，区分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空域删除</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支持删除单个空域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标签筛选</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支持标签筛选空域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名称搜索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支持空域名称搜索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修改高度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支持修改空域高度，绘制好的空域支持高度设定，使2D模式下空域叠加显示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3D模式下，显示空域与空域之间的高度差、空域与地形之间的高度差。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临时空域管制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支持针对空域在法定节假日或自定义时间进行管制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管制空域报警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对于进入管制空域内飞行且未进行飞行报备的无人机，系统会自动发出报警，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自动区分登记但受到管制的无人机、管制区域内正常作业的白名单无人机、警航无人机等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违规报警配置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违规报警配置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支持管理员自主修改违规报警规则，管制空域以大疆限飞区域为基础叠加本地规划的管制空域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自定义违规类型，支持设定未实名登记的飞机按照本地未登记或者UOM未登记进行报警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自定义违规阈值，大、中型无人机且无民航证的、或者在空域中超过限制高度、速度的可进行报警设定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布控管理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事件布控</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支持预设布防事件，可选择加入指定基站作为布控对象，指定时间指定该基站区域内出现目标即会报警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可选择加入无人机作为布控对象，指定时间指定区域内出现该无人机目标即会报警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事件处置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工单管理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支持根据历史报警记录或实时报警信息下发至警员时自动生成报警工单，警员处置警情后在平台回填处置结果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支持对操作飞手、无人机SN、高度、速度、发生事件、报警区域、违规行为、处理结果进行统一记录和返回，并支持手动创建工单，将已完成、待处理的事件工单进行区分，并红点提示未处理工单的总数。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64</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低空政务协作</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信息发布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政策发布</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可在平台编辑政策规定信息，一键发送至飞手端页面，飞手登录即可查看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内部通告</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支持在平台编辑内部通知通告，可选择指定时间下发至指定部门，该部门账号登录平台时即可查看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业务流转</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查看警务工单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显示操作飞手、无人机型号、高度速度等信息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新增警务工单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1、发现违规飞机报警，通知警员选择警员信息后，自动转入警务工单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2、在历史违规记录，可一键转入警务工单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3、手动填写新增警务工单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处理结果</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处理中的警务工单，填写处置结果即转为已完成工单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一键流转</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通过统一的数据平台，或业务流转方式，发送工单给其他政务部门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导出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支持工单导出功能，以对应需求格式一键导出工单，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筛选</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支持按照时间、无人机SN、报警类型等进行筛选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接口拓展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接口预留</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预留多样化的政务应用接口，支持与多政务系统间数据互通业务联动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75</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历史数据查询</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报警记录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包含所有报警记录触发的事件、时间、地点、人物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触发轨迹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可查看到同一无人机触发的多次或多个报警点的轨迹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一键出警</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支持对历史记录中的报警信息进行出警，并生成警务工单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支持按时间、空间、人员等多维度查询设备侦测到的活动记录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历史轨迹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支持根据同一无人机的坐标自动生成动态历史轨迹，可作为判断其违法行为研判的依据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80</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基础信息管理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身份识别设备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登记和维护5G-A基站、报文基站等设备的基础信息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支持对对应身份识别设备进行基站与发射端的模块区分，进行分类登记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支持通过设备名称、设备Sn、设备型号进行搜索、删除、修改等功能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侦测反制设备</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登记和维护雷达、云哨、反制盾等侦测反制设备的基础信息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支持不同类型的侦测反制设备进行重要参数主页显示，区分侦测反制设备显示形态、全向定向打击类别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支持通过设备名称、设备Sn、设备型号进行搜索、删除、修改等功能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品牌管理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设备品牌</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管理和维护侦测反制、身份识别等地面设备的品牌信息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无人机厂家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管理和维护无人机的厂家和品牌等预设信息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型号管理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设备型号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管理和维护侦测反制、身份识别等地面设备的型号信息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无人机型号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管理和维护无人机的型号预设信息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账号配置管理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账号配置管理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管理和维护用于云哨等设备登录和推送至平台的设备账号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云哨设备在使用过程中需要登录对应账号，平台支持云哨的远程系统登录，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支持记录过的云哨账号通过验证码一键登录，支持显示云哨账号状态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无人机类型</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无人机类型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管理和维护多旋翼、固定翼等无人机的类型固定字段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预设报警区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报警区列表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支持预设报警区域和核心区域，预设进入区域后的报警模式以及自动响应的反制设备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辖区派出所</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辖区派出所列表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支持管理辖区派出所信息，支持绑定所属地区和所在地址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重点管控区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区域列表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支持预设重点管控区域，可在GIS地图上显示，可根据此类区域设置不同的管理方案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值班配比</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值班配比</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支持管理和维护各区域各时段的值班人员信息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98</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系统权限管理</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管理和维护平台账号所属的部门信息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新建和维护登录平台的账号和密码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角色管理</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角色管理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管理所有登录平台账号的操作权限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设定每个账号在平台内所拥有的查看与操作权限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支持调整该账号中，对应子模块的增删改查的单项功能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同一个账号拥有多个角色权限时，采取合并能力的方式给与该账号平台应用权限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操作日志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操作日志</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记录所有平台账号在平台上的敏感操作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登录日志</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登录日志</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记录所有平台账号登录平台的IP和时间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106</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政务航空应用</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无人机自动机场管理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巡检态势</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能够在电子地图上展示多个机场当前位置、每个机场当前状态，和机场巡检的区域范围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巡检监控</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获取无人机直播视频及机场、无人机状态数据，实时掌控巡检任务执行情况。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视频录像</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支持视频直播的自动录制，数据保存云端，可随时追溯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航线列表查看和管理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显示航线缩略图、航线名称、起点、终点、创建时间以及下发机场名称，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可对创建时间进行筛选，支持KMZ文件的导入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航线编辑</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支持在立体地图中编辑航线基本信息，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包括照片存储类别选择、默认飞行高度设置、默认飞行速度设置、偏航角设置、任务完后后动作设置。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航点管理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包括配置各个航点的飞行速度、高度、云台俯仰角；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配置各个航点的执行动作,包括悬停、偏航角、变焦、录像、拍照等动作；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能够自动计算出航点总数、预计飞行里程和预计飞行时间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可新建、查看、删除任务信息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任务名称、描述、模式、下发机场名称，可对任务信息进行日期筛选，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可重新激活已执行的任务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任务排班</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可根据需要选择三种模式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立即执行：设定好飞行参数，完成设定后无人机立即执行飞行任务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定时模式：设定好飞行参数，设定起飞时间，到预定时间后自动飞行，可按照日、周、月设定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循环模式：设定飞行时间段，此段时间内无人机自动反复巡航，满电自动起飞，低电自动返航直至时间结束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绘制好的航线支持关联航线并将任务下发到机场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任务概览</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默认展示当月每天的任务信息，可切换修改，展示未执行、已执行、执行中、取消执行的任务状态，可具体查看某一天的任务执行情况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巡检记录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支持飞行数据存储，如飞行轨迹、设备信息、飞行时间、拍摄照片、直播录制文件等，保存在任务记录中，便于后期回放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能够接入、停用机场，能够查看机场实时信息，包括气象数据、监控视频、机场状态数据等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安全设定</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根据无人机机场部署周边环境定制设置飞行安全区域信息，保证无人机接警后能够安全高效进行飞行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机场监控视频接入</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实现机场视频监控的接入，无需增加其他监控存储设备，机场监控视频统一保存在平台端。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远程驾驶舱控制</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确保无人机各项指标正常，飞行参数无误后，支持机场无人机一键起飞，起飞后悬停在机场上空，等待接管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支持自动按照预设的路线返回机场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中断无人机航线，暂停后可继续操作，停止则使其静止在空中等待接管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无人机将接着之前暂停时的状态继续执行飞行任务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让无人机立即停止一切动作，最大程度保障飞行安全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支持控制机场的无人机，脱离传统遥控器限制，虚拟摇杆分左右两个盘，可用鼠标进行拖拽控制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支持查看键盘快捷键操作按钮，也可根据习惯修改键盘快捷按钮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支持桌面式摇杆控制，支持自定义方案控制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使用人需要申请控制时，需要获取当前控制人的同意，点击申请控制按钮后，当前控制人在飞行过程中，会弹出是否释放控制的弹窗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指点飞行</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支持通过鼠标点击GIS地图点位或双击地图任意位置放置目标点位，页面自动获取该点位经纬度信息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修改目标点后，会自动修改航线目标点，修改航线路径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放置目标点后，设置飞行高度速度后，生成航线路径，自动操控无人机执行该飞行指令，到达点位后悬停等待接管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放置目标点后，根据目标点位位置，调整无人机俯仰角，使目标点至画面中心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放置目标点后，设置飞行高度速度，生成圆形航线路径，环绕目标点飞行，自动操控无人机执行该飞行指令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根据指点飞行、环绕飞行、一键返航等不同指令自动生成航线，控制无人机飞行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如无接管，待低电量后，无人机自动返航，降落机场。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无人机飞行信息显示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机场无人机起飞后，支持多类型信息实时显示：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1、切换到FPV镜头视频显示。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2、实时显示无人机飞行信息，主要包括飞行高度、水平速度、垂直速度、云台的角度、飞行的姿态信息。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3、显示机场的监控相机视频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4、实时显示机场的状态信息,主要包括舱盖状态、温度、网络信息、天气信息、机场的状态、数据上传数量.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检测算法库</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人脸抓拍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识别视频中人脸目标，可进行人脸图片扣取。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人员识别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识别视频中人员目标。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违章建筑比对识别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小区违章建筑识别，如阳光房加装、建筑加层等。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多期无人机采集到的照片支持对比识别，支持指定照片作为基础图进行对比，对比识别自动剔除车辆、光线造成的变化，高效识别图片之间的差别，支持双图卷帘方式呈现比对结果。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对比成果会以提示符形式显示在主页缩略图，可人工进行错识别误识别框剔除，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支持将出现问题的照片以派发工单的形式推送至其他局办单位进行处理。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烟火识别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烟火检测识别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垃圾识别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美丽田园巡查，白色垃圾识别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人数统计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识别统计人员数量，管理人员聚集场所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车流识别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识别统计道路上车流的车辆数，判断道路拥堵情况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裸土堆积识别</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支持空旷场地中大面积的裸土堆积检识别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河道漂浮物检测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支持检测河道水域上漂浮物检测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热成像人员检测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支持在红外热成像镜头模式下，人员目标的检测识别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无人机在空中处于动态视角，此类算法需要根基无人机的特殊拍摄角度、空间距离、外部环境光线等多种干扰下，进行重新优化训练，并逐步提高该类算法在无人机飞行过程中的识别精确度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对在指定范围内识别到的数据按照每次识别时采集到的照片、识别框选进行自动留存、并以统计图形式进行本次过程的统计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城市运营工单派发</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融合登录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匹配需求单位的用户账号体系，提供登录入口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任务申请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任务单位填写任务需求、描述和相关附件。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需求填报</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将详细的业务需求填写在系统中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人工审核</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管理员对任务进行审核和补充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任务沟通</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运营团队与需求团队进行任务沟通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任务派发</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将任务分派至自动机场或飞手进行执飞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成果提交</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飞行团队提交任务成果和相关文件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成果审批</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需求单位对任务成果进行审查和验收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服务评价</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需求单位对任务结果进行评价和反馈。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数据分析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分析派发任务的数据并生成报表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反馈分析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根据数据分析的结果提出改进和优化建议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视频回放成果统计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对视频回放成果情数量进行统计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多媒体成果统计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对多媒体数据成果数量进行统计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任务数量成果统计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对任务数量成果进行统计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警情数量成果统计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对警情数量成果进行统计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成果统计分析条件查询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支持按飞机机型、时间、月份、年度查询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部门飞行架次、时长、距离统计分析</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按部门统计飞行架架次、时长、距离信息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按部门统计飞行时长信息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按部门统计飞行距离信息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飞行任务统计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展示不同任务的类型、数量及占比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警情类型统计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展示不同报警类型、数量及占比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飞行统计查询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可按序列号、飞手、时间进行飞行记录查询统计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飞行架次、时长统计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对查询出的飞行架次进行统计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对查询出的飞行架次进行统计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飞行时长分布统计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对查询出的飞行时长分布进行展示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飞行记录上传</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可手动上传飞行日志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按部门、人员汇总飞行记录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对查询出的飞行统计记录按部门汇总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对查询出的飞行统计记录按人员汇总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视频回放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可查询并回放所有无人机的视频流数据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按SN、状态、日期查询视频记录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可按无人机的SN查询视频记录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可按视频状态条件（正常、收藏、过期）查询视频记录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可按开始结束时间段查询视频记录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日历模式视频回放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可点击对应的月份和日期选择视频进行回放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视频下载</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可以直接下载视频至本机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视频重命名、删除、收藏</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可以对视频进行重命名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可以删除视频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可以对视频进行收藏操作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视频播放倍速调节</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支持以1到3倍速进行视频播放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视频内容标记</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支持在视频回放过程中进行标记，记录时间点和备注描述信息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视频播放时间轴调整</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支持按1天、6小时、2小时、1小时、30分钟、6分钟设置播放视频的时间轴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按名称、文件类型、时间段媒体文件查询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可按名称查询并回放所有无人机的手工拍摄的照片及视频数据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可按文件类型查询并回放所有无人机的手工拍摄的照片及视频数据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可按时间段查询并回放所有无人机的手工拍摄的照片及视频数据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媒体文件自定义归集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可新建文件夹，将需要归集的数据存放在统一文件夹内，后续数据自动更新至新目录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按SN、开始结束时间段查询飞行记录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可按无人机的SN查询无人机的飞行轨迹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可按开始结束时间段查询无人机的飞行轨迹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查看飞行记录</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以三维模式回放飞行记录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飞行记录标签</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以标签的是形式对飞行记录进行归类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接警记录配置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可配置无人机机场是否接警后自动起飞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接警记录关键字、记录查询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可按关键字查询平台接收到的所有需无人机处理的接警记录信息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可查看无人机轨迹及处置过程中的视频，包含起飞、降落等关键信息及处置流程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接警记录同步到任务</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将警情分配给飞手或无人机自动机场执飞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按报警类型记录查询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按报警类型查询无人机维护保养等提醒报警信息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按报警状态、时间记录查询</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按报警状态查询无人机维护保养等提醒报警信息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按报警时间查询无人机维护保养等提醒报警信息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236</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低空空域管理</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空域管理</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针对空域进行空间管理，实现适飞空域、禁飞空域的三维化显示，并支持违规飞行的实时预警。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适飞空域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划分不需要管制的飞行的空域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四类管制空域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地面A类管制区一般适用于军民航机场、涉密单位、监狱、公安各重点监管场所等核心要地。需市局空警支队才给予解禁审批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地面B类管制一般适用于区地市级人民政府、重要车站码头、直升机机场、国家管网枢纽设施等重要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适用于风景旅游点，划分特定时间段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属于UOM系统里面的管制空域但除上述A、B、C类之外的区域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立体显示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三维化显示空域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申报空域</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对于飞行申报的空域统一管理，在特定时间内为适飞空域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时间轴</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按照时间进度展示空域，能清晰的展现相应时间下的空域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地图底图风格</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支持地图地图切换包括亮色暗色等风格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空域分类显示</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按照不同类型划分显示隐藏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报警信息列表</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对违规飞行的实时预警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飞行服务监测</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实时飞行监测</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对于空域中的飞行活动进行实时监测，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实时展现无人机在空域中飞行的状态、位置、实时轨迹信息等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地图点位</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显示地图上监测到的无人机以及飞手，支持显示设备点位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支持点击无人机、飞手显示对应的设备信息、无人机归属人信息、飞手遥控所在位置等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252</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航线</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支持显示无人机飞行的航线轨迹，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253</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3D形态显示飞行器在空中的实时位置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254</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视图层级优化</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在地图的点位处于不同层级的情况下，多架设备能够实现聚合点的显示，以此避免产生视觉干扰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255</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应急事件处置</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应急处置</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接到突发事件后，自动将附近的无人机飞到指定地点，可进行喊话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256</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支持到点之后的无人机设备进行远程接管，实现无人机远程操控飞行功能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257</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支持手动选择指定无人机飞到指定地点，处理事件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258</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支持地图选点飞行，支持地图选择位置使无人机重新朝向目标点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259</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处置结果</w:t>
            </w: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支持查看事件成果，包括使用哪台设备，该设备执行任务的起降时间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260</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执行任务采集到的视频数据，视频时间轴支持添加事件标记与收藏，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261</w:t>
            </w: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auto"/>
                <w:sz w:val="21"/>
                <w:szCs w:val="21"/>
                <w:u w:val="none"/>
              </w:rPr>
            </w:pPr>
          </w:p>
        </w:tc>
        <w:tc>
          <w:tcPr>
            <w:tcW w:w="4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产生的轨迹以及拍摄的高清素材支持调用与查看</w:t>
            </w:r>
          </w:p>
        </w:tc>
      </w:tr>
    </w:tbl>
    <w:p>
      <w:pPr>
        <w:spacing w:line="360" w:lineRule="auto"/>
        <w:rPr>
          <w:rFonts w:ascii="宋体" w:hAnsi="宋体" w:cs="宋体"/>
          <w:sz w:val="24"/>
        </w:rPr>
      </w:pPr>
    </w:p>
    <w:p>
      <w:pPr>
        <w:snapToGrid w:val="0"/>
        <w:spacing w:line="360" w:lineRule="auto"/>
        <w:ind w:firstLine="354" w:firstLineChars="169"/>
        <w:jc w:val="left"/>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sectPr>
          <w:pgSz w:w="11906" w:h="16838"/>
          <w:pgMar w:top="1247" w:right="1361" w:bottom="1247" w:left="1361" w:header="851" w:footer="851" w:gutter="0"/>
          <w:pgNumType w:fmt="numberInDash"/>
          <w:cols w:space="720" w:num="1"/>
          <w:docGrid w:type="lines" w:linePitch="312" w:charSpace="0"/>
        </w:sect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硬件需求</w:t>
      </w:r>
    </w:p>
    <w:tbl>
      <w:tblPr>
        <w:tblStyle w:val="25"/>
        <w:tblW w:w="14503" w:type="dxa"/>
        <w:jc w:val="center"/>
        <w:tblLayout w:type="fixed"/>
        <w:tblCellMar>
          <w:top w:w="0" w:type="dxa"/>
          <w:left w:w="108" w:type="dxa"/>
          <w:bottom w:w="0" w:type="dxa"/>
          <w:right w:w="108" w:type="dxa"/>
        </w:tblCellMar>
      </w:tblPr>
      <w:tblGrid>
        <w:gridCol w:w="1252"/>
        <w:gridCol w:w="1788"/>
        <w:gridCol w:w="1412"/>
        <w:gridCol w:w="10051"/>
      </w:tblGrid>
      <w:tr>
        <w:tblPrEx>
          <w:tblCellMar>
            <w:top w:w="0" w:type="dxa"/>
            <w:left w:w="108" w:type="dxa"/>
            <w:bottom w:w="0" w:type="dxa"/>
            <w:right w:w="108" w:type="dxa"/>
          </w:tblCellMar>
        </w:tblPrEx>
        <w:trPr>
          <w:trHeight w:val="567" w:hRule="atLeast"/>
          <w:tblHeader/>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设备名称</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类型</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cs="仿宋"/>
                <w:b/>
                <w:bCs/>
                <w:sz w:val="24"/>
              </w:rPr>
            </w:pPr>
            <w:r>
              <w:rPr>
                <w:rFonts w:hint="eastAsia" w:ascii="仿宋" w:hAnsi="仿宋" w:cs="仿宋"/>
                <w:b/>
                <w:bCs/>
                <w:kern w:val="0"/>
                <w:sz w:val="24"/>
                <w:lang w:bidi="ar"/>
              </w:rPr>
              <w:t>参数要求</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手持式特征频谱侦测设备</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侦测设备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手持式无人机探测定位系统 1）设备为一体式结构，具有探测和定位功能。</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2）显示屏：具有电容触摸屏，应支持多点触摸。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3）显示屏尺寸：≥6英寸。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4）探测识别：应具有无人机信号探测识别功能，探测品牌类型覆盖大疆、哈博森、臻迪、Wi-Fi无人机、穿越机等。</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5）★探测定位：应具有定位功能，能显示无人机的工作频段、品牌型号、电子指纹、方位、距离、经纬度、飞行高度等信息，能在电子地图上显示标识图标和飞行轨迹。</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6）飞手定位：能够显示飞手经纬度、距离、方位等信息，能在电子地图上显示遥控器表示图标，以及对应无人机标识图标的连线。</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7）★探测频率范围：要求设备的频率探测范围为25MHz-6000MHz。</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8）探测灵敏度：≤-105dBm。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9）探测距离：无人机的探测距离≥2km。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10）定位精度：设备对无人机的定位误差应≤2m。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11）高度精度：设备对无人机飞行高度的定位误差应≤1m。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12）飞手精度：设备对遥控器（飞手）的定位误差应≤1m。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13）测向精度：设备对无人机的测向误差应≤1°（RMS）。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14）探测时间：设备发现无人机所需的时间应≤5s。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15）探测结果时间：探测结果刷新时间应≤2s。</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16）探测成功率：≥99%。</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17）虚警率：设备持续探测24小时，虚警应≤1架次。</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18）续航时长：设备的持续工作时间≥4h。</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19）★同一无人机入侵识别：多次探测识别到同一架次无人机入侵时，应能自动融合为一条信息，能自动整合该无人机的入侵信息，且 多条记录中的无人机电子指纹ID应相同。</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20）多目标识别功能：能同时探测并识别无人机的数量应≥10架。</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21）多目标定位功能：具有多目标定位功能，应能同时探测并定位不少于11架的无人机目标。</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22）轨迹跟踪：能同时显示无人机轨迹数量应≥11条。</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23）定位功能：具有定位功能，应能在电子地图上显示设备所在位置的经纬度信息。</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24）★无人机特征信号库：具有无人机特征信号库，特征库包含的无人机品牌数量应≥25个，机型应≥100种，至少包含以下：大疆（包括御3、御2、御mini2、御Air、御Air2、御miniSE、御Pro、御Air2S、御mini、精灵4Pro、精灵4ProV2.0、精灵4、Tello等型号）、道通、小米、大华、海康、世季、哈博森、亿航、昊翔、零度、伟力、臻迪、华科尔、司马、基石、云科、追云、普宙、Holystone、AEE、飞拍、优迪、飞马、科卫泰、大工、科比特、JOUAV、Parrot、3DR、CFLY、TW等品牌的无人机。</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25）动态工作：设备应在移动状态下（且移动速度≥60km/h）对无人机、遥控器（飞手）进行探测及定位。</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26）供电充电：应能通过内置锂电池供电、通过移动电源（充电宝）、车载USB接口或电源适配器接入市电等方式充电。</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27）静电放电抗扰度：接触放电：±6kV；空气放电：±2kV，±4kV，±8kV。</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28）电磁场辐射抗扰度：扫频：80MHz～1000MHz；场强：10V/m；幅度调制：1kHz、调制深度80%，设备工作正常。</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29）电磁环境试验：按照GB8702-2014《电磁环境控制限制》中限制和评价方法的规定进行，在距离设备0.5m应符合，发射频率范围在30MHz-3000MHz，环境电场强度的方均根值应≤12V/m。</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30）工作温度：-25℃-50℃。</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31）低气压高海拔工况：设备在10℃，55kPa低气压环境下4h可正常工作。</w:t>
            </w:r>
          </w:p>
          <w:p>
            <w:pPr>
              <w:widowControl/>
              <w:spacing w:line="24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需提供国家安全防范报警系统产品质量监督检测中心、公安部安全与警用电子产品质量检测中心出具的检测报告，并提供检验报告复印件加盖厂家公章。 </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反制盾（含侦查功能）</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反制设备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lang w:val="en-US" w:eastAsia="zh-CN"/>
              </w:rPr>
              <w:t>1</w:t>
            </w:r>
            <w:r>
              <w:rPr>
                <w:rFonts w:hint="default" w:ascii="宋体" w:hAnsi="宋体" w:eastAsia="宋体" w:cs="宋体"/>
                <w:sz w:val="21"/>
                <w:szCs w:val="21"/>
                <w:lang w:val="en-US" w:eastAsia="zh-CN"/>
              </w:rPr>
              <w:t>.供电：33v。</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2、主机重量：≤7Kg；</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3、散热方式：智能温控</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4、工作时间：≥30mins（持续时间）</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5、主机尺寸：L*W*H≤400mm *300mm *150mm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6：设备应为一体化设计</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7、反制形式：定向式无线电干扰，基本干扰频段包括 800MHz、900MHz、1.2GHz（全段）、1.6GHz（全段）、2.4GHz（全段）、5.2GHz（全段）、5.8GHz（全段） 7 频段干扰。</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8、发射频率：①ISM 800M：790-850（MHZ）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②ISM 900M：855-940（MHZ）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③ISM 1.2G：1157-1285（MHZ）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④ISM 1.6G：1545-1620（MHZ）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⑤ISM 2.4G: 2400-2500(MHZ)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⑥ISM 5.2G：5170-5250（MHZ）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⑦ISM 5.8G：5700-5865（MHZ）</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9、发射功率：①ISM 800：≥40dBm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②ISM 900：≥40dBm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③ISM 1.2：≥40dBm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④ISM 1.6：≥40dBm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⑤ISM 2.4: ≥40dBm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⑥ISM 5.2：≥40dBm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              ⑦ISM 5.8: ≥40dBm</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10、★展开时间：＜ 5. 0s;</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11、撤收时间：＜5. 0s</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12、高低温：高温70度±2，低温30±2，后开机仍能正常工作</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13：环境电场强度：便携式无人机单兵干扰器环境电场强度符合GB 8702-2014《电磁环境控制限值》标准</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★14、设备性能：对遥控频率为800MHz、900MHz、1.2GHz（全段）、1.6GHz（全段）、2.4GHz（全段）、5.2GHz（全段）、5.8GHz（全段）的无人机，干扰距离≥3000米。</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 xml:space="preserve">★15、GPS定位功能：支持的定位系统 BDS/GPS/GLONASS/GALTLEO/QZSS/SBAS，可以实时发送GPS定位信息，可接入浙江省无人机管理平台终端，能显示设备当前地理位置信息，并可实现多设备定位信息同时显示。  </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16、可实现对无人机遥控频段和图传频段干扰作用。</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17、配有普通民用（220V）充电器。</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18：电源总开关按键响应时间：≤1 秒钟。</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19：发射开关按键响应时间：≤1 秒钟。</w:t>
            </w:r>
          </w:p>
          <w:p>
            <w:pPr>
              <w:widowControl/>
              <w:spacing w:line="240" w:lineRule="auto"/>
              <w:ind w:firstLine="0" w:firstLineChars="0"/>
              <w:jc w:val="left"/>
              <w:textAlignment w:val="center"/>
              <w:rPr>
                <w:rFonts w:hint="default" w:ascii="宋体" w:hAnsi="宋体" w:eastAsia="宋体" w:cs="宋体"/>
                <w:sz w:val="21"/>
                <w:szCs w:val="21"/>
              </w:rPr>
            </w:pPr>
            <w:r>
              <w:rPr>
                <w:rFonts w:hint="default" w:ascii="宋体" w:hAnsi="宋体" w:eastAsia="宋体" w:cs="宋体"/>
                <w:sz w:val="21"/>
                <w:szCs w:val="21"/>
                <w:lang w:val="en-US" w:eastAsia="zh-CN"/>
              </w:rPr>
              <w:t>20：干扰反应时间：3000M距离,≤6 秒钟。</w:t>
            </w:r>
          </w:p>
          <w:p>
            <w:pPr>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★21、4G/5G模块通信：设备具有4G/5G通信模块，可通过4G/5G网络进行数据传输</w:t>
            </w:r>
            <w:r>
              <w:rPr>
                <w:rFonts w:hint="eastAsia" w:ascii="宋体" w:hAnsi="宋体" w:eastAsia="宋体" w:cs="宋体"/>
                <w:sz w:val="21"/>
                <w:szCs w:val="21"/>
                <w:lang w:val="en-US" w:eastAsia="zh-CN"/>
              </w:rPr>
              <w:t>。</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穿越机</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210" w:firstLineChars="100"/>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反制设备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★1.机架:机架尺寸≤193*144*34mm；电机对角;245mm/240mm；底板厚度≥2.5mm；机臂厚度≥5mm；中心板厚度≥3mm</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r>
              <w:rPr>
                <w:rFonts w:hint="default" w:ascii="宋体" w:hAnsi="宋体" w:eastAsia="宋体" w:cs="宋体"/>
                <w:sz w:val="21"/>
                <w:szCs w:val="21"/>
                <w:lang w:val="en-US" w:eastAsia="zh-CN"/>
              </w:rPr>
              <w:t>飞控:飞控处理器不低于：STM32F722/孔位尺寸≤30.5*30.5mm 重量≤7.8g</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3.电调:孔距≤30.5*30.5mm/重量≤15.3g/输入电压≤2-6S/固件≥IFLIGHT BLITZ G3/瞬间电流≥65A</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4.电机:尺寸≤2207/1800KV数量*4</w:t>
            </w:r>
          </w:p>
          <w:p>
            <w:pPr>
              <w:widowControl/>
              <w:numPr>
                <w:ilvl w:val="0"/>
                <w:numId w:val="0"/>
              </w:numPr>
              <w:spacing w:line="240" w:lineRule="auto"/>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5.眼镜:分辨率≥1920*1080/刷新率≥100hz/屈光度调节范围≥72/电池数量*2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6.图传:最高码率≥50Mbps 画质≥1080p/100fps 传感器≥1/1.7 英寸</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7.接收机:重量≤0.7克/尺寸≤11*18毫米</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8.遥控器:发射功率≥1000mW/尺寸≥185*175*79mm/重量≤481g（不含电池）/遥控器电池容量≥5000mah数量*2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9.机臂:机臂厚度≤5mm数量*2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10.电池:电压6s /放电倍率≤150c /容量≤1400mah</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11.高频头:尺寸≤55*89*15mm/频率915mhz/功率≥2W</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12.充电器:充电电流≤0.1-15A*2/充电功率≥DC 325Wx2</w:t>
            </w:r>
          </w:p>
          <w:p>
            <w:pPr>
              <w:widowControl/>
              <w:spacing w:line="240" w:lineRule="auto"/>
              <w:ind w:firstLine="0" w:firstLineChars="0"/>
              <w:jc w:val="left"/>
              <w:textAlignment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13.桨叶:螺距≤3.6in/桨盘直径≤131.8mm/桨叶宽度≤15mm重量≤4.2g/数量*4</w:t>
            </w:r>
          </w:p>
          <w:p>
            <w:pPr>
              <w:widowControl/>
              <w:spacing w:line="240" w:lineRule="auto"/>
              <w:ind w:firstLine="0" w:firstLineChars="0"/>
              <w:jc w:val="left"/>
              <w:textAlignment w:val="center"/>
              <w:rPr>
                <w:rFonts w:hint="eastAsia" w:ascii="宋体" w:hAnsi="宋体" w:eastAsia="宋体" w:cs="宋体"/>
                <w:kern w:val="0"/>
                <w:sz w:val="21"/>
                <w:szCs w:val="21"/>
                <w:lang w:bidi="ar"/>
              </w:rPr>
            </w:pPr>
            <w:r>
              <w:rPr>
                <w:rFonts w:hint="default" w:ascii="宋体" w:hAnsi="宋体" w:eastAsia="宋体" w:cs="宋体"/>
                <w:sz w:val="21"/>
                <w:szCs w:val="21"/>
                <w:lang w:val="en-US" w:eastAsia="zh-CN"/>
              </w:rPr>
              <w:t>14.拆桨工具:开口厚度≤5.2MM/开口宽度≤17.3MM/柄处厚度 ≤4.1MM/圆口厚度≤6.5MM</w:t>
            </w:r>
          </w:p>
        </w:tc>
      </w:tr>
      <w:tr>
        <w:tblPrEx>
          <w:tblCellMar>
            <w:top w:w="0" w:type="dxa"/>
            <w:left w:w="108" w:type="dxa"/>
            <w:bottom w:w="0" w:type="dxa"/>
            <w:right w:w="108" w:type="dxa"/>
          </w:tblCellMar>
        </w:tblPrEx>
        <w:trPr>
          <w:trHeight w:val="90"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4</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无人机远程控制盒</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控制设备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r>
              <w:rPr>
                <w:rFonts w:hint="default" w:ascii="宋体" w:hAnsi="宋体" w:eastAsia="宋体" w:cs="宋体"/>
                <w:kern w:val="0"/>
                <w:sz w:val="21"/>
                <w:szCs w:val="21"/>
                <w:lang w:val="en-US" w:eastAsia="zh-CN" w:bidi="ar"/>
              </w:rPr>
              <w:t>.重量：≤150g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hint="default" w:ascii="宋体" w:hAnsi="宋体" w:eastAsia="宋体" w:cs="宋体"/>
                <w:kern w:val="0"/>
                <w:sz w:val="21"/>
                <w:szCs w:val="21"/>
                <w:lang w:val="en-US" w:eastAsia="zh-CN" w:bidi="ar"/>
              </w:rPr>
              <w:t>.自身内存规格：≥DDR4X  8G 总带宽≥51.2GB/s</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val="en-US" w:eastAsia="zh-CN" w:bidi="ar"/>
              </w:rPr>
              <w:t>.存储空间：≥128G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hint="default" w:ascii="宋体" w:hAnsi="宋体" w:eastAsia="宋体" w:cs="宋体"/>
                <w:kern w:val="0"/>
                <w:sz w:val="21"/>
                <w:szCs w:val="21"/>
                <w:lang w:val="en-US" w:eastAsia="zh-CN" w:bidi="ar"/>
              </w:rPr>
              <w:t>.防护等级：≥IP45</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r>
              <w:rPr>
                <w:rFonts w:hint="default" w:ascii="宋体" w:hAnsi="宋体" w:eastAsia="宋体" w:cs="宋体"/>
                <w:kern w:val="0"/>
                <w:sz w:val="21"/>
                <w:szCs w:val="21"/>
                <w:lang w:val="en-US" w:eastAsia="zh-CN" w:bidi="ar"/>
              </w:rPr>
              <w:t>,工作温度：-30°C~60°C</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6</w:t>
            </w:r>
            <w:r>
              <w:rPr>
                <w:rFonts w:hint="default" w:ascii="宋体" w:hAnsi="宋体" w:eastAsia="宋体" w:cs="宋体"/>
                <w:kern w:val="0"/>
                <w:sz w:val="21"/>
                <w:szCs w:val="21"/>
                <w:lang w:val="en-US" w:eastAsia="zh-CN" w:bidi="ar"/>
              </w:rPr>
              <w:t>.电源输入电压：12~28V</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7</w:t>
            </w:r>
            <w:r>
              <w:rPr>
                <w:rFonts w:hint="default" w:ascii="宋体" w:hAnsi="宋体" w:eastAsia="宋体" w:cs="宋体"/>
                <w:kern w:val="0"/>
                <w:sz w:val="21"/>
                <w:szCs w:val="21"/>
                <w:lang w:val="en-US" w:eastAsia="zh-CN" w:bidi="ar"/>
              </w:rPr>
              <w:t>.拓展接口：支持USB3.0/2.0/UART/以太网络接入</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8</w:t>
            </w:r>
            <w:r>
              <w:rPr>
                <w:rFonts w:hint="default" w:ascii="宋体" w:hAnsi="宋体" w:eastAsia="宋体" w:cs="宋体"/>
                <w:kern w:val="0"/>
                <w:sz w:val="21"/>
                <w:szCs w:val="21"/>
                <w:lang w:val="en-US" w:eastAsia="zh-CN" w:bidi="ar"/>
              </w:rPr>
              <w:t>.通信能力：5G/WIFI6/1.4G(自组网通信)（提供具有CMA标识的第三方检测报告。（扫描件或复印件））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9</w:t>
            </w:r>
            <w:r>
              <w:rPr>
                <w:rFonts w:hint="default" w:ascii="宋体" w:hAnsi="宋体" w:eastAsia="宋体" w:cs="宋体"/>
                <w:kern w:val="0"/>
                <w:sz w:val="21"/>
                <w:szCs w:val="21"/>
                <w:lang w:val="en-US" w:eastAsia="zh-CN" w:bidi="ar"/>
              </w:rPr>
              <w:t>.支持设备：</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支持接入大疆M300RTK、M210系列等主流无人机设备（提供具有CMA标识的第三方检测报告。（扫描件或复印件））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10</w:t>
            </w:r>
            <w:r>
              <w:rPr>
                <w:rFonts w:hint="default" w:ascii="宋体" w:hAnsi="宋体" w:eastAsia="宋体" w:cs="宋体"/>
                <w:kern w:val="0"/>
                <w:sz w:val="21"/>
                <w:szCs w:val="21"/>
                <w:lang w:val="en-US" w:eastAsia="zh-CN" w:bidi="ar"/>
              </w:rPr>
              <w:t>.支持SDK类型：大疆系列：PSDK；</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1</w:t>
            </w:r>
            <w:r>
              <w:rPr>
                <w:rFonts w:hint="default" w:ascii="宋体" w:hAnsi="宋体" w:eastAsia="宋体" w:cs="宋体"/>
                <w:kern w:val="0"/>
                <w:sz w:val="21"/>
                <w:szCs w:val="21"/>
                <w:lang w:val="en-US" w:eastAsia="zh-CN" w:bidi="ar"/>
              </w:rPr>
              <w:t>.具有无人机飞行控制能力,控制飞机执行任务飞行,控制云台转动,控制相机拍照变焦录像等（提供具有CMA标识的第三方检测报告。（扫描件或复印件）</w:t>
            </w:r>
          </w:p>
          <w:p>
            <w:pPr>
              <w:widowControl/>
              <w:spacing w:line="240" w:lineRule="auto"/>
              <w:ind w:firstLine="0" w:firstLineChars="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r>
              <w:rPr>
                <w:rFonts w:hint="eastAsia" w:ascii="宋体" w:hAnsi="宋体" w:cs="宋体"/>
                <w:kern w:val="0"/>
                <w:sz w:val="21"/>
                <w:szCs w:val="21"/>
                <w:lang w:val="en-US" w:eastAsia="zh-CN" w:bidi="ar"/>
              </w:rPr>
              <w:t>2</w:t>
            </w:r>
            <w:r>
              <w:rPr>
                <w:rFonts w:hint="default" w:ascii="宋体" w:hAnsi="宋体" w:eastAsia="宋体" w:cs="宋体"/>
                <w:kern w:val="0"/>
                <w:sz w:val="21"/>
                <w:szCs w:val="21"/>
                <w:lang w:val="en-US" w:eastAsia="zh-CN" w:bidi="ar"/>
              </w:rPr>
              <w:t>.AI算力：算力≥20 TOPS 精度≥INT 8,可作为无人机入门级AI算力平台</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5</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飞行控制摇杆</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控制设备</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★1.摇杆操作解析度≥16 位（提供具有CMA标识的第三方检测报告。扫描件或复印件）</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2.摇杆手柄可拆卸，底座稳固，自重≥2.5kg</w:t>
            </w:r>
          </w:p>
          <w:p>
            <w:pPr>
              <w:widowControl/>
              <w:spacing w:line="240" w:lineRule="auto"/>
              <w:ind w:firstLine="0" w:firstLineChars="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★3．有效操作按键≥19个，包含苦力帽、八向帽、按压帽、金属扳机等必要操作按钮，(提供具有CMA标识的第三方检测报告。（扫描件或复印件）)</w:t>
            </w:r>
          </w:p>
          <w:p>
            <w:pPr>
              <w:widowControl/>
              <w:spacing w:line="240" w:lineRule="auto"/>
              <w:ind w:firstLine="0" w:firstLineChars="0"/>
              <w:jc w:val="left"/>
              <w:textAlignment w:val="center"/>
              <w:rPr>
                <w:rFonts w:hint="eastAsia"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4.模拟控制台：底座稳固，自重≥2.5kg； 包含操作按钮、挡位开关和Trim 轮</w:t>
            </w:r>
          </w:p>
        </w:tc>
      </w:tr>
      <w:tr>
        <w:tblPrEx>
          <w:tblCellMar>
            <w:top w:w="0" w:type="dxa"/>
            <w:left w:w="108" w:type="dxa"/>
            <w:bottom w:w="0" w:type="dxa"/>
            <w:right w:w="108" w:type="dxa"/>
          </w:tblCellMar>
        </w:tblPrEx>
        <w:trPr>
          <w:trHeight w:val="567" w:hRule="atLeast"/>
          <w:jc w:val="center"/>
        </w:trPr>
        <w:tc>
          <w:tcPr>
            <w:tcW w:w="12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val="en-US" w:eastAsia="zh-CN" w:bidi="ar"/>
              </w:rPr>
              <w:t>6</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auto"/>
              <w:ind w:firstLine="0" w:firstLineChars="0"/>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流量卡</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kern w:val="0"/>
                <w:sz w:val="21"/>
                <w:szCs w:val="21"/>
                <w:lang w:bidi="ar"/>
              </w:rPr>
              <w:t>流量卡</w:t>
            </w:r>
          </w:p>
        </w:tc>
        <w:tc>
          <w:tcPr>
            <w:tcW w:w="1005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满足4M超清码流下视频回传通畅，视频观看不卡顿，飞行过程不会出现数据断链，流量使用不受限制.按年付费</w:t>
            </w:r>
            <w:r>
              <w:rPr>
                <w:rFonts w:hint="eastAsia" w:ascii="宋体" w:hAnsi="宋体" w:cs="宋体"/>
                <w:sz w:val="21"/>
                <w:szCs w:val="21"/>
                <w:lang w:val="en-US" w:eastAsia="zh-CN"/>
              </w:rPr>
              <w:t>。</w:t>
            </w:r>
          </w:p>
        </w:tc>
      </w:tr>
    </w:tbl>
    <w:p>
      <w:pPr>
        <w:pStyle w:val="6"/>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color w:val="auto"/>
          <w:sz w:val="21"/>
          <w:szCs w:val="21"/>
          <w:highlight w:val="none"/>
        </w:r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注：上述检测报告，加盖原厂公章允许中标后提供。</w:t>
      </w:r>
    </w:p>
    <w:p>
      <w:pPr>
        <w:rPr>
          <w:rFonts w:hint="eastAsia" w:cs="宋体"/>
          <w:color w:val="auto"/>
          <w:sz w:val="24"/>
          <w:szCs w:val="24"/>
          <w:highlight w:val="none"/>
          <w:lang w:val="en-US" w:eastAsia="zh-CN"/>
        </w:rPr>
      </w:pPr>
    </w:p>
    <w:p>
      <w:pPr>
        <w:pStyle w:val="14"/>
        <w:snapToGrid w:val="0"/>
        <w:spacing w:before="120" w:beforeLines="0" w:after="120" w:afterLines="0" w:line="240" w:lineRule="auto"/>
        <w:ind w:firstLine="210" w:firstLineChars="100"/>
        <w:outlineLvl w:val="0"/>
        <w:rPr>
          <w:rFonts w:hAnsi="宋体"/>
          <w:color w:val="0D0D0D"/>
          <w:szCs w:val="21"/>
        </w:rPr>
      </w:pPr>
      <w:bookmarkStart w:id="40" w:name="_Toc525049748"/>
      <w:r>
        <w:rPr>
          <w:rFonts w:hAnsi="宋体"/>
          <w:color w:val="0D0D0D"/>
          <w:szCs w:val="21"/>
        </w:rPr>
        <w:t>三、商务需求表</w:t>
      </w:r>
    </w:p>
    <w:tbl>
      <w:tblPr>
        <w:tblStyle w:val="2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68"/>
        <w:gridCol w:w="11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eastAsia="宋体" w:cs="Times New Roman"/>
                <w:color w:val="0D0D0D"/>
                <w:sz w:val="21"/>
                <w:highlight w:val="none"/>
                <w:lang w:eastAsia="zh-CN"/>
              </w:rPr>
              <w:t>供应商</w:t>
            </w:r>
            <w:r>
              <w:rPr>
                <w:rFonts w:hint="eastAsia" w:ascii="宋体" w:hAnsi="宋体"/>
                <w:color w:val="0D0D0D"/>
                <w:sz w:val="21"/>
                <w:szCs w:val="21"/>
                <w:highlight w:val="none"/>
              </w:rPr>
              <w:t>需按本技术规格书的要求完成</w:t>
            </w:r>
            <w:r>
              <w:rPr>
                <w:rFonts w:hint="eastAsia" w:ascii="宋体" w:hAnsi="宋体"/>
                <w:color w:val="0D0D0D"/>
                <w:sz w:val="21"/>
                <w:lang w:eastAsia="zh-CN"/>
              </w:rPr>
              <w:t>台州“飞安行”低空飞行管控服务平台</w:t>
            </w:r>
            <w:r>
              <w:rPr>
                <w:rFonts w:hint="eastAsia" w:ascii="宋体" w:hAnsi="宋体"/>
                <w:color w:val="0D0D0D"/>
                <w:sz w:val="21"/>
                <w:szCs w:val="21"/>
                <w:highlight w:val="none"/>
              </w:rPr>
              <w:t>等工作，按工作顺序提交所需的资料，所有资料必须符合本技术规格书的要求。费用应全部包含在总报价中。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Times New Roman"/>
                <w:color w:val="0D0D0D"/>
                <w:sz w:val="21"/>
                <w:lang w:eastAsia="zh-CN"/>
              </w:rPr>
            </w:pPr>
            <w:r>
              <w:rPr>
                <w:rFonts w:hint="eastAsia" w:ascii="宋体" w:hAnsi="宋体"/>
                <w:color w:val="0D0D0D"/>
                <w:sz w:val="21"/>
                <w:szCs w:val="21"/>
              </w:rPr>
              <w:t>投标总报价应是招标文件所确定的招标范围内全部工作内容的价格表现。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D0D0D"/>
                <w:sz w:val="21"/>
                <w:szCs w:val="21"/>
              </w:rPr>
            </w:pPr>
            <w:r>
              <w:rPr>
                <w:rFonts w:hint="eastAsia" w:ascii="宋体" w:hAnsi="宋体"/>
                <w:color w:val="0D0D0D"/>
                <w:sz w:val="21"/>
              </w:rPr>
              <w:t>招标范围为招标人提供的</w:t>
            </w:r>
            <w:r>
              <w:rPr>
                <w:rFonts w:hint="eastAsia" w:ascii="宋体" w:hAnsi="宋体"/>
                <w:color w:val="0D0D0D"/>
                <w:sz w:val="21"/>
                <w:lang w:eastAsia="zh-CN"/>
              </w:rPr>
              <w:t>台州“飞安行”低空飞行管控服务平台</w:t>
            </w:r>
            <w:r>
              <w:rPr>
                <w:rFonts w:hint="eastAsia" w:ascii="宋体" w:hAnsi="宋体"/>
                <w:color w:val="0D0D0D"/>
                <w:sz w:val="21"/>
              </w:rPr>
              <w:t>等所有内容。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rPr>
            </w:pPr>
            <w:r>
              <w:rPr>
                <w:rFonts w:hint="eastAsia" w:ascii="宋体" w:hAnsi="宋体"/>
                <w:color w:val="0D0D0D"/>
                <w:sz w:val="21"/>
                <w:lang w:val="en-US" w:eastAsia="zh-CN"/>
              </w:rPr>
              <w:t>服务</w:t>
            </w:r>
            <w:r>
              <w:rPr>
                <w:rFonts w:hint="eastAsia" w:ascii="宋体" w:hAnsi="宋体"/>
                <w:color w:val="0D0D0D"/>
                <w:sz w:val="21"/>
              </w:rPr>
              <w:t>时间及地点</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D0D0D"/>
                <w:sz w:val="21"/>
                <w:lang w:val="en-US" w:eastAsia="zh-CN"/>
              </w:rPr>
            </w:pPr>
            <w:r>
              <w:rPr>
                <w:rFonts w:hint="eastAsia" w:ascii="宋体" w:hAnsi="宋体"/>
                <w:color w:val="0D0D0D"/>
                <w:sz w:val="21"/>
              </w:rPr>
              <w:t>完成时间：</w:t>
            </w:r>
            <w:r>
              <w:rPr>
                <w:rFonts w:hint="eastAsia" w:ascii="宋体" w:hAnsi="宋体"/>
                <w:color w:val="0D0D0D"/>
                <w:sz w:val="21"/>
                <w:highlight w:val="none"/>
              </w:rPr>
              <w:t>合同签订之日起</w:t>
            </w:r>
            <w:r>
              <w:rPr>
                <w:rFonts w:hint="eastAsia" w:ascii="宋体" w:hAnsi="宋体"/>
                <w:color w:val="0D0D0D"/>
                <w:sz w:val="21"/>
                <w:highlight w:val="none"/>
                <w:lang w:val="en-US" w:eastAsia="zh-CN"/>
              </w:rPr>
              <w:t>一</w:t>
            </w:r>
            <w:r>
              <w:rPr>
                <w:rFonts w:hint="eastAsia" w:ascii="宋体" w:hAnsi="宋体"/>
                <w:color w:val="0D0D0D"/>
                <w:sz w:val="21"/>
                <w:highlight w:val="none"/>
              </w:rPr>
              <w:t>年</w:t>
            </w:r>
            <w:r>
              <w:rPr>
                <w:rFonts w:hint="eastAsia" w:ascii="宋体" w:hAnsi="宋体"/>
                <w:color w:val="0D0D0D"/>
                <w:sz w:val="21"/>
                <w:highlight w:val="none"/>
                <w:lang w:eastAsia="zh-CN"/>
              </w:rPr>
              <w:t>，</w:t>
            </w:r>
            <w:r>
              <w:rPr>
                <w:rFonts w:hint="eastAsia" w:ascii="宋体" w:hAnsi="宋体"/>
                <w:color w:val="0D0D0D"/>
                <w:sz w:val="21"/>
                <w:highlight w:val="none"/>
                <w:lang w:val="en-US" w:eastAsia="zh-CN"/>
              </w:rPr>
              <w:t>硬件交货时间接到招标人通知后15日内完成供货。</w:t>
            </w:r>
          </w:p>
          <w:p>
            <w:pPr>
              <w:snapToGrid w:val="0"/>
              <w:rPr>
                <w:rFonts w:ascii="宋体" w:hAnsi="宋体"/>
                <w:color w:val="0D0D0D"/>
                <w:sz w:val="21"/>
              </w:rPr>
            </w:pPr>
            <w:r>
              <w:rPr>
                <w:rFonts w:hint="eastAsia" w:ascii="宋体" w:hAnsi="宋体"/>
                <w:color w:val="0D0D0D"/>
                <w:sz w:val="21"/>
                <w:lang w:val="en-US" w:eastAsia="zh-CN"/>
              </w:rPr>
              <w:t>服务</w:t>
            </w:r>
            <w:r>
              <w:rPr>
                <w:rFonts w:hint="eastAsia" w:ascii="宋体" w:hAnsi="宋体"/>
                <w:color w:val="0D0D0D"/>
                <w:sz w:val="21"/>
              </w:rPr>
              <w:t>地点：甲方指定地点</w:t>
            </w:r>
            <w:r>
              <w:rPr>
                <w:rFonts w:hint="eastAsia" w:ascii="宋体" w:hAnsi="宋体"/>
                <w:color w:val="0D0D0D"/>
                <w:sz w:val="21"/>
                <w:lang w:eastAsia="zh-CN"/>
              </w:rPr>
              <w:t>。</w:t>
            </w:r>
            <w:r>
              <w:rPr>
                <w:rFonts w:hint="eastAsia" w:ascii="宋体" w:hAnsi="宋体"/>
                <w:color w:val="0D0D0D"/>
                <w:sz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b/>
                <w:color w:val="0D0D0D"/>
                <w:sz w:val="21"/>
                <w:szCs w:val="21"/>
              </w:rPr>
            </w:pPr>
            <w:r>
              <w:rPr>
                <w:rFonts w:hint="eastAsia" w:ascii="宋体" w:hAnsi="宋体"/>
                <w:color w:val="0D0D0D"/>
                <w:sz w:val="21"/>
                <w:szCs w:val="21"/>
              </w:rPr>
              <w:t>见合同条款</w:t>
            </w:r>
          </w:p>
        </w:tc>
      </w:tr>
      <w:bookmarkEnd w:id="40"/>
    </w:tbl>
    <w:p>
      <w:pPr>
        <w:pStyle w:val="5"/>
        <w:rPr>
          <w:rFonts w:hint="default"/>
          <w:lang w:val="en-US" w:eastAsia="zh-CN"/>
        </w:rPr>
        <w:sectPr>
          <w:pgSz w:w="16838" w:h="11906" w:orient="landscape"/>
          <w:pgMar w:top="1361" w:right="1247" w:bottom="1361" w:left="1247" w:header="851" w:footer="851" w:gutter="0"/>
          <w:pgNumType w:fmt="numberInDash"/>
          <w:cols w:space="720" w:num="1"/>
          <w:docGrid w:type="lines" w:linePitch="312" w:charSpace="0"/>
        </w:sectPr>
      </w:pPr>
    </w:p>
    <w:p>
      <w:pPr>
        <w:pStyle w:val="6"/>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四、实施要求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41" w:name="_Toc21833"/>
      <w:bookmarkStart w:id="42" w:name="_Toc27928"/>
      <w:bookmarkStart w:id="43" w:name="_Toc105761426"/>
      <w:bookmarkStart w:id="44" w:name="_Toc70237431"/>
      <w:bookmarkStart w:id="45" w:name="_Toc80456366"/>
      <w:bookmarkStart w:id="46" w:name="_Toc69930468"/>
      <w:bookmarkStart w:id="47" w:name="_Toc80456353"/>
      <w:bookmarkStart w:id="48" w:name="_Toc69930474"/>
      <w:bookmarkStart w:id="49" w:name="_Toc70237437"/>
      <w:bookmarkStart w:id="50" w:name="_Toc22551250"/>
      <w:r>
        <w:rPr>
          <w:rFonts w:hint="eastAsia" w:ascii="宋体" w:hAnsi="宋体" w:eastAsia="宋体" w:cs="宋体"/>
          <w:b/>
          <w:color w:val="auto"/>
          <w:sz w:val="24"/>
          <w:szCs w:val="24"/>
          <w:highlight w:val="none"/>
        </w:rPr>
        <w:t>1.等保测评</w:t>
      </w:r>
      <w:bookmarkEnd w:id="41"/>
      <w:bookmarkEnd w:id="42"/>
      <w:bookmarkEnd w:id="43"/>
      <w:bookmarkEnd w:id="44"/>
      <w:bookmarkEnd w:id="45"/>
      <w:bookmarkEnd w:id="4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参照最新国标《信息安全技术网络安全等级保护安全设计技术要求》（GBT 25070-2019）以及其他要求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本次项目要求中标供应商</w:t>
      </w:r>
      <w:r>
        <w:rPr>
          <w:rFonts w:hint="eastAsia" w:ascii="宋体" w:hAnsi="宋体" w:cs="宋体"/>
          <w:color w:val="auto"/>
          <w:sz w:val="24"/>
          <w:szCs w:val="24"/>
          <w:highlight w:val="none"/>
          <w:lang w:val="en-US" w:eastAsia="zh-CN"/>
        </w:rPr>
        <w:t>无条件配合招标人</w:t>
      </w:r>
      <w:r>
        <w:rPr>
          <w:rFonts w:hint="eastAsia" w:ascii="宋体" w:hAnsi="宋体" w:eastAsia="宋体" w:cs="宋体"/>
          <w:color w:val="auto"/>
          <w:sz w:val="24"/>
          <w:szCs w:val="24"/>
          <w:highlight w:val="none"/>
        </w:rPr>
        <w:t>完成信息系统安全等级保护二级定级备案、整改等工作。</w:t>
      </w:r>
    </w:p>
    <w:bookmarkEnd w:id="47"/>
    <w:bookmarkEnd w:id="48"/>
    <w:bookmarkEnd w:id="49"/>
    <w:bookmarkEnd w:id="50"/>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bookmarkStart w:id="51" w:name="_Toc30194"/>
      <w:bookmarkStart w:id="52" w:name="_Toc14175"/>
      <w:r>
        <w:rPr>
          <w:rFonts w:hint="eastAsia" w:ascii="宋体" w:hAnsi="宋体" w:eastAsia="宋体" w:cs="宋体"/>
          <w:b/>
          <w:color w:val="auto"/>
          <w:sz w:val="24"/>
          <w:szCs w:val="24"/>
          <w:highlight w:val="none"/>
        </w:rPr>
        <w:t>2.第三方软件检测</w:t>
      </w:r>
      <w:bookmarkEnd w:id="51"/>
      <w:bookmarkEnd w:id="5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配合招标人对本项目系统</w:t>
      </w:r>
      <w:r>
        <w:rPr>
          <w:rFonts w:hint="eastAsia" w:ascii="宋体" w:hAnsi="宋体" w:eastAsia="宋体" w:cs="宋体"/>
          <w:color w:val="auto"/>
          <w:sz w:val="24"/>
          <w:szCs w:val="24"/>
          <w:highlight w:val="none"/>
        </w:rPr>
        <w:t>应用开展第三方软件检测，测评内容主要包括功能测试、性能测试、安全性测试（基线检测、漏扫、渗透测试、代码检测）等，使得系统功能、性能、安全满足要求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如有问题，相关整改工作无条件配合招标人。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3.项目进度要求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要求合同签订后2周内组织人员进场开工，6个月内完成主要功能开发，9个月完成初验并进入试运行。稳定试运行3个月后，由循环公司组织终验。中标供应商必须严格按照各模块要求进度完成业务上线。如因</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原因造成不能按期完工，工期相应顺延。</w:t>
      </w:r>
      <w:bookmarkStart w:id="53" w:name="_Toc12796"/>
      <w:bookmarkStart w:id="54" w:name="_Toc43666487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4.项目组织及实施要求</w:t>
      </w:r>
      <w:bookmarkEnd w:id="53"/>
      <w:bookmarkEnd w:id="54"/>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5" w:name="_Toc6904"/>
      <w:r>
        <w:rPr>
          <w:rFonts w:hint="eastAsia" w:ascii="宋体" w:hAnsi="宋体" w:eastAsia="宋体" w:cs="宋体"/>
          <w:color w:val="auto"/>
          <w:sz w:val="24"/>
          <w:szCs w:val="24"/>
          <w:highlight w:val="none"/>
        </w:rPr>
        <w:t>1）投标供应商中标后需要在10个工作日内在循环公司成立工作团队，并指定一名专职的项目经理，负责项目协调和调度工作。除项目经理外，项目组须配备专职的技术负责人，并按照项目实施的要求，配置相应的项目管理、系统设计、开发、测试、集成、培训、质量保证等人员。</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2）本项目实施阶段要求驻场，要求投标供应商明确各阶段的人员驻场安排，项目经理要求在项目建设各阶段在现场开展相关工作，并保证一定的到场率；项目小组团队成员在各阶段至少安排</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人（含项目经理1人）进驻现场开展各项工作。并在验收后的质量保证期内专人（该工程师需全程参与过本项目建设）参加日常维护工作。中标单位无法按期完成人员进驻的，招标人有权取消其中标资格。</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3）参与此项目的技术人员必须具有承担过相同类型软件开发的经验，能够与用户进行良好的沟通，掌握相关领域的相关基础知识，具备相关应用和开发的能力。</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4）中标供应商在项目合同签订后，需组织相关实施人员在该项目招标需求的基础上进行深入调研，编制需求规格说明书。需求规格说明经</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、中标供应商确认后作为项目验收的依据。</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5）要求中标供应商在各阶段及时提供相应的项目管理文档、开发类文档及实施类文档，以便</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及时了解项目进展情况。</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6）对上述安排投标供应商应列出详细实施方案，包括但不限于项目管理计划、项目进度计划、项目验收计划、项目组织结构等。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方案提出的对项目的主要需求，是投标供应商编制投标文件和报价的主要依据，但不应作为编制正式实施方案的完整的详细要求。在编制正式的项目建设实施方案和详细设计时，投标供应商应深入分析和充分考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对本项目现在及未来发展的需求，设计出完整的优质方案。要开放各类数据显示的数据接口，便于系统功能的扩充和完善。</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8）中标后投标供应商所作的详细设计应完全满足用户的需求，同时不得与投标供应商案有实质性改变，除非</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和初步设计单位认可。</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5.安装、测试及系统集成要求</w:t>
      </w:r>
      <w:bookmarkEnd w:id="55"/>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6" w:name="_Toc13352"/>
      <w:r>
        <w:rPr>
          <w:rFonts w:hint="eastAsia" w:ascii="宋体" w:hAnsi="宋体" w:eastAsia="宋体" w:cs="宋体"/>
          <w:color w:val="auto"/>
          <w:sz w:val="24"/>
          <w:szCs w:val="24"/>
          <w:highlight w:val="none"/>
        </w:rPr>
        <w:t>1）负责本项目范围内应用软件的现场安装部署、集成、测试和调试，保证系统功能、性能要求的实现，提供售后服务。同时负责对应用于该项目的原有软硬件设备的系统集成。在安装、配置和测试、调试过程中，中标供应商应对最终用户技术人员所提出的技术问题，给予满意的答复。</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2）要求有完整的安装和配置程序，具有详细的系统安装配置说明手册、用户使用说明书和系统维护说明书。系统实际安装与操作必须与说明书描述一致。</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3）要求具有完整的系统测试计划，包括根据用户需求编写的，遍及系统95%以上功能、性能的测试用例，合理的测试方案和测试方法。要求保留完整的测试报告。</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4）项目实施过程中，如果牵涉到与第三方产品集成工作，中标供应商应与系统集成商及其他供应商通力合作，并提供必要的技术支持。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5）在整个软件系统建设中，中标供应商如果使用第三方产品，必须作出</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关于知识产权免责申明的承诺。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6）中标供应商负责解决系统建设中全部技术问题，对用户单位项目建设中碰到的其他技术问题，有责任和义务提供咨询和帮助。</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6.技术方案书内容要求</w:t>
      </w:r>
      <w:bookmarkEnd w:id="56"/>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1）作为一个完整的投标技术方案，必须不遗漏、不重复。 </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2）报价中已经包括了相应的系统软件及相关手册、服务费用等。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3）投标供应商对本项目扩展、后续采购和保修期后的承诺。</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4）投标供应商针对本项目做出特殊的承诺，该部分作为投标供应商技术实力的一个方面，例如系统中包含了潜在的对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有利的其它功能作为除报价以外的优惠条件。</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5）投标供应商需要在投标供应商案中提出对软硬件基础设施的要求和部署策略。</w:t>
      </w:r>
      <w:bookmarkStart w:id="57" w:name="_Toc1308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7.售后服务要求</w:t>
      </w:r>
      <w:bookmarkEnd w:id="57"/>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8" w:name="_Toc16881"/>
      <w:r>
        <w:rPr>
          <w:rFonts w:hint="eastAsia" w:ascii="宋体" w:hAnsi="宋体" w:eastAsia="宋体" w:cs="宋体"/>
          <w:color w:val="auto"/>
          <w:sz w:val="24"/>
          <w:szCs w:val="24"/>
          <w:highlight w:val="none"/>
        </w:rPr>
        <w:t>1）中标供应商应保证对软件系统提供</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年的维护期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对硬件提供3年质保期</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2）在维护期内由于系统本身质量原因造成的任何故障，中标供应商须免费负责优化完善。</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保证期自项目最终验收合格之日开始计算；质量保证期内，在接到系统故障通知后，供应商必须在15分钟内响应。对于影响平台系统正常运行的严重故障，供应商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ascii="宋体" w:hAnsi="宋体"/>
          <w:color w:val="auto"/>
          <w:sz w:val="24"/>
          <w:highlight w:val="none"/>
        </w:rPr>
        <w:t>▲</w:t>
      </w: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人员驻点：</w:t>
      </w:r>
      <w:r>
        <w:rPr>
          <w:rFonts w:hint="eastAsia" w:ascii="宋体" w:hAnsi="宋体" w:eastAsia="宋体" w:cs="宋体"/>
          <w:color w:val="auto"/>
          <w:sz w:val="24"/>
          <w:szCs w:val="24"/>
          <w:highlight w:val="none"/>
        </w:rPr>
        <w:t>本项目自项目终验后至少提供</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年驻场支持服务。</w:t>
      </w:r>
      <w:r>
        <w:rPr>
          <w:rFonts w:hint="eastAsia" w:ascii="宋体" w:hAnsi="宋体" w:eastAsia="宋体" w:cs="宋体"/>
          <w:color w:val="auto"/>
          <w:sz w:val="24"/>
          <w:szCs w:val="24"/>
          <w:highlight w:val="none"/>
        </w:rPr>
        <w:t>驻场人员应和循环公司工作时间保持同步，并接受循环公司日常考核，如考核不达标，按以下条款进行处罚：①缺岗时间每1个工作日/人，扣除450元作为违约金；②</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年驻场期间，因驻场服务人员明显工作履职不到位，导致数据接入、治理、共享服务等任一环节出现重大失误的，每发生一次扣除项目维护费用1000元。</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保证系统正常、安全地运行，技术支持力量和优良的服务是系统正常、安全运行的保障。供应商应据此制定系统详细的技术支持与服务方案，包括服务内容、服务方式、服务响应时间、应急措施及组织结构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6）质量保证期结束后，供应商应保证以优惠价格优先对</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进行系统技术支持和维护。</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7）中标供应商应提供电话免费咨询服务。</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.软件版权要求</w:t>
      </w:r>
      <w:bookmarkEnd w:id="58"/>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59" w:name="_Toc28885"/>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针对本项目开发</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的分析算法模型及源代码，通用版本及定制化版本所有权和知识产权均归</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所有。</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针对本项目开发</w:t>
      </w:r>
      <w:r>
        <w:rPr>
          <w:rFonts w:hint="eastAsia" w:ascii="宋体" w:hAnsi="宋体" w:cs="宋体"/>
          <w:color w:val="auto"/>
          <w:sz w:val="24"/>
          <w:szCs w:val="24"/>
          <w:highlight w:val="none"/>
          <w:lang w:val="en-US" w:eastAsia="zh-CN"/>
        </w:rPr>
        <w:t>全部</w:t>
      </w:r>
      <w:r>
        <w:rPr>
          <w:rFonts w:hint="eastAsia" w:ascii="宋体" w:hAnsi="宋体" w:eastAsia="宋体" w:cs="宋体"/>
          <w:color w:val="auto"/>
          <w:sz w:val="24"/>
          <w:szCs w:val="24"/>
          <w:highlight w:val="none"/>
        </w:rPr>
        <w:t>的源代码（含质保期内的后续升级版本）必须遵循相关标准和规范,并无条件提交给</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3）涉及接口的必须遵循相关标准和规范，向下部署的，必须满足国家共享相关规定要求，供应商有义务配合</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做好有关信息共享工作。</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4）本项目在开发、使用和维护过程中接触到的</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的所有资料，未经</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授权代表书面许可，不得留存，私自查阅及向任何第三方泄露。</w:t>
      </w:r>
    </w:p>
    <w:p>
      <w:pPr>
        <w:snapToGrid w:val="0"/>
        <w:spacing w:line="360" w:lineRule="auto"/>
        <w:ind w:firstLine="480" w:firstLineChars="200"/>
        <w:rPr>
          <w:rFonts w:hint="eastAsia" w:ascii="宋体" w:hAnsi="宋体" w:eastAsia="宋体" w:cs="宋体"/>
          <w:b/>
          <w:bCs/>
          <w:kern w:val="2"/>
          <w:sz w:val="24"/>
          <w:szCs w:val="24"/>
          <w:highlight w:val="none"/>
          <w:lang w:val="zh-CN" w:eastAsia="zh-CN" w:bidi="ar-SA"/>
        </w:rPr>
      </w:pPr>
      <w:r>
        <w:rPr>
          <w:rFonts w:ascii="宋体" w:hAnsi="宋体"/>
          <w:color w:val="auto"/>
          <w:sz w:val="24"/>
          <w:highlight w:val="none"/>
        </w:rPr>
        <w:t>▲</w:t>
      </w:r>
      <w:r>
        <w:rPr>
          <w:rFonts w:hint="eastAsia" w:ascii="宋体" w:hAnsi="宋体" w:cs="宋体"/>
          <w:b/>
          <w:bCs/>
          <w:kern w:val="2"/>
          <w:sz w:val="24"/>
          <w:szCs w:val="24"/>
          <w:highlight w:val="none"/>
          <w:lang w:val="en-US" w:eastAsia="zh-CN" w:bidi="ar-SA"/>
        </w:rPr>
        <w:t>9.</w:t>
      </w:r>
      <w:r>
        <w:rPr>
          <w:rFonts w:hint="eastAsia" w:ascii="宋体" w:hAnsi="宋体" w:eastAsia="宋体" w:cs="宋体"/>
          <w:b/>
          <w:bCs/>
          <w:kern w:val="2"/>
          <w:sz w:val="24"/>
          <w:szCs w:val="24"/>
          <w:highlight w:val="none"/>
          <w:lang w:val="zh-CN" w:eastAsia="zh-CN" w:bidi="ar-SA"/>
        </w:rPr>
        <w:t>信创要求</w:t>
      </w:r>
    </w:p>
    <w:p>
      <w:pPr>
        <w:snapToGrid w:val="0"/>
        <w:spacing w:line="360" w:lineRule="auto"/>
        <w:ind w:firstLine="480" w:firstLineChars="200"/>
        <w:rPr>
          <w:rFonts w:hint="eastAsia"/>
          <w:highlight w:val="none"/>
          <w:lang w:val="zh-CN"/>
        </w:rPr>
      </w:pPr>
      <w:r>
        <w:rPr>
          <w:rFonts w:hint="eastAsia" w:ascii="宋体" w:hAnsi="宋体" w:eastAsia="宋体" w:cs="宋体"/>
          <w:sz w:val="24"/>
          <w:highlight w:val="none"/>
          <w:lang w:val="zh-CN" w:eastAsia="zh-CN"/>
        </w:rPr>
        <w:t>本项目的开发、部署</w:t>
      </w:r>
      <w:r>
        <w:rPr>
          <w:rFonts w:hint="eastAsia" w:ascii="宋体" w:hAnsi="宋体" w:cs="宋体"/>
          <w:sz w:val="24"/>
          <w:highlight w:val="none"/>
          <w:lang w:val="en-US" w:eastAsia="zh-CN"/>
        </w:rPr>
        <w:t>须</w:t>
      </w:r>
      <w:r>
        <w:rPr>
          <w:rFonts w:hint="eastAsia" w:ascii="宋体" w:hAnsi="宋体" w:eastAsia="宋体" w:cs="宋体"/>
          <w:sz w:val="24"/>
          <w:highlight w:val="none"/>
          <w:lang w:val="zh-CN" w:eastAsia="zh-CN"/>
        </w:rPr>
        <w:t>满足信创要求。</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.培训要求</w:t>
      </w:r>
      <w:bookmarkEnd w:id="59"/>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1）供应商必须为</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提供系统使用、系统操作和管理维护培训，培训形式包括客户现场培训、课堂培训；供应商必须列明相应的培训课程。</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2）供应商应在投标文件中提供详细的培训计划，包括培训项目、人数、地点、日程、资料、其它等详细内容，为所有被培训人员提供培训用文字资料和讲义等相关用品。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3）技术培训的内容必须包含软件的日常操作和管理维护，以及基本的故障诊断与排错。供应商培训人员必须是公司的资深工程师。</w:t>
      </w:r>
    </w:p>
    <w:p>
      <w:pPr>
        <w:snapToGrid w:val="0"/>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val="en-GB" w:eastAsia="zh-CN"/>
        </w:rPr>
        <w:t>）供应商</w:t>
      </w:r>
      <w:r>
        <w:rPr>
          <w:rFonts w:hint="eastAsia" w:ascii="宋体" w:hAnsi="宋体" w:cs="宋体"/>
          <w:color w:val="auto"/>
          <w:sz w:val="24"/>
          <w:highlight w:val="none"/>
          <w:lang w:val="en-GB"/>
        </w:rPr>
        <w:t>提供总计不少于10人日的培训服务。</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确保</w:t>
      </w:r>
      <w:r>
        <w:rPr>
          <w:rFonts w:hint="eastAsia" w:ascii="宋体" w:hAnsi="宋体" w:cs="宋体"/>
          <w:color w:val="auto"/>
          <w:sz w:val="24"/>
          <w:highlight w:val="none"/>
          <w:lang w:val="en-US" w:eastAsia="zh-CN"/>
        </w:rPr>
        <w:t>招标人</w:t>
      </w:r>
      <w:r>
        <w:rPr>
          <w:rFonts w:hint="eastAsia" w:ascii="宋体" w:hAnsi="宋体" w:cs="宋体"/>
          <w:color w:val="auto"/>
          <w:sz w:val="24"/>
          <w:highlight w:val="none"/>
        </w:rPr>
        <w:t>参与本项目后期相关的运维人员都能掌握本次建设平台的日常操作和管理维护，以及基本的故障诊断与排错。</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）培训工作必须在合同生效之后系统试运行之前安排。</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）所有培训费用（含培训教材费），已包括在投标总价中。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）实际培训时间、人数和地点按中标供应商与</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商定的为准。</w:t>
      </w:r>
      <w:bookmarkStart w:id="60" w:name="_Toc5789"/>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委派2人以上人员进行专员培训，全程参与项目开发过程学习。</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11</w:t>
      </w:r>
      <w:r>
        <w:rPr>
          <w:rFonts w:hint="eastAsia" w:ascii="宋体" w:hAnsi="宋体" w:eastAsia="宋体" w:cs="宋体"/>
          <w:b/>
          <w:color w:val="auto"/>
          <w:sz w:val="24"/>
          <w:szCs w:val="24"/>
          <w:highlight w:val="none"/>
        </w:rPr>
        <w:t>.交付要求</w:t>
      </w:r>
      <w:bookmarkEnd w:id="60"/>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应按照招标文件所约定的内容和时间进行交付；按照计算机软件工程规范国家标准分阶段交付应用系统的文档，所交付的文档与文件为电子版式及纸质形式。交付的文档不限于：需求规格说明书、概要设计说明书、详细设计说明书、数据库设计说明书、项目测试方案、项目测试报告、用户操作手册、管理与维护手册、安装手册、总结报告及</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认为需要的其他材料。</w:t>
      </w:r>
      <w:bookmarkStart w:id="61" w:name="_Toc32732"/>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.项目验收要求</w:t>
      </w:r>
      <w:bookmarkEnd w:id="61"/>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项目的验收包括初步验收、试运行和竣工验收，</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1）项目初验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项目初验前，中标供应商应首先对系统进行自测，并将系统自测报告提交</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和监理单位审查。中标供应商依本合同约定向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提交成果及相关文档，并向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提出初验申请。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接到中标供应商初验申请后，组织相关单位进行初验，初验合格后联合签署初验报告。</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2）试运行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初验合格后，系统进入试运行，试运行时间为3个月。</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3）终验</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系统通过试运行后，中标供应商向</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提出终验申请，</w:t>
      </w:r>
      <w:r>
        <w:rPr>
          <w:rFonts w:hint="eastAsia" w:ascii="宋体" w:hAnsi="宋体" w:cs="宋体"/>
          <w:color w:val="auto"/>
          <w:sz w:val="24"/>
          <w:szCs w:val="24"/>
          <w:highlight w:val="none"/>
          <w:lang w:eastAsia="zh-CN"/>
        </w:rPr>
        <w:t>招标人</w:t>
      </w:r>
      <w:r>
        <w:rPr>
          <w:rFonts w:hint="eastAsia" w:ascii="宋体" w:hAnsi="宋体" w:eastAsia="宋体" w:cs="宋体"/>
          <w:color w:val="auto"/>
          <w:sz w:val="24"/>
          <w:szCs w:val="24"/>
          <w:highlight w:val="none"/>
        </w:rPr>
        <w:t>组织相关单位进行系统的终验。系统终验通过，进入正式运行阶段。系统终验收合格的条件必须至少满足以下三个要求：已提供了合同要求的全部设备、软件和资料；试运行时性能满足合同要求；性能测试和试运行验收时出现的问题已被解决。</w:t>
      </w:r>
    </w:p>
    <w:p>
      <w:pPr>
        <w:pStyle w:val="32"/>
        <w:ind w:firstLine="0" w:firstLineChars="0"/>
      </w:pPr>
      <w:r>
        <w:rPr>
          <w:rFonts w:hint="eastAsia" w:ascii="宋体" w:hAnsi="宋体" w:eastAsia="宋体" w:cs="宋体"/>
          <w:color w:val="auto"/>
          <w:sz w:val="24"/>
          <w:szCs w:val="24"/>
          <w:highlight w:val="none"/>
        </w:rPr>
        <w:t>4）验收时中标供应商必须在现场，验收完毕后作出验收结果报告。</w:t>
      </w:r>
    </w:p>
    <w:p>
      <w:pPr>
        <w:pStyle w:val="14"/>
        <w:snapToGrid w:val="0"/>
        <w:spacing w:before="120" w:after="120" w:line="360" w:lineRule="auto"/>
        <w:rPr>
          <w:rFonts w:hint="eastAsia" w:hAnsi="宋体"/>
          <w:b w:val="0"/>
          <w:bCs/>
          <w:color w:val="auto"/>
          <w:sz w:val="24"/>
          <w:highlight w:val="none"/>
        </w:rPr>
      </w:pPr>
      <w:r>
        <w:rPr>
          <w:rFonts w:hint="eastAsia" w:hAnsi="宋体"/>
          <w:b w:val="0"/>
          <w:bCs/>
          <w:color w:val="auto"/>
          <w:sz w:val="24"/>
          <w:highlight w:val="none"/>
          <w:lang w:val="en-US" w:eastAsia="zh-CN"/>
        </w:rPr>
        <w:t>5）</w:t>
      </w:r>
      <w:r>
        <w:rPr>
          <w:rFonts w:hint="eastAsia" w:hAnsi="宋体"/>
          <w:b w:val="0"/>
          <w:bCs/>
          <w:color w:val="auto"/>
          <w:sz w:val="24"/>
          <w:highlight w:val="none"/>
        </w:rPr>
        <w:t>验收费用由</w:t>
      </w:r>
      <w:r>
        <w:rPr>
          <w:rFonts w:hint="eastAsia" w:ascii="宋体" w:hAnsi="宋体" w:eastAsia="宋体" w:cs="宋体"/>
          <w:color w:val="auto"/>
          <w:sz w:val="24"/>
          <w:szCs w:val="24"/>
          <w:highlight w:val="none"/>
        </w:rPr>
        <w:t>中标供应商</w:t>
      </w:r>
      <w:r>
        <w:rPr>
          <w:rFonts w:hint="eastAsia" w:hAnsi="宋体"/>
          <w:b w:val="0"/>
          <w:bCs/>
          <w:color w:val="auto"/>
          <w:sz w:val="24"/>
          <w:highlight w:val="none"/>
        </w:rPr>
        <w:t>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硬件：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1）</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对中标供应商所交产品依照招标文件的技术需求标准的进行验收。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2）</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可组织专家对中标供应商所交产品依照招标文件上的技术规格要求进行现场验收，性能达到招标文件中所规定的技术要求并提供检测报告技术参数、产品合格证及使用说明。验收不合格的不予签收，后果由中标供应商负责。</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3）</w:t>
      </w:r>
      <w:r>
        <w:rPr>
          <w:rFonts w:hint="eastAsia" w:ascii="宋体" w:hAnsi="宋体" w:cstheme="minorBidi"/>
          <w:b w:val="0"/>
          <w:bCs/>
          <w:color w:val="auto"/>
          <w:kern w:val="2"/>
          <w:sz w:val="24"/>
          <w:szCs w:val="24"/>
          <w:highlight w:val="none"/>
          <w:lang w:val="en-US" w:eastAsia="zh-CN" w:bidi="ar-SA"/>
        </w:rPr>
        <w:t>招标人</w:t>
      </w:r>
      <w:r>
        <w:rPr>
          <w:rFonts w:hint="eastAsia" w:ascii="宋体" w:hAnsi="宋体" w:eastAsia="宋体" w:cstheme="minorBidi"/>
          <w:b w:val="0"/>
          <w:bCs/>
          <w:color w:val="auto"/>
          <w:kern w:val="2"/>
          <w:sz w:val="24"/>
          <w:szCs w:val="24"/>
          <w:highlight w:val="none"/>
          <w:lang w:val="en-US" w:eastAsia="zh-CN" w:bidi="ar-SA"/>
        </w:rPr>
        <w:t>应在调试完毕之日起 30 个工作日内验收完毕，并作出验收结果报告,验收时中标供应商必须在现场。</w:t>
      </w:r>
    </w:p>
    <w:p>
      <w:pPr>
        <w:pStyle w:val="32"/>
        <w:ind w:firstLine="0" w:firstLineChars="0"/>
        <w:rPr>
          <w:rFonts w:hint="default" w:eastAsia="宋体"/>
          <w:highlight w:val="none"/>
          <w:lang w:val="en-US" w:eastAsia="zh-CN"/>
        </w:rPr>
      </w:pPr>
      <w:r>
        <w:rPr>
          <w:rFonts w:hint="eastAsia"/>
          <w:highlight w:val="none"/>
          <w:lang w:val="en-US" w:eastAsia="zh-CN"/>
        </w:rPr>
        <w:t>4）</w:t>
      </w:r>
      <w:r>
        <w:rPr>
          <w:rFonts w:hint="eastAsia" w:hAnsi="宋体"/>
          <w:b w:val="0"/>
          <w:bCs/>
          <w:color w:val="auto"/>
          <w:sz w:val="24"/>
          <w:highlight w:val="none"/>
        </w:rPr>
        <w:t>验收费用由</w:t>
      </w:r>
      <w:r>
        <w:rPr>
          <w:rFonts w:hint="eastAsia" w:ascii="宋体" w:hAnsi="宋体" w:eastAsia="宋体" w:cs="宋体"/>
          <w:color w:val="auto"/>
          <w:sz w:val="24"/>
          <w:szCs w:val="24"/>
          <w:highlight w:val="none"/>
        </w:rPr>
        <w:t>中标供应商</w:t>
      </w:r>
      <w:r>
        <w:rPr>
          <w:rFonts w:hint="eastAsia" w:hAnsi="宋体"/>
          <w:b w:val="0"/>
          <w:bCs/>
          <w:color w:val="auto"/>
          <w:sz w:val="24"/>
          <w:highlight w:val="none"/>
        </w:rPr>
        <w:t>负责。</w:t>
      </w:r>
    </w:p>
    <w:p>
      <w:pPr>
        <w:pStyle w:val="32"/>
        <w:ind w:firstLine="0" w:firstLineChars="0"/>
      </w:pPr>
    </w:p>
    <w:p>
      <w:pPr>
        <w:pStyle w:val="32"/>
        <w:spacing w:line="360" w:lineRule="auto"/>
        <w:ind w:firstLine="0" w:firstLineChars="0"/>
        <w:rPr>
          <w:rFonts w:hint="eastAsia"/>
          <w:highlight w:val="none"/>
          <w:lang w:val="en-US" w:eastAsia="zh-CN"/>
        </w:rPr>
      </w:pPr>
      <w:r>
        <w:rPr>
          <w:rFonts w:hint="eastAsia" w:ascii="宋体" w:hAnsi="宋体" w:eastAsia="宋体" w:cs="宋体"/>
          <w:b/>
          <w:color w:val="auto"/>
          <w:kern w:val="2"/>
          <w:sz w:val="24"/>
          <w:szCs w:val="24"/>
          <w:highlight w:val="none"/>
          <w:lang w:val="en-US" w:eastAsia="zh-CN" w:bidi="ar-SA"/>
        </w:rPr>
        <w:t>13.</w:t>
      </w:r>
      <w:r>
        <w:rPr>
          <w:rFonts w:hint="eastAsia" w:hAnsi="宋体" w:cs="宋体"/>
          <w:b/>
          <w:color w:val="auto"/>
          <w:kern w:val="2"/>
          <w:sz w:val="24"/>
          <w:szCs w:val="24"/>
          <w:highlight w:val="none"/>
          <w:lang w:val="en-US" w:eastAsia="zh-CN" w:bidi="ar-SA"/>
        </w:rPr>
        <w:t>平台接入</w:t>
      </w:r>
    </w:p>
    <w:p>
      <w:pPr>
        <w:pStyle w:val="32"/>
        <w:spacing w:line="360" w:lineRule="auto"/>
        <w:ind w:firstLine="0" w:firstLineChars="0"/>
        <w:rPr>
          <w:highlight w:val="none"/>
        </w:rPr>
      </w:pPr>
      <w:r>
        <w:rPr>
          <w:rFonts w:hint="eastAsia"/>
          <w:highlight w:val="none"/>
          <w:lang w:val="en-US" w:eastAsia="zh-CN"/>
        </w:rPr>
        <w:t>中标单位须接入台州警航无人机指挥管控平台，在平台端实现超视距控制。</w:t>
      </w:r>
    </w:p>
    <w:p>
      <w:pPr>
        <w:pStyle w:val="32"/>
        <w:ind w:firstLine="0" w:firstLineChars="0"/>
        <w:rPr>
          <w:highlight w:val="none"/>
        </w:rPr>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pStyle w:val="32"/>
        <w:ind w:firstLine="0" w:firstLineChars="0"/>
      </w:pPr>
    </w:p>
    <w:p>
      <w:pPr>
        <w:numPr>
          <w:ilvl w:val="0"/>
          <w:numId w:val="6"/>
        </w:numPr>
        <w:spacing w:line="360" w:lineRule="auto"/>
        <w:jc w:val="center"/>
        <w:rPr>
          <w:rFonts w:asciiTheme="minorEastAsia" w:hAnsiTheme="minorEastAsia" w:eastAsiaTheme="minorEastAsia"/>
          <w:b/>
          <w:sz w:val="36"/>
          <w:szCs w:val="36"/>
        </w:rPr>
      </w:pPr>
      <w:bookmarkStart w:id="62" w:name="_Toc31173_WPSOffice_Level1"/>
      <w:r>
        <w:rPr>
          <w:rFonts w:hint="eastAsia" w:asciiTheme="minorEastAsia" w:hAnsiTheme="minorEastAsia" w:eastAsiaTheme="minorEastAsia"/>
          <w:b/>
          <w:sz w:val="36"/>
          <w:szCs w:val="36"/>
        </w:rPr>
        <w:t>评标</w:t>
      </w:r>
      <w:bookmarkEnd w:id="62"/>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rPr>
          <w:rFonts w:asciiTheme="minorEastAsia" w:hAnsiTheme="minorEastAsia" w:eastAsiaTheme="minorEastAsia"/>
          <w:b/>
          <w:bCs/>
        </w:rPr>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Arial" w:hAnsi="Arial" w:cs="Arial" w:eastAsiaTheme="minorEastAsia"/>
          <w:b/>
          <w:bCs/>
        </w:rPr>
        <w:t>技术标及商务标评审</w:t>
      </w:r>
    </w:p>
    <w:p>
      <w:pPr>
        <w:autoSpaceDE w:val="0"/>
        <w:autoSpaceDN w:val="0"/>
        <w:adjustRightInd w:val="0"/>
        <w:spacing w:line="360" w:lineRule="auto"/>
        <w:ind w:right="85" w:firstLine="240" w:firstLineChars="100"/>
        <w:rPr>
          <w:rFonts w:ascii="宋体"/>
          <w:b/>
          <w:bCs/>
          <w:sz w:val="24"/>
        </w:rPr>
      </w:pPr>
      <w:r>
        <w:rPr>
          <w:rFonts w:hint="eastAsia" w:asciiTheme="minorEastAsia" w:hAnsiTheme="minorEastAsia" w:eastAsiaTheme="minorEastAsia"/>
          <w:kern w:val="0"/>
          <w:sz w:val="24"/>
        </w:rPr>
        <w:t>项目评标方法为综合评分法，总计100分，评标按以下标准及要求进行：</w:t>
      </w:r>
    </w:p>
    <w:p>
      <w:pPr>
        <w:autoSpaceDE w:val="0"/>
        <w:autoSpaceDN w:val="0"/>
        <w:adjustRightInd w:val="0"/>
        <w:spacing w:line="360" w:lineRule="auto"/>
        <w:ind w:right="85" w:firstLine="241" w:firstLineChars="100"/>
        <w:rPr>
          <w:rFonts w:hint="eastAsia" w:ascii="宋体" w:eastAsia="宋体"/>
          <w:b/>
          <w:bCs/>
          <w:sz w:val="24"/>
          <w:lang w:eastAsia="zh-CN"/>
        </w:rPr>
      </w:pPr>
      <w:r>
        <w:rPr>
          <w:rFonts w:hint="eastAsia" w:ascii="宋体"/>
          <w:b/>
          <w:bCs/>
          <w:sz w:val="24"/>
        </w:rPr>
        <w:t>1、评分标准</w:t>
      </w:r>
      <w:r>
        <w:rPr>
          <w:rFonts w:hint="eastAsia" w:ascii="宋体"/>
          <w:b/>
          <w:bCs/>
          <w:sz w:val="24"/>
          <w:lang w:eastAsia="zh-CN"/>
        </w:rPr>
        <w:t>（</w:t>
      </w:r>
      <w:r>
        <w:rPr>
          <w:rFonts w:hint="eastAsia" w:ascii="宋体"/>
          <w:b/>
          <w:bCs/>
          <w:sz w:val="24"/>
          <w:lang w:val="en-US" w:eastAsia="zh-CN"/>
        </w:rPr>
        <w:t>80分</w:t>
      </w:r>
      <w:r>
        <w:rPr>
          <w:rFonts w:hint="eastAsia" w:ascii="宋体"/>
          <w:b/>
          <w:bCs/>
          <w:sz w:val="24"/>
          <w:lang w:eastAsia="zh-CN"/>
        </w:rPr>
        <w:t>）</w:t>
      </w:r>
    </w:p>
    <w:tbl>
      <w:tblPr>
        <w:tblStyle w:val="25"/>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67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shd w:val="clear" w:color="auto" w:fill="BEBEBE"/>
            <w:noWrap w:val="0"/>
            <w:vAlign w:val="center"/>
          </w:tcPr>
          <w:p>
            <w:pPr>
              <w:bidi w:val="0"/>
              <w:rPr>
                <w:rFonts w:ascii="宋体" w:hAnsi="宋体" w:cs="宋体"/>
                <w:bCs/>
                <w:color w:val="auto"/>
                <w:sz w:val="21"/>
                <w:szCs w:val="21"/>
                <w:highlight w:val="none"/>
              </w:rPr>
            </w:pPr>
            <w:r>
              <w:rPr>
                <w:rFonts w:hint="eastAsia"/>
              </w:rPr>
              <w:t>评分项目</w:t>
            </w:r>
          </w:p>
        </w:tc>
        <w:tc>
          <w:tcPr>
            <w:tcW w:w="7676" w:type="dxa"/>
            <w:shd w:val="clear" w:color="auto" w:fill="BEBEBE"/>
            <w:noWrap w:val="0"/>
            <w:vAlign w:val="center"/>
          </w:tcPr>
          <w:p>
            <w:pPr>
              <w:bidi w:val="0"/>
              <w:rPr>
                <w:rFonts w:ascii="宋体" w:hAnsi="宋体" w:cs="宋体"/>
                <w:bCs/>
                <w:color w:val="auto"/>
                <w:sz w:val="21"/>
                <w:szCs w:val="21"/>
                <w:highlight w:val="none"/>
              </w:rPr>
            </w:pPr>
            <w:r>
              <w:rPr>
                <w:rFonts w:hint="eastAsia"/>
              </w:rPr>
              <w:t>评分细则</w:t>
            </w:r>
          </w:p>
        </w:tc>
        <w:tc>
          <w:tcPr>
            <w:tcW w:w="847" w:type="dxa"/>
            <w:shd w:val="clear" w:color="auto" w:fill="BEBEBE"/>
            <w:noWrap w:val="0"/>
            <w:vAlign w:val="center"/>
          </w:tcPr>
          <w:p>
            <w:pPr>
              <w:bidi w:val="0"/>
              <w:rPr>
                <w:rFonts w:ascii="宋体" w:hAnsi="宋体" w:cs="宋体"/>
                <w:bCs/>
                <w:color w:val="auto"/>
                <w:sz w:val="21"/>
                <w:szCs w:val="21"/>
                <w:highlight w:val="none"/>
              </w:rPr>
            </w:pPr>
            <w:r>
              <w:rPr>
                <w:rFonts w:hint="eastAsi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1</w:t>
            </w:r>
          </w:p>
        </w:tc>
        <w:tc>
          <w:tcPr>
            <w:tcW w:w="7676" w:type="dxa"/>
            <w:noWrap w:val="0"/>
            <w:vAlign w:val="center"/>
          </w:tcPr>
          <w:p>
            <w:pPr>
              <w:bidi w:val="0"/>
              <w:rPr>
                <w:rFonts w:hint="eastAsia"/>
                <w:lang w:val="zh-CN"/>
              </w:rPr>
            </w:pPr>
            <w:r>
              <w:rPr>
                <w:rFonts w:hint="eastAsia"/>
                <w:lang w:val="zh-CN"/>
              </w:rPr>
              <w:t>项目需求理解情况：</w:t>
            </w:r>
          </w:p>
          <w:p>
            <w:pPr>
              <w:bidi w:val="0"/>
              <w:rPr>
                <w:rFonts w:hint="eastAsia"/>
                <w:lang w:val="zh-CN"/>
              </w:rPr>
            </w:pPr>
            <w:r>
              <w:rPr>
                <w:rFonts w:hint="eastAsia"/>
                <w:lang w:val="zh-CN"/>
              </w:rPr>
              <w:t>对</w:t>
            </w:r>
            <w:r>
              <w:rPr>
                <w:rFonts w:hint="eastAsia"/>
              </w:rPr>
              <w:t>本项目建设内容</w:t>
            </w:r>
            <w:r>
              <w:rPr>
                <w:rFonts w:hint="eastAsia"/>
                <w:lang w:val="zh-CN"/>
              </w:rPr>
              <w:t>深入理解情况：</w:t>
            </w:r>
          </w:p>
          <w:p>
            <w:pPr>
              <w:bidi w:val="0"/>
              <w:rPr>
                <w:rFonts w:hint="eastAsia"/>
                <w:lang w:val="zh-CN"/>
              </w:rPr>
            </w:pPr>
            <w:r>
              <w:rPr>
                <w:rFonts w:hint="eastAsia"/>
                <w:lang w:val="zh-CN"/>
              </w:rPr>
              <w:t>能深入准确阐述的得</w:t>
            </w:r>
            <w:r>
              <w:rPr>
                <w:rFonts w:hint="eastAsia"/>
                <w:lang w:val="en-US" w:eastAsia="zh-CN"/>
              </w:rPr>
              <w:t>5</w:t>
            </w:r>
            <w:r>
              <w:rPr>
                <w:rFonts w:hint="eastAsia"/>
                <w:lang w:val="zh-CN"/>
              </w:rPr>
              <w:t>-</w:t>
            </w:r>
            <w:r>
              <w:rPr>
                <w:rFonts w:hint="eastAsia"/>
                <w:lang w:val="en-US" w:eastAsia="zh-CN"/>
              </w:rPr>
              <w:t>4.1</w:t>
            </w:r>
            <w:r>
              <w:rPr>
                <w:rFonts w:hint="eastAsia"/>
                <w:lang w:val="zh-CN"/>
              </w:rPr>
              <w:t>分；</w:t>
            </w:r>
          </w:p>
          <w:p>
            <w:pPr>
              <w:bidi w:val="0"/>
              <w:rPr>
                <w:rFonts w:hint="eastAsia"/>
                <w:lang w:val="zh-CN"/>
              </w:rPr>
            </w:pPr>
            <w:r>
              <w:rPr>
                <w:rFonts w:hint="eastAsia"/>
                <w:lang w:val="zh-CN"/>
              </w:rPr>
              <w:t>能基本阐述的得</w:t>
            </w:r>
            <w:r>
              <w:rPr>
                <w:rFonts w:hint="eastAsia"/>
                <w:lang w:val="en-US" w:eastAsia="zh-CN"/>
              </w:rPr>
              <w:t>4</w:t>
            </w:r>
            <w:r>
              <w:rPr>
                <w:rFonts w:hint="eastAsia"/>
                <w:lang w:val="zh-CN"/>
              </w:rPr>
              <w:t>-</w:t>
            </w:r>
            <w:r>
              <w:rPr>
                <w:rFonts w:hint="eastAsia"/>
                <w:lang w:val="en-US" w:eastAsia="zh-CN"/>
              </w:rPr>
              <w:t>3.1</w:t>
            </w:r>
            <w:r>
              <w:rPr>
                <w:rFonts w:hint="eastAsia"/>
                <w:lang w:val="zh-CN"/>
              </w:rPr>
              <w:t>分；</w:t>
            </w:r>
          </w:p>
          <w:p>
            <w:pPr>
              <w:bidi w:val="0"/>
              <w:rPr>
                <w:rFonts w:hint="eastAsia"/>
                <w:lang w:val="zh-CN"/>
              </w:rPr>
            </w:pPr>
            <w:r>
              <w:rPr>
                <w:rFonts w:hint="eastAsia"/>
                <w:lang w:val="zh-CN"/>
              </w:rPr>
              <w:t>能简单阐述的得</w:t>
            </w:r>
            <w:r>
              <w:rPr>
                <w:rFonts w:hint="eastAsia"/>
                <w:lang w:val="en-US" w:eastAsia="zh-CN"/>
              </w:rPr>
              <w:t>3</w:t>
            </w:r>
            <w:r>
              <w:rPr>
                <w:rFonts w:hint="eastAsia"/>
                <w:lang w:val="zh-CN"/>
              </w:rPr>
              <w:t>-0分；</w:t>
            </w:r>
          </w:p>
          <w:p>
            <w:pPr>
              <w:bidi w:val="0"/>
              <w:rPr>
                <w:color w:val="auto"/>
                <w:sz w:val="21"/>
                <w:szCs w:val="21"/>
                <w:highlight w:val="none"/>
                <w:lang w:val="zh-CN" w:eastAsia="zh-CN"/>
              </w:rPr>
            </w:pPr>
            <w:r>
              <w:rPr>
                <w:rFonts w:hint="eastAsia"/>
                <w:lang w:val="zh-CN"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751" w:type="dxa"/>
            <w:noWrap w:val="0"/>
            <w:vAlign w:val="center"/>
          </w:tcPr>
          <w:p>
            <w:pPr>
              <w:bidi w:val="0"/>
              <w:rPr>
                <w:rFonts w:hint="default" w:ascii="宋体" w:hAnsi="宋体" w:cs="宋体"/>
                <w:bCs/>
                <w:color w:val="auto"/>
                <w:sz w:val="21"/>
                <w:szCs w:val="21"/>
                <w:highlight w:val="none"/>
                <w:lang w:val="en-US" w:eastAsia="zh-CN"/>
              </w:rPr>
            </w:pPr>
            <w:r>
              <w:rPr>
                <w:rFonts w:hint="eastAsia"/>
                <w:lang w:val="en-US" w:eastAsia="zh-CN"/>
              </w:rPr>
              <w:t>2</w:t>
            </w:r>
          </w:p>
        </w:tc>
        <w:tc>
          <w:tcPr>
            <w:tcW w:w="7676" w:type="dxa"/>
            <w:noWrap w:val="0"/>
            <w:vAlign w:val="center"/>
          </w:tcPr>
          <w:p>
            <w:pPr>
              <w:bidi w:val="0"/>
              <w:rPr>
                <w:rFonts w:hint="eastAsia"/>
                <w:lang w:val="zh-CN" w:eastAsia="zh-CN"/>
              </w:rPr>
            </w:pPr>
            <w:r>
              <w:rPr>
                <w:rFonts w:hint="eastAsia"/>
                <w:lang w:val="en-US" w:eastAsia="zh-CN"/>
              </w:rPr>
              <w:t>信创方案</w:t>
            </w:r>
            <w:r>
              <w:rPr>
                <w:rFonts w:hint="eastAsia"/>
                <w:lang w:val="zh-CN" w:eastAsia="zh-CN"/>
              </w:rPr>
              <w:t>：</w:t>
            </w:r>
          </w:p>
          <w:p>
            <w:pPr>
              <w:bidi w:val="0"/>
              <w:rPr>
                <w:rFonts w:hint="eastAsia"/>
                <w:lang w:val="en-US" w:eastAsia="zh-CN"/>
              </w:rPr>
            </w:pPr>
            <w:r>
              <w:rPr>
                <w:rFonts w:hint="eastAsia"/>
                <w:lang w:val="en-US" w:eastAsia="zh-CN"/>
              </w:rPr>
              <w:t>根据投标人的信创实施能力、平台适配兼容方案等进行评分</w:t>
            </w:r>
          </w:p>
          <w:p>
            <w:pPr>
              <w:bidi w:val="0"/>
              <w:rPr>
                <w:rFonts w:hint="eastAsia"/>
                <w:lang w:val="zh-CN" w:eastAsia="zh-CN"/>
              </w:rPr>
            </w:pPr>
            <w:r>
              <w:rPr>
                <w:rFonts w:hint="eastAsia"/>
                <w:lang w:val="en-US" w:eastAsia="zh-CN"/>
              </w:rPr>
              <w:t>方案完整合理，逻辑性、可操作性强的得5</w:t>
            </w:r>
            <w:r>
              <w:rPr>
                <w:rFonts w:hint="eastAsia"/>
                <w:lang w:val="zh-CN" w:eastAsia="zh-CN"/>
              </w:rPr>
              <w:t>-</w:t>
            </w:r>
            <w:r>
              <w:rPr>
                <w:rFonts w:hint="eastAsia"/>
                <w:lang w:val="en-US" w:eastAsia="zh-CN"/>
              </w:rPr>
              <w:t>4.1</w:t>
            </w:r>
            <w:r>
              <w:rPr>
                <w:rFonts w:hint="eastAsia"/>
                <w:lang w:val="zh-CN" w:eastAsia="zh-CN"/>
              </w:rPr>
              <w:t>分；</w:t>
            </w:r>
          </w:p>
          <w:p>
            <w:pPr>
              <w:bidi w:val="0"/>
              <w:rPr>
                <w:rFonts w:hint="eastAsia"/>
                <w:lang w:val="zh-CN" w:eastAsia="zh-CN"/>
              </w:rPr>
            </w:pPr>
            <w:r>
              <w:rPr>
                <w:rFonts w:hint="eastAsia"/>
                <w:lang w:val="en-US" w:eastAsia="zh-CN"/>
              </w:rPr>
              <w:t>方案完整合理，逻辑性、可操作性一般</w:t>
            </w:r>
            <w:r>
              <w:rPr>
                <w:rFonts w:hint="eastAsia"/>
                <w:lang w:val="zh-CN" w:eastAsia="zh-CN"/>
              </w:rPr>
              <w:t>得</w:t>
            </w:r>
            <w:r>
              <w:rPr>
                <w:rFonts w:hint="eastAsia"/>
                <w:lang w:val="en-US" w:eastAsia="zh-CN"/>
              </w:rPr>
              <w:t>4</w:t>
            </w:r>
            <w:r>
              <w:rPr>
                <w:rFonts w:hint="eastAsia"/>
                <w:lang w:val="zh-CN" w:eastAsia="zh-CN"/>
              </w:rPr>
              <w:t>-</w:t>
            </w:r>
            <w:r>
              <w:rPr>
                <w:rFonts w:hint="eastAsia"/>
                <w:lang w:val="en-US" w:eastAsia="zh-CN"/>
              </w:rPr>
              <w:t>3.1</w:t>
            </w:r>
            <w:r>
              <w:rPr>
                <w:rFonts w:hint="eastAsia"/>
                <w:lang w:val="zh-CN" w:eastAsia="zh-CN"/>
              </w:rPr>
              <w:t>分；</w:t>
            </w:r>
          </w:p>
          <w:p>
            <w:pPr>
              <w:bidi w:val="0"/>
              <w:rPr>
                <w:rFonts w:hint="eastAsia"/>
                <w:lang w:val="zh-CN" w:eastAsia="zh-CN"/>
              </w:rPr>
            </w:pPr>
            <w:r>
              <w:rPr>
                <w:rFonts w:hint="eastAsia"/>
                <w:lang w:val="en-US" w:eastAsia="zh-CN"/>
              </w:rPr>
              <w:t>方案完整合理，逻辑性、可操作性差</w:t>
            </w:r>
            <w:r>
              <w:rPr>
                <w:rFonts w:hint="eastAsia"/>
                <w:lang w:val="zh-CN" w:eastAsia="zh-CN"/>
              </w:rPr>
              <w:t>得</w:t>
            </w:r>
            <w:r>
              <w:rPr>
                <w:rFonts w:hint="eastAsia"/>
                <w:lang w:val="en-US" w:eastAsia="zh-CN"/>
              </w:rPr>
              <w:t>3</w:t>
            </w:r>
            <w:r>
              <w:rPr>
                <w:rFonts w:hint="eastAsia"/>
                <w:lang w:val="zh-CN" w:eastAsia="zh-CN"/>
              </w:rPr>
              <w:t>-0分；</w:t>
            </w:r>
          </w:p>
          <w:p>
            <w:pPr>
              <w:bidi w:val="0"/>
              <w:rPr>
                <w:rFonts w:hint="eastAsia" w:ascii="宋体" w:hAnsi="宋体" w:cs="宋体"/>
                <w:bCs/>
                <w:color w:val="auto"/>
                <w:sz w:val="21"/>
                <w:szCs w:val="21"/>
                <w:highlight w:val="none"/>
                <w:lang w:eastAsia="zh-CN"/>
              </w:rPr>
            </w:pPr>
            <w:r>
              <w:rPr>
                <w:rFonts w:hint="eastAsia"/>
                <w:lang w:val="zh-CN" w:eastAsia="zh-CN"/>
              </w:rPr>
              <w:t>不提供不得分。</w:t>
            </w:r>
          </w:p>
        </w:tc>
        <w:tc>
          <w:tcPr>
            <w:tcW w:w="847" w:type="dxa"/>
            <w:noWrap w:val="0"/>
            <w:vAlign w:val="center"/>
          </w:tcPr>
          <w:p>
            <w:pPr>
              <w:bidi w:val="0"/>
              <w:rPr>
                <w:rFonts w:hint="default" w:ascii="宋体" w:hAnsi="宋体" w:cs="宋体"/>
                <w:bCs/>
                <w:color w:val="auto"/>
                <w:sz w:val="21"/>
                <w:szCs w:val="21"/>
                <w:highlight w:val="none"/>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3</w:t>
            </w:r>
          </w:p>
        </w:tc>
        <w:tc>
          <w:tcPr>
            <w:tcW w:w="7676" w:type="dxa"/>
            <w:noWrap w:val="0"/>
            <w:vAlign w:val="center"/>
          </w:tcPr>
          <w:p>
            <w:pPr>
              <w:bidi w:val="0"/>
              <w:rPr>
                <w:rFonts w:hint="eastAsia"/>
                <w:lang w:val="zh-CN" w:eastAsia="zh-CN"/>
              </w:rPr>
            </w:pPr>
            <w:r>
              <w:rPr>
                <w:rFonts w:hint="eastAsia"/>
                <w:lang w:val="en-US" w:eastAsia="zh-CN"/>
              </w:rPr>
              <w:t>项目对接方案</w:t>
            </w:r>
            <w:r>
              <w:rPr>
                <w:rFonts w:hint="eastAsia"/>
                <w:lang w:val="zh-CN" w:eastAsia="zh-CN"/>
              </w:rPr>
              <w:t>：</w:t>
            </w:r>
          </w:p>
          <w:p>
            <w:pPr>
              <w:bidi w:val="0"/>
              <w:rPr>
                <w:rFonts w:hint="eastAsia"/>
                <w:lang w:val="zh-CN" w:eastAsia="zh-CN"/>
              </w:rPr>
            </w:pPr>
            <w:r>
              <w:rPr>
                <w:rFonts w:hint="eastAsia"/>
                <w:lang w:val="en-US" w:eastAsia="zh-CN"/>
              </w:rPr>
              <w:t>投标人提供对</w:t>
            </w:r>
            <w:r>
              <w:rPr>
                <w:rFonts w:hint="eastAsia"/>
                <w:lang w:val="zh-CN" w:eastAsia="zh-CN"/>
              </w:rPr>
              <w:t>台州“飞安行”低空飞行管控服务平台</w:t>
            </w:r>
            <w:r>
              <w:rPr>
                <w:rFonts w:hint="eastAsia"/>
                <w:lang w:val="en-US" w:eastAsia="zh-CN"/>
              </w:rPr>
              <w:t>功能模块的了解</w:t>
            </w:r>
            <w:r>
              <w:rPr>
                <w:rFonts w:hint="eastAsia"/>
                <w:lang w:val="zh-CN" w:eastAsia="zh-CN"/>
              </w:rPr>
              <w:t>，</w:t>
            </w:r>
            <w:r>
              <w:rPr>
                <w:rFonts w:hint="eastAsia"/>
                <w:lang w:val="en-US" w:eastAsia="zh-CN"/>
              </w:rPr>
              <w:t>并设计相应</w:t>
            </w:r>
            <w:r>
              <w:rPr>
                <w:rFonts w:hint="eastAsia"/>
                <w:lang w:val="zh-CN" w:eastAsia="zh-CN"/>
              </w:rPr>
              <w:t>对接方案（</w:t>
            </w:r>
            <w:r>
              <w:rPr>
                <w:rFonts w:hint="eastAsia"/>
                <w:lang w:val="en-US" w:eastAsia="zh-CN"/>
              </w:rPr>
              <w:t>台州警航无人机指挥管控平台</w:t>
            </w:r>
            <w:r>
              <w:rPr>
                <w:rFonts w:hint="eastAsia"/>
                <w:lang w:val="zh-CN" w:eastAsia="zh-CN"/>
              </w:rPr>
              <w:t>）</w:t>
            </w:r>
            <w:r>
              <w:rPr>
                <w:rFonts w:hint="eastAsia"/>
                <w:lang w:eastAsia="zh-CN"/>
              </w:rPr>
              <w:t>，</w:t>
            </w:r>
            <w:r>
              <w:rPr>
                <w:rFonts w:hint="eastAsia"/>
                <w:lang w:val="en-US" w:eastAsia="zh-CN"/>
              </w:rPr>
              <w:t>了解程度高、</w:t>
            </w:r>
            <w:r>
              <w:rPr>
                <w:rFonts w:hint="eastAsia"/>
                <w:lang w:val="zh-CN" w:eastAsia="zh-CN"/>
              </w:rPr>
              <w:t>方案描述清晰，针对性强，内容详细，且确实可行的得</w:t>
            </w:r>
            <w:r>
              <w:rPr>
                <w:rFonts w:hint="eastAsia"/>
                <w:lang w:val="en-US" w:eastAsia="zh-CN"/>
              </w:rPr>
              <w:t>8</w:t>
            </w:r>
            <w:r>
              <w:rPr>
                <w:rFonts w:hint="eastAsia"/>
                <w:lang w:val="zh-CN" w:eastAsia="zh-CN"/>
              </w:rPr>
              <w:t>-</w:t>
            </w:r>
            <w:r>
              <w:rPr>
                <w:rFonts w:hint="eastAsia"/>
                <w:lang w:val="en-US" w:eastAsia="zh-CN"/>
              </w:rPr>
              <w:t>6.1</w:t>
            </w:r>
            <w:r>
              <w:rPr>
                <w:rFonts w:hint="eastAsia"/>
                <w:lang w:val="zh-CN" w:eastAsia="zh-CN"/>
              </w:rPr>
              <w:t>分；</w:t>
            </w:r>
          </w:p>
          <w:p>
            <w:pPr>
              <w:bidi w:val="0"/>
              <w:rPr>
                <w:rFonts w:hint="eastAsia"/>
                <w:lang w:val="zh-CN" w:eastAsia="zh-CN"/>
              </w:rPr>
            </w:pPr>
            <w:r>
              <w:rPr>
                <w:rFonts w:hint="eastAsia"/>
                <w:lang w:val="en-US" w:eastAsia="zh-CN"/>
              </w:rPr>
              <w:t>了解程度一般、</w:t>
            </w:r>
            <w:r>
              <w:rPr>
                <w:rFonts w:hint="eastAsia"/>
                <w:lang w:val="zh-CN" w:eastAsia="zh-CN"/>
              </w:rPr>
              <w:t>方案描述基本清晰，内容比较齐全，但过于空泛，可行性不强的得</w:t>
            </w:r>
            <w:r>
              <w:rPr>
                <w:rFonts w:hint="eastAsia"/>
                <w:lang w:val="en-US" w:eastAsia="zh-CN"/>
              </w:rPr>
              <w:t>6</w:t>
            </w:r>
            <w:r>
              <w:rPr>
                <w:rFonts w:hint="eastAsia"/>
                <w:lang w:val="zh-CN" w:eastAsia="zh-CN"/>
              </w:rPr>
              <w:t>-</w:t>
            </w:r>
            <w:r>
              <w:rPr>
                <w:rFonts w:hint="eastAsia"/>
                <w:lang w:val="en-US" w:eastAsia="zh-CN"/>
              </w:rPr>
              <w:t>4.1</w:t>
            </w:r>
            <w:r>
              <w:rPr>
                <w:rFonts w:hint="eastAsia"/>
                <w:lang w:val="zh-CN" w:eastAsia="zh-CN"/>
              </w:rPr>
              <w:t>分；</w:t>
            </w:r>
          </w:p>
          <w:p>
            <w:pPr>
              <w:bidi w:val="0"/>
              <w:rPr>
                <w:rFonts w:hint="eastAsia"/>
                <w:lang w:val="zh-CN" w:eastAsia="zh-CN"/>
              </w:rPr>
            </w:pPr>
            <w:r>
              <w:rPr>
                <w:rFonts w:hint="eastAsia"/>
                <w:lang w:val="zh-CN" w:eastAsia="zh-CN"/>
              </w:rPr>
              <w:t>方案过于空泛、可行性不强或思路不清晰的得</w:t>
            </w:r>
            <w:r>
              <w:rPr>
                <w:rFonts w:hint="eastAsia"/>
                <w:lang w:val="en-US" w:eastAsia="zh-CN"/>
              </w:rPr>
              <w:t>4</w:t>
            </w:r>
            <w:r>
              <w:rPr>
                <w:rFonts w:hint="eastAsia"/>
                <w:lang w:val="zh-CN" w:eastAsia="zh-CN"/>
              </w:rPr>
              <w:t>-0分；</w:t>
            </w:r>
          </w:p>
          <w:p>
            <w:pPr>
              <w:bidi w:val="0"/>
              <w:rPr>
                <w:color w:val="auto"/>
                <w:sz w:val="21"/>
                <w:szCs w:val="21"/>
                <w:highlight w:val="none"/>
                <w:lang w:eastAsia="zh-CN"/>
              </w:rPr>
            </w:pPr>
            <w:r>
              <w:rPr>
                <w:rFonts w:hint="eastAsia"/>
                <w:lang w:val="zh-CN"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4</w:t>
            </w:r>
          </w:p>
        </w:tc>
        <w:tc>
          <w:tcPr>
            <w:tcW w:w="7676" w:type="dxa"/>
            <w:noWrap w:val="0"/>
            <w:vAlign w:val="center"/>
          </w:tcPr>
          <w:p>
            <w:pPr>
              <w:bidi w:val="0"/>
              <w:rPr>
                <w:rFonts w:hint="eastAsia"/>
                <w:lang w:val="zh-CN"/>
              </w:rPr>
            </w:pPr>
            <w:r>
              <w:rPr>
                <w:rFonts w:hint="eastAsia"/>
                <w:lang w:val="zh-CN"/>
              </w:rPr>
              <w:t>对照招标文件需求，详细阐述</w:t>
            </w:r>
            <w:r>
              <w:rPr>
                <w:rFonts w:hint="eastAsia"/>
              </w:rPr>
              <w:t>技术方案，包括但不限于思路原则、系统架构、应用设计等</w:t>
            </w:r>
            <w:r>
              <w:rPr>
                <w:rFonts w:hint="eastAsia"/>
                <w:lang w:val="zh-CN"/>
              </w:rPr>
              <w:t>：方案描述清晰，针对性强，内容详细，且确实可行的得</w:t>
            </w:r>
            <w:r>
              <w:rPr>
                <w:rFonts w:hint="eastAsia"/>
                <w:lang w:val="en-US" w:eastAsia="zh-CN"/>
              </w:rPr>
              <w:t>5</w:t>
            </w:r>
            <w:r>
              <w:rPr>
                <w:rFonts w:hint="eastAsia"/>
                <w:lang w:val="zh-CN"/>
              </w:rPr>
              <w:t>-</w:t>
            </w:r>
            <w:r>
              <w:rPr>
                <w:rFonts w:hint="eastAsia"/>
                <w:lang w:val="en-US" w:eastAsia="zh-CN"/>
              </w:rPr>
              <w:t>4.1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4</w:t>
            </w:r>
            <w:r>
              <w:rPr>
                <w:rFonts w:hint="eastAsia"/>
                <w:lang w:val="zh-CN"/>
              </w:rPr>
              <w:t>-</w:t>
            </w:r>
            <w:r>
              <w:rPr>
                <w:rFonts w:hint="eastAsia"/>
                <w:lang w:val="en-US" w:eastAsia="zh-CN"/>
              </w:rPr>
              <w:t>3.1</w:t>
            </w:r>
            <w:r>
              <w:rPr>
                <w:rFonts w:hint="eastAsia"/>
                <w:lang w:val="zh-CN"/>
              </w:rPr>
              <w:t>分；</w:t>
            </w:r>
          </w:p>
          <w:p>
            <w:pPr>
              <w:bidi w:val="0"/>
              <w:rPr>
                <w:rFonts w:hint="eastAsia"/>
                <w:lang w:val="zh-CN"/>
              </w:rPr>
            </w:pPr>
            <w:r>
              <w:rPr>
                <w:rFonts w:hint="eastAsia"/>
                <w:lang w:val="zh-CN"/>
              </w:rPr>
              <w:t>方案有缺失，内容简单，思路不清晰的得</w:t>
            </w:r>
            <w:r>
              <w:rPr>
                <w:rFonts w:hint="eastAsia"/>
                <w:lang w:val="en-US" w:eastAsia="zh-CN"/>
              </w:rPr>
              <w:t>3</w:t>
            </w:r>
            <w:r>
              <w:rPr>
                <w:rFonts w:hint="eastAsia"/>
                <w:lang w:val="zh-CN"/>
              </w:rPr>
              <w:t>-0分；</w:t>
            </w:r>
          </w:p>
          <w:p>
            <w:pPr>
              <w:bidi w:val="0"/>
              <w:rPr>
                <w:color w:val="auto"/>
                <w:sz w:val="21"/>
                <w:szCs w:val="21"/>
                <w:highlight w:val="none"/>
                <w:lang w:val="zh-CN"/>
              </w:rPr>
            </w:pPr>
            <w:r>
              <w:rPr>
                <w:rFonts w:hint="eastAsia"/>
                <w:lang w:val="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5</w:t>
            </w:r>
          </w:p>
        </w:tc>
        <w:tc>
          <w:tcPr>
            <w:tcW w:w="7676" w:type="dxa"/>
            <w:noWrap w:val="0"/>
            <w:vAlign w:val="center"/>
          </w:tcPr>
          <w:p>
            <w:pPr>
              <w:bidi w:val="0"/>
              <w:rPr>
                <w:rFonts w:hint="eastAsia"/>
                <w:lang w:val="zh-CN"/>
              </w:rPr>
            </w:pPr>
            <w:r>
              <w:rPr>
                <w:rFonts w:hint="eastAsia"/>
                <w:lang w:val="zh-CN"/>
              </w:rPr>
              <w:t>根据投标人对招标需求的逐条响应情况打分。</w:t>
            </w:r>
          </w:p>
          <w:p>
            <w:pPr>
              <w:bidi w:val="0"/>
              <w:rPr>
                <w:rFonts w:ascii="宋体" w:hAnsi="宋体" w:cs="宋体"/>
                <w:bCs/>
                <w:color w:val="auto"/>
                <w:sz w:val="21"/>
                <w:szCs w:val="21"/>
                <w:highlight w:val="none"/>
                <w:lang w:val="zh-CN"/>
              </w:rPr>
            </w:pPr>
            <w:r>
              <w:rPr>
                <w:rFonts w:hint="eastAsia"/>
                <w:lang w:val="zh-CN"/>
              </w:rPr>
              <w:t>带“★”为重要技术指标、参数，加“★”的性能指标及技术参数负偏离的每项扣1分，</w:t>
            </w:r>
            <w:r>
              <w:rPr>
                <w:rFonts w:hint="eastAsia"/>
                <w:lang w:val="en-US" w:eastAsia="zh-CN"/>
              </w:rPr>
              <w:t>未</w:t>
            </w:r>
            <w:r>
              <w:rPr>
                <w:rFonts w:hint="eastAsia"/>
                <w:lang w:val="zh-CN"/>
              </w:rPr>
              <w:t>带“★”的负偏离的每项扣</w:t>
            </w:r>
            <w:r>
              <w:rPr>
                <w:rFonts w:hint="eastAsia"/>
                <w:lang w:val="en-US" w:eastAsia="zh-CN"/>
              </w:rPr>
              <w:t>0.5</w:t>
            </w:r>
            <w:r>
              <w:rPr>
                <w:rFonts w:hint="eastAsia"/>
                <w:lang w:val="zh-CN"/>
              </w:rPr>
              <w:t>分，扣完为止。</w:t>
            </w:r>
          </w:p>
        </w:tc>
        <w:tc>
          <w:tcPr>
            <w:tcW w:w="847"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6</w:t>
            </w:r>
          </w:p>
        </w:tc>
        <w:tc>
          <w:tcPr>
            <w:tcW w:w="7676" w:type="dxa"/>
            <w:noWrap w:val="0"/>
            <w:vAlign w:val="center"/>
          </w:tcPr>
          <w:p>
            <w:pPr>
              <w:bidi w:val="0"/>
              <w:rPr>
                <w:rFonts w:hint="eastAsia"/>
                <w:lang w:val="zh-CN"/>
              </w:rPr>
            </w:pPr>
            <w:r>
              <w:rPr>
                <w:rFonts w:hint="eastAsia"/>
                <w:lang w:val="zh-CN"/>
              </w:rPr>
              <w:t>项目实施方案：</w:t>
            </w:r>
          </w:p>
          <w:p>
            <w:pPr>
              <w:bidi w:val="0"/>
              <w:rPr>
                <w:rFonts w:hint="eastAsia"/>
                <w:lang w:val="zh-CN"/>
              </w:rPr>
            </w:pPr>
            <w:r>
              <w:rPr>
                <w:rFonts w:hint="eastAsia"/>
                <w:lang w:val="zh-CN"/>
              </w:rPr>
              <w:t>实施方案包括</w:t>
            </w:r>
            <w:r>
              <w:rPr>
                <w:rFonts w:hint="eastAsia"/>
              </w:rPr>
              <w:t>工期</w:t>
            </w:r>
            <w:r>
              <w:rPr>
                <w:rFonts w:hint="eastAsia"/>
                <w:lang w:val="zh-CN"/>
              </w:rPr>
              <w:t>计划、人员配置、安装调试测试、验收方案、质量保障方案、</w:t>
            </w:r>
            <w:r>
              <w:rPr>
                <w:rFonts w:hint="eastAsia"/>
              </w:rPr>
              <w:t>试运行</w:t>
            </w:r>
            <w:r>
              <w:rPr>
                <w:rFonts w:hint="eastAsia"/>
                <w:lang w:val="zh-CN"/>
              </w:rPr>
              <w:t>等内容综合评价。</w:t>
            </w:r>
          </w:p>
          <w:p>
            <w:pPr>
              <w:bidi w:val="0"/>
              <w:rPr>
                <w:rFonts w:hint="eastAsia"/>
                <w:lang w:val="zh-CN"/>
              </w:rPr>
            </w:pPr>
            <w:r>
              <w:rPr>
                <w:rFonts w:hint="eastAsia"/>
                <w:lang w:val="zh-CN"/>
              </w:rPr>
              <w:t>方案描述清晰，针对性强，内容详细，且确实可行的得</w:t>
            </w:r>
            <w:r>
              <w:rPr>
                <w:rFonts w:hint="eastAsia"/>
                <w:lang w:val="en-US" w:eastAsia="zh-CN"/>
              </w:rPr>
              <w:t>4</w:t>
            </w:r>
            <w:r>
              <w:rPr>
                <w:rFonts w:hint="eastAsia"/>
              </w:rPr>
              <w:t>-</w:t>
            </w:r>
            <w:r>
              <w:rPr>
                <w:rFonts w:hint="eastAsia"/>
                <w:lang w:val="en-US" w:eastAsia="zh-CN"/>
              </w:rPr>
              <w:t>3.1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3</w:t>
            </w:r>
            <w:r>
              <w:rPr>
                <w:rFonts w:hint="eastAsia"/>
                <w:lang w:val="zh-CN"/>
              </w:rPr>
              <w:t>-</w:t>
            </w:r>
            <w:r>
              <w:rPr>
                <w:rFonts w:hint="eastAsia"/>
                <w:lang w:val="en-US" w:eastAsia="zh-CN"/>
              </w:rPr>
              <w:t>2.1</w:t>
            </w:r>
            <w:r>
              <w:rPr>
                <w:rFonts w:hint="eastAsia"/>
                <w:lang w:val="zh-CN"/>
              </w:rPr>
              <w:t>分；</w:t>
            </w:r>
          </w:p>
          <w:p>
            <w:pPr>
              <w:bidi w:val="0"/>
              <w:rPr>
                <w:rFonts w:hint="eastAsia"/>
                <w:lang w:val="zh-CN"/>
              </w:rPr>
            </w:pPr>
            <w:r>
              <w:rPr>
                <w:rFonts w:hint="eastAsia"/>
                <w:lang w:val="zh-CN"/>
              </w:rPr>
              <w:t>方案有缺失，内容简单，思路不清晰的得</w:t>
            </w:r>
            <w:r>
              <w:rPr>
                <w:rFonts w:hint="eastAsia"/>
                <w:lang w:val="en-US" w:eastAsia="zh-CN"/>
              </w:rPr>
              <w:t>2</w:t>
            </w:r>
            <w:r>
              <w:rPr>
                <w:rFonts w:hint="eastAsia"/>
                <w:lang w:val="zh-CN"/>
              </w:rPr>
              <w:t>-0分；</w:t>
            </w:r>
          </w:p>
          <w:p>
            <w:pPr>
              <w:bidi w:val="0"/>
              <w:rPr>
                <w:rFonts w:ascii="宋体" w:hAnsi="宋体" w:cs="宋体"/>
                <w:bCs/>
                <w:color w:val="auto"/>
                <w:sz w:val="21"/>
                <w:szCs w:val="21"/>
                <w:highlight w:val="none"/>
              </w:rPr>
            </w:pPr>
            <w:r>
              <w:rPr>
                <w:rFonts w:hint="eastAsia"/>
                <w:lang w:val="zh-CN"/>
              </w:rPr>
              <w:t>不提供不得分。</w:t>
            </w:r>
          </w:p>
        </w:tc>
        <w:tc>
          <w:tcPr>
            <w:tcW w:w="847"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51" w:type="dxa"/>
            <w:noWrap w:val="0"/>
            <w:vAlign w:val="center"/>
          </w:tcPr>
          <w:p>
            <w:pPr>
              <w:bidi w:val="0"/>
              <w:rPr>
                <w:rFonts w:hint="eastAsia" w:ascii="宋体" w:hAnsi="宋体" w:eastAsia="宋体" w:cs="宋体"/>
                <w:bCs/>
                <w:color w:val="auto"/>
                <w:sz w:val="21"/>
                <w:szCs w:val="21"/>
                <w:highlight w:val="none"/>
                <w:lang w:val="en-US" w:eastAsia="zh-CN"/>
              </w:rPr>
            </w:pPr>
            <w:r>
              <w:rPr>
                <w:rFonts w:hint="eastAsia"/>
                <w:lang w:val="en-US" w:eastAsia="zh-CN"/>
              </w:rPr>
              <w:t>7</w:t>
            </w:r>
          </w:p>
        </w:tc>
        <w:tc>
          <w:tcPr>
            <w:tcW w:w="7676" w:type="dxa"/>
            <w:noWrap w:val="0"/>
            <w:vAlign w:val="center"/>
          </w:tcPr>
          <w:p>
            <w:pPr>
              <w:bidi w:val="0"/>
              <w:rPr>
                <w:rFonts w:hint="eastAsia"/>
                <w:lang w:val="en-US" w:eastAsia="zh-CN"/>
              </w:rPr>
            </w:pPr>
            <w:r>
              <w:rPr>
                <w:rFonts w:hint="eastAsia"/>
                <w:lang w:val="en-US" w:eastAsia="zh-CN"/>
              </w:rPr>
              <w:t>为保障系统功能投标人必须使用真实系统进行演示，演示时间不得超过 15 分钟。总分 20 分，演示要求如下:</w:t>
            </w:r>
          </w:p>
          <w:p>
            <w:pPr>
              <w:bidi w:val="0"/>
              <w:rPr>
                <w:rFonts w:hint="eastAsia"/>
                <w:lang w:val="en-US" w:eastAsia="zh-CN"/>
              </w:rPr>
            </w:pPr>
            <w:r>
              <w:rPr>
                <w:rFonts w:hint="eastAsia"/>
                <w:lang w:val="en-US" w:eastAsia="zh-CN"/>
              </w:rPr>
              <w:t>1、低空安全应用演示(8分)</w:t>
            </w:r>
          </w:p>
          <w:p>
            <w:pPr>
              <w:bidi w:val="0"/>
              <w:rPr>
                <w:rFonts w:hint="eastAsia"/>
                <w:lang w:val="en-US" w:eastAsia="zh-CN"/>
              </w:rPr>
            </w:pPr>
            <w:r>
              <w:rPr>
                <w:rFonts w:hint="eastAsia"/>
                <w:lang w:val="en-US" w:eastAsia="zh-CN"/>
              </w:rPr>
              <w:t>（1）侦测反制设备管理:支持不同类型的侦测反制设备进行登记和维护，包括开线电侦测、低空雷达、光电侦测、单兵手持侦测、报文侦测、无线电压制、GPS诱偏、单兵手持反制等设备，并将重要参数在实时监测页面显示，区分侦测反制设备显示形态、全向定向打击类别，支持通过设备名称、设备 sn、设备型号进行搜索、删除、修改等功能。根据演示效果得2-0分，未实现不得分。</w:t>
            </w:r>
          </w:p>
          <w:p>
            <w:pPr>
              <w:bidi w:val="0"/>
              <w:rPr>
                <w:rFonts w:hint="eastAsia"/>
                <w:lang w:val="en-US" w:eastAsia="zh-CN"/>
              </w:rPr>
            </w:pPr>
            <w:r>
              <w:rPr>
                <w:rFonts w:hint="eastAsia"/>
                <w:lang w:val="en-US" w:eastAsia="zh-CN"/>
              </w:rPr>
              <w:t>（2）无人机报文信息呈现:前端报文侦测设备获取厂家无人机报文信息，在平台端能够显示厂家无人机相关信息，需包括以下所有信息:无人机机型、SN码、飞行速度、高度、经纬度、实时飞行轨迹、遥控器控位置。据演示效果得 2-0分，未实现不得分。</w:t>
            </w:r>
          </w:p>
          <w:p>
            <w:pPr>
              <w:bidi w:val="0"/>
              <w:rPr>
                <w:rFonts w:hint="eastAsia"/>
                <w:lang w:val="en-US" w:eastAsia="zh-CN"/>
              </w:rPr>
            </w:pPr>
            <w:r>
              <w:rPr>
                <w:rFonts w:hint="eastAsia"/>
                <w:lang w:val="en-US" w:eastAsia="zh-CN"/>
              </w:rPr>
              <w:t>（3）精准定位快速出警:平台支持将该目标无人机遥控器位置智能分配至所在辖区派出所的，并支持遥控器位置以二维码方式生成快速导航路径。根据演示效果得3-0分，未实现不得分。</w:t>
            </w:r>
          </w:p>
          <w:p>
            <w:pPr>
              <w:bidi w:val="0"/>
              <w:rPr>
                <w:rFonts w:hint="eastAsia"/>
                <w:lang w:val="en-US" w:eastAsia="zh-CN"/>
              </w:rPr>
            </w:pPr>
            <w:r>
              <w:rPr>
                <w:rFonts w:hint="eastAsia"/>
                <w:lang w:val="en-US" w:eastAsia="zh-CN"/>
              </w:rPr>
              <w:t>（4）无人机侦测分类:通过地面侦测、网络透传等多种方式侦测到的无人机在地图上呈现实时位置，根据当前无人机归属和数据来源，以不同形式图标区分4种以上无人机类型。根据演示效果得 1-0 分，未实现不得分。</w:t>
            </w:r>
          </w:p>
          <w:p>
            <w:pPr>
              <w:bidi w:val="0"/>
              <w:rPr>
                <w:rFonts w:hint="eastAsia"/>
                <w:lang w:val="en-US" w:eastAsia="zh-CN"/>
              </w:rPr>
            </w:pPr>
            <w:r>
              <w:rPr>
                <w:rFonts w:hint="eastAsia"/>
                <w:lang w:val="en-US" w:eastAsia="zh-CN"/>
              </w:rPr>
              <w:t>2、低空服务应用演示(7分)</w:t>
            </w:r>
          </w:p>
          <w:p>
            <w:pPr>
              <w:bidi w:val="0"/>
              <w:rPr>
                <w:rFonts w:hint="eastAsia"/>
                <w:lang w:val="en-US" w:eastAsia="zh-CN"/>
              </w:rPr>
            </w:pPr>
            <w:r>
              <w:rPr>
                <w:rFonts w:hint="eastAsia"/>
                <w:lang w:val="en-US" w:eastAsia="zh-CN"/>
              </w:rPr>
              <w:t>(1)低空空域规划:支持建立多类场景，可加载已上传资源的三维实景模型作为场景底层，实现实体模型、点模型、线模型、面模型和墙模型等模型形态添加进该场景中，实现飞行区域三维底图制作功能，以上5种模型形态均可实现标绘。根据演示效果得3-0分，未实现不得分。</w:t>
            </w:r>
          </w:p>
          <w:p>
            <w:pPr>
              <w:bidi w:val="0"/>
              <w:rPr>
                <w:rFonts w:hint="eastAsia"/>
                <w:lang w:val="en-US" w:eastAsia="zh-CN"/>
              </w:rPr>
            </w:pPr>
            <w:r>
              <w:rPr>
                <w:rFonts w:hint="eastAsia"/>
                <w:lang w:val="en-US" w:eastAsia="zh-CN"/>
              </w:rPr>
              <w:t>（2）低空空域管理:针对空域进行分类管理，实现适飞空域、禁飞空域等三维化显示，并支持违规飞行实时预警。实现在辖区内，分配的运营固定航线在三维底图上的显示，并支持违法飞行入侵报警。根据演示效果得 2-0 分，未实现不得分。</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（3）实景航线规划:在三维场景下，支持包含航点航线、二维正摄航线规划、三维倾斜摄影航线、环形航线规划。其中二维正摄航线、三维倾斜摄影航线、环形航线支持自动生成航线路径。根据演示效果得 1-0 分，未实现不得分。</w:t>
            </w:r>
          </w:p>
          <w:p>
            <w:pPr>
              <w:pStyle w:val="3"/>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（4）航点航线编辑器:支持使用鼠标和键盘控制移动虚拟飞行器进行航点航线规划并快速检验已有航线安全性。支持在三维底图叠加高程数据及地物建筑模型的场景中进行航线的编辑。根据演示效果得 1-0 分，未实现不得分。</w:t>
            </w:r>
          </w:p>
          <w:p>
            <w:pPr>
              <w:pStyle w:val="4"/>
              <w:ind w:left="0" w:leftChars="0" w:firstLine="0" w:firstLineChars="0"/>
              <w:rPr>
                <w:rFonts w:hint="eastAsia"/>
                <w:lang w:val="en-US" w:eastAsia="zh-CN"/>
              </w:rPr>
            </w:pPr>
            <w:r>
              <w:rPr>
                <w:rFonts w:hint="eastAsia"/>
                <w:lang w:val="en-US" w:eastAsia="zh-CN"/>
              </w:rPr>
              <w:t>3、政务航空应用演示(5分)</w:t>
            </w:r>
          </w:p>
          <w:p>
            <w:pPr>
              <w:rPr>
                <w:rFonts w:hint="eastAsia"/>
                <w:lang w:val="en-US" w:eastAsia="zh-CN"/>
              </w:rPr>
            </w:pPr>
            <w:r>
              <w:rPr>
                <w:rFonts w:hint="eastAsia"/>
                <w:lang w:val="en-US" w:eastAsia="zh-CN"/>
              </w:rPr>
              <w:t>（1）单兵设备联动:支持单兵设备联动显示，对接单兵设备，能够在实时监测面显示单兵实时坐标位置，且定位准确(误差在50米内)，能够在实时监测页面显示单兵设备摄像头实时视频。根据演示效果得2-0分，未实现不得分。</w:t>
            </w:r>
          </w:p>
          <w:p>
            <w:pPr>
              <w:pStyle w:val="2"/>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（2）无人机机场管理:机场无人机一键起飞功能，无人机起飞后，支持用鼠标键盘、模拟遥杆等方式接管无人机飞行控制的;通过模拟摇杆对无人机进行飞行控制!可自定义摇杆按键功能。根据演示效果得 2-0 分，未实现不得分。</w:t>
            </w:r>
          </w:p>
          <w:p>
            <w:pPr>
              <w:pStyle w:val="3"/>
              <w:ind w:left="0" w:leftChars="0" w:firstLine="0" w:firstLineChars="0"/>
              <w:rPr>
                <w:rFonts w:hint="default" w:ascii="宋体" w:hAnsi="宋体" w:eastAsia="宋体" w:cs="宋体"/>
                <w:bCs/>
                <w:color w:val="auto"/>
                <w:sz w:val="21"/>
                <w:szCs w:val="21"/>
                <w:highlight w:val="yellow"/>
                <w:lang w:val="en-US" w:eastAsia="zh-CN"/>
              </w:rPr>
            </w:pPr>
            <w:r>
              <w:rPr>
                <w:rFonts w:hint="eastAsia" w:ascii="Times New Roman" w:hAnsi="Times New Roman" w:eastAsia="宋体" w:cs="Times New Roman"/>
                <w:kern w:val="2"/>
                <w:sz w:val="21"/>
                <w:szCs w:val="24"/>
                <w:lang w:val="en-US" w:eastAsia="zh-CN" w:bidi="ar-SA"/>
              </w:rPr>
              <w:t>（3）机场集群调度:多架机场无人机按预设航线进行起飞，执行任务飞行，在平台界面可以同时对多架作业中(大于等于四架)机巢无人机进行状态监控，并随时接管其中一架无人机的控制。根据演示效果得 1-0分，未实现不得分。</w:t>
            </w:r>
          </w:p>
        </w:tc>
        <w:tc>
          <w:tcPr>
            <w:tcW w:w="847" w:type="dxa"/>
            <w:noWrap w:val="0"/>
            <w:vAlign w:val="center"/>
          </w:tcPr>
          <w:p>
            <w:pPr>
              <w:bidi w:val="0"/>
              <w:rPr>
                <w:rFonts w:hint="default" w:ascii="宋体" w:hAnsi="宋体" w:eastAsia="宋体" w:cs="宋体"/>
                <w:bCs/>
                <w:color w:val="auto"/>
                <w:sz w:val="21"/>
                <w:szCs w:val="21"/>
                <w:highlight w:val="yellow"/>
                <w:lang w:val="en-US" w:eastAsia="zh-CN"/>
              </w:rPr>
            </w:pPr>
            <w:r>
              <w:rPr>
                <w:rFonts w:hint="eastAsia"/>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51" w:type="dxa"/>
            <w:noWrap w:val="0"/>
            <w:vAlign w:val="center"/>
          </w:tcPr>
          <w:p>
            <w:pPr>
              <w:bidi w:val="0"/>
              <w:rPr>
                <w:rFonts w:hint="eastAsia" w:ascii="宋体" w:hAnsi="宋体" w:eastAsia="宋体" w:cs="宋体"/>
                <w:bCs/>
                <w:color w:val="auto"/>
                <w:sz w:val="21"/>
                <w:szCs w:val="21"/>
                <w:highlight w:val="yellow"/>
                <w:lang w:val="en-US" w:eastAsia="zh-CN"/>
              </w:rPr>
            </w:pPr>
            <w:r>
              <w:rPr>
                <w:rFonts w:hint="eastAsia"/>
                <w:lang w:val="en-US" w:eastAsia="zh-CN"/>
              </w:rPr>
              <w:t>8</w:t>
            </w:r>
          </w:p>
        </w:tc>
        <w:tc>
          <w:tcPr>
            <w:tcW w:w="7676" w:type="dxa"/>
            <w:noWrap w:val="0"/>
            <w:vAlign w:val="center"/>
          </w:tcPr>
          <w:p>
            <w:pPr>
              <w:bidi w:val="0"/>
              <w:rPr>
                <w:rFonts w:hint="default"/>
                <w:lang w:val="en-US" w:eastAsia="zh-CN"/>
              </w:rPr>
            </w:pPr>
            <w:r>
              <w:rPr>
                <w:rFonts w:hint="eastAsia"/>
                <w:lang w:val="zh-CN"/>
              </w:rPr>
              <w:t>投标单位拟派的项目负责人：具备信息系统项目管理师、</w:t>
            </w:r>
            <w:r>
              <w:rPr>
                <w:rFonts w:hint="eastAsia"/>
              </w:rPr>
              <w:t>网络工程师</w:t>
            </w:r>
            <w:r>
              <w:rPr>
                <w:rFonts w:hint="eastAsia"/>
                <w:lang w:val="en-US" w:eastAsia="zh-CN"/>
              </w:rPr>
              <w:t>,通信工程师（</w:t>
            </w:r>
            <w:r>
              <w:rPr>
                <w:rFonts w:hint="eastAsia"/>
              </w:rPr>
              <w:t>互联网技术</w:t>
            </w:r>
            <w:r>
              <w:rPr>
                <w:rFonts w:hint="eastAsia"/>
                <w:lang w:eastAsia="zh-CN"/>
              </w:rPr>
              <w:t>）</w:t>
            </w:r>
            <w:r>
              <w:rPr>
                <w:rFonts w:hint="eastAsia"/>
                <w:lang w:val="en-US" w:eastAsia="zh-CN"/>
              </w:rPr>
              <w:t>,</w:t>
            </w:r>
            <w:r>
              <w:rPr>
                <w:rFonts w:hint="eastAsia"/>
              </w:rPr>
              <w:t>信息安全工程师</w:t>
            </w:r>
            <w:r>
              <w:rPr>
                <w:rFonts w:hint="eastAsia"/>
                <w:lang w:val="zh-CN"/>
              </w:rPr>
              <w:t>，</w:t>
            </w:r>
            <w:r>
              <w:rPr>
                <w:rFonts w:hint="eastAsia"/>
                <w:lang w:val="en-US" w:eastAsia="zh-CN"/>
              </w:rPr>
              <w:t>每具有一本证书得1分，最高得4分。</w:t>
            </w:r>
          </w:p>
          <w:p>
            <w:pPr>
              <w:bidi w:val="0"/>
              <w:rPr>
                <w:rFonts w:ascii="宋体" w:hAnsi="宋体" w:cs="宋体"/>
                <w:bCs/>
                <w:color w:val="auto"/>
                <w:sz w:val="21"/>
                <w:szCs w:val="21"/>
                <w:highlight w:val="yellow"/>
                <w:lang w:val="zh-CN"/>
              </w:rPr>
            </w:pPr>
            <w:r>
              <w:rPr>
                <w:rFonts w:hint="eastAsia"/>
                <w:lang w:val="zh-CN"/>
              </w:rPr>
              <w:t>（需提供人员相关资质证书原件扫描件及</w:t>
            </w:r>
            <w:r>
              <w:rPr>
                <w:rFonts w:hint="eastAsia"/>
                <w:lang w:val="en-US" w:eastAsia="zh-CN"/>
              </w:rPr>
              <w:t>三</w:t>
            </w:r>
            <w:r>
              <w:rPr>
                <w:rFonts w:hint="eastAsia"/>
                <w:lang w:val="zh-CN"/>
              </w:rPr>
              <w:t>个月内</w:t>
            </w:r>
            <w:r>
              <w:rPr>
                <w:rFonts w:hint="eastAsia"/>
                <w:lang w:val="en-US" w:eastAsia="zh-CN"/>
              </w:rPr>
              <w:t>其中一个月</w:t>
            </w:r>
            <w:r>
              <w:rPr>
                <w:rFonts w:hint="eastAsia"/>
                <w:lang w:val="zh-CN"/>
              </w:rPr>
              <w:t>的社保证明做入标书，加盖电子印章）</w:t>
            </w:r>
          </w:p>
        </w:tc>
        <w:tc>
          <w:tcPr>
            <w:tcW w:w="847" w:type="dxa"/>
            <w:noWrap w:val="0"/>
            <w:vAlign w:val="center"/>
          </w:tcPr>
          <w:p>
            <w:pPr>
              <w:bidi w:val="0"/>
              <w:rPr>
                <w:rFonts w:ascii="宋体" w:hAnsi="宋体" w:cs="宋体"/>
                <w:bCs/>
                <w:color w:val="auto"/>
                <w:sz w:val="21"/>
                <w:szCs w:val="21"/>
                <w:highlight w:val="yellow"/>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eastAsia" w:ascii="宋体" w:hAnsi="宋体" w:eastAsia="宋体" w:cs="宋体"/>
                <w:bCs/>
                <w:color w:val="auto"/>
                <w:sz w:val="21"/>
                <w:szCs w:val="21"/>
                <w:highlight w:val="yellow"/>
                <w:lang w:val="en-US" w:eastAsia="zh-CN"/>
              </w:rPr>
            </w:pPr>
            <w:r>
              <w:rPr>
                <w:rFonts w:hint="eastAsia"/>
                <w:lang w:val="en-US" w:eastAsia="zh-CN"/>
              </w:rPr>
              <w:t>9</w:t>
            </w:r>
          </w:p>
        </w:tc>
        <w:tc>
          <w:tcPr>
            <w:tcW w:w="7676" w:type="dxa"/>
            <w:noWrap w:val="0"/>
            <w:vAlign w:val="center"/>
          </w:tcPr>
          <w:p>
            <w:pPr>
              <w:bidi w:val="0"/>
              <w:rPr>
                <w:rFonts w:hint="eastAsia"/>
                <w:lang w:eastAsia="zh-CN"/>
              </w:rPr>
            </w:pPr>
            <w:r>
              <w:rPr>
                <w:rFonts w:hint="eastAsia"/>
              </w:rPr>
              <w:t>项目组成员</w:t>
            </w:r>
            <w:r>
              <w:rPr>
                <w:rFonts w:hint="eastAsia"/>
                <w:lang w:val="en-US" w:eastAsia="zh-CN"/>
              </w:rPr>
              <w:t>具有系统集成项目管理师，网络工程师</w:t>
            </w:r>
            <w:r>
              <w:rPr>
                <w:rFonts w:hint="eastAsia"/>
                <w:lang w:val="zh-CN"/>
              </w:rPr>
              <w:t>，</w:t>
            </w:r>
            <w:r>
              <w:rPr>
                <w:rFonts w:hint="eastAsia"/>
                <w:lang w:val="en-US" w:eastAsia="zh-CN"/>
              </w:rPr>
              <w:t>每具有一本证书得1分，最高得2分。</w:t>
            </w:r>
          </w:p>
          <w:p>
            <w:pPr>
              <w:bidi w:val="0"/>
              <w:rPr>
                <w:rFonts w:hint="default" w:eastAsia="宋体"/>
                <w:lang w:val="en-US" w:eastAsia="zh-CN"/>
              </w:rPr>
            </w:pPr>
            <w:r>
              <w:rPr>
                <w:rFonts w:hint="eastAsia"/>
                <w:lang w:val="en-US" w:eastAsia="zh-CN"/>
              </w:rPr>
              <w:t>注：</w:t>
            </w:r>
            <w:r>
              <w:rPr>
                <w:rFonts w:hint="eastAsia"/>
              </w:rPr>
              <w:t>一人有多</w:t>
            </w:r>
            <w:r>
              <w:rPr>
                <w:rFonts w:hint="eastAsia"/>
                <w:lang w:val="en-US" w:eastAsia="zh-CN"/>
              </w:rPr>
              <w:t>本</w:t>
            </w:r>
            <w:r>
              <w:rPr>
                <w:rFonts w:hint="eastAsia"/>
              </w:rPr>
              <w:t>证书的，只按一本得分</w:t>
            </w:r>
            <w:r>
              <w:rPr>
                <w:rFonts w:hint="eastAsia"/>
                <w:lang w:eastAsia="zh-CN"/>
              </w:rPr>
              <w:t>；</w:t>
            </w:r>
            <w:r>
              <w:rPr>
                <w:rFonts w:hint="eastAsia"/>
                <w:lang w:val="en-US" w:eastAsia="zh-CN"/>
              </w:rPr>
              <w:t>多人同一本证书，只按一本得分。</w:t>
            </w:r>
          </w:p>
          <w:p>
            <w:pPr>
              <w:bidi w:val="0"/>
              <w:rPr>
                <w:rFonts w:ascii="宋体" w:hAnsi="宋体" w:cs="宋体"/>
                <w:bCs/>
                <w:color w:val="auto"/>
                <w:sz w:val="21"/>
                <w:szCs w:val="21"/>
                <w:highlight w:val="yellow"/>
                <w:lang w:val="zh-CN"/>
              </w:rPr>
            </w:pPr>
            <w:r>
              <w:rPr>
                <w:rFonts w:hint="eastAsia"/>
                <w:lang w:val="zh-CN"/>
              </w:rPr>
              <w:t>（需提供人员相关资质证书原件扫描件及</w:t>
            </w:r>
            <w:r>
              <w:rPr>
                <w:rFonts w:hint="eastAsia"/>
                <w:lang w:val="en-US" w:eastAsia="zh-CN"/>
              </w:rPr>
              <w:t>三</w:t>
            </w:r>
            <w:r>
              <w:rPr>
                <w:rFonts w:hint="eastAsia"/>
                <w:lang w:val="zh-CN"/>
              </w:rPr>
              <w:t>个月内</w:t>
            </w:r>
            <w:r>
              <w:rPr>
                <w:rFonts w:hint="eastAsia"/>
                <w:lang w:val="en-US" w:eastAsia="zh-CN"/>
              </w:rPr>
              <w:t>其中一个月</w:t>
            </w:r>
            <w:r>
              <w:rPr>
                <w:rFonts w:hint="eastAsia"/>
                <w:lang w:val="zh-CN"/>
              </w:rPr>
              <w:t>的社保证明做入标书，加盖电子印章）</w:t>
            </w:r>
          </w:p>
        </w:tc>
        <w:tc>
          <w:tcPr>
            <w:tcW w:w="847" w:type="dxa"/>
            <w:noWrap w:val="0"/>
            <w:vAlign w:val="center"/>
          </w:tcPr>
          <w:p>
            <w:pPr>
              <w:bidi w:val="0"/>
              <w:rPr>
                <w:rFonts w:hint="eastAsia" w:ascii="宋体" w:hAnsi="宋体" w:eastAsia="宋体" w:cs="宋体"/>
                <w:bCs/>
                <w:color w:val="auto"/>
                <w:sz w:val="21"/>
                <w:szCs w:val="21"/>
                <w:highlight w:val="yellow"/>
                <w:lang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shd w:val="clear" w:color="auto" w:fill="auto"/>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10</w:t>
            </w:r>
          </w:p>
        </w:tc>
        <w:tc>
          <w:tcPr>
            <w:tcW w:w="7676" w:type="dxa"/>
            <w:shd w:val="clear" w:color="auto" w:fill="FFFFFF"/>
            <w:noWrap w:val="0"/>
            <w:vAlign w:val="center"/>
          </w:tcPr>
          <w:p>
            <w:pPr>
              <w:bidi w:val="0"/>
              <w:rPr>
                <w:rFonts w:hint="eastAsia"/>
                <w:lang w:val="en-US" w:eastAsia="zh-CN"/>
              </w:rPr>
            </w:pPr>
            <w:r>
              <w:rPr>
                <w:rFonts w:hint="eastAsia"/>
                <w:lang w:val="en-US" w:eastAsia="zh-CN"/>
              </w:rPr>
              <w:t>投标人具有有效的基础电信业务经营许可证的得3分；</w:t>
            </w:r>
          </w:p>
          <w:p>
            <w:pPr>
              <w:bidi w:val="0"/>
              <w:rPr>
                <w:rFonts w:hint="eastAsia"/>
                <w:lang w:val="en-US" w:eastAsia="zh-CN"/>
              </w:rPr>
            </w:pPr>
            <w:r>
              <w:rPr>
                <w:rFonts w:hint="eastAsia"/>
                <w:lang w:val="en-US" w:eastAsia="zh-CN"/>
              </w:rPr>
              <w:t>投标人具有有效的信息安全等级保护三级（政务云相关）及以上证明的得3分；</w:t>
            </w:r>
          </w:p>
          <w:p>
            <w:pPr>
              <w:bidi w:val="0"/>
              <w:rPr>
                <w:rFonts w:hint="eastAsia"/>
                <w:lang w:val="en-US" w:eastAsia="zh-CN"/>
              </w:rPr>
            </w:pPr>
            <w:r>
              <w:rPr>
                <w:rFonts w:hint="eastAsia"/>
                <w:lang w:val="en-US" w:eastAsia="zh-CN"/>
              </w:rPr>
              <w:t>投标人具有</w:t>
            </w:r>
            <w:r>
              <w:rPr>
                <w:rFonts w:hint="eastAsia"/>
              </w:rPr>
              <w:t>隐私管理体系认证</w:t>
            </w:r>
            <w:r>
              <w:rPr>
                <w:rFonts w:hint="eastAsia"/>
                <w:lang w:val="en-US" w:eastAsia="zh-CN"/>
              </w:rPr>
              <w:t>证书，数据存储安全管理体系认证证书，能源管理体系认证证书，信息技术服务管理体系认证证书，每个证书得1分，最高得4分</w:t>
            </w:r>
          </w:p>
          <w:p>
            <w:pPr>
              <w:bidi w:val="0"/>
              <w:rPr>
                <w:rFonts w:ascii="宋体" w:hAnsi="宋体" w:cs="宋体"/>
                <w:bCs/>
                <w:color w:val="auto"/>
                <w:sz w:val="21"/>
                <w:szCs w:val="21"/>
                <w:highlight w:val="yellow"/>
              </w:rPr>
            </w:pPr>
            <w:r>
              <w:rPr>
                <w:rFonts w:hint="eastAsia"/>
                <w:lang w:val="zh-CN"/>
              </w:rPr>
              <w:t>（</w:t>
            </w:r>
            <w:r>
              <w:rPr>
                <w:rFonts w:hint="eastAsia"/>
                <w:lang w:val="en-US" w:eastAsia="zh-CN"/>
              </w:rPr>
              <w:t>体系认证需提供</w:t>
            </w:r>
            <w:r>
              <w:rPr>
                <w:rFonts w:hint="eastAsia"/>
                <w:lang w:val="zh-CN"/>
              </w:rPr>
              <w:t>国家认证认可监督管理委员会官方网站上相关证书有效的网页截图或网站打印页，否则不得分；</w:t>
            </w:r>
            <w:r>
              <w:rPr>
                <w:rFonts w:hint="eastAsia"/>
                <w:lang w:val="en-US" w:eastAsia="zh-CN"/>
              </w:rPr>
              <w:t>其他资质证书提供扫描件加盖公章。</w:t>
            </w:r>
            <w:r>
              <w:rPr>
                <w:rFonts w:hint="eastAsia"/>
                <w:lang w:val="zh-CN"/>
              </w:rPr>
              <w:t>）</w:t>
            </w:r>
          </w:p>
        </w:tc>
        <w:tc>
          <w:tcPr>
            <w:tcW w:w="847" w:type="dxa"/>
            <w:shd w:val="clear" w:color="auto" w:fill="FFFFFF"/>
            <w:noWrap w:val="0"/>
            <w:vAlign w:val="center"/>
          </w:tcPr>
          <w:p>
            <w:pPr>
              <w:bidi w:val="0"/>
              <w:rPr>
                <w:rFonts w:hint="default" w:ascii="宋体" w:hAnsi="宋体" w:eastAsia="宋体" w:cs="宋体"/>
                <w:bCs/>
                <w:color w:val="auto"/>
                <w:sz w:val="21"/>
                <w:szCs w:val="21"/>
                <w:highlight w:val="yellow"/>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shd w:val="clear" w:color="auto" w:fill="auto"/>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11</w:t>
            </w:r>
          </w:p>
        </w:tc>
        <w:tc>
          <w:tcPr>
            <w:tcW w:w="7676" w:type="dxa"/>
            <w:shd w:val="clear" w:color="auto" w:fill="FFFFFF"/>
            <w:noWrap w:val="0"/>
            <w:vAlign w:val="center"/>
          </w:tcPr>
          <w:p>
            <w:pPr>
              <w:bidi w:val="0"/>
              <w:rPr>
                <w:rFonts w:hint="eastAsia"/>
                <w:lang w:val="zh-CN"/>
              </w:rPr>
            </w:pPr>
            <w:r>
              <w:rPr>
                <w:rFonts w:hint="eastAsia"/>
                <w:lang w:val="zh-CN"/>
              </w:rPr>
              <w:t>成功案例及业绩：</w:t>
            </w:r>
          </w:p>
          <w:p>
            <w:pPr>
              <w:bidi w:val="0"/>
              <w:rPr>
                <w:rFonts w:ascii="宋体" w:hAnsi="宋体" w:cs="宋体"/>
                <w:bCs/>
                <w:color w:val="auto"/>
                <w:sz w:val="21"/>
                <w:szCs w:val="21"/>
                <w:highlight w:val="none"/>
              </w:rPr>
            </w:pPr>
            <w:r>
              <w:rPr>
                <w:rFonts w:hint="eastAsia"/>
                <w:lang w:val="zh-CN"/>
              </w:rPr>
              <w:t>投标人自20</w:t>
            </w:r>
            <w:r>
              <w:rPr>
                <w:rFonts w:hint="eastAsia"/>
              </w:rPr>
              <w:t>2</w:t>
            </w:r>
            <w:r>
              <w:rPr>
                <w:rFonts w:hint="eastAsia"/>
                <w:lang w:val="en-US" w:eastAsia="zh-CN"/>
              </w:rPr>
              <w:t>1</w:t>
            </w:r>
            <w:r>
              <w:rPr>
                <w:rFonts w:hint="eastAsia"/>
                <w:lang w:val="zh-CN"/>
              </w:rPr>
              <w:t>年</w:t>
            </w:r>
            <w:r>
              <w:rPr>
                <w:rFonts w:hint="eastAsia"/>
                <w:lang w:val="en-US" w:eastAsia="zh-CN"/>
              </w:rPr>
              <w:t>1</w:t>
            </w:r>
            <w:r>
              <w:rPr>
                <w:rFonts w:hint="eastAsia"/>
                <w:lang w:val="zh-CN"/>
              </w:rPr>
              <w:t>月</w:t>
            </w:r>
            <w:r>
              <w:rPr>
                <w:rFonts w:hint="eastAsia"/>
              </w:rPr>
              <w:t>1日</w:t>
            </w:r>
            <w:r>
              <w:rPr>
                <w:rFonts w:hint="eastAsia"/>
                <w:lang w:val="zh-CN"/>
              </w:rPr>
              <w:t>以来</w:t>
            </w:r>
            <w:r>
              <w:rPr>
                <w:rFonts w:hint="eastAsia"/>
              </w:rPr>
              <w:t>类似</w:t>
            </w:r>
            <w:r>
              <w:rPr>
                <w:rFonts w:hint="eastAsia"/>
                <w:lang w:val="zh-CN"/>
              </w:rPr>
              <w:t>项目成功案例，每个得</w:t>
            </w:r>
            <w:r>
              <w:rPr>
                <w:rFonts w:hint="eastAsia"/>
                <w:lang w:val="en-US" w:eastAsia="zh-CN"/>
              </w:rPr>
              <w:t>1</w:t>
            </w:r>
            <w:r>
              <w:rPr>
                <w:rFonts w:hint="eastAsia"/>
                <w:lang w:val="zh-CN"/>
              </w:rPr>
              <w:t>分，最高得</w:t>
            </w:r>
            <w:r>
              <w:rPr>
                <w:rFonts w:hint="eastAsia"/>
              </w:rPr>
              <w:t>1</w:t>
            </w:r>
            <w:r>
              <w:rPr>
                <w:rFonts w:hint="eastAsia"/>
                <w:lang w:val="zh-CN"/>
              </w:rPr>
              <w:t>分。（以签订时间为准，提供提供证书原件扫描件并加盖电子印章，未提供不得分。）</w:t>
            </w:r>
          </w:p>
        </w:tc>
        <w:tc>
          <w:tcPr>
            <w:tcW w:w="847" w:type="dxa"/>
            <w:shd w:val="clear" w:color="auto" w:fill="FFFFFF"/>
            <w:noWrap w:val="0"/>
            <w:vAlign w:val="center"/>
          </w:tcPr>
          <w:p>
            <w:pPr>
              <w:bidi w:val="0"/>
              <w:rPr>
                <w:rFonts w:ascii="宋体" w:hAnsi="宋体" w:cs="宋体"/>
                <w:bCs/>
                <w:color w:val="auto"/>
                <w:sz w:val="21"/>
                <w:szCs w:val="21"/>
                <w:highlight w:val="none"/>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bidi w:val="0"/>
              <w:rPr>
                <w:rFonts w:hint="default" w:ascii="宋体" w:hAnsi="宋体" w:eastAsia="宋体" w:cs="宋体"/>
                <w:bCs/>
                <w:color w:val="auto"/>
                <w:sz w:val="21"/>
                <w:szCs w:val="21"/>
                <w:highlight w:val="none"/>
                <w:lang w:val="en-US" w:eastAsia="zh-CN"/>
              </w:rPr>
            </w:pPr>
            <w:r>
              <w:rPr>
                <w:rFonts w:hint="eastAsia"/>
                <w:lang w:val="en-US" w:eastAsia="zh-CN"/>
              </w:rPr>
              <w:t>12</w:t>
            </w:r>
          </w:p>
        </w:tc>
        <w:tc>
          <w:tcPr>
            <w:tcW w:w="7676" w:type="dxa"/>
            <w:noWrap w:val="0"/>
            <w:vAlign w:val="center"/>
          </w:tcPr>
          <w:p>
            <w:pPr>
              <w:bidi w:val="0"/>
              <w:rPr>
                <w:rFonts w:hint="eastAsia"/>
                <w:lang w:val="zh-CN"/>
              </w:rPr>
            </w:pPr>
            <w:r>
              <w:rPr>
                <w:rFonts w:hint="eastAsia"/>
                <w:lang w:val="zh-CN"/>
              </w:rPr>
              <w:t>据本服务响应时间、专业技术力量、</w:t>
            </w:r>
            <w:r>
              <w:rPr>
                <w:rFonts w:hint="eastAsia"/>
              </w:rPr>
              <w:t>运营服务人员绩效考核响应</w:t>
            </w:r>
            <w:r>
              <w:rPr>
                <w:rFonts w:hint="eastAsia"/>
                <w:lang w:eastAsia="zh-CN"/>
              </w:rPr>
              <w:t>、</w:t>
            </w:r>
            <w:r>
              <w:rPr>
                <w:rFonts w:hint="eastAsia"/>
                <w:lang w:val="en-US" w:eastAsia="zh-CN"/>
              </w:rPr>
              <w:t>培训方案</w:t>
            </w:r>
            <w:r>
              <w:rPr>
                <w:rFonts w:hint="eastAsia"/>
                <w:lang w:val="zh-CN"/>
              </w:rPr>
              <w:t>等方面综合评价。</w:t>
            </w:r>
          </w:p>
          <w:p>
            <w:pPr>
              <w:bidi w:val="0"/>
              <w:rPr>
                <w:rFonts w:hint="eastAsia"/>
                <w:lang w:val="zh-CN"/>
              </w:rPr>
            </w:pPr>
            <w:r>
              <w:rPr>
                <w:rFonts w:hint="eastAsia"/>
                <w:lang w:val="zh-CN"/>
              </w:rPr>
              <w:t>方案描述清晰，针对性强，内容详细，且确实可行的得</w:t>
            </w:r>
            <w:r>
              <w:rPr>
                <w:rFonts w:hint="eastAsia"/>
                <w:lang w:val="en-US" w:eastAsia="zh-CN"/>
              </w:rPr>
              <w:t>3</w:t>
            </w:r>
            <w:r>
              <w:rPr>
                <w:rFonts w:hint="eastAsia"/>
                <w:lang w:val="zh-CN"/>
              </w:rPr>
              <w:t>-</w:t>
            </w:r>
            <w:r>
              <w:rPr>
                <w:rFonts w:hint="eastAsia"/>
                <w:lang w:val="en-US" w:eastAsia="zh-CN"/>
              </w:rPr>
              <w:t>2.1</w:t>
            </w:r>
            <w:r>
              <w:rPr>
                <w:rFonts w:hint="eastAsia"/>
                <w:lang w:val="zh-CN"/>
              </w:rPr>
              <w:t>分；</w:t>
            </w:r>
          </w:p>
          <w:p>
            <w:pPr>
              <w:bidi w:val="0"/>
              <w:rPr>
                <w:rFonts w:hint="eastAsia"/>
                <w:lang w:val="zh-CN"/>
              </w:rPr>
            </w:pPr>
            <w:r>
              <w:rPr>
                <w:rFonts w:hint="eastAsia"/>
                <w:lang w:val="zh-CN"/>
              </w:rPr>
              <w:t>方案描述基本清晰，内容比较齐全，但过于空泛，可行性不强的得</w:t>
            </w:r>
            <w:r>
              <w:rPr>
                <w:rFonts w:hint="eastAsia"/>
                <w:lang w:val="en-US" w:eastAsia="zh-CN"/>
              </w:rPr>
              <w:t>2</w:t>
            </w:r>
            <w:r>
              <w:rPr>
                <w:rFonts w:hint="eastAsia"/>
                <w:lang w:val="zh-CN"/>
              </w:rPr>
              <w:t>-</w:t>
            </w:r>
            <w:r>
              <w:rPr>
                <w:rFonts w:hint="eastAsia"/>
                <w:lang w:val="en-US" w:eastAsia="zh-CN"/>
              </w:rPr>
              <w:t>1.1</w:t>
            </w:r>
            <w:r>
              <w:rPr>
                <w:rFonts w:hint="eastAsia"/>
                <w:lang w:val="zh-CN"/>
              </w:rPr>
              <w:t>分；方案有缺失，内容简单，思路不清晰的得</w:t>
            </w:r>
            <w:r>
              <w:rPr>
                <w:rFonts w:hint="eastAsia"/>
                <w:lang w:val="en-US" w:eastAsia="zh-CN"/>
              </w:rPr>
              <w:t>1</w:t>
            </w:r>
            <w:r>
              <w:rPr>
                <w:rFonts w:hint="eastAsia"/>
                <w:lang w:val="zh-CN"/>
              </w:rPr>
              <w:t>-0分。</w:t>
            </w:r>
          </w:p>
          <w:p>
            <w:pPr>
              <w:pStyle w:val="2"/>
              <w:rPr>
                <w:rFonts w:ascii="宋体" w:hAnsi="宋体" w:cs="宋体"/>
                <w:bCs/>
                <w:color w:val="auto"/>
                <w:sz w:val="21"/>
                <w:szCs w:val="21"/>
                <w:highlight w:val="none"/>
                <w:lang w:val="zh-CN"/>
              </w:rPr>
            </w:pPr>
            <w:r>
              <w:rPr>
                <w:rFonts w:hint="eastAsia"/>
                <w:lang w:val="en-US" w:eastAsia="zh-CN"/>
              </w:rPr>
              <w:t>不提供不得分</w:t>
            </w:r>
          </w:p>
        </w:tc>
        <w:tc>
          <w:tcPr>
            <w:tcW w:w="847" w:type="dxa"/>
            <w:noWrap w:val="0"/>
            <w:vAlign w:val="center"/>
          </w:tcPr>
          <w:p>
            <w:pPr>
              <w:bidi w:val="0"/>
              <w:rPr>
                <w:rFonts w:hint="eastAsia" w:ascii="宋体" w:hAnsi="宋体" w:eastAsia="宋体" w:cs="宋体"/>
                <w:bCs/>
                <w:color w:val="auto"/>
                <w:sz w:val="21"/>
                <w:szCs w:val="21"/>
                <w:highlight w:val="none"/>
                <w:lang w:val="zh-CN" w:eastAsia="zh-CN"/>
              </w:rPr>
            </w:pPr>
            <w:r>
              <w:rPr>
                <w:rFonts w:hint="eastAsia"/>
                <w:lang w:val="en-US" w:eastAsia="zh-CN"/>
              </w:rPr>
              <w:t>3</w:t>
            </w:r>
          </w:p>
        </w:tc>
      </w:tr>
    </w:tbl>
    <w:p>
      <w:pPr>
        <w:pStyle w:val="3"/>
        <w:ind w:firstLine="0" w:firstLineChars="0"/>
      </w:pPr>
    </w:p>
    <w:p>
      <w:pPr>
        <w:spacing w:line="360" w:lineRule="auto"/>
      </w:pPr>
      <w:r>
        <w:rPr>
          <w:rFonts w:hint="eastAsia"/>
          <w:b/>
          <w:bCs/>
        </w:rPr>
        <w:t>注</w:t>
      </w:r>
      <w:r>
        <w:rPr>
          <w:rFonts w:hint="eastAsia"/>
        </w:rPr>
        <w:t>：①请扫描上传合同、证书、报告及其他相关证明材料的原件至投标文件，并加盖公章。</w:t>
      </w:r>
    </w:p>
    <w:p>
      <w:pPr>
        <w:spacing w:line="360" w:lineRule="auto"/>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2、商务标（20分）</w:t>
      </w:r>
    </w:p>
    <w:p>
      <w:pPr>
        <w:spacing w:line="360" w:lineRule="auto"/>
        <w:ind w:firstLine="480" w:firstLineChars="200"/>
        <w:rPr>
          <w:rFonts w:hint="eastAsia" w:ascii="宋体" w:hAnsi="宋体" w:cs="宋体"/>
          <w:sz w:val="24"/>
        </w:rPr>
      </w:pPr>
      <w:r>
        <w:rPr>
          <w:rFonts w:hint="eastAsia" w:ascii="宋体" w:hAnsi="宋体" w:cs="宋体"/>
          <w:sz w:val="24"/>
        </w:rPr>
        <w:t>取所有有效报价的</w:t>
      </w:r>
      <w:r>
        <w:rPr>
          <w:rFonts w:hint="eastAsia" w:ascii="宋体" w:hAnsi="宋体" w:cs="宋体"/>
          <w:sz w:val="24"/>
          <w:lang w:val="en-US" w:eastAsia="zh-CN"/>
        </w:rPr>
        <w:t>最低价</w:t>
      </w:r>
      <w:r>
        <w:rPr>
          <w:rFonts w:hint="eastAsia" w:ascii="宋体" w:hAnsi="宋体" w:cs="宋体"/>
          <w:sz w:val="24"/>
        </w:rPr>
        <w:t>作为评标基准价;</w:t>
      </w:r>
    </w:p>
    <w:p>
      <w:pPr>
        <w:spacing w:line="360" w:lineRule="auto"/>
        <w:ind w:firstLine="480" w:firstLineChars="200"/>
        <w:rPr>
          <w:rFonts w:hint="eastAsia" w:ascii="宋体" w:hAnsi="宋体" w:cs="宋体"/>
          <w:sz w:val="24"/>
        </w:rPr>
      </w:pPr>
      <w:r>
        <w:rPr>
          <w:rFonts w:hint="eastAsia" w:ascii="宋体" w:hAnsi="宋体" w:cs="宋体"/>
          <w:sz w:val="24"/>
        </w:rPr>
        <w:t>1）有效投标供应商的投标价等于评标基准价时，其商务报价评分值为满分</w:t>
      </w:r>
      <w:r>
        <w:rPr>
          <w:rFonts w:hint="eastAsia" w:ascii="宋体" w:hAnsi="宋体" w:cs="宋体"/>
          <w:sz w:val="24"/>
          <w:lang w:val="en-US" w:eastAsia="zh-CN"/>
        </w:rPr>
        <w:t>20</w:t>
      </w:r>
      <w:r>
        <w:rPr>
          <w:rFonts w:hint="eastAsia" w:ascii="宋体" w:hAnsi="宋体" w:cs="宋体"/>
          <w:sz w:val="24"/>
        </w:rPr>
        <w:t>分；</w:t>
      </w:r>
    </w:p>
    <w:p>
      <w:pPr>
        <w:spacing w:line="360" w:lineRule="auto"/>
        <w:ind w:firstLine="480" w:firstLineChars="200"/>
        <w:rPr>
          <w:rFonts w:hint="eastAsia" w:ascii="宋体" w:hAnsi="宋体" w:cs="宋体"/>
          <w:sz w:val="24"/>
        </w:rPr>
      </w:pPr>
      <w:r>
        <w:rPr>
          <w:rFonts w:hint="eastAsia" w:ascii="宋体" w:hAnsi="宋体" w:cs="宋体"/>
          <w:sz w:val="24"/>
        </w:rPr>
        <w:t>2）其他投标供应商的价格分按以下公式计算：</w:t>
      </w:r>
    </w:p>
    <w:p>
      <w:pPr>
        <w:spacing w:line="360" w:lineRule="auto"/>
        <w:ind w:firstLine="480" w:firstLineChars="200"/>
        <w:rPr>
          <w:rFonts w:hint="eastAsia" w:ascii="宋体" w:hAnsi="宋体" w:cs="宋体"/>
          <w:sz w:val="24"/>
        </w:rPr>
      </w:pPr>
      <w:r>
        <w:rPr>
          <w:rFonts w:hint="eastAsia" w:ascii="宋体" w:hAnsi="宋体" w:cs="宋体"/>
          <w:sz w:val="24"/>
        </w:rPr>
        <w:t>评标价格＝（评标基准价/投标报价）×</w:t>
      </w:r>
      <w:r>
        <w:rPr>
          <w:rFonts w:hint="eastAsia" w:ascii="宋体" w:hAnsi="宋体" w:cs="宋体"/>
          <w:sz w:val="24"/>
          <w:lang w:val="en-US" w:eastAsia="zh-CN"/>
        </w:rPr>
        <w:t>2</w:t>
      </w:r>
      <w:r>
        <w:rPr>
          <w:rFonts w:hint="eastAsia" w:ascii="宋体" w:hAnsi="宋体" w:cs="宋体"/>
          <w:sz w:val="24"/>
        </w:rPr>
        <w:t>0%×100</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val="en-US" w:eastAsia="zh-CN"/>
        </w:rPr>
        <w:t>3</w:t>
      </w:r>
      <w:r>
        <w:rPr>
          <w:rFonts w:hint="eastAsia" w:asciiTheme="minorEastAsia" w:hAnsiTheme="minorEastAsia" w:eastAsiaTheme="minorEastAsia"/>
          <w:b/>
          <w:sz w:val="24"/>
        </w:rPr>
        <w:t>.评审要求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2" w:firstLineChars="200"/>
        <w:rPr>
          <w:rFonts w:ascii="宋体" w:hAnsi="宋体" w:cs="宋体"/>
          <w:b/>
          <w:bCs/>
          <w:sz w:val="24"/>
        </w:rPr>
      </w:pPr>
      <w:r>
        <w:rPr>
          <w:rFonts w:hint="eastAsia" w:ascii="宋体" w:hAnsi="宋体" w:cs="宋体"/>
          <w:b/>
          <w:bCs/>
          <w:sz w:val="24"/>
        </w:rPr>
        <w:t>（2）对于投标文件报价出现前后不一致的，除招标文件另有规定外，按照下列规定修正：</w:t>
      </w:r>
    </w:p>
    <w:p>
      <w:pPr>
        <w:spacing w:line="360" w:lineRule="auto"/>
        <w:ind w:firstLine="482" w:firstLineChars="200"/>
        <w:rPr>
          <w:rFonts w:ascii="宋体" w:hAnsi="宋体" w:cs="宋体"/>
          <w:b/>
          <w:bCs/>
          <w:sz w:val="24"/>
        </w:rPr>
      </w:pPr>
      <w:r>
        <w:rPr>
          <w:rFonts w:hint="eastAsia" w:ascii="宋体" w:hAnsi="宋体" w:cs="宋体"/>
          <w:b/>
          <w:bCs/>
          <w:sz w:val="24"/>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②投标文件中开标一览表（报价表）内容与投标文件中相应内容不一致的，以开标一览表（报价表）为准；</w:t>
      </w:r>
    </w:p>
    <w:p>
      <w:pPr>
        <w:spacing w:line="360" w:lineRule="auto"/>
        <w:ind w:firstLine="482" w:firstLineChars="200"/>
        <w:rPr>
          <w:rFonts w:ascii="宋体" w:hAnsi="宋体" w:cs="宋体"/>
          <w:b/>
          <w:bCs/>
          <w:sz w:val="24"/>
        </w:rPr>
      </w:pPr>
      <w:r>
        <w:rPr>
          <w:rFonts w:hint="eastAsia" w:ascii="宋体" w:hAnsi="宋体" w:cs="宋体"/>
          <w:b/>
          <w:bCs/>
          <w:sz w:val="24"/>
        </w:rPr>
        <w:t>③大写金额和小写金额不一致的，以大写金额为准。</w:t>
      </w:r>
    </w:p>
    <w:p>
      <w:pPr>
        <w:spacing w:line="360" w:lineRule="auto"/>
        <w:ind w:firstLine="482" w:firstLineChars="200"/>
        <w:rPr>
          <w:rFonts w:ascii="宋体" w:hAnsi="宋体" w:cs="宋体"/>
          <w:b/>
          <w:bCs/>
          <w:sz w:val="24"/>
        </w:rPr>
      </w:pPr>
      <w:r>
        <w:rPr>
          <w:rFonts w:hint="eastAsia" w:ascii="宋体" w:hAnsi="宋体" w:cs="宋体"/>
          <w:b/>
          <w:bCs/>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投标文件满足招标文件全部实质性要求，且按照评审因素的量化指标评审得分最高的投标人为排名第一的为第一中标候选人，排名第二的为第二中标后选人。</w:t>
      </w:r>
      <w:r>
        <w:rPr>
          <w:rFonts w:hint="eastAsia" w:ascii="宋体" w:hAnsi="宋体"/>
          <w:bCs/>
          <w:sz w:val="24"/>
        </w:rPr>
        <w:t>若出现总得分相同时，按技术标得分由高到低顺序排列；若以上均相同的，则抽签确定。</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rPr>
          <w:rFonts w:hint="eastAsia" w:ascii="宋体" w:hAnsi="宋体" w:cs="宋体"/>
          <w:sz w:val="24"/>
        </w:rPr>
      </w:pPr>
      <w:r>
        <w:rPr>
          <w:rFonts w:hint="eastAsia" w:ascii="宋体" w:hAnsi="宋体" w:cs="宋体"/>
          <w:sz w:val="24"/>
        </w:rPr>
        <w:t>评标委员会根据全体评标成员签字的原始评标记录和评标结果编写评标报告。</w:t>
      </w:r>
    </w:p>
    <w:p>
      <w:pPr>
        <w:pStyle w:val="13"/>
        <w:numPr>
          <w:ilvl w:val="0"/>
          <w:numId w:val="0"/>
        </w:numPr>
      </w:pPr>
    </w:p>
    <w:p>
      <w:pPr>
        <w:numPr>
          <w:ilvl w:val="0"/>
          <w:numId w:val="0"/>
        </w:numPr>
        <w:spacing w:line="360" w:lineRule="auto"/>
        <w:jc w:val="both"/>
        <w:rPr>
          <w:rFonts w:asciiTheme="minorEastAsia" w:hAnsiTheme="minorEastAsia" w:eastAsiaTheme="minorEastAsia"/>
          <w:b/>
          <w:sz w:val="36"/>
          <w:szCs w:val="36"/>
        </w:rPr>
      </w:pPr>
    </w:p>
    <w:p>
      <w:pPr>
        <w:pStyle w:val="13"/>
        <w:numPr>
          <w:ilvl w:val="0"/>
          <w:numId w:val="0"/>
        </w:numPr>
        <w:ind w:left="420" w:leftChars="0"/>
      </w:pPr>
    </w:p>
    <w:p>
      <w:pPr>
        <w:pStyle w:val="10"/>
      </w:pPr>
    </w:p>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拟签订的合同文本</w:t>
      </w:r>
    </w:p>
    <w:p>
      <w:pPr>
        <w:jc w:val="center"/>
        <w:rPr>
          <w:rFonts w:hint="eastAsia"/>
          <w:b/>
          <w:bCs/>
          <w:sz w:val="52"/>
          <w:szCs w:val="52"/>
        </w:rPr>
      </w:pPr>
      <w:r>
        <w:rPr>
          <w:rFonts w:hint="eastAsia"/>
          <w:b/>
          <w:bCs/>
          <w:sz w:val="52"/>
          <w:szCs w:val="52"/>
        </w:rPr>
        <w:t>台州“飞安行”低空飞行管控服务平台</w:t>
      </w:r>
    </w:p>
    <w:p>
      <w:pPr>
        <w:jc w:val="center"/>
        <w:rPr>
          <w:b/>
          <w:bCs/>
          <w:sz w:val="52"/>
          <w:szCs w:val="52"/>
        </w:rPr>
      </w:pPr>
      <w:r>
        <w:rPr>
          <w:rFonts w:hint="eastAsia"/>
          <w:b/>
          <w:bCs/>
          <w:sz w:val="52"/>
          <w:szCs w:val="52"/>
        </w:rPr>
        <w:t>合同</w:t>
      </w:r>
    </w:p>
    <w:p>
      <w:pPr>
        <w:rPr>
          <w:b/>
          <w:bCs/>
        </w:rPr>
      </w:pPr>
    </w:p>
    <w:p>
      <w:pPr>
        <w:rPr>
          <w:b/>
          <w:bCs/>
        </w:rPr>
      </w:pPr>
    </w:p>
    <w:p>
      <w:pPr>
        <w:rPr>
          <w:b/>
          <w:bCs/>
        </w:rPr>
      </w:pPr>
    </w:p>
    <w:p>
      <w:pPr>
        <w:rPr>
          <w:b/>
          <w:bCs/>
        </w:rPr>
      </w:pPr>
    </w:p>
    <w:p>
      <w:pPr>
        <w:rPr>
          <w:b/>
          <w:bCs/>
        </w:rPr>
      </w:pPr>
    </w:p>
    <w:p>
      <w:pPr>
        <w:rPr>
          <w:b/>
          <w:bCs/>
        </w:rPr>
      </w:pPr>
    </w:p>
    <w:p>
      <w:pPr>
        <w:rPr>
          <w:b/>
          <w:bCs/>
        </w:rPr>
      </w:pPr>
    </w:p>
    <w:p>
      <w:pPr>
        <w:rPr>
          <w:b/>
          <w:bCs/>
          <w:sz w:val="30"/>
          <w:szCs w:val="30"/>
        </w:rPr>
      </w:pPr>
    </w:p>
    <w:p>
      <w:pPr>
        <w:ind w:firstLine="1807" w:firstLineChars="600"/>
        <w:rPr>
          <w:b/>
          <w:bCs/>
          <w:sz w:val="30"/>
          <w:szCs w:val="30"/>
        </w:rPr>
      </w:pPr>
    </w:p>
    <w:p>
      <w:pPr>
        <w:ind w:firstLine="1807" w:firstLineChars="600"/>
        <w:rPr>
          <w:b/>
          <w:bCs/>
          <w:sz w:val="30"/>
          <w:szCs w:val="30"/>
        </w:rPr>
      </w:pPr>
    </w:p>
    <w:p>
      <w:pPr>
        <w:ind w:firstLine="1807" w:firstLineChars="600"/>
        <w:rPr>
          <w:b/>
          <w:bCs/>
          <w:sz w:val="30"/>
          <w:szCs w:val="30"/>
        </w:rPr>
      </w:pPr>
    </w:p>
    <w:p>
      <w:pPr>
        <w:widowControl/>
        <w:snapToGrid w:val="0"/>
        <w:spacing w:before="100" w:beforeAutospacing="1" w:after="100" w:afterAutospacing="1" w:line="320" w:lineRule="atLeast"/>
        <w:ind w:firstLine="420" w:firstLineChars="150"/>
        <w:jc w:val="left"/>
        <w:rPr>
          <w:rFonts w:hint="eastAsia" w:ascii="宋体" w:hAnsi="宋体" w:cs="宋体"/>
          <w:kern w:val="0"/>
          <w:sz w:val="28"/>
          <w:szCs w:val="28"/>
          <w:u w:val="single"/>
        </w:rPr>
      </w:pPr>
      <w:r>
        <w:rPr>
          <w:rFonts w:hint="eastAsia" w:ascii="宋体" w:hAnsi="宋体" w:cs="宋体"/>
          <w:kern w:val="0"/>
          <w:sz w:val="28"/>
          <w:szCs w:val="28"/>
        </w:rPr>
        <w:t>项  目 名  称：</w:t>
      </w:r>
      <w:r>
        <w:rPr>
          <w:rFonts w:hint="eastAsia" w:ascii="宋体" w:hAnsi="宋体" w:cs="宋体"/>
          <w:kern w:val="0"/>
          <w:sz w:val="28"/>
          <w:szCs w:val="28"/>
          <w:u w:val="single"/>
        </w:rPr>
        <w:t>台州“飞安行”低空飞行管控服务平台</w:t>
      </w:r>
    </w:p>
    <w:p>
      <w:pPr>
        <w:widowControl/>
        <w:tabs>
          <w:tab w:val="left" w:pos="1442"/>
        </w:tabs>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项  目 地  点：</w:t>
      </w:r>
      <w:r>
        <w:rPr>
          <w:rFonts w:hint="eastAsia" w:ascii="宋体" w:hAnsi="宋体" w:cs="宋体"/>
          <w:kern w:val="0"/>
          <w:sz w:val="28"/>
          <w:szCs w:val="28"/>
          <w:u w:val="single"/>
        </w:rPr>
        <w:t xml:space="preserve">台州湾新区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u w:val="single"/>
        </w:rPr>
      </w:pPr>
      <w:r>
        <w:rPr>
          <w:rFonts w:hint="eastAsia" w:ascii="宋体" w:hAnsi="宋体" w:cs="宋体"/>
          <w:kern w:val="0"/>
          <w:sz w:val="28"/>
          <w:szCs w:val="28"/>
        </w:rPr>
        <w:t>发  包  人：</w:t>
      </w:r>
      <w:r>
        <w:rPr>
          <w:rFonts w:hint="eastAsia" w:ascii="宋体" w:hAnsi="宋体" w:cs="宋体"/>
          <w:kern w:val="0"/>
          <w:sz w:val="28"/>
          <w:szCs w:val="28"/>
          <w:u w:val="single"/>
        </w:rPr>
        <w:t xml:space="preserve"> </w:t>
      </w:r>
      <w:r>
        <w:rPr>
          <w:rFonts w:hint="eastAsia" w:ascii="宋体" w:hAnsi="宋体"/>
          <w:sz w:val="28"/>
          <w:u w:val="single"/>
          <w:lang w:eastAsia="zh-CN"/>
        </w:rPr>
        <w:t>台州循环经济发展有限公司</w:t>
      </w:r>
      <w:r>
        <w:rPr>
          <w:rFonts w:hint="eastAsia" w:ascii="宋体" w:hAnsi="宋体"/>
          <w:sz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承  包  人：</w:t>
      </w:r>
      <w:r>
        <w:rPr>
          <w:rFonts w:hint="eastAsia" w:ascii="宋体" w:hAnsi="宋体" w:cs="宋体"/>
          <w:kern w:val="0"/>
          <w:sz w:val="28"/>
          <w:szCs w:val="28"/>
          <w:u w:val="single"/>
        </w:rPr>
        <w:t xml:space="preserve">                                                  </w:t>
      </w:r>
    </w:p>
    <w:p>
      <w:pPr>
        <w:widowControl/>
        <w:snapToGrid w:val="0"/>
        <w:spacing w:before="100" w:beforeAutospacing="1" w:after="100" w:afterAutospacing="1" w:line="320" w:lineRule="atLeast"/>
        <w:ind w:firstLine="420" w:firstLineChars="150"/>
        <w:jc w:val="left"/>
        <w:rPr>
          <w:rFonts w:ascii="宋体" w:hAnsi="宋体" w:cs="宋体"/>
          <w:kern w:val="0"/>
          <w:sz w:val="28"/>
          <w:szCs w:val="28"/>
        </w:rPr>
      </w:pPr>
      <w:r>
        <w:rPr>
          <w:rFonts w:hint="eastAsia" w:ascii="宋体" w:hAnsi="宋体" w:cs="宋体"/>
          <w:kern w:val="0"/>
          <w:sz w:val="28"/>
          <w:szCs w:val="28"/>
        </w:rPr>
        <w:t>签  订  日  期：</w:t>
      </w:r>
      <w:r>
        <w:rPr>
          <w:rFonts w:hint="eastAsia" w:ascii="宋体" w:hAnsi="宋体" w:cs="宋体"/>
          <w:kern w:val="0"/>
          <w:sz w:val="28"/>
          <w:szCs w:val="28"/>
          <w:u w:val="single"/>
        </w:rPr>
        <w:t xml:space="preserve">                                              </w:t>
      </w:r>
    </w:p>
    <w:p>
      <w:pPr>
        <w:pStyle w:val="14"/>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360" w:lineRule="auto"/>
        <w:textAlignment w:val="auto"/>
        <w:rPr>
          <w:rFonts w:hint="eastAsia" w:ascii="宋体" w:hAnsi="宋体" w:eastAsia="宋体" w:cs="宋体"/>
          <w:b w:val="0"/>
          <w:bCs w:val="0"/>
          <w:color w:val="000000"/>
          <w:sz w:val="24"/>
          <w:szCs w:val="24"/>
          <w:highlight w:val="none"/>
        </w:rPr>
      </w:pPr>
      <w:bookmarkStart w:id="63" w:name="_Toc251160747"/>
    </w:p>
    <w:bookmarkEnd w:id="63"/>
    <w:p>
      <w:pPr>
        <w:spacing w:line="360" w:lineRule="auto"/>
        <w:rPr>
          <w:rFonts w:hint="eastAsia" w:ascii="宋体" w:hAnsi="宋体" w:eastAsia="宋体" w:cs="宋体"/>
          <w:color w:val="auto"/>
          <w:sz w:val="24"/>
          <w:highlight w:val="none"/>
          <w:u w:val="single"/>
          <w:lang w:eastAsia="zh-CN"/>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台州“飞安行”低空飞行管控服务平台</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项目编号：</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甲方（</w:t>
      </w:r>
      <w:r>
        <w:rPr>
          <w:rFonts w:hint="eastAsia" w:ascii="宋体" w:hAnsi="宋体" w:cs="宋体"/>
          <w:b/>
          <w:bCs/>
          <w:color w:val="auto"/>
          <w:sz w:val="24"/>
          <w:highlight w:val="none"/>
          <w:lang w:eastAsia="zh-CN"/>
        </w:rPr>
        <w:t>招标人</w:t>
      </w: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p>
    <w:p>
      <w:pPr>
        <w:spacing w:line="360" w:lineRule="auto"/>
        <w:rPr>
          <w:rFonts w:ascii="宋体" w:hAnsi="宋体" w:cs="宋体"/>
          <w:b/>
          <w:bCs/>
          <w:color w:val="auto"/>
          <w:sz w:val="24"/>
          <w:highlight w:val="none"/>
          <w:u w:val="single"/>
        </w:rPr>
      </w:pPr>
      <w:r>
        <w:rPr>
          <w:rFonts w:hint="eastAsia" w:ascii="宋体" w:hAnsi="宋体" w:cs="宋体"/>
          <w:b/>
          <w:bCs/>
          <w:color w:val="auto"/>
          <w:sz w:val="24"/>
          <w:highlight w:val="none"/>
        </w:rPr>
        <w:t>乙方（中标供应商）：</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w:t>
      </w:r>
      <w:r>
        <w:rPr>
          <w:rFonts w:hint="eastAsia" w:ascii="宋体" w:hAnsi="宋体" w:cs="宋体"/>
          <w:b/>
          <w:bCs/>
          <w:color w:val="auto"/>
          <w:sz w:val="24"/>
          <w:highlight w:val="none"/>
          <w:u w:val="single"/>
        </w:rPr>
        <w:t>台州“飞安行”低空飞行管控服务平台</w:t>
      </w:r>
      <w:r>
        <w:rPr>
          <w:rFonts w:hint="eastAsia" w:ascii="宋体" w:hAnsi="宋体" w:cs="宋体"/>
          <w:color w:val="auto"/>
          <w:sz w:val="24"/>
          <w:highlight w:val="none"/>
        </w:rPr>
        <w:t>的招标结果，经双方协商一致，达成以下条款：</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第一条：建设内容</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u w:val="single"/>
        </w:rPr>
        <w:t>台州“飞安行”低空飞行管控服务平台</w:t>
      </w:r>
      <w:r>
        <w:rPr>
          <w:rFonts w:hint="eastAsia" w:ascii="宋体" w:hAnsi="宋体" w:cs="宋体"/>
          <w:color w:val="auto"/>
          <w:sz w:val="24"/>
          <w:highlight w:val="none"/>
        </w:rPr>
        <w:t>，包括项目建设、实施、直至终验收合格及售后服务等。建设内容详见附件。</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第二条：合同金额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合同金额为完成</w:t>
      </w:r>
      <w:r>
        <w:rPr>
          <w:rFonts w:hint="eastAsia" w:cs="Times New Roman" w:asciiTheme="minorEastAsia" w:hAnsiTheme="minorEastAsia" w:eastAsiaTheme="minorEastAsia"/>
          <w:bCs/>
          <w:kern w:val="0"/>
          <w:sz w:val="24"/>
          <w:highlight w:val="none"/>
        </w:rPr>
        <w:t>本项目的软件开发实施项目所需的需求调研费</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系统设计、开发、测试、</w:t>
      </w:r>
      <w:r>
        <w:rPr>
          <w:rFonts w:hint="eastAsia" w:cs="Times New Roman" w:asciiTheme="minorEastAsia" w:hAnsiTheme="minorEastAsia" w:eastAsiaTheme="minorEastAsia"/>
          <w:bCs/>
          <w:kern w:val="0"/>
          <w:sz w:val="24"/>
          <w:highlight w:val="none"/>
        </w:rPr>
        <w:t>系统集成（含软、硬件）</w:t>
      </w:r>
      <w:r>
        <w:rPr>
          <w:rFonts w:hint="eastAsia" w:cs="Times New Roman" w:asciiTheme="minorEastAsia" w:hAnsiTheme="minorEastAsia" w:eastAsiaTheme="minorEastAsia"/>
          <w:bCs/>
          <w:kern w:val="0"/>
          <w:sz w:val="24"/>
          <w:highlight w:val="none"/>
          <w:lang w:val="en-US" w:eastAsia="zh-CN"/>
        </w:rPr>
        <w:t>实施、</w:t>
      </w:r>
      <w:r>
        <w:rPr>
          <w:rFonts w:hint="eastAsia" w:cs="Times New Roman" w:asciiTheme="minorEastAsia" w:hAnsiTheme="minorEastAsia" w:eastAsiaTheme="minorEastAsia"/>
          <w:bCs/>
          <w:kern w:val="0"/>
          <w:sz w:val="24"/>
          <w:highlight w:val="none"/>
        </w:rPr>
        <w:t>接口费用</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运行维护、</w:t>
      </w:r>
      <w:r>
        <w:rPr>
          <w:rFonts w:hint="eastAsia" w:cs="Times New Roman" w:asciiTheme="minorEastAsia" w:hAnsiTheme="minorEastAsia" w:eastAsiaTheme="minorEastAsia"/>
          <w:bCs/>
          <w:kern w:val="0"/>
          <w:sz w:val="24"/>
          <w:highlight w:val="none"/>
        </w:rPr>
        <w:t>安全性评估</w:t>
      </w:r>
      <w:r>
        <w:rPr>
          <w:rFonts w:hint="eastAsia" w:cs="Times New Roman" w:asciiTheme="minorEastAsia" w:hAnsiTheme="minorEastAsia" w:eastAsiaTheme="minorEastAsia"/>
          <w:bCs/>
          <w:kern w:val="0"/>
          <w:sz w:val="24"/>
          <w:highlight w:val="none"/>
          <w:lang w:eastAsia="zh-CN"/>
        </w:rPr>
        <w:t>、</w:t>
      </w:r>
      <w:r>
        <w:rPr>
          <w:rFonts w:hint="eastAsia" w:cs="Times New Roman" w:asciiTheme="minorEastAsia" w:hAnsiTheme="minorEastAsia" w:eastAsiaTheme="minorEastAsia"/>
          <w:bCs/>
          <w:kern w:val="0"/>
          <w:sz w:val="24"/>
          <w:highlight w:val="none"/>
          <w:lang w:val="en-US" w:eastAsia="zh-CN"/>
        </w:rPr>
        <w:t>配合</w:t>
      </w:r>
      <w:r>
        <w:rPr>
          <w:rFonts w:hint="eastAsia" w:cs="Times New Roman" w:asciiTheme="minorEastAsia" w:hAnsiTheme="minorEastAsia" w:eastAsiaTheme="minorEastAsia"/>
          <w:bCs/>
          <w:kern w:val="0"/>
          <w:sz w:val="24"/>
          <w:highlight w:val="none"/>
        </w:rPr>
        <w:t>密评检测、</w:t>
      </w:r>
      <w:r>
        <w:rPr>
          <w:rFonts w:hint="eastAsia" w:cs="Times New Roman" w:asciiTheme="minorEastAsia" w:hAnsiTheme="minorEastAsia" w:eastAsiaTheme="minorEastAsia"/>
          <w:bCs/>
          <w:kern w:val="0"/>
          <w:sz w:val="24"/>
          <w:highlight w:val="none"/>
          <w:lang w:val="en-US" w:eastAsia="zh-CN"/>
        </w:rPr>
        <w:t>税</w:t>
      </w:r>
      <w:r>
        <w:rPr>
          <w:rFonts w:hint="eastAsia" w:asciiTheme="minorEastAsia" w:hAnsiTheme="minorEastAsia" w:eastAsiaTheme="minorEastAsia"/>
          <w:bCs/>
          <w:kern w:val="0"/>
          <w:sz w:val="24"/>
          <w:highlight w:val="none"/>
          <w:lang w:val="en-US" w:eastAsia="zh-CN"/>
        </w:rPr>
        <w:t>金、验收、培训、辅助工作、验收、保险、税金、质保及售后技术服务等</w:t>
      </w:r>
      <w:r>
        <w:rPr>
          <w:rFonts w:hint="eastAsia" w:ascii="宋体" w:hAnsi="宋体" w:eastAsia="宋体" w:cs="宋体"/>
          <w:color w:val="auto"/>
          <w:sz w:val="24"/>
          <w:szCs w:val="24"/>
          <w:highlight w:val="none"/>
        </w:rPr>
        <w:t>及相关劳务支出等工作所发生的全部费用以及</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企业利润、税金和政策性文件规定及合同包含的所有风险、责任等各项应有费用</w:t>
      </w:r>
      <w:r>
        <w:rPr>
          <w:rFonts w:hint="eastAsia" w:ascii="宋体" w:hAnsi="宋体" w:eastAsia="宋体" w:cs="宋体"/>
          <w:bCs/>
          <w:color w:val="auto"/>
          <w:sz w:val="24"/>
          <w:szCs w:val="24"/>
          <w:highlight w:val="none"/>
          <w:lang w:eastAsia="zh-CN"/>
        </w:rPr>
        <w:t>，即一直到整个系统调试验收合格交付</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使用，</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不再另行支付费用</w:t>
      </w:r>
      <w:r>
        <w:rPr>
          <w:rFonts w:hint="eastAsia" w:ascii="宋体" w:hAnsi="宋体" w:cs="宋体"/>
          <w:color w:val="auto"/>
          <w:sz w:val="24"/>
          <w:highlight w:val="none"/>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第三条：建设工期、验收方式及地点</w:t>
      </w:r>
    </w:p>
    <w:p>
      <w:pPr>
        <w:widowControl/>
        <w:snapToGrid w:val="0"/>
        <w:spacing w:line="360" w:lineRule="auto"/>
        <w:ind w:firstLine="480" w:firstLineChars="200"/>
        <w:jc w:val="left"/>
        <w:rPr>
          <w:rFonts w:hint="eastAsia" w:ascii="宋体" w:hAnsi="宋体" w:cs="宋体"/>
          <w:color w:val="auto"/>
          <w:sz w:val="24"/>
          <w:highlight w:val="none"/>
          <w:lang w:val="zh-CN"/>
        </w:rPr>
      </w:pPr>
      <w:r>
        <w:rPr>
          <w:rFonts w:hint="eastAsia" w:ascii="宋体" w:hAnsi="宋体" w:cs="宋体"/>
          <w:color w:val="auto"/>
          <w:sz w:val="24"/>
          <w:highlight w:val="none"/>
        </w:rPr>
        <w:t>1.建设工期：本项目要求合同签订后2周内组织人员进场开工，6个月内完成主要功能开发，</w:t>
      </w:r>
      <w:r>
        <w:rPr>
          <w:rFonts w:hint="eastAsia" w:ascii="宋体" w:hAnsi="宋体" w:eastAsia="宋体" w:cs="宋体"/>
          <w:color w:val="auto"/>
          <w:sz w:val="24"/>
          <w:highlight w:val="none"/>
        </w:rPr>
        <w:t>9个月完成初验并进入试运行。稳定试运行3个月后，由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组织终验。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必须严格按照各模块要求进度完成业务上线。如因</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原因造成不能按期完工，工期相应顺延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硬件交货时间接到甲方通知后15日内完成供货。</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2.验收方式及地点：按甲方指定的方式、地点验收。</w:t>
      </w:r>
    </w:p>
    <w:p>
      <w:pPr>
        <w:spacing w:line="360" w:lineRule="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第四条：</w:t>
      </w:r>
      <w:r>
        <w:rPr>
          <w:rFonts w:hint="eastAsia" w:ascii="宋体" w:hAnsi="宋体" w:cs="宋体"/>
          <w:b/>
          <w:bCs/>
          <w:color w:val="auto"/>
          <w:sz w:val="24"/>
          <w:highlight w:val="none"/>
          <w:lang w:val="en-US" w:eastAsia="zh-CN"/>
        </w:rPr>
        <w:t>维护期、质保期、质保金</w:t>
      </w:r>
    </w:p>
    <w:p>
      <w:pPr>
        <w:pStyle w:val="14"/>
        <w:snapToGrid w:val="0"/>
        <w:spacing w:before="120" w:after="120" w:line="360" w:lineRule="auto"/>
        <w:ind w:firstLine="480" w:firstLineChars="200"/>
        <w:rPr>
          <w:rFonts w:hint="eastAsia"/>
          <w:color w:val="auto"/>
          <w:sz w:val="24"/>
          <w:highlight w:val="none"/>
        </w:rPr>
      </w:pPr>
      <w:r>
        <w:rPr>
          <w:rFonts w:hint="eastAsia" w:hAnsi="宋体"/>
          <w:color w:val="auto"/>
          <w:sz w:val="24"/>
          <w:highlight w:val="none"/>
          <w:lang w:val="en-US" w:eastAsia="zh-CN"/>
        </w:rPr>
        <w:t>软件维护期</w:t>
      </w:r>
      <w:r>
        <w:rPr>
          <w:rFonts w:hint="eastAsia" w:hAnsi="宋体"/>
          <w:color w:val="auto"/>
          <w:sz w:val="24"/>
          <w:highlight w:val="none"/>
        </w:rPr>
        <w:t>：</w:t>
      </w:r>
      <w:r>
        <w:rPr>
          <w:rFonts w:hint="eastAsia"/>
          <w:color w:val="auto"/>
          <w:sz w:val="24"/>
          <w:highlight w:val="none"/>
          <w:u w:val="single"/>
          <w:lang w:val="en-US" w:eastAsia="zh-CN"/>
        </w:rPr>
        <w:t xml:space="preserve">3 </w:t>
      </w:r>
      <w:r>
        <w:rPr>
          <w:rFonts w:hint="eastAsia"/>
          <w:color w:val="auto"/>
          <w:sz w:val="24"/>
          <w:highlight w:val="none"/>
        </w:rPr>
        <w:t>年（自项目验收之日起算）</w:t>
      </w:r>
      <w:r>
        <w:rPr>
          <w:rFonts w:hint="eastAsia"/>
          <w:color w:val="auto"/>
          <w:sz w:val="24"/>
          <w:highlight w:val="none"/>
          <w:lang w:eastAsia="zh-CN"/>
        </w:rPr>
        <w:t>，</w:t>
      </w:r>
      <w:r>
        <w:rPr>
          <w:rFonts w:hint="eastAsia"/>
          <w:color w:val="auto"/>
          <w:sz w:val="24"/>
          <w:highlight w:val="none"/>
          <w:lang w:val="en-US" w:eastAsia="zh-CN"/>
        </w:rPr>
        <w:t>硬件质保期</w:t>
      </w:r>
      <w:r>
        <w:rPr>
          <w:rFonts w:hint="eastAsia"/>
          <w:color w:val="auto"/>
          <w:sz w:val="24"/>
          <w:highlight w:val="none"/>
          <w:u w:val="single"/>
          <w:lang w:val="en-US" w:eastAsia="zh-CN"/>
        </w:rPr>
        <w:t>3</w:t>
      </w:r>
      <w:r>
        <w:rPr>
          <w:rFonts w:hint="eastAsia"/>
          <w:color w:val="auto"/>
          <w:sz w:val="24"/>
          <w:highlight w:val="none"/>
          <w:lang w:val="en-US" w:eastAsia="zh-CN"/>
        </w:rPr>
        <w:t>年</w:t>
      </w:r>
      <w:r>
        <w:rPr>
          <w:rFonts w:hint="eastAsia"/>
          <w:color w:val="auto"/>
          <w:sz w:val="24"/>
          <w:highlight w:val="none"/>
        </w:rPr>
        <w:t>（自项</w:t>
      </w:r>
      <w:r>
        <w:rPr>
          <w:rFonts w:hint="eastAsia"/>
          <w:color w:val="auto"/>
          <w:sz w:val="24"/>
          <w:highlight w:val="none"/>
          <w:lang w:val="en-US" w:eastAsia="zh-CN"/>
        </w:rPr>
        <w:t>交货</w:t>
      </w:r>
      <w:r>
        <w:rPr>
          <w:rFonts w:hint="eastAsia"/>
          <w:color w:val="auto"/>
          <w:sz w:val="24"/>
          <w:highlight w:val="none"/>
        </w:rPr>
        <w:t>之日起算）。</w:t>
      </w:r>
    </w:p>
    <w:p>
      <w:pPr>
        <w:pStyle w:val="15"/>
        <w:ind w:left="0" w:leftChars="0" w:firstLine="480" w:firstLineChars="200"/>
        <w:rPr>
          <w:rFonts w:hint="default" w:ascii="宋体" w:hAnsi="Courier New" w:eastAsia="宋体" w:cstheme="minorBidi"/>
          <w:color w:val="auto"/>
          <w:kern w:val="2"/>
          <w:sz w:val="24"/>
          <w:szCs w:val="24"/>
          <w:highlight w:val="none"/>
          <w:lang w:val="en-US" w:eastAsia="zh-CN" w:bidi="ar-SA"/>
        </w:rPr>
      </w:pPr>
      <w:r>
        <w:rPr>
          <w:rFonts w:hint="eastAsia" w:ascii="宋体" w:hAnsi="Courier New" w:eastAsia="宋体" w:cstheme="minorBidi"/>
          <w:color w:val="auto"/>
          <w:kern w:val="2"/>
          <w:sz w:val="24"/>
          <w:szCs w:val="24"/>
          <w:highlight w:val="none"/>
          <w:lang w:val="en-US" w:eastAsia="zh-CN" w:bidi="ar-SA"/>
        </w:rPr>
        <w:t>质保金：项目合同金额1.5%。（签订合同后15个工作日内完成）</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第五条：技术资料</w:t>
      </w:r>
    </w:p>
    <w:p>
      <w:pPr>
        <w:pStyle w:val="14"/>
        <w:snapToGrid w:val="0"/>
        <w:spacing w:before="120" w:after="120" w:line="360" w:lineRule="auto"/>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w:t>
      </w:r>
      <w:r>
        <w:rPr>
          <w:rFonts w:hint="eastAsia" w:hAnsi="宋体"/>
          <w:color w:val="auto"/>
          <w:sz w:val="24"/>
          <w:highlight w:val="none"/>
          <w:lang w:eastAsia="zh-CN"/>
        </w:rPr>
        <w:t>采购文件</w:t>
      </w:r>
      <w:r>
        <w:rPr>
          <w:rFonts w:hAnsi="宋体"/>
          <w:color w:val="auto"/>
          <w:sz w:val="24"/>
          <w:highlight w:val="none"/>
        </w:rPr>
        <w:t>规定的时间向甲方提供</w:t>
      </w:r>
      <w:r>
        <w:rPr>
          <w:rFonts w:hint="eastAsia" w:hAnsi="宋体"/>
          <w:color w:val="auto"/>
          <w:sz w:val="24"/>
          <w:highlight w:val="none"/>
        </w:rPr>
        <w:t>产品、服务及指导</w:t>
      </w:r>
      <w:r>
        <w:rPr>
          <w:rFonts w:hAnsi="宋体"/>
          <w:color w:val="auto"/>
          <w:sz w:val="24"/>
          <w:highlight w:val="none"/>
        </w:rPr>
        <w:t>。</w:t>
      </w:r>
    </w:p>
    <w:p>
      <w:pPr>
        <w:pStyle w:val="14"/>
        <w:snapToGrid w:val="0"/>
        <w:spacing w:before="120" w:after="120" w:line="360" w:lineRule="auto"/>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没有甲方事先书面同意，乙方不得将由甲方提供的有关合同或任何合同条文、规格、计划、图纸或资料提供给与履行本合同无关的任何其他人。即使向履行本合同有关的人员提供，也应注意保密并限于履行合同的必需范围。</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第六条：知识产权</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乙方应保证所提供的</w:t>
      </w:r>
      <w:r>
        <w:rPr>
          <w:rFonts w:hint="eastAsia" w:hAnsi="宋体"/>
          <w:color w:val="auto"/>
          <w:sz w:val="24"/>
          <w:highlight w:val="none"/>
        </w:rPr>
        <w:t>服务、产品</w:t>
      </w:r>
      <w:r>
        <w:rPr>
          <w:rFonts w:hAnsi="宋体"/>
          <w:color w:val="auto"/>
          <w:sz w:val="24"/>
          <w:highlight w:val="none"/>
        </w:rPr>
        <w:t>或其任何一部分均不会侵犯任何第三方的知识产权。</w:t>
      </w:r>
    </w:p>
    <w:p>
      <w:pPr>
        <w:pStyle w:val="14"/>
        <w:snapToGrid w:val="0"/>
        <w:spacing w:line="360" w:lineRule="auto"/>
        <w:ind w:firstLine="480" w:firstLineChars="200"/>
        <w:rPr>
          <w:rFonts w:hAnsi="宋体"/>
          <w:color w:val="auto"/>
          <w:sz w:val="24"/>
          <w:highlight w:val="none"/>
        </w:rPr>
      </w:pPr>
      <w:r>
        <w:rPr>
          <w:rFonts w:hint="eastAsia" w:hAnsi="宋体"/>
          <w:color w:val="auto"/>
          <w:sz w:val="24"/>
          <w:highlight w:val="none"/>
        </w:rPr>
        <w:t>2.若侵犯,由乙方赔偿甲方因此遭受的损失（包括但不限于应对及追偿过程中所支付的律师费、差旅费、诉讼费、保全费、鉴定费、评估费等）。</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第七条：履约保证金</w:t>
      </w:r>
    </w:p>
    <w:p>
      <w:pPr>
        <w:pStyle w:val="81"/>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签订合同前</w:t>
      </w:r>
      <w:r>
        <w:rPr>
          <w:rFonts w:hint="eastAsia" w:ascii="宋体" w:hAnsi="宋体" w:eastAsia="宋体" w:cs="宋体"/>
          <w:color w:val="auto"/>
          <w:highlight w:val="none"/>
        </w:rPr>
        <w:t>乙方</w:t>
      </w:r>
      <w:r>
        <w:rPr>
          <w:rFonts w:hint="eastAsia" w:ascii="宋体" w:hAnsi="宋体" w:eastAsia="宋体" w:cs="宋体"/>
          <w:color w:val="auto"/>
          <w:highlight w:val="none"/>
          <w:lang w:val="zh-CN"/>
        </w:rPr>
        <w:t>须向</w:t>
      </w:r>
      <w:r>
        <w:rPr>
          <w:rFonts w:hint="eastAsia" w:ascii="宋体" w:hAnsi="宋体" w:eastAsia="宋体" w:cs="宋体"/>
          <w:color w:val="auto"/>
          <w:highlight w:val="none"/>
        </w:rPr>
        <w:t>甲方</w:t>
      </w:r>
      <w:r>
        <w:rPr>
          <w:rFonts w:hint="eastAsia" w:ascii="宋体" w:hAnsi="宋体" w:eastAsia="宋体" w:cs="宋体"/>
          <w:color w:val="auto"/>
          <w:highlight w:val="none"/>
          <w:lang w:val="zh-CN"/>
        </w:rPr>
        <w:t>提交</w:t>
      </w:r>
      <w:r>
        <w:rPr>
          <w:rFonts w:hint="eastAsia" w:ascii="宋体" w:hAnsi="宋体" w:eastAsia="宋体" w:cs="宋体"/>
          <w:color w:val="auto"/>
          <w:highlight w:val="none"/>
        </w:rPr>
        <w:t>合同金额的</w:t>
      </w:r>
      <w:r>
        <w:rPr>
          <w:rFonts w:hint="eastAsia" w:cs="宋体"/>
          <w:color w:val="auto"/>
          <w:highlight w:val="none"/>
          <w:lang w:val="en-US" w:eastAsia="zh-CN"/>
        </w:rPr>
        <w:t>1</w:t>
      </w:r>
      <w:r>
        <w:rPr>
          <w:rFonts w:hint="eastAsia" w:ascii="宋体" w:hAnsi="宋体" w:eastAsia="宋体" w:cs="宋体"/>
          <w:color w:val="auto"/>
          <w:highlight w:val="none"/>
        </w:rPr>
        <w:t>%作为履约</w:t>
      </w:r>
      <w:r>
        <w:rPr>
          <w:rFonts w:hint="eastAsia" w:ascii="宋体" w:hAnsi="宋体" w:eastAsia="宋体" w:cs="宋体"/>
          <w:color w:val="auto"/>
          <w:highlight w:val="none"/>
          <w:lang w:val="zh-CN"/>
        </w:rPr>
        <w:t>保证金</w:t>
      </w:r>
      <w:r>
        <w:rPr>
          <w:rFonts w:hint="eastAsia" w:ascii="宋体" w:hAnsi="宋体" w:eastAsia="宋体" w:cs="宋体"/>
          <w:color w:val="auto"/>
          <w:highlight w:val="none"/>
        </w:rPr>
        <w:t>（现金、转账或保函形式均可），项目验收合格</w:t>
      </w:r>
      <w:r>
        <w:rPr>
          <w:rFonts w:hint="eastAsia" w:ascii="宋体" w:hAnsi="宋体" w:eastAsia="宋体" w:cs="宋体"/>
          <w:color w:val="auto"/>
          <w:highlight w:val="none"/>
          <w:lang w:val="zh-CN"/>
        </w:rPr>
        <w:t>后7个工作日内退还</w:t>
      </w:r>
      <w:r>
        <w:rPr>
          <w:rFonts w:hint="eastAsia" w:ascii="宋体" w:hAnsi="宋体" w:eastAsia="宋体" w:cs="宋体"/>
          <w:color w:val="auto"/>
          <w:highlight w:val="none"/>
        </w:rPr>
        <w:t>或解除保函</w:t>
      </w:r>
      <w:r>
        <w:rPr>
          <w:rFonts w:hint="eastAsia" w:ascii="宋体" w:hAnsi="宋体" w:eastAsia="宋体" w:cs="宋体"/>
          <w:color w:val="auto"/>
          <w:highlight w:val="none"/>
          <w:lang w:val="zh-CN"/>
        </w:rPr>
        <w:t>。</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第八条：付款方式</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1、合同签订后，支付合同金额的</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2、项目初验通过后，支付合同金额的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3、项目终验通过后，支付合同金额的</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4、剩余合同金额的1.5%</w:t>
      </w:r>
      <w:r>
        <w:rPr>
          <w:rFonts w:hint="eastAsia" w:ascii="宋体" w:hAnsi="宋体" w:cs="宋体"/>
          <w:color w:val="auto"/>
          <w:sz w:val="24"/>
          <w:szCs w:val="24"/>
          <w:highlight w:val="none"/>
          <w:lang w:val="en-US" w:eastAsia="zh-CN"/>
        </w:rPr>
        <w:t>为质量保证金</w:t>
      </w:r>
      <w:r>
        <w:rPr>
          <w:rFonts w:hint="eastAsia" w:ascii="宋体" w:hAnsi="宋体" w:eastAsia="宋体" w:cs="宋体"/>
          <w:color w:val="auto"/>
          <w:sz w:val="24"/>
          <w:szCs w:val="24"/>
          <w:highlight w:val="none"/>
          <w:lang w:val="en-US" w:eastAsia="zh-CN"/>
        </w:rPr>
        <w:t>，项目3年质保期结束后支付。</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以上款项支付期限为资金到位且收到供应商提交的对应金额正式</w:t>
      </w:r>
      <w:r>
        <w:rPr>
          <w:rFonts w:hint="eastAsia" w:ascii="宋体" w:hAnsi="宋体" w:eastAsia="宋体" w:cs="宋体"/>
          <w:color w:val="auto"/>
          <w:sz w:val="24"/>
          <w:szCs w:val="24"/>
          <w:highlight w:val="none"/>
          <w:lang w:val="en-US" w:eastAsia="zh-CN"/>
        </w:rPr>
        <w:t>增值税专用</w:t>
      </w:r>
      <w:r>
        <w:rPr>
          <w:rFonts w:hint="eastAsia" w:ascii="宋体" w:hAnsi="宋体" w:eastAsia="宋体" w:cs="宋体"/>
          <w:color w:val="auto"/>
          <w:sz w:val="24"/>
          <w:szCs w:val="24"/>
          <w:highlight w:val="none"/>
        </w:rPr>
        <w:t>发票后7个工作日内支付。</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第九条：转包或分包</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1.本合同范围的建设服务内容，应由乙方直接供应，不得转让他人供应；</w:t>
      </w:r>
    </w:p>
    <w:p>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2.除非得到甲方的书面同意，乙方不得将本合同范围的建设服务全部或部分分包给他人供应；</w:t>
      </w:r>
    </w:p>
    <w:p>
      <w:pPr>
        <w:snapToGrid w:val="0"/>
        <w:spacing w:before="156" w:beforeLines="50" w:after="156" w:afterLines="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第十条：验收</w:t>
      </w:r>
    </w:p>
    <w:p>
      <w:pPr>
        <w:pStyle w:val="14"/>
        <w:snapToGrid w:val="0"/>
        <w:spacing w:before="120" w:after="120" w:line="360" w:lineRule="auto"/>
        <w:ind w:firstLine="480" w:firstLineChars="200"/>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软件：</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1.</w:t>
      </w:r>
      <w:r>
        <w:rPr>
          <w:rFonts w:hint="eastAsia" w:hAnsi="宋体" w:cs="宋体"/>
          <w:b w:val="0"/>
          <w:bCs/>
          <w:color w:val="auto"/>
          <w:sz w:val="24"/>
          <w:highlight w:val="none"/>
          <w:lang w:val="zh-CN"/>
        </w:rPr>
        <w:t>项目初验前，</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应首先对系统进行自测，并将系统自测报告提交</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和监理方审查。</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依本合同约定向</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提交成果及相关文档，并向</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提出初验申请。</w:t>
      </w:r>
      <w:r>
        <w:rPr>
          <w:rFonts w:hint="eastAsia" w:hAnsi="宋体" w:cs="宋体"/>
          <w:b w:val="0"/>
          <w:bCs/>
          <w:color w:val="auto"/>
          <w:sz w:val="24"/>
          <w:highlight w:val="none"/>
          <w:lang w:val="en-US" w:eastAsia="zh-CN"/>
        </w:rPr>
        <w:t>甲方</w:t>
      </w:r>
      <w:r>
        <w:rPr>
          <w:rFonts w:hint="eastAsia" w:hAnsi="宋体" w:cs="宋体"/>
          <w:b w:val="0"/>
          <w:bCs/>
          <w:color w:val="auto"/>
          <w:sz w:val="24"/>
          <w:highlight w:val="none"/>
          <w:lang w:val="zh-CN"/>
        </w:rPr>
        <w:t>接到</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初验申请后，组织相关单位进行初验，</w:t>
      </w:r>
      <w:r>
        <w:rPr>
          <w:rFonts w:hint="eastAsia" w:hAnsi="宋体" w:cs="宋体"/>
          <w:b w:val="0"/>
          <w:bCs/>
          <w:color w:val="auto"/>
          <w:sz w:val="24"/>
          <w:highlight w:val="none"/>
          <w:lang w:val="en-US" w:eastAsia="zh-CN"/>
        </w:rPr>
        <w:t>初验结果应符合甲方需求、投标承诺及相关的国家标准，</w:t>
      </w:r>
      <w:r>
        <w:rPr>
          <w:rFonts w:hint="eastAsia" w:hAnsi="宋体" w:cs="宋体"/>
          <w:b w:val="0"/>
          <w:bCs/>
          <w:color w:val="auto"/>
          <w:sz w:val="24"/>
          <w:highlight w:val="none"/>
          <w:lang w:val="zh-CN"/>
        </w:rPr>
        <w:t>初验合格后联合签署初验报告</w:t>
      </w:r>
      <w:r>
        <w:rPr>
          <w:rFonts w:hint="eastAsia" w:hAnsi="宋体"/>
          <w:b w:val="0"/>
          <w:bCs/>
          <w:color w:val="auto"/>
          <w:sz w:val="24"/>
          <w:highlight w:val="none"/>
        </w:rPr>
        <w:t>。</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2.</w:t>
      </w:r>
      <w:r>
        <w:rPr>
          <w:rFonts w:hint="eastAsia" w:hAnsi="宋体" w:cs="宋体"/>
          <w:b w:val="0"/>
          <w:bCs/>
          <w:color w:val="auto"/>
          <w:sz w:val="24"/>
          <w:highlight w:val="none"/>
          <w:lang w:val="zh-CN"/>
        </w:rPr>
        <w:t>初验合格后，系统进入试运行，试运行时间为3个月</w:t>
      </w:r>
      <w:r>
        <w:rPr>
          <w:rFonts w:hint="eastAsia" w:hAnsi="宋体"/>
          <w:b w:val="0"/>
          <w:bCs/>
          <w:color w:val="auto"/>
          <w:sz w:val="24"/>
          <w:highlight w:val="none"/>
        </w:rPr>
        <w:t>。</w:t>
      </w:r>
    </w:p>
    <w:p>
      <w:pPr>
        <w:pStyle w:val="14"/>
        <w:snapToGrid w:val="0"/>
        <w:spacing w:before="120" w:after="120" w:line="360" w:lineRule="auto"/>
        <w:ind w:firstLine="480" w:firstLineChars="200"/>
        <w:rPr>
          <w:rFonts w:hAnsi="宋体"/>
          <w:b w:val="0"/>
          <w:bCs/>
          <w:color w:val="auto"/>
          <w:sz w:val="24"/>
          <w:highlight w:val="none"/>
        </w:rPr>
      </w:pPr>
      <w:r>
        <w:rPr>
          <w:rFonts w:hint="eastAsia" w:hAnsi="宋体"/>
          <w:b w:val="0"/>
          <w:bCs/>
          <w:color w:val="auto"/>
          <w:sz w:val="24"/>
          <w:highlight w:val="none"/>
        </w:rPr>
        <w:t>3.</w:t>
      </w:r>
      <w:r>
        <w:rPr>
          <w:rFonts w:hint="eastAsia" w:hAnsi="宋体" w:cs="宋体"/>
          <w:b w:val="0"/>
          <w:bCs/>
          <w:color w:val="auto"/>
          <w:sz w:val="24"/>
          <w:highlight w:val="none"/>
          <w:lang w:val="zh-CN"/>
        </w:rPr>
        <w:t>系统通过试运行</w:t>
      </w:r>
      <w:r>
        <w:rPr>
          <w:rFonts w:hint="eastAsia" w:hAnsi="宋体" w:cs="宋体"/>
          <w:b w:val="0"/>
          <w:bCs/>
          <w:color w:val="auto"/>
          <w:sz w:val="24"/>
          <w:highlight w:val="none"/>
          <w:lang w:val="en-US" w:eastAsia="zh-CN"/>
        </w:rPr>
        <w:t>并满足甲方需求、投标承诺及相关的国家标准</w:t>
      </w:r>
      <w:r>
        <w:rPr>
          <w:rFonts w:hint="eastAsia" w:hAnsi="宋体" w:cs="宋体"/>
          <w:b w:val="0"/>
          <w:bCs/>
          <w:color w:val="auto"/>
          <w:sz w:val="24"/>
          <w:highlight w:val="none"/>
          <w:lang w:val="zh-CN"/>
        </w:rPr>
        <w:t>后，</w:t>
      </w:r>
      <w:r>
        <w:rPr>
          <w:rFonts w:hint="eastAsia" w:hAnsi="宋体" w:cs="宋体"/>
          <w:b w:val="0"/>
          <w:bCs/>
          <w:color w:val="auto"/>
          <w:sz w:val="24"/>
          <w:highlight w:val="none"/>
          <w:lang w:val="en-US" w:eastAsia="zh-CN"/>
        </w:rPr>
        <w:t>乙方</w:t>
      </w:r>
      <w:r>
        <w:rPr>
          <w:rFonts w:hint="eastAsia" w:hAnsi="宋体" w:cs="宋体"/>
          <w:b w:val="0"/>
          <w:bCs/>
          <w:color w:val="auto"/>
          <w:sz w:val="24"/>
          <w:highlight w:val="none"/>
          <w:lang w:val="zh-CN"/>
        </w:rPr>
        <w:t>向甲方提出终验申请，甲方组织相关单位进行系统的终验。系统终验通过，进入正式运行阶段。系统终验合格的条件必须至少满足以下要求：已提供了合同要求的全部设备、软件和资料；试运行时性能满足合同</w:t>
      </w:r>
      <w:r>
        <w:rPr>
          <w:rFonts w:hint="eastAsia" w:hAnsi="宋体" w:cs="宋体"/>
          <w:b w:val="0"/>
          <w:bCs/>
          <w:color w:val="auto"/>
          <w:sz w:val="24"/>
          <w:highlight w:val="none"/>
          <w:lang w:val="en-US" w:eastAsia="zh-CN"/>
        </w:rPr>
        <w:t>及甲方</w:t>
      </w:r>
      <w:r>
        <w:rPr>
          <w:rFonts w:hint="eastAsia" w:hAnsi="宋体" w:cs="宋体"/>
          <w:b w:val="0"/>
          <w:bCs/>
          <w:color w:val="auto"/>
          <w:sz w:val="24"/>
          <w:highlight w:val="none"/>
          <w:lang w:val="zh-CN"/>
        </w:rPr>
        <w:t>要求；性能测试和试运行验收时出现的问题已被解决</w:t>
      </w:r>
      <w:r>
        <w:rPr>
          <w:rFonts w:hint="eastAsia" w:hAnsi="宋体" w:cs="宋体"/>
          <w:b w:val="0"/>
          <w:bCs/>
          <w:color w:val="auto"/>
          <w:sz w:val="24"/>
          <w:highlight w:val="none"/>
          <w:lang w:val="en-US" w:eastAsia="zh-CN"/>
        </w:rPr>
        <w:t>；符合国家的相关标准；通过系统测评和等保测评</w:t>
      </w:r>
      <w:r>
        <w:rPr>
          <w:rFonts w:hint="eastAsia" w:hAnsi="宋体"/>
          <w:b w:val="0"/>
          <w:bCs/>
          <w:color w:val="auto"/>
          <w:sz w:val="24"/>
          <w:highlight w:val="none"/>
        </w:rPr>
        <w:t>。</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4</w:t>
      </w:r>
      <w:r>
        <w:rPr>
          <w:rFonts w:hint="eastAsia" w:hAnsi="宋体"/>
          <w:b w:val="0"/>
          <w:bCs/>
          <w:color w:val="auto"/>
          <w:sz w:val="24"/>
          <w:highlight w:val="none"/>
        </w:rPr>
        <w:t>.验收通过标准：</w:t>
      </w:r>
      <w:r>
        <w:rPr>
          <w:rFonts w:hint="eastAsia" w:hAnsi="宋体" w:cs="宋体"/>
          <w:b w:val="0"/>
          <w:bCs/>
          <w:color w:val="auto"/>
          <w:sz w:val="24"/>
          <w:highlight w:val="none"/>
          <w:lang w:val="zh-CN"/>
        </w:rPr>
        <w:t>按照采购文件</w:t>
      </w:r>
      <w:r>
        <w:rPr>
          <w:rFonts w:hint="eastAsia" w:hAnsi="宋体" w:cs="宋体"/>
          <w:b w:val="0"/>
          <w:bCs/>
          <w:color w:val="auto"/>
          <w:sz w:val="24"/>
          <w:highlight w:val="none"/>
          <w:lang w:val="en-US" w:eastAsia="zh-CN"/>
        </w:rPr>
        <w:t>及投标文件</w:t>
      </w:r>
      <w:r>
        <w:rPr>
          <w:rFonts w:hint="eastAsia" w:hAnsi="宋体" w:cs="宋体"/>
          <w:b w:val="0"/>
          <w:bCs/>
          <w:color w:val="auto"/>
          <w:sz w:val="24"/>
          <w:highlight w:val="none"/>
          <w:lang w:val="zh-CN"/>
        </w:rPr>
        <w:t>所约定的内容和时间进行交付；按照计算机软件工程规范国家标准分阶段交付应用系统的文档，所交付的文档与文件应该是电子版式及纸质形式。交付的文档包括但不限于：需求规格说明书、概要设计说明书、详细设计说明书、数据库设计说明书、项目测试方案、项目测试报告、用户操作手册、管理与维护手册、安装手册、总结报告及招标人认为需要的其他材料。</w:t>
      </w:r>
      <w:r>
        <w:rPr>
          <w:rFonts w:hint="eastAsia" w:hAnsi="宋体"/>
          <w:b w:val="0"/>
          <w:bCs/>
          <w:color w:val="auto"/>
          <w:sz w:val="24"/>
          <w:highlight w:val="none"/>
        </w:rPr>
        <w:t>系统稳定运行，验收文档齐全，出具第三方软件测试报告（要求加盖C</w:t>
      </w:r>
      <w:r>
        <w:rPr>
          <w:rFonts w:hAnsi="宋体"/>
          <w:b w:val="0"/>
          <w:bCs/>
          <w:color w:val="auto"/>
          <w:sz w:val="24"/>
          <w:highlight w:val="none"/>
        </w:rPr>
        <w:t>MA</w:t>
      </w:r>
      <w:r>
        <w:rPr>
          <w:rFonts w:hint="eastAsia" w:hAnsi="宋体"/>
          <w:b w:val="0"/>
          <w:bCs/>
          <w:color w:val="auto"/>
          <w:sz w:val="24"/>
          <w:highlight w:val="none"/>
        </w:rPr>
        <w:t>），通过信息系统安全等级保护</w:t>
      </w:r>
      <w:r>
        <w:rPr>
          <w:rFonts w:hint="eastAsia" w:hAnsi="宋体"/>
          <w:b w:val="0"/>
          <w:bCs/>
          <w:color w:val="auto"/>
          <w:sz w:val="24"/>
          <w:highlight w:val="none"/>
          <w:lang w:val="en-US" w:eastAsia="zh-CN"/>
        </w:rPr>
        <w:t>二</w:t>
      </w:r>
      <w:r>
        <w:rPr>
          <w:rFonts w:hint="eastAsia" w:hAnsi="宋体"/>
          <w:b w:val="0"/>
          <w:bCs/>
          <w:color w:val="auto"/>
          <w:sz w:val="24"/>
          <w:highlight w:val="none"/>
        </w:rPr>
        <w:t>级测评。</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5</w:t>
      </w:r>
      <w:r>
        <w:rPr>
          <w:rFonts w:hint="eastAsia" w:hAnsi="宋体"/>
          <w:b w:val="0"/>
          <w:bCs/>
          <w:color w:val="auto"/>
          <w:sz w:val="24"/>
          <w:highlight w:val="none"/>
        </w:rPr>
        <w:t>.验收时乙方必须在现场，验收完毕后作出验收结果报告。</w:t>
      </w:r>
    </w:p>
    <w:p>
      <w:pPr>
        <w:pStyle w:val="14"/>
        <w:snapToGrid w:val="0"/>
        <w:spacing w:before="120" w:after="120" w:line="360" w:lineRule="auto"/>
        <w:ind w:firstLine="480" w:firstLineChars="200"/>
        <w:rPr>
          <w:rFonts w:hint="eastAsia" w:hAnsi="宋体"/>
          <w:b w:val="0"/>
          <w:bCs/>
          <w:color w:val="auto"/>
          <w:sz w:val="24"/>
          <w:highlight w:val="none"/>
        </w:rPr>
      </w:pPr>
      <w:r>
        <w:rPr>
          <w:rFonts w:hint="eastAsia" w:hAnsi="宋体"/>
          <w:b w:val="0"/>
          <w:bCs/>
          <w:color w:val="auto"/>
          <w:sz w:val="24"/>
          <w:highlight w:val="none"/>
          <w:lang w:val="en-US" w:eastAsia="zh-CN"/>
        </w:rPr>
        <w:t>6</w:t>
      </w:r>
      <w:r>
        <w:rPr>
          <w:rFonts w:hint="eastAsia" w:hAnsi="宋体"/>
          <w:b w:val="0"/>
          <w:bCs/>
          <w:color w:val="auto"/>
          <w:sz w:val="24"/>
          <w:highlight w:val="none"/>
        </w:rPr>
        <w:t>.验收费用由乙方负责。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b w:val="0"/>
          <w:bCs/>
          <w:color w:val="auto"/>
          <w:sz w:val="24"/>
          <w:highlight w:val="none"/>
          <w:lang w:val="en-US" w:eastAsia="zh-CN"/>
        </w:rPr>
      </w:pPr>
      <w:r>
        <w:rPr>
          <w:rFonts w:hint="eastAsia" w:hAnsi="宋体"/>
          <w:b w:val="0"/>
          <w:bCs/>
          <w:color w:val="auto"/>
          <w:sz w:val="24"/>
          <w:highlight w:val="none"/>
          <w:lang w:val="en-US" w:eastAsia="zh-CN"/>
        </w:rPr>
        <w:t>硬件：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1、甲方对乙方所交产品依照招标文件的技术需求标准的进行验收。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2、甲方可组织专家对乙方所交产品依照招标文件上的技术规格要求进行现场验收，性能达到招标文件中所规定的技术要求并提供检测报告技术参数、产品合格证及使用说明。验收不合格的不予签收，后果由乙方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heme="minorBidi"/>
          <w:b w:val="0"/>
          <w:bCs/>
          <w:color w:val="auto"/>
          <w:kern w:val="2"/>
          <w:sz w:val="24"/>
          <w:szCs w:val="24"/>
          <w:highlight w:val="none"/>
          <w:lang w:val="en-US" w:eastAsia="zh-CN" w:bidi="ar-SA"/>
        </w:rPr>
      </w:pPr>
      <w:r>
        <w:rPr>
          <w:rFonts w:hint="eastAsia" w:ascii="宋体" w:hAnsi="宋体" w:eastAsia="宋体" w:cstheme="minorBidi"/>
          <w:b w:val="0"/>
          <w:bCs/>
          <w:color w:val="auto"/>
          <w:kern w:val="2"/>
          <w:sz w:val="24"/>
          <w:szCs w:val="24"/>
          <w:highlight w:val="none"/>
          <w:lang w:val="en-US" w:eastAsia="zh-CN" w:bidi="ar-SA"/>
        </w:rPr>
        <w:t>3、甲方应在调试完毕之日起 30 个工作日内验收完毕，并作出验收结果报告,验收时乙方必须在现场。</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eastAsia="宋体"/>
          <w:highlight w:val="none"/>
          <w:lang w:val="en-US" w:eastAsia="zh-CN"/>
        </w:rPr>
      </w:pPr>
      <w:r>
        <w:rPr>
          <w:rFonts w:hint="eastAsia" w:ascii="宋体" w:hAnsi="宋体" w:eastAsia="宋体" w:cstheme="minorBidi"/>
          <w:b w:val="0"/>
          <w:bCs/>
          <w:color w:val="auto"/>
          <w:kern w:val="2"/>
          <w:sz w:val="24"/>
          <w:szCs w:val="24"/>
          <w:highlight w:val="none"/>
          <w:lang w:val="en-US" w:eastAsia="zh-CN" w:bidi="ar-SA"/>
        </w:rPr>
        <w:t>4、验收费用由中标供应商负责。</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第十一条：项目培训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提供系统使用、系统操作和管理维护培训，培训形式包括客户现场培训、课堂培训；</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必须列明相应的培训课程。</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应在投标文件中提供详细的培训计划，包括培训项目、人数、地点、日程、资料、其它等详细内容，为所有被培训人员提供培训用文字资料和讲义等相关用品。</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技术培训的内容必须包含软件的日常操作和管理维护，以及基本的故障诊断与排错。</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培训人员必须是公司的资深工程师。</w:t>
      </w:r>
    </w:p>
    <w:p>
      <w:pPr>
        <w:snapToGrid w:val="0"/>
        <w:spacing w:line="360" w:lineRule="auto"/>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US" w:eastAsia="zh-CN"/>
        </w:rPr>
        <w:t>4.乙方</w:t>
      </w:r>
      <w:r>
        <w:rPr>
          <w:rFonts w:hint="eastAsia" w:ascii="宋体" w:hAnsi="宋体" w:cs="宋体"/>
          <w:color w:val="auto"/>
          <w:sz w:val="24"/>
          <w:highlight w:val="none"/>
          <w:lang w:val="en-GB"/>
        </w:rPr>
        <w:t>提供总计不少于10人日的培训服务。</w:t>
      </w:r>
    </w:p>
    <w:p>
      <w:pPr>
        <w:snapToGrid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确保</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参与本项目后期相关的运维人员都能掌握本次建设平台的日常操作和管理维护，以及基本的故障诊断与排错。</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培训工作必须在合同生效之后系统试运行之前安排。</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所有培训费用（含培训教材费），已包括在投标总价中。</w:t>
      </w:r>
    </w:p>
    <w:p>
      <w:pPr>
        <w:keepNext w:val="0"/>
        <w:keepLines w:val="0"/>
        <w:pageBreakBefore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实际培训时间、人数和地点按</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商定的为准。</w:t>
      </w:r>
    </w:p>
    <w:p>
      <w:pPr>
        <w:snapToGrid w:val="0"/>
        <w:spacing w:line="360" w:lineRule="auto"/>
        <w:ind w:firstLine="480" w:firstLineChars="200"/>
        <w:rPr>
          <w:rFonts w:hint="eastAsia" w:hAnsi="宋体"/>
          <w:color w:val="auto"/>
          <w:sz w:val="24"/>
          <w:highlight w:val="none"/>
          <w:lang w:val="en-US" w:eastAsia="zh-CN"/>
        </w:rPr>
      </w:pPr>
      <w:r>
        <w:rPr>
          <w:rFonts w:hint="eastAsia" w:ascii="宋体" w:hAnsi="宋体" w:cs="宋体"/>
          <w:color w:val="auto"/>
          <w:sz w:val="24"/>
          <w:highlight w:val="none"/>
          <w:lang w:val="en-US" w:eastAsia="zh-CN"/>
        </w:rPr>
        <w:t>9.甲方</w:t>
      </w:r>
      <w:r>
        <w:rPr>
          <w:rFonts w:hint="eastAsia" w:ascii="宋体" w:hAnsi="宋体" w:cs="宋体"/>
          <w:color w:val="auto"/>
          <w:sz w:val="24"/>
          <w:highlight w:val="none"/>
        </w:rPr>
        <w:t>委派2人以上人员进行专员培训，全程参与项目开发过程学习。</w:t>
      </w:r>
    </w:p>
    <w:p>
      <w:pPr>
        <w:pStyle w:val="14"/>
        <w:snapToGrid w:val="0"/>
        <w:spacing w:before="120" w:after="120" w:line="360" w:lineRule="auto"/>
        <w:ind w:firstLine="482" w:firstLineChars="200"/>
        <w:rPr>
          <w:rFonts w:hAnsi="宋体" w:cs="宋体"/>
          <w:b/>
          <w:bCs/>
          <w:color w:val="auto"/>
          <w:sz w:val="24"/>
          <w:highlight w:val="none"/>
          <w:lang w:val="en-US" w:eastAsia="zh-CN"/>
        </w:rPr>
      </w:pPr>
      <w:r>
        <w:rPr>
          <w:rFonts w:hint="eastAsia" w:hAnsi="宋体" w:cs="宋体"/>
          <w:b/>
          <w:bCs/>
          <w:color w:val="auto"/>
          <w:sz w:val="24"/>
          <w:highlight w:val="none"/>
        </w:rPr>
        <w:t>第十</w:t>
      </w:r>
      <w:r>
        <w:rPr>
          <w:rFonts w:hint="eastAsia" w:hAnsi="宋体" w:cs="宋体"/>
          <w:b/>
          <w:bCs/>
          <w:color w:val="auto"/>
          <w:sz w:val="24"/>
          <w:highlight w:val="none"/>
          <w:lang w:val="en-US" w:eastAsia="zh-CN"/>
        </w:rPr>
        <w:t>二</w:t>
      </w:r>
      <w:r>
        <w:rPr>
          <w:rFonts w:hint="eastAsia" w:hAnsi="宋体" w:cs="宋体"/>
          <w:b/>
          <w:bCs/>
          <w:color w:val="auto"/>
          <w:sz w:val="24"/>
          <w:highlight w:val="none"/>
        </w:rPr>
        <w:t>条：</w:t>
      </w:r>
      <w:r>
        <w:rPr>
          <w:rFonts w:hint="eastAsia" w:hAnsi="宋体" w:cs="宋体"/>
          <w:b/>
          <w:bCs/>
          <w:color w:val="auto"/>
          <w:sz w:val="24"/>
          <w:highlight w:val="none"/>
          <w:lang w:val="en-US" w:eastAsia="zh-CN"/>
        </w:rPr>
        <w:t>质量保证及售后服务</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应保证对软件系统提供</w:t>
      </w:r>
      <w:r>
        <w:rPr>
          <w:rFonts w:hint="eastAsia" w:ascii="宋体" w:hAnsi="宋体" w:cs="宋体"/>
          <w:b w:val="0"/>
          <w:bCs w:val="0"/>
          <w:color w:val="auto"/>
          <w:sz w:val="24"/>
          <w:highlight w:val="none"/>
          <w:lang w:val="en-US" w:eastAsia="zh-CN"/>
        </w:rPr>
        <w:t>3</w:t>
      </w:r>
      <w:r>
        <w:rPr>
          <w:rFonts w:hint="eastAsia" w:ascii="宋体" w:hAnsi="宋体" w:cs="宋体"/>
          <w:b w:val="0"/>
          <w:bCs w:val="0"/>
          <w:color w:val="auto"/>
          <w:sz w:val="24"/>
          <w:highlight w:val="none"/>
        </w:rPr>
        <w:t>年的维护期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对硬件提供3年质保期</w:t>
      </w:r>
      <w:r>
        <w:rPr>
          <w:rFonts w:hint="eastAsia" w:ascii="宋体" w:hAnsi="宋体" w:cs="宋体"/>
          <w:b w:val="0"/>
          <w:bCs w:val="0"/>
          <w:color w:val="auto"/>
          <w:sz w:val="24"/>
          <w:highlight w:val="none"/>
        </w:rPr>
        <w:t>。</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在维护期内由于系统本身质量原因造成的任何故障，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须免费负责优化完善。</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质量保证期自项目最终验收合格之日开始计算；质量保证期内，在接到系统故障通知后，</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必须在15分钟内响应。对于影响平台系统正常运行的严重故障，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工程师及其它相关技术人员必须在在接到故障通知后2小时内赶到现场，查找原因，提出解决方案，并工作直至故障修妥完全恢复正常服务为止，一般要求保证系统在4小时之内修复，并需要提供确保承诺实现的措施。</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人员驻点：本项目自合同签订起提供</w:t>
      </w:r>
      <w:r>
        <w:rPr>
          <w:rFonts w:hint="eastAsia" w:ascii="宋体" w:hAnsi="宋体" w:cs="宋体"/>
          <w:b w:val="0"/>
          <w:bCs w:val="0"/>
          <w:color w:val="auto"/>
          <w:sz w:val="24"/>
          <w:highlight w:val="none"/>
          <w:lang w:val="en-US" w:eastAsia="zh-CN"/>
        </w:rPr>
        <w:t>2</w:t>
      </w:r>
      <w:r>
        <w:rPr>
          <w:rFonts w:hint="eastAsia" w:ascii="宋体" w:hAnsi="宋体" w:cs="宋体"/>
          <w:b w:val="0"/>
          <w:bCs w:val="0"/>
          <w:color w:val="auto"/>
          <w:sz w:val="24"/>
          <w:highlight w:val="none"/>
        </w:rPr>
        <w:t>人驻场开发服务并保持人员稳定，在项目终验后至少提供</w:t>
      </w:r>
      <w:r>
        <w:rPr>
          <w:rFonts w:hint="eastAsia" w:ascii="宋体" w:hAnsi="宋体" w:cs="宋体"/>
          <w:b w:val="0"/>
          <w:bCs w:val="0"/>
          <w:color w:val="auto"/>
          <w:sz w:val="24"/>
          <w:highlight w:val="none"/>
          <w:lang w:val="en-US" w:eastAsia="zh-CN"/>
        </w:rPr>
        <w:t>1</w:t>
      </w:r>
      <w:r>
        <w:rPr>
          <w:rFonts w:hint="eastAsia" w:ascii="宋体" w:hAnsi="宋体" w:cs="宋体"/>
          <w:b w:val="0"/>
          <w:bCs w:val="0"/>
          <w:color w:val="auto"/>
          <w:sz w:val="24"/>
          <w:highlight w:val="none"/>
        </w:rPr>
        <w:t>人的</w:t>
      </w:r>
      <w:r>
        <w:rPr>
          <w:rFonts w:hint="eastAsia" w:ascii="宋体" w:hAnsi="宋体" w:cs="宋体"/>
          <w:b w:val="0"/>
          <w:bCs w:val="0"/>
          <w:color w:val="auto"/>
          <w:sz w:val="24"/>
          <w:highlight w:val="none"/>
          <w:lang w:val="en-US" w:eastAsia="zh-CN"/>
        </w:rPr>
        <w:t>一</w:t>
      </w:r>
      <w:r>
        <w:rPr>
          <w:rFonts w:hint="eastAsia" w:ascii="宋体" w:hAnsi="宋体" w:cs="宋体"/>
          <w:b w:val="0"/>
          <w:bCs w:val="0"/>
          <w:color w:val="auto"/>
          <w:sz w:val="24"/>
          <w:highlight w:val="none"/>
        </w:rPr>
        <w:t>年驻场支持服务。</w:t>
      </w:r>
      <w:r>
        <w:rPr>
          <w:rFonts w:hint="eastAsia" w:ascii="宋体" w:hAnsi="宋体" w:cs="宋体"/>
          <w:b w:val="0"/>
          <w:bCs w:val="0"/>
          <w:color w:val="auto"/>
          <w:sz w:val="24"/>
          <w:highlight w:val="none"/>
        </w:rPr>
        <w:t>驻场人员应和</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工作时间保持同步，并接受</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日常考核，如考核不达标，按以下条款进行处罚：①缺岗时间每1个工作日/人，扣除450元作为违约金；②</w:t>
      </w:r>
      <w:r>
        <w:rPr>
          <w:rFonts w:hint="eastAsia" w:ascii="宋体" w:hAnsi="宋体" w:cs="宋体"/>
          <w:b w:val="0"/>
          <w:bCs w:val="0"/>
          <w:color w:val="auto"/>
          <w:sz w:val="24"/>
          <w:highlight w:val="none"/>
          <w:lang w:val="en-US" w:eastAsia="zh-CN"/>
        </w:rPr>
        <w:t>一年驻场</w:t>
      </w:r>
      <w:r>
        <w:rPr>
          <w:rFonts w:hint="eastAsia" w:ascii="宋体" w:hAnsi="宋体" w:cs="宋体"/>
          <w:b w:val="0"/>
          <w:bCs w:val="0"/>
          <w:color w:val="auto"/>
          <w:sz w:val="24"/>
          <w:highlight w:val="none"/>
        </w:rPr>
        <w:t>期间，因驻场服务人员明显工作履职不到位，导致数据接入、治理、共享服务等任一环节出现重大失误的，每发生一次扣除项目维护费用1000元。</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5</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为保证系统正常、安全地运行，技术支持力量和优良的服务是系统正常、安全运行的保障。</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应据此制定系统详细的技术支持与服务方案，包括服务内容、服务方式、服务响应时间、应急措施及组织结构等。</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6</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highlight w:val="none"/>
        </w:rPr>
        <w:t>质量保证期结束后，</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应保证以优惠价格优先对</w:t>
      </w:r>
      <w:r>
        <w:rPr>
          <w:rFonts w:hint="eastAsia" w:ascii="宋体" w:hAnsi="宋体" w:cs="宋体"/>
          <w:b w:val="0"/>
          <w:bCs w:val="0"/>
          <w:color w:val="auto"/>
          <w:sz w:val="24"/>
          <w:highlight w:val="none"/>
          <w:lang w:val="en-US" w:eastAsia="zh-CN"/>
        </w:rPr>
        <w:t>甲方</w:t>
      </w:r>
      <w:r>
        <w:rPr>
          <w:rFonts w:hint="eastAsia" w:ascii="宋体" w:hAnsi="宋体" w:cs="宋体"/>
          <w:b w:val="0"/>
          <w:bCs w:val="0"/>
          <w:color w:val="auto"/>
          <w:sz w:val="24"/>
          <w:highlight w:val="none"/>
        </w:rPr>
        <w:t>进行系统技术支持和维护。</w:t>
      </w:r>
    </w:p>
    <w:p>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7</w:t>
      </w:r>
      <w:r>
        <w:rPr>
          <w:rFonts w:hint="eastAsia" w:ascii="宋体" w:hAnsi="宋体" w:cs="宋体"/>
          <w:b w:val="0"/>
          <w:bCs w:val="0"/>
          <w:color w:val="auto"/>
          <w:sz w:val="24"/>
          <w:highlight w:val="none"/>
          <w:lang w:val="en-US" w:eastAsia="zh-CN"/>
        </w:rPr>
        <w:t>.乙方</w:t>
      </w:r>
      <w:r>
        <w:rPr>
          <w:rFonts w:hint="eastAsia" w:ascii="宋体" w:hAnsi="宋体" w:cs="宋体"/>
          <w:b w:val="0"/>
          <w:bCs w:val="0"/>
          <w:color w:val="auto"/>
          <w:sz w:val="24"/>
          <w:highlight w:val="none"/>
        </w:rPr>
        <w:t>应提供电话免费咨询服务。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第十三条：违约责任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1.甲方无正当理由拒收成果的，甲方向乙方偿付拒收合同总价的5%违约金。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2.甲方无故逾期验收和办理货款支付手续的,甲方应按逾期付款总额每日万分之五向乙方支付违约金。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逾期完成本项目阶段内容及采购文件要求(甲方函件要求新增或减少的功能点除外）的，乙方应按逾期完成总额每日千分之六向甲方支付违约金，由甲方从合同支付款中扣除；逾期超过约定日期10个工作日不能提交工作成果的，甲方可解除本合同，并不承担任何法律责任，造成的一切损失由乙方承担；乙方因逾期交付或因其他违约行为导致甲方解除合同的，乙方应向甲方支付合同总价5%的违约金，如造成甲方损失超过违约金的，超出部分由乙方继续承担赔偿责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所交的项目建设内容不符合合同规定及采购文件规定要求的，致使无法满足甲方需求，甲方有权拒收该成果，乙方愿意整改调试但逾期交付的，按乙方逾期交付处理。乙方拒绝整改调试的，甲方可单方面解除合同，并不承担任何法律责任，所造成的一切损失由乙方承担，拒绝支付合同剩余所有款项及没收履约保证金（如仍在履约期内</w:t>
      </w:r>
      <w:bookmarkStart w:id="99" w:name="_GoBack"/>
      <w:r>
        <w:rPr>
          <w:rFonts w:hint="eastAsia" w:ascii="宋体" w:hAnsi="宋体" w:cs="宋体"/>
          <w:color w:val="auto"/>
          <w:sz w:val="24"/>
          <w:highlight w:val="none"/>
        </w:rPr>
        <w:t>的情况下）。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5.实施阶段或</w:t>
      </w:r>
      <w:r>
        <w:rPr>
          <w:rFonts w:hint="eastAsia" w:ascii="宋体" w:hAnsi="宋体" w:cs="宋体"/>
          <w:color w:val="auto"/>
          <w:sz w:val="24"/>
          <w:highlight w:val="none"/>
          <w:lang w:val="en-US" w:eastAsia="zh-CN"/>
        </w:rPr>
        <w:t>驻场期</w:t>
      </w:r>
      <w:r>
        <w:rPr>
          <w:rFonts w:hint="eastAsia" w:ascii="宋体" w:hAnsi="宋体" w:cs="宋体"/>
          <w:color w:val="auto"/>
          <w:sz w:val="24"/>
          <w:highlight w:val="none"/>
        </w:rPr>
        <w:t>间，如发现无驻场人员在场，每次扣500元。</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项目合作期间，如甲方对业务存在疑问，需要乙方进行实地培训，在告知函发出后3天内仍未组织人员到场培训的，每延迟1天扣500元；延迟至第45天，乙方仍未组织人员到场培训的，甲方有权单方面终止合同，并不承担任何法律责任，造成的一切损失由乙方承担，拒绝支付合同剩余所有款项及没收履约保证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在项目合作期间，如发生系统问题，乙方应在4小时内解决。解决时间每延迟4小时扣500元；延迟超过3天仍未解决的，甲方有权单方面终止合同，并不承担任何法律责任，造成的一切损失由乙方承担，并拒绝支付剩余所有款项及没收履约保证金（如仍在履约期内的情况下）。</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szCs w:val="32"/>
          <w:highlight w:val="none"/>
        </w:rPr>
        <w:t>8.</w:t>
      </w:r>
      <w:r>
        <w:rPr>
          <w:rFonts w:hint="eastAsia" w:hAnsi="宋体"/>
          <w:color w:val="auto"/>
          <w:sz w:val="24"/>
          <w:highlight w:val="none"/>
          <w:lang w:val="zh-CN"/>
        </w:rPr>
        <w:t>系统保质期内故障</w:t>
      </w:r>
      <w:r>
        <w:rPr>
          <w:rFonts w:hint="eastAsia" w:hAnsi="宋体"/>
          <w:color w:val="auto"/>
          <w:sz w:val="24"/>
          <w:highlight w:val="none"/>
        </w:rPr>
        <w:t>累计持续时间</w:t>
      </w:r>
      <w:r>
        <w:rPr>
          <w:rFonts w:hint="eastAsia" w:hAnsi="宋体"/>
          <w:color w:val="auto"/>
          <w:sz w:val="24"/>
          <w:highlight w:val="none"/>
          <w:lang w:val="zh-CN"/>
        </w:rPr>
        <w:t>不得超过5天，</w:t>
      </w:r>
      <w:r>
        <w:rPr>
          <w:rFonts w:hint="eastAsia" w:ascii="宋体" w:hAnsi="宋体" w:cs="宋体"/>
          <w:color w:val="auto"/>
          <w:sz w:val="24"/>
          <w:highlight w:val="none"/>
          <w:lang w:val="zh-CN"/>
        </w:rPr>
        <w:t>如达不到要求，每超过一天</w:t>
      </w:r>
      <w:r>
        <w:rPr>
          <w:rFonts w:hint="eastAsia" w:ascii="宋体" w:hAnsi="宋体" w:cs="宋体"/>
          <w:color w:val="auto"/>
          <w:sz w:val="24"/>
          <w:highlight w:val="none"/>
        </w:rPr>
        <w:t>扣500元</w:t>
      </w:r>
      <w:r>
        <w:rPr>
          <w:rFonts w:hint="eastAsia" w:ascii="宋体" w:hAnsi="宋体" w:cs="宋体"/>
          <w:color w:val="auto"/>
          <w:sz w:val="24"/>
          <w:highlight w:val="none"/>
          <w:lang w:val="zh-CN"/>
        </w:rPr>
        <w:t>，质保期相应延长10天。保质期内因系统本身缺陷造成各种故障应由</w:t>
      </w:r>
      <w:r>
        <w:rPr>
          <w:rFonts w:hint="eastAsia" w:ascii="宋体" w:hAnsi="宋体" w:cs="宋体"/>
          <w:color w:val="auto"/>
          <w:sz w:val="24"/>
          <w:highlight w:val="none"/>
        </w:rPr>
        <w:t>乙方</w:t>
      </w:r>
      <w:r>
        <w:rPr>
          <w:rFonts w:hint="eastAsia" w:ascii="宋体" w:hAnsi="宋体" w:cs="宋体"/>
          <w:color w:val="auto"/>
          <w:sz w:val="24"/>
          <w:highlight w:val="none"/>
          <w:lang w:val="zh-CN"/>
        </w:rPr>
        <w:t>免费技术服务和维修。</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szCs w:val="32"/>
          <w:highlight w:val="none"/>
        </w:rPr>
        <w:t>乙方提供的系统质</w:t>
      </w:r>
      <w:r>
        <w:rPr>
          <w:rFonts w:hint="eastAsia" w:ascii="宋体" w:hAnsi="宋体" w:cs="宋体"/>
          <w:color w:val="auto"/>
          <w:sz w:val="24"/>
          <w:highlight w:val="none"/>
          <w:lang w:val="zh-CN"/>
        </w:rPr>
        <w:t>量低于国家标准规定的，由国家相关部门依法处理。若高于国家标准但不符采购文件规定要求的，参照上一条约定情形办理。</w:t>
      </w:r>
    </w:p>
    <w:p>
      <w:pPr>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lang w:val="zh-CN"/>
        </w:rPr>
        <w:t>.若发生纠纷，由违约方赔偿守约方因纠纷所支付的费用（包括但不限于律师费、差旅费、诉讼费、保全费、鉴定费、评估费等）。</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11.乙方在质保期内无条件承担硬件设备流量卡相关费用。</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12.乙方须接入台州警航无人机指挥管控平台，在平台端实现超视距控制，如未达到，甲方有权解除合同，乙方无条件承担相关造成的损失费用。</w:t>
      </w:r>
    </w:p>
    <w:bookmarkEnd w:id="99"/>
    <w:p>
      <w:pPr>
        <w:spacing w:line="460" w:lineRule="exact"/>
        <w:rPr>
          <w:rFonts w:hint="eastAsia" w:ascii="宋体" w:hAnsi="宋体" w:cs="宋体"/>
          <w:b/>
          <w:bCs/>
          <w:color w:val="auto"/>
          <w:sz w:val="24"/>
          <w:highlight w:val="none"/>
        </w:rPr>
      </w:pPr>
      <w:r>
        <w:rPr>
          <w:rFonts w:hint="eastAsia" w:ascii="宋体" w:hAnsi="宋体" w:cs="宋体"/>
          <w:b/>
          <w:bCs/>
          <w:color w:val="auto"/>
          <w:sz w:val="24"/>
          <w:highlight w:val="none"/>
        </w:rPr>
        <w:t>第十四条：保密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乙方保证对本协议、以及本协议期间知悉的商业机密或专有信息承担保密责任，未经甲方事先书面同意，在本协议履行期间以及本协议履行完毕或因任何原因终止后，乙方均不得向任何第三方进行披露。但非因乙方或其指派人员行为，有关商业机密或专有信息已为公众所知，以及根据中国法律乙方有义务进行披露的情况除外。</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乙方保证按照行业公认的业务标准、道德规范和勤勉尽责精神，履行本协议项下的相关义务。</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第十五条：不可抗力事件处理</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1.在合同有效期内，任何一方因不可抗力事件导致不能履行合同，则合同履行期可延长，其延长期与不可抗力影响期相同。</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2.不可抗力事件发生后，应立即通知对方，并寄送有关权威机构出具的证明。</w:t>
      </w:r>
    </w:p>
    <w:p>
      <w:pPr>
        <w:pStyle w:val="14"/>
        <w:snapToGrid w:val="0"/>
        <w:spacing w:before="120" w:after="120" w:line="360" w:lineRule="auto"/>
        <w:ind w:firstLine="480" w:firstLineChars="200"/>
        <w:rPr>
          <w:rFonts w:hAnsi="宋体"/>
          <w:color w:val="auto"/>
          <w:sz w:val="24"/>
          <w:highlight w:val="none"/>
        </w:rPr>
      </w:pPr>
      <w:r>
        <w:rPr>
          <w:rFonts w:hint="eastAsia" w:hAnsi="宋体"/>
          <w:color w:val="auto"/>
          <w:sz w:val="24"/>
          <w:highlight w:val="none"/>
        </w:rPr>
        <w:t>3.不可抗力事件延续120天以上，双方应通过友好协商，确定是否继续履行合同。</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第十六条：解决争议的方法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如双方在履行合同时发生纠纷，应协商解决；协商不成时，可依法向甲方所在地人民法院提起诉讼。 </w:t>
      </w:r>
    </w:p>
    <w:p>
      <w:pPr>
        <w:pStyle w:val="14"/>
        <w:adjustRightInd w:val="0"/>
        <w:snapToGrid w:val="0"/>
        <w:spacing w:before="156" w:after="156" w:line="460" w:lineRule="exact"/>
        <w:ind w:right="210" w:rightChars="100"/>
        <w:rPr>
          <w:rStyle w:val="82"/>
          <w:rFonts w:hint="eastAsia" w:ascii="宋体" w:hAnsi="宋体" w:eastAsia="宋体" w:cs="宋体"/>
          <w:b w:val="0"/>
          <w:color w:val="auto"/>
          <w:sz w:val="24"/>
          <w:szCs w:val="24"/>
          <w:highlight w:val="none"/>
        </w:rPr>
      </w:pPr>
      <w:r>
        <w:rPr>
          <w:rFonts w:hint="eastAsia" w:hAnsi="宋体" w:cs="宋体"/>
          <w:b/>
          <w:bCs/>
          <w:color w:val="auto"/>
          <w:sz w:val="24"/>
          <w:highlight w:val="none"/>
        </w:rPr>
        <w:t>第十</w:t>
      </w:r>
      <w:r>
        <w:rPr>
          <w:rFonts w:hint="eastAsia" w:hAnsi="宋体" w:cs="宋体"/>
          <w:b/>
          <w:bCs/>
          <w:color w:val="auto"/>
          <w:sz w:val="24"/>
          <w:highlight w:val="none"/>
          <w:lang w:val="en-US" w:eastAsia="zh-CN"/>
        </w:rPr>
        <w:t>七</w:t>
      </w:r>
      <w:r>
        <w:rPr>
          <w:rFonts w:hint="eastAsia" w:hAnsi="宋体" w:cs="宋体"/>
          <w:b/>
          <w:bCs/>
          <w:color w:val="auto"/>
          <w:sz w:val="24"/>
          <w:highlight w:val="none"/>
        </w:rPr>
        <w:t>条：</w:t>
      </w:r>
      <w:r>
        <w:rPr>
          <w:rStyle w:val="82"/>
          <w:rFonts w:hint="eastAsia" w:ascii="宋体" w:hAnsi="宋体" w:eastAsia="宋体" w:cs="宋体"/>
          <w:b w:val="0"/>
          <w:color w:val="auto"/>
          <w:sz w:val="24"/>
          <w:szCs w:val="24"/>
          <w:highlight w:val="none"/>
        </w:rPr>
        <w:t>产权担保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乙方保证所交付的软件系统的所有权完全属于乙方且无任何抵押、查封等产权瑕疵。</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第十八条：合同生效及其它</w:t>
      </w:r>
      <w:r>
        <w:rPr>
          <w:rFonts w:hint="eastAsia" w:ascii="宋体" w:hAnsi="宋体" w:cs="宋体"/>
          <w:b/>
          <w:bCs/>
          <w:color w:val="auto"/>
          <w:sz w:val="24"/>
          <w:highlight w:val="none"/>
        </w:rPr>
        <w:tab/>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1.合同经双方法定代表人或授权代表签字并加盖单位公章或合同专用章后生效。</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2.本合同未尽事宜，遵照《中华人民共和国民法典》有关条文执行。</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3.本合同一式六份</w:t>
      </w:r>
      <w:r>
        <w:rPr>
          <w:rFonts w:hint="eastAsia" w:ascii="宋体" w:hAnsi="宋体" w:cs="宋体"/>
          <w:color w:val="auto"/>
          <w:sz w:val="24"/>
          <w:highlight w:val="none"/>
          <w:lang w:eastAsia="zh-CN"/>
        </w:rPr>
        <w:t>，</w:t>
      </w:r>
      <w:r>
        <w:rPr>
          <w:rFonts w:hint="eastAsia" w:ascii="宋体" w:hAnsi="宋体" w:cs="宋体"/>
          <w:color w:val="auto"/>
          <w:sz w:val="24"/>
          <w:highlight w:val="none"/>
        </w:rPr>
        <w:t>甲、乙双方各执三份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具有同等法律效力</w:t>
      </w:r>
      <w:r>
        <w:rPr>
          <w:rFonts w:hint="eastAsia" w:ascii="宋体" w:hAnsi="宋体" w:cs="宋体"/>
          <w:color w:val="auto"/>
          <w:sz w:val="24"/>
          <w:highlight w:val="none"/>
        </w:rPr>
        <w:t>。</w:t>
      </w:r>
    </w:p>
    <w:p>
      <w:pPr>
        <w:pStyle w:val="2"/>
        <w:spacing w:line="360" w:lineRule="auto"/>
        <w:ind w:right="-88"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4.本项目未尽事宜以</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w:t>
      </w:r>
      <w:r>
        <w:rPr>
          <w:rFonts w:hint="eastAsia" w:ascii="宋体" w:hAnsi="宋体" w:cs="宋体"/>
          <w:color w:val="auto"/>
          <w:sz w:val="24"/>
          <w:highlight w:val="none"/>
          <w:lang w:eastAsia="zh-CN"/>
        </w:rPr>
        <w:t>采购响应文件</w:t>
      </w:r>
      <w:r>
        <w:rPr>
          <w:rFonts w:hint="eastAsia" w:ascii="宋体" w:hAnsi="宋体" w:cs="宋体"/>
          <w:color w:val="auto"/>
          <w:sz w:val="24"/>
          <w:highlight w:val="none"/>
        </w:rPr>
        <w:t>及澄清文件等为准，本合同中如有未尽事宜，由双方协商另行解决。</w:t>
      </w:r>
    </w:p>
    <w:tbl>
      <w:tblPr>
        <w:tblStyle w:val="25"/>
        <w:tblpPr w:leftFromText="180" w:rightFromText="180" w:vertAnchor="text" w:horzAnchor="page" w:tblpX="1104" w:tblpY="717"/>
        <w:tblOverlap w:val="never"/>
        <w:tblW w:w="5277" w:type="pct"/>
        <w:tblInd w:w="0" w:type="dxa"/>
        <w:tblLayout w:type="autofit"/>
        <w:tblCellMar>
          <w:top w:w="0" w:type="dxa"/>
          <w:left w:w="108" w:type="dxa"/>
          <w:bottom w:w="0" w:type="dxa"/>
          <w:right w:w="108" w:type="dxa"/>
        </w:tblCellMar>
      </w:tblPr>
      <w:tblGrid>
        <w:gridCol w:w="4906"/>
        <w:gridCol w:w="5015"/>
      </w:tblGrid>
      <w:tr>
        <w:tblPrEx>
          <w:tblCellMar>
            <w:top w:w="0" w:type="dxa"/>
            <w:left w:w="108" w:type="dxa"/>
            <w:bottom w:w="0" w:type="dxa"/>
            <w:right w:w="108" w:type="dxa"/>
          </w:tblCellMar>
        </w:tblPrEx>
        <w:trPr>
          <w:trHeight w:val="558" w:hRule="atLeast"/>
        </w:trPr>
        <w:tc>
          <w:tcPr>
            <w:tcW w:w="2472" w:type="pct"/>
            <w:noWrap/>
            <w:vAlign w:val="top"/>
          </w:tcPr>
          <w:p>
            <w:pPr>
              <w:spacing w:line="360" w:lineRule="auto"/>
              <w:ind w:left="729" w:leftChars="347" w:right="370" w:rightChars="176"/>
              <w:rPr>
                <w:rFonts w:hint="eastAsia" w:ascii="宋体" w:hAnsi="宋体" w:cs="宋体"/>
                <w:color w:val="auto"/>
                <w:sz w:val="24"/>
                <w:highlight w:val="none"/>
              </w:rPr>
            </w:pPr>
            <w:r>
              <w:rPr>
                <w:rFonts w:hint="eastAsia" w:ascii="宋体" w:hAnsi="宋体" w:cs="宋体"/>
                <w:color w:val="auto"/>
                <w:sz w:val="24"/>
                <w:highlight w:val="none"/>
              </w:rPr>
              <w:t>甲 方（盖章）：</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乙 方（盖章）：</w:t>
            </w:r>
          </w:p>
        </w:tc>
      </w:tr>
      <w:tr>
        <w:tblPrEx>
          <w:tblCellMar>
            <w:top w:w="0" w:type="dxa"/>
            <w:left w:w="108" w:type="dxa"/>
            <w:bottom w:w="0" w:type="dxa"/>
            <w:right w:w="108" w:type="dxa"/>
          </w:tblCellMar>
        </w:tblPrEx>
        <w:trPr>
          <w:trHeight w:val="936" w:hRule="atLeast"/>
        </w:trPr>
        <w:tc>
          <w:tcPr>
            <w:tcW w:w="2472" w:type="pct"/>
            <w:noWrap/>
            <w:vAlign w:val="top"/>
          </w:tcPr>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szCs w:val="32"/>
                <w:highlight w:val="none"/>
              </w:rPr>
              <w:t>法定代表人</w:t>
            </w:r>
          </w:p>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szCs w:val="32"/>
                <w:highlight w:val="none"/>
              </w:rPr>
              <w:t>或委托代理人（签章）</w:t>
            </w:r>
            <w:r>
              <w:rPr>
                <w:rFonts w:hint="eastAsia" w:ascii="宋体" w:hAnsi="宋体" w:cs="宋体"/>
                <w:color w:val="auto"/>
                <w:sz w:val="24"/>
                <w:highlight w:val="none"/>
              </w:rPr>
              <w:t>：</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法定代表人</w:t>
            </w:r>
          </w:p>
          <w:p>
            <w:pPr>
              <w:spacing w:line="360" w:lineRule="auto"/>
              <w:ind w:right="487" w:rightChars="232"/>
              <w:rPr>
                <w:rFonts w:hint="eastAsia" w:ascii="宋体" w:hAnsi="宋体" w:cs="宋体"/>
                <w:color w:val="auto"/>
                <w:highlight w:val="none"/>
              </w:rPr>
            </w:pPr>
            <w:r>
              <w:rPr>
                <w:rFonts w:hint="eastAsia" w:ascii="宋体" w:hAnsi="宋体" w:cs="宋体"/>
                <w:color w:val="auto"/>
                <w:sz w:val="24"/>
                <w:highlight w:val="none"/>
              </w:rPr>
              <w:t>或委托代理人（签章）：</w:t>
            </w:r>
          </w:p>
        </w:tc>
      </w:tr>
      <w:tr>
        <w:tblPrEx>
          <w:tblCellMar>
            <w:top w:w="0" w:type="dxa"/>
            <w:left w:w="108" w:type="dxa"/>
            <w:bottom w:w="0" w:type="dxa"/>
            <w:right w:w="108" w:type="dxa"/>
          </w:tblCellMar>
        </w:tblPrEx>
        <w:trPr>
          <w:trHeight w:val="498" w:hRule="atLeast"/>
        </w:trPr>
        <w:tc>
          <w:tcPr>
            <w:tcW w:w="2472" w:type="pct"/>
            <w:noWrap/>
            <w:vAlign w:val="top"/>
          </w:tcPr>
          <w:p>
            <w:pPr>
              <w:spacing w:line="360" w:lineRule="auto"/>
              <w:ind w:left="729" w:leftChars="347"/>
              <w:rPr>
                <w:rFonts w:hint="eastAsia" w:ascii="宋体" w:hAnsi="宋体" w:cs="宋体"/>
                <w:color w:val="auto"/>
                <w:highlight w:val="none"/>
              </w:rPr>
            </w:pPr>
            <w:r>
              <w:rPr>
                <w:rFonts w:hint="eastAsia" w:ascii="宋体" w:hAnsi="宋体" w:cs="宋体"/>
                <w:color w:val="auto"/>
                <w:sz w:val="24"/>
                <w:highlight w:val="none"/>
              </w:rPr>
              <w:t>电 话：</w:t>
            </w:r>
          </w:p>
        </w:tc>
        <w:tc>
          <w:tcPr>
            <w:tcW w:w="2527" w:type="pct"/>
            <w:noWrap/>
            <w:vAlign w:val="top"/>
          </w:tcPr>
          <w:p>
            <w:pPr>
              <w:spacing w:line="360" w:lineRule="auto"/>
              <w:ind w:right="487" w:rightChars="232"/>
              <w:rPr>
                <w:rFonts w:hint="eastAsia" w:ascii="宋体" w:hAnsi="宋体" w:cs="宋体"/>
                <w:color w:val="auto"/>
                <w:highlight w:val="none"/>
              </w:rPr>
            </w:pPr>
            <w:r>
              <w:rPr>
                <w:rFonts w:hint="eastAsia" w:ascii="宋体" w:hAnsi="宋体" w:cs="宋体"/>
                <w:color w:val="auto"/>
                <w:sz w:val="24"/>
                <w:highlight w:val="none"/>
              </w:rPr>
              <w:t>电 话：</w:t>
            </w:r>
          </w:p>
        </w:tc>
      </w:tr>
      <w:tr>
        <w:tblPrEx>
          <w:tblCellMar>
            <w:top w:w="0" w:type="dxa"/>
            <w:left w:w="108" w:type="dxa"/>
            <w:bottom w:w="0" w:type="dxa"/>
            <w:right w:w="108" w:type="dxa"/>
          </w:tblCellMar>
        </w:tblPrEx>
        <w:trPr>
          <w:trHeight w:val="636" w:hRule="atLeast"/>
        </w:trPr>
        <w:tc>
          <w:tcPr>
            <w:tcW w:w="2472" w:type="pct"/>
            <w:noWrap/>
            <w:vAlign w:val="top"/>
          </w:tcPr>
          <w:p>
            <w:pPr>
              <w:spacing w:line="360" w:lineRule="auto"/>
              <w:ind w:left="729" w:leftChars="347"/>
              <w:rPr>
                <w:rFonts w:hint="eastAsia" w:ascii="宋体" w:hAnsi="宋体" w:cs="宋体"/>
                <w:color w:val="auto"/>
                <w:sz w:val="24"/>
                <w:highlight w:val="none"/>
              </w:rPr>
            </w:pPr>
            <w:r>
              <w:rPr>
                <w:rFonts w:hint="eastAsia" w:ascii="宋体" w:hAnsi="宋体" w:cs="宋体"/>
                <w:color w:val="auto"/>
                <w:sz w:val="24"/>
                <w:highlight w:val="none"/>
              </w:rPr>
              <w:t>日 期：    年   月    日</w:t>
            </w:r>
          </w:p>
        </w:tc>
        <w:tc>
          <w:tcPr>
            <w:tcW w:w="2527" w:type="pct"/>
            <w:noWrap/>
            <w:vAlign w:val="top"/>
          </w:tcPr>
          <w:p>
            <w:pPr>
              <w:spacing w:line="360" w:lineRule="auto"/>
              <w:ind w:right="487" w:rightChars="232"/>
              <w:rPr>
                <w:rFonts w:hint="eastAsia" w:ascii="宋体" w:hAnsi="宋体" w:cs="宋体"/>
                <w:color w:val="auto"/>
                <w:sz w:val="24"/>
                <w:highlight w:val="none"/>
              </w:rPr>
            </w:pPr>
            <w:r>
              <w:rPr>
                <w:rFonts w:hint="eastAsia" w:ascii="宋体" w:hAnsi="宋体" w:cs="宋体"/>
                <w:color w:val="auto"/>
                <w:sz w:val="24"/>
                <w:highlight w:val="none"/>
              </w:rPr>
              <w:t>日 期：    年   月    日</w:t>
            </w:r>
          </w:p>
        </w:tc>
      </w:tr>
    </w:tbl>
    <w:p>
      <w:pPr>
        <w:pStyle w:val="5"/>
        <w:numPr>
          <w:ilvl w:val="0"/>
          <w:numId w:val="0"/>
        </w:numPr>
        <w:spacing w:before="0" w:after="0" w:line="360" w:lineRule="auto"/>
        <w:ind w:left="425"/>
        <w:jc w:val="both"/>
        <w:rPr>
          <w:sz w:val="32"/>
          <w:szCs w:val="32"/>
        </w:rPr>
      </w:pPr>
    </w:p>
    <w:p>
      <w:pPr>
        <w:rPr>
          <w:rFonts w:ascii="仿宋" w:hAnsi="仿宋" w:eastAsia="仿宋" w:cs="仿宋"/>
        </w:rPr>
      </w:pPr>
      <w:r>
        <w:rPr>
          <w:rFonts w:hint="eastAsia" w:ascii="仿宋" w:hAnsi="仿宋" w:eastAsia="仿宋" w:cs="仿宋"/>
        </w:rPr>
        <w:t>问</w:t>
      </w:r>
    </w:p>
    <w:p>
      <w:pPr>
        <w:rPr>
          <w:rFonts w:ascii="仿宋" w:hAnsi="仿宋" w:eastAsia="仿宋" w:cs="仿宋"/>
        </w:rPr>
      </w:pPr>
    </w:p>
    <w:p>
      <w:pPr>
        <w:autoSpaceDE w:val="0"/>
        <w:autoSpaceDN w:val="0"/>
        <w:spacing w:line="360" w:lineRule="exact"/>
        <w:ind w:firstLine="767" w:firstLineChars="273"/>
        <w:jc w:val="center"/>
        <w:rPr>
          <w:rFonts w:hAnsi="宋体"/>
          <w:b/>
          <w:sz w:val="28"/>
          <w:szCs w:val="28"/>
        </w:rPr>
        <w:sectPr>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Theme="minorEastAsia" w:hAnsiTheme="minorEastAsia" w:eastAsiaTheme="minorEastAsia"/>
          <w:b/>
          <w:sz w:val="36"/>
          <w:szCs w:val="36"/>
        </w:rPr>
      </w:pPr>
      <w:bookmarkStart w:id="64" w:name="_Toc5481_WPSOffice_Level1"/>
      <w:r>
        <w:rPr>
          <w:rFonts w:hint="eastAsia" w:asciiTheme="minorEastAsia" w:hAnsiTheme="minorEastAsia" w:eastAsiaTheme="minorEastAsia"/>
          <w:b/>
          <w:sz w:val="36"/>
          <w:szCs w:val="36"/>
        </w:rPr>
        <w:t>第六章 投标文件格式</w:t>
      </w:r>
      <w:bookmarkEnd w:id="64"/>
    </w:p>
    <w:p>
      <w:pPr>
        <w:rPr>
          <w:rFonts w:ascii="宋体" w:hAnsi="宋体"/>
          <w:b/>
          <w:sz w:val="30"/>
          <w:szCs w:val="30"/>
        </w:rPr>
      </w:pP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spacing w:before="312" w:beforeLines="100" w:line="360" w:lineRule="auto"/>
        <w:ind w:right="-108"/>
        <w:jc w:val="center"/>
        <w:rPr>
          <w:rFonts w:hint="eastAsia"/>
          <w:sz w:val="44"/>
          <w:szCs w:val="44"/>
        </w:rPr>
      </w:pPr>
      <w:r>
        <w:rPr>
          <w:rFonts w:hint="eastAsia"/>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w:t>
      </w:r>
    </w:p>
    <w:p>
      <w:pPr>
        <w:pStyle w:val="24"/>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资格标）</w:t>
      </w:r>
    </w:p>
    <w:p>
      <w:pPr>
        <w:pStyle w:val="24"/>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pStyle w:val="2"/>
        <w:rPr>
          <w:rFonts w:ascii="仿宋_GB2312" w:hAnsi="宋体" w:eastAsia="仿宋_GB2312"/>
          <w:b/>
          <w:sz w:val="36"/>
          <w:szCs w:val="36"/>
        </w:rPr>
      </w:pPr>
    </w:p>
    <w:p>
      <w:pPr>
        <w:pStyle w:val="3"/>
        <w:ind w:firstLine="480"/>
      </w:pPr>
    </w:p>
    <w:p>
      <w:pPr>
        <w:pStyle w:val="8"/>
        <w:rPr>
          <w:rFonts w:ascii="仿宋_GB2312" w:hAnsi="宋体" w:eastAsia="仿宋_GB2312"/>
          <w:b/>
          <w:sz w:val="36"/>
          <w:szCs w:val="36"/>
        </w:rPr>
      </w:pPr>
    </w:p>
    <w:p>
      <w:pPr>
        <w:spacing w:line="360" w:lineRule="auto"/>
        <w:jc w:val="center"/>
        <w:rPr>
          <w:b/>
          <w:bCs/>
          <w:sz w:val="36"/>
          <w:szCs w:val="36"/>
        </w:rPr>
      </w:pPr>
      <w:r>
        <w:rPr>
          <w:rFonts w:hint="eastAsia"/>
          <w:b/>
          <w:bCs/>
          <w:sz w:val="36"/>
          <w:szCs w:val="36"/>
        </w:rPr>
        <w:t>资格标目录</w:t>
      </w:r>
    </w:p>
    <w:p>
      <w:pPr>
        <w:spacing w:line="360" w:lineRule="auto"/>
        <w:ind w:firstLine="560" w:firstLineChars="200"/>
        <w:rPr>
          <w:sz w:val="28"/>
          <w:szCs w:val="36"/>
        </w:rPr>
      </w:pPr>
    </w:p>
    <w:p>
      <w:pPr>
        <w:snapToGrid w:val="0"/>
        <w:spacing w:line="360" w:lineRule="auto"/>
        <w:ind w:firstLine="480" w:firstLineChars="200"/>
        <w:rPr>
          <w:rFonts w:ascii="宋体" w:hAnsi="宋体" w:cs="宋体"/>
          <w:sz w:val="24"/>
        </w:rPr>
      </w:pPr>
      <w:r>
        <w:rPr>
          <w:rFonts w:hint="eastAsia" w:ascii="宋体" w:hAnsi="宋体" w:cs="宋体"/>
          <w:sz w:val="24"/>
        </w:rPr>
        <w:t>（1）投标声明书（附件1）；</w:t>
      </w:r>
    </w:p>
    <w:p>
      <w:pPr>
        <w:snapToGrid w:val="0"/>
        <w:spacing w:line="360" w:lineRule="auto"/>
        <w:ind w:firstLine="480" w:firstLineChars="200"/>
        <w:rPr>
          <w:rFonts w:ascii="宋体" w:hAnsi="宋体" w:cs="宋体"/>
          <w:sz w:val="24"/>
        </w:rPr>
      </w:pPr>
      <w:r>
        <w:rPr>
          <w:rFonts w:hint="eastAsia" w:ascii="宋体" w:hAnsi="宋体" w:cs="宋体"/>
          <w:sz w:val="24"/>
        </w:rPr>
        <w:t>（2）授权委托书（附件2）；</w:t>
      </w:r>
    </w:p>
    <w:p>
      <w:pPr>
        <w:snapToGrid w:val="0"/>
        <w:spacing w:line="360" w:lineRule="auto"/>
        <w:ind w:firstLine="480" w:firstLineChars="200"/>
        <w:rPr>
          <w:rFonts w:ascii="宋体" w:hAnsi="宋体" w:cs="宋体"/>
          <w:sz w:val="24"/>
        </w:rPr>
      </w:pPr>
      <w:r>
        <w:rPr>
          <w:rFonts w:hint="eastAsia" w:ascii="宋体" w:hAnsi="宋体" w:cs="宋体"/>
          <w:sz w:val="24"/>
        </w:rPr>
        <w:t>（3）营业执照证明文件；</w:t>
      </w:r>
    </w:p>
    <w:p>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）需要说明的其他资料。</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p>
    <w:p>
      <w:pPr>
        <w:spacing w:line="360" w:lineRule="auto"/>
        <w:rPr>
          <w:rFonts w:ascii="宋体" w:hAnsi="宋体"/>
          <w:b/>
          <w:sz w:val="28"/>
        </w:rPr>
      </w:pPr>
    </w:p>
    <w:p>
      <w:pPr>
        <w:spacing w:line="360" w:lineRule="auto"/>
        <w:ind w:left="420"/>
        <w:rPr>
          <w:rFonts w:ascii="宋体" w:hAnsi="宋体"/>
          <w:b/>
          <w:sz w:val="28"/>
        </w:rPr>
      </w:pPr>
    </w:p>
    <w:p>
      <w:pPr>
        <w:pStyle w:val="34"/>
        <w:rPr>
          <w:rFonts w:ascii="宋体" w:hAnsi="宋体"/>
          <w:b/>
          <w:sz w:val="28"/>
        </w:rPr>
      </w:pPr>
    </w:p>
    <w:p>
      <w:pPr>
        <w:pStyle w:val="34"/>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pStyle w:val="5"/>
        <w:numPr>
          <w:ilvl w:val="0"/>
          <w:numId w:val="0"/>
        </w:numPr>
        <w:ind w:left="425"/>
        <w:jc w:val="both"/>
      </w:pPr>
    </w:p>
    <w:p/>
    <w:p>
      <w:pPr>
        <w:pStyle w:val="8"/>
        <w:rPr>
          <w:rFonts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hint="eastAsia"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65" w:name="_Toc31708_WPSOffice_Level1"/>
      <w:bookmarkStart w:id="66" w:name="_Toc30723_WPSOffice_Level1"/>
      <w:r>
        <w:rPr>
          <w:rFonts w:hint="eastAsia" w:ascii="宋体" w:hAnsi="宋体"/>
          <w:b/>
          <w:kern w:val="0"/>
          <w:sz w:val="32"/>
          <w:szCs w:val="32"/>
          <w:lang w:val="zh-CN"/>
        </w:rPr>
        <w:t>投标声明书</w:t>
      </w:r>
      <w:bookmarkEnd w:id="65"/>
      <w:bookmarkEnd w:id="66"/>
    </w:p>
    <w:p>
      <w:pPr>
        <w:snapToGrid w:val="0"/>
        <w:spacing w:before="156" w:beforeLines="50" w:after="50" w:line="312" w:lineRule="auto"/>
        <w:rPr>
          <w:rFonts w:ascii="宋体" w:hAnsi="宋体" w:cs="宋体"/>
          <w:kern w:val="0"/>
          <w:sz w:val="24"/>
        </w:rPr>
      </w:pPr>
      <w:r>
        <w:rPr>
          <w:rFonts w:hint="eastAsia" w:ascii="宋体" w:hAnsi="宋体" w:cs="宋体"/>
          <w:kern w:val="0"/>
          <w:sz w:val="24"/>
          <w:u w:val="single"/>
          <w:lang w:eastAsia="zh-CN"/>
        </w:rPr>
        <w:t>台州循环经济发展有限公司</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u w:val="single"/>
        </w:rPr>
        <w:t>（投标人名称）</w:t>
      </w:r>
      <w:r>
        <w:rPr>
          <w:rFonts w:hint="eastAsia" w:ascii="宋体" w:hAnsi="宋体" w:cs="宋体"/>
          <w:kern w:val="0"/>
          <w:sz w:val="24"/>
        </w:rPr>
        <w:t>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姓名 ）</w:t>
      </w:r>
      <w:r>
        <w:rPr>
          <w:rFonts w:hint="eastAsia" w:ascii="宋体" w:hAnsi="宋体" w:cs="宋体"/>
          <w:kern w:val="0"/>
          <w:sz w:val="24"/>
        </w:rPr>
        <w:t>系</w:t>
      </w:r>
      <w:r>
        <w:rPr>
          <w:rFonts w:hint="eastAsia" w:ascii="宋体" w:hAnsi="宋体" w:cs="宋体"/>
          <w:kern w:val="0"/>
          <w:sz w:val="24"/>
          <w:u w:val="single"/>
        </w:rPr>
        <w:t>（ 投标人名称 ）</w:t>
      </w:r>
      <w:r>
        <w:rPr>
          <w:rFonts w:hint="eastAsia" w:ascii="宋体" w:hAnsi="宋体" w:cs="宋体"/>
          <w:kern w:val="0"/>
          <w:sz w:val="24"/>
        </w:rPr>
        <w:t>的法定代表人</w:t>
      </w:r>
      <w:r>
        <w:rPr>
          <w:rFonts w:hint="eastAsia" w:ascii="宋体" w:hAnsi="宋体" w:cs="宋体"/>
          <w:kern w:val="0"/>
          <w:sz w:val="24"/>
          <w:lang w:val="en-US" w:eastAsia="zh-CN"/>
        </w:rPr>
        <w:t>/</w:t>
      </w:r>
      <w:r>
        <w:rPr>
          <w:rFonts w:hint="eastAsia" w:ascii="Arial" w:hAnsi="Arial" w:cs="Arial"/>
          <w:sz w:val="24"/>
        </w:rPr>
        <w:t>负责人</w:t>
      </w:r>
      <w:r>
        <w:rPr>
          <w:rFonts w:hint="eastAsia" w:ascii="宋体" w:hAnsi="宋体" w:cs="宋体"/>
          <w:kern w:val="0"/>
          <w:sz w:val="24"/>
        </w:rPr>
        <w:t>，我公司自愿参加贵方组织的（</w:t>
      </w:r>
      <w:r>
        <w:rPr>
          <w:rFonts w:hint="eastAsia" w:ascii="宋体" w:hAnsi="宋体" w:cs="宋体"/>
          <w:kern w:val="0"/>
          <w:sz w:val="24"/>
          <w:u w:val="single"/>
        </w:rPr>
        <w:t xml:space="preserve">              招标项目名称                </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w:t>
      </w:r>
      <w:r>
        <w:rPr>
          <w:rFonts w:hint="eastAsia" w:ascii="宋体" w:hAnsi="宋体" w:cs="宋体"/>
          <w:kern w:val="0"/>
          <w:sz w:val="24"/>
          <w:lang w:eastAsia="zh-CN"/>
        </w:rPr>
        <w:t>招标人</w:t>
      </w:r>
      <w:r>
        <w:rPr>
          <w:rFonts w:hint="eastAsia" w:ascii="宋体" w:hAnsi="宋体" w:cs="宋体"/>
          <w:kern w:val="0"/>
          <w:sz w:val="24"/>
        </w:rPr>
        <w:t>的附属机构；</w:t>
      </w:r>
      <w:r>
        <w:rPr>
          <w:rFonts w:hint="eastAsia" w:ascii="宋体" w:hAnsi="宋体"/>
          <w:sz w:val="24"/>
        </w:rPr>
        <w:t>在获知本项目采购信息后，与</w:t>
      </w:r>
      <w:r>
        <w:rPr>
          <w:rFonts w:hint="eastAsia" w:ascii="宋体" w:hAnsi="宋体"/>
          <w:sz w:val="24"/>
          <w:lang w:eastAsia="zh-CN"/>
        </w:rPr>
        <w:t>招标人</w:t>
      </w:r>
      <w:r>
        <w:rPr>
          <w:rFonts w:hint="eastAsia" w:ascii="宋体" w:hAnsi="宋体"/>
          <w:sz w:val="24"/>
        </w:rPr>
        <w:t>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eastAsia="zh-CN"/>
        </w:rPr>
        <w:t>招标人</w:t>
      </w:r>
      <w:r>
        <w:rPr>
          <w:rFonts w:hint="eastAsia" w:ascii="宋体" w:hAnsi="宋体"/>
          <w:kern w:val="0"/>
          <w:sz w:val="24"/>
          <w:lang w:val="af-ZA"/>
        </w:rPr>
        <w:t>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w:t>
      </w:r>
      <w:r>
        <w:rPr>
          <w:rFonts w:hint="eastAsia" w:ascii="宋体" w:hAnsi="宋体"/>
          <w:kern w:val="0"/>
          <w:sz w:val="24"/>
          <w:lang w:val="af-ZA" w:eastAsia="zh-CN"/>
        </w:rPr>
        <w:t>招标人</w:t>
      </w:r>
      <w:r>
        <w:rPr>
          <w:rFonts w:hint="eastAsia" w:ascii="宋体" w:hAnsi="宋体"/>
          <w:kern w:val="0"/>
          <w:sz w:val="24"/>
          <w:lang w:val="af-ZA"/>
        </w:rPr>
        <w:t>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严格履行合同，不降低合同约定的产品质量和服务，不擅自变更、中止、终止合同，或拒绝履行合同义务。</w:t>
      </w:r>
    </w:p>
    <w:p>
      <w:pPr>
        <w:numPr>
          <w:ilvl w:val="0"/>
          <w:numId w:val="9"/>
        </w:numPr>
        <w:snapToGrid w:val="0"/>
        <w:spacing w:line="360" w:lineRule="auto"/>
        <w:ind w:left="5" w:firstLine="415"/>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38" w:firstLineChars="2016"/>
        <w:rPr>
          <w:rFonts w:ascii="宋体" w:hAnsi="宋体" w:cs="仿宋_GB2312"/>
          <w:kern w:val="0"/>
          <w:sz w:val="24"/>
          <w:lang w:val="zh-CN"/>
        </w:rPr>
      </w:pPr>
      <w:r>
        <w:rPr>
          <w:rFonts w:hint="eastAsia" w:ascii="宋体" w:hAnsi="宋体" w:cs="仿宋_GB2312"/>
          <w:kern w:val="0"/>
          <w:sz w:val="24"/>
          <w:lang w:val="zh-CN"/>
        </w:rPr>
        <w:t>投标人名称（公章）：</w:t>
      </w:r>
    </w:p>
    <w:p>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法定代表人</w:t>
      </w:r>
      <w:r>
        <w:rPr>
          <w:rFonts w:hint="eastAsia" w:ascii="宋体" w:hAnsi="宋体" w:cs="仿宋_GB2312"/>
          <w:kern w:val="0"/>
          <w:sz w:val="24"/>
          <w:lang w:val="en-US" w:eastAsia="zh-CN"/>
        </w:rPr>
        <w:t>/</w:t>
      </w:r>
      <w:r>
        <w:rPr>
          <w:rFonts w:hint="eastAsia" w:ascii="Arial" w:hAnsi="Arial" w:cs="Arial"/>
          <w:sz w:val="24"/>
        </w:rPr>
        <w:t>负责人</w:t>
      </w:r>
      <w:r>
        <w:rPr>
          <w:rFonts w:hint="eastAsia" w:ascii="宋体" w:hAnsi="宋体" w:cs="仿宋_GB2312"/>
          <w:kern w:val="0"/>
          <w:sz w:val="24"/>
          <w:lang w:val="zh-CN"/>
        </w:rPr>
        <w:t>或授权委托人签字：</w:t>
      </w:r>
    </w:p>
    <w:p>
      <w:pPr>
        <w:adjustRightInd w:val="0"/>
        <w:snapToGrid w:val="0"/>
        <w:spacing w:line="360" w:lineRule="auto"/>
        <w:ind w:firstLine="4838" w:firstLineChars="2016"/>
        <w:rPr>
          <w:rFonts w:hint="eastAsia" w:ascii="宋体" w:hAnsi="宋体"/>
          <w:b/>
          <w:sz w:val="28"/>
        </w:rPr>
      </w:pPr>
      <w:r>
        <w:rPr>
          <w:rFonts w:hint="eastAsia" w:ascii="宋体" w:hAnsi="宋体" w:cs="仿宋_GB2312"/>
          <w:kern w:val="0"/>
          <w:sz w:val="24"/>
          <w:lang w:val="zh-CN"/>
        </w:rPr>
        <w:t>日期：    年   月   日</w:t>
      </w: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hint="eastAsia"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67" w:name="_Toc6870_WPSOffice_Level1"/>
      <w:bookmarkStart w:id="68" w:name="_Toc24373_WPSOffice_Level1"/>
      <w:r>
        <w:rPr>
          <w:b/>
          <w:sz w:val="32"/>
          <w:szCs w:val="32"/>
        </w:rPr>
        <w:t>授权</w:t>
      </w:r>
      <w:r>
        <w:rPr>
          <w:rFonts w:hint="eastAsia"/>
          <w:b/>
          <w:sz w:val="32"/>
          <w:szCs w:val="32"/>
        </w:rPr>
        <w:t>委托</w:t>
      </w:r>
      <w:r>
        <w:rPr>
          <w:b/>
          <w:sz w:val="32"/>
          <w:szCs w:val="32"/>
        </w:rPr>
        <w:t>书</w:t>
      </w:r>
      <w:bookmarkEnd w:id="67"/>
      <w:bookmarkEnd w:id="68"/>
    </w:p>
    <w:p>
      <w:pPr>
        <w:snapToGrid w:val="0"/>
        <w:spacing w:before="156" w:beforeLines="50" w:after="50" w:line="360" w:lineRule="auto"/>
        <w:rPr>
          <w:rFonts w:ascii="宋体" w:hAnsi="宋体" w:cs="宋体"/>
          <w:kern w:val="0"/>
          <w:sz w:val="24"/>
        </w:rPr>
      </w:pPr>
      <w:r>
        <w:rPr>
          <w:rFonts w:hint="eastAsia" w:ascii="宋体" w:hAnsi="宋体" w:cs="宋体"/>
          <w:kern w:val="0"/>
          <w:sz w:val="24"/>
          <w:u w:val="single"/>
          <w:lang w:eastAsia="zh-CN"/>
        </w:rPr>
        <w:t>台州循环经济发展有限公司</w:t>
      </w:r>
      <w:r>
        <w:rPr>
          <w:rFonts w:hint="eastAsia" w:ascii="宋体" w:hAnsi="宋体" w:cs="宋体"/>
          <w:kern w:val="0"/>
          <w:sz w:val="24"/>
        </w:rPr>
        <w:t>：</w:t>
      </w:r>
    </w:p>
    <w:p>
      <w:pPr>
        <w:pStyle w:val="14"/>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w:t>
      </w:r>
      <w:r>
        <w:rPr>
          <w:rFonts w:hint="eastAsia" w:hAnsi="宋体" w:cs="宋体"/>
          <w:kern w:val="0"/>
          <w:sz w:val="24"/>
        </w:rPr>
        <w:t>（编号为</w:t>
      </w:r>
      <w:r>
        <w:rPr>
          <w:rFonts w:hint="eastAsia" w:hAnsi="宋体" w:cs="宋体"/>
          <w:kern w:val="0"/>
          <w:sz w:val="24"/>
          <w:u w:val="single"/>
        </w:rPr>
        <w:t xml:space="preserve">           </w:t>
      </w:r>
      <w:r>
        <w:rPr>
          <w:rFonts w:hint="eastAsia"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pPr>
        <w:pStyle w:val="14"/>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4"/>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签字或盖章：</w:t>
      </w:r>
    </w:p>
    <w:p>
      <w:pPr>
        <w:spacing w:line="360" w:lineRule="auto"/>
        <w:rPr>
          <w:sz w:val="24"/>
        </w:rPr>
      </w:pPr>
      <w:r>
        <w:rPr>
          <w:rFonts w:hint="eastAsia" w:ascii="宋体"/>
          <w:sz w:val="24"/>
        </w:rPr>
        <w:t>投标人全称（公章）：                              日期：</w:t>
      </w:r>
    </w:p>
    <w:p>
      <w:pPr>
        <w:spacing w:line="360" w:lineRule="auto"/>
        <w:rPr>
          <w:b/>
          <w:sz w:val="24"/>
        </w:rPr>
      </w:pPr>
      <w:r>
        <w:rPr>
          <w:rFonts w:hint="eastAsia" w:ascii="宋体"/>
          <w:b/>
          <w:sz w:val="24"/>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hint="eastAsia" w:ascii="宋体" w:eastAsia="宋体"/>
                <w:b/>
                <w:sz w:val="24"/>
                <w:lang w:eastAsia="zh-CN"/>
              </w:rPr>
            </w:pPr>
            <w:r>
              <w:rPr>
                <w:rFonts w:hint="eastAsia" w:ascii="宋体"/>
                <w:b/>
                <w:sz w:val="24"/>
              </w:rPr>
              <w:t>法定代表身份证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pPr>
        <w:spacing w:line="360" w:lineRule="auto"/>
        <w:rPr>
          <w:sz w:val="24"/>
        </w:rPr>
      </w:pPr>
      <w:r>
        <w:rPr>
          <w:rFonts w:hint="eastAsia" w:ascii="宋体"/>
          <w:sz w:val="24"/>
        </w:rPr>
        <w:t>法定代表人</w:t>
      </w:r>
      <w:r>
        <w:rPr>
          <w:rFonts w:hint="eastAsia" w:ascii="宋体"/>
          <w:sz w:val="24"/>
          <w:lang w:val="en-US" w:eastAsia="zh-CN"/>
        </w:rPr>
        <w:t>/</w:t>
      </w:r>
      <w:r>
        <w:rPr>
          <w:rFonts w:hint="eastAsia" w:ascii="Arial" w:hAnsi="Arial" w:cs="Arial"/>
          <w:sz w:val="24"/>
        </w:rPr>
        <w:t>负责人</w:t>
      </w:r>
      <w:r>
        <w:rPr>
          <w:rFonts w:hint="eastAsia" w:ascii="宋体"/>
          <w:sz w:val="24"/>
        </w:rPr>
        <w:t xml:space="preserve">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r>
              <w:rPr>
                <w:rFonts w:hint="eastAsia" w:ascii="宋体"/>
                <w:b/>
                <w:sz w:val="24"/>
                <w:lang w:eastAsia="zh-CN"/>
              </w:rPr>
              <w:t>（</w:t>
            </w:r>
            <w:r>
              <w:rPr>
                <w:rFonts w:hint="eastAsia" w:ascii="宋体"/>
                <w:b/>
                <w:sz w:val="24"/>
                <w:lang w:val="en-US" w:eastAsia="zh-CN"/>
              </w:rPr>
              <w:t>正反面</w:t>
            </w:r>
            <w:r>
              <w:rPr>
                <w:rFonts w:hint="eastAsia" w:ascii="宋体"/>
                <w:b/>
                <w:sz w:val="24"/>
                <w:lang w:eastAsia="zh-CN"/>
              </w:rPr>
              <w:t>）</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bookmarkStart w:id="69" w:name="_Toc12331_WPSOffice_Level1"/>
      <w:bookmarkStart w:id="70" w:name="_Toc16825_WPSOffice_Level1"/>
      <w:bookmarkStart w:id="71" w:name="_Toc26389_WPSOffice_Level1"/>
    </w:p>
    <w:bookmarkEnd w:id="69"/>
    <w:bookmarkEnd w:id="70"/>
    <w:bookmarkEnd w:id="71"/>
    <w:p>
      <w:pPr>
        <w:spacing w:before="312" w:beforeLines="100" w:line="360" w:lineRule="auto"/>
        <w:ind w:right="-108"/>
        <w:jc w:val="both"/>
        <w:rPr>
          <w:rFonts w:hint="eastAsia" w:ascii="宋体" w:hAnsi="宋体"/>
          <w:sz w:val="44"/>
          <w:szCs w:val="44"/>
        </w:rPr>
      </w:pPr>
    </w:p>
    <w:p>
      <w:pPr>
        <w:spacing w:before="312" w:beforeLines="100" w:line="360" w:lineRule="auto"/>
        <w:ind w:right="-108"/>
        <w:jc w:val="center"/>
        <w:rPr>
          <w:rFonts w:hint="eastAsia" w:ascii="宋体" w:hAnsi="宋体"/>
          <w:sz w:val="44"/>
          <w:szCs w:val="44"/>
        </w:rPr>
      </w:pPr>
      <w:r>
        <w:rPr>
          <w:rFonts w:hint="eastAsia" w:ascii="宋体" w:hAnsi="宋体"/>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项目编号：（标项  ）</w:t>
      </w:r>
    </w:p>
    <w:p>
      <w:pPr>
        <w:autoSpaceDE w:val="0"/>
        <w:autoSpaceDN w:val="0"/>
        <w:adjustRightInd w:val="0"/>
        <w:spacing w:line="360" w:lineRule="auto"/>
        <w:jc w:val="center"/>
        <w:rPr>
          <w:rFonts w:ascii="宋体" w:hAnsi="宋体" w:cs="宋体"/>
          <w:sz w:val="24"/>
          <w:lang w:val="zh-CN"/>
        </w:rPr>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4"/>
        </w:rPr>
        <w:t>技术标</w:t>
      </w:r>
      <w:r>
        <w:rPr>
          <w:rFonts w:hint="eastAsia" w:ascii="宋体" w:hAnsi="宋体"/>
          <w:b/>
          <w:sz w:val="28"/>
          <w:szCs w:val="28"/>
        </w:rPr>
        <w:t>）</w:t>
      </w:r>
    </w:p>
    <w:p>
      <w:pPr>
        <w:pStyle w:val="24"/>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pStyle w:val="8"/>
        <w:rPr>
          <w:rFonts w:ascii="仿宋_GB2312" w:hAnsi="宋体" w:eastAsia="仿宋_GB2312"/>
          <w:b/>
          <w:sz w:val="36"/>
          <w:szCs w:val="36"/>
        </w:rPr>
      </w:pPr>
    </w:p>
    <w:p>
      <w:pPr>
        <w:rPr>
          <w:b/>
          <w:bCs/>
          <w:sz w:val="32"/>
          <w:szCs w:val="32"/>
          <w:lang w:val="zh-CN"/>
        </w:rPr>
      </w:pPr>
      <w:bookmarkStart w:id="72" w:name="_Toc5889_WPSOffice_Level1"/>
      <w:bookmarkStart w:id="73" w:name="_Toc11308_WPSOffice_Level1"/>
    </w:p>
    <w:p>
      <w:pPr>
        <w:jc w:val="center"/>
        <w:rPr>
          <w:b/>
          <w:bCs/>
          <w:sz w:val="36"/>
          <w:szCs w:val="36"/>
          <w:lang w:val="zh-CN"/>
        </w:rPr>
      </w:pPr>
    </w:p>
    <w:p>
      <w:pPr>
        <w:jc w:val="center"/>
        <w:rPr>
          <w:b/>
          <w:bCs/>
          <w:sz w:val="36"/>
          <w:szCs w:val="36"/>
        </w:rPr>
      </w:pPr>
      <w:r>
        <w:rPr>
          <w:rFonts w:hint="eastAsia"/>
          <w:b/>
          <w:bCs/>
          <w:sz w:val="36"/>
          <w:szCs w:val="36"/>
        </w:rPr>
        <w:t>技术标目录</w:t>
      </w:r>
      <w:bookmarkEnd w:id="72"/>
      <w:bookmarkEnd w:id="73"/>
    </w:p>
    <w:p>
      <w:pPr>
        <w:spacing w:line="360" w:lineRule="auto"/>
        <w:rPr>
          <w:sz w:val="24"/>
        </w:rPr>
      </w:pPr>
    </w:p>
    <w:p>
      <w:pPr>
        <w:snapToGrid w:val="0"/>
        <w:spacing w:line="360" w:lineRule="auto"/>
        <w:ind w:firstLine="480" w:firstLineChars="200"/>
        <w:rPr>
          <w:rFonts w:ascii="宋体" w:hAnsi="宋体"/>
          <w:bCs/>
          <w:sz w:val="24"/>
        </w:rPr>
      </w:pPr>
      <w:r>
        <w:rPr>
          <w:rFonts w:hint="eastAsia" w:ascii="宋体" w:hAnsi="宋体"/>
          <w:bCs/>
          <w:sz w:val="24"/>
        </w:rPr>
        <w:t>（1）投标人基本情况表（附件</w:t>
      </w:r>
      <w:r>
        <w:rPr>
          <w:rFonts w:hint="eastAsia" w:ascii="宋体" w:hAnsi="宋体"/>
          <w:bCs/>
          <w:sz w:val="24"/>
          <w:lang w:val="en-US" w:eastAsia="zh-CN"/>
        </w:rPr>
        <w:t>3</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（2）技术方案（包括</w:t>
      </w:r>
      <w:r>
        <w:rPr>
          <w:rFonts w:hint="eastAsia" w:ascii="Calibri" w:hAnsi="Calibri" w:cs="Calibri"/>
          <w:sz w:val="24"/>
        </w:rPr>
        <w:t>项目需求的理解与分析、项目实施方案、重难点分析、保障措施、进度安排等</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（3）项目负责人资格情况表（附件</w:t>
      </w:r>
      <w:r>
        <w:rPr>
          <w:rFonts w:hint="eastAsia" w:ascii="宋体" w:hAnsi="宋体"/>
          <w:bCs/>
          <w:sz w:val="24"/>
          <w:lang w:val="en-US" w:eastAsia="zh-CN"/>
        </w:rPr>
        <w:t>4</w:t>
      </w:r>
      <w:r>
        <w:rPr>
          <w:rFonts w:hint="eastAsia" w:ascii="宋体" w:hAnsi="宋体"/>
          <w:bCs/>
          <w:sz w:val="24"/>
        </w:rPr>
        <w:t>）；</w:t>
      </w:r>
    </w:p>
    <w:p>
      <w:pPr>
        <w:snapToGrid w:val="0"/>
        <w:spacing w:line="360" w:lineRule="auto"/>
        <w:ind w:firstLine="480" w:firstLineChars="200"/>
        <w:rPr>
          <w:rFonts w:ascii="宋体" w:hAnsi="宋体"/>
          <w:bCs/>
          <w:sz w:val="24"/>
        </w:rPr>
      </w:pPr>
      <w:r>
        <w:rPr>
          <w:rFonts w:hint="eastAsia" w:ascii="宋体" w:hAnsi="宋体"/>
          <w:bCs/>
          <w:sz w:val="24"/>
        </w:rPr>
        <w:t>（4）项目实施人员一览表（附件</w:t>
      </w:r>
      <w:r>
        <w:rPr>
          <w:rFonts w:hint="eastAsia" w:ascii="宋体" w:hAnsi="宋体"/>
          <w:bCs/>
          <w:sz w:val="24"/>
          <w:lang w:val="en-US" w:eastAsia="zh-CN"/>
        </w:rPr>
        <w:t>5</w:t>
      </w:r>
      <w:r>
        <w:rPr>
          <w:rFonts w:hint="eastAsia" w:ascii="宋体" w:hAnsi="宋体"/>
          <w:bCs/>
          <w:sz w:val="24"/>
        </w:rPr>
        <w:t>）；</w:t>
      </w:r>
    </w:p>
    <w:p>
      <w:pPr>
        <w:snapToGrid w:val="0"/>
        <w:spacing w:line="360" w:lineRule="auto"/>
        <w:ind w:firstLine="480" w:firstLineChars="200"/>
        <w:rPr>
          <w:rFonts w:ascii="Calibri" w:hAnsi="Calibri" w:cs="Calibri"/>
          <w:sz w:val="24"/>
        </w:rPr>
      </w:pPr>
      <w:r>
        <w:rPr>
          <w:rFonts w:hint="eastAsia" w:ascii="宋体" w:hAnsi="宋体"/>
          <w:bCs/>
          <w:sz w:val="24"/>
        </w:rPr>
        <w:t>（5）</w:t>
      </w:r>
      <w:r>
        <w:rPr>
          <w:rFonts w:hint="eastAsia" w:ascii="Calibri" w:hAnsi="Calibri" w:cs="Calibri"/>
          <w:sz w:val="24"/>
        </w:rPr>
        <w:t>服务条款响应表（附件</w:t>
      </w:r>
      <w:r>
        <w:rPr>
          <w:rFonts w:hint="eastAsia" w:ascii="Calibri" w:hAnsi="Calibri" w:cs="Calibri"/>
          <w:sz w:val="24"/>
          <w:lang w:val="en-US" w:eastAsia="zh-CN"/>
        </w:rPr>
        <w:t>6</w:t>
      </w:r>
      <w:r>
        <w:rPr>
          <w:rFonts w:hint="eastAsia" w:ascii="Calibri" w:hAnsi="Calibri" w:cs="Calibri"/>
          <w:sz w:val="24"/>
        </w:rPr>
        <w:t>）；</w:t>
      </w:r>
    </w:p>
    <w:p>
      <w:pPr>
        <w:pStyle w:val="8"/>
        <w:widowControl/>
        <w:numPr>
          <w:ilvl w:val="255"/>
          <w:numId w:val="0"/>
        </w:numPr>
        <w:adjustRightInd w:val="0"/>
        <w:snapToGrid w:val="0"/>
        <w:spacing w:line="360" w:lineRule="auto"/>
        <w:ind w:firstLine="480" w:firstLineChars="200"/>
        <w:rPr>
          <w:rFonts w:ascii="宋体" w:hAnsi="宋体"/>
          <w:bCs/>
          <w:sz w:val="24"/>
        </w:rPr>
      </w:pPr>
      <w:r>
        <w:rPr>
          <w:rFonts w:hint="eastAsia" w:ascii="宋体" w:hAnsi="宋体"/>
          <w:bCs/>
          <w:sz w:val="24"/>
        </w:rPr>
        <w:t>（6）证书一览表（与本项目相关的认证证书或文件；附件</w:t>
      </w:r>
      <w:r>
        <w:rPr>
          <w:rFonts w:hint="eastAsia" w:ascii="宋体" w:hAnsi="宋体"/>
          <w:bCs/>
          <w:sz w:val="24"/>
          <w:lang w:val="en-US" w:eastAsia="zh-CN"/>
        </w:rPr>
        <w:t>7</w:t>
      </w:r>
      <w:r>
        <w:rPr>
          <w:rFonts w:hint="eastAsia" w:ascii="宋体" w:hAnsi="宋体"/>
          <w:bCs/>
          <w:sz w:val="24"/>
        </w:rPr>
        <w:t>）；</w:t>
      </w:r>
    </w:p>
    <w:p>
      <w:pPr>
        <w:pStyle w:val="8"/>
        <w:widowControl/>
        <w:numPr>
          <w:ilvl w:val="255"/>
          <w:numId w:val="0"/>
        </w:numPr>
        <w:snapToGrid w:val="0"/>
        <w:spacing w:line="360" w:lineRule="auto"/>
        <w:ind w:firstLine="480" w:firstLineChars="200"/>
        <w:rPr>
          <w:rFonts w:ascii="宋体" w:hAnsi="宋体"/>
          <w:bCs/>
          <w:sz w:val="24"/>
        </w:rPr>
      </w:pPr>
      <w:r>
        <w:rPr>
          <w:rFonts w:hint="eastAsia" w:ascii="宋体" w:hAnsi="宋体"/>
          <w:bCs/>
          <w:sz w:val="24"/>
        </w:rPr>
        <w:t>（7）同类业绩证明（如有，需提供合同复印件；附件</w:t>
      </w:r>
      <w:r>
        <w:rPr>
          <w:rFonts w:hint="eastAsia" w:ascii="宋体" w:hAnsi="宋体"/>
          <w:bCs/>
          <w:sz w:val="24"/>
          <w:lang w:val="en-US" w:eastAsia="zh-CN"/>
        </w:rPr>
        <w:t>8</w:t>
      </w:r>
      <w:r>
        <w:rPr>
          <w:rFonts w:hint="eastAsia" w:ascii="宋体" w:hAnsi="宋体"/>
          <w:bCs/>
          <w:sz w:val="24"/>
        </w:rPr>
        <w:t>）；</w:t>
      </w:r>
    </w:p>
    <w:p>
      <w:pPr>
        <w:pStyle w:val="8"/>
        <w:spacing w:line="360" w:lineRule="auto"/>
        <w:ind w:left="420" w:firstLine="0"/>
        <w:rPr>
          <w:sz w:val="28"/>
          <w:szCs w:val="28"/>
        </w:rPr>
      </w:pPr>
      <w:r>
        <w:rPr>
          <w:rFonts w:hint="eastAsia" w:ascii="宋体" w:hAnsi="宋体"/>
          <w:bCs/>
          <w:sz w:val="24"/>
        </w:rPr>
        <w:t>（8）符合招标文件规定的其他证明文件及评分标准中涉及的其他材料。</w:t>
      </w: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Pr>
        <w:pStyle w:val="8"/>
        <w:spacing w:line="360" w:lineRule="auto"/>
        <w:ind w:firstLine="0"/>
        <w:rPr>
          <w:rFonts w:ascii="宋体" w:hAnsi="宋体"/>
          <w:bCs/>
          <w:sz w:val="24"/>
        </w:rPr>
      </w:pPr>
    </w:p>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b/>
          <w:sz w:val="28"/>
        </w:rPr>
      </w:pPr>
    </w:p>
    <w:p>
      <w:pPr>
        <w:pStyle w:val="38"/>
        <w:shd w:val="clear" w:color="auto" w:fill="FFFFFF"/>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3</w:t>
      </w:r>
    </w:p>
    <w:p>
      <w:pPr>
        <w:pStyle w:val="38"/>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4" w:name="_Toc13307_WPSOffice_Level1"/>
      <w:bookmarkStart w:id="75" w:name="_Toc14261_WPSOffice_Level1"/>
      <w:r>
        <w:rPr>
          <w:rFonts w:hint="eastAsia"/>
          <w:b/>
          <w:sz w:val="32"/>
          <w:szCs w:val="32"/>
        </w:rPr>
        <w:t>投标</w:t>
      </w:r>
      <w:r>
        <w:rPr>
          <w:rFonts w:hint="eastAsia"/>
          <w:b/>
          <w:bCs/>
          <w:sz w:val="32"/>
          <w:szCs w:val="32"/>
        </w:rPr>
        <w:t>人基本情况表</w:t>
      </w:r>
      <w:bookmarkEnd w:id="74"/>
      <w:bookmarkEnd w:id="75"/>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rFonts w:hint="default" w:eastAsia="宋体"/>
                <w:bCs/>
                <w:lang w:val="en-US" w:eastAsia="zh-CN"/>
              </w:rPr>
            </w:pPr>
            <w:r>
              <w:rPr>
                <w:rFonts w:hint="eastAsia"/>
                <w:bCs/>
              </w:rPr>
              <w:t>法人代表</w:t>
            </w:r>
            <w:r>
              <w:rPr>
                <w:rFonts w:hint="eastAsia"/>
                <w:bCs/>
                <w:lang w:val="en-US" w:eastAsia="zh-CN"/>
              </w:rPr>
              <w:t>/负责人</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top w:val="nil"/>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vMerge w:val="continue"/>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910" w:type="dxa"/>
            <w:gridSpan w:val="2"/>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001" w:type="dxa"/>
            <w:gridSpan w:val="3"/>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2151" w:type="dxa"/>
            <w:gridSpan w:val="2"/>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1</w:t>
            </w:r>
            <w:r>
              <w:rPr>
                <w:rFonts w:hint="eastAsia"/>
                <w:bCs/>
              </w:rPr>
              <w:t>.</w:t>
            </w:r>
          </w:p>
          <w:p>
            <w:pPr>
              <w:pStyle w:val="38"/>
              <w:shd w:val="clear" w:color="auto" w:fill="FFFFFF"/>
              <w:spacing w:before="0" w:beforeAutospacing="0" w:after="0" w:afterAutospacing="0"/>
              <w:jc w:val="center"/>
              <w:rPr>
                <w:bCs/>
              </w:rPr>
            </w:pPr>
            <w:r>
              <w:rPr>
                <w:rFonts w:hint="eastAsia"/>
                <w:bCs/>
              </w:rPr>
              <w:t>企</w:t>
            </w:r>
          </w:p>
          <w:p>
            <w:pPr>
              <w:pStyle w:val="38"/>
              <w:shd w:val="clear" w:color="auto" w:fill="FFFFFF"/>
              <w:spacing w:before="0" w:beforeAutospacing="0" w:after="0" w:afterAutospacing="0"/>
              <w:jc w:val="center"/>
              <w:rPr>
                <w:bCs/>
              </w:rPr>
            </w:pPr>
            <w:r>
              <w:rPr>
                <w:rFonts w:hint="eastAsia"/>
                <w:bCs/>
              </w:rPr>
              <w:t>业</w:t>
            </w:r>
          </w:p>
          <w:p>
            <w:pPr>
              <w:pStyle w:val="38"/>
              <w:shd w:val="clear" w:color="auto" w:fill="FFFFFF"/>
              <w:spacing w:before="0" w:beforeAutospacing="0" w:after="0" w:afterAutospacing="0"/>
              <w:jc w:val="center"/>
              <w:rPr>
                <w:bCs/>
              </w:rPr>
            </w:pPr>
            <w:r>
              <w:rPr>
                <w:rFonts w:hint="eastAsia"/>
                <w:bCs/>
              </w:rPr>
              <w:t>概</w:t>
            </w:r>
          </w:p>
          <w:p>
            <w:pPr>
              <w:pStyle w:val="38"/>
              <w:shd w:val="clear" w:color="auto" w:fill="FFFFFF"/>
              <w:spacing w:before="0" w:beforeAutospacing="0" w:after="0" w:afterAutospacing="0"/>
              <w:jc w:val="center"/>
              <w:rPr>
                <w:bCs/>
              </w:rPr>
            </w:pPr>
            <w:r>
              <w:rPr>
                <w:rFonts w:hint="eastAsia"/>
                <w:bCs/>
              </w:rPr>
              <w:t>况</w:t>
            </w:r>
          </w:p>
        </w:tc>
        <w:tc>
          <w:tcPr>
            <w:tcW w:w="701"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pPr>
              <w:widowControl/>
              <w:jc w:val="center"/>
              <w:rPr>
                <w:rFonts w:ascii="宋体" w:hAnsi="宋体" w:cs="宋体"/>
                <w:bCs/>
                <w:kern w:val="0"/>
                <w:sz w:val="24"/>
              </w:rPr>
            </w:pPr>
          </w:p>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pPr>
              <w:widowControl/>
              <w:jc w:val="center"/>
              <w:rPr>
                <w:rFonts w:ascii="宋体" w:hAnsi="宋体" w:cs="宋体"/>
                <w:bCs/>
                <w:kern w:val="0"/>
                <w:sz w:val="24"/>
              </w:rPr>
            </w:pPr>
          </w:p>
          <w:p>
            <w:pPr>
              <w:pStyle w:val="38"/>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rFonts w:hint="eastAsia"/>
                <w:bCs/>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r>
              <w:rPr>
                <w:bCs/>
              </w:rPr>
              <w:t>2</w:t>
            </w:r>
            <w:r>
              <w:rPr>
                <w:rFonts w:hint="eastAsia"/>
                <w:bCs/>
              </w:rPr>
              <w:t>．</w:t>
            </w:r>
          </w:p>
          <w:p>
            <w:pPr>
              <w:pStyle w:val="38"/>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pPr>
              <w:pStyle w:val="38"/>
              <w:spacing w:before="0" w:beforeAutospacing="0" w:after="0" w:afterAutospacing="0"/>
              <w:jc w:val="center"/>
              <w:rPr>
                <w:bCs/>
              </w:rPr>
            </w:pPr>
            <w:r>
              <w:rPr>
                <w:rFonts w:hint="eastAsia"/>
                <w:bCs/>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pPr>
              <w:pStyle w:val="38"/>
              <w:shd w:val="clear" w:color="auto" w:fill="FFFFFF"/>
              <w:spacing w:before="0" w:beforeAutospacing="0" w:after="0" w:afterAutospacing="0"/>
              <w:jc w:val="center"/>
              <w:rPr>
                <w:bCs/>
              </w:rPr>
            </w:pPr>
          </w:p>
        </w:tc>
        <w:tc>
          <w:tcPr>
            <w:tcW w:w="1553" w:type="dxa"/>
            <w:gridSpan w:val="2"/>
            <w:vMerge w:val="continue"/>
            <w:tcMar>
              <w:top w:w="57" w:type="dxa"/>
              <w:left w:w="85" w:type="dxa"/>
              <w:bottom w:w="0" w:type="dxa"/>
              <w:right w:w="85" w:type="dxa"/>
            </w:tcMar>
            <w:vAlign w:val="center"/>
          </w:tcPr>
          <w:p>
            <w:pPr>
              <w:pStyle w:val="38"/>
              <w:spacing w:before="0" w:beforeAutospacing="0" w:after="0" w:afterAutospacing="0"/>
              <w:jc w:val="center"/>
              <w:rPr>
                <w:bCs/>
              </w:rPr>
            </w:pPr>
          </w:p>
        </w:tc>
        <w:tc>
          <w:tcPr>
            <w:tcW w:w="1333" w:type="dxa"/>
            <w:gridSpan w:val="3"/>
            <w:tcMar>
              <w:top w:w="57" w:type="dxa"/>
              <w:left w:w="85" w:type="dxa"/>
              <w:bottom w:w="0" w:type="dxa"/>
              <w:right w:w="85" w:type="dxa"/>
            </w:tcMar>
            <w:vAlign w:val="center"/>
          </w:tcPr>
          <w:p>
            <w:pPr>
              <w:pStyle w:val="38"/>
              <w:spacing w:before="0" w:beforeAutospacing="0" w:after="0" w:afterAutospacing="0"/>
              <w:jc w:val="center"/>
              <w:rPr>
                <w:bCs/>
              </w:rPr>
            </w:pPr>
          </w:p>
        </w:tc>
        <w:tc>
          <w:tcPr>
            <w:tcW w:w="14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1276" w:type="dxa"/>
            <w:tcMar>
              <w:top w:w="57" w:type="dxa"/>
              <w:left w:w="85" w:type="dxa"/>
              <w:bottom w:w="0" w:type="dxa"/>
              <w:right w:w="85" w:type="dxa"/>
            </w:tcMar>
            <w:vAlign w:val="center"/>
          </w:tcPr>
          <w:p>
            <w:pPr>
              <w:pStyle w:val="38"/>
              <w:spacing w:before="0" w:beforeAutospacing="0" w:after="0" w:afterAutospacing="0"/>
              <w:jc w:val="center"/>
              <w:rPr>
                <w:bCs/>
              </w:rPr>
            </w:pPr>
          </w:p>
        </w:tc>
        <w:tc>
          <w:tcPr>
            <w:tcW w:w="1618" w:type="dxa"/>
            <w:gridSpan w:val="2"/>
            <w:tcMar>
              <w:top w:w="57" w:type="dxa"/>
              <w:left w:w="85" w:type="dxa"/>
              <w:bottom w:w="0" w:type="dxa"/>
              <w:right w:w="85" w:type="dxa"/>
            </w:tcMar>
            <w:vAlign w:val="center"/>
          </w:tcPr>
          <w:p>
            <w:pPr>
              <w:pStyle w:val="38"/>
              <w:spacing w:before="0" w:beforeAutospacing="0" w:after="0" w:afterAutospacing="0"/>
              <w:jc w:val="center"/>
              <w:rPr>
                <w:bCs/>
              </w:rPr>
            </w:pPr>
          </w:p>
        </w:tc>
        <w:tc>
          <w:tcPr>
            <w:tcW w:w="933" w:type="dxa"/>
            <w:tcMar>
              <w:top w:w="57" w:type="dxa"/>
              <w:left w:w="85" w:type="dxa"/>
              <w:bottom w:w="0" w:type="dxa"/>
              <w:right w:w="85" w:type="dxa"/>
            </w:tcMar>
            <w:vAlign w:val="center"/>
          </w:tcPr>
          <w:p>
            <w:pPr>
              <w:pStyle w:val="38"/>
              <w:spacing w:before="0" w:beforeAutospacing="0" w:after="0" w:afterAutospacing="0"/>
              <w:jc w:val="center"/>
            </w:pPr>
          </w:p>
        </w:tc>
      </w:tr>
    </w:tbl>
    <w:p>
      <w:pPr>
        <w:pStyle w:val="38"/>
        <w:shd w:val="clear" w:color="auto" w:fill="FFFFFF"/>
        <w:spacing w:before="0" w:beforeAutospacing="0" w:after="0" w:afterAutospacing="0" w:line="360" w:lineRule="auto"/>
        <w:rPr>
          <w:b/>
          <w:sz w:val="21"/>
          <w:szCs w:val="21"/>
        </w:rPr>
      </w:pPr>
      <w:r>
        <w:rPr>
          <w:rFonts w:hint="eastAsia"/>
          <w:b/>
          <w:sz w:val="21"/>
          <w:szCs w:val="21"/>
        </w:rPr>
        <w:t>要求：</w:t>
      </w:r>
    </w:p>
    <w:p>
      <w:pPr>
        <w:pStyle w:val="38"/>
        <w:shd w:val="clear" w:color="auto" w:fill="FFFFFF"/>
        <w:spacing w:before="0" w:beforeAutospacing="0" w:after="0" w:afterAutospacing="0" w:line="360" w:lineRule="auto"/>
        <w:ind w:firstLine="424" w:firstLineChars="202"/>
        <w:rPr>
          <w:sz w:val="21"/>
          <w:szCs w:val="21"/>
        </w:rPr>
      </w:pPr>
      <w:r>
        <w:rPr>
          <w:rFonts w:hint="eastAsia" w:ascii="仿宋_GB2312" w:eastAsia="仿宋_GB2312"/>
          <w:sz w:val="21"/>
          <w:szCs w:val="21"/>
        </w:rPr>
        <w:t>1.</w:t>
      </w:r>
      <w:r>
        <w:rPr>
          <w:rFonts w:hint="eastAsia"/>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4"/>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4</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bookmarkStart w:id="76" w:name="_Toc12856_WPSOffice_Level1"/>
      <w:bookmarkStart w:id="77" w:name="_Toc26601_WPSOffice_Level1"/>
    </w:p>
    <w:p>
      <w:pPr>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5</w:t>
      </w:r>
    </w:p>
    <w:p>
      <w:pPr>
        <w:snapToGrid w:val="0"/>
        <w:spacing w:line="360" w:lineRule="auto"/>
        <w:jc w:val="center"/>
        <w:rPr>
          <w:rFonts w:ascii="宋体" w:hAnsi="宋体"/>
          <w:b/>
          <w:sz w:val="32"/>
          <w:szCs w:val="32"/>
        </w:rPr>
      </w:pPr>
      <w:r>
        <w:rPr>
          <w:rFonts w:hint="eastAsia" w:ascii="宋体" w:hAnsi="宋体"/>
          <w:b/>
          <w:sz w:val="32"/>
          <w:szCs w:val="32"/>
        </w:rPr>
        <w:t>项目实施人员一览表</w:t>
      </w:r>
    </w:p>
    <w:p>
      <w:pPr>
        <w:snapToGrid w:val="0"/>
        <w:spacing w:line="360" w:lineRule="auto"/>
        <w:jc w:val="center"/>
        <w:rPr>
          <w:rFonts w:ascii="宋体" w:hAnsi="宋体"/>
          <w:sz w:val="24"/>
        </w:rPr>
      </w:pPr>
      <w:r>
        <w:rPr>
          <w:rFonts w:hint="eastAsia" w:ascii="宋体" w:hAnsi="宋体"/>
          <w:sz w:val="24"/>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szCs w:val="21"/>
              </w:rPr>
            </w:pPr>
            <w:r>
              <w:rPr>
                <w:rFonts w:hint="eastAsia" w:ascii="宋体" w:hAnsi="宋体"/>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5"/>
              <w:spacing w:line="360" w:lineRule="auto"/>
              <w:ind w:left="5250"/>
              <w:rPr>
                <w:rFonts w:ascii="宋体" w:hAnsi="宋体"/>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szCs w:val="21"/>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Cs/>
          <w:szCs w:val="21"/>
        </w:rPr>
        <w:t>1.在填</w:t>
      </w:r>
      <w:r>
        <w:rPr>
          <w:rFonts w:hint="eastAsia" w:ascii="宋体" w:hAnsi="宋体"/>
          <w:szCs w:val="21"/>
        </w:rPr>
        <w:t>写时，如本表格不适合投标单位的实际情况，可根据本表格式自行划表填写。</w:t>
      </w:r>
    </w:p>
    <w:p>
      <w:pPr>
        <w:pStyle w:val="39"/>
        <w:spacing w:line="360" w:lineRule="auto"/>
        <w:ind w:left="424" w:leftChars="202"/>
        <w:rPr>
          <w:rFonts w:ascii="宋体" w:hAnsi="宋体"/>
          <w:szCs w:val="21"/>
        </w:rPr>
      </w:pPr>
      <w:r>
        <w:rPr>
          <w:rFonts w:hint="eastAsia" w:ascii="宋体" w:hAnsi="宋体"/>
          <w:szCs w:val="21"/>
        </w:rPr>
        <w:t>2.附人员证书。</w:t>
      </w:r>
    </w:p>
    <w:p>
      <w:pPr>
        <w:pStyle w:val="39"/>
        <w:spacing w:line="360" w:lineRule="auto"/>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left"/>
        <w:rPr>
          <w:rFonts w:ascii="宋体" w:hAnsi="宋体"/>
          <w:b/>
          <w:bCs/>
          <w:kern w:val="0"/>
          <w:sz w:val="32"/>
          <w:szCs w:val="32"/>
        </w:rPr>
      </w:pPr>
    </w:p>
    <w:p>
      <w:pPr>
        <w:jc w:val="left"/>
        <w:rPr>
          <w:rFonts w:ascii="宋体" w:hAnsi="宋体"/>
          <w:b/>
          <w:bCs/>
          <w:kern w:val="0"/>
          <w:sz w:val="32"/>
          <w:szCs w:val="32"/>
        </w:rPr>
      </w:pPr>
      <w:r>
        <w:rPr>
          <w:rFonts w:ascii="宋体" w:hAnsi="宋体"/>
          <w:b/>
          <w:bCs/>
          <w:kern w:val="0"/>
          <w:sz w:val="32"/>
          <w:szCs w:val="32"/>
        </w:rPr>
        <w:br w:type="page"/>
      </w:r>
    </w:p>
    <w:p>
      <w:pPr>
        <w:spacing w:line="360" w:lineRule="auto"/>
        <w:jc w:val="left"/>
        <w:rPr>
          <w:rFonts w:hint="eastAsia" w:ascii="宋体" w:hAnsi="宋体" w:eastAsia="宋体"/>
          <w:b/>
          <w:bCs/>
          <w:kern w:val="0"/>
          <w:sz w:val="32"/>
          <w:szCs w:val="32"/>
          <w:lang w:eastAsia="zh-CN"/>
        </w:rPr>
      </w:pPr>
      <w:r>
        <w:rPr>
          <w:rFonts w:hint="eastAsia" w:ascii="宋体" w:hAnsi="宋体"/>
          <w:b/>
          <w:bCs/>
          <w:kern w:val="0"/>
          <w:sz w:val="32"/>
          <w:szCs w:val="32"/>
        </w:rPr>
        <w:t>附件</w:t>
      </w:r>
      <w:r>
        <w:rPr>
          <w:rFonts w:hint="eastAsia" w:ascii="宋体" w:hAnsi="宋体"/>
          <w:b/>
          <w:bCs/>
          <w:kern w:val="0"/>
          <w:sz w:val="32"/>
          <w:szCs w:val="32"/>
          <w:lang w:val="en-US" w:eastAsia="zh-CN"/>
        </w:rPr>
        <w:t>6</w:t>
      </w:r>
    </w:p>
    <w:p>
      <w:pPr>
        <w:adjustRightInd w:val="0"/>
        <w:snapToGrid w:val="0"/>
        <w:ind w:firstLine="1205" w:firstLineChars="375"/>
        <w:jc w:val="center"/>
        <w:rPr>
          <w:rFonts w:ascii="宋体" w:hAnsi="宋体"/>
          <w:b/>
          <w:kern w:val="0"/>
          <w:sz w:val="32"/>
          <w:szCs w:val="32"/>
        </w:rPr>
      </w:pPr>
      <w:r>
        <w:rPr>
          <w:rFonts w:ascii="宋体" w:hAnsi="宋体"/>
          <w:b/>
          <w:kern w:val="0"/>
          <w:sz w:val="32"/>
          <w:szCs w:val="32"/>
        </w:rPr>
        <w:t>服务条款响应表</w:t>
      </w:r>
    </w:p>
    <w:p>
      <w:pPr>
        <w:adjustRightInd w:val="0"/>
        <w:snapToGrid w:val="0"/>
        <w:ind w:firstLine="1205" w:firstLineChars="375"/>
        <w:jc w:val="center"/>
        <w:rPr>
          <w:rFonts w:ascii="宋体" w:hAnsi="宋体"/>
          <w:b/>
          <w:kern w:val="0"/>
          <w:sz w:val="32"/>
          <w:szCs w:val="32"/>
        </w:rPr>
      </w:pPr>
    </w:p>
    <w:tbl>
      <w:tblPr>
        <w:tblStyle w:val="25"/>
        <w:tblW w:w="52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563"/>
        <w:gridCol w:w="2492"/>
        <w:gridCol w:w="124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pPr>
              <w:adjustRightInd w:val="0"/>
              <w:snapToGrid w:val="0"/>
              <w:spacing w:before="100" w:beforeAutospacing="1" w:after="100" w:afterAutospacing="1"/>
              <w:jc w:val="center"/>
              <w:rPr>
                <w:rFonts w:ascii="宋体" w:hAnsi="宋体"/>
                <w:sz w:val="24"/>
              </w:rPr>
            </w:pPr>
            <w:r>
              <w:rPr>
                <w:rFonts w:hint="eastAsia" w:ascii="宋体" w:hAnsi="宋体"/>
                <w:sz w:val="24"/>
                <w:u w:val="none" w:color="auto"/>
                <w:lang w:val="en-US" w:eastAsia="zh-CN"/>
              </w:rPr>
              <w:t>采购</w:t>
            </w:r>
            <w:r>
              <w:rPr>
                <w:rFonts w:ascii="宋体" w:hAnsi="宋体"/>
                <w:sz w:val="24"/>
                <w:u w:val="none" w:color="auto"/>
              </w:rPr>
              <w:t>文件要</w:t>
            </w:r>
            <w:r>
              <w:rPr>
                <w:rFonts w:ascii="宋体" w:hAnsi="宋体"/>
                <w:sz w:val="24"/>
              </w:rPr>
              <w:t>求</w:t>
            </w:r>
          </w:p>
        </w:tc>
        <w:tc>
          <w:tcPr>
            <w:tcW w:w="1401"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jc w:val="center"/>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pPr>
              <w:adjustRightInd w:val="0"/>
              <w:snapToGrid w:val="0"/>
              <w:spacing w:before="100" w:beforeAutospacing="1" w:after="100" w:afterAutospacing="1"/>
              <w:jc w:val="center"/>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9" w:type="pct"/>
            <w:vAlign w:val="center"/>
          </w:tcPr>
          <w:p>
            <w:pPr>
              <w:adjustRightInd w:val="0"/>
              <w:snapToGrid w:val="0"/>
              <w:spacing w:before="100" w:beforeAutospacing="1" w:after="100" w:afterAutospacing="1"/>
              <w:jc w:val="center"/>
              <w:rPr>
                <w:rFonts w:ascii="宋体" w:hAnsi="宋体"/>
                <w:sz w:val="24"/>
              </w:rPr>
            </w:pPr>
          </w:p>
        </w:tc>
        <w:tc>
          <w:tcPr>
            <w:tcW w:w="2003" w:type="pct"/>
            <w:vAlign w:val="center"/>
          </w:tcPr>
          <w:p>
            <w:pPr>
              <w:adjustRightInd w:val="0"/>
              <w:snapToGrid w:val="0"/>
              <w:spacing w:before="100" w:beforeAutospacing="1" w:after="100" w:afterAutospacing="1"/>
              <w:rPr>
                <w:rFonts w:ascii="宋体" w:hAnsi="宋体"/>
                <w:sz w:val="24"/>
              </w:rPr>
            </w:pPr>
          </w:p>
        </w:tc>
        <w:tc>
          <w:tcPr>
            <w:tcW w:w="1401" w:type="pct"/>
            <w:vAlign w:val="center"/>
          </w:tcPr>
          <w:p>
            <w:pPr>
              <w:adjustRightInd w:val="0"/>
              <w:snapToGrid w:val="0"/>
              <w:spacing w:before="100" w:beforeAutospacing="1" w:after="100" w:afterAutospacing="1"/>
              <w:rPr>
                <w:rFonts w:ascii="宋体" w:hAnsi="宋体"/>
                <w:sz w:val="24"/>
              </w:rPr>
            </w:pPr>
          </w:p>
        </w:tc>
        <w:tc>
          <w:tcPr>
            <w:tcW w:w="698" w:type="pct"/>
            <w:vAlign w:val="center"/>
          </w:tcPr>
          <w:p>
            <w:pPr>
              <w:adjustRightInd w:val="0"/>
              <w:snapToGrid w:val="0"/>
              <w:spacing w:before="100" w:beforeAutospacing="1" w:after="100" w:afterAutospacing="1"/>
              <w:rPr>
                <w:rFonts w:ascii="宋体" w:hAnsi="宋体"/>
                <w:sz w:val="24"/>
              </w:rPr>
            </w:pPr>
          </w:p>
        </w:tc>
        <w:tc>
          <w:tcPr>
            <w:tcW w:w="400" w:type="pct"/>
            <w:vAlign w:val="center"/>
          </w:tcPr>
          <w:p>
            <w:pPr>
              <w:adjustRightInd w:val="0"/>
              <w:snapToGrid w:val="0"/>
              <w:spacing w:before="100" w:beforeAutospacing="1" w:after="100" w:afterAutospacing="1"/>
              <w:rPr>
                <w:rFonts w:ascii="宋体" w:hAnsi="宋体"/>
                <w:sz w:val="24"/>
              </w:rPr>
            </w:pPr>
          </w:p>
        </w:tc>
      </w:tr>
    </w:tbl>
    <w:p>
      <w:pPr>
        <w:pStyle w:val="14"/>
        <w:adjustRightInd w:val="0"/>
        <w:snapToGrid w:val="0"/>
        <w:rPr>
          <w:rFonts w:hAnsi="宋体"/>
          <w:b/>
          <w:szCs w:val="21"/>
        </w:rPr>
      </w:pPr>
      <w:r>
        <w:rPr>
          <w:rFonts w:hAnsi="宋体"/>
          <w:b/>
          <w:szCs w:val="21"/>
        </w:rPr>
        <w:t>说明：1</w:t>
      </w:r>
      <w:r>
        <w:rPr>
          <w:rFonts w:hint="eastAsia" w:hAnsi="宋体"/>
          <w:b/>
          <w:szCs w:val="21"/>
        </w:rPr>
        <w:t>、</w:t>
      </w:r>
      <w:r>
        <w:rPr>
          <w:rFonts w:hAnsi="宋体"/>
          <w:b/>
          <w:szCs w:val="21"/>
        </w:rPr>
        <w:t>投标人若不填写</w:t>
      </w:r>
      <w:r>
        <w:rPr>
          <w:rFonts w:hint="eastAsia" w:hAnsi="宋体"/>
          <w:b/>
          <w:szCs w:val="21"/>
        </w:rPr>
        <w:t>此表</w:t>
      </w:r>
      <w:r>
        <w:rPr>
          <w:rFonts w:hAnsi="宋体"/>
          <w:b/>
          <w:szCs w:val="21"/>
        </w:rPr>
        <w:t>，则视为完全响应</w:t>
      </w:r>
      <w:r>
        <w:rPr>
          <w:rFonts w:hint="eastAsia" w:hAnsi="宋体"/>
          <w:b/>
          <w:szCs w:val="21"/>
        </w:rPr>
        <w:t>招标</w:t>
      </w:r>
      <w:r>
        <w:rPr>
          <w:rFonts w:hAnsi="宋体"/>
          <w:b/>
          <w:szCs w:val="21"/>
        </w:rPr>
        <w:t>文件要求</w:t>
      </w:r>
      <w:r>
        <w:rPr>
          <w:rFonts w:hint="eastAsia" w:hAnsi="宋体"/>
          <w:b/>
          <w:szCs w:val="21"/>
        </w:rPr>
        <w:t>。</w:t>
      </w:r>
    </w:p>
    <w:p>
      <w:pPr>
        <w:pStyle w:val="14"/>
        <w:adjustRightInd w:val="0"/>
        <w:snapToGrid w:val="0"/>
        <w:rPr>
          <w:rFonts w:hAnsi="宋体"/>
          <w:b/>
          <w:szCs w:val="21"/>
        </w:rPr>
      </w:pPr>
      <w:r>
        <w:rPr>
          <w:rFonts w:hint="eastAsia" w:hAnsi="宋体"/>
          <w:b/>
          <w:szCs w:val="21"/>
        </w:rPr>
        <w:t xml:space="preserve">       2、</w:t>
      </w:r>
      <w:r>
        <w:rPr>
          <w:rFonts w:hAnsi="宋体"/>
          <w:b/>
          <w:szCs w:val="21"/>
        </w:rPr>
        <w:t xml:space="preserve">投标人拟提供的服务承诺与招标文件中的要求不一致时，则必须在技术标《服务条款响应表》中予以明确。 </w:t>
      </w:r>
    </w:p>
    <w:p>
      <w:pPr>
        <w:adjustRightInd w:val="0"/>
        <w:snapToGrid w:val="0"/>
        <w:jc w:val="left"/>
        <w:rPr>
          <w:rFonts w:ascii="宋体" w:hAnsi="宋体"/>
          <w:b/>
          <w:kern w:val="0"/>
          <w:szCs w:val="21"/>
        </w:rPr>
      </w:pPr>
      <w:r>
        <w:rPr>
          <w:rFonts w:hint="eastAsia" w:ascii="宋体" w:hAnsi="宋体"/>
          <w:b/>
          <w:szCs w:val="21"/>
        </w:rPr>
        <w:t xml:space="preserve">       3</w:t>
      </w:r>
      <w:r>
        <w:rPr>
          <w:rFonts w:ascii="宋体" w:hAnsi="宋体"/>
          <w:b/>
          <w:szCs w:val="21"/>
        </w:rPr>
        <w:t>、响应情况分别为：正偏离、响应或负偏离。投标人可在备注栏内就偏离原因进行简要说明。</w:t>
      </w:r>
    </w:p>
    <w:bookmarkEnd w:id="76"/>
    <w:bookmarkEnd w:id="77"/>
    <w:p>
      <w:pPr>
        <w:spacing w:line="360" w:lineRule="auto"/>
        <w:rPr>
          <w:rFonts w:ascii="宋体" w:hAnsi="宋体"/>
          <w:sz w:val="24"/>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u w:val="single"/>
        </w:rPr>
      </w:pPr>
      <w:r>
        <w:rPr>
          <w:rFonts w:hint="eastAsia" w:ascii="宋体" w:hAnsi="宋体"/>
          <w:sz w:val="24"/>
        </w:rPr>
        <w:t>职        务：</w:t>
      </w: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hint="eastAsia" w:ascii="宋体" w:hAnsi="宋体"/>
          <w:b/>
          <w:sz w:val="28"/>
        </w:rPr>
        <w:br w:type="page"/>
      </w:r>
    </w:p>
    <w:p>
      <w:pPr>
        <w:pStyle w:val="41"/>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pStyle w:val="42"/>
        <w:spacing w:line="360" w:lineRule="auto"/>
        <w:jc w:val="center"/>
        <w:rPr>
          <w:rFonts w:ascii="宋体" w:hAnsi="宋体" w:cs="Arial"/>
          <w:sz w:val="28"/>
          <w:szCs w:val="28"/>
        </w:rPr>
      </w:pPr>
      <w:bookmarkStart w:id="78" w:name="_Toc17604_WPSOffice_Level1"/>
      <w:bookmarkStart w:id="79" w:name="_Toc11030_WPSOffice_Level1"/>
      <w:r>
        <w:rPr>
          <w:rFonts w:hint="eastAsia" w:ascii="宋体" w:hAnsi="宋体"/>
          <w:b/>
          <w:sz w:val="32"/>
          <w:szCs w:val="32"/>
        </w:rPr>
        <w:t>证书一览表</w:t>
      </w:r>
      <w:bookmarkEnd w:id="78"/>
      <w:bookmarkEnd w:id="7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证书名称</w:t>
            </w:r>
          </w:p>
        </w:tc>
        <w:tc>
          <w:tcPr>
            <w:tcW w:w="2258"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发证单位</w:t>
            </w:r>
          </w:p>
        </w:tc>
        <w:tc>
          <w:tcPr>
            <w:tcW w:w="2260" w:type="dxa"/>
            <w:tcBorders>
              <w:top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b/>
                <w:bCs/>
                <w:szCs w:val="21"/>
              </w:rPr>
            </w:pPr>
            <w:r>
              <w:rPr>
                <w:rFonts w:hint="eastAsia" w:ascii="宋体" w:hAnsi="宋体" w:cs="Arial"/>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top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top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58"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60" w:type="dxa"/>
            <w:tcBorders>
              <w:bottom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c>
          <w:tcPr>
            <w:tcW w:w="2277" w:type="dxa"/>
            <w:tcBorders>
              <w:bottom w:val="single" w:color="auto" w:sz="4" w:space="0"/>
              <w:right w:val="single" w:color="auto" w:sz="4" w:space="0"/>
            </w:tcBorders>
            <w:tcMar>
              <w:top w:w="57" w:type="dxa"/>
              <w:left w:w="85" w:type="dxa"/>
              <w:bottom w:w="0" w:type="dxa"/>
              <w:right w:w="85" w:type="dxa"/>
            </w:tcMar>
          </w:tcPr>
          <w:p>
            <w:pPr>
              <w:pStyle w:val="42"/>
              <w:spacing w:line="360" w:lineRule="auto"/>
              <w:jc w:val="center"/>
              <w:rPr>
                <w:rFonts w:ascii="宋体" w:hAnsi="宋体" w:cs="Arial"/>
                <w:szCs w:val="21"/>
              </w:rPr>
            </w:pPr>
          </w:p>
        </w:tc>
      </w:tr>
    </w:tbl>
    <w:p>
      <w:pPr>
        <w:pStyle w:val="42"/>
        <w:tabs>
          <w:tab w:val="left" w:pos="1050"/>
        </w:tabs>
        <w:spacing w:line="360" w:lineRule="auto"/>
        <w:rPr>
          <w:rFonts w:ascii="宋体" w:hAnsi="宋体"/>
          <w:szCs w:val="21"/>
        </w:rPr>
      </w:pPr>
      <w:r>
        <w:rPr>
          <w:rFonts w:hint="eastAsia" w:ascii="宋体" w:hAnsi="宋体"/>
          <w:b/>
          <w:szCs w:val="21"/>
        </w:rPr>
        <w:t>要求：</w:t>
      </w:r>
    </w:p>
    <w:p>
      <w:pPr>
        <w:pStyle w:val="42"/>
        <w:tabs>
          <w:tab w:val="left" w:pos="1050"/>
        </w:tabs>
        <w:spacing w:line="360" w:lineRule="auto"/>
        <w:ind w:firstLine="424" w:firstLineChars="202"/>
        <w:rPr>
          <w:rFonts w:ascii="宋体" w:hAnsi="宋体"/>
          <w:szCs w:val="21"/>
        </w:rPr>
      </w:pPr>
      <w:r>
        <w:rPr>
          <w:rFonts w:hint="eastAsia" w:ascii="宋体" w:hAnsi="宋体"/>
          <w:szCs w:val="21"/>
        </w:rPr>
        <w:t>1.填写投标人获得资质、认证或企业信誉证书。</w:t>
      </w:r>
    </w:p>
    <w:p>
      <w:pPr>
        <w:pStyle w:val="42"/>
        <w:tabs>
          <w:tab w:val="left" w:pos="1050"/>
        </w:tabs>
        <w:spacing w:line="360" w:lineRule="auto"/>
        <w:ind w:firstLine="424" w:firstLineChars="202"/>
        <w:rPr>
          <w:rFonts w:ascii="宋体" w:hAnsi="宋体"/>
          <w:szCs w:val="21"/>
        </w:rPr>
      </w:pPr>
      <w:r>
        <w:rPr>
          <w:rFonts w:hint="eastAsia" w:ascii="宋体" w:hAnsi="宋体"/>
          <w:szCs w:val="21"/>
        </w:rPr>
        <w:t>2.附所列证书或其他证明材料。</w:t>
      </w:r>
    </w:p>
    <w:p>
      <w:pPr>
        <w:pStyle w:val="42"/>
        <w:tabs>
          <w:tab w:val="left" w:pos="1050"/>
        </w:tabs>
        <w:spacing w:line="360" w:lineRule="auto"/>
        <w:rPr>
          <w:rFonts w:ascii="仿宋_GB2312" w:hAnsi="宋体" w:eastAsia="仿宋_GB2312"/>
          <w:sz w:val="24"/>
        </w:rPr>
      </w:pPr>
    </w:p>
    <w:p>
      <w:pPr>
        <w:pStyle w:val="4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8"/>
        <w:shd w:val="clear" w:color="auto" w:fill="FFFFFF"/>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p>
    <w:p>
      <w:pPr>
        <w:pStyle w:val="24"/>
        <w:ind w:left="0" w:leftChars="0" w:firstLine="0"/>
        <w:rPr>
          <w:rFonts w:ascii="宋体" w:hAnsi="宋体"/>
          <w:b/>
          <w:sz w:val="28"/>
        </w:rPr>
      </w:pP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jc w:val="center"/>
        <w:rPr>
          <w:rFonts w:ascii="宋体" w:hAnsi="宋体"/>
          <w:b/>
          <w:bCs/>
          <w:kern w:val="0"/>
          <w:sz w:val="32"/>
          <w:szCs w:val="32"/>
        </w:rPr>
      </w:pPr>
      <w:r>
        <w:rPr>
          <w:rFonts w:hint="eastAsia" w:ascii="宋体" w:hAnsi="宋体"/>
          <w:b/>
          <w:bCs/>
          <w:kern w:val="0"/>
          <w:sz w:val="32"/>
          <w:szCs w:val="32"/>
        </w:rPr>
        <w:t>同类业绩证明</w:t>
      </w:r>
    </w:p>
    <w:tbl>
      <w:tblPr>
        <w:tblStyle w:val="25"/>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41"/>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41"/>
              <w:spacing w:line="360" w:lineRule="auto"/>
              <w:rPr>
                <w:rFonts w:asciiTheme="minorEastAsia" w:hAnsiTheme="minorEastAsia" w:eastAsiaTheme="minorEastAsia" w:cstheme="minorEastAsia"/>
                <w:szCs w:val="21"/>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0" w:firstLineChars="200"/>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pStyle w:val="24"/>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sz w:val="52"/>
          <w:szCs w:val="52"/>
        </w:rPr>
      </w:pPr>
      <w:bookmarkStart w:id="80" w:name="_Toc21322_WPSOffice_Level1"/>
      <w:bookmarkStart w:id="81" w:name="_Toc4615_WPSOffice_Level1"/>
      <w:bookmarkStart w:id="82" w:name="_Toc30468_WPSOffice_Level1"/>
    </w:p>
    <w:bookmarkEnd w:id="80"/>
    <w:bookmarkEnd w:id="81"/>
    <w:bookmarkEnd w:id="82"/>
    <w:p>
      <w:pPr>
        <w:jc w:val="center"/>
        <w:rPr>
          <w:sz w:val="44"/>
          <w:szCs w:val="44"/>
        </w:rPr>
      </w:pPr>
    </w:p>
    <w:p>
      <w:pPr>
        <w:spacing w:before="312" w:beforeLines="100" w:line="360" w:lineRule="auto"/>
        <w:ind w:right="-108"/>
        <w:jc w:val="center"/>
        <w:rPr>
          <w:rFonts w:hint="eastAsia"/>
          <w:sz w:val="44"/>
          <w:szCs w:val="44"/>
        </w:rPr>
      </w:pPr>
    </w:p>
    <w:p>
      <w:pPr>
        <w:spacing w:before="312" w:beforeLines="100" w:line="360" w:lineRule="auto"/>
        <w:ind w:right="-108"/>
        <w:jc w:val="center"/>
        <w:rPr>
          <w:rFonts w:hint="eastAsia"/>
          <w:sz w:val="44"/>
          <w:szCs w:val="44"/>
        </w:rPr>
      </w:pPr>
      <w:r>
        <w:rPr>
          <w:rFonts w:hint="eastAsia"/>
          <w:sz w:val="44"/>
          <w:szCs w:val="44"/>
        </w:rPr>
        <w:t>台州“飞安行”低空飞行管控服务平台</w:t>
      </w:r>
    </w:p>
    <w:p>
      <w:pPr>
        <w:spacing w:before="312" w:beforeLines="100" w:line="360" w:lineRule="auto"/>
        <w:ind w:right="-108"/>
        <w:jc w:val="center"/>
        <w:rPr>
          <w:rFonts w:ascii="宋体" w:hAnsi="宋体"/>
          <w:sz w:val="36"/>
          <w:szCs w:val="36"/>
        </w:rPr>
      </w:pPr>
      <w:r>
        <w:rPr>
          <w:rFonts w:hint="eastAsia" w:ascii="宋体" w:hAnsi="宋体"/>
          <w:sz w:val="36"/>
          <w:szCs w:val="36"/>
        </w:rPr>
        <w:t>项目编号：</w:t>
      </w:r>
    </w:p>
    <w:p>
      <w:pPr>
        <w:pStyle w:val="24"/>
      </w:pPr>
    </w:p>
    <w:p>
      <w:pPr>
        <w:jc w:val="center"/>
        <w:rPr>
          <w:sz w:val="84"/>
          <w:szCs w:val="84"/>
        </w:rPr>
      </w:pPr>
      <w:bookmarkStart w:id="83" w:name="_Toc14572_WPSOffice_Level1"/>
      <w:bookmarkStart w:id="84" w:name="_Toc3932_WPSOffice_Level1"/>
      <w:r>
        <w:rPr>
          <w:rFonts w:hint="eastAsia"/>
          <w:sz w:val="84"/>
          <w:szCs w:val="84"/>
        </w:rPr>
        <w:t>商</w:t>
      </w:r>
    </w:p>
    <w:p>
      <w:pPr>
        <w:jc w:val="center"/>
        <w:rPr>
          <w:sz w:val="84"/>
          <w:szCs w:val="84"/>
        </w:rPr>
      </w:pPr>
      <w:r>
        <w:rPr>
          <w:rFonts w:hint="eastAsia"/>
          <w:sz w:val="84"/>
          <w:szCs w:val="84"/>
        </w:rPr>
        <w:t>务</w:t>
      </w:r>
    </w:p>
    <w:p>
      <w:pPr>
        <w:jc w:val="center"/>
        <w:rPr>
          <w:sz w:val="84"/>
          <w:szCs w:val="84"/>
        </w:rPr>
      </w:pPr>
      <w:r>
        <w:rPr>
          <w:rFonts w:hint="eastAsia"/>
          <w:sz w:val="84"/>
          <w:szCs w:val="84"/>
        </w:rPr>
        <w:t>文</w:t>
      </w:r>
      <w:bookmarkEnd w:id="83"/>
      <w:bookmarkEnd w:id="84"/>
    </w:p>
    <w:p>
      <w:pPr>
        <w:jc w:val="center"/>
        <w:rPr>
          <w:sz w:val="84"/>
          <w:szCs w:val="84"/>
        </w:rPr>
      </w:pPr>
      <w:bookmarkStart w:id="85" w:name="_Toc16973_WPSOffice_Level1"/>
      <w:bookmarkStart w:id="86" w:name="_Toc7562_WPSOffice_Level1"/>
      <w:r>
        <w:rPr>
          <w:rFonts w:hint="eastAsia"/>
          <w:sz w:val="84"/>
          <w:szCs w:val="84"/>
        </w:rPr>
        <w:t>件</w:t>
      </w:r>
      <w:bookmarkEnd w:id="85"/>
      <w:bookmarkEnd w:id="86"/>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87" w:name="_Toc26700_WPSOffice_Level1"/>
      <w:bookmarkStart w:id="88" w:name="_Toc4603_WPSOffice_Level1"/>
      <w:r>
        <w:rPr>
          <w:rFonts w:hint="eastAsia" w:ascii="宋体" w:hAnsi="宋体"/>
          <w:sz w:val="36"/>
          <w:szCs w:val="36"/>
        </w:rPr>
        <w:t>投标人全称（公章）：</w:t>
      </w:r>
      <w:bookmarkEnd w:id="87"/>
      <w:bookmarkEnd w:id="88"/>
    </w:p>
    <w:p>
      <w:pPr>
        <w:spacing w:line="360" w:lineRule="auto"/>
        <w:ind w:right="-108" w:firstLine="720" w:firstLineChars="200"/>
        <w:rPr>
          <w:rFonts w:ascii="宋体" w:hAnsi="宋体"/>
          <w:sz w:val="36"/>
          <w:szCs w:val="36"/>
        </w:rPr>
      </w:pPr>
      <w:bookmarkStart w:id="89" w:name="_Toc1391_WPSOffice_Level1"/>
      <w:bookmarkStart w:id="90" w:name="_Toc32593_WPSOffice_Level1"/>
      <w:r>
        <w:rPr>
          <w:rFonts w:hint="eastAsia" w:ascii="宋体" w:hAnsi="宋体"/>
          <w:sz w:val="36"/>
          <w:szCs w:val="36"/>
        </w:rPr>
        <w:t>地    址：</w:t>
      </w:r>
      <w:bookmarkEnd w:id="89"/>
      <w:bookmarkEnd w:id="90"/>
    </w:p>
    <w:p>
      <w:pPr>
        <w:spacing w:line="360" w:lineRule="auto"/>
        <w:ind w:right="-108" w:firstLine="720" w:firstLineChars="200"/>
        <w:rPr>
          <w:rFonts w:ascii="宋体" w:hAnsi="宋体"/>
          <w:sz w:val="36"/>
          <w:szCs w:val="36"/>
        </w:rPr>
      </w:pPr>
      <w:bookmarkStart w:id="91" w:name="_Toc20938_WPSOffice_Level1"/>
      <w:bookmarkStart w:id="92" w:name="_Toc3791_WPSOffice_Level1"/>
      <w:r>
        <w:rPr>
          <w:rFonts w:hint="eastAsia" w:ascii="宋体" w:hAnsi="宋体"/>
          <w:sz w:val="36"/>
          <w:szCs w:val="36"/>
        </w:rPr>
        <w:t>时    间：</w:t>
      </w:r>
      <w:bookmarkEnd w:id="91"/>
      <w:bookmarkEnd w:id="92"/>
    </w:p>
    <w:p>
      <w:pPr>
        <w:spacing w:line="360" w:lineRule="auto"/>
        <w:ind w:right="-108"/>
        <w:jc w:val="center"/>
        <w:rPr>
          <w:rFonts w:ascii="仿宋_GB2312" w:hAnsi="宋体" w:eastAsia="仿宋_GB2312"/>
          <w:b/>
          <w:sz w:val="36"/>
          <w:szCs w:val="36"/>
        </w:rPr>
      </w:pPr>
    </w:p>
    <w:p>
      <w:pPr>
        <w:pStyle w:val="24"/>
      </w:pPr>
    </w:p>
    <w:p>
      <w:pPr>
        <w:pStyle w:val="24"/>
      </w:pPr>
    </w:p>
    <w:p>
      <w:pPr>
        <w:pStyle w:val="24"/>
      </w:pPr>
    </w:p>
    <w:p>
      <w:pPr>
        <w:pStyle w:val="24"/>
      </w:pPr>
    </w:p>
    <w:p>
      <w:pPr>
        <w:pStyle w:val="24"/>
      </w:pPr>
    </w:p>
    <w:p>
      <w:pPr>
        <w:pStyle w:val="24"/>
      </w:pPr>
    </w:p>
    <w:p>
      <w:pPr>
        <w:pStyle w:val="24"/>
      </w:pPr>
    </w:p>
    <w:p>
      <w:pPr>
        <w:pStyle w:val="8"/>
        <w:rPr>
          <w:rFonts w:ascii="仿宋_GB2312" w:hAnsi="宋体" w:eastAsia="仿宋_GB2312"/>
          <w:b/>
          <w:sz w:val="36"/>
          <w:szCs w:val="36"/>
        </w:rPr>
      </w:pPr>
    </w:p>
    <w:p>
      <w:pPr>
        <w:spacing w:line="480" w:lineRule="auto"/>
        <w:jc w:val="center"/>
        <w:rPr>
          <w:rFonts w:hint="eastAsia" w:ascii="宋体" w:hAnsi="宋体"/>
          <w:b/>
          <w:bCs/>
          <w:sz w:val="36"/>
          <w:szCs w:val="36"/>
        </w:rPr>
      </w:pPr>
      <w:bookmarkStart w:id="93" w:name="_Toc19972_WPSOffice_Level1"/>
      <w:bookmarkStart w:id="94" w:name="_Toc29537_WPSOffice_Level1"/>
    </w:p>
    <w:p>
      <w:pPr>
        <w:spacing w:line="480" w:lineRule="auto"/>
        <w:jc w:val="center"/>
      </w:pPr>
      <w:r>
        <w:rPr>
          <w:rFonts w:hint="eastAsia" w:ascii="宋体" w:hAnsi="宋体"/>
          <w:b/>
          <w:bCs/>
          <w:sz w:val="36"/>
          <w:szCs w:val="36"/>
        </w:rPr>
        <w:t>商务标目录</w:t>
      </w:r>
      <w:bookmarkEnd w:id="93"/>
      <w:bookmarkEnd w:id="94"/>
    </w:p>
    <w:p>
      <w:pPr>
        <w:rPr>
          <w:rFonts w:asciiTheme="minorEastAsia" w:hAnsiTheme="minorEastAsia" w:eastAsiaTheme="minorEastAsia" w:cstheme="minorEastAsia"/>
          <w:sz w:val="28"/>
          <w:szCs w:val="28"/>
        </w:rPr>
      </w:pPr>
    </w:p>
    <w:p>
      <w:pPr>
        <w:autoSpaceDE w:val="0"/>
        <w:autoSpaceDN w:val="0"/>
        <w:adjustRightInd w:val="0"/>
        <w:spacing w:line="360" w:lineRule="auto"/>
        <w:ind w:firstLine="480" w:firstLineChars="200"/>
        <w:rPr>
          <w:rFonts w:hint="eastAsia" w:ascii="宋体" w:hAnsi="宋体" w:cs="宋体"/>
          <w:color w:val="auto"/>
          <w:kern w:val="0"/>
          <w:sz w:val="24"/>
          <w:highlight w:val="none"/>
        </w:rPr>
      </w:pPr>
      <w:bookmarkStart w:id="95" w:name="_Toc29988_WPSOffice_Level1"/>
      <w:bookmarkStart w:id="96" w:name="_Toc6778_WPSOffice_Level1"/>
      <w:r>
        <w:rPr>
          <w:rFonts w:hint="eastAsia" w:ascii="宋体" w:hAnsi="宋体" w:cs="宋体"/>
          <w:color w:val="auto"/>
          <w:kern w:val="0"/>
          <w:sz w:val="24"/>
          <w:highlight w:val="none"/>
        </w:rPr>
        <w:t>（1）开标一览表（附件</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color w:val="auto"/>
          <w:kern w:val="0"/>
          <w:sz w:val="24"/>
          <w:highlight w:val="none"/>
          <w:lang w:val="en-GB"/>
        </w:rPr>
      </w:pPr>
      <w:r>
        <w:rPr>
          <w:rFonts w:hint="eastAsia" w:ascii="宋体" w:hAnsi="宋体" w:cs="宋体"/>
          <w:color w:val="auto"/>
          <w:kern w:val="0"/>
          <w:sz w:val="24"/>
          <w:highlight w:val="none"/>
        </w:rPr>
        <w:t>（2）报价明细表（附件</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（3）针对报价供应商认为其他需要说明的。</w:t>
      </w:r>
    </w:p>
    <w:bookmarkEnd w:id="95"/>
    <w:bookmarkEnd w:id="96"/>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hint="eastAsia"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spacing w:line="360" w:lineRule="auto"/>
        <w:ind w:left="-2" w:hanging="2"/>
        <w:jc w:val="center"/>
        <w:rPr>
          <w:rFonts w:ascii="宋体" w:hAnsi="宋体"/>
          <w:b/>
          <w:sz w:val="32"/>
          <w:szCs w:val="32"/>
        </w:rPr>
      </w:pPr>
      <w:bookmarkStart w:id="97" w:name="_Toc30363_WPSOffice_Level1"/>
      <w:bookmarkStart w:id="98" w:name="_Toc16144_WPSOffice_Level1"/>
      <w:r>
        <w:rPr>
          <w:rFonts w:hint="eastAsia" w:ascii="宋体" w:hAnsi="宋体"/>
          <w:b/>
          <w:sz w:val="32"/>
          <w:szCs w:val="32"/>
        </w:rPr>
        <w:t>开标一览表</w:t>
      </w:r>
      <w:bookmarkEnd w:id="97"/>
      <w:bookmarkEnd w:id="98"/>
    </w:p>
    <w:p>
      <w:pPr>
        <w:pStyle w:val="14"/>
        <w:spacing w:line="360" w:lineRule="auto"/>
        <w:ind w:firstLine="482" w:firstLineChars="200"/>
        <w:rPr>
          <w:rFonts w:hAnsi="宋体"/>
          <w:b/>
          <w:sz w:val="24"/>
        </w:rPr>
      </w:pPr>
      <w:r>
        <w:rPr>
          <w:rFonts w:hAnsi="宋体"/>
          <w:b/>
          <w:sz w:val="24"/>
        </w:rPr>
        <w:t>项目编号：</w:t>
      </w:r>
    </w:p>
    <w:p>
      <w:pPr>
        <w:pStyle w:val="47"/>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p>
      <w:pPr>
        <w:snapToGrid w:val="0"/>
        <w:spacing w:before="50" w:after="50"/>
        <w:jc w:val="left"/>
        <w:rPr>
          <w:rFonts w:hint="eastAsia" w:ascii="Arial" w:hAnsi="Arial" w:eastAsia="宋体" w:cs="Arial"/>
          <w:sz w:val="22"/>
          <w:szCs w:val="22"/>
          <w:lang w:eastAsia="zh-CN"/>
        </w:rPr>
      </w:pPr>
      <w:r>
        <w:rPr>
          <w:rFonts w:hint="eastAsia" w:ascii="Arial" w:hAnsi="Arial" w:cs="宋体"/>
          <w:sz w:val="22"/>
          <w:szCs w:val="22"/>
        </w:rPr>
        <w:t>致：</w:t>
      </w:r>
      <w:r>
        <w:rPr>
          <w:rFonts w:hint="eastAsia" w:ascii="Arial" w:hAnsi="Arial" w:cs="宋体"/>
          <w:sz w:val="22"/>
          <w:szCs w:val="22"/>
          <w:lang w:eastAsia="zh-CN"/>
        </w:rPr>
        <w:t>台州循环经济发展有限公司</w:t>
      </w:r>
    </w:p>
    <w:p>
      <w:pPr>
        <w:snapToGrid w:val="0"/>
        <w:ind w:firstLine="440" w:firstLineChars="200"/>
        <w:jc w:val="left"/>
        <w:rPr>
          <w:rFonts w:ascii="新宋体" w:hAnsi="新宋体" w:eastAsia="新宋体"/>
          <w:szCs w:val="21"/>
        </w:rPr>
      </w:pPr>
      <w:r>
        <w:rPr>
          <w:rFonts w:ascii="Arial" w:hAnsi="Arial" w:cs="Arial"/>
          <w:sz w:val="22"/>
          <w:szCs w:val="22"/>
        </w:rPr>
        <w:t>经研究，我们决定参加</w:t>
      </w:r>
      <w:r>
        <w:rPr>
          <w:rFonts w:hint="eastAsia" w:ascii="Arial" w:hAnsi="Arial" w:cs="Arial"/>
          <w:sz w:val="22"/>
          <w:szCs w:val="22"/>
        </w:rPr>
        <w:t>你单位的</w:t>
      </w:r>
      <w:r>
        <w:rPr>
          <w:rFonts w:hint="eastAsia" w:ascii="宋体" w:hAnsi="宋体"/>
          <w:sz w:val="22"/>
          <w:szCs w:val="22"/>
          <w:u w:val="single"/>
        </w:rPr>
        <w:t>台州“飞安行”低空飞行管控服务平台</w:t>
      </w:r>
      <w:r>
        <w:rPr>
          <w:rFonts w:ascii="Arial" w:hAnsi="Arial" w:cs="Arial"/>
          <w:sz w:val="22"/>
          <w:szCs w:val="22"/>
        </w:rPr>
        <w:t>的</w:t>
      </w:r>
      <w:r>
        <w:rPr>
          <w:rFonts w:hint="eastAsia" w:ascii="Arial" w:hAnsi="Arial" w:cs="Arial"/>
          <w:sz w:val="22"/>
        </w:rPr>
        <w:t>招标</w:t>
      </w:r>
      <w:r>
        <w:rPr>
          <w:rFonts w:ascii="Arial" w:hAnsi="Arial" w:cs="Arial"/>
          <w:sz w:val="22"/>
        </w:rPr>
        <w:t>采购活动并提交</w:t>
      </w:r>
      <w:r>
        <w:rPr>
          <w:rFonts w:hint="eastAsia" w:ascii="Arial" w:hAnsi="Arial" w:cs="Arial"/>
          <w:sz w:val="22"/>
        </w:rPr>
        <w:t>投标</w:t>
      </w:r>
      <w:r>
        <w:rPr>
          <w:rFonts w:ascii="Arial" w:hAnsi="Arial" w:cs="Arial"/>
          <w:sz w:val="22"/>
        </w:rPr>
        <w:t>文件。为此，我方郑重声明以下诸点，并负法律责任。</w:t>
      </w:r>
    </w:p>
    <w:p>
      <w:pPr>
        <w:pStyle w:val="12"/>
        <w:adjustRightInd w:val="0"/>
        <w:snapToGrid w:val="0"/>
        <w:rPr>
          <w:rFonts w:ascii="Arial" w:hAnsi="Arial" w:cs="Arial"/>
          <w:sz w:val="22"/>
          <w:szCs w:val="22"/>
        </w:rPr>
      </w:pPr>
      <w:r>
        <w:rPr>
          <w:rFonts w:ascii="Arial" w:hAnsi="Arial" w:cs="Arial"/>
          <w:sz w:val="22"/>
          <w:szCs w:val="22"/>
        </w:rPr>
        <w:t>1、如果我们的招标文件被接受，我们将履行招标文件中规定的每一项要求，并按我们投标文件中的承诺按期、按质、按量提供服务。</w:t>
      </w:r>
    </w:p>
    <w:p>
      <w:pPr>
        <w:pStyle w:val="12"/>
        <w:adjustRightInd w:val="0"/>
        <w:snapToGrid w:val="0"/>
        <w:rPr>
          <w:rFonts w:ascii="Arial" w:hAnsi="Arial" w:cs="Arial"/>
          <w:sz w:val="22"/>
          <w:szCs w:val="22"/>
        </w:rPr>
      </w:pPr>
      <w:r>
        <w:rPr>
          <w:rFonts w:ascii="Arial" w:hAnsi="Arial" w:cs="Arial"/>
          <w:sz w:val="22"/>
          <w:szCs w:val="22"/>
        </w:rPr>
        <w:t>2、我们同意按采购文件规定遵守</w:t>
      </w:r>
      <w:r>
        <w:rPr>
          <w:rFonts w:hint="eastAsia" w:ascii="Arial" w:hAnsi="Arial" w:cs="Arial"/>
          <w:sz w:val="22"/>
          <w:szCs w:val="22"/>
          <w:lang w:eastAsia="zh-CN"/>
        </w:rPr>
        <w:t>招标人</w:t>
      </w:r>
      <w:r>
        <w:rPr>
          <w:rFonts w:ascii="Arial" w:hAnsi="Arial" w:cs="Arial"/>
          <w:sz w:val="22"/>
          <w:szCs w:val="22"/>
        </w:rPr>
        <w:t>有关采购的各项规定。</w:t>
      </w:r>
    </w:p>
    <w:p>
      <w:pPr>
        <w:pStyle w:val="12"/>
        <w:adjustRightInd w:val="0"/>
        <w:snapToGrid w:val="0"/>
        <w:rPr>
          <w:rFonts w:ascii="Arial" w:hAnsi="Arial" w:cs="Arial"/>
          <w:sz w:val="22"/>
          <w:szCs w:val="22"/>
        </w:rPr>
      </w:pPr>
      <w:r>
        <w:rPr>
          <w:rFonts w:ascii="Arial" w:hAnsi="Arial" w:cs="Arial"/>
          <w:sz w:val="22"/>
          <w:szCs w:val="22"/>
        </w:rPr>
        <w:t>3、我方同意提供按照贵方可能要求的与投标有关的一切数据或资料，我方若未成为成交投标人，</w:t>
      </w:r>
      <w:r>
        <w:rPr>
          <w:rFonts w:hint="eastAsia" w:ascii="Arial" w:hAnsi="Arial" w:cs="Arial"/>
          <w:sz w:val="22"/>
          <w:szCs w:val="22"/>
          <w:lang w:eastAsia="zh-CN"/>
        </w:rPr>
        <w:t>招标人</w:t>
      </w:r>
      <w:r>
        <w:rPr>
          <w:rFonts w:ascii="Arial" w:hAnsi="Arial" w:cs="Arial"/>
          <w:sz w:val="22"/>
          <w:szCs w:val="22"/>
        </w:rPr>
        <w:t>有权不做任何解释。</w:t>
      </w:r>
    </w:p>
    <w:p>
      <w:pPr>
        <w:ind w:firstLine="330" w:firstLineChars="150"/>
        <w:rPr>
          <w:rFonts w:ascii="宋体" w:hAnsi="宋体"/>
          <w:sz w:val="22"/>
          <w:szCs w:val="22"/>
        </w:rPr>
      </w:pPr>
      <w:r>
        <w:rPr>
          <w:rFonts w:hint="eastAsia" w:ascii="Arial" w:hAnsi="Arial" w:cs="Arial"/>
          <w:sz w:val="22"/>
          <w:szCs w:val="22"/>
        </w:rPr>
        <w:t>4、我方如果中标，将保证履行招标文件以及招标文件修改书（如有）中的全部责任和义务，按质、按量、按期完成《民法典》中的全部任务。</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38"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both"/>
              <w:textAlignment w:val="bottom"/>
              <w:rPr>
                <w:rFonts w:hint="eastAsia"/>
                <w:lang w:val="en-US" w:eastAsia="zh-CN"/>
              </w:rPr>
            </w:pPr>
            <w:r>
              <w:rPr>
                <w:rFonts w:hint="eastAsia"/>
                <w:lang w:val="en-US" w:eastAsia="zh-CN"/>
              </w:rPr>
              <w:t>软件：</w:t>
            </w:r>
          </w:p>
          <w:p>
            <w:pPr>
              <w:autoSpaceDE w:val="0"/>
              <w:autoSpaceDN w:val="0"/>
              <w:spacing w:line="450" w:lineRule="exact"/>
              <w:jc w:val="both"/>
              <w:textAlignment w:val="bottom"/>
              <w:rPr>
                <w:rFonts w:hint="eastAsia"/>
                <w:lang w:val="en-US" w:eastAsia="zh-CN"/>
              </w:rPr>
            </w:pPr>
            <w:r>
              <w:rPr>
                <w:rFonts w:hint="eastAsia"/>
                <w:lang w:val="en-US" w:eastAsia="zh-CN"/>
              </w:rPr>
              <w:t>硬件：</w:t>
            </w:r>
          </w:p>
          <w:p>
            <w:pPr>
              <w:autoSpaceDE w:val="0"/>
              <w:autoSpaceDN w:val="0"/>
              <w:spacing w:line="450" w:lineRule="exact"/>
              <w:jc w:val="both"/>
              <w:textAlignment w:val="bottom"/>
              <w:rPr>
                <w:rFonts w:hint="default"/>
                <w:lang w:val="en-US" w:eastAsia="zh-CN"/>
              </w:rPr>
            </w:pPr>
            <w:r>
              <w:rPr>
                <w:rFonts w:hint="eastAsia"/>
                <w:lang w:val="en-US" w:eastAsia="zh-CN"/>
              </w:rPr>
              <w:t>总报价：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43"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both"/>
              <w:textAlignment w:val="bottom"/>
              <w:rPr>
                <w:rFonts w:hint="eastAsia"/>
                <w:lang w:val="en-US" w:eastAsia="zh-CN"/>
              </w:rPr>
            </w:pPr>
            <w:r>
              <w:rPr>
                <w:rFonts w:hint="eastAsia"/>
                <w:lang w:val="en-US" w:eastAsia="zh-CN"/>
              </w:rPr>
              <w:t>软件：</w:t>
            </w:r>
          </w:p>
          <w:p>
            <w:pPr>
              <w:autoSpaceDE w:val="0"/>
              <w:autoSpaceDN w:val="0"/>
              <w:spacing w:line="450" w:lineRule="exact"/>
              <w:jc w:val="both"/>
              <w:textAlignment w:val="bottom"/>
              <w:rPr>
                <w:rFonts w:hint="eastAsia"/>
                <w:lang w:val="en-US" w:eastAsia="zh-CN"/>
              </w:rPr>
            </w:pPr>
            <w:r>
              <w:rPr>
                <w:rFonts w:hint="eastAsia"/>
                <w:lang w:val="en-US" w:eastAsia="zh-CN"/>
              </w:rPr>
              <w:t>硬件：</w:t>
            </w:r>
          </w:p>
          <w:p>
            <w:pPr>
              <w:autoSpaceDE w:val="0"/>
              <w:autoSpaceDN w:val="0"/>
              <w:spacing w:line="450" w:lineRule="exact"/>
              <w:jc w:val="both"/>
              <w:textAlignment w:val="bottom"/>
              <w:rPr>
                <w:rFonts w:ascii="宋体" w:hAnsi="宋体"/>
                <w:szCs w:val="21"/>
              </w:rPr>
            </w:pPr>
            <w:r>
              <w:rPr>
                <w:rFonts w:hint="eastAsia" w:ascii="宋体" w:hAnsi="宋体"/>
                <w:szCs w:val="21"/>
                <w:lang w:val="en-US" w:eastAsia="zh-CN"/>
              </w:rPr>
              <w:t>总报价：</w:t>
            </w:r>
          </w:p>
        </w:tc>
      </w:tr>
    </w:tbl>
    <w:p>
      <w:pPr>
        <w:numPr>
          <w:ilvl w:val="0"/>
          <w:numId w:val="0"/>
        </w:numPr>
        <w:spacing w:line="288" w:lineRule="auto"/>
        <w:ind w:firstLine="442" w:firstLineChars="200"/>
        <w:rPr>
          <w:rFonts w:hint="eastAsia" w:ascii="Arial" w:hAnsi="Arial" w:eastAsia="宋体" w:cs="Arial"/>
          <w:b/>
          <w:bCs/>
          <w:kern w:val="2"/>
          <w:sz w:val="22"/>
          <w:szCs w:val="22"/>
          <w:lang w:val="zh-CN" w:eastAsia="zh-CN" w:bidi="ar-SA"/>
        </w:rPr>
      </w:pPr>
      <w:r>
        <w:rPr>
          <w:rFonts w:hint="eastAsia" w:ascii="Arial" w:hAnsi="Arial" w:eastAsia="宋体" w:cs="Arial"/>
          <w:b/>
          <w:bCs/>
          <w:kern w:val="2"/>
          <w:sz w:val="22"/>
          <w:szCs w:val="22"/>
          <w:lang w:val="zh-CN" w:eastAsia="zh-CN" w:bidi="ar-SA"/>
        </w:rPr>
        <w:t>注: 1、报价一经涂改，应在涂改处加盖单位公章或者由法定代表人或授权委托人签字或盖章，否则其投标作无效标处理。</w:t>
      </w:r>
    </w:p>
    <w:p>
      <w:pPr>
        <w:spacing w:line="360" w:lineRule="auto"/>
        <w:ind w:firstLine="442" w:firstLineChars="200"/>
        <w:rPr>
          <w:rFonts w:ascii="宋体" w:hAnsi="宋体"/>
          <w:sz w:val="22"/>
          <w:szCs w:val="22"/>
        </w:rPr>
      </w:pPr>
      <w:r>
        <w:rPr>
          <w:rFonts w:hint="eastAsia" w:ascii="宋体" w:hAnsi="宋体" w:eastAsia="宋体"/>
          <w:b/>
          <w:sz w:val="22"/>
          <w:szCs w:val="22"/>
          <w:lang w:val="en-US" w:eastAsia="zh-CN"/>
        </w:rPr>
        <w:t>2、</w:t>
      </w:r>
      <w:r>
        <w:rPr>
          <w:rFonts w:hint="eastAsia" w:ascii="Arial" w:hAnsi="Arial" w:eastAsia="宋体" w:cs="Arial"/>
          <w:kern w:val="2"/>
          <w:sz w:val="22"/>
          <w:szCs w:val="22"/>
          <w:lang w:val="zh-CN" w:eastAsia="zh-CN" w:bidi="ar-SA"/>
        </w:rPr>
        <w:t>投标总报价为完成本项目的软件开发实施项目所需的需求调研费、系统设计、开发、测试、系统集成（含软、硬件）实施、接口费用、运行维护、安全性评估、</w:t>
      </w:r>
      <w:r>
        <w:rPr>
          <w:rFonts w:hint="eastAsia" w:ascii="Arial" w:hAnsi="Arial" w:cs="Arial"/>
          <w:kern w:val="2"/>
          <w:sz w:val="22"/>
          <w:szCs w:val="22"/>
          <w:lang w:val="en-US" w:eastAsia="zh-CN" w:bidi="ar-SA"/>
        </w:rPr>
        <w:t>配合</w:t>
      </w:r>
      <w:r>
        <w:rPr>
          <w:rFonts w:hint="eastAsia" w:ascii="Arial" w:hAnsi="Arial" w:eastAsia="宋体" w:cs="Arial"/>
          <w:kern w:val="2"/>
          <w:sz w:val="22"/>
          <w:szCs w:val="22"/>
          <w:lang w:val="zh-CN" w:eastAsia="zh-CN" w:bidi="ar-SA"/>
        </w:rPr>
        <w:t>密评检测、税金、验收、培训、辅助工作、验收、保险、税金、质保及售后技术服务等及相关劳务支出等工作所发生的全部费用以及投标供应商企业利润、税金和政策性文件规定及合同包含的所有风险、责任等各项应有费用，即一直到整个系统调试验收合格交付</w:t>
      </w:r>
      <w:r>
        <w:rPr>
          <w:rFonts w:hint="eastAsia" w:ascii="Arial" w:hAnsi="Arial" w:cs="Arial"/>
          <w:kern w:val="2"/>
          <w:sz w:val="22"/>
          <w:szCs w:val="22"/>
          <w:lang w:val="zh-CN" w:eastAsia="zh-CN" w:bidi="ar-SA"/>
        </w:rPr>
        <w:t>招标人</w:t>
      </w:r>
      <w:r>
        <w:rPr>
          <w:rFonts w:hint="eastAsia" w:ascii="Arial" w:hAnsi="Arial" w:eastAsia="宋体" w:cs="Arial"/>
          <w:kern w:val="2"/>
          <w:sz w:val="22"/>
          <w:szCs w:val="22"/>
          <w:lang w:val="zh-CN" w:eastAsia="zh-CN" w:bidi="ar-SA"/>
        </w:rPr>
        <w:t>使用，</w:t>
      </w:r>
      <w:r>
        <w:rPr>
          <w:rFonts w:hint="eastAsia" w:ascii="Arial" w:hAnsi="Arial" w:cs="Arial"/>
          <w:kern w:val="2"/>
          <w:sz w:val="22"/>
          <w:szCs w:val="22"/>
          <w:lang w:val="zh-CN" w:eastAsia="zh-CN" w:bidi="ar-SA"/>
        </w:rPr>
        <w:t>招标人</w:t>
      </w:r>
      <w:r>
        <w:rPr>
          <w:rFonts w:hint="eastAsia" w:ascii="Arial" w:hAnsi="Arial" w:eastAsia="宋体" w:cs="Arial"/>
          <w:kern w:val="2"/>
          <w:sz w:val="22"/>
          <w:szCs w:val="22"/>
          <w:lang w:val="zh-CN" w:eastAsia="zh-CN" w:bidi="ar-SA"/>
        </w:rPr>
        <w:t>不再另行支付费用。</w:t>
      </w:r>
    </w:p>
    <w:p>
      <w:pPr>
        <w:spacing w:line="360" w:lineRule="auto"/>
        <w:ind w:left="420"/>
        <w:rPr>
          <w:rFonts w:ascii="宋体" w:hAnsi="宋体"/>
          <w:sz w:val="22"/>
          <w:szCs w:val="22"/>
        </w:rPr>
      </w:pPr>
      <w:r>
        <w:rPr>
          <w:rFonts w:hint="eastAsia" w:ascii="宋体" w:hAnsi="宋体"/>
          <w:sz w:val="22"/>
          <w:szCs w:val="22"/>
        </w:rPr>
        <w:t>投标人名称（公章）：</w:t>
      </w:r>
    </w:p>
    <w:p>
      <w:pPr>
        <w:spacing w:line="360" w:lineRule="auto"/>
        <w:ind w:firstLine="435"/>
        <w:rPr>
          <w:rFonts w:ascii="宋体" w:hAnsi="宋体"/>
          <w:sz w:val="22"/>
          <w:szCs w:val="22"/>
        </w:rPr>
      </w:pPr>
      <w:r>
        <w:rPr>
          <w:rFonts w:hint="eastAsia" w:ascii="宋体" w:hAnsi="宋体"/>
          <w:sz w:val="22"/>
          <w:szCs w:val="22"/>
        </w:rPr>
        <w:t>投标人代表签字：</w:t>
      </w:r>
    </w:p>
    <w:p>
      <w:pPr>
        <w:spacing w:line="360" w:lineRule="auto"/>
        <w:ind w:firstLine="435"/>
        <w:rPr>
          <w:rFonts w:ascii="宋体" w:hAnsi="宋体"/>
          <w:sz w:val="22"/>
          <w:szCs w:val="22"/>
        </w:rPr>
      </w:pPr>
      <w:r>
        <w:rPr>
          <w:rFonts w:hint="eastAsia" w:ascii="宋体" w:hAnsi="宋体"/>
          <w:sz w:val="22"/>
          <w:szCs w:val="22"/>
        </w:rPr>
        <w:t>职        务：</w:t>
      </w:r>
    </w:p>
    <w:p>
      <w:pPr>
        <w:spacing w:line="360" w:lineRule="auto"/>
        <w:ind w:firstLine="435"/>
        <w:rPr>
          <w:rFonts w:hint="eastAsia" w:ascii="宋体" w:hAnsi="宋体" w:cs="宋体"/>
          <w:b/>
          <w:color w:val="auto"/>
          <w:sz w:val="28"/>
          <w:highlight w:val="none"/>
        </w:rPr>
      </w:pPr>
      <w:r>
        <w:rPr>
          <w:rFonts w:hint="eastAsia" w:ascii="宋体" w:hAnsi="宋体"/>
          <w:sz w:val="22"/>
          <w:szCs w:val="22"/>
        </w:rPr>
        <w:t>日        期：</w:t>
      </w:r>
    </w:p>
    <w:p>
      <w:pPr>
        <w:snapToGrid w:val="0"/>
        <w:spacing w:before="156" w:beforeLines="50" w:after="50"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台州“飞安行”低空飞行管控服务平台</w:t>
      </w:r>
    </w:p>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报价明细表</w:t>
      </w:r>
    </w:p>
    <w:p>
      <w:pPr>
        <w:pStyle w:val="20"/>
        <w:rPr>
          <w:rFonts w:hint="eastAsia" w:eastAsia="宋体"/>
          <w:lang w:val="en-US" w:eastAsia="zh-CN"/>
        </w:rPr>
      </w:pPr>
      <w:r>
        <w:rPr>
          <w:rFonts w:hint="eastAsia" w:ascii="宋体" w:hAnsi="宋体" w:cs="宋体"/>
          <w:color w:val="auto"/>
          <w:sz w:val="28"/>
          <w:szCs w:val="28"/>
          <w:highlight w:val="none"/>
          <w:lang w:val="en-US" w:eastAsia="zh-CN"/>
        </w:rPr>
        <w:t>软件</w:t>
      </w:r>
    </w:p>
    <w:tbl>
      <w:tblPr>
        <w:tblStyle w:val="25"/>
        <w:tblW w:w="8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5"/>
        <w:gridCol w:w="3924"/>
        <w:gridCol w:w="1425"/>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序号</w:t>
            </w:r>
          </w:p>
        </w:tc>
        <w:tc>
          <w:tcPr>
            <w:tcW w:w="3924"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子功能模块</w:t>
            </w:r>
          </w:p>
        </w:tc>
        <w:tc>
          <w:tcPr>
            <w:tcW w:w="142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数量</w:t>
            </w:r>
          </w:p>
        </w:tc>
        <w:tc>
          <w:tcPr>
            <w:tcW w:w="1739"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地图底图控制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无人机实时定位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基站实时状态</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基站详情信息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无人机详情信息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坐标二维码</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实时报警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快速出警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图层控制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飞行计划数据汇总</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平台用户数量汇总</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实时飞行动态数据</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飞行分类数据统计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空域分类统计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空域信息统计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黑飞告警数量统计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历史飞行数量统计</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其他类型数据查看</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气象信息</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飞手列表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本地飞手审核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企业列表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本地企业审核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飞行活动报备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飞行活动审核</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品牌无人机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自制无人机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停机坪列表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空域绘制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自定义名称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空域列表查看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立体化显示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34</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空域标签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空域删除</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36</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标签筛选</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名称搜索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38</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修改高度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临时空域管制</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管制空域报警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p>
        </w:tc>
        <w:tc>
          <w:tcPr>
            <w:tcW w:w="3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违规报警配置</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p>
        </w:tc>
        <w:tc>
          <w:tcPr>
            <w:tcW w:w="392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事件布控</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工单管理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政策发布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内部通告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查看警务工单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新增警务工单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处理结果</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49</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一键流转</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导出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51</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筛选</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接口预留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报警记录</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54</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触发轨迹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55</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一键出警</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飞行记录查询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57</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历史轨迹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58</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身份识别设备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59</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侦测反制设备</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w:t>
            </w:r>
          </w:p>
        </w:tc>
        <w:tc>
          <w:tcPr>
            <w:tcW w:w="3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设备品牌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无人机厂家</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62</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设备型号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无人机型号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64</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账号配置管理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无人机类型</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报警区列表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67</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辖区派出所列表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68</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区域列表</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69</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值班配比</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部门管理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71</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人员管理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72</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角色管理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73</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操作日志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登录日志</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75</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巡检态势</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76</w:t>
            </w:r>
          </w:p>
        </w:tc>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巡检监控</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视频录像</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航线列表查看和管理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航线编辑</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航点管理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任务排班</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任务概览</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巡检记录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机场管理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安全设定</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机场监控视频接入</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远程驾驶舱控制</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指点飞行</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无人机飞行信息显示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人脸抓拍</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人员识别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违章建筑比对识别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烟火识别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垃圾识别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人数统计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车流识别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裸土堆积识别</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河道漂浮物检测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热成像人员检测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融合登录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任务申请</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需求填报</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人工审核</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任务沟通</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任务派发</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成果提交</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成果审批</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服务评价</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数据分析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反馈分析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视频回放成果统计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多媒体成果统计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任务数量成果统计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警情数量成果统计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成果统计分析条件查询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部门飞行架次、时长、距离统计分析</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飞行任务统计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警情类型统计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飞行统计查询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飞行架次、时长统计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飞行时长分布统计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飞行记录上传</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按部门、人员汇总飞行记录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视频回放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按SN、状态、日期查询视频记录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日历模式视频回放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视频下载</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视频重命名、删除、收藏</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视频播放倍速调节</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视频内容标记</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视频播放时间轴调整</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按名称、文件类型、时间段媒体文件查询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媒体文件自定义归集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按SN、开始结束时间段查询飞行记录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查看飞行记录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飞行记录标签</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接警记录配置</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接警记录关键字、记录查询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接警记录同步到任务</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按报警类型记录查询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按报警状态、时间记录查询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空域管理</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适飞空域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四类管制空域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auto"/>
                <w:sz w:val="24"/>
                <w:szCs w:val="24"/>
                <w:highlight w:val="none"/>
              </w:rPr>
            </w:pPr>
            <w:r>
              <w:rPr>
                <w:rFonts w:hint="eastAsia" w:ascii="仿宋" w:hAnsi="仿宋" w:eastAsia="仿宋" w:cs="仿宋"/>
                <w:i w:val="0"/>
                <w:iCs w:val="0"/>
                <w:color w:val="auto"/>
                <w:kern w:val="0"/>
                <w:sz w:val="21"/>
                <w:szCs w:val="21"/>
                <w:u w:val="none"/>
                <w:lang w:val="en-US" w:eastAsia="zh-CN" w:bidi="ar"/>
              </w:rPr>
              <w:t>立体显示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申报空域</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148</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时间轴</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149</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地图底图风格</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空域分类显示</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报警信息列表</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152</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实时飞行监测</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153</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地图点位</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154</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航线</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155</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视图层级优化</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156</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应急处置</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157</w:t>
            </w:r>
          </w:p>
        </w:tc>
        <w:tc>
          <w:tcPr>
            <w:tcW w:w="39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4"/>
                <w:szCs w:val="24"/>
                <w:u w:val="none"/>
                <w:lang w:val="en-US" w:eastAsia="zh-CN" w:bidi="ar"/>
              </w:rPr>
              <w:t>处置结果</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7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03"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line="360" w:lineRule="auto"/>
              <w:jc w:val="both"/>
              <w:rPr>
                <w:rFonts w:hint="default" w:ascii="宋体" w:hAnsi="宋体" w:eastAsia="宋体" w:cs="宋体"/>
                <w:color w:val="auto"/>
                <w:sz w:val="24"/>
                <w:szCs w:val="24"/>
                <w:highlight w:val="none"/>
                <w:lang w:val="en-US" w:eastAsia="zh-CN"/>
              </w:rPr>
            </w:pPr>
            <w:r>
              <w:rPr>
                <w:rFonts w:hint="eastAsia" w:ascii="宋体-简" w:hAnsi="宋体-简" w:eastAsia="宋体-简" w:cs="宋体-简"/>
                <w:i w:val="0"/>
                <w:color w:val="000000"/>
                <w:kern w:val="0"/>
                <w:sz w:val="20"/>
                <w:szCs w:val="20"/>
                <w:u w:val="none"/>
                <w:lang w:val="en-US" w:eastAsia="zh-CN" w:bidi="ar"/>
              </w:rPr>
              <w:t>合计=1+2+...+156+157=</w:t>
            </w:r>
            <w:r>
              <w:rPr>
                <w:rFonts w:hint="eastAsia" w:ascii="宋体-简" w:hAnsi="宋体-简" w:eastAsia="宋体-简" w:cs="宋体-简"/>
                <w:i w:val="0"/>
                <w:color w:val="000000"/>
                <w:kern w:val="0"/>
                <w:sz w:val="20"/>
                <w:szCs w:val="20"/>
                <w:u w:val="single"/>
                <w:lang w:val="en-US" w:eastAsia="zh-CN" w:bidi="ar"/>
              </w:rPr>
              <w:t xml:space="preserve">     </w:t>
            </w:r>
            <w:r>
              <w:rPr>
                <w:rFonts w:hint="eastAsia" w:ascii="宋体-简" w:hAnsi="宋体-简" w:eastAsia="宋体-简" w:cs="宋体-简"/>
                <w:i w:val="0"/>
                <w:color w:val="000000"/>
                <w:kern w:val="0"/>
                <w:sz w:val="20"/>
                <w:szCs w:val="20"/>
                <w:u w:val="none"/>
                <w:lang w:val="en-US" w:eastAsia="zh-CN" w:bidi="ar"/>
              </w:rPr>
              <w:t>元（转结至附件12开标一览表）</w:t>
            </w:r>
          </w:p>
        </w:tc>
      </w:tr>
    </w:tbl>
    <w:p>
      <w:pPr>
        <w:pStyle w:val="2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硬件</w:t>
      </w:r>
    </w:p>
    <w:tbl>
      <w:tblPr>
        <w:tblStyle w:val="25"/>
        <w:tblW w:w="82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3"/>
        <w:gridCol w:w="3136"/>
        <w:gridCol w:w="1363"/>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简" w:hAnsi="宋体-简" w:eastAsia="宋体-简" w:cs="宋体-简"/>
                <w:i w:val="0"/>
                <w:color w:val="000000"/>
                <w:sz w:val="20"/>
                <w:szCs w:val="20"/>
                <w:u w:val="none"/>
              </w:rPr>
            </w:pPr>
            <w:r>
              <w:rPr>
                <w:rFonts w:ascii="pingfang sc" w:hAnsi="pingfang sc" w:eastAsia="pingfang sc" w:cs="pingfang sc"/>
                <w:i w:val="0"/>
                <w:color w:val="000000"/>
                <w:kern w:val="0"/>
                <w:sz w:val="19"/>
                <w:szCs w:val="19"/>
                <w:u w:val="none"/>
                <w:lang w:val="en-US" w:eastAsia="zh-CN" w:bidi="ar"/>
              </w:rPr>
              <w:t>序号</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设备名称</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数量(台/套)</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单价</w:t>
            </w:r>
            <w:r>
              <w:rPr>
                <w:rFonts w:hint="eastAsia" w:ascii="宋体-简" w:hAnsi="宋体-简" w:eastAsia="宋体-简" w:cs="宋体-简"/>
                <w:i w:val="0"/>
                <w:color w:val="000000"/>
                <w:kern w:val="0"/>
                <w:sz w:val="20"/>
                <w:szCs w:val="20"/>
                <w:u w:val="none"/>
                <w:lang w:val="en-US" w:eastAsia="zh-CN" w:bidi="ar"/>
              </w:rPr>
              <w:t>最高限价</w:t>
            </w:r>
          </w:p>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eastAsia" w:ascii="宋体-简" w:hAnsi="宋体-简" w:eastAsia="宋体-简" w:cs="宋体-简"/>
                <w:i w:val="0"/>
                <w:color w:val="000000"/>
                <w:kern w:val="0"/>
                <w:sz w:val="20"/>
                <w:szCs w:val="20"/>
                <w:u w:val="none"/>
                <w:lang w:val="en-US" w:eastAsia="zh-CN" w:bidi="ar"/>
              </w:rPr>
              <w:t>单价（万元）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手持式特征频谱侦测设备</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6</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2</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反制盾（含侦查功能）</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15</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default" w:ascii="宋体-简" w:hAnsi="宋体-简" w:eastAsia="宋体-简" w:cs="宋体-简"/>
                <w:i w:val="0"/>
                <w:color w:val="000000"/>
                <w:kern w:val="0"/>
                <w:sz w:val="20"/>
                <w:szCs w:val="20"/>
                <w:u w:val="none"/>
                <w:lang w:val="en-US" w:eastAsia="zh-CN" w:bidi="ar"/>
              </w:rPr>
              <w:t>3</w:t>
            </w:r>
          </w:p>
        </w:tc>
        <w:tc>
          <w:tcPr>
            <w:tcW w:w="3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穿越机</w:t>
            </w:r>
          </w:p>
        </w:tc>
        <w:tc>
          <w:tcPr>
            <w:tcW w:w="13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0.9</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无人机远程控制盒</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2.966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飞行控制摇杆</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0.8</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简" w:hAnsi="宋体-简" w:eastAsia="宋体-简" w:cs="宋体-简"/>
                <w:i w:val="0"/>
                <w:color w:val="000000"/>
                <w:sz w:val="20"/>
                <w:szCs w:val="20"/>
                <w:u w:val="none"/>
              </w:rPr>
            </w:pPr>
            <w:r>
              <w:rPr>
                <w:rFonts w:hint="eastAsia" w:ascii="宋体-简" w:hAnsi="宋体-简" w:eastAsia="宋体-简" w:cs="宋体-简"/>
                <w:i w:val="0"/>
                <w:color w:val="000000"/>
                <w:kern w:val="0"/>
                <w:sz w:val="20"/>
                <w:szCs w:val="20"/>
                <w:u w:val="none"/>
                <w:lang w:val="en-US" w:eastAsia="zh-CN" w:bidi="ar"/>
              </w:rPr>
              <w:t>6</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流量卡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r>
              <w:rPr>
                <w:rFonts w:hint="default" w:ascii="宋体-简" w:hAnsi="宋体-简" w:eastAsia="宋体-简" w:cs="宋体-简"/>
                <w:i w:val="0"/>
                <w:color w:val="000000"/>
                <w:kern w:val="0"/>
                <w:sz w:val="20"/>
                <w:szCs w:val="20"/>
                <w:u w:val="none"/>
                <w:lang w:val="en-US" w:eastAsia="zh-CN" w:bidi="ar"/>
              </w:rPr>
              <w:t>0.234</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简" w:hAnsi="宋体-简" w:eastAsia="宋体-简" w:cs="宋体-简"/>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82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简" w:hAnsi="宋体-简" w:eastAsia="宋体-简" w:cs="宋体-简"/>
                <w:i w:val="0"/>
                <w:color w:val="000000"/>
                <w:kern w:val="0"/>
                <w:sz w:val="20"/>
                <w:szCs w:val="20"/>
                <w:u w:val="none"/>
                <w:lang w:val="en-US" w:eastAsia="zh-CN" w:bidi="ar"/>
              </w:rPr>
            </w:pPr>
            <w:r>
              <w:rPr>
                <w:rFonts w:hint="eastAsia" w:ascii="宋体-简" w:hAnsi="宋体-简" w:eastAsia="宋体-简" w:cs="宋体-简"/>
                <w:i w:val="0"/>
                <w:color w:val="000000"/>
                <w:kern w:val="0"/>
                <w:sz w:val="20"/>
                <w:szCs w:val="20"/>
                <w:u w:val="none"/>
                <w:lang w:val="en-US" w:eastAsia="zh-CN" w:bidi="ar"/>
              </w:rPr>
              <w:t>合计=1+2+...+5+6=</w:t>
            </w:r>
            <w:r>
              <w:rPr>
                <w:rFonts w:hint="eastAsia" w:ascii="宋体-简" w:hAnsi="宋体-简" w:eastAsia="宋体-简" w:cs="宋体-简"/>
                <w:i w:val="0"/>
                <w:color w:val="000000"/>
                <w:kern w:val="0"/>
                <w:sz w:val="20"/>
                <w:szCs w:val="20"/>
                <w:u w:val="single"/>
                <w:lang w:val="en-US" w:eastAsia="zh-CN" w:bidi="ar"/>
              </w:rPr>
              <w:t xml:space="preserve">         </w:t>
            </w:r>
            <w:r>
              <w:rPr>
                <w:rFonts w:hint="eastAsia" w:ascii="宋体-简" w:hAnsi="宋体-简" w:eastAsia="宋体-简" w:cs="宋体-简"/>
                <w:i w:val="0"/>
                <w:color w:val="000000"/>
                <w:kern w:val="0"/>
                <w:sz w:val="20"/>
                <w:szCs w:val="20"/>
                <w:u w:val="none"/>
                <w:lang w:val="en-US" w:eastAsia="zh-CN" w:bidi="ar"/>
              </w:rPr>
              <w:t>元（转结至附件12开标一览表）</w:t>
            </w:r>
          </w:p>
        </w:tc>
      </w:tr>
    </w:tbl>
    <w:p>
      <w:pPr>
        <w:spacing w:line="360" w:lineRule="auto"/>
        <w:ind w:left="15" w:firstLine="440" w:firstLineChars="200"/>
        <w:rPr>
          <w:rFonts w:hint="eastAsia" w:ascii="宋体" w:hAnsi="宋体" w:cs="宋体"/>
          <w:color w:val="auto"/>
          <w:sz w:val="22"/>
          <w:szCs w:val="18"/>
          <w:highlight w:val="none"/>
        </w:rPr>
      </w:pPr>
    </w:p>
    <w:p>
      <w:pPr>
        <w:spacing w:line="360" w:lineRule="auto"/>
        <w:ind w:left="15" w:firstLine="440" w:firstLineChars="200"/>
        <w:rPr>
          <w:rFonts w:hint="eastAsia" w:ascii="宋体" w:hAnsi="宋体" w:cs="宋体"/>
          <w:color w:val="auto"/>
          <w:sz w:val="22"/>
          <w:szCs w:val="18"/>
          <w:highlight w:val="none"/>
        </w:rPr>
      </w:pPr>
      <w:r>
        <w:rPr>
          <w:rFonts w:hint="eastAsia" w:ascii="宋体" w:hAnsi="宋体" w:cs="宋体"/>
          <w:color w:val="auto"/>
          <w:sz w:val="22"/>
          <w:szCs w:val="18"/>
          <w:highlight w:val="none"/>
        </w:rPr>
        <w:t>1.本表为《开标一览表》的报价明细表，如有缺项、漏项，视为投标报价中已包含相关费用，</w:t>
      </w:r>
      <w:r>
        <w:rPr>
          <w:rFonts w:hint="eastAsia" w:ascii="宋体" w:hAnsi="宋体" w:cs="宋体"/>
          <w:color w:val="auto"/>
          <w:sz w:val="22"/>
          <w:szCs w:val="18"/>
          <w:highlight w:val="none"/>
          <w:lang w:eastAsia="zh-CN"/>
        </w:rPr>
        <w:t>招标人</w:t>
      </w:r>
      <w:r>
        <w:rPr>
          <w:rFonts w:hint="eastAsia" w:ascii="宋体" w:hAnsi="宋体" w:cs="宋体"/>
          <w:color w:val="auto"/>
          <w:sz w:val="22"/>
          <w:szCs w:val="18"/>
          <w:highlight w:val="none"/>
        </w:rPr>
        <w:t>无需另外支付任何费用。</w:t>
      </w:r>
    </w:p>
    <w:p>
      <w:pPr>
        <w:spacing w:line="360" w:lineRule="auto"/>
        <w:ind w:left="15" w:firstLine="440" w:firstLineChars="200"/>
        <w:rPr>
          <w:rFonts w:hint="eastAsia" w:ascii="宋体" w:hAnsi="宋体" w:cs="宋体"/>
          <w:color w:val="auto"/>
          <w:sz w:val="22"/>
          <w:szCs w:val="18"/>
          <w:highlight w:val="none"/>
          <w:lang w:val="zh-CN"/>
        </w:rPr>
      </w:pPr>
      <w:r>
        <w:rPr>
          <w:rFonts w:hint="eastAsia" w:ascii="宋体" w:hAnsi="宋体" w:cs="宋体"/>
          <w:color w:val="auto"/>
          <w:sz w:val="22"/>
          <w:szCs w:val="18"/>
          <w:highlight w:val="none"/>
        </w:rPr>
        <w:t>2.</w:t>
      </w:r>
      <w:r>
        <w:rPr>
          <w:rFonts w:hint="eastAsia" w:ascii="宋体" w:hAnsi="宋体" w:cs="宋体"/>
          <w:color w:val="auto"/>
          <w:sz w:val="22"/>
          <w:szCs w:val="18"/>
          <w:highlight w:val="none"/>
          <w:lang w:val="zh-CN"/>
        </w:rPr>
        <w:t>“报价明细表”中的报价合计应与“开标一览表”中的投标总报价相一致，不一致时，以开标一览表为准。</w:t>
      </w:r>
    </w:p>
    <w:p>
      <w:pPr>
        <w:spacing w:line="360" w:lineRule="auto"/>
        <w:ind w:left="15" w:firstLine="440" w:firstLineChars="200"/>
        <w:rPr>
          <w:rFonts w:hint="eastAsia" w:ascii="宋体" w:hAnsi="宋体" w:cs="宋体"/>
          <w:color w:val="auto"/>
          <w:sz w:val="22"/>
          <w:szCs w:val="18"/>
          <w:highlight w:val="none"/>
          <w:lang w:val="zh-CN"/>
        </w:rPr>
      </w:pPr>
      <w:r>
        <w:rPr>
          <w:rFonts w:hint="eastAsia" w:ascii="宋体" w:hAnsi="宋体" w:cs="宋体"/>
          <w:color w:val="auto"/>
          <w:sz w:val="22"/>
          <w:szCs w:val="18"/>
          <w:highlight w:val="none"/>
        </w:rPr>
        <w:t>3.</w:t>
      </w:r>
      <w:r>
        <w:rPr>
          <w:rFonts w:hint="eastAsia" w:ascii="宋体" w:hAnsi="宋体" w:cs="宋体"/>
          <w:color w:val="auto"/>
          <w:sz w:val="22"/>
          <w:szCs w:val="18"/>
          <w:highlight w:val="none"/>
          <w:lang w:val="zh-CN"/>
        </w:rPr>
        <w:t>投标报价明细表所填内容按</w:t>
      </w:r>
      <w:r>
        <w:rPr>
          <w:rFonts w:hint="eastAsia" w:ascii="宋体" w:hAnsi="宋体" w:cs="宋体"/>
          <w:color w:val="auto"/>
          <w:sz w:val="22"/>
          <w:szCs w:val="18"/>
          <w:highlight w:val="none"/>
        </w:rPr>
        <w:t>采购</w:t>
      </w:r>
      <w:r>
        <w:rPr>
          <w:rFonts w:hint="eastAsia" w:ascii="宋体" w:hAnsi="宋体" w:cs="宋体"/>
          <w:color w:val="auto"/>
          <w:sz w:val="22"/>
          <w:szCs w:val="18"/>
          <w:highlight w:val="none"/>
          <w:lang w:val="zh-CN"/>
        </w:rPr>
        <w:t>文件采购清单要求为准。如有漏报的，视同已包含在投标总价内或已作优惠处理。有重大缺项的将作无效标处理。</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供应商名称（公章）：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投标人代表签字：</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p>
    <w:p>
      <w:pPr>
        <w:pStyle w:val="35"/>
        <w:spacing w:line="360" w:lineRule="auto"/>
        <w:ind w:firstLine="0" w:firstLineChars="0"/>
        <w:rPr>
          <w:rFonts w:hint="eastAsia" w:ascii="宋体" w:hAnsi="宋体" w:cs="宋体"/>
          <w:b/>
          <w:bCs/>
          <w:color w:val="auto"/>
          <w:szCs w:val="21"/>
          <w:highlight w:val="none"/>
        </w:rPr>
      </w:pPr>
      <w:r>
        <w:rPr>
          <w:rFonts w:hint="eastAsia" w:ascii="宋体" w:hAnsi="宋体" w:cs="宋体"/>
          <w:color w:val="auto"/>
          <w:sz w:val="24"/>
          <w:highlight w:val="none"/>
        </w:rPr>
        <w:t>日        期：</w:t>
      </w:r>
    </w:p>
    <w:p>
      <w:pPr>
        <w:pStyle w:val="5"/>
        <w:numPr>
          <w:ilvl w:val="0"/>
          <w:numId w:val="0"/>
        </w:numPr>
        <w:ind w:left="425" w:leftChars="0"/>
        <w:jc w:val="both"/>
      </w:pPr>
    </w:p>
    <w:p/>
    <w:p>
      <w:pPr>
        <w:pStyle w:val="20"/>
      </w:pPr>
    </w:p>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pStyle w:val="48"/>
        <w:spacing w:line="360" w:lineRule="auto"/>
        <w:jc w:val="left"/>
        <w:rPr>
          <w:rFonts w:hint="eastAsia" w:ascii="宋体" w:hAnsi="宋体" w:cs="宋体"/>
          <w:b/>
          <w:color w:val="auto"/>
          <w:sz w:val="28"/>
          <w:highlight w:val="none"/>
          <w:lang w:val="en-US" w:eastAsia="zh-CN"/>
        </w:rPr>
      </w:pPr>
    </w:p>
    <w:p>
      <w:pPr>
        <w:snapToGrid w:val="0"/>
        <w:spacing w:before="156" w:beforeLines="50" w:after="50" w:line="360" w:lineRule="auto"/>
        <w:rPr>
          <w:rFonts w:hint="default" w:ascii="宋体" w:hAnsi="宋体" w:cs="宋体"/>
          <w:b/>
          <w:color w:val="auto"/>
          <w:sz w:val="28"/>
          <w:highlight w:val="none"/>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宋体-简">
    <w:altName w:val="宋体"/>
    <w:panose1 w:val="00000000000000000000"/>
    <w:charset w:val="00"/>
    <w:family w:val="auto"/>
    <w:pitch w:val="default"/>
    <w:sig w:usb0="00000000" w:usb1="00000000" w:usb2="00000000" w:usb3="00000000" w:csb0="00000000" w:csb1="0000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tabs>
        <w:tab w:val="left" w:pos="454"/>
        <w:tab w:val="left" w:pos="720"/>
        <w:tab w:val="left" w:pos="1200"/>
        <w:tab w:val="clear" w:pos="360"/>
      </w:tabs>
      <w:spacing w:after="120"/>
      <w:ind w:left="480"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tabs>
        <w:tab w:val="left" w:pos="454"/>
        <w:tab w:val="left" w:pos="720"/>
        <w:tab w:val="left" w:pos="1200"/>
      </w:tabs>
      <w:spacing w:after="120"/>
      <w:rPr>
        <w:rStyle w:val="28"/>
      </w:rPr>
    </w:pPr>
    <w:r>
      <w:fldChar w:fldCharType="begin"/>
    </w:r>
    <w:r>
      <w:rPr>
        <w:rStyle w:val="28"/>
      </w:rPr>
      <w:instrText xml:space="preserve">PAGE  </w:instrText>
    </w:r>
    <w:r>
      <w:fldChar w:fldCharType="separate"/>
    </w:r>
    <w:r>
      <w:rPr>
        <w:rStyle w:val="28"/>
      </w:rPr>
      <w:t>10</w:t>
    </w:r>
    <w:r>
      <w:fldChar w:fldCharType="end"/>
    </w:r>
  </w:p>
  <w:p>
    <w:pPr>
      <w:pStyle w:val="9"/>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CBFC0"/>
    <w:multiLevelType w:val="singleLevel"/>
    <w:tmpl w:val="963CBFC0"/>
    <w:lvl w:ilvl="0" w:tentative="0">
      <w:start w:val="1"/>
      <w:numFmt w:val="bullet"/>
      <w:pStyle w:val="13"/>
      <w:lvlText w:val=""/>
      <w:lvlJc w:val="left"/>
      <w:pPr>
        <w:tabs>
          <w:tab w:val="left" w:pos="780"/>
        </w:tabs>
        <w:ind w:left="780" w:hanging="360"/>
      </w:pPr>
      <w:rPr>
        <w:rFonts w:hint="default" w:ascii="Wingdings" w:hAnsi="Wingdings"/>
      </w:rPr>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E7171C12"/>
    <w:multiLevelType w:val="singleLevel"/>
    <w:tmpl w:val="E7171C12"/>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3">
    <w:nsid w:val="0ED2C79B"/>
    <w:multiLevelType w:val="singleLevel"/>
    <w:tmpl w:val="0ED2C79B"/>
    <w:lvl w:ilvl="0" w:tentative="0">
      <w:start w:val="1"/>
      <w:numFmt w:val="decimal"/>
      <w:pStyle w:val="9"/>
      <w:lvlText w:val="%1."/>
      <w:lvlJc w:val="left"/>
      <w:pPr>
        <w:tabs>
          <w:tab w:val="left" w:pos="360"/>
        </w:tabs>
        <w:ind w:left="360" w:hanging="360"/>
      </w:p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BE338C7"/>
    <w:multiLevelType w:val="singleLevel"/>
    <w:tmpl w:val="5BE338C7"/>
    <w:lvl w:ilvl="0" w:tentative="0">
      <w:start w:val="1"/>
      <w:numFmt w:val="decimal"/>
      <w:lvlText w:val="%1."/>
      <w:lvlJc w:val="left"/>
      <w:pPr>
        <w:ind w:left="425" w:hanging="425"/>
      </w:pPr>
      <w:rPr>
        <w:rFonts w:hint="default"/>
      </w:rPr>
    </w:lvl>
  </w:abstractNum>
  <w:abstractNum w:abstractNumId="6">
    <w:nsid w:val="636567A2"/>
    <w:multiLevelType w:val="multilevel"/>
    <w:tmpl w:val="636567A2"/>
    <w:lvl w:ilvl="0" w:tentative="0">
      <w:start w:val="1"/>
      <w:numFmt w:val="decimal"/>
      <w:pStyle w:val="5"/>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6DDD653"/>
    <w:multiLevelType w:val="singleLevel"/>
    <w:tmpl w:val="66DDD653"/>
    <w:lvl w:ilvl="0" w:tentative="0">
      <w:start w:val="1"/>
      <w:numFmt w:val="chineseCounting"/>
      <w:suff w:val="space"/>
      <w:lvlText w:val="第%1章"/>
      <w:lvlJc w:val="left"/>
      <w:rPr>
        <w:rFonts w:hint="eastAsia"/>
      </w:rPr>
    </w:lvl>
  </w:abstractNum>
  <w:abstractNum w:abstractNumId="8">
    <w:nsid w:val="678CFB24"/>
    <w:multiLevelType w:val="singleLevel"/>
    <w:tmpl w:val="678CFB24"/>
    <w:lvl w:ilvl="0" w:tentative="0">
      <w:start w:val="1"/>
      <w:numFmt w:val="chineseCounting"/>
      <w:suff w:val="nothing"/>
      <w:lvlText w:val="%1、"/>
      <w:lvlJc w:val="left"/>
      <w:rPr>
        <w:rFonts w:hint="eastAsia"/>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4NTIzYmQzYTkzZDNjNzAyYjQzNmIwNGQ0MmE2M2IifQ=="/>
  </w:docVars>
  <w:rsids>
    <w:rsidRoot w:val="685F2B0C"/>
    <w:rsid w:val="00001822"/>
    <w:rsid w:val="0000676C"/>
    <w:rsid w:val="000154B2"/>
    <w:rsid w:val="000220D4"/>
    <w:rsid w:val="000221EE"/>
    <w:rsid w:val="00030D77"/>
    <w:rsid w:val="00047C71"/>
    <w:rsid w:val="00063432"/>
    <w:rsid w:val="00067EBE"/>
    <w:rsid w:val="00071BA1"/>
    <w:rsid w:val="000740FA"/>
    <w:rsid w:val="00077950"/>
    <w:rsid w:val="0008211B"/>
    <w:rsid w:val="000839F2"/>
    <w:rsid w:val="00085621"/>
    <w:rsid w:val="00086AFA"/>
    <w:rsid w:val="00096A85"/>
    <w:rsid w:val="000A2B60"/>
    <w:rsid w:val="000B40AC"/>
    <w:rsid w:val="000B5655"/>
    <w:rsid w:val="000E4514"/>
    <w:rsid w:val="000F3BA6"/>
    <w:rsid w:val="001018F6"/>
    <w:rsid w:val="00102B98"/>
    <w:rsid w:val="001146EF"/>
    <w:rsid w:val="0011667D"/>
    <w:rsid w:val="00117F4A"/>
    <w:rsid w:val="001417A1"/>
    <w:rsid w:val="00145361"/>
    <w:rsid w:val="00147BA8"/>
    <w:rsid w:val="00153321"/>
    <w:rsid w:val="0015483F"/>
    <w:rsid w:val="00161CFF"/>
    <w:rsid w:val="00162814"/>
    <w:rsid w:val="00165EE9"/>
    <w:rsid w:val="0018393D"/>
    <w:rsid w:val="00186236"/>
    <w:rsid w:val="00194429"/>
    <w:rsid w:val="001951CA"/>
    <w:rsid w:val="001A746E"/>
    <w:rsid w:val="001B0177"/>
    <w:rsid w:val="001C6E10"/>
    <w:rsid w:val="001E3609"/>
    <w:rsid w:val="001F2BB7"/>
    <w:rsid w:val="00242E17"/>
    <w:rsid w:val="00255983"/>
    <w:rsid w:val="00291503"/>
    <w:rsid w:val="002A3D6E"/>
    <w:rsid w:val="002B1FBA"/>
    <w:rsid w:val="002F332C"/>
    <w:rsid w:val="00313AA9"/>
    <w:rsid w:val="00315916"/>
    <w:rsid w:val="0033459A"/>
    <w:rsid w:val="0033653F"/>
    <w:rsid w:val="00345785"/>
    <w:rsid w:val="00346D34"/>
    <w:rsid w:val="003617C1"/>
    <w:rsid w:val="00394AF1"/>
    <w:rsid w:val="003966CB"/>
    <w:rsid w:val="00397B4C"/>
    <w:rsid w:val="00397CA4"/>
    <w:rsid w:val="003C1122"/>
    <w:rsid w:val="003C4B41"/>
    <w:rsid w:val="003E7E4B"/>
    <w:rsid w:val="003F7037"/>
    <w:rsid w:val="003F7B6C"/>
    <w:rsid w:val="00401BB4"/>
    <w:rsid w:val="00402294"/>
    <w:rsid w:val="0040416F"/>
    <w:rsid w:val="00414893"/>
    <w:rsid w:val="00463728"/>
    <w:rsid w:val="00492D29"/>
    <w:rsid w:val="0049548B"/>
    <w:rsid w:val="004C1DEC"/>
    <w:rsid w:val="004C66BE"/>
    <w:rsid w:val="004D0F07"/>
    <w:rsid w:val="004D1BD8"/>
    <w:rsid w:val="004D436F"/>
    <w:rsid w:val="004F3491"/>
    <w:rsid w:val="00520055"/>
    <w:rsid w:val="005617DF"/>
    <w:rsid w:val="005727F6"/>
    <w:rsid w:val="0059431D"/>
    <w:rsid w:val="005B07E9"/>
    <w:rsid w:val="005C58B3"/>
    <w:rsid w:val="005D0DD1"/>
    <w:rsid w:val="005E7F5A"/>
    <w:rsid w:val="005F2A0C"/>
    <w:rsid w:val="00605C1B"/>
    <w:rsid w:val="00635DA5"/>
    <w:rsid w:val="0065048B"/>
    <w:rsid w:val="006620A8"/>
    <w:rsid w:val="00667357"/>
    <w:rsid w:val="0068223A"/>
    <w:rsid w:val="006825F8"/>
    <w:rsid w:val="00685525"/>
    <w:rsid w:val="006B119E"/>
    <w:rsid w:val="006D5C96"/>
    <w:rsid w:val="006D66AC"/>
    <w:rsid w:val="006F3843"/>
    <w:rsid w:val="00700776"/>
    <w:rsid w:val="00712BFA"/>
    <w:rsid w:val="00736F7D"/>
    <w:rsid w:val="0074420C"/>
    <w:rsid w:val="007477AD"/>
    <w:rsid w:val="00753AE0"/>
    <w:rsid w:val="00770A08"/>
    <w:rsid w:val="00794BBF"/>
    <w:rsid w:val="007B7BC7"/>
    <w:rsid w:val="007C3931"/>
    <w:rsid w:val="007C5DB8"/>
    <w:rsid w:val="007D2F69"/>
    <w:rsid w:val="007E144D"/>
    <w:rsid w:val="007E2BA8"/>
    <w:rsid w:val="007E4849"/>
    <w:rsid w:val="007F6447"/>
    <w:rsid w:val="00801D0B"/>
    <w:rsid w:val="00817A3B"/>
    <w:rsid w:val="008248FA"/>
    <w:rsid w:val="0084648D"/>
    <w:rsid w:val="00850346"/>
    <w:rsid w:val="00855F76"/>
    <w:rsid w:val="00873EC4"/>
    <w:rsid w:val="008856B6"/>
    <w:rsid w:val="0089019B"/>
    <w:rsid w:val="00897D8A"/>
    <w:rsid w:val="008A1232"/>
    <w:rsid w:val="008A3A13"/>
    <w:rsid w:val="008C4C8B"/>
    <w:rsid w:val="008C57E4"/>
    <w:rsid w:val="008E5B9C"/>
    <w:rsid w:val="008F059D"/>
    <w:rsid w:val="00905DA1"/>
    <w:rsid w:val="0091302F"/>
    <w:rsid w:val="009145F5"/>
    <w:rsid w:val="00945E5D"/>
    <w:rsid w:val="00962122"/>
    <w:rsid w:val="00987EDA"/>
    <w:rsid w:val="00990D69"/>
    <w:rsid w:val="00993BE7"/>
    <w:rsid w:val="009A0B24"/>
    <w:rsid w:val="009A1D63"/>
    <w:rsid w:val="009A44C5"/>
    <w:rsid w:val="009B5C47"/>
    <w:rsid w:val="009D46C4"/>
    <w:rsid w:val="009D6A9E"/>
    <w:rsid w:val="009E0B23"/>
    <w:rsid w:val="009E3FF8"/>
    <w:rsid w:val="009E4E54"/>
    <w:rsid w:val="009F3832"/>
    <w:rsid w:val="00A200F5"/>
    <w:rsid w:val="00A24D72"/>
    <w:rsid w:val="00A34D80"/>
    <w:rsid w:val="00A362B9"/>
    <w:rsid w:val="00A40A0F"/>
    <w:rsid w:val="00A51E78"/>
    <w:rsid w:val="00A5256C"/>
    <w:rsid w:val="00A52936"/>
    <w:rsid w:val="00A66D14"/>
    <w:rsid w:val="00A77741"/>
    <w:rsid w:val="00A85AC9"/>
    <w:rsid w:val="00A921FD"/>
    <w:rsid w:val="00A95853"/>
    <w:rsid w:val="00AA503A"/>
    <w:rsid w:val="00AB072A"/>
    <w:rsid w:val="00AB1596"/>
    <w:rsid w:val="00AB49B7"/>
    <w:rsid w:val="00AC6C12"/>
    <w:rsid w:val="00AD5F42"/>
    <w:rsid w:val="00AD724D"/>
    <w:rsid w:val="00AE5521"/>
    <w:rsid w:val="00AE66EB"/>
    <w:rsid w:val="00AF3DE0"/>
    <w:rsid w:val="00B020CF"/>
    <w:rsid w:val="00B03224"/>
    <w:rsid w:val="00B043C5"/>
    <w:rsid w:val="00B10199"/>
    <w:rsid w:val="00B12DF7"/>
    <w:rsid w:val="00B16FA7"/>
    <w:rsid w:val="00B2639F"/>
    <w:rsid w:val="00B3161E"/>
    <w:rsid w:val="00B34B47"/>
    <w:rsid w:val="00B47E53"/>
    <w:rsid w:val="00B72890"/>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81C9D"/>
    <w:rsid w:val="00C8723C"/>
    <w:rsid w:val="00CA0697"/>
    <w:rsid w:val="00CA12F3"/>
    <w:rsid w:val="00CA2C6C"/>
    <w:rsid w:val="00CA728C"/>
    <w:rsid w:val="00CC4021"/>
    <w:rsid w:val="00CD0A72"/>
    <w:rsid w:val="00D0009A"/>
    <w:rsid w:val="00D14AD5"/>
    <w:rsid w:val="00D246D4"/>
    <w:rsid w:val="00D325EC"/>
    <w:rsid w:val="00D40771"/>
    <w:rsid w:val="00D64FC1"/>
    <w:rsid w:val="00D655A0"/>
    <w:rsid w:val="00D66731"/>
    <w:rsid w:val="00D81728"/>
    <w:rsid w:val="00DB1553"/>
    <w:rsid w:val="00DB4DE5"/>
    <w:rsid w:val="00DF0325"/>
    <w:rsid w:val="00DF7A01"/>
    <w:rsid w:val="00E029D9"/>
    <w:rsid w:val="00E10F08"/>
    <w:rsid w:val="00E11356"/>
    <w:rsid w:val="00E42018"/>
    <w:rsid w:val="00E45207"/>
    <w:rsid w:val="00E51C18"/>
    <w:rsid w:val="00E51E92"/>
    <w:rsid w:val="00EA3C27"/>
    <w:rsid w:val="00EC7618"/>
    <w:rsid w:val="00EE16CE"/>
    <w:rsid w:val="00EE453C"/>
    <w:rsid w:val="00F1568D"/>
    <w:rsid w:val="00F21898"/>
    <w:rsid w:val="00F33C9E"/>
    <w:rsid w:val="00F447A7"/>
    <w:rsid w:val="00F543F9"/>
    <w:rsid w:val="00F548C4"/>
    <w:rsid w:val="00F7155E"/>
    <w:rsid w:val="00F8124B"/>
    <w:rsid w:val="00F8666D"/>
    <w:rsid w:val="00F86AB9"/>
    <w:rsid w:val="00F92A7E"/>
    <w:rsid w:val="00FA6B35"/>
    <w:rsid w:val="00FB14A1"/>
    <w:rsid w:val="00FC05F2"/>
    <w:rsid w:val="00FC1E7F"/>
    <w:rsid w:val="00FC5C25"/>
    <w:rsid w:val="00FE5F42"/>
    <w:rsid w:val="00FF0C0B"/>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6609F8"/>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3716B"/>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45DC1"/>
    <w:rsid w:val="06D53145"/>
    <w:rsid w:val="06DC60DB"/>
    <w:rsid w:val="06F44F8B"/>
    <w:rsid w:val="06F84851"/>
    <w:rsid w:val="06FB0045"/>
    <w:rsid w:val="077360FE"/>
    <w:rsid w:val="077B362D"/>
    <w:rsid w:val="07964217"/>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4639E4"/>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A17DDA"/>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01F6A"/>
    <w:rsid w:val="186F483E"/>
    <w:rsid w:val="1870253F"/>
    <w:rsid w:val="188227EF"/>
    <w:rsid w:val="189220EE"/>
    <w:rsid w:val="189E4B47"/>
    <w:rsid w:val="18C05D2F"/>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035905"/>
    <w:rsid w:val="20082660"/>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62034"/>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9B6858"/>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6D5394"/>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D80A0A"/>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40220D"/>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4DB3BCF"/>
    <w:rsid w:val="45087E48"/>
    <w:rsid w:val="452905F3"/>
    <w:rsid w:val="4531085A"/>
    <w:rsid w:val="456A35B3"/>
    <w:rsid w:val="459E711B"/>
    <w:rsid w:val="45A45439"/>
    <w:rsid w:val="45B4675B"/>
    <w:rsid w:val="45CA7348"/>
    <w:rsid w:val="45CB72CE"/>
    <w:rsid w:val="461F4864"/>
    <w:rsid w:val="462B6DAB"/>
    <w:rsid w:val="46696311"/>
    <w:rsid w:val="46977D08"/>
    <w:rsid w:val="469B5592"/>
    <w:rsid w:val="46A5400A"/>
    <w:rsid w:val="46B17421"/>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1D092C"/>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21B5B"/>
    <w:rsid w:val="56EA1F97"/>
    <w:rsid w:val="570F0FFB"/>
    <w:rsid w:val="57493809"/>
    <w:rsid w:val="574E065D"/>
    <w:rsid w:val="575B7C13"/>
    <w:rsid w:val="576E7E03"/>
    <w:rsid w:val="576F3950"/>
    <w:rsid w:val="578A5B09"/>
    <w:rsid w:val="579B0E0D"/>
    <w:rsid w:val="57AA49F3"/>
    <w:rsid w:val="57AA5D1A"/>
    <w:rsid w:val="57BE32DB"/>
    <w:rsid w:val="57D631F8"/>
    <w:rsid w:val="58082218"/>
    <w:rsid w:val="581028EA"/>
    <w:rsid w:val="581917B6"/>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543F5C"/>
    <w:rsid w:val="61A25580"/>
    <w:rsid w:val="61AE7556"/>
    <w:rsid w:val="61C55F7F"/>
    <w:rsid w:val="61CA3612"/>
    <w:rsid w:val="61D41854"/>
    <w:rsid w:val="61F46458"/>
    <w:rsid w:val="62282B27"/>
    <w:rsid w:val="623E360E"/>
    <w:rsid w:val="625A6442"/>
    <w:rsid w:val="6275630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903D07"/>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750E25"/>
    <w:rsid w:val="6C98271E"/>
    <w:rsid w:val="6CA06E51"/>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4ED2DBE"/>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AC62E6"/>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AF1C8C"/>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6">
    <w:name w:val="heading 2"/>
    <w:basedOn w:val="1"/>
    <w:next w:val="1"/>
    <w:link w:val="82"/>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7">
    <w:name w:val="heading 3"/>
    <w:basedOn w:val="1"/>
    <w:next w:val="8"/>
    <w:semiHidden/>
    <w:unhideWhenUsed/>
    <w:qFormat/>
    <w:uiPriority w:val="0"/>
    <w:pPr>
      <w:keepNext/>
      <w:keepLines/>
      <w:tabs>
        <w:tab w:val="left" w:pos="8280"/>
      </w:tabs>
      <w:spacing w:before="260" w:after="260" w:line="416" w:lineRule="auto"/>
      <w:outlineLvl w:val="2"/>
    </w:pPr>
    <w:rPr>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4"/>
    <w:link w:val="77"/>
    <w:qFormat/>
    <w:uiPriority w:val="0"/>
    <w:pPr>
      <w:ind w:firstLine="200" w:firstLineChars="200"/>
    </w:pPr>
  </w:style>
  <w:style w:type="paragraph" w:styleId="4">
    <w:name w:val="toc 6"/>
    <w:basedOn w:val="1"/>
    <w:next w:val="1"/>
    <w:unhideWhenUsed/>
    <w:qFormat/>
    <w:uiPriority w:val="39"/>
    <w:pPr>
      <w:ind w:left="2100" w:leftChars="1000"/>
    </w:pPr>
    <w:rPr>
      <w:rFonts w:ascii="Calibri" w:hAnsi="Calibri"/>
    </w:rPr>
  </w:style>
  <w:style w:type="paragraph" w:styleId="8">
    <w:name w:val="Normal Indent"/>
    <w:basedOn w:val="1"/>
    <w:next w:val="1"/>
    <w:qFormat/>
    <w:uiPriority w:val="0"/>
    <w:pPr>
      <w:ind w:firstLine="420"/>
    </w:pPr>
    <w:rPr>
      <w:szCs w:val="20"/>
    </w:rPr>
  </w:style>
  <w:style w:type="paragraph" w:styleId="9">
    <w:name w:val="List Number"/>
    <w:basedOn w:val="1"/>
    <w:qFormat/>
    <w:uiPriority w:val="0"/>
    <w:pPr>
      <w:numPr>
        <w:ilvl w:val="0"/>
        <w:numId w:val="2"/>
      </w:numPr>
    </w:pPr>
  </w:style>
  <w:style w:type="paragraph" w:styleId="10">
    <w:name w:val="List Bullet"/>
    <w:basedOn w:val="1"/>
    <w:next w:val="1"/>
    <w:qFormat/>
    <w:uiPriority w:val="0"/>
    <w:pPr>
      <w:numPr>
        <w:ilvl w:val="0"/>
        <w:numId w:val="3"/>
      </w:numPr>
    </w:pPr>
  </w:style>
  <w:style w:type="paragraph" w:styleId="11">
    <w:name w:val="annotation text"/>
    <w:basedOn w:val="1"/>
    <w:link w:val="75"/>
    <w:qFormat/>
    <w:uiPriority w:val="0"/>
    <w:pPr>
      <w:jc w:val="left"/>
    </w:pPr>
  </w:style>
  <w:style w:type="paragraph" w:styleId="12">
    <w:name w:val="Body Text Indent"/>
    <w:basedOn w:val="1"/>
    <w:next w:val="1"/>
    <w:qFormat/>
    <w:uiPriority w:val="0"/>
    <w:pPr>
      <w:spacing w:after="120"/>
      <w:ind w:left="420" w:leftChars="200"/>
    </w:pPr>
  </w:style>
  <w:style w:type="paragraph" w:styleId="13">
    <w:name w:val="List Bullet 2"/>
    <w:basedOn w:val="1"/>
    <w:next w:val="10"/>
    <w:qFormat/>
    <w:uiPriority w:val="0"/>
    <w:pPr>
      <w:numPr>
        <w:ilvl w:val="0"/>
        <w:numId w:val="4"/>
      </w:numPr>
    </w:pPr>
  </w:style>
  <w:style w:type="paragraph" w:styleId="14">
    <w:name w:val="Plain Text"/>
    <w:basedOn w:val="1"/>
    <w:next w:val="15"/>
    <w:link w:val="67"/>
    <w:qFormat/>
    <w:uiPriority w:val="0"/>
    <w:rPr>
      <w:rFonts w:ascii="宋体" w:hAnsi="Courier New" w:cstheme="minorBidi"/>
    </w:rPr>
  </w:style>
  <w:style w:type="paragraph" w:styleId="15">
    <w:name w:val="Date"/>
    <w:basedOn w:val="1"/>
    <w:next w:val="1"/>
    <w:qFormat/>
    <w:uiPriority w:val="0"/>
    <w:pPr>
      <w:ind w:left="2500" w:leftChars="2500"/>
    </w:pPr>
    <w:rPr>
      <w:rFonts w:eastAsia="楷体_GB2312" w:asciiTheme="minorHAnsi" w:hAnsiTheme="minorHAnsi" w:cstheme="minorBidi"/>
      <w:sz w:val="32"/>
      <w:szCs w:val="22"/>
    </w:rPr>
  </w:style>
  <w:style w:type="paragraph" w:styleId="16">
    <w:name w:val="Balloon Text"/>
    <w:basedOn w:val="1"/>
    <w:link w:val="57"/>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Title"/>
    <w:basedOn w:val="1"/>
    <w:next w:val="1"/>
    <w:qFormat/>
    <w:uiPriority w:val="0"/>
    <w:pPr>
      <w:spacing w:before="240" w:after="60"/>
      <w:jc w:val="center"/>
      <w:outlineLvl w:val="0"/>
    </w:pPr>
    <w:rPr>
      <w:rFonts w:ascii="Cambria" w:hAnsi="Cambria"/>
      <w:b/>
      <w:bCs/>
      <w:kern w:val="0"/>
      <w:sz w:val="32"/>
      <w:szCs w:val="32"/>
    </w:rPr>
  </w:style>
  <w:style w:type="paragraph" w:styleId="23">
    <w:name w:val="annotation subject"/>
    <w:basedOn w:val="11"/>
    <w:next w:val="11"/>
    <w:link w:val="76"/>
    <w:qFormat/>
    <w:uiPriority w:val="0"/>
    <w:rPr>
      <w:b/>
      <w:bCs/>
    </w:rPr>
  </w:style>
  <w:style w:type="paragraph" w:styleId="24">
    <w:name w:val="Body Text First Indent 2"/>
    <w:basedOn w:val="12"/>
    <w:next w:val="1"/>
    <w:qFormat/>
    <w:uiPriority w:val="0"/>
    <w:pPr>
      <w:ind w:firstLine="420"/>
    </w:pPr>
  </w:style>
  <w:style w:type="table" w:styleId="26">
    <w:name w:val="Table Grid"/>
    <w:basedOn w:val="25"/>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8">
    <w:name w:val="Hyperlink"/>
    <w:qFormat/>
    <w:uiPriority w:val="0"/>
    <w:rPr>
      <w:color w:val="0000FF"/>
      <w:u w:val="single"/>
    </w:rPr>
  </w:style>
  <w:style w:type="character" w:styleId="29">
    <w:name w:val="annotation reference"/>
    <w:basedOn w:val="27"/>
    <w:qFormat/>
    <w:uiPriority w:val="0"/>
    <w:rPr>
      <w:sz w:val="21"/>
      <w:szCs w:val="21"/>
    </w:rPr>
  </w:style>
  <w:style w:type="paragraph" w:customStyle="1" w:styleId="30">
    <w:name w:val="签发人"/>
    <w:basedOn w:val="1"/>
    <w:qFormat/>
    <w:uiPriority w:val="0"/>
    <w:rPr>
      <w:rFonts w:eastAsia="楷体"/>
      <w:sz w:val="32"/>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2"/>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Theme="minorEastAsia" w:cstheme="minorBidi"/>
      <w:szCs w:val="21"/>
    </w:rPr>
  </w:style>
  <w:style w:type="paragraph" w:customStyle="1" w:styleId="45">
    <w:name w:val="纯文本_0_1"/>
    <w:basedOn w:val="1"/>
    <w:qFormat/>
    <w:uiPriority w:val="0"/>
    <w:pPr>
      <w:widowControl/>
      <w:jc w:val="left"/>
    </w:pPr>
    <w:rPr>
      <w:rFonts w:ascii="宋体" w:hAnsi="Courier New" w:eastAsiaTheme="minorEastAsia" w:cstheme="minorBidi"/>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7"/>
    <w:qFormat/>
    <w:uiPriority w:val="0"/>
    <w:rPr>
      <w:rFonts w:hint="default" w:ascii="Arial" w:hAnsi="Arial" w:cs="Arial"/>
      <w:color w:val="000000"/>
      <w:sz w:val="20"/>
      <w:szCs w:val="20"/>
      <w:u w:val="none"/>
    </w:rPr>
  </w:style>
  <w:style w:type="character" w:customStyle="1" w:styleId="51">
    <w:name w:val="font01"/>
    <w:basedOn w:val="27"/>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7"/>
    <w:link w:val="16"/>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4"/>
    <w:qFormat/>
    <w:uiPriority w:val="0"/>
    <w:rPr>
      <w:rFonts w:ascii="宋体" w:hAnsi="Courier New" w:cstheme="minorBidi"/>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批注文字 字符"/>
    <w:basedOn w:val="27"/>
    <w:link w:val="11"/>
    <w:qFormat/>
    <w:uiPriority w:val="0"/>
    <w:rPr>
      <w:kern w:val="2"/>
      <w:sz w:val="21"/>
      <w:szCs w:val="24"/>
    </w:rPr>
  </w:style>
  <w:style w:type="character" w:customStyle="1" w:styleId="76">
    <w:name w:val="批注主题 字符"/>
    <w:basedOn w:val="75"/>
    <w:link w:val="23"/>
    <w:qFormat/>
    <w:uiPriority w:val="0"/>
    <w:rPr>
      <w:b/>
      <w:bCs/>
      <w:kern w:val="2"/>
      <w:sz w:val="21"/>
      <w:szCs w:val="24"/>
    </w:rPr>
  </w:style>
  <w:style w:type="character" w:customStyle="1" w:styleId="77">
    <w:name w:val="正文文本首行缩进 字符"/>
    <w:basedOn w:val="27"/>
    <w:link w:val="3"/>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7"/>
    <w:semiHidden/>
    <w:unhideWhenUsed/>
    <w:qFormat/>
    <w:uiPriority w:val="99"/>
    <w:rPr>
      <w:color w:val="605E5C"/>
      <w:shd w:val="clear" w:color="auto" w:fill="E1DFDD"/>
    </w:rPr>
  </w:style>
  <w:style w:type="character" w:customStyle="1" w:styleId="80">
    <w:name w:val="font11"/>
    <w:basedOn w:val="27"/>
    <w:qFormat/>
    <w:uiPriority w:val="0"/>
    <w:rPr>
      <w:rFonts w:hint="eastAsia" w:ascii="宋体" w:hAnsi="宋体" w:eastAsia="宋体" w:cs="宋体"/>
      <w:color w:val="000000"/>
      <w:sz w:val="36"/>
      <w:szCs w:val="36"/>
      <w:u w:val="none"/>
    </w:rPr>
  </w:style>
  <w:style w:type="paragraph" w:customStyle="1" w:styleId="8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82">
    <w:name w:val="标题 2 Char"/>
    <w:link w:val="6"/>
    <w:qFormat/>
    <w:uiPriority w:val="0"/>
    <w:rPr>
      <w:rFonts w:ascii="宋体" w:hAnsi="宋体"/>
      <w:b/>
      <w:sz w:val="32"/>
      <w:szCs w:val="28"/>
    </w:rPr>
  </w:style>
  <w:style w:type="paragraph" w:customStyle="1" w:styleId="83">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77</Pages>
  <Words>39186</Words>
  <Characters>41611</Characters>
  <Lines>169</Lines>
  <Paragraphs>47</Paragraphs>
  <TotalTime>5</TotalTime>
  <ScaleCrop>false</ScaleCrop>
  <LinksUpToDate>false</LinksUpToDate>
  <CharactersWithSpaces>42745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建设咨询</cp:lastModifiedBy>
  <cp:lastPrinted>2024-07-11T02:44:00Z</cp:lastPrinted>
  <dcterms:modified xsi:type="dcterms:W3CDTF">2024-08-15T09:23:10Z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966437834B104F368F16F2C6BBBDFFA4_13</vt:lpwstr>
  </property>
  <property fmtid="{D5CDD505-2E9C-101B-9397-08002B2CF9AE}" pid="4" name="commondata">
    <vt:lpwstr>eyJoZGlkIjoiZWM5NTczMTg4N2ExZWZmMDU0MmIxMDc2NTJiZjIxOTMifQ==</vt:lpwstr>
  </property>
</Properties>
</file>