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540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14:paraId="748AF73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14:paraId="10C6CAAA">
      <w:pPr>
        <w:pStyle w:val="82"/>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台州东茂观光农业开发有限公司2024零星机械租赁项目（第二批)</w:t>
      </w:r>
    </w:p>
    <w:p w14:paraId="57154AAE">
      <w:pPr>
        <w:pStyle w:val="82"/>
        <w:jc w:val="center"/>
        <w:rPr>
          <w:rFonts w:hint="eastAsia"/>
          <w:b/>
          <w:bCs/>
          <w:color w:val="000000" w:themeColor="text1"/>
          <w:sz w:val="36"/>
          <w:szCs w:val="40"/>
          <w:highlight w:val="none"/>
          <w14:textFill>
            <w14:solidFill>
              <w14:schemeClr w14:val="tx1"/>
            </w14:solidFill>
          </w14:textFill>
        </w:rPr>
      </w:pPr>
    </w:p>
    <w:p w14:paraId="411472E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14:paraId="590157B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lang w:val="en-US" w:eastAsia="zh-CN"/>
          <w14:textFill>
            <w14:solidFill>
              <w14:schemeClr w14:val="tx1"/>
            </w14:solidFill>
          </w14:textFill>
        </w:rPr>
        <w:t>招标</w:t>
      </w:r>
      <w:r>
        <w:rPr>
          <w:rFonts w:hint="eastAsia" w:ascii="宋体" w:hAnsi="宋体" w:cs="Calibri Light"/>
          <w:color w:val="000000" w:themeColor="text1"/>
          <w:kern w:val="0"/>
          <w:sz w:val="24"/>
          <w:highlight w:val="none"/>
          <w14:textFill>
            <w14:solidFill>
              <w14:schemeClr w14:val="tx1"/>
            </w14:solidFill>
          </w14:textFill>
        </w:rPr>
        <w:t>编号：QBJ2024167</w:t>
      </w:r>
    </w:p>
    <w:p w14:paraId="775E5593">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14:paraId="47A2034D">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lang w:eastAsia="zh-CN"/>
          <w14:textFill>
            <w14:solidFill>
              <w14:schemeClr w14:val="tx1"/>
            </w14:solidFill>
          </w14:textFill>
        </w:rPr>
        <w:t>招标人</w:t>
      </w:r>
      <w:r>
        <w:rPr>
          <w:rFonts w:hint="eastAsia" w:ascii="宋体" w:hAnsi="宋体"/>
          <w:color w:val="000000" w:themeColor="text1"/>
          <w:spacing w:val="20"/>
          <w:kern w:val="21"/>
          <w:sz w:val="30"/>
          <w:szCs w:val="30"/>
          <w:highlight w:val="none"/>
          <w14:textFill>
            <w14:solidFill>
              <w14:schemeClr w14:val="tx1"/>
            </w14:solidFill>
          </w14:textFill>
        </w:rPr>
        <w:t>：</w:t>
      </w:r>
      <w:r>
        <w:rPr>
          <w:rFonts w:hint="eastAsia"/>
          <w:color w:val="000000" w:themeColor="text1"/>
          <w:sz w:val="28"/>
          <w:highlight w:val="none"/>
          <w:u w:val="single"/>
          <w:lang w:eastAsia="zh-CN"/>
          <w14:textFill>
            <w14:solidFill>
              <w14:schemeClr w14:val="tx1"/>
            </w14:solidFill>
          </w14:textFill>
        </w:rPr>
        <w:t>台州东茂观光农业开发有限公司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14:paraId="3B296764">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lang w:eastAsia="zh-CN"/>
          <w14:textFill>
            <w14:solidFill>
              <w14:schemeClr w14:val="tx1"/>
            </w14:solidFill>
          </w14:textFill>
        </w:rPr>
        <w:t>王先生</w:t>
      </w:r>
      <w:r>
        <w:rPr>
          <w:rFonts w:hAnsi="宋体"/>
          <w:color w:val="000000" w:themeColor="text1"/>
          <w:sz w:val="28"/>
          <w:highlight w:val="none"/>
          <w:u w:val="single"/>
          <w14:textFill>
            <w14:solidFill>
              <w14:schemeClr w14:val="tx1"/>
            </w14:solidFill>
          </w14:textFill>
        </w:rPr>
        <w:t xml:space="preserve">    </w:t>
      </w:r>
    </w:p>
    <w:p w14:paraId="0FDB49A1">
      <w:pPr>
        <w:spacing w:line="640" w:lineRule="exact"/>
        <w:ind w:firstLine="1020" w:firstLineChars="300"/>
        <w:outlineLvl w:val="0"/>
        <w:rPr>
          <w:rFonts w:hint="eastAsia" w:ascii="宋体" w:hAnsi="宋体" w:eastAsia="宋体"/>
          <w:color w:val="000000" w:themeColor="text1"/>
          <w:spacing w:val="20"/>
          <w:kern w:val="21"/>
          <w:sz w:val="30"/>
          <w:szCs w:val="30"/>
          <w:highlight w:val="none"/>
          <w:lang w:eastAsia="zh-CN"/>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lang w:eastAsia="zh-CN"/>
          <w14:textFill>
            <w14:solidFill>
              <w14:schemeClr w14:val="tx1"/>
            </w14:solidFill>
          </w14:textFill>
        </w:rPr>
        <w:t>0576-88909826</w:t>
      </w:r>
    </w:p>
    <w:p w14:paraId="0E35B54C">
      <w:pPr>
        <w:pStyle w:val="14"/>
        <w:numPr>
          <w:ilvl w:val="0"/>
          <w:numId w:val="0"/>
        </w:numPr>
        <w:rPr>
          <w:color w:val="000000" w:themeColor="text1"/>
          <w:highlight w:val="none"/>
          <w14:textFill>
            <w14:solidFill>
              <w14:schemeClr w14:val="tx1"/>
            </w14:solidFill>
          </w14:textFill>
        </w:rPr>
      </w:pPr>
    </w:p>
    <w:p w14:paraId="74344B79">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14:paraId="4915E49C">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郑先生</w:t>
      </w:r>
      <w:r>
        <w:rPr>
          <w:rFonts w:ascii="宋体" w:hAnsi="宋体"/>
          <w:color w:val="000000" w:themeColor="text1"/>
          <w:sz w:val="28"/>
          <w:highlight w:val="none"/>
          <w:u w:val="single"/>
          <w14:textFill>
            <w14:solidFill>
              <w14:schemeClr w14:val="tx1"/>
            </w14:solidFill>
          </w14:textFill>
        </w:rPr>
        <w:t xml:space="preserve">   </w:t>
      </w:r>
    </w:p>
    <w:p w14:paraId="4D7EFBD6">
      <w:pPr>
        <w:spacing w:line="480" w:lineRule="auto"/>
        <w:ind w:firstLine="1020" w:firstLineChars="300"/>
        <w:rPr>
          <w:rFonts w:hint="eastAsia" w:ascii="宋体" w:hAnsi="宋体" w:eastAsia="宋体"/>
          <w:color w:val="000000" w:themeColor="text1"/>
          <w:spacing w:val="20"/>
          <w:kern w:val="21"/>
          <w:sz w:val="30"/>
          <w:szCs w:val="30"/>
          <w:highlight w:val="none"/>
          <w:lang w:eastAsia="zh-CN"/>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lang w:eastAsia="zh-CN"/>
          <w14:textFill>
            <w14:solidFill>
              <w14:schemeClr w14:val="tx1"/>
            </w14:solidFill>
          </w14:textFill>
        </w:rPr>
        <w:t>0576-88517783</w:t>
      </w:r>
    </w:p>
    <w:p w14:paraId="78FF33A0">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08</w:t>
      </w:r>
      <w:r>
        <w:rPr>
          <w:rFonts w:hint="eastAsia" w:ascii="宋体" w:hAnsi="宋体"/>
          <w:color w:val="000000" w:themeColor="text1"/>
          <w:spacing w:val="20"/>
          <w:kern w:val="21"/>
          <w:sz w:val="30"/>
          <w:szCs w:val="30"/>
          <w:highlight w:val="none"/>
          <w14:textFill>
            <w14:solidFill>
              <w14:schemeClr w14:val="tx1"/>
            </w14:solidFill>
          </w14:textFill>
        </w:rPr>
        <w:t>月</w:t>
      </w:r>
    </w:p>
    <w:p w14:paraId="6FA91D46">
      <w:pPr>
        <w:pStyle w:val="38"/>
        <w:rPr>
          <w:color w:val="000000" w:themeColor="text1"/>
          <w:highlight w:val="none"/>
          <w14:textFill>
            <w14:solidFill>
              <w14:schemeClr w14:val="tx1"/>
            </w14:solidFill>
          </w14:textFill>
        </w:rPr>
      </w:pPr>
    </w:p>
    <w:p w14:paraId="144E668E">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14:paraId="4EFD67A2">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14:paraId="315FEF9B">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第一章 </w:t>
      </w:r>
      <w:r>
        <w:rPr>
          <w:rFonts w:hint="eastAsia" w:cs="宋体"/>
          <w:color w:val="000000" w:themeColor="text1"/>
          <w:sz w:val="28"/>
          <w:szCs w:val="28"/>
          <w:highlight w:val="none"/>
          <w:lang w:eastAsia="zh-CN"/>
          <w14:textFill>
            <w14:solidFill>
              <w14:schemeClr w14:val="tx1"/>
            </w14:solidFill>
          </w14:textFill>
        </w:rPr>
        <w:t>公开招标采购公告</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14:paraId="69EDA103">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14:paraId="1A104A35">
      <w:pPr>
        <w:pStyle w:val="20"/>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14:paraId="42EB4607">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14:paraId="68391222">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14:paraId="0B5FBC0B">
      <w:pPr>
        <w:pStyle w:val="20"/>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14:paraId="18E93C39">
      <w:pPr>
        <w:spacing w:line="480" w:lineRule="auto"/>
        <w:rPr>
          <w:color w:val="000000" w:themeColor="text1"/>
          <w:sz w:val="28"/>
          <w:szCs w:val="28"/>
          <w:highlight w:val="none"/>
          <w14:textFill>
            <w14:solidFill>
              <w14:schemeClr w14:val="tx1"/>
            </w14:solidFill>
          </w14:textFill>
        </w:rPr>
      </w:pPr>
    </w:p>
    <w:p w14:paraId="2F1E9141">
      <w:pPr>
        <w:spacing w:line="360" w:lineRule="auto"/>
        <w:rPr>
          <w:color w:val="000000" w:themeColor="text1"/>
          <w:highlight w:val="none"/>
          <w14:textFill>
            <w14:solidFill>
              <w14:schemeClr w14:val="tx1"/>
            </w14:solidFill>
          </w14:textFill>
        </w:rPr>
      </w:pPr>
    </w:p>
    <w:p w14:paraId="7F2553F3">
      <w:pPr>
        <w:spacing w:line="360" w:lineRule="auto"/>
        <w:rPr>
          <w:color w:val="000000" w:themeColor="text1"/>
          <w:highlight w:val="none"/>
          <w14:textFill>
            <w14:solidFill>
              <w14:schemeClr w14:val="tx1"/>
            </w14:solidFill>
          </w14:textFill>
        </w:rPr>
      </w:pPr>
    </w:p>
    <w:p w14:paraId="117710F4">
      <w:pPr>
        <w:spacing w:line="360" w:lineRule="auto"/>
        <w:rPr>
          <w:color w:val="000000" w:themeColor="text1"/>
          <w:highlight w:val="none"/>
          <w14:textFill>
            <w14:solidFill>
              <w14:schemeClr w14:val="tx1"/>
            </w14:solidFill>
          </w14:textFill>
        </w:rPr>
      </w:pPr>
    </w:p>
    <w:p w14:paraId="7E0B62F0">
      <w:pPr>
        <w:spacing w:line="360" w:lineRule="auto"/>
        <w:rPr>
          <w:color w:val="000000" w:themeColor="text1"/>
          <w:highlight w:val="none"/>
          <w14:textFill>
            <w14:solidFill>
              <w14:schemeClr w14:val="tx1"/>
            </w14:solidFill>
          </w14:textFill>
        </w:rPr>
      </w:pPr>
    </w:p>
    <w:p w14:paraId="24E582FE">
      <w:pPr>
        <w:spacing w:line="360" w:lineRule="auto"/>
        <w:rPr>
          <w:color w:val="000000" w:themeColor="text1"/>
          <w:highlight w:val="none"/>
          <w14:textFill>
            <w14:solidFill>
              <w14:schemeClr w14:val="tx1"/>
            </w14:solidFill>
          </w14:textFill>
        </w:rPr>
      </w:pPr>
    </w:p>
    <w:p w14:paraId="3049573A">
      <w:pPr>
        <w:spacing w:line="360" w:lineRule="auto"/>
        <w:rPr>
          <w:color w:val="000000" w:themeColor="text1"/>
          <w:highlight w:val="none"/>
          <w14:textFill>
            <w14:solidFill>
              <w14:schemeClr w14:val="tx1"/>
            </w14:solidFill>
          </w14:textFill>
        </w:rPr>
      </w:pPr>
    </w:p>
    <w:p w14:paraId="1E768803">
      <w:pPr>
        <w:spacing w:line="360" w:lineRule="auto"/>
        <w:rPr>
          <w:color w:val="000000" w:themeColor="text1"/>
          <w:highlight w:val="none"/>
          <w14:textFill>
            <w14:solidFill>
              <w14:schemeClr w14:val="tx1"/>
            </w14:solidFill>
          </w14:textFill>
        </w:rPr>
      </w:pPr>
    </w:p>
    <w:p w14:paraId="65D68ABB">
      <w:pPr>
        <w:spacing w:line="360" w:lineRule="auto"/>
        <w:rPr>
          <w:color w:val="000000" w:themeColor="text1"/>
          <w:highlight w:val="none"/>
          <w14:textFill>
            <w14:solidFill>
              <w14:schemeClr w14:val="tx1"/>
            </w14:solidFill>
          </w14:textFill>
        </w:rPr>
      </w:pPr>
    </w:p>
    <w:p w14:paraId="0C44E6C7">
      <w:pPr>
        <w:spacing w:line="360" w:lineRule="auto"/>
        <w:rPr>
          <w:color w:val="000000" w:themeColor="text1"/>
          <w:highlight w:val="none"/>
          <w14:textFill>
            <w14:solidFill>
              <w14:schemeClr w14:val="tx1"/>
            </w14:solidFill>
          </w14:textFill>
        </w:rPr>
      </w:pPr>
    </w:p>
    <w:p w14:paraId="7431E024">
      <w:pPr>
        <w:spacing w:line="360" w:lineRule="auto"/>
        <w:rPr>
          <w:color w:val="000000" w:themeColor="text1"/>
          <w:highlight w:val="none"/>
          <w14:textFill>
            <w14:solidFill>
              <w14:schemeClr w14:val="tx1"/>
            </w14:solidFill>
          </w14:textFill>
        </w:rPr>
      </w:pPr>
    </w:p>
    <w:p w14:paraId="4BDDD644">
      <w:pPr>
        <w:spacing w:line="360" w:lineRule="auto"/>
        <w:rPr>
          <w:color w:val="000000" w:themeColor="text1"/>
          <w:highlight w:val="none"/>
          <w14:textFill>
            <w14:solidFill>
              <w14:schemeClr w14:val="tx1"/>
            </w14:solidFill>
          </w14:textFill>
        </w:rPr>
      </w:pPr>
    </w:p>
    <w:p w14:paraId="54B20D4A">
      <w:pPr>
        <w:spacing w:line="360" w:lineRule="auto"/>
        <w:rPr>
          <w:color w:val="000000" w:themeColor="text1"/>
          <w:highlight w:val="none"/>
          <w14:textFill>
            <w14:solidFill>
              <w14:schemeClr w14:val="tx1"/>
            </w14:solidFill>
          </w14:textFill>
        </w:rPr>
      </w:pPr>
    </w:p>
    <w:p w14:paraId="1D42AA04">
      <w:pPr>
        <w:spacing w:line="360" w:lineRule="auto"/>
        <w:rPr>
          <w:color w:val="000000" w:themeColor="text1"/>
          <w:highlight w:val="none"/>
          <w14:textFill>
            <w14:solidFill>
              <w14:schemeClr w14:val="tx1"/>
            </w14:solidFill>
          </w14:textFill>
        </w:rPr>
      </w:pPr>
    </w:p>
    <w:p w14:paraId="3E5C8F51">
      <w:pPr>
        <w:spacing w:line="360" w:lineRule="auto"/>
        <w:rPr>
          <w:color w:val="000000" w:themeColor="text1"/>
          <w:highlight w:val="none"/>
          <w14:textFill>
            <w14:solidFill>
              <w14:schemeClr w14:val="tx1"/>
            </w14:solidFill>
          </w14:textFill>
        </w:rPr>
      </w:pPr>
    </w:p>
    <w:p w14:paraId="59B73840">
      <w:pPr>
        <w:spacing w:line="360" w:lineRule="auto"/>
        <w:rPr>
          <w:color w:val="000000" w:themeColor="text1"/>
          <w:highlight w:val="none"/>
          <w14:textFill>
            <w14:solidFill>
              <w14:schemeClr w14:val="tx1"/>
            </w14:solidFill>
          </w14:textFill>
        </w:rPr>
      </w:pPr>
    </w:p>
    <w:p w14:paraId="6BCDF498">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14:paraId="617DD811">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lang w:eastAsia="zh-CN"/>
          <w14:textFill>
            <w14:solidFill>
              <w14:schemeClr w14:val="tx1"/>
            </w14:solidFill>
          </w14:textFill>
        </w:rPr>
        <w:t>公开招标采购公告</w:t>
      </w:r>
    </w:p>
    <w:p w14:paraId="1C3A862C">
      <w:pPr>
        <w:pStyle w:val="2"/>
        <w:ind w:firstLine="480" w:firstLineChars="200"/>
        <w:rPr>
          <w:rFonts w:cs="宋体"/>
          <w:b w:val="0"/>
          <w:color w:val="000000" w:themeColor="text1"/>
          <w:sz w:val="24"/>
          <w:szCs w:val="24"/>
          <w:highlight w:val="none"/>
          <w14:textFill>
            <w14:solidFill>
              <w14:schemeClr w14:val="tx1"/>
            </w14:solidFill>
          </w14:textFill>
        </w:rPr>
      </w:pPr>
      <w:bookmarkStart w:id="2" w:name="_Toc35393621"/>
      <w:bookmarkStart w:id="3" w:name="_Toc28359002"/>
      <w:bookmarkStart w:id="4" w:name="_Toc35393790"/>
      <w:bookmarkStart w:id="5" w:name="_Toc28359079"/>
      <w:bookmarkStart w:id="6"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台州东茂观光农业开发有限公司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台州东茂观光农业开发有限公司2024零星机械租赁项目（第二批)</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14:paraId="3E1FF957">
      <w:pPr>
        <w:pStyle w:val="2"/>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r>
        <w:rPr>
          <w:rFonts w:ascii="宋体" w:hAnsi="宋体" w:cs="宋体"/>
          <w:color w:val="000000" w:themeColor="text1"/>
          <w:sz w:val="24"/>
          <w:highlight w:val="none"/>
          <w14:textFill>
            <w14:solidFill>
              <w14:schemeClr w14:val="tx1"/>
            </w14:solidFill>
          </w14:textFill>
        </w:rPr>
        <w:t xml:space="preserve"> </w:t>
      </w:r>
    </w:p>
    <w:bookmarkEnd w:id="6"/>
    <w:tbl>
      <w:tblPr>
        <w:tblStyle w:val="28"/>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20"/>
        <w:gridCol w:w="1365"/>
        <w:gridCol w:w="2265"/>
        <w:gridCol w:w="1500"/>
        <w:gridCol w:w="1516"/>
      </w:tblGrid>
      <w:tr w14:paraId="1496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2" w:type="dxa"/>
            <w:vAlign w:val="center"/>
          </w:tcPr>
          <w:p w14:paraId="61A51E9B">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1920" w:type="dxa"/>
            <w:vAlign w:val="center"/>
          </w:tcPr>
          <w:p w14:paraId="48BD1B26">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1365" w:type="dxa"/>
            <w:vAlign w:val="center"/>
          </w:tcPr>
          <w:p w14:paraId="5ADEA4D6">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2265" w:type="dxa"/>
            <w:vAlign w:val="center"/>
          </w:tcPr>
          <w:p w14:paraId="3AE0ED12">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租赁期要求</w:t>
            </w:r>
          </w:p>
        </w:tc>
        <w:tc>
          <w:tcPr>
            <w:tcW w:w="1500" w:type="dxa"/>
            <w:vAlign w:val="center"/>
          </w:tcPr>
          <w:p w14:paraId="2E458DA9">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供货地点</w:t>
            </w:r>
          </w:p>
        </w:tc>
        <w:tc>
          <w:tcPr>
            <w:tcW w:w="1516" w:type="dxa"/>
            <w:vAlign w:val="center"/>
          </w:tcPr>
          <w:p w14:paraId="48AD0CA8">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投标上限结算率</w:t>
            </w:r>
          </w:p>
        </w:tc>
      </w:tr>
      <w:tr w14:paraId="72C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872" w:type="dxa"/>
            <w:vAlign w:val="center"/>
          </w:tcPr>
          <w:p w14:paraId="3265C3E8">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1</w:t>
            </w:r>
          </w:p>
        </w:tc>
        <w:tc>
          <w:tcPr>
            <w:tcW w:w="1920" w:type="dxa"/>
            <w:vAlign w:val="center"/>
          </w:tcPr>
          <w:p w14:paraId="3E819E6B">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color w:val="000000" w:themeColor="text1"/>
                <w:kern w:val="2"/>
                <w:sz w:val="24"/>
                <w:szCs w:val="24"/>
                <w:highlight w:val="none"/>
                <w:u w:val="none"/>
                <w:lang w:val="en-US" w:eastAsia="zh-CN" w:bidi="ar-SA"/>
                <w14:textFill>
                  <w14:solidFill>
                    <w14:schemeClr w14:val="tx1"/>
                  </w14:solidFill>
                </w14:textFill>
              </w:rPr>
              <w:t>台州东茂观光农业开发有限公司2024零星机械租赁项目（第二批)</w:t>
            </w:r>
          </w:p>
        </w:tc>
        <w:tc>
          <w:tcPr>
            <w:tcW w:w="1365" w:type="dxa"/>
            <w:vAlign w:val="center"/>
          </w:tcPr>
          <w:p w14:paraId="291D901D">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详见具体技术需求</w:t>
            </w:r>
          </w:p>
        </w:tc>
        <w:tc>
          <w:tcPr>
            <w:tcW w:w="2265" w:type="dxa"/>
            <w:vAlign w:val="center"/>
          </w:tcPr>
          <w:p w14:paraId="48406749">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签订合同后1年或累计实际结算金额达到</w:t>
            </w:r>
            <w:r>
              <w:rPr>
                <w:rFonts w:hint="eastAsia" w:ascii="宋体" w:hAnsi="宋体" w:cs="宋体"/>
                <w:b w:val="0"/>
                <w:color w:val="000000" w:themeColor="text1"/>
                <w:kern w:val="2"/>
                <w:sz w:val="24"/>
                <w:szCs w:val="24"/>
                <w:highlight w:val="none"/>
                <w:u w:val="none"/>
                <w:lang w:val="en-US" w:eastAsia="zh-CN" w:bidi="ar-SA"/>
                <w14:textFill>
                  <w14:solidFill>
                    <w14:schemeClr w14:val="tx1"/>
                  </w14:solidFill>
                </w14:textFill>
              </w:rPr>
              <w:t>200万元</w:t>
            </w: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 xml:space="preserve">（以先到者为准） </w:t>
            </w:r>
          </w:p>
        </w:tc>
        <w:tc>
          <w:tcPr>
            <w:tcW w:w="1500" w:type="dxa"/>
            <w:vAlign w:val="center"/>
          </w:tcPr>
          <w:p w14:paraId="6D7BDB85">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招标人指定地点</w:t>
            </w:r>
          </w:p>
        </w:tc>
        <w:tc>
          <w:tcPr>
            <w:tcW w:w="1516" w:type="dxa"/>
            <w:vAlign w:val="center"/>
          </w:tcPr>
          <w:p w14:paraId="222B5B99">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&lt;100.00%</w:t>
            </w:r>
          </w:p>
        </w:tc>
      </w:tr>
    </w:tbl>
    <w:p w14:paraId="676F8FFE">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7" w:name="_Toc35393622"/>
      <w:bookmarkStart w:id="8" w:name="_Toc28359080"/>
      <w:bookmarkStart w:id="9" w:name="_Toc28359003"/>
      <w:bookmarkStart w:id="10" w:name="_Toc35393791"/>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14:paraId="3F2C1EB7">
      <w:pPr>
        <w:spacing w:line="360" w:lineRule="auto"/>
        <w:ind w:left="12"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具有本项目招标人需求的机械租赁服务能力的</w:t>
      </w:r>
      <w:r>
        <w:rPr>
          <w:rFonts w:hint="eastAsia" w:ascii="宋体" w:hAnsi="宋体" w:cs="宋体"/>
          <w:color w:val="000000" w:themeColor="text1"/>
          <w:sz w:val="24"/>
          <w:highlight w:val="none"/>
          <w:lang w:val="en-US" w:eastAsia="zh-CN"/>
          <w14:textFill>
            <w14:solidFill>
              <w14:schemeClr w14:val="tx1"/>
            </w14:solidFill>
          </w14:textFill>
        </w:rPr>
        <w:t>投标供应商</w:t>
      </w:r>
      <w:r>
        <w:rPr>
          <w:rFonts w:hint="eastAsia" w:ascii="宋体" w:hAnsi="宋体" w:cs="宋体"/>
          <w:color w:val="000000" w:themeColor="text1"/>
          <w:sz w:val="24"/>
          <w:highlight w:val="none"/>
          <w:lang w:eastAsia="zh-CN"/>
          <w14:textFill>
            <w14:solidFill>
              <w14:schemeClr w14:val="tx1"/>
            </w14:solidFill>
          </w14:textFill>
        </w:rPr>
        <w:t>。</w:t>
      </w:r>
    </w:p>
    <w:p w14:paraId="06A51870">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1" w:name="_Toc35393792"/>
      <w:bookmarkStart w:id="12" w:name="_Toc28359004"/>
      <w:bookmarkStart w:id="13" w:name="_Toc35393623"/>
      <w:bookmarkStart w:id="14" w:name="_Toc28359081"/>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14:paraId="59AE0E7B">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1"/>
      <w:bookmarkEnd w:id="12"/>
      <w:bookmarkEnd w:id="13"/>
      <w:bookmarkEnd w:id="14"/>
    </w:p>
    <w:p w14:paraId="16ED971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14:paraId="04BFE015">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14:paraId="1114A1ED">
      <w:pPr>
        <w:pStyle w:val="2"/>
        <w:ind w:right="0" w:firstLine="482" w:firstLineChars="200"/>
        <w:rPr>
          <w:rFonts w:cs="宋体"/>
          <w:bCs/>
          <w:color w:val="000000" w:themeColor="text1"/>
          <w:sz w:val="24"/>
          <w:szCs w:val="24"/>
          <w:highlight w:val="none"/>
          <w14:textFill>
            <w14:solidFill>
              <w14:schemeClr w14:val="tx1"/>
            </w14:solidFill>
          </w14:textFill>
        </w:rPr>
      </w:pPr>
      <w:bookmarkStart w:id="15" w:name="_Toc28359082"/>
      <w:bookmarkStart w:id="16" w:name="_Toc28359005"/>
      <w:bookmarkStart w:id="17" w:name="_Toc35393624"/>
      <w:bookmarkStart w:id="18" w:name="_Toc35393793"/>
      <w:r>
        <w:rPr>
          <w:rFonts w:hint="eastAsia" w:cs="宋体"/>
          <w:bCs/>
          <w:color w:val="000000" w:themeColor="text1"/>
          <w:sz w:val="24"/>
          <w:szCs w:val="24"/>
          <w:highlight w:val="none"/>
          <w14:textFill>
            <w14:solidFill>
              <w14:schemeClr w14:val="tx1"/>
            </w14:solidFill>
          </w14:textFill>
        </w:rPr>
        <w:t>四、提交投标文件</w:t>
      </w:r>
      <w:bookmarkEnd w:id="15"/>
      <w:bookmarkEnd w:id="16"/>
      <w:bookmarkEnd w:id="17"/>
      <w:bookmarkEnd w:id="18"/>
    </w:p>
    <w:p w14:paraId="47DE41F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19" w:name="_Toc28359007"/>
      <w:bookmarkStart w:id="20" w:name="_Toc35393794"/>
      <w:bookmarkStart w:id="21" w:name="_Toc35393625"/>
      <w:bookmarkStart w:id="22" w:name="_Toc28359084"/>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02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00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14:paraId="07BE89B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19"/>
    <w:bookmarkEnd w:id="20"/>
    <w:bookmarkEnd w:id="21"/>
    <w:bookmarkEnd w:id="22"/>
    <w:p w14:paraId="1D9719E4">
      <w:pPr>
        <w:pStyle w:val="27"/>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14:paraId="5206A374">
      <w:pPr>
        <w:pStyle w:val="27"/>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14:paraId="70BA2663">
      <w:pPr>
        <w:pStyle w:val="27"/>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14:paraId="414BF965">
      <w:pPr>
        <w:pStyle w:val="2"/>
        <w:ind w:right="0" w:firstLine="482" w:firstLineChars="200"/>
        <w:rPr>
          <w:rFonts w:cs="宋体"/>
          <w:bCs/>
          <w:color w:val="000000" w:themeColor="text1"/>
          <w:sz w:val="24"/>
          <w:szCs w:val="24"/>
          <w:highlight w:val="none"/>
          <w14:textFill>
            <w14:solidFill>
              <w14:schemeClr w14:val="tx1"/>
            </w14:solidFill>
          </w14:textFill>
        </w:rPr>
      </w:pPr>
      <w:bookmarkStart w:id="23" w:name="_Toc35393795"/>
      <w:bookmarkStart w:id="24" w:name="_Toc35393626"/>
      <w:r>
        <w:rPr>
          <w:rFonts w:hint="eastAsia" w:cs="宋体"/>
          <w:bCs/>
          <w:color w:val="000000" w:themeColor="text1"/>
          <w:sz w:val="24"/>
          <w:szCs w:val="24"/>
          <w:highlight w:val="none"/>
          <w14:textFill>
            <w14:solidFill>
              <w14:schemeClr w14:val="tx1"/>
            </w14:solidFill>
          </w14:textFill>
        </w:rPr>
        <w:t>六、</w:t>
      </w:r>
      <w:bookmarkEnd w:id="23"/>
      <w:bookmarkEnd w:id="24"/>
      <w:r>
        <w:rPr>
          <w:rFonts w:hint="eastAsia" w:cs="宋体"/>
          <w:bCs/>
          <w:color w:val="000000" w:themeColor="text1"/>
          <w:sz w:val="24"/>
          <w:szCs w:val="24"/>
          <w:highlight w:val="none"/>
          <w14:textFill>
            <w14:solidFill>
              <w14:schemeClr w14:val="tx1"/>
            </w14:solidFill>
          </w14:textFill>
        </w:rPr>
        <w:t>注册报名</w:t>
      </w:r>
    </w:p>
    <w:p w14:paraId="57AA36A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14:paraId="58115F7C">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14:paraId="0C9C438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40000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14:paraId="3DE81928">
      <w:pPr>
        <w:pStyle w:val="27"/>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14:paraId="7788D15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14:paraId="5C47A1E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5068488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37CFDFFE">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14:paraId="434C71E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lang w:eastAsia="zh-CN"/>
          <w14:textFill>
            <w14:solidFill>
              <w14:schemeClr w14:val="tx1"/>
            </w14:solidFill>
          </w14:textFill>
        </w:rPr>
        <w:t>台州东茂观光农业开发有限公司</w:t>
      </w:r>
      <w:r>
        <w:rPr>
          <w:rFonts w:hint="eastAsia" w:ascii="宋体" w:hAnsi="宋体" w:cs="宋体"/>
          <w:bCs/>
          <w:color w:val="000000" w:themeColor="text1"/>
          <w:kern w:val="0"/>
          <w:sz w:val="24"/>
          <w:highlight w:val="none"/>
          <w14:textFill>
            <w14:solidFill>
              <w14:schemeClr w14:val="tx1"/>
            </w14:solidFill>
          </w14:textFill>
        </w:rPr>
        <w:t>（招标人名称）；</w:t>
      </w:r>
    </w:p>
    <w:p w14:paraId="12351AE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14:paraId="6912A56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14:paraId="082FF76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14:paraId="2423163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14:paraId="511C7A4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14:paraId="6515213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14:paraId="17C15E6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（加盖公章）、保费支付的银行回单一并按要求递交。 </w:t>
      </w:r>
    </w:p>
    <w:p w14:paraId="7AB92CE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14:paraId="2605204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14:paraId="441A48C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14:paraId="2E744CF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14:paraId="279C066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14:paraId="686A17A8">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000000" w:themeColor="text1"/>
          <w:kern w:val="0"/>
          <w:sz w:val="24"/>
          <w:highlight w:val="none"/>
          <w:u w:val="single"/>
          <w:lang w:val="en-US" w:eastAsia="zh-CN"/>
          <w14:textFill>
            <w14:solidFill>
              <w14:schemeClr w14:val="tx1"/>
            </w14:solidFill>
          </w14:textFill>
        </w:rPr>
        <w:t>09</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10</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p>
    <w:p w14:paraId="684D8E4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14:paraId="72F4162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lang w:eastAsia="zh-CN"/>
          <w14:textFill>
            <w14:solidFill>
              <w14:schemeClr w14:val="tx1"/>
            </w14:solidFill>
          </w14:textFill>
        </w:rPr>
        <w:t>0576-88517783</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6859B4B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w:t>
      </w:r>
      <w:r>
        <w:rPr>
          <w:rFonts w:hint="eastAsia" w:ascii="宋体" w:hAnsi="宋体" w:cs="宋体"/>
          <w:bCs/>
          <w:color w:val="000000" w:themeColor="text1"/>
          <w:kern w:val="0"/>
          <w:sz w:val="24"/>
          <w:highlight w:val="none"/>
          <w:lang w:val="en-US" w:eastAsia="zh-CN"/>
          <w14:textFill>
            <w14:solidFill>
              <w14:schemeClr w14:val="tx1"/>
            </w14:solidFill>
          </w14:textFill>
        </w:rPr>
        <w:t>七</w:t>
      </w:r>
      <w:r>
        <w:rPr>
          <w:rFonts w:hint="eastAsia" w:ascii="宋体" w:hAnsi="宋体" w:cs="宋体"/>
          <w:bCs/>
          <w:color w:val="000000" w:themeColor="text1"/>
          <w:kern w:val="0"/>
          <w:sz w:val="24"/>
          <w:highlight w:val="none"/>
          <w:lang w:eastAsia="zh-CN"/>
          <w14:textFill>
            <w14:solidFill>
              <w14:schemeClr w14:val="tx1"/>
            </w14:solidFill>
          </w14:textFill>
        </w:rPr>
        <w:t>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14:paraId="47BF5A9E">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14:paraId="2D7CF949">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14:paraId="617A3753">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14:paraId="0FD11071">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14:paraId="7DFFB189">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14:paraId="4E094978">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14:paraId="63D88E7B">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14:paraId="789EC9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p>
    <w:p w14:paraId="61BD7F57">
      <w:pPr>
        <w:pStyle w:val="2"/>
        <w:ind w:right="0" w:firstLine="482" w:firstLineChars="200"/>
        <w:rPr>
          <w:rFonts w:cs="宋体"/>
          <w:bCs/>
          <w:color w:val="000000" w:themeColor="text1"/>
          <w:sz w:val="24"/>
          <w:szCs w:val="24"/>
          <w:highlight w:val="none"/>
          <w14:textFill>
            <w14:solidFill>
              <w14:schemeClr w14:val="tx1"/>
            </w14:solidFill>
          </w14:textFill>
        </w:rPr>
      </w:pPr>
      <w:bookmarkStart w:id="25" w:name="_Toc28359085"/>
      <w:bookmarkStart w:id="26" w:name="_Toc28359008"/>
      <w:bookmarkStart w:id="27" w:name="_Toc35393627"/>
      <w:bookmarkStart w:id="28" w:name="_Toc35393796"/>
      <w:r>
        <w:rPr>
          <w:rFonts w:hint="eastAsia" w:cs="宋体"/>
          <w:bCs/>
          <w:color w:val="000000" w:themeColor="text1"/>
          <w:sz w:val="24"/>
          <w:szCs w:val="24"/>
          <w:highlight w:val="none"/>
          <w14:textFill>
            <w14:solidFill>
              <w14:schemeClr w14:val="tx1"/>
            </w14:solidFill>
          </w14:textFill>
        </w:rPr>
        <w:t>八、</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14:paraId="2D3CDFEA">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eastAsia="zh-CN"/>
          <w14:textFill>
            <w14:solidFill>
              <w14:schemeClr w14:val="tx1"/>
            </w14:solidFill>
          </w14:textFill>
        </w:rPr>
        <w:t>招标人</w:t>
      </w:r>
      <w:r>
        <w:rPr>
          <w:rFonts w:hint="eastAsia" w:ascii="宋体" w:hAnsi="宋体" w:cs="宋体"/>
          <w:b/>
          <w:bCs/>
          <w:color w:val="000000" w:themeColor="text1"/>
          <w:sz w:val="24"/>
          <w:highlight w:val="none"/>
          <w14:textFill>
            <w14:solidFill>
              <w14:schemeClr w14:val="tx1"/>
            </w14:solidFill>
          </w14:textFill>
        </w:rPr>
        <w:t xml:space="preserve">（受理招标文件相关质疑及答复） </w:t>
      </w:r>
    </w:p>
    <w:p w14:paraId="5895373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台州东茂观光农业开发有限公司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14:paraId="78C3A6EB">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台州市甲南大道东段9号</w:t>
      </w:r>
      <w:r>
        <w:rPr>
          <w:rFonts w:ascii="宋体" w:hAnsi="宋体" w:cs="宋体"/>
          <w:color w:val="000000" w:themeColor="text1"/>
          <w:sz w:val="24"/>
          <w:highlight w:val="none"/>
          <w:u w:val="single"/>
          <w14:textFill>
            <w14:solidFill>
              <w14:schemeClr w14:val="tx1"/>
            </w14:solidFill>
          </w14:textFill>
        </w:rPr>
        <w:t xml:space="preserve">         </w:t>
      </w:r>
    </w:p>
    <w:p w14:paraId="14DA936D">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29" w:name="_Toc28359009"/>
      <w:bookmarkStart w:id="30" w:name="_Toc28359086"/>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王先生</w:t>
      </w:r>
      <w:r>
        <w:rPr>
          <w:rFonts w:ascii="宋体" w:hAnsi="宋体" w:cs="宋体"/>
          <w:color w:val="000000" w:themeColor="text1"/>
          <w:sz w:val="24"/>
          <w:highlight w:val="none"/>
          <w:u w:val="single"/>
          <w14:textFill>
            <w14:solidFill>
              <w14:schemeClr w14:val="tx1"/>
            </w14:solidFill>
          </w14:textFill>
        </w:rPr>
        <w:t xml:space="preserve">   </w:t>
      </w:r>
    </w:p>
    <w:p w14:paraId="3860E9F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0576-88909826</w:t>
      </w:r>
      <w:r>
        <w:rPr>
          <w:rFonts w:hint="eastAsia" w:ascii="宋体" w:hAnsi="宋体" w:cs="宋体"/>
          <w:color w:val="000000" w:themeColor="text1"/>
          <w:sz w:val="24"/>
          <w:highlight w:val="none"/>
          <w:u w:val="single"/>
          <w14:textFill>
            <w14:solidFill>
              <w14:schemeClr w14:val="tx1"/>
            </w14:solidFill>
          </w14:textFill>
        </w:rPr>
        <w:t xml:space="preserve"> </w:t>
      </w:r>
    </w:p>
    <w:bookmarkEnd w:id="29"/>
    <w:bookmarkEnd w:id="30"/>
    <w:p w14:paraId="419BB6A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w:t>
      </w:r>
      <w:r>
        <w:rPr>
          <w:rFonts w:hint="eastAsia" w:ascii="宋体" w:hAnsi="宋体" w:cs="宋体"/>
          <w:b/>
          <w:bCs/>
          <w:color w:val="000000" w:themeColor="text1"/>
          <w:sz w:val="24"/>
          <w:highlight w:val="none"/>
          <w:lang w:val="en-US" w:eastAsia="zh-CN"/>
          <w14:textFill>
            <w14:solidFill>
              <w14:schemeClr w14:val="tx1"/>
            </w14:solidFill>
          </w14:textFill>
        </w:rPr>
        <w:t>招标代理</w:t>
      </w:r>
      <w:r>
        <w:rPr>
          <w:rFonts w:hint="eastAsia" w:ascii="宋体" w:hAnsi="宋体" w:cs="宋体"/>
          <w:b/>
          <w:bCs/>
          <w:color w:val="000000" w:themeColor="text1"/>
          <w:sz w:val="24"/>
          <w:highlight w:val="none"/>
          <w14:textFill>
            <w14:solidFill>
              <w14:schemeClr w14:val="tx1"/>
            </w14:solidFill>
          </w14:textFill>
        </w:rPr>
        <w:t>机构</w:t>
      </w:r>
    </w:p>
    <w:p w14:paraId="1E2C7B28">
      <w:pPr>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bookmarkStart w:id="31" w:name="_Toc28359087"/>
      <w:bookmarkStart w:id="32"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台州市建设咨询有限公司</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6C76B50F">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14:paraId="73452F26">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郑先生</w:t>
      </w:r>
      <w:r>
        <w:rPr>
          <w:rFonts w:ascii="宋体" w:hAnsi="宋体" w:cs="宋体"/>
          <w:color w:val="000000" w:themeColor="text1"/>
          <w:sz w:val="24"/>
          <w:highlight w:val="none"/>
          <w:u w:val="single"/>
          <w14:textFill>
            <w14:solidFill>
              <w14:schemeClr w14:val="tx1"/>
            </w14:solidFill>
          </w14:textFill>
        </w:rPr>
        <w:t xml:space="preserve">   </w:t>
      </w:r>
    </w:p>
    <w:p w14:paraId="2848E7CA">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0576-88517783</w:t>
      </w:r>
      <w:r>
        <w:rPr>
          <w:rFonts w:ascii="宋体" w:hAnsi="宋体" w:cs="宋体"/>
          <w:color w:val="000000" w:themeColor="text1"/>
          <w:sz w:val="24"/>
          <w:highlight w:val="none"/>
          <w:u w:val="single"/>
          <w14:textFill>
            <w14:solidFill>
              <w14:schemeClr w14:val="tx1"/>
            </w14:solidFill>
          </w14:textFill>
        </w:rPr>
        <w:t xml:space="preserve"> </w:t>
      </w:r>
    </w:p>
    <w:p w14:paraId="61197A2B">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徐先生</w:t>
      </w:r>
      <w:r>
        <w:rPr>
          <w:rFonts w:ascii="宋体" w:hAnsi="宋体" w:cs="宋体"/>
          <w:color w:val="000000" w:themeColor="text1"/>
          <w:sz w:val="24"/>
          <w:highlight w:val="none"/>
          <w:u w:val="single"/>
          <w14:textFill>
            <w14:solidFill>
              <w14:schemeClr w14:val="tx1"/>
            </w14:solidFill>
          </w14:textFill>
        </w:rPr>
        <w:t xml:space="preserve">    </w:t>
      </w:r>
    </w:p>
    <w:p w14:paraId="27195C7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14:paraId="79EA80D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（三）监管机构</w:t>
      </w:r>
    </w:p>
    <w:p w14:paraId="0DB65DB4">
      <w:pPr>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eastAsia="zh-CN"/>
          <w14:textFill>
            <w14:solidFill>
              <w14:schemeClr w14:val="tx1"/>
            </w14:solidFill>
          </w14:textFill>
        </w:rPr>
        <w:t>台州湾新区行政审批与投资服务局</w:t>
      </w:r>
    </w:p>
    <w:p w14:paraId="0F807CF3">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14:paraId="6957ED70">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14:paraId="1C51083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14:paraId="1B752A0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14:paraId="1ED4D2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14:paraId="45CD690E">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14:paraId="6D4945E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台州东茂观光农业开发有限公司</w:t>
      </w:r>
    </w:p>
    <w:p w14:paraId="41463B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14:paraId="4D83887B">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eastAsia="宋体" w:cs="宋体"/>
          <w:color w:val="000000" w:themeColor="text1"/>
          <w:kern w:val="0"/>
          <w:sz w:val="24"/>
          <w:highlight w:val="none"/>
          <w14:textFill>
            <w14:solidFill>
              <w14:schemeClr w14:val="tx1"/>
            </w14:solidFill>
          </w14:textFill>
        </w:rPr>
        <w:t>月</w:t>
      </w:r>
    </w:p>
    <w:p w14:paraId="5BF072F2">
      <w:pPr>
        <w:pStyle w:val="33"/>
        <w:ind w:firstLine="480"/>
        <w:rPr>
          <w:rFonts w:ascii="宋体" w:hAnsi="宋体" w:eastAsia="宋体" w:cs="宋体"/>
          <w:color w:val="000000" w:themeColor="text1"/>
          <w:kern w:val="0"/>
          <w:highlight w:val="none"/>
          <w14:textFill>
            <w14:solidFill>
              <w14:schemeClr w14:val="tx1"/>
            </w14:solidFill>
          </w14:textFill>
        </w:rPr>
      </w:pPr>
    </w:p>
    <w:p w14:paraId="674B9237">
      <w:pPr>
        <w:pStyle w:val="33"/>
        <w:ind w:firstLine="480"/>
        <w:rPr>
          <w:rFonts w:ascii="宋体" w:hAnsi="宋体" w:eastAsia="宋体" w:cs="宋体"/>
          <w:color w:val="000000" w:themeColor="text1"/>
          <w:kern w:val="0"/>
          <w:highlight w:val="none"/>
          <w14:textFill>
            <w14:solidFill>
              <w14:schemeClr w14:val="tx1"/>
            </w14:solidFill>
          </w14:textFill>
        </w:rPr>
      </w:pPr>
    </w:p>
    <w:p w14:paraId="120625E8">
      <w:pPr>
        <w:pStyle w:val="33"/>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1"/>
    <w:bookmarkEnd w:id="32"/>
    <w:p w14:paraId="401D8B4A">
      <w:pPr>
        <w:rPr>
          <w:rFonts w:ascii="宋体" w:hAnsi="宋体" w:eastAsia="宋体"/>
          <w:b/>
          <w:color w:val="000000" w:themeColor="text1"/>
          <w:sz w:val="36"/>
          <w:szCs w:val="36"/>
          <w:highlight w:val="none"/>
          <w14:textFill>
            <w14:solidFill>
              <w14:schemeClr w14:val="tx1"/>
            </w14:solidFill>
          </w14:textFill>
        </w:rPr>
      </w:pPr>
      <w:bookmarkStart w:id="33"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14:paraId="25D8B51C">
      <w:pPr>
        <w:numPr>
          <w:ilvl w:val="0"/>
          <w:numId w:val="6"/>
        </w:numPr>
        <w:spacing w:line="24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3"/>
    </w:p>
    <w:p w14:paraId="683D1917">
      <w:pPr>
        <w:numPr>
          <w:ilvl w:val="0"/>
          <w:numId w:val="7"/>
        </w:numPr>
        <w:spacing w:line="240" w:lineRule="auto"/>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19AD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63BCF7">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4C5C9D">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3FDB0">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14:paraId="352A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1AF10">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98E05B">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CF4162">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14:paraId="738F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111948">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055280">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88A068">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14:paraId="45E8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DDC05C">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9EB671">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14:paraId="2B1414B5">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FD375D">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14:paraId="3B1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D3103A">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E720B1">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5F0D6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14:paraId="3BB3A22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14:paraId="308BB5E3">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14:paraId="7759C6D7">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14:paraId="2D0E6162">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14:paraId="7F05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6AD836">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6EF04E">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14:paraId="04BBAB9B">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0C98F8">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14:paraId="03A3E508">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3B9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EBBEBE">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BBF39C">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14:paraId="4B05AC3B">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4CAA9B">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14:paraId="4B3D9028">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14:paraId="232C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29184A">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E1C48F">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963865">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代理机构递交质疑函。</w:t>
            </w:r>
          </w:p>
        </w:tc>
      </w:tr>
      <w:tr w14:paraId="1317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FCD4C0">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6BB5F3">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E8C7FA">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14:paraId="1C22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6AF47">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03D774">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1BE78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14:paraId="5327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887607">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F53B5E">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76D86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14:paraId="7D4C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793D74">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E4F63">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2A293A">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和</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组织机构。</w:t>
            </w:r>
          </w:p>
        </w:tc>
      </w:tr>
      <w:tr w14:paraId="5BAA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B015F3">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392EBF">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B6C187">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14:paraId="440A20A5">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rPr>
              <w:t>不论投标结果如何，投标人均应自行承担所有与投标有关的全部费用。</w:t>
            </w:r>
            <w:r>
              <w:rPr>
                <w:rFonts w:hint="eastAsia" w:ascii="宋体" w:hAnsi="宋体" w:cs="宋体"/>
                <w:szCs w:val="21"/>
              </w:rPr>
              <w:t>本项目招标代理服务费</w:t>
            </w:r>
            <w:r>
              <w:rPr>
                <w:rFonts w:hint="eastAsia" w:ascii="宋体" w:hAnsi="宋体" w:cs="宋体"/>
                <w:szCs w:val="21"/>
                <w:lang w:val="en-US" w:eastAsia="zh-CN"/>
              </w:rPr>
              <w:t>18400</w:t>
            </w:r>
            <w:r>
              <w:rPr>
                <w:rFonts w:hint="eastAsia" w:ascii="宋体" w:hAnsi="宋体" w:cs="宋体"/>
                <w:szCs w:val="21"/>
              </w:rPr>
              <w:t>元，由中标单位支付，请各投标人报价时综合考虑。</w:t>
            </w:r>
          </w:p>
        </w:tc>
      </w:tr>
    </w:tbl>
    <w:p w14:paraId="5C603EC9">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14:paraId="779F1274">
      <w:pPr>
        <w:pStyle w:val="16"/>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14:paraId="3AC48577">
      <w:pPr>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本招标文件适用于本项目的招标、投标、评标、定标、验收、合同履约、付款等行为（法律、法规另有规定的，从其规定）。</w:t>
      </w:r>
    </w:p>
    <w:p w14:paraId="779AA664">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14:paraId="7766D5FB">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14:paraId="78B39780">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14:paraId="1CBEEAF2">
      <w:pPr>
        <w:pStyle w:val="10"/>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14:paraId="13BCC01E">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14:paraId="32519E40">
      <w:pPr>
        <w:pStyle w:val="4"/>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en-US" w:eastAsia="zh-CN"/>
          <w14:textFill>
            <w14:solidFill>
              <w14:schemeClr w14:val="tx1"/>
            </w14:solidFill>
          </w14:textFill>
        </w:rPr>
        <w:t>招标代理</w:t>
      </w:r>
      <w:r>
        <w:rPr>
          <w:rFonts w:hint="eastAsia"/>
          <w:bCs w:val="0"/>
          <w:color w:val="000000" w:themeColor="text1"/>
          <w:sz w:val="24"/>
          <w:szCs w:val="24"/>
          <w:highlight w:val="none"/>
          <w:lang w:val="zh-CN"/>
          <w14:textFill>
            <w14:solidFill>
              <w14:schemeClr w14:val="tx1"/>
            </w14:solidFill>
          </w14:textFill>
        </w:rPr>
        <w:t>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指招标人委托组织招标的集中采购机构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en-US" w:eastAsia="zh-CN"/>
          <w14:textFill>
            <w14:solidFill>
              <w14:schemeClr w14:val="tx1"/>
            </w14:solidFill>
          </w14:textFill>
        </w:rPr>
        <w:t>招标</w:t>
      </w:r>
      <w:r>
        <w:rPr>
          <w:rFonts w:hint="eastAsia"/>
          <w:bCs w:val="0"/>
          <w:color w:val="000000" w:themeColor="text1"/>
          <w:sz w:val="24"/>
          <w:szCs w:val="24"/>
          <w:highlight w:val="none"/>
          <w:lang w:val="zh-CN"/>
          <w14:textFill>
            <w14:solidFill>
              <w14:schemeClr w14:val="tx1"/>
            </w14:solidFill>
          </w14:textFill>
        </w:rPr>
        <w:t>代理机构；</w:t>
      </w:r>
    </w:p>
    <w:p w14:paraId="5103023A">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：是指依法进行政府采购的国家机关、事业单位和团体组织；</w:t>
      </w:r>
    </w:p>
    <w:p w14:paraId="511F608C">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14:paraId="61086F9E">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出实质性响应，经招标人按照规定在评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委员会推荐的中标候选人中确定的或受招标人委托直接确认的，与招标人签订合同资格的投标</w:t>
      </w:r>
      <w:r>
        <w:rPr>
          <w:rFonts w:hint="eastAsia" w:ascii="宋体" w:hAnsi="宋体"/>
          <w:color w:val="000000" w:themeColor="text1"/>
          <w:sz w:val="24"/>
          <w:highlight w:val="none"/>
          <w14:textFill>
            <w14:solidFill>
              <w14:schemeClr w14:val="tx1"/>
            </w14:solidFill>
          </w14:textFill>
        </w:rPr>
        <w:t>人；</w:t>
      </w:r>
    </w:p>
    <w:p w14:paraId="531BB8EB">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14:paraId="29DAA470">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14:paraId="5252BF14">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14:paraId="0992A1CF">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14:paraId="4CFB4948">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14:paraId="4DC01254">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14:paraId="6258A00B">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14:paraId="5B668CA9">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14:paraId="1AB4BEFC">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14:paraId="60FD7FD6">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14:paraId="2AA4D69E">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14:paraId="42F2770D">
      <w:pPr>
        <w:pStyle w:val="15"/>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14:paraId="3921E8A4">
      <w:pPr>
        <w:pStyle w:val="15"/>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14:paraId="1512ECAB">
      <w:pPr>
        <w:pStyle w:val="39"/>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14:paraId="228D884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14:paraId="309AFDE1">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14:paraId="4829B878">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14:paraId="5EE9A9EB">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14:paraId="441F26B7">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cs="宋体"/>
          <w:color w:val="000000" w:themeColor="text1"/>
          <w:sz w:val="24"/>
          <w:highlight w:val="none"/>
          <w:lang w:val="en-US" w:eastAsia="zh-CN"/>
          <w14:textFill>
            <w14:solidFill>
              <w14:schemeClr w14:val="tx1"/>
            </w14:solidFill>
          </w14:textFill>
        </w:rPr>
        <w:t>招标代理</w:t>
      </w:r>
      <w:r>
        <w:rPr>
          <w:rFonts w:hint="eastAsia" w:ascii="宋体" w:hAnsi="宋体" w:eastAsia="宋体" w:cs="宋体"/>
          <w:color w:val="000000" w:themeColor="text1"/>
          <w:sz w:val="24"/>
          <w:highlight w:val="none"/>
          <w14:textFill>
            <w14:solidFill>
              <w14:schemeClr w14:val="tx1"/>
            </w14:solidFill>
          </w14:textFill>
        </w:rPr>
        <w:t>机构对招标文件进行必要的澄清更正的，澄清或者修改的内容可能影响投标文件编制的，于投标截止时间的3日前在浙江省政府采购网上以更正公告的形式通知各潜在的投标人；不足3日的，</w:t>
      </w:r>
      <w:r>
        <w:rPr>
          <w:rFonts w:hint="eastAsia" w:ascii="宋体" w:hAnsi="宋体" w:cs="宋体"/>
          <w:color w:val="000000" w:themeColor="text1"/>
          <w:sz w:val="24"/>
          <w:highlight w:val="none"/>
          <w:lang w:eastAsia="zh-CN"/>
          <w14:textFill>
            <w14:solidFill>
              <w14:schemeClr w14:val="tx1"/>
            </w14:solidFill>
          </w14:textFill>
        </w:rPr>
        <w:t>招标代理机构</w:t>
      </w:r>
      <w:r>
        <w:rPr>
          <w:rFonts w:hint="eastAsia" w:ascii="宋体" w:hAnsi="宋体" w:eastAsia="宋体" w:cs="宋体"/>
          <w:color w:val="000000" w:themeColor="text1"/>
          <w:sz w:val="24"/>
          <w:highlight w:val="none"/>
          <w14:textFill>
            <w14:solidFill>
              <w14:schemeClr w14:val="tx1"/>
            </w14:solidFill>
          </w14:textFill>
        </w:rPr>
        <w:t>应当顺延提交投标文件的截止时间。</w:t>
      </w:r>
    </w:p>
    <w:p w14:paraId="2185113B">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14:paraId="7DCFB127">
      <w:pPr>
        <w:pStyle w:val="5"/>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14:paraId="67FD7AA4">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的要求提供：</w:t>
      </w:r>
      <w:r>
        <w:rPr>
          <w:rFonts w:hint="eastAsia" w:ascii="宋体" w:hAnsi="宋体"/>
          <w:color w:val="000000" w:themeColor="text1"/>
          <w:kern w:val="0"/>
          <w:sz w:val="24"/>
          <w:highlight w:val="none"/>
          <w:lang w:eastAsia="zh-CN"/>
          <w14:textFill>
            <w14:solidFill>
              <w14:schemeClr w14:val="tx1"/>
            </w14:solidFill>
          </w14:textFill>
        </w:rPr>
        <w:t>技术资信标</w:t>
      </w:r>
      <w:r>
        <w:rPr>
          <w:rFonts w:hint="eastAsia" w:ascii="宋体" w:hAnsi="宋体" w:eastAsia="宋体"/>
          <w:color w:val="000000" w:themeColor="text1"/>
          <w:kern w:val="0"/>
          <w:sz w:val="24"/>
          <w:highlight w:val="none"/>
          <w14:textFill>
            <w14:solidFill>
              <w14:schemeClr w14:val="tx1"/>
            </w14:solidFill>
          </w14:textFill>
        </w:rPr>
        <w:t>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14:paraId="64CF03C5">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技术资信标</w:t>
      </w:r>
    </w:p>
    <w:p w14:paraId="4585C570">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（1）营业执照扫描件；</w:t>
      </w:r>
    </w:p>
    <w:p w14:paraId="3CBBD63A">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（2）法定代表人身份证明（格式见附件）或</w:t>
      </w:r>
      <w:r>
        <w:rPr>
          <w:rFonts w:hint="eastAsia" w:ascii="宋体" w:hAnsi="宋体"/>
          <w:b/>
          <w:color w:val="000000" w:themeColor="text1"/>
          <w:sz w:val="24"/>
          <w:highlight w:val="none"/>
          <w:lang w:eastAsia="zh-CN"/>
          <w14:textFill>
            <w14:solidFill>
              <w14:schemeClr w14:val="tx1"/>
            </w14:solidFill>
          </w14:textFill>
        </w:rPr>
        <w:t>法定代表人授权委托书</w:t>
      </w:r>
      <w:r>
        <w:rPr>
          <w:rFonts w:hint="eastAsia" w:ascii="宋体" w:hAnsi="宋体" w:eastAsia="宋体"/>
          <w:b/>
          <w:color w:val="000000" w:themeColor="text1"/>
          <w:sz w:val="24"/>
          <w:highlight w:val="none"/>
          <w14:textFill>
            <w14:solidFill>
              <w14:schemeClr w14:val="tx1"/>
            </w14:solidFill>
          </w14:textFill>
        </w:rPr>
        <w:t>（格式见附件）；</w:t>
      </w:r>
    </w:p>
    <w:p w14:paraId="464D8249">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（3）各投标人根据自身对本项目的解读，按照本招标文件第四章“评标办法及评分标准”中技术资信标的打分内容，并结合第</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eastAsia="宋体"/>
          <w:b/>
          <w:color w:val="000000" w:themeColor="text1"/>
          <w:sz w:val="24"/>
          <w:highlight w:val="none"/>
          <w14:textFill>
            <w14:solidFill>
              <w14:schemeClr w14:val="tx1"/>
            </w14:solidFill>
          </w14:textFill>
        </w:rPr>
        <w:t>章“招标需求”，由各投标人自行编制技术资信标；</w:t>
      </w:r>
    </w:p>
    <w:p w14:paraId="34C58126">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4</w:t>
      </w:r>
      <w:r>
        <w:rPr>
          <w:rFonts w:hint="eastAsia" w:ascii="宋体" w:hAnsi="宋体" w:eastAsia="宋体"/>
          <w:b/>
          <w:color w:val="000000" w:themeColor="text1"/>
          <w:sz w:val="24"/>
          <w:highlight w:val="none"/>
          <w14:textFill>
            <w14:solidFill>
              <w14:schemeClr w14:val="tx1"/>
            </w14:solidFill>
          </w14:textFill>
        </w:rPr>
        <w:t>）2021年1月1日以来同类项目业绩一览表（如有）(见附件)；</w:t>
      </w:r>
    </w:p>
    <w:p w14:paraId="08EAEB97">
      <w:pPr>
        <w:autoSpaceDE w:val="0"/>
        <w:autoSpaceDN w:val="0"/>
        <w:adjustRightInd w:val="0"/>
        <w:spacing w:line="360" w:lineRule="auto"/>
        <w:ind w:left="426" w:firstLine="65" w:firstLineChars="27"/>
        <w:rPr>
          <w:rFonts w:hint="eastAsia" w:ascii="宋体" w:hAnsi="宋体" w:eastAsia="宋体"/>
          <w:b/>
          <w:color w:val="000000" w:themeColor="text1"/>
          <w:kern w:val="0"/>
          <w:sz w:val="24"/>
          <w:highlight w:val="none"/>
          <w:lang w:val="en-US" w:eastAsia="zh-CN"/>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w:t>
      </w:r>
      <w:r>
        <w:rPr>
          <w:rFonts w:hint="eastAsia" w:ascii="宋体" w:hAnsi="宋体"/>
          <w:b/>
          <w:color w:val="000000" w:themeColor="text1"/>
          <w:kern w:val="0"/>
          <w:sz w:val="24"/>
          <w:highlight w:val="none"/>
          <w:lang w:val="en-US" w:eastAsia="zh-CN"/>
          <w14:textFill>
            <w14:solidFill>
              <w14:schemeClr w14:val="tx1"/>
            </w14:solidFill>
          </w14:textFill>
        </w:rPr>
        <w:t>5</w:t>
      </w:r>
      <w:r>
        <w:rPr>
          <w:rFonts w:hint="eastAsia" w:ascii="宋体" w:hAnsi="宋体" w:eastAsia="宋体"/>
          <w:b/>
          <w:color w:val="000000" w:themeColor="text1"/>
          <w:kern w:val="0"/>
          <w:sz w:val="24"/>
          <w:highlight w:val="none"/>
          <w:lang w:val="en-US" w:eastAsia="zh-CN"/>
          <w14:textFill>
            <w14:solidFill>
              <w14:schemeClr w14:val="tx1"/>
            </w14:solidFill>
          </w14:textFill>
        </w:rPr>
        <w:t>）投标人诚信投标承诺书（格式见附件）</w:t>
      </w:r>
    </w:p>
    <w:p w14:paraId="213D1695">
      <w:pPr>
        <w:autoSpaceDE w:val="0"/>
        <w:autoSpaceDN w:val="0"/>
        <w:adjustRightInd w:val="0"/>
        <w:spacing w:line="360" w:lineRule="auto"/>
        <w:ind w:left="426" w:firstLine="65" w:firstLineChars="27"/>
        <w:rPr>
          <w:rFonts w:hint="eastAsia" w:ascii="宋体" w:hAnsi="宋体" w:eastAsia="宋体"/>
          <w:b/>
          <w:color w:val="000000" w:themeColor="text1"/>
          <w:kern w:val="0"/>
          <w:sz w:val="24"/>
          <w:highlight w:val="none"/>
          <w:lang w:val="en-US" w:eastAsia="zh-CN"/>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w:t>
      </w:r>
      <w:r>
        <w:rPr>
          <w:rFonts w:hint="eastAsia" w:ascii="宋体" w:hAnsi="宋体"/>
          <w:b/>
          <w:color w:val="000000" w:themeColor="text1"/>
          <w:kern w:val="0"/>
          <w:sz w:val="24"/>
          <w:highlight w:val="none"/>
          <w:lang w:val="en-US" w:eastAsia="zh-CN"/>
          <w14:textFill>
            <w14:solidFill>
              <w14:schemeClr w14:val="tx1"/>
            </w14:solidFill>
          </w14:textFill>
        </w:rPr>
        <w:t>6</w:t>
      </w:r>
      <w:r>
        <w:rPr>
          <w:rFonts w:hint="eastAsia" w:ascii="宋体" w:hAnsi="宋体" w:eastAsia="宋体"/>
          <w:b/>
          <w:color w:val="000000" w:themeColor="text1"/>
          <w:kern w:val="0"/>
          <w:sz w:val="24"/>
          <w:highlight w:val="none"/>
          <w:lang w:val="en-US" w:eastAsia="zh-CN"/>
          <w14:textFill>
            <w14:solidFill>
              <w14:schemeClr w14:val="tx1"/>
            </w14:solidFill>
          </w14:textFill>
        </w:rPr>
        <w:t>）投标人认为可以证明自身实力的其他相关材料。</w:t>
      </w:r>
    </w:p>
    <w:p w14:paraId="32569286">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14:paraId="66B396FE">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14:paraId="2282EC18">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14:paraId="0A3D0387">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14:paraId="30D8FD1B">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14:paraId="0202E70F">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14:paraId="2C9A635E">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14:paraId="29BFA08E">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其全费用综合单价各种机械设备人员费用、劳保用品、管理人员费用、人员意外保险、运输、进退场费（在招标文件第三章招标需求备注另有约定的按照约定执行）、设备维修费、设备运行油耗费、劳务、管理、利润、规费、税金以及其他所有可能包含的风险、责任等各项所有费用。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14:paraId="5C6FB546">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14:paraId="0CBA2E6A">
      <w:pPr>
        <w:pStyle w:val="6"/>
        <w:widowControl w:val="0"/>
        <w:numPr>
          <w:ilvl w:val="0"/>
          <w:numId w:val="0"/>
        </w:numPr>
        <w:tabs>
          <w:tab w:val="left" w:pos="720"/>
          <w:tab w:val="clear" w:pos="360"/>
        </w:tabs>
        <w:snapToGrid w:val="0"/>
        <w:spacing w:after="0" w:afterLines="0" w:line="360" w:lineRule="auto"/>
        <w:ind w:leftChars="200"/>
        <w:jc w:val="both"/>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）投标文件的有效期</w:t>
      </w:r>
    </w:p>
    <w:p w14:paraId="104F1A8C">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▲1.自投标截止日起 90天投标文件应保持有效。中标人投标文件有效期延长至合同有效期。有效期不足的投标文件将被拒绝。</w:t>
      </w:r>
    </w:p>
    <w:p w14:paraId="534EF59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2.在特殊情况下，招标人可与投标人协商延长投标书的有效期，这种要求和答复均以书面形式进行。</w:t>
      </w:r>
    </w:p>
    <w:p w14:paraId="4E5D1966">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60EAF8A5">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4.中标人的投标文件自开标之日起至合同履行完毕止均应保持有效。</w:t>
      </w:r>
    </w:p>
    <w:p w14:paraId="5DDB83A1">
      <w:pPr>
        <w:pStyle w:val="6"/>
        <w:widowControl w:val="0"/>
        <w:numPr>
          <w:ilvl w:val="0"/>
          <w:numId w:val="0"/>
        </w:numPr>
        <w:tabs>
          <w:tab w:val="left" w:pos="720"/>
          <w:tab w:val="clear" w:pos="360"/>
        </w:tabs>
        <w:snapToGrid w:val="0"/>
        <w:spacing w:after="0" w:afterLines="0" w:line="360" w:lineRule="auto"/>
        <w:ind w:firstLine="241" w:firstLineChars="100"/>
        <w:jc w:val="both"/>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）投标保证金</w:t>
      </w:r>
    </w:p>
    <w:p w14:paraId="22422647">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1.投标人须按规定提交投标保证金。否则，其投标将被拒绝。</w:t>
      </w:r>
    </w:p>
    <w:p w14:paraId="2E698629">
      <w:pPr>
        <w:snapToGrid w:val="0"/>
        <w:spacing w:line="360" w:lineRule="auto"/>
        <w:ind w:left="357" w:leftChars="170" w:firstLine="0" w:firstLineChars="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color w:val="auto"/>
          <w:sz w:val="24"/>
          <w:szCs w:val="24"/>
          <w:highlight w:val="none"/>
        </w:rPr>
        <w:t>2.保证金形式：</w:t>
      </w:r>
      <w:r>
        <w:rPr>
          <w:rFonts w:hint="eastAsia" w:asciiTheme="minorEastAsia" w:hAnsiTheme="minorEastAsia" w:eastAsiaTheme="minorEastAsia" w:cstheme="minorEastAsia"/>
          <w:bCs/>
          <w:kern w:val="0"/>
          <w:sz w:val="24"/>
          <w:szCs w:val="24"/>
          <w:highlight w:val="none"/>
        </w:rPr>
        <w:t>现金转账、银行保函、保险机构保证保险保单、融资担保公司保函。</w:t>
      </w:r>
    </w:p>
    <w:p w14:paraId="73D5A362">
      <w:pPr>
        <w:snapToGrid w:val="0"/>
        <w:spacing w:line="360" w:lineRule="auto"/>
        <w:ind w:left="357" w:leftChars="17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3.未中标人的投标保证金在中标通知书发出后5个工作日内退还。</w:t>
      </w:r>
    </w:p>
    <w:p w14:paraId="706555C0">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4.中标人应在中标通知书发出后</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日内与采购人签订合同，中标人的投标保证金在合同签订后</w:t>
      </w:r>
      <w:r>
        <w:rPr>
          <w:rFonts w:hint="eastAsia" w:asciiTheme="minorEastAsia" w:hAnsiTheme="minorEastAsia" w:eastAsiaTheme="minorEastAsia" w:cstheme="minorEastAsia"/>
          <w:color w:val="auto"/>
          <w:sz w:val="24"/>
          <w:szCs w:val="24"/>
          <w:highlight w:val="none"/>
          <w:lang w:val="en-US" w:eastAsia="zh-CN"/>
        </w:rPr>
        <w:t>5个工作日</w:t>
      </w:r>
      <w:r>
        <w:rPr>
          <w:rFonts w:hint="eastAsia" w:asciiTheme="minorEastAsia" w:hAnsiTheme="minorEastAsia" w:eastAsiaTheme="minorEastAsia" w:cstheme="minorEastAsia"/>
          <w:color w:val="auto"/>
          <w:sz w:val="24"/>
          <w:szCs w:val="24"/>
          <w:highlight w:val="none"/>
        </w:rPr>
        <w:t>内退还。</w:t>
      </w:r>
    </w:p>
    <w:p w14:paraId="4D2F6E9A">
      <w:pPr>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投标人有下列情形之一的，投标保证金将不予退还：</w:t>
      </w:r>
    </w:p>
    <w:p w14:paraId="52755675">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（1）投标人在投标有效期内撤回投标文件的；</w:t>
      </w:r>
    </w:p>
    <w:p w14:paraId="2BBEA70D">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（2）未按规定提交履约保证金的；</w:t>
      </w:r>
    </w:p>
    <w:p w14:paraId="73A127B9">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（3）投标人在投标过程中弄虚作假，提供虚假材料的；</w:t>
      </w:r>
    </w:p>
    <w:p w14:paraId="4D9FC527">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（4）中标人无正当理由不与采购单位签订合同的；</w:t>
      </w:r>
    </w:p>
    <w:p w14:paraId="0A9327AF">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将中标项目转让给他人或者在投标文件中未说明且未经招标人同意，将中标项目分包给他人的；</w:t>
      </w:r>
    </w:p>
    <w:p w14:paraId="364C1FCF">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（6）拒绝履行合同义务的；</w:t>
      </w:r>
    </w:p>
    <w:p w14:paraId="3B5EB0DA">
      <w:pPr>
        <w:snapToGrid w:val="0"/>
        <w:spacing w:line="360" w:lineRule="auto"/>
        <w:ind w:firstLine="470" w:firstLineChars="19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（7）有《关于印发&lt;台州市工程建设投标保函管理规定&gt;的通知》（台公管办〔2022〕2号）第十一条规定情形的。</w:t>
      </w:r>
    </w:p>
    <w:p w14:paraId="50CB001D">
      <w:pPr>
        <w:snapToGrid w:val="0"/>
        <w:spacing w:line="360" w:lineRule="auto"/>
        <w:ind w:firstLine="470"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投标截止时间后，投标人撤销投标文件的； </w:t>
      </w:r>
    </w:p>
    <w:p w14:paraId="16F399EC">
      <w:pPr>
        <w:snapToGrid w:val="0"/>
        <w:spacing w:line="360" w:lineRule="auto"/>
        <w:ind w:firstLine="470"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投标人放弃中标候选人或中标资格的（包括中标人无正当理由不与招标人订立合同；在签订合同时向招标人提出附加条件；不按照招标文件要求提交履约担保）； </w:t>
      </w:r>
    </w:p>
    <w:p w14:paraId="329C94D5">
      <w:pPr>
        <w:snapToGrid w:val="0"/>
        <w:spacing w:line="360" w:lineRule="auto"/>
        <w:ind w:firstLine="470"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14:paraId="2EA14209">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）其他严重扰乱招投标程序的；</w:t>
      </w:r>
    </w:p>
    <w:p w14:paraId="642C306B">
      <w:pPr>
        <w:snapToGrid w:val="0"/>
        <w:spacing w:line="360" w:lineRule="auto"/>
        <w:ind w:firstLine="482" w:firstLineChars="200"/>
        <w:outlineLvl w:val="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）投标文件的签署和份数</w:t>
      </w:r>
    </w:p>
    <w:p w14:paraId="7F14D9CC">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投标人按本招标文件规定的要求使用电子投标文件，投标文件内容不完整、编排混乱导致投标文件被误读、漏读或者查找不到相关内容的，是投标人的责任。</w:t>
      </w:r>
    </w:p>
    <w:p w14:paraId="2A2A0853">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2.投标文件须由投标人在规定位置盖章并由法定代表人或法定代表人的授权委托人签署或盖章，投标人应写全称。</w:t>
      </w:r>
    </w:p>
    <w:p w14:paraId="65ED9AB5">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3.投标文件不得涂改，若有修改错漏处，须加盖单位公章或者法定代表人或授权委托人签字或盖章。投标文件因字迹潦草或表达不清所引起的后果由投标人负责。</w:t>
      </w:r>
    </w:p>
    <w:p w14:paraId="575D7D7F">
      <w:pPr>
        <w:snapToGrid w:val="0"/>
        <w:spacing w:line="360" w:lineRule="auto"/>
        <w:ind w:firstLine="482" w:firstLineChars="200"/>
        <w:outlineLvl w:val="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）投标文件的包装、递交、修改和撤回</w:t>
      </w:r>
    </w:p>
    <w:p w14:paraId="50F69384">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1.本工程采用电子投标，无需纸质投标文件；</w:t>
      </w:r>
    </w:p>
    <w:p w14:paraId="54B2AF47">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2.投标人应在投标截止时间前上传投标文件。逾期上传的或者未上传指定系统的，视为投标文件未送达。</w:t>
      </w:r>
    </w:p>
    <w:p w14:paraId="6871BD43">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3.在规定的投标截止时间前，投标人可以修改或撤回已递交的电子投标文件；修改好后重新上传加密电子投标文件。</w:t>
      </w:r>
    </w:p>
    <w:p w14:paraId="2795091F">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6413FF34">
      <w:pPr>
        <w:snapToGrid w:val="0"/>
        <w:spacing w:line="360" w:lineRule="auto"/>
        <w:ind w:firstLine="482" w:firstLineChars="200"/>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）投标无效的情形</w:t>
      </w:r>
    </w:p>
    <w:p w14:paraId="3066117D">
      <w:pPr>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F14BCD3">
      <w:pPr>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1.在符合性审查和资信技术评审时，如发现下列情形之一的，投标文件将被视为无效：</w:t>
      </w:r>
    </w:p>
    <w:p w14:paraId="00406DE0">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（1）未按照招标文件的规定提交投标保证金的；</w:t>
      </w:r>
    </w:p>
    <w:p w14:paraId="4319BF08">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（2）不具备招标文件中规定的资格要求的或资格证明文件不全的；</w:t>
      </w:r>
    </w:p>
    <w:p w14:paraId="14EF49CE">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（3）投标文件未按招标文件要求签署、盖章的；</w:t>
      </w:r>
    </w:p>
    <w:p w14:paraId="28B2E2F2">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（4）投标代表人未能出具身份证明或与法定代表人授权委托人身份不符的； </w:t>
      </w:r>
    </w:p>
    <w:p w14:paraId="4FBC61C4">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（5）投标文件组成不符合招标文件要求的；</w:t>
      </w:r>
    </w:p>
    <w:p w14:paraId="428ECF2D">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不符合招标文件要求的；</w:t>
      </w:r>
    </w:p>
    <w:p w14:paraId="1D3EBAED">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p w14:paraId="6B7018D7">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）投标有效期、服务时间等条款不能满足招标文件要求的；</w:t>
      </w:r>
    </w:p>
    <w:p w14:paraId="6BF66D4E">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）未实质性响应招标文件要求或者投标文件有采购人不能接受的附加条件的；</w:t>
      </w:r>
    </w:p>
    <w:p w14:paraId="4ABB4E8A">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）两家或两家以上投标单位的ip地址（或工程清单锁地址）相同，视为串标行为，取消评标资格。</w:t>
      </w:r>
    </w:p>
    <w:p w14:paraId="7CEF2179">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）法律法规或规章规定属无效标情形的。</w:t>
      </w:r>
    </w:p>
    <w:p w14:paraId="750BF3D3">
      <w:pPr>
        <w:pStyle w:val="13"/>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2.在</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商务标</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评审时，如发现下列情形之一的，投标文件将被视为无效：</w:t>
      </w:r>
    </w:p>
    <w:p w14:paraId="3C116F9B">
      <w:pPr>
        <w:pStyle w:val="13"/>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（1）未采用人民币报价或者未按照招标文件标明的币种报价的；</w:t>
      </w:r>
    </w:p>
    <w:p w14:paraId="2A37F008">
      <w:pPr>
        <w:pStyle w:val="13"/>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（2）投标报价具有选择性，或者开标价格与投标文件承诺的优惠（折扣）价格不一致的；</w:t>
      </w:r>
    </w:p>
    <w:p w14:paraId="338E3FB1">
      <w:pPr>
        <w:pStyle w:val="13"/>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组成或格式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不符合招标文件要求的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655B8D7">
      <w:pPr>
        <w:pStyle w:val="13"/>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投标报价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于最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投标限价的。</w:t>
      </w:r>
    </w:p>
    <w:p w14:paraId="2970F473">
      <w:pPr>
        <w:pStyle w:val="13"/>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3.被拒绝的投标文件为无效。</w:t>
      </w:r>
    </w:p>
    <w:p w14:paraId="083B8EE7">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四、开标</w:t>
      </w:r>
    </w:p>
    <w:p w14:paraId="68792160">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（一）开标</w:t>
      </w:r>
    </w:p>
    <w:p w14:paraId="546A88DF">
      <w:pPr>
        <w:pStyle w:val="24"/>
        <w:widowControl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投标人代表一律不参加现场开标，通过在线直播参与监督开标过程。直播网络地址：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"http://www.tzwztb.com/live/"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Style w:val="31"/>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http://www.tzwztb.com/live/</w:t>
      </w:r>
      <w:r>
        <w:rPr>
          <w:rStyle w:val="31"/>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2280DE8B">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（二） 开标程序：</w:t>
      </w:r>
    </w:p>
    <w:p w14:paraId="4E35F82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1、开标由采购代理机构工作人员主持。</w:t>
      </w:r>
    </w:p>
    <w:p w14:paraId="7DDA65B1">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2、投标人可进行在线沟通。</w:t>
      </w:r>
    </w:p>
    <w:p w14:paraId="02B6619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3、采购人依法对</w:t>
      </w:r>
      <w:r>
        <w:rPr>
          <w:rFonts w:hint="eastAsia" w:asciiTheme="minorEastAsia" w:hAnsiTheme="minorEastAsia" w:eastAsiaTheme="minorEastAsia" w:cstheme="minorEastAsia"/>
          <w:color w:val="auto"/>
          <w:sz w:val="24"/>
          <w:szCs w:val="24"/>
          <w:highlight w:val="none"/>
          <w:lang w:val="en-US" w:eastAsia="zh-CN"/>
        </w:rPr>
        <w:t>商务标</w:t>
      </w:r>
      <w:r>
        <w:rPr>
          <w:rFonts w:hint="eastAsia" w:asciiTheme="minorEastAsia" w:hAnsiTheme="minorEastAsia" w:eastAsiaTheme="minorEastAsia" w:cstheme="minorEastAsia"/>
          <w:color w:val="auto"/>
          <w:sz w:val="24"/>
          <w:szCs w:val="24"/>
          <w:highlight w:val="none"/>
        </w:rPr>
        <w:t>进行审查，评标委员会对</w:t>
      </w:r>
      <w:r>
        <w:rPr>
          <w:rFonts w:hint="eastAsia" w:asciiTheme="minorEastAsia" w:hAnsiTheme="minorEastAsia" w:eastAsiaTheme="minorEastAsia" w:cstheme="minorEastAsia"/>
          <w:color w:val="auto"/>
          <w:sz w:val="24"/>
          <w:szCs w:val="24"/>
          <w:highlight w:val="none"/>
          <w:lang w:val="en-US" w:eastAsia="zh-CN"/>
        </w:rPr>
        <w:t>商务标</w:t>
      </w:r>
      <w:r>
        <w:rPr>
          <w:rFonts w:hint="eastAsia" w:asciiTheme="minorEastAsia" w:hAnsiTheme="minorEastAsia" w:eastAsiaTheme="minorEastAsia" w:cstheme="minorEastAsia"/>
          <w:color w:val="auto"/>
          <w:sz w:val="24"/>
          <w:szCs w:val="24"/>
          <w:highlight w:val="none"/>
        </w:rPr>
        <w:t>进行评审。</w:t>
      </w:r>
    </w:p>
    <w:p w14:paraId="387345E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4、商务</w:t>
      </w:r>
      <w:r>
        <w:rPr>
          <w:rFonts w:hint="eastAsia" w:asciiTheme="minorEastAsia" w:hAnsiTheme="minorEastAsia" w:eastAsiaTheme="minorEastAsia" w:cstheme="minorEastAsia"/>
          <w:color w:val="auto"/>
          <w:sz w:val="24"/>
          <w:szCs w:val="24"/>
          <w:highlight w:val="none"/>
          <w:lang w:val="en-US" w:eastAsia="zh-CN"/>
        </w:rPr>
        <w:t>标</w:t>
      </w:r>
      <w:r>
        <w:rPr>
          <w:rFonts w:hint="eastAsia" w:asciiTheme="minorEastAsia" w:hAnsiTheme="minorEastAsia" w:eastAsiaTheme="minorEastAsia" w:cstheme="minorEastAsia"/>
          <w:color w:val="auto"/>
          <w:sz w:val="24"/>
          <w:szCs w:val="24"/>
          <w:highlight w:val="none"/>
        </w:rPr>
        <w:t>评审完成后，主持人宣告</w:t>
      </w:r>
      <w:r>
        <w:rPr>
          <w:rFonts w:hint="eastAsia" w:asciiTheme="minorEastAsia" w:hAnsiTheme="minorEastAsia" w:eastAsiaTheme="minorEastAsia" w:cstheme="minorEastAsia"/>
          <w:color w:val="auto"/>
          <w:sz w:val="24"/>
          <w:szCs w:val="24"/>
          <w:highlight w:val="none"/>
          <w:lang w:val="en-US" w:eastAsia="zh-CN"/>
        </w:rPr>
        <w:t>商务标</w:t>
      </w:r>
      <w:r>
        <w:rPr>
          <w:rFonts w:hint="eastAsia" w:asciiTheme="minorEastAsia" w:hAnsiTheme="minorEastAsia" w:eastAsiaTheme="minorEastAsia" w:cstheme="minorEastAsia"/>
          <w:color w:val="auto"/>
          <w:sz w:val="24"/>
          <w:szCs w:val="24"/>
          <w:highlight w:val="none"/>
        </w:rPr>
        <w:t>评审无效投标人名称及理由。</w:t>
      </w:r>
    </w:p>
    <w:p w14:paraId="57EB862A">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、当场制作并打印开标记录表，由唱标人、记录人、监督人当场签字确认。唱标结束后，由评标委员会对报价的合理性、准确性等进行审查核实。</w:t>
      </w:r>
    </w:p>
    <w:p w14:paraId="69B83B5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、评标结束后，主持人公布投标报价以及推荐中标候选人排序名单。</w:t>
      </w:r>
    </w:p>
    <w:p w14:paraId="6950EA3A">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、开标会议结束。</w:t>
      </w:r>
    </w:p>
    <w:p w14:paraId="46B53776">
      <w:pPr>
        <w:pStyle w:val="15"/>
        <w:spacing w:before="120" w:after="120" w:line="360" w:lineRule="auto"/>
        <w:ind w:left="0" w:leftChars="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8</w:t>
      </w:r>
      <w:r>
        <w:rPr>
          <w:rFonts w:hint="eastAsia" w:asciiTheme="minorEastAsia" w:hAnsiTheme="minorEastAsia" w:eastAsiaTheme="minorEastAsia" w:cstheme="minorEastAsia"/>
          <w:b w:val="0"/>
          <w:bCs/>
          <w:color w:val="auto"/>
          <w:sz w:val="24"/>
          <w:szCs w:val="24"/>
          <w:highlight w:val="none"/>
        </w:rPr>
        <w:t>、其他注意事项：</w:t>
      </w:r>
    </w:p>
    <w:p w14:paraId="4493A665">
      <w:pPr>
        <w:pStyle w:val="15"/>
        <w:spacing w:before="120" w:after="120" w:line="360" w:lineRule="auto"/>
        <w:ind w:firstLine="540" w:firstLineChars="225"/>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4F8324D1">
      <w:pPr>
        <w:pStyle w:val="15"/>
        <w:spacing w:before="120" w:after="120" w:line="360" w:lineRule="auto"/>
        <w:ind w:firstLine="540" w:firstLineChars="225"/>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2F5AD0D5">
      <w:pPr>
        <w:autoSpaceDE w:val="0"/>
        <w:autoSpaceDN w:val="0"/>
        <w:adjustRightInd w:val="0"/>
        <w:spacing w:line="360" w:lineRule="auto"/>
        <w:ind w:right="-14"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1524458">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重要事项说明：</w:t>
      </w:r>
    </w:p>
    <w:p w14:paraId="5FBA8990">
      <w:pPr>
        <w:autoSpaceDE w:val="0"/>
        <w:autoSpaceDN w:val="0"/>
        <w:adjustRightInd w:val="0"/>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（1）开标项目的时间均以国家授时中心发布的时间为准。</w:t>
      </w:r>
    </w:p>
    <w:p w14:paraId="6E04554D">
      <w:pPr>
        <w:autoSpaceDE w:val="0"/>
        <w:autoSpaceDN w:val="0"/>
        <w:adjustRightInd w:val="0"/>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14:paraId="1082CB45">
      <w:pPr>
        <w:autoSpaceDE w:val="0"/>
        <w:autoSpaceDN w:val="0"/>
        <w:adjustRightInd w:val="0"/>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（3）如有疑问，请咨询平台技术服务电话：蔡先生，13454667697；王女士，</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13757680207</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。QQ “台州湾新区小额工程交易平台交流”（群号：435057190），进行业务咨询。此群也作为不见面开标的备用远程交互群。</w:t>
      </w:r>
    </w:p>
    <w:p w14:paraId="059EB74F">
      <w:pPr>
        <w:autoSpaceDE w:val="0"/>
        <w:autoSpaceDN w:val="0"/>
        <w:adjustRightInd w:val="0"/>
        <w:spacing w:line="360" w:lineRule="auto"/>
        <w:ind w:firstLine="482"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4）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14:paraId="0434BD75">
      <w:pPr>
        <w:snapToGrid w:val="0"/>
        <w:spacing w:line="360" w:lineRule="auto"/>
        <w:ind w:firstLine="482" w:firstLineChars="200"/>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（三） 异常情况处理：</w:t>
      </w:r>
    </w:p>
    <w:p w14:paraId="4A7372C4">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DA5F620">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1、电子交易平台发生故障而无法登录访问的；</w:t>
      </w:r>
    </w:p>
    <w:p w14:paraId="5371D6E1">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2、电子交易平台应用或数据库出现错误，不能进行正常操作的；</w:t>
      </w:r>
    </w:p>
    <w:p w14:paraId="5EA5CEE4">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3、电子交易平台发现严重安全漏洞，有潜在泄密危险的；</w:t>
      </w:r>
    </w:p>
    <w:p w14:paraId="7BBC7046">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4、病毒发作导致不能进行正常操作的；</w:t>
      </w:r>
    </w:p>
    <w:p w14:paraId="69616F47">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5、其他无法保证电子交易的公平、公正和安全的情况。</w:t>
      </w:r>
    </w:p>
    <w:p w14:paraId="6C318AA0">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14:paraId="68EF8979">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五、评标</w:t>
      </w:r>
    </w:p>
    <w:p w14:paraId="1A83F797">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（一）组建评标委员会</w:t>
      </w:r>
    </w:p>
    <w:p w14:paraId="0A2A94A0">
      <w:pPr>
        <w:pStyle w:val="24"/>
        <w:widowControl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评标由招标人依法组建的评标委员会负责。</w:t>
      </w:r>
    </w:p>
    <w:p w14:paraId="75E58924">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（二）评标的方式</w:t>
      </w:r>
    </w:p>
    <w:p w14:paraId="0FFCA2B4">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本项目采用不公开方式评标，评标的依据为招标文件和投标文件。</w:t>
      </w:r>
    </w:p>
    <w:p w14:paraId="11E9DEB3">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（三）评标程序</w:t>
      </w:r>
    </w:p>
    <w:p w14:paraId="7C72D50F">
      <w:pPr>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1.形式审查</w:t>
      </w:r>
    </w:p>
    <w:p w14:paraId="11E64ECF">
      <w:pPr>
        <w:snapToGrid w:val="0"/>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采购人代表和代理机构工作人员协助评标委员会对投标人的资格和投标文件的完整性、合法性等进行审查。</w:t>
      </w:r>
    </w:p>
    <w:p w14:paraId="160051A4">
      <w:pPr>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2.实质审查与比较</w:t>
      </w:r>
    </w:p>
    <w:p w14:paraId="3EBCC4A4">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（1）评标委员会审查投标文件的实质性内容是否符合招标文件的实质性要求。</w:t>
      </w:r>
    </w:p>
    <w:p w14:paraId="44B41E03">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0EF5C451">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（3）代理机构工作人员协助评标委员会根据本项目的评分标准计算各投标人的商务报价得分。</w:t>
      </w:r>
    </w:p>
    <w:p w14:paraId="50C08752">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（4）评标委员会完成评标后,评委对各部分得分汇总,计算出本项目最终得分。评标委员会按评标原则推荐中标候选人同时起草评标报告。</w:t>
      </w:r>
    </w:p>
    <w:p w14:paraId="3AD0E204">
      <w:pPr>
        <w:snapToGri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（四）澄清问题的形式</w:t>
      </w:r>
    </w:p>
    <w:p w14:paraId="5035121B">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2301CD8">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（五）错误修正</w:t>
      </w:r>
    </w:p>
    <w:p w14:paraId="183D0FFC">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报价文件如果出现计算或表达上的错误，修正错误的原则如下：</w:t>
      </w:r>
    </w:p>
    <w:p w14:paraId="1442D090">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1、“台州湾新区小额工程电子交易平台”上开启的投标报价或工期与电子投标文件中开标一览表（报价表）内容不一致的，以电子投标文件中开标一览表（报价表）为准；</w:t>
      </w:r>
    </w:p>
    <w:p w14:paraId="2DA36684">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2、投标文件中开标一览表(报价表)内容与投标文件中相应内容不一致的，以开标一览表(报价表)为准；</w:t>
      </w:r>
    </w:p>
    <w:p w14:paraId="37668AF0">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3、大写金额和小写金额不一致的，以大写金额为准；</w:t>
      </w:r>
    </w:p>
    <w:p w14:paraId="580273AE">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4、单价金额小数点或者百分比有明显错位的，以开标一览表的总价为准，并修改单价；</w:t>
      </w:r>
    </w:p>
    <w:p w14:paraId="565191E9">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5、总价金额与按单价汇总金额不一致的，以总价金额为准，合理调整单价。</w:t>
      </w:r>
    </w:p>
    <w:p w14:paraId="18516E78">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6、对不同文字文本报价文件的解释发生异议的，以中文文本为准。</w:t>
      </w:r>
    </w:p>
    <w:p w14:paraId="3529F063">
      <w:pPr>
        <w:pStyle w:val="24"/>
        <w:spacing w:before="0" w:beforeAutospacing="0" w:after="0" w:afterAutospacing="0" w:line="360" w:lineRule="auto"/>
        <w:ind w:firstLine="482"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按上述修正错误的原则及方法调整或修正报价文件的投标报价，投标人同意并签字确认后，调整后的投标报价对投标人具有约束作用。如果投标人不接受修正后的报价，则其投标将作为无效投标处理。</w:t>
      </w:r>
    </w:p>
    <w:p w14:paraId="41E10D22">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（六）有下列情况之一的，本次招标作为废标处理，除采购任务取消外，由采购人重新组织招标：</w:t>
      </w:r>
    </w:p>
    <w:p w14:paraId="254EE735">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1、符合专业条件的供应商或者对招标文件作实质响应的供应商不足三家，评标委员会认定投标明显缺乏竞争的；</w:t>
      </w:r>
    </w:p>
    <w:p w14:paraId="37CF2327">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2、出现影响采购公正的违法、违规行为的；</w:t>
      </w:r>
    </w:p>
    <w:p w14:paraId="4B8D42C9">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3、投标人的报价均超过了采购预算，采购人不能支付的；</w:t>
      </w:r>
    </w:p>
    <w:p w14:paraId="22FA5C40">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4、因重大变故，采购任务取消的。</w:t>
      </w:r>
    </w:p>
    <w:p w14:paraId="23006CD4">
      <w:pPr>
        <w:pStyle w:val="15"/>
        <w:tabs>
          <w:tab w:val="left" w:pos="630"/>
        </w:tabs>
        <w:snapToGrid w:val="0"/>
        <w:spacing w:before="0" w:beforeLines="0" w:after="0" w:afterLines="0"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（七）评标原则和评标办法</w:t>
      </w:r>
    </w:p>
    <w:p w14:paraId="001823C0">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085377C">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2、评标办法。具体评标内容及评分标准等详见《第四章：评标办法及评分标准》。</w:t>
      </w:r>
    </w:p>
    <w:p w14:paraId="1CEE94A3">
      <w:pPr>
        <w:pStyle w:val="15"/>
        <w:snapToGrid w:val="0"/>
        <w:spacing w:before="0" w:beforeLines="0" w:after="0" w:afterLines="0"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（八）评标过程的监控</w:t>
      </w:r>
    </w:p>
    <w:p w14:paraId="6CBC2C80">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63E8AC39">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六、定标</w:t>
      </w:r>
    </w:p>
    <w:p w14:paraId="1F6D2ECC">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发布</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结果公告。采购组织机构应当自中标人确定之日起2个工作日内，在相关网站上公告中标结果，招标文件应当随中标结果同时公告。</w:t>
      </w:r>
    </w:p>
    <w:p w14:paraId="3CBF48A6">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、发出中标通知书。采购组织机构在发布中标结果的同时，向中标人发出中标通知书。</w:t>
      </w:r>
    </w:p>
    <w:p w14:paraId="1E686736">
      <w:pPr>
        <w:pStyle w:val="15"/>
        <w:snapToGrid w:val="0"/>
        <w:spacing w:before="0" w:beforeLines="0" w:after="0" w:afterLines="0"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七、合同授予</w:t>
      </w:r>
    </w:p>
    <w:p w14:paraId="53D47188">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bidi="ar"/>
          <w14:textFill>
            <w14:solidFill>
              <w14:schemeClr w14:val="tx1"/>
            </w14:solidFill>
          </w14:textFill>
        </w:rPr>
        <w:t>（一）签订合同</w:t>
      </w:r>
    </w:p>
    <w:p w14:paraId="07D63F82">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1、采购人应当自中标通知书发出之日起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w:t>
      </w:r>
    </w:p>
    <w:p w14:paraId="3F31B602">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2、采购人不得向中标人提出任何不合理的要求作为签订合同的条件。</w:t>
      </w:r>
    </w:p>
    <w:p w14:paraId="47B8ABD6">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3、中标供应商无故拖延、拒签合同的,投标保证金将不予退回并取消中标资格。</w:t>
      </w:r>
    </w:p>
    <w:p w14:paraId="30E32860">
      <w:pPr>
        <w:pStyle w:val="24"/>
        <w:spacing w:before="0" w:beforeAutospacing="0" w:after="0" w:afterAutospacing="0" w:line="360" w:lineRule="auto"/>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4、中标供应商拒绝与采购人签订合同的，可以重新开展采购活动。同时，拒绝与采购人签订合同的供应商，由同级监管部门依法作出处理。</w:t>
      </w:r>
    </w:p>
    <w:p w14:paraId="141D2353">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3082C5D6">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09123B">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1B572DB">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A9D34B8">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36BC2E4">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9F0011F">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BD52405">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38BA8A6">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87251E4">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2C0A553">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7C31339">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F84D75B">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1C67B1">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791AACF">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2643276">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60F959F">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78AA2D8">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5488E02">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095F725">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7B5D0BD">
      <w:pPr>
        <w:pStyle w:val="24"/>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8E689D1">
      <w:pPr>
        <w:pStyle w:val="5"/>
        <w:spacing w:line="360" w:lineRule="auto"/>
        <w:ind w:firstLine="482" w:firstLineChars="200"/>
        <w:rPr>
          <w:rFonts w:hint="eastAsia" w:ascii="宋体" w:hAnsi="宋体" w:eastAsia="宋体"/>
          <w:b/>
          <w:color w:val="000000" w:themeColor="text1"/>
          <w:kern w:val="0"/>
          <w:sz w:val="24"/>
          <w:highlight w:val="none"/>
          <w14:textFill>
            <w14:solidFill>
              <w14:schemeClr w14:val="tx1"/>
            </w14:solidFill>
          </w14:textFill>
        </w:rPr>
      </w:pPr>
    </w:p>
    <w:p w14:paraId="28FF5B0C">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4"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4"/>
    </w:p>
    <w:p w14:paraId="1F80ED46">
      <w:pPr>
        <w:tabs>
          <w:tab w:val="left" w:pos="8280"/>
        </w:tabs>
        <w:autoSpaceDE w:val="0"/>
        <w:autoSpaceDN w:val="0"/>
        <w:adjustRightInd w:val="0"/>
        <w:spacing w:line="360" w:lineRule="auto"/>
        <w:ind w:right="25"/>
        <w:rPr>
          <w:sz w:val="24"/>
        </w:rPr>
      </w:pPr>
      <w:bookmarkStart w:id="35" w:name="_Toc31173_WPSOffice_Level1"/>
      <w:r>
        <w:rPr>
          <w:rFonts w:hint="eastAsia"/>
          <w:b/>
          <w:sz w:val="24"/>
        </w:rPr>
        <w:t>一、招标项目一览表</w:t>
      </w:r>
    </w:p>
    <w:p w14:paraId="1A7A72E0">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03"/>
        <w:gridCol w:w="738"/>
        <w:gridCol w:w="450"/>
        <w:gridCol w:w="669"/>
        <w:gridCol w:w="1085"/>
        <w:gridCol w:w="2170"/>
        <w:gridCol w:w="1025"/>
      </w:tblGrid>
      <w:tr w14:paraId="6AF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6" w:type="dxa"/>
            <w:noWrap w:val="0"/>
            <w:vAlign w:val="center"/>
          </w:tcPr>
          <w:p w14:paraId="4CAA68E2">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标段号</w:t>
            </w:r>
          </w:p>
        </w:tc>
        <w:tc>
          <w:tcPr>
            <w:tcW w:w="2103" w:type="dxa"/>
            <w:noWrap w:val="0"/>
            <w:vAlign w:val="center"/>
          </w:tcPr>
          <w:p w14:paraId="593926BC">
            <w:pPr>
              <w:tabs>
                <w:tab w:val="left" w:pos="8280"/>
              </w:tabs>
              <w:autoSpaceDE w:val="0"/>
              <w:autoSpaceDN w:val="0"/>
              <w:adjustRightInd w:val="0"/>
              <w:spacing w:line="240" w:lineRule="auto"/>
              <w:ind w:right="25" w:firstLine="120" w:firstLineChars="5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38" w:type="dxa"/>
            <w:noWrap w:val="0"/>
            <w:vAlign w:val="center"/>
          </w:tcPr>
          <w:p w14:paraId="6EE9D383">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规格</w:t>
            </w:r>
          </w:p>
          <w:p w14:paraId="146110EC">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450" w:type="dxa"/>
            <w:noWrap w:val="0"/>
            <w:vAlign w:val="center"/>
          </w:tcPr>
          <w:p w14:paraId="34111AE5">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669" w:type="dxa"/>
            <w:noWrap w:val="0"/>
            <w:vAlign w:val="center"/>
          </w:tcPr>
          <w:p w14:paraId="70A11A23">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085" w:type="dxa"/>
            <w:noWrap w:val="0"/>
            <w:vAlign w:val="center"/>
          </w:tcPr>
          <w:p w14:paraId="0E14F554">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预算</w:t>
            </w:r>
          </w:p>
          <w:p w14:paraId="158ED182">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万元</w:t>
            </w:r>
            <w:r>
              <w:rPr>
                <w:rFonts w:hint="eastAsia" w:ascii="宋体" w:hAnsi="宋体" w:eastAsia="宋体" w:cs="宋体"/>
                <w:b/>
                <w:sz w:val="24"/>
                <w:szCs w:val="24"/>
              </w:rPr>
              <w:t>）</w:t>
            </w:r>
          </w:p>
        </w:tc>
        <w:tc>
          <w:tcPr>
            <w:tcW w:w="2170" w:type="dxa"/>
            <w:noWrap w:val="0"/>
            <w:vAlign w:val="center"/>
          </w:tcPr>
          <w:p w14:paraId="2456CCFE">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租赁期要求</w:t>
            </w:r>
          </w:p>
        </w:tc>
        <w:tc>
          <w:tcPr>
            <w:tcW w:w="1025" w:type="dxa"/>
            <w:noWrap w:val="0"/>
            <w:vAlign w:val="center"/>
          </w:tcPr>
          <w:p w14:paraId="414A200C">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交付</w:t>
            </w:r>
          </w:p>
          <w:p w14:paraId="47DE7987">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地点</w:t>
            </w:r>
          </w:p>
        </w:tc>
      </w:tr>
      <w:tr w14:paraId="35E0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16" w:type="dxa"/>
            <w:noWrap w:val="0"/>
            <w:vAlign w:val="center"/>
          </w:tcPr>
          <w:p w14:paraId="659D9040">
            <w:pPr>
              <w:tabs>
                <w:tab w:val="left" w:pos="8280"/>
              </w:tabs>
              <w:autoSpaceDE w:val="0"/>
              <w:autoSpaceDN w:val="0"/>
              <w:adjustRightInd w:val="0"/>
              <w:spacing w:line="360" w:lineRule="auto"/>
              <w:ind w:right="25"/>
              <w:jc w:val="center"/>
              <w:rPr>
                <w:rFonts w:hint="eastAsia" w:ascii="宋体" w:hAnsi="宋体" w:eastAsia="宋体" w:cs="宋体"/>
                <w:sz w:val="24"/>
                <w:szCs w:val="24"/>
              </w:rPr>
            </w:pPr>
            <w:r>
              <w:rPr>
                <w:rFonts w:hint="eastAsia" w:ascii="宋体" w:hAnsi="宋体" w:eastAsia="宋体" w:cs="宋体"/>
                <w:sz w:val="24"/>
                <w:szCs w:val="24"/>
              </w:rPr>
              <w:t>1</w:t>
            </w:r>
          </w:p>
        </w:tc>
        <w:tc>
          <w:tcPr>
            <w:tcW w:w="2103" w:type="dxa"/>
            <w:noWrap w:val="0"/>
            <w:vAlign w:val="center"/>
          </w:tcPr>
          <w:p w14:paraId="1E71588B">
            <w:pPr>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台州东茂观光农业开发有限公司2024零星机械租赁项目（第二批)</w:t>
            </w:r>
          </w:p>
        </w:tc>
        <w:tc>
          <w:tcPr>
            <w:tcW w:w="738" w:type="dxa"/>
            <w:noWrap w:val="0"/>
            <w:vAlign w:val="center"/>
          </w:tcPr>
          <w:p w14:paraId="614B764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详见具体技术需求</w:t>
            </w:r>
          </w:p>
        </w:tc>
        <w:tc>
          <w:tcPr>
            <w:tcW w:w="450" w:type="dxa"/>
            <w:noWrap w:val="0"/>
            <w:vAlign w:val="center"/>
          </w:tcPr>
          <w:p w14:paraId="74B48395">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669" w:type="dxa"/>
            <w:noWrap w:val="0"/>
            <w:vAlign w:val="center"/>
          </w:tcPr>
          <w:p w14:paraId="5114689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批</w:t>
            </w:r>
          </w:p>
        </w:tc>
        <w:tc>
          <w:tcPr>
            <w:tcW w:w="1085" w:type="dxa"/>
            <w:noWrap w:val="0"/>
            <w:vAlign w:val="center"/>
          </w:tcPr>
          <w:p w14:paraId="5AA62DA9">
            <w:pPr>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200</w:t>
            </w:r>
          </w:p>
        </w:tc>
        <w:tc>
          <w:tcPr>
            <w:tcW w:w="2170" w:type="dxa"/>
            <w:noWrap w:val="0"/>
            <w:vAlign w:val="center"/>
          </w:tcPr>
          <w:p w14:paraId="17489884">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签订合同后</w:t>
            </w:r>
            <w:r>
              <w:rPr>
                <w:rFonts w:hint="eastAsia" w:ascii="宋体" w:hAnsi="宋体" w:eastAsia="宋体" w:cs="宋体"/>
                <w:bCs/>
                <w:color w:val="auto"/>
                <w:sz w:val="24"/>
                <w:szCs w:val="24"/>
                <w:highlight w:val="none"/>
                <w:lang w:val="en-US" w:eastAsia="zh-CN"/>
              </w:rPr>
              <w:t>1年或累计实际结算金额达到</w:t>
            </w:r>
            <w:r>
              <w:rPr>
                <w:rFonts w:hint="eastAsia" w:ascii="宋体" w:hAnsi="宋体" w:cs="宋体"/>
                <w:bCs/>
                <w:color w:val="auto"/>
                <w:sz w:val="24"/>
                <w:szCs w:val="24"/>
                <w:highlight w:val="none"/>
                <w:lang w:val="en-US" w:eastAsia="zh-CN"/>
              </w:rPr>
              <w:t>200</w:t>
            </w:r>
            <w:r>
              <w:rPr>
                <w:rFonts w:hint="eastAsia" w:ascii="宋体" w:hAnsi="宋体" w:eastAsia="宋体" w:cs="宋体"/>
                <w:bCs/>
                <w:color w:val="auto"/>
                <w:sz w:val="24"/>
                <w:szCs w:val="24"/>
                <w:highlight w:val="none"/>
                <w:lang w:val="en-US" w:eastAsia="zh-CN"/>
              </w:rPr>
              <w:t>万元（以先到者为准）</w:t>
            </w:r>
          </w:p>
        </w:tc>
        <w:tc>
          <w:tcPr>
            <w:tcW w:w="1025" w:type="dxa"/>
            <w:noWrap w:val="0"/>
            <w:vAlign w:val="center"/>
          </w:tcPr>
          <w:p w14:paraId="40CFD8C4">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采购人指定地点</w:t>
            </w:r>
          </w:p>
        </w:tc>
      </w:tr>
    </w:tbl>
    <w:p w14:paraId="3BB04734">
      <w:pPr>
        <w:rPr>
          <w:sz w:val="24"/>
        </w:rPr>
      </w:pPr>
    </w:p>
    <w:p w14:paraId="7986734E">
      <w:pPr>
        <w:pStyle w:val="82"/>
        <w:numPr>
          <w:ilvl w:val="0"/>
          <w:numId w:val="9"/>
        </w:num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招标范围</w:t>
      </w:r>
    </w:p>
    <w:p w14:paraId="771D6B56">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本项目为</w:t>
      </w:r>
      <w:r>
        <w:rPr>
          <w:rFonts w:hint="eastAsia" w:ascii="宋体" w:hAnsi="宋体" w:cs="宋体"/>
          <w:sz w:val="24"/>
          <w:lang w:eastAsia="zh-CN"/>
        </w:rPr>
        <w:t>台州东茂观光农业开发有限公司2024零星机械租赁项目（第二批)</w:t>
      </w:r>
      <w:r>
        <w:rPr>
          <w:rFonts w:hint="eastAsia" w:ascii="宋体" w:hAnsi="宋体" w:eastAsia="宋体" w:cs="宋体"/>
          <w:sz w:val="24"/>
        </w:rPr>
        <w:t>，主要招标内容为台州东茂观光农业开发有限公司合同签订后</w:t>
      </w:r>
      <w:r>
        <w:rPr>
          <w:rFonts w:hint="eastAsia" w:ascii="宋体" w:hAnsi="宋体" w:eastAsia="宋体" w:cs="宋体"/>
          <w:sz w:val="24"/>
          <w:lang w:val="en-US" w:eastAsia="zh-CN"/>
        </w:rPr>
        <w:t>1年或累计实际结算金额达到</w:t>
      </w:r>
      <w:r>
        <w:rPr>
          <w:rFonts w:hint="eastAsia" w:ascii="宋体" w:hAnsi="宋体" w:cs="宋体"/>
          <w:sz w:val="24"/>
          <w:lang w:val="en-US" w:eastAsia="zh-CN"/>
        </w:rPr>
        <w:t>200万元</w:t>
      </w:r>
      <w:r>
        <w:rPr>
          <w:rFonts w:hint="eastAsia" w:ascii="宋体" w:hAnsi="宋体" w:eastAsia="宋体" w:cs="宋体"/>
          <w:sz w:val="24"/>
          <w:lang w:val="en-US" w:eastAsia="zh-CN"/>
        </w:rPr>
        <w:t>（以先到者为</w:t>
      </w:r>
      <w:r>
        <w:rPr>
          <w:rFonts w:hint="eastAsia" w:ascii="宋体" w:hAnsi="宋体" w:eastAsia="宋体" w:cs="宋体"/>
          <w:color w:val="auto"/>
          <w:sz w:val="24"/>
          <w:lang w:val="en-US" w:eastAsia="zh-CN"/>
        </w:rPr>
        <w:t>准）</w:t>
      </w:r>
      <w:r>
        <w:rPr>
          <w:rFonts w:hint="eastAsia" w:ascii="宋体" w:hAnsi="宋体" w:eastAsia="宋体" w:cs="宋体"/>
          <w:color w:val="auto"/>
          <w:sz w:val="24"/>
          <w:lang w:eastAsia="zh-CN"/>
        </w:rPr>
        <w:t>的零星机械租赁项目</w:t>
      </w:r>
      <w:r>
        <w:rPr>
          <w:rFonts w:hint="eastAsia" w:ascii="宋体" w:hAnsi="宋体" w:eastAsia="宋体" w:cs="宋体"/>
          <w:color w:val="auto"/>
          <w:sz w:val="24"/>
        </w:rPr>
        <w:t>（</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认为需要单独招标的项目除外，本项目中标后，具体机械租赁工作根据</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需要指定开展）。</w:t>
      </w:r>
    </w:p>
    <w:p w14:paraId="476BB52F">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rPr>
        <w:t>本次招标按机械设备种类的不同分为以下几种，分别为挖机、水陆两用挖掘机、吊车</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随车吊</w:t>
      </w:r>
      <w:r>
        <w:rPr>
          <w:rFonts w:hint="eastAsia" w:ascii="宋体" w:hAnsi="宋体" w:eastAsia="宋体" w:cs="宋体"/>
          <w:color w:val="auto"/>
          <w:sz w:val="24"/>
        </w:rPr>
        <w:t>、</w:t>
      </w:r>
      <w:r>
        <w:rPr>
          <w:rFonts w:hint="eastAsia" w:ascii="宋体" w:hAnsi="宋体" w:eastAsia="宋体" w:cs="宋体"/>
          <w:color w:val="auto"/>
          <w:sz w:val="24"/>
          <w:lang w:eastAsia="zh-CN"/>
        </w:rPr>
        <w:t>汽车、拖车</w:t>
      </w:r>
      <w:r>
        <w:rPr>
          <w:rFonts w:hint="eastAsia" w:ascii="宋体" w:hAnsi="宋体" w:eastAsia="宋体" w:cs="宋体"/>
          <w:color w:val="auto"/>
          <w:sz w:val="24"/>
        </w:rPr>
        <w:t>、铲车、</w:t>
      </w:r>
      <w:r>
        <w:rPr>
          <w:rFonts w:hint="eastAsia" w:ascii="宋体" w:hAnsi="宋体" w:eastAsia="宋体" w:cs="宋体"/>
          <w:color w:val="auto"/>
          <w:sz w:val="24"/>
          <w:lang w:val="en-US" w:eastAsia="zh-CN"/>
        </w:rPr>
        <w:t>叉车、推土机、</w:t>
      </w:r>
      <w:r>
        <w:rPr>
          <w:rFonts w:hint="eastAsia" w:ascii="宋体" w:hAnsi="宋体" w:eastAsia="宋体" w:cs="宋体"/>
          <w:color w:val="auto"/>
          <w:sz w:val="24"/>
        </w:rPr>
        <w:t>翻耕机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收割机等</w:t>
      </w:r>
      <w:r>
        <w:rPr>
          <w:rFonts w:hint="eastAsia" w:ascii="宋体" w:hAnsi="宋体" w:eastAsia="宋体" w:cs="宋体"/>
          <w:color w:val="auto"/>
          <w:sz w:val="24"/>
        </w:rPr>
        <w:t>租赁业务，具体内容详见</w:t>
      </w:r>
      <w:r>
        <w:rPr>
          <w:rFonts w:hint="eastAsia" w:ascii="宋体" w:hAnsi="宋体" w:eastAsia="宋体" w:cs="宋体"/>
          <w:color w:val="auto"/>
          <w:sz w:val="24"/>
          <w:lang w:val="en-US" w:eastAsia="zh-CN"/>
        </w:rPr>
        <w:t>本章主要设备清单及型号要求。</w:t>
      </w:r>
    </w:p>
    <w:p w14:paraId="6F0423ED">
      <w:pPr>
        <w:pStyle w:val="82"/>
        <w:numPr>
          <w:ilvl w:val="0"/>
          <w:numId w:val="9"/>
        </w:numPr>
        <w:spacing w:line="360" w:lineRule="auto"/>
        <w:rPr>
          <w:rFonts w:hint="eastAsia" w:ascii="宋体" w:hAnsi="宋体" w:eastAsia="宋体" w:cs="宋体"/>
          <w:sz w:val="24"/>
          <w:lang w:eastAsia="zh-CN"/>
        </w:rPr>
      </w:pPr>
      <w:r>
        <w:rPr>
          <w:rFonts w:hint="eastAsia" w:ascii="宋体" w:hAnsi="宋体" w:eastAsia="宋体" w:cs="宋体"/>
          <w:b/>
          <w:bCs/>
          <w:kern w:val="2"/>
          <w:sz w:val="24"/>
          <w:szCs w:val="24"/>
          <w:lang w:val="en-US" w:eastAsia="zh-CN" w:bidi="ar-SA"/>
        </w:rPr>
        <w:t>服务要求</w:t>
      </w:r>
      <w:bookmarkStart w:id="36" w:name="_Toc525049753"/>
    </w:p>
    <w:p w14:paraId="0C4FCCDC">
      <w:pPr>
        <w:pStyle w:val="82"/>
        <w:numPr>
          <w:ilvl w:val="0"/>
          <w:numId w:val="0"/>
        </w:numPr>
        <w:spacing w:line="360" w:lineRule="auto"/>
        <w:ind w:firstLine="420" w:firstLineChars="200"/>
        <w:jc w:val="left"/>
        <w:rPr>
          <w:rFonts w:hint="eastAsia" w:ascii="宋体" w:hAnsi="宋体" w:eastAsia="宋体" w:cs="宋体"/>
          <w:sz w:val="24"/>
          <w:lang w:eastAsia="zh-CN"/>
        </w:rPr>
      </w:pPr>
      <w:r>
        <w:rPr>
          <w:rFonts w:hint="eastAsia" w:ascii="宋体" w:hAnsi="宋体" w:eastAsia="宋体" w:cs="仿宋"/>
          <w:color w:val="000000"/>
          <w:sz w:val="21"/>
          <w:szCs w:val="21"/>
        </w:rPr>
        <w:t xml:space="preserve"> </w:t>
      </w:r>
      <w:r>
        <w:rPr>
          <w:rFonts w:hint="eastAsia" w:ascii="宋体" w:hAnsi="宋体" w:eastAsia="宋体" w:cs="宋体"/>
          <w:sz w:val="24"/>
          <w:lang w:eastAsia="zh-CN"/>
        </w:rPr>
        <w:t>1、</w:t>
      </w:r>
      <w:r>
        <w:rPr>
          <w:rFonts w:hint="eastAsia" w:ascii="宋体" w:hAnsi="宋体" w:eastAsia="宋体" w:cs="宋体"/>
          <w:sz w:val="24"/>
          <w:lang w:val="en-US" w:eastAsia="zh-CN"/>
        </w:rPr>
        <w:t>中标人应</w:t>
      </w:r>
      <w:r>
        <w:rPr>
          <w:rFonts w:hint="eastAsia" w:ascii="宋体" w:hAnsi="宋体" w:eastAsia="宋体" w:cs="宋体"/>
          <w:sz w:val="24"/>
          <w:lang w:eastAsia="zh-CN"/>
        </w:rPr>
        <w:t>遵守国家政策和法律法规；遵守招标人的相关规章制度，做好安全、文明施工、环境和职业健康安全、劳动保护等工作。</w:t>
      </w:r>
    </w:p>
    <w:p w14:paraId="75DD68A8">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2、</w:t>
      </w:r>
      <w:r>
        <w:rPr>
          <w:rFonts w:hint="eastAsia" w:ascii="宋体" w:hAnsi="宋体" w:eastAsia="宋体" w:cs="宋体"/>
          <w:sz w:val="24"/>
          <w:lang w:val="en-US" w:eastAsia="zh-CN"/>
        </w:rPr>
        <w:t>中标人应</w:t>
      </w:r>
      <w:r>
        <w:rPr>
          <w:rFonts w:hint="eastAsia" w:ascii="宋体" w:hAnsi="宋体" w:eastAsia="宋体" w:cs="宋体"/>
          <w:sz w:val="24"/>
          <w:lang w:eastAsia="zh-CN"/>
        </w:rPr>
        <w:t>严格按照施工验收规范、有关技术要求及组织施工，确保工程质量达到约定的标准，对本合同承包范围内的工程质量向招标人负责；根据招标人的计划要求（包括调整后的计划），合理组织，科学安排作业计划，投入足够的机械设备。</w:t>
      </w:r>
    </w:p>
    <w:p w14:paraId="41B3EB8C">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3、</w:t>
      </w:r>
      <w:r>
        <w:rPr>
          <w:rFonts w:hint="eastAsia" w:ascii="宋体" w:hAnsi="宋体" w:eastAsia="宋体" w:cs="宋体"/>
          <w:sz w:val="24"/>
          <w:lang w:val="en-US" w:eastAsia="zh-CN"/>
        </w:rPr>
        <w:t>中标人</w:t>
      </w:r>
      <w:r>
        <w:rPr>
          <w:rFonts w:hint="eastAsia" w:ascii="宋体" w:hAnsi="宋体" w:eastAsia="宋体" w:cs="宋体"/>
          <w:sz w:val="24"/>
          <w:lang w:eastAsia="zh-CN"/>
        </w:rPr>
        <w:t>应按招标文件要求和承诺的操作人员机械设备保质保量到位。机械设备车辆必须符合国家有关法律法规要求，并经检测合格，操作机械设备车辆的相关人员必须按国家规定持证上岗，特殊工种必须有特种作业操作证，持证率达到100%。</w:t>
      </w:r>
    </w:p>
    <w:p w14:paraId="1B45A9B8">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4、</w:t>
      </w:r>
      <w:r>
        <w:rPr>
          <w:rFonts w:hint="eastAsia" w:ascii="宋体" w:hAnsi="宋体" w:eastAsia="宋体" w:cs="宋体"/>
          <w:sz w:val="24"/>
          <w:lang w:val="en-US" w:eastAsia="zh-CN"/>
        </w:rPr>
        <w:t>中标人应</w:t>
      </w:r>
      <w:r>
        <w:rPr>
          <w:rFonts w:hint="eastAsia" w:ascii="宋体" w:hAnsi="宋体" w:eastAsia="宋体" w:cs="宋体"/>
          <w:sz w:val="24"/>
          <w:lang w:eastAsia="zh-CN"/>
        </w:rPr>
        <w:t>服从招标人的监督、检查、管理；接受招标人有关人员对质量、进度、技术、文明施工、环境保护等方面的管理：接受招标人随时检查其设备使用情况及其操作人员有效证件、持证上岗情况；</w:t>
      </w:r>
    </w:p>
    <w:p w14:paraId="12B3A416">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5、进场施工人员要求具备思想素质好、身体健康、技术熟练等条件；禁止使用不法人员，</w:t>
      </w:r>
      <w:r>
        <w:rPr>
          <w:rFonts w:hint="eastAsia" w:ascii="宋体" w:hAnsi="宋体" w:eastAsia="宋体" w:cs="宋体"/>
          <w:sz w:val="24"/>
          <w:lang w:val="en-US" w:eastAsia="zh-CN"/>
        </w:rPr>
        <w:t>中标人</w:t>
      </w:r>
      <w:r>
        <w:rPr>
          <w:rFonts w:hint="eastAsia" w:ascii="宋体" w:hAnsi="宋体" w:eastAsia="宋体" w:cs="宋体"/>
          <w:sz w:val="24"/>
          <w:lang w:eastAsia="zh-CN"/>
        </w:rPr>
        <w:t>应承担因使用以上不合格人员而引起的责任和后果。</w:t>
      </w:r>
    </w:p>
    <w:p w14:paraId="0BCC6BEB">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z w:val="24"/>
          <w:lang w:eastAsia="zh-CN"/>
        </w:rPr>
        <w:t>6．</w:t>
      </w:r>
      <w:r>
        <w:rPr>
          <w:rFonts w:hint="eastAsia" w:ascii="宋体" w:hAnsi="宋体" w:eastAsia="宋体" w:cs="宋体"/>
          <w:sz w:val="24"/>
          <w:lang w:val="en-US" w:eastAsia="zh-CN"/>
        </w:rPr>
        <w:t>中标人</w:t>
      </w:r>
      <w:r>
        <w:rPr>
          <w:rFonts w:hint="eastAsia" w:ascii="宋体" w:hAnsi="宋体" w:eastAsia="宋体" w:cs="宋体"/>
          <w:sz w:val="24"/>
          <w:lang w:eastAsia="zh-CN"/>
        </w:rPr>
        <w:t>密切配</w:t>
      </w:r>
      <w:r>
        <w:rPr>
          <w:rFonts w:hint="eastAsia" w:ascii="宋体" w:hAnsi="宋体" w:eastAsia="宋体" w:cs="宋体"/>
          <w:color w:val="auto"/>
          <w:sz w:val="24"/>
          <w:highlight w:val="none"/>
          <w:lang w:eastAsia="zh-CN"/>
        </w:rPr>
        <w:t>合招标人的施工生产，满足招标人施工要求。服从招标人施工人员的施工安排，但有权拒绝招标人的违章指挥。</w:t>
      </w:r>
    </w:p>
    <w:p w14:paraId="5A711C6C">
      <w:pPr>
        <w:autoSpaceDE w:val="0"/>
        <w:autoSpaceDN w:val="0"/>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7、</w:t>
      </w:r>
      <w:r>
        <w:rPr>
          <w:rFonts w:hint="eastAsia" w:ascii="宋体" w:hAnsi="宋体" w:eastAsia="宋体" w:cs="宋体"/>
          <w:color w:val="auto"/>
          <w:sz w:val="24"/>
          <w:highlight w:val="none"/>
          <w:lang w:val="en-US" w:eastAsia="zh-CN"/>
        </w:rPr>
        <w:t>中标人应</w:t>
      </w:r>
      <w:r>
        <w:rPr>
          <w:rFonts w:hint="eastAsia" w:ascii="宋体" w:hAnsi="宋体" w:eastAsia="宋体" w:cs="宋体"/>
          <w:color w:val="auto"/>
          <w:sz w:val="24"/>
          <w:highlight w:val="none"/>
          <w:lang w:eastAsia="zh-CN"/>
        </w:rPr>
        <w:t>负责配备设备操作维护人员，负责设备的日常操作，日常的油料供应，机械维护保养和故障的处理，确保机械技术状态完好。</w:t>
      </w:r>
      <w:r>
        <w:rPr>
          <w:rFonts w:hint="eastAsia" w:ascii="宋体" w:hAnsi="宋体" w:eastAsia="宋体" w:cs="宋体"/>
          <w:color w:val="auto"/>
          <w:sz w:val="24"/>
          <w:highlight w:val="none"/>
          <w:lang w:val="en-US" w:eastAsia="zh-CN"/>
        </w:rPr>
        <w:t>中标人还应配备相应的指挥人员及安全管理人员。</w:t>
      </w:r>
    </w:p>
    <w:p w14:paraId="5BEA32DB">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lang w:val="en-US" w:eastAsia="zh-CN"/>
        </w:rPr>
        <w:t>中标人应</w:t>
      </w:r>
      <w:r>
        <w:rPr>
          <w:rFonts w:hint="eastAsia" w:ascii="宋体" w:hAnsi="宋体" w:eastAsia="宋体" w:cs="宋体"/>
          <w:color w:val="auto"/>
          <w:sz w:val="24"/>
          <w:highlight w:val="none"/>
          <w:lang w:eastAsia="zh-CN"/>
        </w:rPr>
        <w:t>负责机械设备操作人员的工资及设备维修配件。</w:t>
      </w:r>
    </w:p>
    <w:p w14:paraId="5C2D13A7">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负责工作期间租赁机械和操作司机的安全，严禁违章施工。</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lang w:eastAsia="zh-CN"/>
        </w:rPr>
        <w:t>施工</w:t>
      </w:r>
      <w:r>
        <w:rPr>
          <w:rFonts w:hint="eastAsia" w:ascii="宋体" w:hAnsi="宋体" w:eastAsia="宋体" w:cs="宋体"/>
          <w:color w:val="auto"/>
          <w:sz w:val="24"/>
          <w:highlight w:val="none"/>
          <w:lang w:val="en-US" w:eastAsia="zh-CN"/>
        </w:rPr>
        <w:t>中因中标人原因</w:t>
      </w:r>
      <w:r>
        <w:rPr>
          <w:rFonts w:hint="eastAsia" w:ascii="宋体" w:hAnsi="宋体" w:eastAsia="宋体" w:cs="宋体"/>
          <w:color w:val="auto"/>
          <w:sz w:val="24"/>
          <w:highlight w:val="none"/>
          <w:lang w:eastAsia="zh-CN"/>
        </w:rPr>
        <w:t>造成的损失，</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承担一切责任，招标人不承担任何责任及费用。</w:t>
      </w:r>
    </w:p>
    <w:p w14:paraId="37864283">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的操作人员应严格按照操作规程操作租赁机械，若使用过程中出现安全责任事故由</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自行负责，招标人不承担任何责任及费用。</w:t>
      </w:r>
    </w:p>
    <w:p w14:paraId="4A166605">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bidi="ar"/>
        </w:rPr>
        <w:t>四</w:t>
      </w:r>
      <w:r>
        <w:rPr>
          <w:rFonts w:hint="eastAsia" w:ascii="宋体" w:hAnsi="宋体" w:cs="宋体"/>
          <w:b/>
          <w:color w:val="auto"/>
          <w:kern w:val="0"/>
          <w:sz w:val="24"/>
          <w:highlight w:val="none"/>
          <w:lang w:bidi="ar"/>
        </w:rPr>
        <w:t>、付款方式</w:t>
      </w:r>
      <w:bookmarkEnd w:id="36"/>
    </w:p>
    <w:p w14:paraId="09469276">
      <w:pPr>
        <w:autoSpaceDE w:val="0"/>
        <w:autoSpaceDN w:val="0"/>
        <w:adjustRightInd w:val="0"/>
        <w:spacing w:line="360" w:lineRule="auto"/>
        <w:ind w:firstLine="480"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color w:val="auto"/>
          <w:sz w:val="24"/>
          <w:highlight w:val="none"/>
          <w:lang w:eastAsia="zh-CN"/>
        </w:rPr>
        <w:t>租赁费按每月实际完成台班量支付，</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每月应根据实际完成并经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eastAsia="zh-CN"/>
        </w:rPr>
        <w:t>签字确认的台班量于次月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日结算上期租赁费的100%（遇节假日或双休日顺延）。若遇春节，可根据具体情况作微调，以保证在春节前结算一次。春节后，调整为次月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日结算。</w:t>
      </w:r>
    </w:p>
    <w:tbl>
      <w:tblPr>
        <w:tblStyle w:val="28"/>
        <w:tblpPr w:leftFromText="180" w:rightFromText="180" w:vertAnchor="text" w:horzAnchor="page" w:tblpX="1584"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220"/>
        <w:gridCol w:w="2066"/>
        <w:gridCol w:w="1602"/>
        <w:gridCol w:w="1850"/>
        <w:gridCol w:w="1717"/>
      </w:tblGrid>
      <w:tr w14:paraId="6E19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noWrap w:val="0"/>
            <w:vAlign w:val="center"/>
          </w:tcPr>
          <w:p w14:paraId="20ACB42D">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序号</w:t>
            </w:r>
          </w:p>
        </w:tc>
        <w:tc>
          <w:tcPr>
            <w:tcW w:w="1220" w:type="dxa"/>
            <w:noWrap w:val="0"/>
            <w:vAlign w:val="center"/>
          </w:tcPr>
          <w:p w14:paraId="3A530C8C">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设备名称</w:t>
            </w:r>
          </w:p>
        </w:tc>
        <w:tc>
          <w:tcPr>
            <w:tcW w:w="2066" w:type="dxa"/>
            <w:noWrap w:val="0"/>
            <w:vAlign w:val="center"/>
          </w:tcPr>
          <w:p w14:paraId="4D469D32">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品牌/类型</w:t>
            </w:r>
          </w:p>
        </w:tc>
        <w:tc>
          <w:tcPr>
            <w:tcW w:w="1602" w:type="dxa"/>
            <w:noWrap w:val="0"/>
            <w:vAlign w:val="center"/>
          </w:tcPr>
          <w:p w14:paraId="5EB5914E">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型号/规格</w:t>
            </w:r>
          </w:p>
        </w:tc>
        <w:tc>
          <w:tcPr>
            <w:tcW w:w="1850" w:type="dxa"/>
            <w:noWrap w:val="0"/>
            <w:vAlign w:val="center"/>
          </w:tcPr>
          <w:p w14:paraId="663B500B">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单价</w:t>
            </w:r>
          </w:p>
          <w:p w14:paraId="5A402CB2">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（元/台班）</w:t>
            </w:r>
          </w:p>
        </w:tc>
        <w:tc>
          <w:tcPr>
            <w:tcW w:w="1717" w:type="dxa"/>
            <w:noWrap w:val="0"/>
            <w:vAlign w:val="top"/>
          </w:tcPr>
          <w:p w14:paraId="6C3B1977">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Arial"/>
                <w:b/>
                <w:color w:val="auto"/>
                <w:sz w:val="21"/>
                <w:szCs w:val="21"/>
                <w:highlight w:val="none"/>
              </w:rPr>
              <w:t>备注</w:t>
            </w:r>
          </w:p>
        </w:tc>
      </w:tr>
      <w:tr w14:paraId="3BF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2516EE76">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一</w:t>
            </w:r>
          </w:p>
        </w:tc>
        <w:tc>
          <w:tcPr>
            <w:tcW w:w="1220" w:type="dxa"/>
            <w:vMerge w:val="restart"/>
            <w:noWrap w:val="0"/>
            <w:vAlign w:val="center"/>
          </w:tcPr>
          <w:p w14:paraId="248E1E06">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挖机</w:t>
            </w:r>
          </w:p>
          <w:p w14:paraId="77D72039">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(履带式)</w:t>
            </w:r>
          </w:p>
        </w:tc>
        <w:tc>
          <w:tcPr>
            <w:tcW w:w="2066" w:type="dxa"/>
            <w:vMerge w:val="restart"/>
            <w:noWrap w:val="0"/>
            <w:vAlign w:val="center"/>
          </w:tcPr>
          <w:p w14:paraId="690E9180">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神</w:t>
            </w:r>
            <w:r>
              <w:rPr>
                <w:rFonts w:hint="eastAsia" w:ascii="宋体" w:hAnsi="宋体" w:eastAsia="宋体" w:cs="Arial"/>
                <w:color w:val="auto"/>
                <w:sz w:val="21"/>
                <w:szCs w:val="21"/>
                <w:highlight w:val="none"/>
              </w:rPr>
              <w:t>钢、小松、住友、日立、新源、三一</w:t>
            </w:r>
            <w:r>
              <w:rPr>
                <w:rFonts w:hint="eastAsia" w:ascii="宋体" w:hAnsi="宋体" w:eastAsia="宋体"/>
                <w:color w:val="auto"/>
                <w:sz w:val="21"/>
                <w:szCs w:val="21"/>
                <w:highlight w:val="none"/>
                <w:lang w:val="en-US" w:eastAsia="zh-CN"/>
              </w:rPr>
              <w:t>或相当于</w:t>
            </w:r>
          </w:p>
        </w:tc>
        <w:tc>
          <w:tcPr>
            <w:tcW w:w="1602" w:type="dxa"/>
            <w:noWrap w:val="0"/>
            <w:vAlign w:val="center"/>
          </w:tcPr>
          <w:p w14:paraId="5702C44A">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60</w:t>
            </w:r>
          </w:p>
        </w:tc>
        <w:tc>
          <w:tcPr>
            <w:tcW w:w="1850" w:type="dxa"/>
            <w:noWrap w:val="0"/>
            <w:vAlign w:val="center"/>
          </w:tcPr>
          <w:p w14:paraId="6BDC4078">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1180</w:t>
            </w:r>
          </w:p>
        </w:tc>
        <w:tc>
          <w:tcPr>
            <w:tcW w:w="1717" w:type="dxa"/>
            <w:vMerge w:val="restart"/>
            <w:noWrap w:val="0"/>
            <w:vAlign w:val="center"/>
          </w:tcPr>
          <w:p w14:paraId="66996445">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eastAsia="zh-CN"/>
              </w:rPr>
              <w:t>进出场费按400元/次</w:t>
            </w:r>
          </w:p>
        </w:tc>
      </w:tr>
      <w:tr w14:paraId="3A50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4F63A41E">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62DE02F7">
            <w:pPr>
              <w:spacing w:line="300" w:lineRule="exact"/>
              <w:jc w:val="center"/>
              <w:rPr>
                <w:rFonts w:hint="eastAsia" w:ascii="宋体" w:hAnsi="宋体" w:eastAsia="宋体"/>
                <w:color w:val="auto"/>
                <w:sz w:val="21"/>
                <w:szCs w:val="21"/>
                <w:highlight w:val="none"/>
              </w:rPr>
            </w:pPr>
          </w:p>
        </w:tc>
        <w:tc>
          <w:tcPr>
            <w:tcW w:w="2066" w:type="dxa"/>
            <w:vMerge w:val="continue"/>
            <w:noWrap w:val="0"/>
            <w:vAlign w:val="center"/>
          </w:tcPr>
          <w:p w14:paraId="25B4CB16">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4EDB77B8">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120</w:t>
            </w:r>
          </w:p>
        </w:tc>
        <w:tc>
          <w:tcPr>
            <w:tcW w:w="1850" w:type="dxa"/>
            <w:noWrap w:val="0"/>
            <w:vAlign w:val="center"/>
          </w:tcPr>
          <w:p w14:paraId="54588889">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17" w:type="dxa"/>
            <w:vMerge w:val="continue"/>
            <w:noWrap w:val="0"/>
            <w:vAlign w:val="center"/>
          </w:tcPr>
          <w:p w14:paraId="237113A8">
            <w:pPr>
              <w:spacing w:line="300" w:lineRule="exact"/>
              <w:jc w:val="center"/>
              <w:rPr>
                <w:rFonts w:hint="eastAsia" w:ascii="宋体" w:hAnsi="宋体" w:eastAsia="宋体" w:cs="Times New Roman"/>
                <w:color w:val="auto"/>
                <w:sz w:val="21"/>
                <w:szCs w:val="21"/>
                <w:highlight w:val="none"/>
                <w:lang w:eastAsia="zh-CN"/>
              </w:rPr>
            </w:pPr>
          </w:p>
        </w:tc>
      </w:tr>
      <w:tr w14:paraId="4DD9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5155318B">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486A54A5">
            <w:pPr>
              <w:spacing w:line="300" w:lineRule="exact"/>
              <w:jc w:val="center"/>
              <w:rPr>
                <w:rFonts w:hint="eastAsia" w:ascii="宋体" w:hAnsi="宋体" w:eastAsia="宋体"/>
                <w:color w:val="auto"/>
                <w:sz w:val="21"/>
                <w:szCs w:val="21"/>
                <w:highlight w:val="none"/>
              </w:rPr>
            </w:pPr>
          </w:p>
        </w:tc>
        <w:tc>
          <w:tcPr>
            <w:tcW w:w="2066" w:type="dxa"/>
            <w:vMerge w:val="continue"/>
            <w:noWrap w:val="0"/>
            <w:vAlign w:val="center"/>
          </w:tcPr>
          <w:p w14:paraId="09008E6F">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6967EB74">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200</w:t>
            </w:r>
          </w:p>
        </w:tc>
        <w:tc>
          <w:tcPr>
            <w:tcW w:w="1850" w:type="dxa"/>
            <w:noWrap w:val="0"/>
            <w:vAlign w:val="center"/>
          </w:tcPr>
          <w:p w14:paraId="5E7695F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2000</w:t>
            </w:r>
          </w:p>
        </w:tc>
        <w:tc>
          <w:tcPr>
            <w:tcW w:w="1717" w:type="dxa"/>
            <w:vMerge w:val="continue"/>
            <w:noWrap w:val="0"/>
            <w:vAlign w:val="center"/>
          </w:tcPr>
          <w:p w14:paraId="75D92B2B">
            <w:pPr>
              <w:spacing w:line="300" w:lineRule="exact"/>
              <w:jc w:val="center"/>
              <w:rPr>
                <w:rFonts w:hint="eastAsia" w:ascii="宋体" w:hAnsi="宋体" w:eastAsia="宋体" w:cs="Times New Roman"/>
                <w:color w:val="auto"/>
                <w:sz w:val="21"/>
                <w:szCs w:val="21"/>
                <w:highlight w:val="none"/>
                <w:lang w:eastAsia="zh-CN"/>
              </w:rPr>
            </w:pPr>
          </w:p>
        </w:tc>
      </w:tr>
      <w:tr w14:paraId="1341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5FD2DCA9">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14:paraId="1AE43031">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14:paraId="6477740A">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7DAE19D2">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220</w:t>
            </w:r>
          </w:p>
        </w:tc>
        <w:tc>
          <w:tcPr>
            <w:tcW w:w="1850" w:type="dxa"/>
            <w:noWrap w:val="0"/>
            <w:vAlign w:val="center"/>
          </w:tcPr>
          <w:p w14:paraId="736D5C76">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2050</w:t>
            </w:r>
          </w:p>
        </w:tc>
        <w:tc>
          <w:tcPr>
            <w:tcW w:w="1717" w:type="dxa"/>
            <w:vMerge w:val="continue"/>
            <w:noWrap w:val="0"/>
            <w:vAlign w:val="top"/>
          </w:tcPr>
          <w:p w14:paraId="00219F11">
            <w:pPr>
              <w:spacing w:line="300" w:lineRule="exact"/>
              <w:jc w:val="center"/>
              <w:rPr>
                <w:rFonts w:hint="eastAsia" w:ascii="宋体" w:hAnsi="宋体" w:eastAsia="宋体" w:cs="Arial"/>
                <w:color w:val="auto"/>
                <w:sz w:val="21"/>
                <w:szCs w:val="21"/>
                <w:highlight w:val="none"/>
              </w:rPr>
            </w:pPr>
          </w:p>
        </w:tc>
      </w:tr>
      <w:tr w14:paraId="015E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2E49DF11">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14:paraId="170BC6E9">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14:paraId="7C3BD60D">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22B9D92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300</w:t>
            </w:r>
          </w:p>
        </w:tc>
        <w:tc>
          <w:tcPr>
            <w:tcW w:w="1850" w:type="dxa"/>
            <w:noWrap w:val="0"/>
            <w:vAlign w:val="center"/>
          </w:tcPr>
          <w:p w14:paraId="3E0B9836">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3220</w:t>
            </w:r>
          </w:p>
        </w:tc>
        <w:tc>
          <w:tcPr>
            <w:tcW w:w="1717" w:type="dxa"/>
            <w:vMerge w:val="continue"/>
            <w:noWrap w:val="0"/>
            <w:vAlign w:val="top"/>
          </w:tcPr>
          <w:p w14:paraId="3E8357A0">
            <w:pPr>
              <w:spacing w:line="300" w:lineRule="exact"/>
              <w:jc w:val="center"/>
              <w:rPr>
                <w:rFonts w:hint="eastAsia" w:ascii="宋体" w:hAnsi="宋体" w:eastAsia="宋体" w:cs="Arial"/>
                <w:color w:val="auto"/>
                <w:sz w:val="21"/>
                <w:szCs w:val="21"/>
                <w:highlight w:val="none"/>
              </w:rPr>
            </w:pPr>
          </w:p>
        </w:tc>
      </w:tr>
      <w:tr w14:paraId="345C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5CB39CC7">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14:paraId="213D3872">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14:paraId="5AB3BB0A">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7042C7B8">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w:t>
            </w:r>
          </w:p>
        </w:tc>
        <w:tc>
          <w:tcPr>
            <w:tcW w:w="1850" w:type="dxa"/>
            <w:noWrap w:val="0"/>
            <w:vAlign w:val="center"/>
          </w:tcPr>
          <w:p w14:paraId="0F9D331A">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3600</w:t>
            </w:r>
          </w:p>
        </w:tc>
        <w:tc>
          <w:tcPr>
            <w:tcW w:w="1717" w:type="dxa"/>
            <w:vMerge w:val="continue"/>
            <w:noWrap w:val="0"/>
            <w:vAlign w:val="top"/>
          </w:tcPr>
          <w:p w14:paraId="3A5D777B">
            <w:pPr>
              <w:spacing w:line="300" w:lineRule="exact"/>
              <w:jc w:val="center"/>
              <w:rPr>
                <w:rFonts w:hint="eastAsia" w:ascii="宋体" w:hAnsi="宋体" w:eastAsia="宋体" w:cs="Arial"/>
                <w:color w:val="auto"/>
                <w:sz w:val="21"/>
                <w:szCs w:val="21"/>
                <w:highlight w:val="none"/>
              </w:rPr>
            </w:pPr>
          </w:p>
        </w:tc>
      </w:tr>
      <w:tr w14:paraId="3A82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4915380D">
            <w:pPr>
              <w:spacing w:line="300" w:lineRule="exact"/>
              <w:jc w:val="center"/>
              <w:rPr>
                <w:rFonts w:hint="eastAsia" w:ascii="宋体" w:hAnsi="宋体" w:eastAsia="宋体" w:cs="Arial"/>
                <w:b/>
                <w:color w:val="auto"/>
                <w:sz w:val="22"/>
                <w:highlight w:val="none"/>
              </w:rPr>
            </w:pPr>
          </w:p>
        </w:tc>
        <w:tc>
          <w:tcPr>
            <w:tcW w:w="1220" w:type="dxa"/>
            <w:noWrap w:val="0"/>
            <w:vAlign w:val="center"/>
          </w:tcPr>
          <w:p w14:paraId="47B15ADD">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Times New Roman"/>
                <w:color w:val="auto"/>
                <w:sz w:val="21"/>
                <w:szCs w:val="21"/>
                <w:highlight w:val="none"/>
                <w:lang w:val="en-US" w:eastAsia="zh-CN"/>
              </w:rPr>
              <w:t>轮胎式液压单斗挖掘机</w:t>
            </w:r>
          </w:p>
        </w:tc>
        <w:tc>
          <w:tcPr>
            <w:tcW w:w="2066" w:type="dxa"/>
            <w:vMerge w:val="continue"/>
            <w:noWrap w:val="0"/>
            <w:vAlign w:val="center"/>
          </w:tcPr>
          <w:p w14:paraId="4C1FE1A0">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0C72D30F">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60型</w:t>
            </w:r>
          </w:p>
        </w:tc>
        <w:tc>
          <w:tcPr>
            <w:tcW w:w="1850" w:type="dxa"/>
            <w:noWrap w:val="0"/>
            <w:vAlign w:val="center"/>
          </w:tcPr>
          <w:p w14:paraId="771549A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1200</w:t>
            </w:r>
          </w:p>
        </w:tc>
        <w:tc>
          <w:tcPr>
            <w:tcW w:w="1717" w:type="dxa"/>
            <w:noWrap w:val="0"/>
            <w:vAlign w:val="top"/>
          </w:tcPr>
          <w:p w14:paraId="0AE04200">
            <w:pPr>
              <w:spacing w:line="300" w:lineRule="exact"/>
              <w:jc w:val="center"/>
              <w:rPr>
                <w:rFonts w:hint="eastAsia" w:ascii="宋体" w:hAnsi="宋体" w:eastAsia="宋体" w:cs="Arial"/>
                <w:color w:val="auto"/>
                <w:sz w:val="21"/>
                <w:szCs w:val="21"/>
                <w:highlight w:val="none"/>
              </w:rPr>
            </w:pPr>
          </w:p>
        </w:tc>
      </w:tr>
      <w:tr w14:paraId="1CED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046CD3F1">
            <w:pPr>
              <w:spacing w:line="300" w:lineRule="exact"/>
              <w:jc w:val="center"/>
              <w:rPr>
                <w:rFonts w:hint="eastAsia" w:ascii="宋体" w:hAnsi="宋体" w:eastAsia="宋体"/>
                <w:color w:val="auto"/>
                <w:sz w:val="22"/>
                <w:highlight w:val="none"/>
                <w:lang w:eastAsia="zh-CN"/>
              </w:rPr>
            </w:pPr>
            <w:r>
              <w:rPr>
                <w:rFonts w:hint="eastAsia" w:ascii="宋体" w:hAnsi="宋体" w:eastAsia="宋体"/>
                <w:color w:val="auto"/>
                <w:sz w:val="22"/>
                <w:highlight w:val="none"/>
                <w:lang w:eastAsia="zh-CN"/>
              </w:rPr>
              <w:t>二</w:t>
            </w:r>
          </w:p>
        </w:tc>
        <w:tc>
          <w:tcPr>
            <w:tcW w:w="1220" w:type="dxa"/>
            <w:vMerge w:val="restart"/>
            <w:noWrap w:val="0"/>
            <w:vAlign w:val="center"/>
          </w:tcPr>
          <w:p w14:paraId="30DD2237">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水陆两用挖掘机</w:t>
            </w:r>
          </w:p>
        </w:tc>
        <w:tc>
          <w:tcPr>
            <w:tcW w:w="2066" w:type="dxa"/>
            <w:vMerge w:val="restart"/>
            <w:noWrap w:val="0"/>
            <w:vAlign w:val="center"/>
          </w:tcPr>
          <w:p w14:paraId="1A7071A0">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小松、日立、加藤、神钢、卡特、大宇、现代</w:t>
            </w:r>
            <w:r>
              <w:rPr>
                <w:rFonts w:hint="eastAsia" w:ascii="宋体" w:hAnsi="宋体" w:eastAsia="宋体"/>
                <w:color w:val="auto"/>
                <w:sz w:val="21"/>
                <w:szCs w:val="21"/>
                <w:highlight w:val="none"/>
                <w:lang w:val="en-US" w:eastAsia="zh-CN"/>
              </w:rPr>
              <w:t>或相当于</w:t>
            </w:r>
          </w:p>
        </w:tc>
        <w:tc>
          <w:tcPr>
            <w:tcW w:w="1602" w:type="dxa"/>
            <w:noWrap w:val="0"/>
            <w:vAlign w:val="center"/>
          </w:tcPr>
          <w:p w14:paraId="6AD17604">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220-260</w:t>
            </w:r>
          </w:p>
        </w:tc>
        <w:tc>
          <w:tcPr>
            <w:tcW w:w="1850" w:type="dxa"/>
            <w:noWrap w:val="0"/>
            <w:vAlign w:val="center"/>
          </w:tcPr>
          <w:p w14:paraId="34448844">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3600</w:t>
            </w:r>
          </w:p>
        </w:tc>
        <w:tc>
          <w:tcPr>
            <w:tcW w:w="1717" w:type="dxa"/>
            <w:noWrap w:val="0"/>
            <w:vAlign w:val="center"/>
          </w:tcPr>
          <w:p w14:paraId="5064B00C">
            <w:pPr>
              <w:spacing w:line="300" w:lineRule="exact"/>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具体型号根据</w:t>
            </w:r>
            <w:r>
              <w:rPr>
                <w:rFonts w:hint="eastAsia" w:ascii="宋体" w:hAnsi="宋体"/>
                <w:color w:val="auto"/>
                <w:sz w:val="21"/>
                <w:szCs w:val="21"/>
                <w:highlight w:val="none"/>
                <w:lang w:eastAsia="zh-CN"/>
              </w:rPr>
              <w:t>招标人</w:t>
            </w:r>
            <w:r>
              <w:rPr>
                <w:rFonts w:hint="eastAsia" w:ascii="宋体" w:hAnsi="宋体" w:eastAsia="宋体"/>
                <w:color w:val="auto"/>
                <w:sz w:val="21"/>
                <w:szCs w:val="21"/>
                <w:highlight w:val="none"/>
                <w:lang w:eastAsia="zh-CN"/>
              </w:rPr>
              <w:t>需求提供</w:t>
            </w:r>
          </w:p>
        </w:tc>
      </w:tr>
      <w:tr w14:paraId="60B6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25BCFF33">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三</w:t>
            </w:r>
          </w:p>
        </w:tc>
        <w:tc>
          <w:tcPr>
            <w:tcW w:w="1220" w:type="dxa"/>
            <w:vMerge w:val="restart"/>
            <w:noWrap w:val="0"/>
            <w:vAlign w:val="center"/>
          </w:tcPr>
          <w:p w14:paraId="0D44FB2C">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吊车</w:t>
            </w:r>
          </w:p>
        </w:tc>
        <w:tc>
          <w:tcPr>
            <w:tcW w:w="2066" w:type="dxa"/>
            <w:vMerge w:val="restart"/>
            <w:noWrap w:val="0"/>
            <w:vAlign w:val="center"/>
          </w:tcPr>
          <w:p w14:paraId="5D82E266">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浦沅、徐工、三一、马尼托瓦克、中联重科、长江或相当于</w:t>
            </w:r>
          </w:p>
        </w:tc>
        <w:tc>
          <w:tcPr>
            <w:tcW w:w="1602" w:type="dxa"/>
            <w:noWrap w:val="0"/>
            <w:vAlign w:val="center"/>
          </w:tcPr>
          <w:p w14:paraId="3B72C430">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8吨</w:t>
            </w:r>
          </w:p>
        </w:tc>
        <w:tc>
          <w:tcPr>
            <w:tcW w:w="1850" w:type="dxa"/>
            <w:noWrap w:val="0"/>
            <w:vAlign w:val="center"/>
          </w:tcPr>
          <w:p w14:paraId="59E3CD83">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1100</w:t>
            </w:r>
          </w:p>
        </w:tc>
        <w:tc>
          <w:tcPr>
            <w:tcW w:w="1717" w:type="dxa"/>
            <w:noWrap w:val="0"/>
            <w:vAlign w:val="top"/>
          </w:tcPr>
          <w:p w14:paraId="4130A217">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小时按400元/次计</w:t>
            </w:r>
          </w:p>
        </w:tc>
      </w:tr>
      <w:tr w14:paraId="212F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2E822B08">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0D83E5E5">
            <w:pPr>
              <w:spacing w:line="300" w:lineRule="exact"/>
              <w:jc w:val="center"/>
              <w:rPr>
                <w:rFonts w:hint="eastAsia" w:ascii="宋体" w:hAnsi="宋体" w:eastAsia="宋体" w:cs="Times New Roman"/>
                <w:color w:val="auto"/>
                <w:sz w:val="21"/>
                <w:szCs w:val="21"/>
                <w:highlight w:val="none"/>
              </w:rPr>
            </w:pPr>
          </w:p>
        </w:tc>
        <w:tc>
          <w:tcPr>
            <w:tcW w:w="2066" w:type="dxa"/>
            <w:vMerge w:val="continue"/>
            <w:noWrap w:val="0"/>
            <w:vAlign w:val="center"/>
          </w:tcPr>
          <w:p w14:paraId="292128AF">
            <w:pPr>
              <w:spacing w:line="300" w:lineRule="exact"/>
              <w:jc w:val="center"/>
              <w:rPr>
                <w:rFonts w:hint="eastAsia" w:ascii="宋体" w:hAnsi="宋体" w:eastAsia="宋体" w:cs="Times New Roman"/>
                <w:color w:val="auto"/>
                <w:sz w:val="21"/>
                <w:szCs w:val="21"/>
                <w:highlight w:val="none"/>
              </w:rPr>
            </w:pPr>
          </w:p>
        </w:tc>
        <w:tc>
          <w:tcPr>
            <w:tcW w:w="1602" w:type="dxa"/>
            <w:noWrap w:val="0"/>
            <w:vAlign w:val="center"/>
          </w:tcPr>
          <w:p w14:paraId="3AD6F60C">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16吨</w:t>
            </w:r>
          </w:p>
        </w:tc>
        <w:tc>
          <w:tcPr>
            <w:tcW w:w="1850" w:type="dxa"/>
            <w:noWrap w:val="0"/>
            <w:vAlign w:val="center"/>
          </w:tcPr>
          <w:p w14:paraId="7C838FCE">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1500</w:t>
            </w:r>
          </w:p>
        </w:tc>
        <w:tc>
          <w:tcPr>
            <w:tcW w:w="1717" w:type="dxa"/>
            <w:noWrap w:val="0"/>
            <w:vAlign w:val="top"/>
          </w:tcPr>
          <w:p w14:paraId="4E5F24E3">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63BC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7F87D43A">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21E7C4E9">
            <w:pPr>
              <w:spacing w:line="300" w:lineRule="exact"/>
              <w:jc w:val="center"/>
              <w:rPr>
                <w:rFonts w:hint="eastAsia" w:ascii="宋体" w:hAnsi="宋体" w:eastAsia="宋体" w:cs="Times New Roman"/>
                <w:color w:val="auto"/>
                <w:sz w:val="21"/>
                <w:szCs w:val="21"/>
                <w:highlight w:val="none"/>
              </w:rPr>
            </w:pPr>
          </w:p>
        </w:tc>
        <w:tc>
          <w:tcPr>
            <w:tcW w:w="2066" w:type="dxa"/>
            <w:vMerge w:val="continue"/>
            <w:noWrap w:val="0"/>
            <w:vAlign w:val="center"/>
          </w:tcPr>
          <w:p w14:paraId="6A30B928">
            <w:pPr>
              <w:spacing w:line="300" w:lineRule="exact"/>
              <w:jc w:val="center"/>
              <w:rPr>
                <w:rFonts w:hint="eastAsia" w:ascii="宋体" w:hAnsi="宋体" w:eastAsia="宋体" w:cs="Times New Roman"/>
                <w:color w:val="auto"/>
                <w:sz w:val="21"/>
                <w:szCs w:val="21"/>
                <w:highlight w:val="none"/>
              </w:rPr>
            </w:pPr>
          </w:p>
        </w:tc>
        <w:tc>
          <w:tcPr>
            <w:tcW w:w="1602" w:type="dxa"/>
            <w:noWrap w:val="0"/>
            <w:vAlign w:val="center"/>
          </w:tcPr>
          <w:p w14:paraId="3C3BC22B">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25吨</w:t>
            </w:r>
          </w:p>
        </w:tc>
        <w:tc>
          <w:tcPr>
            <w:tcW w:w="1850" w:type="dxa"/>
            <w:noWrap w:val="0"/>
            <w:vAlign w:val="center"/>
          </w:tcPr>
          <w:p w14:paraId="409186BA">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1700</w:t>
            </w:r>
          </w:p>
        </w:tc>
        <w:tc>
          <w:tcPr>
            <w:tcW w:w="1717" w:type="dxa"/>
            <w:noWrap w:val="0"/>
            <w:vAlign w:val="top"/>
          </w:tcPr>
          <w:p w14:paraId="0C511211">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3D54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0AEB2929">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四</w:t>
            </w:r>
          </w:p>
        </w:tc>
        <w:tc>
          <w:tcPr>
            <w:tcW w:w="1220" w:type="dxa"/>
            <w:vMerge w:val="restart"/>
            <w:noWrap w:val="0"/>
            <w:vAlign w:val="center"/>
          </w:tcPr>
          <w:p w14:paraId="538A3779">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汽车类</w:t>
            </w:r>
          </w:p>
        </w:tc>
        <w:tc>
          <w:tcPr>
            <w:tcW w:w="2066" w:type="dxa"/>
            <w:vMerge w:val="restart"/>
            <w:noWrap w:val="0"/>
            <w:vAlign w:val="center"/>
          </w:tcPr>
          <w:p w14:paraId="1DFBAD19">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彪马、东风、解放、江淮、欧曼</w:t>
            </w:r>
            <w:r>
              <w:rPr>
                <w:rFonts w:hint="eastAsia" w:ascii="宋体" w:hAnsi="宋体" w:eastAsia="宋体" w:cs="Times New Roman"/>
                <w:color w:val="auto"/>
                <w:sz w:val="21"/>
                <w:szCs w:val="21"/>
                <w:highlight w:val="none"/>
                <w:lang w:val="en-US" w:eastAsia="zh-CN"/>
              </w:rPr>
              <w:t>或相当于</w:t>
            </w:r>
          </w:p>
        </w:tc>
        <w:tc>
          <w:tcPr>
            <w:tcW w:w="1602" w:type="dxa"/>
            <w:noWrap w:val="0"/>
            <w:vAlign w:val="center"/>
          </w:tcPr>
          <w:p w14:paraId="051AEA82">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1.5吨-</w:t>
            </w:r>
            <w:r>
              <w:rPr>
                <w:rFonts w:hint="eastAsia" w:ascii="宋体" w:hAnsi="宋体" w:eastAsia="宋体" w:cs="Times New Roman"/>
                <w:color w:val="auto"/>
                <w:sz w:val="21"/>
                <w:szCs w:val="21"/>
                <w:highlight w:val="none"/>
              </w:rPr>
              <w:t>2吨</w:t>
            </w:r>
          </w:p>
        </w:tc>
        <w:tc>
          <w:tcPr>
            <w:tcW w:w="1850" w:type="dxa"/>
            <w:noWrap w:val="0"/>
            <w:vAlign w:val="center"/>
          </w:tcPr>
          <w:p w14:paraId="66D9C4DE">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550</w:t>
            </w:r>
          </w:p>
        </w:tc>
        <w:tc>
          <w:tcPr>
            <w:tcW w:w="1717" w:type="dxa"/>
            <w:noWrap w:val="0"/>
            <w:vAlign w:val="center"/>
          </w:tcPr>
          <w:p w14:paraId="64B83923">
            <w:pPr>
              <w:spacing w:line="300" w:lineRule="exact"/>
              <w:jc w:val="center"/>
              <w:rPr>
                <w:rFonts w:hint="eastAsia" w:ascii="宋体" w:hAnsi="宋体" w:eastAsia="宋体" w:cs="Times New Roman"/>
                <w:color w:val="auto"/>
                <w:sz w:val="21"/>
                <w:szCs w:val="21"/>
                <w:highlight w:val="none"/>
              </w:rPr>
            </w:pPr>
          </w:p>
        </w:tc>
      </w:tr>
      <w:tr w14:paraId="1089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0488085A">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33537490">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41FA8E70">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3E6E43C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10吨</w:t>
            </w:r>
          </w:p>
        </w:tc>
        <w:tc>
          <w:tcPr>
            <w:tcW w:w="1850" w:type="dxa"/>
            <w:noWrap w:val="0"/>
            <w:vAlign w:val="center"/>
          </w:tcPr>
          <w:p w14:paraId="731514A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900</w:t>
            </w:r>
          </w:p>
        </w:tc>
        <w:tc>
          <w:tcPr>
            <w:tcW w:w="1717" w:type="dxa"/>
            <w:noWrap w:val="0"/>
            <w:vAlign w:val="center"/>
          </w:tcPr>
          <w:p w14:paraId="09B564DE">
            <w:pPr>
              <w:spacing w:line="300" w:lineRule="exact"/>
              <w:jc w:val="center"/>
              <w:rPr>
                <w:rFonts w:hint="eastAsia" w:ascii="宋体" w:hAnsi="宋体" w:eastAsia="宋体" w:cs="Arial"/>
                <w:color w:val="auto"/>
                <w:sz w:val="21"/>
                <w:szCs w:val="21"/>
                <w:highlight w:val="none"/>
              </w:rPr>
            </w:pPr>
          </w:p>
        </w:tc>
      </w:tr>
      <w:tr w14:paraId="07B0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0CBC9F22">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70F031EE">
            <w:pPr>
              <w:spacing w:line="300" w:lineRule="exact"/>
              <w:jc w:val="center"/>
              <w:rPr>
                <w:rFonts w:hint="eastAsia" w:ascii="宋体" w:hAnsi="宋体" w:eastAsia="宋体" w:cs="Arial"/>
                <w:color w:val="auto"/>
                <w:sz w:val="21"/>
                <w:szCs w:val="21"/>
                <w:highlight w:val="none"/>
              </w:rPr>
            </w:pPr>
          </w:p>
        </w:tc>
        <w:tc>
          <w:tcPr>
            <w:tcW w:w="2066" w:type="dxa"/>
            <w:noWrap w:val="0"/>
            <w:vAlign w:val="center"/>
          </w:tcPr>
          <w:p w14:paraId="4F6775A9">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轻型卡车</w:t>
            </w:r>
          </w:p>
        </w:tc>
        <w:tc>
          <w:tcPr>
            <w:tcW w:w="1602" w:type="dxa"/>
            <w:noWrap w:val="0"/>
            <w:vAlign w:val="center"/>
          </w:tcPr>
          <w:p w14:paraId="61B6F13D">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2吨</w:t>
            </w:r>
          </w:p>
        </w:tc>
        <w:tc>
          <w:tcPr>
            <w:tcW w:w="1850" w:type="dxa"/>
            <w:noWrap w:val="0"/>
            <w:vAlign w:val="center"/>
          </w:tcPr>
          <w:p w14:paraId="2E322BEC">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550</w:t>
            </w:r>
          </w:p>
        </w:tc>
        <w:tc>
          <w:tcPr>
            <w:tcW w:w="1717" w:type="dxa"/>
            <w:noWrap w:val="0"/>
            <w:vAlign w:val="center"/>
          </w:tcPr>
          <w:p w14:paraId="2F0B4A37">
            <w:pPr>
              <w:spacing w:line="300" w:lineRule="exact"/>
              <w:jc w:val="center"/>
              <w:rPr>
                <w:rFonts w:hint="eastAsia" w:ascii="宋体" w:hAnsi="宋体" w:eastAsia="宋体" w:cs="Arial"/>
                <w:color w:val="auto"/>
                <w:sz w:val="21"/>
                <w:szCs w:val="21"/>
                <w:highlight w:val="none"/>
              </w:rPr>
            </w:pPr>
          </w:p>
        </w:tc>
      </w:tr>
      <w:tr w14:paraId="28B1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noWrap w:val="0"/>
            <w:vAlign w:val="center"/>
          </w:tcPr>
          <w:p w14:paraId="323CB875">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五</w:t>
            </w:r>
          </w:p>
        </w:tc>
        <w:tc>
          <w:tcPr>
            <w:tcW w:w="1220" w:type="dxa"/>
            <w:noWrap w:val="0"/>
            <w:vAlign w:val="center"/>
          </w:tcPr>
          <w:p w14:paraId="0A3EA0CA">
            <w:pPr>
              <w:spacing w:line="300" w:lineRule="exact"/>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拖车类</w:t>
            </w:r>
          </w:p>
        </w:tc>
        <w:tc>
          <w:tcPr>
            <w:tcW w:w="2066" w:type="dxa"/>
            <w:noWrap w:val="0"/>
            <w:vAlign w:val="center"/>
          </w:tcPr>
          <w:p w14:paraId="67BFC1F7">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602" w:type="dxa"/>
            <w:noWrap w:val="0"/>
            <w:vAlign w:val="center"/>
          </w:tcPr>
          <w:p w14:paraId="48F3975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40吨平板拖车</w:t>
            </w:r>
          </w:p>
        </w:tc>
        <w:tc>
          <w:tcPr>
            <w:tcW w:w="1850" w:type="dxa"/>
            <w:noWrap w:val="0"/>
            <w:vAlign w:val="center"/>
          </w:tcPr>
          <w:p w14:paraId="5981BA0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2800</w:t>
            </w:r>
          </w:p>
        </w:tc>
        <w:tc>
          <w:tcPr>
            <w:tcW w:w="1717" w:type="dxa"/>
            <w:noWrap w:val="0"/>
            <w:vAlign w:val="center"/>
          </w:tcPr>
          <w:p w14:paraId="49305DF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不足3小时按400元/次计</w:t>
            </w:r>
          </w:p>
        </w:tc>
      </w:tr>
      <w:tr w14:paraId="17A2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2868D0A9">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六</w:t>
            </w:r>
          </w:p>
        </w:tc>
        <w:tc>
          <w:tcPr>
            <w:tcW w:w="1220" w:type="dxa"/>
            <w:vMerge w:val="restart"/>
            <w:noWrap w:val="0"/>
            <w:vAlign w:val="center"/>
          </w:tcPr>
          <w:p w14:paraId="690E23D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铲车（轮式装载机）</w:t>
            </w:r>
          </w:p>
        </w:tc>
        <w:tc>
          <w:tcPr>
            <w:tcW w:w="2066" w:type="dxa"/>
            <w:vMerge w:val="restart"/>
            <w:noWrap w:val="0"/>
            <w:vAlign w:val="center"/>
          </w:tcPr>
          <w:p w14:paraId="0105B059">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柳工、龙工、厦工、徐工、临工</w:t>
            </w:r>
            <w:r>
              <w:rPr>
                <w:rFonts w:hint="eastAsia" w:ascii="宋体" w:hAnsi="宋体" w:eastAsia="宋体"/>
                <w:color w:val="auto"/>
                <w:sz w:val="21"/>
                <w:szCs w:val="21"/>
                <w:highlight w:val="none"/>
                <w:lang w:val="en-US" w:eastAsia="zh-CN"/>
              </w:rPr>
              <w:t>或相当于</w:t>
            </w:r>
          </w:p>
        </w:tc>
        <w:tc>
          <w:tcPr>
            <w:tcW w:w="1602" w:type="dxa"/>
            <w:noWrap w:val="0"/>
            <w:vAlign w:val="center"/>
          </w:tcPr>
          <w:p w14:paraId="00E5907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12型小铲车</w:t>
            </w:r>
          </w:p>
        </w:tc>
        <w:tc>
          <w:tcPr>
            <w:tcW w:w="1850" w:type="dxa"/>
            <w:noWrap w:val="0"/>
            <w:vAlign w:val="center"/>
          </w:tcPr>
          <w:p w14:paraId="7E2F3D3D">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520</w:t>
            </w:r>
          </w:p>
        </w:tc>
        <w:tc>
          <w:tcPr>
            <w:tcW w:w="1717" w:type="dxa"/>
            <w:noWrap w:val="0"/>
            <w:vAlign w:val="center"/>
          </w:tcPr>
          <w:p w14:paraId="241A5FD2">
            <w:pPr>
              <w:spacing w:line="300" w:lineRule="exact"/>
              <w:jc w:val="center"/>
              <w:rPr>
                <w:rFonts w:hint="eastAsia" w:ascii="宋体" w:hAnsi="宋体" w:eastAsia="宋体" w:cs="Arial"/>
                <w:color w:val="auto"/>
                <w:sz w:val="21"/>
                <w:szCs w:val="21"/>
                <w:highlight w:val="none"/>
              </w:rPr>
            </w:pPr>
          </w:p>
        </w:tc>
      </w:tr>
      <w:tr w14:paraId="5CB4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24972D86">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68CEB594">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3BA0C954">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7369C55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18型小铲车</w:t>
            </w:r>
          </w:p>
        </w:tc>
        <w:tc>
          <w:tcPr>
            <w:tcW w:w="1850" w:type="dxa"/>
            <w:noWrap w:val="0"/>
            <w:vAlign w:val="center"/>
          </w:tcPr>
          <w:p w14:paraId="1DAF900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664</w:t>
            </w:r>
          </w:p>
        </w:tc>
        <w:tc>
          <w:tcPr>
            <w:tcW w:w="1717" w:type="dxa"/>
            <w:noWrap w:val="0"/>
            <w:vAlign w:val="center"/>
          </w:tcPr>
          <w:p w14:paraId="438F4CD3">
            <w:pPr>
              <w:spacing w:line="300" w:lineRule="exact"/>
              <w:jc w:val="center"/>
              <w:rPr>
                <w:rFonts w:hint="eastAsia" w:ascii="宋体" w:hAnsi="宋体" w:eastAsia="宋体" w:cs="Arial"/>
                <w:color w:val="auto"/>
                <w:sz w:val="21"/>
                <w:szCs w:val="21"/>
                <w:highlight w:val="none"/>
              </w:rPr>
            </w:pPr>
          </w:p>
        </w:tc>
      </w:tr>
      <w:tr w14:paraId="0FE0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514692B4">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21D51A27">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7815E67D">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27FF611A">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30型小铲车</w:t>
            </w:r>
          </w:p>
        </w:tc>
        <w:tc>
          <w:tcPr>
            <w:tcW w:w="1850" w:type="dxa"/>
            <w:noWrap w:val="0"/>
            <w:vAlign w:val="center"/>
          </w:tcPr>
          <w:p w14:paraId="613F9D0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904</w:t>
            </w:r>
          </w:p>
        </w:tc>
        <w:tc>
          <w:tcPr>
            <w:tcW w:w="1717" w:type="dxa"/>
            <w:noWrap w:val="0"/>
            <w:vAlign w:val="center"/>
          </w:tcPr>
          <w:p w14:paraId="123CADBD">
            <w:pPr>
              <w:spacing w:line="300" w:lineRule="exact"/>
              <w:jc w:val="center"/>
              <w:rPr>
                <w:rFonts w:hint="eastAsia" w:ascii="宋体" w:hAnsi="宋体" w:eastAsia="宋体" w:cs="Arial"/>
                <w:color w:val="auto"/>
                <w:sz w:val="21"/>
                <w:szCs w:val="21"/>
                <w:highlight w:val="none"/>
              </w:rPr>
            </w:pPr>
          </w:p>
        </w:tc>
      </w:tr>
      <w:tr w14:paraId="5345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736EB3A1">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36FAEF51">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1C57E6F5">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1501E41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50型铲车</w:t>
            </w:r>
          </w:p>
        </w:tc>
        <w:tc>
          <w:tcPr>
            <w:tcW w:w="1850" w:type="dxa"/>
            <w:noWrap w:val="0"/>
            <w:vAlign w:val="center"/>
          </w:tcPr>
          <w:p w14:paraId="781EE08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1980</w:t>
            </w:r>
          </w:p>
        </w:tc>
        <w:tc>
          <w:tcPr>
            <w:tcW w:w="1717" w:type="dxa"/>
            <w:noWrap w:val="0"/>
            <w:vAlign w:val="center"/>
          </w:tcPr>
          <w:p w14:paraId="546F838E">
            <w:pPr>
              <w:spacing w:line="300" w:lineRule="exact"/>
              <w:jc w:val="center"/>
              <w:rPr>
                <w:rFonts w:hint="eastAsia" w:ascii="宋体" w:hAnsi="宋体" w:eastAsia="宋体" w:cs="Arial"/>
                <w:color w:val="auto"/>
                <w:sz w:val="21"/>
                <w:szCs w:val="21"/>
                <w:highlight w:val="none"/>
              </w:rPr>
            </w:pPr>
          </w:p>
        </w:tc>
      </w:tr>
      <w:tr w14:paraId="3EF5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5519897F">
            <w:pPr>
              <w:spacing w:line="300" w:lineRule="exact"/>
              <w:jc w:val="center"/>
              <w:rPr>
                <w:rFonts w:hint="eastAsia"/>
                <w:color w:val="auto"/>
                <w:highlight w:val="none"/>
              </w:rPr>
            </w:pPr>
            <w:r>
              <w:rPr>
                <w:rFonts w:hint="eastAsia" w:ascii="宋体" w:hAnsi="宋体" w:eastAsia="宋体" w:cs="Arial"/>
                <w:color w:val="auto"/>
                <w:sz w:val="22"/>
                <w:highlight w:val="none"/>
                <w:lang w:val="en-US" w:eastAsia="zh-CN"/>
              </w:rPr>
              <w:t>七</w:t>
            </w:r>
          </w:p>
        </w:tc>
        <w:tc>
          <w:tcPr>
            <w:tcW w:w="1220" w:type="dxa"/>
            <w:vMerge w:val="restart"/>
            <w:noWrap w:val="0"/>
            <w:vAlign w:val="center"/>
          </w:tcPr>
          <w:p w14:paraId="765EF27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推土机</w:t>
            </w:r>
          </w:p>
        </w:tc>
        <w:tc>
          <w:tcPr>
            <w:tcW w:w="2066" w:type="dxa"/>
            <w:vMerge w:val="restart"/>
            <w:noWrap w:val="0"/>
            <w:vAlign w:val="center"/>
          </w:tcPr>
          <w:p w14:paraId="66AF5F5F">
            <w:pPr>
              <w:spacing w:line="300" w:lineRule="exact"/>
              <w:jc w:val="center"/>
              <w:rPr>
                <w:rFonts w:hint="eastAsia" w:ascii="宋体" w:hAnsi="宋体" w:eastAsia="宋体"/>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山推</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移山</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卡特彼勒</w:t>
            </w:r>
            <w:r>
              <w:rPr>
                <w:rFonts w:hint="eastAsia" w:ascii="宋体" w:hAnsi="宋体" w:eastAsia="宋体" w:cs="Times New Roman"/>
                <w:color w:val="auto"/>
                <w:sz w:val="21"/>
                <w:szCs w:val="21"/>
                <w:highlight w:val="none"/>
                <w:lang w:eastAsia="zh-CN"/>
              </w:rPr>
              <w:t>、中联重科</w:t>
            </w:r>
            <w:r>
              <w:rPr>
                <w:rFonts w:hint="eastAsia" w:ascii="宋体" w:hAnsi="宋体" w:eastAsia="宋体" w:cs="Times New Roman"/>
                <w:color w:val="auto"/>
                <w:sz w:val="21"/>
                <w:szCs w:val="21"/>
                <w:highlight w:val="none"/>
                <w:lang w:val="en-US" w:eastAsia="zh-CN"/>
              </w:rPr>
              <w:t>或相当</w:t>
            </w:r>
            <w:r>
              <w:rPr>
                <w:rFonts w:hint="eastAsia" w:ascii="宋体" w:hAnsi="宋体" w:eastAsia="宋体" w:cs="Arial"/>
                <w:color w:val="auto"/>
                <w:sz w:val="21"/>
                <w:szCs w:val="21"/>
                <w:highlight w:val="none"/>
                <w:lang w:val="en-US" w:eastAsia="zh-CN"/>
              </w:rPr>
              <w:t>于</w:t>
            </w:r>
          </w:p>
        </w:tc>
        <w:tc>
          <w:tcPr>
            <w:tcW w:w="1602" w:type="dxa"/>
            <w:noWrap w:val="0"/>
            <w:vAlign w:val="center"/>
          </w:tcPr>
          <w:p w14:paraId="06C965BD">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95kw</w:t>
            </w:r>
          </w:p>
        </w:tc>
        <w:tc>
          <w:tcPr>
            <w:tcW w:w="1850" w:type="dxa"/>
            <w:noWrap w:val="0"/>
            <w:vAlign w:val="center"/>
          </w:tcPr>
          <w:p w14:paraId="5BA935BC">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2413</w:t>
            </w:r>
          </w:p>
        </w:tc>
        <w:tc>
          <w:tcPr>
            <w:tcW w:w="1717" w:type="dxa"/>
            <w:noWrap w:val="0"/>
            <w:vAlign w:val="center"/>
          </w:tcPr>
          <w:p w14:paraId="35B38231">
            <w:pPr>
              <w:spacing w:line="300" w:lineRule="exact"/>
              <w:jc w:val="center"/>
              <w:rPr>
                <w:rFonts w:hint="eastAsia" w:ascii="宋体" w:hAnsi="宋体" w:eastAsia="宋体" w:cs="Arial"/>
                <w:color w:val="auto"/>
                <w:sz w:val="21"/>
                <w:szCs w:val="21"/>
                <w:highlight w:val="none"/>
              </w:rPr>
            </w:pPr>
          </w:p>
        </w:tc>
      </w:tr>
      <w:tr w14:paraId="2002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4D40D44B">
            <w:pPr>
              <w:pStyle w:val="25"/>
              <w:jc w:val="center"/>
              <w:rPr>
                <w:rFonts w:hint="eastAsia"/>
                <w:color w:val="auto"/>
                <w:highlight w:val="none"/>
              </w:rPr>
            </w:pPr>
          </w:p>
        </w:tc>
        <w:tc>
          <w:tcPr>
            <w:tcW w:w="1220" w:type="dxa"/>
            <w:vMerge w:val="continue"/>
            <w:noWrap w:val="0"/>
            <w:vAlign w:val="center"/>
          </w:tcPr>
          <w:p w14:paraId="6FE3AC0A">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11C1578E">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610AAD40">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131kw</w:t>
            </w:r>
          </w:p>
        </w:tc>
        <w:tc>
          <w:tcPr>
            <w:tcW w:w="1850" w:type="dxa"/>
            <w:noWrap w:val="0"/>
            <w:vAlign w:val="center"/>
          </w:tcPr>
          <w:p w14:paraId="61DA9A8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3313</w:t>
            </w:r>
          </w:p>
        </w:tc>
        <w:tc>
          <w:tcPr>
            <w:tcW w:w="1717" w:type="dxa"/>
            <w:noWrap w:val="0"/>
            <w:vAlign w:val="center"/>
          </w:tcPr>
          <w:p w14:paraId="313EC306">
            <w:pPr>
              <w:spacing w:line="300" w:lineRule="exact"/>
              <w:jc w:val="center"/>
              <w:rPr>
                <w:rFonts w:hint="eastAsia" w:ascii="宋体" w:hAnsi="宋体" w:eastAsia="宋体" w:cs="Arial"/>
                <w:color w:val="auto"/>
                <w:sz w:val="21"/>
                <w:szCs w:val="21"/>
                <w:highlight w:val="none"/>
              </w:rPr>
            </w:pPr>
          </w:p>
        </w:tc>
      </w:tr>
      <w:tr w14:paraId="29AB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6C6262CB">
            <w:pPr>
              <w:pStyle w:val="25"/>
              <w:jc w:val="center"/>
              <w:rPr>
                <w:rFonts w:hint="eastAsia"/>
                <w:color w:val="auto"/>
                <w:highlight w:val="none"/>
              </w:rPr>
            </w:pPr>
          </w:p>
        </w:tc>
        <w:tc>
          <w:tcPr>
            <w:tcW w:w="1220" w:type="dxa"/>
            <w:vMerge w:val="continue"/>
            <w:noWrap w:val="0"/>
            <w:vAlign w:val="center"/>
          </w:tcPr>
          <w:p w14:paraId="6BE0F261">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7EDF3E17">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7A5B2D5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175kW</w:t>
            </w:r>
          </w:p>
        </w:tc>
        <w:tc>
          <w:tcPr>
            <w:tcW w:w="1850" w:type="dxa"/>
            <w:noWrap w:val="0"/>
            <w:vAlign w:val="center"/>
          </w:tcPr>
          <w:p w14:paraId="3B472E8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3947</w:t>
            </w:r>
          </w:p>
        </w:tc>
        <w:tc>
          <w:tcPr>
            <w:tcW w:w="1717" w:type="dxa"/>
            <w:noWrap w:val="0"/>
            <w:vAlign w:val="center"/>
          </w:tcPr>
          <w:p w14:paraId="325869BC">
            <w:pPr>
              <w:spacing w:line="300" w:lineRule="exact"/>
              <w:jc w:val="center"/>
              <w:rPr>
                <w:rFonts w:hint="eastAsia" w:ascii="宋体" w:hAnsi="宋体" w:eastAsia="宋体" w:cs="Arial"/>
                <w:color w:val="auto"/>
                <w:sz w:val="21"/>
                <w:szCs w:val="21"/>
                <w:highlight w:val="none"/>
              </w:rPr>
            </w:pPr>
          </w:p>
        </w:tc>
      </w:tr>
      <w:tr w14:paraId="35E4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1901286A">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val="en-US" w:eastAsia="zh-CN"/>
              </w:rPr>
              <w:t>八</w:t>
            </w:r>
          </w:p>
        </w:tc>
        <w:tc>
          <w:tcPr>
            <w:tcW w:w="1220" w:type="dxa"/>
            <w:noWrap w:val="0"/>
            <w:vAlign w:val="center"/>
          </w:tcPr>
          <w:p w14:paraId="661A58ED">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翻耕机</w:t>
            </w:r>
          </w:p>
        </w:tc>
        <w:tc>
          <w:tcPr>
            <w:tcW w:w="2066" w:type="dxa"/>
            <w:noWrap w:val="0"/>
            <w:vAlign w:val="center"/>
          </w:tcPr>
          <w:p w14:paraId="7C3395C7">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02" w:type="dxa"/>
            <w:noWrap w:val="0"/>
            <w:vAlign w:val="center"/>
          </w:tcPr>
          <w:p w14:paraId="489FFDC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2BED2931">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60</w:t>
            </w:r>
            <w:r>
              <w:rPr>
                <w:rFonts w:hint="eastAsia" w:ascii="宋体" w:hAnsi="宋体" w:eastAsia="宋体" w:cs="Arial"/>
                <w:color w:val="auto"/>
                <w:sz w:val="21"/>
                <w:szCs w:val="21"/>
                <w:highlight w:val="none"/>
              </w:rPr>
              <w:t>元/亩/次</w:t>
            </w:r>
          </w:p>
        </w:tc>
        <w:tc>
          <w:tcPr>
            <w:tcW w:w="1717" w:type="dxa"/>
            <w:noWrap w:val="0"/>
            <w:vAlign w:val="center"/>
          </w:tcPr>
          <w:p w14:paraId="69FF9C60">
            <w:pPr>
              <w:spacing w:line="300" w:lineRule="exact"/>
              <w:jc w:val="center"/>
              <w:rPr>
                <w:rFonts w:hint="eastAsia" w:ascii="宋体" w:hAnsi="宋体" w:eastAsia="宋体" w:cs="Arial"/>
                <w:color w:val="auto"/>
                <w:sz w:val="21"/>
                <w:szCs w:val="21"/>
                <w:highlight w:val="none"/>
              </w:rPr>
            </w:pPr>
            <w:r>
              <w:rPr>
                <w:rFonts w:hint="eastAsia" w:ascii="宋体" w:hAnsi="宋体" w:cs="Arial"/>
                <w:color w:val="auto"/>
                <w:sz w:val="21"/>
                <w:szCs w:val="21"/>
                <w:highlight w:val="none"/>
                <w:lang w:val="en-US" w:eastAsia="zh-CN"/>
              </w:rPr>
              <w:t>土地整理</w:t>
            </w:r>
          </w:p>
        </w:tc>
      </w:tr>
      <w:tr w14:paraId="1995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6B5D1237">
            <w:pPr>
              <w:spacing w:line="300" w:lineRule="exact"/>
              <w:jc w:val="center"/>
              <w:rPr>
                <w:rFonts w:hint="eastAsia" w:ascii="宋体" w:hAnsi="宋体" w:eastAsia="宋体" w:cs="Arial"/>
                <w:color w:val="auto"/>
                <w:sz w:val="22"/>
                <w:highlight w:val="none"/>
                <w:lang w:val="en-US" w:eastAsia="zh-CN"/>
              </w:rPr>
            </w:pPr>
          </w:p>
        </w:tc>
        <w:tc>
          <w:tcPr>
            <w:tcW w:w="1220" w:type="dxa"/>
            <w:noWrap w:val="0"/>
            <w:vAlign w:val="center"/>
          </w:tcPr>
          <w:p w14:paraId="4B4981EC">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开沟机</w:t>
            </w:r>
          </w:p>
        </w:tc>
        <w:tc>
          <w:tcPr>
            <w:tcW w:w="2066" w:type="dxa"/>
            <w:noWrap w:val="0"/>
            <w:vAlign w:val="center"/>
          </w:tcPr>
          <w:p w14:paraId="08500A4B">
            <w:pPr>
              <w:spacing w:line="300" w:lineRule="exact"/>
              <w:jc w:val="center"/>
              <w:rPr>
                <w:rFonts w:hint="eastAsia" w:ascii="宋体" w:hAnsi="宋体" w:eastAsia="宋体"/>
                <w:color w:val="auto"/>
                <w:sz w:val="21"/>
                <w:szCs w:val="21"/>
                <w:highlight w:val="none"/>
              </w:rPr>
            </w:pPr>
            <w:r>
              <w:rPr>
                <w:rFonts w:hint="eastAsia" w:ascii="宋体" w:hAnsi="宋体" w:eastAsia="宋体" w:cs="Arial"/>
                <w:color w:val="auto"/>
                <w:sz w:val="21"/>
                <w:szCs w:val="21"/>
                <w:highlight w:val="none"/>
              </w:rPr>
              <w:t>/</w:t>
            </w:r>
          </w:p>
        </w:tc>
        <w:tc>
          <w:tcPr>
            <w:tcW w:w="1602" w:type="dxa"/>
            <w:noWrap w:val="0"/>
            <w:vAlign w:val="center"/>
          </w:tcPr>
          <w:p w14:paraId="781D48B4">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4B99D4C6">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60元/亩/次</w:t>
            </w:r>
          </w:p>
        </w:tc>
        <w:tc>
          <w:tcPr>
            <w:tcW w:w="1717" w:type="dxa"/>
            <w:noWrap w:val="0"/>
            <w:vAlign w:val="center"/>
          </w:tcPr>
          <w:p w14:paraId="0C06AD05">
            <w:pPr>
              <w:spacing w:line="300" w:lineRule="exact"/>
              <w:jc w:val="center"/>
              <w:rPr>
                <w:rFonts w:hint="eastAsia" w:ascii="宋体" w:hAnsi="宋体" w:eastAsia="宋体" w:cs="Arial"/>
                <w:color w:val="auto"/>
                <w:sz w:val="21"/>
                <w:szCs w:val="21"/>
                <w:highlight w:val="none"/>
                <w:lang w:val="en-US" w:eastAsia="zh-CN"/>
              </w:rPr>
            </w:pPr>
          </w:p>
        </w:tc>
      </w:tr>
      <w:tr w14:paraId="0F64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4202BF4D">
            <w:pPr>
              <w:spacing w:line="300" w:lineRule="exact"/>
              <w:jc w:val="center"/>
              <w:rPr>
                <w:rFonts w:hint="eastAsia" w:ascii="宋体" w:hAnsi="宋体" w:eastAsia="宋体" w:cs="Arial"/>
                <w:color w:val="auto"/>
                <w:sz w:val="22"/>
                <w:highlight w:val="none"/>
                <w:lang w:val="en-US" w:eastAsia="zh-CN"/>
              </w:rPr>
            </w:pPr>
          </w:p>
        </w:tc>
        <w:tc>
          <w:tcPr>
            <w:tcW w:w="1220" w:type="dxa"/>
            <w:noWrap w:val="0"/>
            <w:vAlign w:val="center"/>
          </w:tcPr>
          <w:p w14:paraId="66D00D0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插秧机</w:t>
            </w:r>
          </w:p>
        </w:tc>
        <w:tc>
          <w:tcPr>
            <w:tcW w:w="2066" w:type="dxa"/>
            <w:noWrap w:val="0"/>
            <w:vAlign w:val="center"/>
          </w:tcPr>
          <w:p w14:paraId="37105A40">
            <w:pPr>
              <w:spacing w:line="300" w:lineRule="exact"/>
              <w:jc w:val="center"/>
              <w:rPr>
                <w:rFonts w:hint="eastAsia" w:ascii="宋体" w:hAnsi="宋体" w:eastAsia="宋体"/>
                <w:color w:val="auto"/>
                <w:sz w:val="21"/>
                <w:szCs w:val="21"/>
                <w:highlight w:val="none"/>
              </w:rPr>
            </w:pPr>
            <w:r>
              <w:rPr>
                <w:rFonts w:hint="eastAsia" w:ascii="宋体" w:hAnsi="宋体" w:eastAsia="宋体" w:cs="Arial"/>
                <w:color w:val="auto"/>
                <w:sz w:val="21"/>
                <w:szCs w:val="21"/>
                <w:highlight w:val="none"/>
              </w:rPr>
              <w:t>/</w:t>
            </w:r>
          </w:p>
        </w:tc>
        <w:tc>
          <w:tcPr>
            <w:tcW w:w="1602" w:type="dxa"/>
            <w:noWrap w:val="0"/>
            <w:vAlign w:val="center"/>
          </w:tcPr>
          <w:p w14:paraId="689A562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5738C35C">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100 元/亩</w:t>
            </w:r>
          </w:p>
        </w:tc>
        <w:tc>
          <w:tcPr>
            <w:tcW w:w="1717" w:type="dxa"/>
            <w:noWrap w:val="0"/>
            <w:vAlign w:val="center"/>
          </w:tcPr>
          <w:p w14:paraId="72AEF998">
            <w:pPr>
              <w:spacing w:line="300" w:lineRule="exact"/>
              <w:jc w:val="center"/>
              <w:rPr>
                <w:rFonts w:hint="eastAsia" w:ascii="宋体" w:hAnsi="宋体" w:eastAsia="宋体" w:cs="Arial"/>
                <w:color w:val="auto"/>
                <w:sz w:val="21"/>
                <w:szCs w:val="21"/>
                <w:highlight w:val="none"/>
                <w:lang w:val="en-US" w:eastAsia="zh-CN"/>
              </w:rPr>
            </w:pPr>
          </w:p>
        </w:tc>
      </w:tr>
      <w:tr w14:paraId="6EB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noWrap w:val="0"/>
            <w:vAlign w:val="center"/>
          </w:tcPr>
          <w:p w14:paraId="37B91117">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九</w:t>
            </w:r>
          </w:p>
        </w:tc>
        <w:tc>
          <w:tcPr>
            <w:tcW w:w="1220" w:type="dxa"/>
            <w:noWrap w:val="0"/>
            <w:vAlign w:val="center"/>
          </w:tcPr>
          <w:p w14:paraId="5F925BAB">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收割机</w:t>
            </w:r>
          </w:p>
        </w:tc>
        <w:tc>
          <w:tcPr>
            <w:tcW w:w="2066" w:type="dxa"/>
            <w:noWrap w:val="0"/>
            <w:vAlign w:val="center"/>
          </w:tcPr>
          <w:p w14:paraId="4A40D640">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02" w:type="dxa"/>
            <w:noWrap w:val="0"/>
            <w:vAlign w:val="center"/>
          </w:tcPr>
          <w:p w14:paraId="0FBB314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c>
          <w:tcPr>
            <w:tcW w:w="1850" w:type="dxa"/>
            <w:noWrap w:val="0"/>
            <w:vAlign w:val="center"/>
          </w:tcPr>
          <w:p w14:paraId="22A01DB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w:t>
            </w:r>
            <w:r>
              <w:rPr>
                <w:rFonts w:hint="eastAsia" w:ascii="宋体" w:hAnsi="宋体" w:eastAsia="宋体" w:cs="Arial"/>
                <w:color w:val="auto"/>
                <w:sz w:val="21"/>
                <w:szCs w:val="21"/>
                <w:highlight w:val="none"/>
              </w:rPr>
              <w:t>元/亩/次</w:t>
            </w:r>
          </w:p>
        </w:tc>
        <w:tc>
          <w:tcPr>
            <w:tcW w:w="1717" w:type="dxa"/>
            <w:noWrap w:val="0"/>
            <w:vAlign w:val="center"/>
          </w:tcPr>
          <w:p w14:paraId="30E6FDFB">
            <w:pPr>
              <w:spacing w:line="300" w:lineRule="exact"/>
              <w:jc w:val="center"/>
              <w:rPr>
                <w:rFonts w:hint="eastAsia" w:ascii="宋体" w:hAnsi="宋体" w:eastAsia="宋体" w:cs="Arial"/>
                <w:color w:val="auto"/>
                <w:sz w:val="21"/>
                <w:szCs w:val="21"/>
                <w:highlight w:val="none"/>
              </w:rPr>
            </w:pPr>
          </w:p>
        </w:tc>
      </w:tr>
      <w:tr w14:paraId="3CFF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549FEEB6">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w:t>
            </w:r>
          </w:p>
        </w:tc>
        <w:tc>
          <w:tcPr>
            <w:tcW w:w="1220" w:type="dxa"/>
            <w:vMerge w:val="restart"/>
            <w:noWrap w:val="0"/>
            <w:vAlign w:val="center"/>
          </w:tcPr>
          <w:p w14:paraId="66167A5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随车吊</w:t>
            </w:r>
          </w:p>
        </w:tc>
        <w:tc>
          <w:tcPr>
            <w:tcW w:w="2066" w:type="dxa"/>
            <w:vMerge w:val="restart"/>
            <w:noWrap w:val="0"/>
            <w:vAlign w:val="center"/>
          </w:tcPr>
          <w:p w14:paraId="191266FC">
            <w:pPr>
              <w:spacing w:line="300" w:lineRule="exact"/>
              <w:jc w:val="center"/>
              <w:rPr>
                <w:rFonts w:hint="eastAsia" w:ascii="宋体" w:hAnsi="宋体" w:eastAsia="宋体"/>
                <w:color w:val="auto"/>
                <w:sz w:val="21"/>
                <w:szCs w:val="21"/>
                <w:highlight w:val="none"/>
              </w:rPr>
            </w:pPr>
            <w:r>
              <w:rPr>
                <w:rFonts w:hint="eastAsia" w:ascii="宋体" w:hAnsi="宋体" w:eastAsia="宋体" w:cs="Arial"/>
                <w:color w:val="auto"/>
                <w:sz w:val="21"/>
                <w:szCs w:val="21"/>
                <w:highlight w:val="none"/>
              </w:rPr>
              <w:t>/</w:t>
            </w:r>
          </w:p>
        </w:tc>
        <w:tc>
          <w:tcPr>
            <w:tcW w:w="1602" w:type="dxa"/>
            <w:noWrap w:val="0"/>
            <w:vAlign w:val="center"/>
          </w:tcPr>
          <w:p w14:paraId="7E6CBD54">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4吨</w:t>
            </w:r>
          </w:p>
        </w:tc>
        <w:tc>
          <w:tcPr>
            <w:tcW w:w="1850" w:type="dxa"/>
            <w:noWrap w:val="0"/>
            <w:vAlign w:val="center"/>
          </w:tcPr>
          <w:p w14:paraId="505841F7">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1200</w:t>
            </w:r>
          </w:p>
        </w:tc>
        <w:tc>
          <w:tcPr>
            <w:tcW w:w="1717" w:type="dxa"/>
            <w:vMerge w:val="restart"/>
            <w:noWrap w:val="0"/>
            <w:vAlign w:val="center"/>
          </w:tcPr>
          <w:p w14:paraId="579CED28">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rPr>
              <w:t>不足3小时按400元/次计</w:t>
            </w:r>
          </w:p>
        </w:tc>
      </w:tr>
      <w:tr w14:paraId="59B9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728F722D">
            <w:pPr>
              <w:spacing w:line="300" w:lineRule="exact"/>
              <w:jc w:val="center"/>
              <w:rPr>
                <w:color w:val="auto"/>
                <w:highlight w:val="none"/>
              </w:rPr>
            </w:pPr>
          </w:p>
        </w:tc>
        <w:tc>
          <w:tcPr>
            <w:tcW w:w="1220" w:type="dxa"/>
            <w:vMerge w:val="continue"/>
            <w:noWrap w:val="0"/>
            <w:vAlign w:val="center"/>
          </w:tcPr>
          <w:p w14:paraId="76738AEA">
            <w:pPr>
              <w:spacing w:line="300" w:lineRule="exact"/>
              <w:jc w:val="center"/>
              <w:rPr>
                <w:color w:val="auto"/>
                <w:sz w:val="21"/>
                <w:szCs w:val="21"/>
                <w:highlight w:val="none"/>
              </w:rPr>
            </w:pPr>
          </w:p>
        </w:tc>
        <w:tc>
          <w:tcPr>
            <w:tcW w:w="2066" w:type="dxa"/>
            <w:vMerge w:val="continue"/>
            <w:noWrap w:val="0"/>
            <w:vAlign w:val="center"/>
          </w:tcPr>
          <w:p w14:paraId="4EC0984B">
            <w:pPr>
              <w:spacing w:line="300" w:lineRule="exact"/>
              <w:jc w:val="center"/>
              <w:rPr>
                <w:color w:val="auto"/>
                <w:sz w:val="21"/>
                <w:szCs w:val="21"/>
                <w:highlight w:val="none"/>
              </w:rPr>
            </w:pPr>
          </w:p>
        </w:tc>
        <w:tc>
          <w:tcPr>
            <w:tcW w:w="1602" w:type="dxa"/>
            <w:noWrap w:val="0"/>
            <w:vAlign w:val="center"/>
          </w:tcPr>
          <w:p w14:paraId="07436F8A">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8吨</w:t>
            </w:r>
          </w:p>
        </w:tc>
        <w:tc>
          <w:tcPr>
            <w:tcW w:w="1850" w:type="dxa"/>
            <w:noWrap w:val="0"/>
            <w:vAlign w:val="center"/>
          </w:tcPr>
          <w:p w14:paraId="4B5764D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17" w:type="dxa"/>
            <w:vMerge w:val="continue"/>
            <w:noWrap w:val="0"/>
            <w:vAlign w:val="center"/>
          </w:tcPr>
          <w:p w14:paraId="1390F6DC">
            <w:pPr>
              <w:spacing w:line="300" w:lineRule="exact"/>
              <w:jc w:val="center"/>
              <w:rPr>
                <w:rFonts w:hint="eastAsia" w:ascii="宋体" w:hAnsi="宋体" w:eastAsia="宋体" w:cs="Arial"/>
                <w:color w:val="auto"/>
                <w:sz w:val="21"/>
                <w:szCs w:val="21"/>
                <w:highlight w:val="none"/>
                <w:lang w:val="en-US" w:eastAsia="zh-CN"/>
              </w:rPr>
            </w:pPr>
          </w:p>
        </w:tc>
      </w:tr>
      <w:tr w14:paraId="7C8A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5C915AF5">
            <w:pPr>
              <w:spacing w:line="300" w:lineRule="exact"/>
              <w:jc w:val="center"/>
              <w:rPr>
                <w:rFonts w:hint="eastAsia" w:ascii="宋体" w:hAnsi="宋体" w:eastAsia="宋体" w:cs="Arial"/>
                <w:color w:val="auto"/>
                <w:sz w:val="22"/>
                <w:highlight w:val="none"/>
                <w:lang w:val="en-US" w:eastAsia="zh-CN"/>
              </w:rPr>
            </w:pPr>
          </w:p>
        </w:tc>
        <w:tc>
          <w:tcPr>
            <w:tcW w:w="1220" w:type="dxa"/>
            <w:vMerge w:val="continue"/>
            <w:noWrap w:val="0"/>
            <w:vAlign w:val="center"/>
          </w:tcPr>
          <w:p w14:paraId="06E025AD">
            <w:pPr>
              <w:spacing w:line="300" w:lineRule="exact"/>
              <w:jc w:val="center"/>
              <w:rPr>
                <w:rFonts w:hint="eastAsia" w:ascii="宋体" w:hAnsi="宋体" w:eastAsia="宋体" w:cs="Arial"/>
                <w:color w:val="auto"/>
                <w:sz w:val="21"/>
                <w:szCs w:val="21"/>
                <w:highlight w:val="none"/>
                <w:lang w:val="en-US" w:eastAsia="zh-CN"/>
              </w:rPr>
            </w:pPr>
          </w:p>
        </w:tc>
        <w:tc>
          <w:tcPr>
            <w:tcW w:w="2066" w:type="dxa"/>
            <w:vMerge w:val="continue"/>
            <w:noWrap w:val="0"/>
            <w:vAlign w:val="center"/>
          </w:tcPr>
          <w:p w14:paraId="5BDE3BB0">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317EA6B9">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12吨</w:t>
            </w:r>
          </w:p>
        </w:tc>
        <w:tc>
          <w:tcPr>
            <w:tcW w:w="1850" w:type="dxa"/>
            <w:noWrap w:val="0"/>
            <w:vAlign w:val="center"/>
          </w:tcPr>
          <w:p w14:paraId="443DD44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1800</w:t>
            </w:r>
          </w:p>
        </w:tc>
        <w:tc>
          <w:tcPr>
            <w:tcW w:w="1717" w:type="dxa"/>
            <w:vMerge w:val="continue"/>
            <w:noWrap w:val="0"/>
            <w:vAlign w:val="center"/>
          </w:tcPr>
          <w:p w14:paraId="5A8BFE78">
            <w:pPr>
              <w:spacing w:line="300" w:lineRule="exact"/>
              <w:jc w:val="center"/>
              <w:rPr>
                <w:rFonts w:hint="eastAsia" w:ascii="宋体" w:hAnsi="宋体" w:eastAsia="宋体" w:cs="Arial"/>
                <w:color w:val="auto"/>
                <w:sz w:val="21"/>
                <w:szCs w:val="21"/>
                <w:highlight w:val="none"/>
                <w:lang w:val="en-US" w:eastAsia="zh-CN"/>
              </w:rPr>
            </w:pPr>
          </w:p>
        </w:tc>
      </w:tr>
      <w:tr w14:paraId="498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6D03CE84">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十一</w:t>
            </w:r>
          </w:p>
        </w:tc>
        <w:tc>
          <w:tcPr>
            <w:tcW w:w="1220" w:type="dxa"/>
            <w:vMerge w:val="restart"/>
            <w:noWrap w:val="0"/>
            <w:vAlign w:val="center"/>
          </w:tcPr>
          <w:p w14:paraId="14D4B3D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叉车</w:t>
            </w:r>
          </w:p>
        </w:tc>
        <w:tc>
          <w:tcPr>
            <w:tcW w:w="2066" w:type="dxa"/>
            <w:vMerge w:val="restart"/>
            <w:noWrap w:val="0"/>
            <w:vAlign w:val="center"/>
          </w:tcPr>
          <w:p w14:paraId="19BD176D">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合力、杭叉、柳工、徐工或相当于</w:t>
            </w:r>
          </w:p>
        </w:tc>
        <w:tc>
          <w:tcPr>
            <w:tcW w:w="1602" w:type="dxa"/>
            <w:noWrap w:val="0"/>
            <w:vAlign w:val="center"/>
          </w:tcPr>
          <w:p w14:paraId="5A8ED86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2-3吨</w:t>
            </w:r>
          </w:p>
        </w:tc>
        <w:tc>
          <w:tcPr>
            <w:tcW w:w="1850" w:type="dxa"/>
            <w:noWrap w:val="0"/>
            <w:vAlign w:val="center"/>
          </w:tcPr>
          <w:p w14:paraId="110F832F">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1110</w:t>
            </w:r>
          </w:p>
        </w:tc>
        <w:tc>
          <w:tcPr>
            <w:tcW w:w="1717" w:type="dxa"/>
            <w:vMerge w:val="restart"/>
            <w:noWrap w:val="0"/>
            <w:vAlign w:val="center"/>
          </w:tcPr>
          <w:p w14:paraId="1002DB01">
            <w:pPr>
              <w:spacing w:line="300" w:lineRule="exact"/>
              <w:jc w:val="center"/>
              <w:rPr>
                <w:rFonts w:hint="eastAsia" w:ascii="宋体" w:hAnsi="宋体" w:eastAsia="宋体" w:cs="Arial"/>
                <w:color w:val="auto"/>
                <w:kern w:val="2"/>
                <w:sz w:val="21"/>
                <w:szCs w:val="21"/>
                <w:highlight w:val="none"/>
                <w:lang w:val="en-US" w:eastAsia="zh-CN" w:bidi="ar-SA"/>
              </w:rPr>
            </w:pPr>
          </w:p>
        </w:tc>
      </w:tr>
      <w:tr w14:paraId="4D20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018ED53A">
            <w:pPr>
              <w:spacing w:line="300" w:lineRule="exact"/>
              <w:jc w:val="center"/>
              <w:rPr>
                <w:color w:val="auto"/>
                <w:highlight w:val="none"/>
              </w:rPr>
            </w:pPr>
          </w:p>
        </w:tc>
        <w:tc>
          <w:tcPr>
            <w:tcW w:w="1220" w:type="dxa"/>
            <w:vMerge w:val="continue"/>
            <w:noWrap w:val="0"/>
            <w:vAlign w:val="center"/>
          </w:tcPr>
          <w:p w14:paraId="189FB736">
            <w:pPr>
              <w:spacing w:line="300" w:lineRule="exact"/>
              <w:jc w:val="center"/>
              <w:rPr>
                <w:color w:val="auto"/>
                <w:sz w:val="21"/>
                <w:szCs w:val="21"/>
                <w:highlight w:val="none"/>
              </w:rPr>
            </w:pPr>
          </w:p>
        </w:tc>
        <w:tc>
          <w:tcPr>
            <w:tcW w:w="2066" w:type="dxa"/>
            <w:vMerge w:val="continue"/>
            <w:noWrap w:val="0"/>
            <w:vAlign w:val="center"/>
          </w:tcPr>
          <w:p w14:paraId="0FB076F3">
            <w:pPr>
              <w:spacing w:line="300" w:lineRule="exact"/>
              <w:jc w:val="center"/>
              <w:rPr>
                <w:color w:val="auto"/>
                <w:sz w:val="21"/>
                <w:szCs w:val="21"/>
                <w:highlight w:val="none"/>
              </w:rPr>
            </w:pPr>
          </w:p>
        </w:tc>
        <w:tc>
          <w:tcPr>
            <w:tcW w:w="1602" w:type="dxa"/>
            <w:noWrap w:val="0"/>
            <w:vAlign w:val="center"/>
          </w:tcPr>
          <w:p w14:paraId="7641DE6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5吨</w:t>
            </w:r>
          </w:p>
        </w:tc>
        <w:tc>
          <w:tcPr>
            <w:tcW w:w="1850" w:type="dxa"/>
            <w:noWrap w:val="0"/>
            <w:vAlign w:val="center"/>
          </w:tcPr>
          <w:p w14:paraId="518F30F0">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1990</w:t>
            </w:r>
          </w:p>
        </w:tc>
        <w:tc>
          <w:tcPr>
            <w:tcW w:w="1717" w:type="dxa"/>
            <w:vMerge w:val="continue"/>
            <w:noWrap w:val="0"/>
            <w:vAlign w:val="center"/>
          </w:tcPr>
          <w:p w14:paraId="4FB911BA">
            <w:pPr>
              <w:spacing w:line="300" w:lineRule="exact"/>
              <w:jc w:val="center"/>
              <w:rPr>
                <w:rFonts w:hint="eastAsia" w:ascii="宋体" w:hAnsi="宋体" w:eastAsia="宋体" w:cs="Arial"/>
                <w:color w:val="auto"/>
                <w:sz w:val="21"/>
                <w:szCs w:val="21"/>
                <w:highlight w:val="none"/>
                <w:lang w:val="en-US" w:eastAsia="zh-CN"/>
              </w:rPr>
            </w:pPr>
          </w:p>
        </w:tc>
      </w:tr>
      <w:tr w14:paraId="3E39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54740C30">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十二</w:t>
            </w:r>
          </w:p>
        </w:tc>
        <w:tc>
          <w:tcPr>
            <w:tcW w:w="1220" w:type="dxa"/>
            <w:vMerge w:val="restart"/>
            <w:noWrap w:val="0"/>
            <w:vAlign w:val="center"/>
          </w:tcPr>
          <w:p w14:paraId="37CA3C4C">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压路机</w:t>
            </w:r>
          </w:p>
        </w:tc>
        <w:tc>
          <w:tcPr>
            <w:tcW w:w="2066" w:type="dxa"/>
            <w:vMerge w:val="restart"/>
            <w:noWrap w:val="0"/>
            <w:vAlign w:val="center"/>
          </w:tcPr>
          <w:p w14:paraId="57FCC867">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厦工、徐工、柳工、龙工或相当于</w:t>
            </w:r>
          </w:p>
        </w:tc>
        <w:tc>
          <w:tcPr>
            <w:tcW w:w="1602" w:type="dxa"/>
            <w:noWrap w:val="0"/>
            <w:vAlign w:val="center"/>
          </w:tcPr>
          <w:p w14:paraId="66596636">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15吨振动式</w:t>
            </w:r>
          </w:p>
        </w:tc>
        <w:tc>
          <w:tcPr>
            <w:tcW w:w="1850" w:type="dxa"/>
            <w:noWrap w:val="0"/>
            <w:vAlign w:val="center"/>
          </w:tcPr>
          <w:p w14:paraId="5487F20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2350</w:t>
            </w:r>
          </w:p>
        </w:tc>
        <w:tc>
          <w:tcPr>
            <w:tcW w:w="1717" w:type="dxa"/>
            <w:vMerge w:val="restart"/>
            <w:noWrap w:val="0"/>
            <w:vAlign w:val="center"/>
          </w:tcPr>
          <w:p w14:paraId="2EE8EA5C">
            <w:pPr>
              <w:spacing w:line="300" w:lineRule="exact"/>
              <w:jc w:val="center"/>
              <w:rPr>
                <w:rFonts w:hint="eastAsia" w:ascii="宋体" w:hAnsi="宋体" w:eastAsia="宋体" w:cs="Arial"/>
                <w:color w:val="auto"/>
                <w:kern w:val="2"/>
                <w:sz w:val="21"/>
                <w:szCs w:val="21"/>
                <w:highlight w:val="none"/>
                <w:lang w:val="en-US" w:eastAsia="zh-CN" w:bidi="ar-SA"/>
              </w:rPr>
            </w:pPr>
          </w:p>
        </w:tc>
      </w:tr>
      <w:tr w14:paraId="2BAE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24224C38">
            <w:pPr>
              <w:spacing w:line="300" w:lineRule="exact"/>
              <w:jc w:val="center"/>
              <w:rPr>
                <w:color w:val="auto"/>
                <w:highlight w:val="none"/>
              </w:rPr>
            </w:pPr>
          </w:p>
        </w:tc>
        <w:tc>
          <w:tcPr>
            <w:tcW w:w="1220" w:type="dxa"/>
            <w:vMerge w:val="continue"/>
            <w:noWrap w:val="0"/>
            <w:vAlign w:val="center"/>
          </w:tcPr>
          <w:p w14:paraId="0E1BC168">
            <w:pPr>
              <w:spacing w:line="300" w:lineRule="exact"/>
              <w:jc w:val="center"/>
              <w:rPr>
                <w:color w:val="auto"/>
                <w:sz w:val="21"/>
                <w:szCs w:val="21"/>
                <w:highlight w:val="none"/>
              </w:rPr>
            </w:pPr>
          </w:p>
        </w:tc>
        <w:tc>
          <w:tcPr>
            <w:tcW w:w="2066" w:type="dxa"/>
            <w:vMerge w:val="continue"/>
            <w:noWrap w:val="0"/>
            <w:vAlign w:val="center"/>
          </w:tcPr>
          <w:p w14:paraId="17B6FF15">
            <w:pPr>
              <w:spacing w:line="300" w:lineRule="exact"/>
              <w:jc w:val="center"/>
              <w:rPr>
                <w:color w:val="auto"/>
                <w:sz w:val="21"/>
                <w:szCs w:val="21"/>
                <w:highlight w:val="none"/>
              </w:rPr>
            </w:pPr>
          </w:p>
        </w:tc>
        <w:tc>
          <w:tcPr>
            <w:tcW w:w="1602" w:type="dxa"/>
            <w:noWrap w:val="0"/>
            <w:vAlign w:val="center"/>
          </w:tcPr>
          <w:p w14:paraId="3EB9A7EC">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20吨振动式</w:t>
            </w:r>
          </w:p>
        </w:tc>
        <w:tc>
          <w:tcPr>
            <w:tcW w:w="1850" w:type="dxa"/>
            <w:noWrap w:val="0"/>
            <w:vAlign w:val="center"/>
          </w:tcPr>
          <w:p w14:paraId="15BDACC4">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2400</w:t>
            </w:r>
          </w:p>
        </w:tc>
        <w:tc>
          <w:tcPr>
            <w:tcW w:w="1717" w:type="dxa"/>
            <w:vMerge w:val="continue"/>
            <w:noWrap w:val="0"/>
            <w:vAlign w:val="center"/>
          </w:tcPr>
          <w:p w14:paraId="63B80345">
            <w:pPr>
              <w:spacing w:line="300" w:lineRule="exact"/>
              <w:jc w:val="center"/>
              <w:rPr>
                <w:rFonts w:hint="eastAsia" w:ascii="宋体" w:hAnsi="宋体" w:eastAsia="宋体" w:cs="Arial"/>
                <w:color w:val="auto"/>
                <w:sz w:val="21"/>
                <w:szCs w:val="21"/>
                <w:highlight w:val="none"/>
                <w:lang w:val="en-US" w:eastAsia="zh-CN"/>
              </w:rPr>
            </w:pPr>
          </w:p>
        </w:tc>
      </w:tr>
      <w:tr w14:paraId="4124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5F7CEC20">
            <w:pPr>
              <w:spacing w:line="300" w:lineRule="exact"/>
              <w:jc w:val="center"/>
              <w:rPr>
                <w:rFonts w:hint="eastAsia" w:ascii="宋体" w:hAnsi="宋体" w:eastAsia="宋体" w:cs="Arial"/>
                <w:color w:val="auto"/>
                <w:sz w:val="22"/>
                <w:highlight w:val="none"/>
                <w:lang w:val="en-US" w:eastAsia="zh-CN"/>
              </w:rPr>
            </w:pPr>
          </w:p>
        </w:tc>
        <w:tc>
          <w:tcPr>
            <w:tcW w:w="1220" w:type="dxa"/>
            <w:vMerge w:val="continue"/>
            <w:noWrap w:val="0"/>
            <w:vAlign w:val="center"/>
          </w:tcPr>
          <w:p w14:paraId="460F045C">
            <w:pPr>
              <w:spacing w:line="300" w:lineRule="exact"/>
              <w:jc w:val="center"/>
              <w:rPr>
                <w:rFonts w:hint="eastAsia" w:ascii="宋体" w:hAnsi="宋体" w:eastAsia="宋体" w:cs="Arial"/>
                <w:color w:val="auto"/>
                <w:sz w:val="21"/>
                <w:szCs w:val="21"/>
                <w:highlight w:val="none"/>
                <w:lang w:val="en-US" w:eastAsia="zh-CN"/>
              </w:rPr>
            </w:pPr>
          </w:p>
        </w:tc>
        <w:tc>
          <w:tcPr>
            <w:tcW w:w="2066" w:type="dxa"/>
            <w:vMerge w:val="continue"/>
            <w:noWrap w:val="0"/>
            <w:vAlign w:val="center"/>
          </w:tcPr>
          <w:p w14:paraId="5D3674F7">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3D1CF74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26吨振动式</w:t>
            </w:r>
          </w:p>
        </w:tc>
        <w:tc>
          <w:tcPr>
            <w:tcW w:w="1850" w:type="dxa"/>
            <w:noWrap w:val="0"/>
            <w:vAlign w:val="center"/>
          </w:tcPr>
          <w:p w14:paraId="23A14E50">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2710</w:t>
            </w:r>
          </w:p>
        </w:tc>
        <w:tc>
          <w:tcPr>
            <w:tcW w:w="1717" w:type="dxa"/>
            <w:vMerge w:val="continue"/>
            <w:noWrap w:val="0"/>
            <w:vAlign w:val="center"/>
          </w:tcPr>
          <w:p w14:paraId="5B06E19C">
            <w:pPr>
              <w:spacing w:line="300" w:lineRule="exact"/>
              <w:jc w:val="center"/>
              <w:rPr>
                <w:rFonts w:hint="eastAsia" w:ascii="宋体" w:hAnsi="宋体" w:eastAsia="宋体" w:cs="Arial"/>
                <w:color w:val="auto"/>
                <w:sz w:val="21"/>
                <w:szCs w:val="21"/>
                <w:highlight w:val="none"/>
                <w:lang w:val="en-US" w:eastAsia="zh-CN"/>
              </w:rPr>
            </w:pPr>
          </w:p>
        </w:tc>
      </w:tr>
      <w:tr w14:paraId="2212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restart"/>
            <w:noWrap w:val="0"/>
            <w:vAlign w:val="center"/>
          </w:tcPr>
          <w:p w14:paraId="3FF56022">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十三</w:t>
            </w:r>
          </w:p>
          <w:p w14:paraId="26800340">
            <w:pPr>
              <w:spacing w:line="300" w:lineRule="exact"/>
              <w:jc w:val="center"/>
              <w:rPr>
                <w:rFonts w:hint="default" w:ascii="宋体" w:hAnsi="宋体" w:eastAsia="宋体" w:cs="Arial"/>
                <w:color w:val="auto"/>
                <w:sz w:val="22"/>
                <w:highlight w:val="none"/>
                <w:lang w:val="en-US" w:eastAsia="zh-CN"/>
              </w:rPr>
            </w:pPr>
          </w:p>
        </w:tc>
        <w:tc>
          <w:tcPr>
            <w:tcW w:w="1220" w:type="dxa"/>
            <w:vMerge w:val="restart"/>
            <w:noWrap w:val="0"/>
            <w:vAlign w:val="center"/>
          </w:tcPr>
          <w:p w14:paraId="041FE7D6">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农用无人机</w:t>
            </w:r>
          </w:p>
        </w:tc>
        <w:tc>
          <w:tcPr>
            <w:tcW w:w="2066" w:type="dxa"/>
            <w:vMerge w:val="restart"/>
            <w:noWrap w:val="0"/>
            <w:vAlign w:val="center"/>
          </w:tcPr>
          <w:p w14:paraId="430CA258">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大疆、极飞、启飞或相当于</w:t>
            </w:r>
          </w:p>
        </w:tc>
        <w:tc>
          <w:tcPr>
            <w:tcW w:w="1602" w:type="dxa"/>
            <w:noWrap w:val="0"/>
            <w:vAlign w:val="center"/>
          </w:tcPr>
          <w:p w14:paraId="6D8962E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6D50DC8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10元/亩/次</w:t>
            </w:r>
          </w:p>
        </w:tc>
        <w:tc>
          <w:tcPr>
            <w:tcW w:w="1717" w:type="dxa"/>
            <w:noWrap w:val="0"/>
            <w:vAlign w:val="center"/>
          </w:tcPr>
          <w:p w14:paraId="2C4FC600">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洒药</w:t>
            </w:r>
          </w:p>
        </w:tc>
      </w:tr>
      <w:tr w14:paraId="29D8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 w:type="dxa"/>
            <w:vMerge w:val="continue"/>
            <w:noWrap w:val="0"/>
            <w:vAlign w:val="center"/>
          </w:tcPr>
          <w:p w14:paraId="3261C14D">
            <w:pPr>
              <w:spacing w:line="300" w:lineRule="exact"/>
              <w:jc w:val="center"/>
              <w:rPr>
                <w:rFonts w:hint="default" w:ascii="宋体" w:hAnsi="宋体" w:eastAsia="宋体" w:cs="Arial"/>
                <w:color w:val="auto"/>
                <w:sz w:val="22"/>
                <w:highlight w:val="none"/>
                <w:lang w:val="en-US" w:eastAsia="zh-CN"/>
              </w:rPr>
            </w:pPr>
          </w:p>
        </w:tc>
        <w:tc>
          <w:tcPr>
            <w:tcW w:w="1220" w:type="dxa"/>
            <w:vMerge w:val="continue"/>
            <w:noWrap w:val="0"/>
            <w:vAlign w:val="center"/>
          </w:tcPr>
          <w:p w14:paraId="4DCCDD97">
            <w:pPr>
              <w:spacing w:line="300" w:lineRule="exact"/>
              <w:jc w:val="center"/>
              <w:rPr>
                <w:rFonts w:hint="eastAsia" w:ascii="宋体" w:hAnsi="宋体" w:eastAsia="宋体" w:cs="Arial"/>
                <w:color w:val="auto"/>
                <w:kern w:val="2"/>
                <w:sz w:val="21"/>
                <w:szCs w:val="21"/>
                <w:highlight w:val="none"/>
                <w:lang w:val="en-US" w:eastAsia="zh-CN" w:bidi="ar-SA"/>
              </w:rPr>
            </w:pPr>
          </w:p>
        </w:tc>
        <w:tc>
          <w:tcPr>
            <w:tcW w:w="2066" w:type="dxa"/>
            <w:vMerge w:val="continue"/>
            <w:noWrap w:val="0"/>
            <w:vAlign w:val="center"/>
          </w:tcPr>
          <w:p w14:paraId="74C1892B">
            <w:pPr>
              <w:spacing w:line="300" w:lineRule="exact"/>
              <w:jc w:val="center"/>
              <w:rPr>
                <w:rFonts w:hint="eastAsia" w:ascii="宋体" w:hAnsi="宋体" w:eastAsia="宋体" w:cs="Arial"/>
                <w:color w:val="auto"/>
                <w:kern w:val="2"/>
                <w:sz w:val="21"/>
                <w:szCs w:val="21"/>
                <w:highlight w:val="none"/>
                <w:lang w:val="en-US" w:eastAsia="zh-CN" w:bidi="ar-SA"/>
              </w:rPr>
            </w:pPr>
          </w:p>
        </w:tc>
        <w:tc>
          <w:tcPr>
            <w:tcW w:w="1602" w:type="dxa"/>
            <w:noWrap w:val="0"/>
            <w:vAlign w:val="center"/>
          </w:tcPr>
          <w:p w14:paraId="7AB59333">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508EF1FF">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0.5元</w:t>
            </w:r>
            <w:r>
              <w:rPr>
                <w:rFonts w:hint="eastAsia" w:ascii="宋体" w:hAnsi="宋体" w:eastAsia="宋体" w:cs="Arial"/>
                <w:color w:val="auto"/>
                <w:sz w:val="21"/>
                <w:szCs w:val="21"/>
                <w:highlight w:val="none"/>
                <w:lang w:val="en-US" w:eastAsia="zh-CN"/>
              </w:rPr>
              <w:t>/</w:t>
            </w:r>
            <w:r>
              <w:rPr>
                <w:rFonts w:hint="eastAsia" w:ascii="宋体" w:hAnsi="宋体" w:cs="Arial"/>
                <w:color w:val="auto"/>
                <w:sz w:val="21"/>
                <w:szCs w:val="21"/>
                <w:highlight w:val="none"/>
                <w:lang w:val="en-US" w:eastAsia="zh-CN"/>
              </w:rPr>
              <w:t>斤</w:t>
            </w:r>
          </w:p>
        </w:tc>
        <w:tc>
          <w:tcPr>
            <w:tcW w:w="1717" w:type="dxa"/>
            <w:noWrap w:val="0"/>
            <w:vAlign w:val="center"/>
          </w:tcPr>
          <w:p w14:paraId="233CFC9A">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播种、施肥</w:t>
            </w:r>
          </w:p>
        </w:tc>
      </w:tr>
    </w:tbl>
    <w:p w14:paraId="56494008">
      <w:pPr>
        <w:spacing w:line="360" w:lineRule="auto"/>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val="en-US" w:eastAsia="zh-CN" w:bidi="ar"/>
        </w:rPr>
        <w:t>五、</w:t>
      </w:r>
      <w:r>
        <w:rPr>
          <w:rFonts w:hint="eastAsia" w:ascii="宋体" w:hAnsi="宋体" w:eastAsia="宋体" w:cs="宋体"/>
          <w:b/>
          <w:color w:val="auto"/>
          <w:kern w:val="0"/>
          <w:sz w:val="24"/>
          <w:highlight w:val="none"/>
          <w:lang w:bidi="ar"/>
        </w:rPr>
        <w:t>主要设备清单及型号要求</w:t>
      </w:r>
    </w:p>
    <w:p w14:paraId="5E926915">
      <w:pPr>
        <w:spacing w:line="360" w:lineRule="auto"/>
        <w:rPr>
          <w:rFonts w:hint="eastAsia" w:ascii="宋体" w:hAnsi="宋体" w:eastAsia="宋体" w:cs="Arial"/>
          <w:color w:val="auto"/>
          <w:sz w:val="22"/>
          <w:highlight w:val="none"/>
        </w:rPr>
      </w:pPr>
      <w:r>
        <w:rPr>
          <w:rFonts w:hint="eastAsia" w:ascii="宋体" w:hAnsi="宋体" w:eastAsia="宋体" w:cs="Arial"/>
          <w:color w:val="auto"/>
          <w:sz w:val="24"/>
          <w:highlight w:val="none"/>
        </w:rPr>
        <w:t>注：上述</w:t>
      </w:r>
      <w:r>
        <w:rPr>
          <w:rFonts w:hint="eastAsia" w:ascii="宋体" w:hAnsi="宋体" w:cs="Arial"/>
          <w:color w:val="auto"/>
          <w:sz w:val="24"/>
          <w:highlight w:val="none"/>
        </w:rPr>
        <w:t>各类机械设备品牌只需具有其中一个品牌即可，每个台班按8小时计算，特殊情况的台班进出场费、台班起步费按上表备注执行，其中挖机类单个工程项目工作量超过两台班的进出场费不计</w:t>
      </w:r>
      <w:r>
        <w:rPr>
          <w:rFonts w:hint="eastAsia" w:ascii="宋体" w:hAnsi="宋体" w:cs="Arial"/>
          <w:color w:val="auto"/>
          <w:sz w:val="24"/>
          <w:highlight w:val="none"/>
          <w:lang w:val="en-US" w:eastAsia="zh-CN"/>
        </w:rPr>
        <w:t>,不足两个台班的进出场费计一次</w:t>
      </w:r>
      <w:r>
        <w:rPr>
          <w:rFonts w:hint="eastAsia" w:ascii="宋体" w:hAnsi="宋体" w:cs="Arial"/>
          <w:color w:val="auto"/>
          <w:sz w:val="24"/>
          <w:highlight w:val="none"/>
        </w:rPr>
        <w:t>。吊车类每天工作两小时内按</w:t>
      </w:r>
      <w:r>
        <w:rPr>
          <w:rFonts w:hint="eastAsia" w:ascii="宋体" w:hAnsi="宋体" w:cs="Arial"/>
          <w:color w:val="auto"/>
          <w:sz w:val="24"/>
          <w:highlight w:val="none"/>
          <w:lang w:val="en-US" w:eastAsia="zh-CN"/>
        </w:rPr>
        <w:t>不足两小时方式</w:t>
      </w:r>
      <w:r>
        <w:rPr>
          <w:rFonts w:hint="eastAsia" w:ascii="宋体" w:hAnsi="宋体" w:cs="Arial"/>
          <w:color w:val="auto"/>
          <w:sz w:val="24"/>
          <w:highlight w:val="none"/>
        </w:rPr>
        <w:t>计</w:t>
      </w:r>
      <w:r>
        <w:rPr>
          <w:rFonts w:hint="eastAsia" w:ascii="宋体" w:hAnsi="宋体" w:cs="Arial"/>
          <w:color w:val="auto"/>
          <w:sz w:val="24"/>
          <w:highlight w:val="none"/>
          <w:lang w:val="en-US" w:eastAsia="zh-CN"/>
        </w:rPr>
        <w:t>算</w:t>
      </w:r>
      <w:r>
        <w:rPr>
          <w:rFonts w:hint="eastAsia" w:ascii="宋体" w:hAnsi="宋体" w:cs="Arial"/>
          <w:color w:val="auto"/>
          <w:sz w:val="24"/>
          <w:highlight w:val="none"/>
        </w:rPr>
        <w:t>。</w:t>
      </w:r>
    </w:p>
    <w:p w14:paraId="1C990E16">
      <w:pPr>
        <w:pStyle w:val="25"/>
        <w:rPr>
          <w:rFonts w:hint="eastAsia"/>
          <w:color w:val="auto"/>
          <w:highlight w:val="none"/>
        </w:rPr>
        <w:sectPr>
          <w:pgSz w:w="11905" w:h="16838"/>
          <w:pgMar w:top="1134" w:right="1587" w:bottom="1134" w:left="1587" w:header="851" w:footer="850" w:gutter="0"/>
          <w:cols w:space="720" w:num="1"/>
          <w:titlePg/>
          <w:docGrid w:linePitch="312" w:charSpace="0"/>
        </w:sectPr>
      </w:pPr>
    </w:p>
    <w:p w14:paraId="0C1A24E0">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5"/>
    </w:p>
    <w:p w14:paraId="75C39C0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14:paraId="3C3276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14:paraId="750C98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14:paraId="32BE506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14:paraId="0BD6D5E2">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投标文件满足招标文件全部实质性要求，且评标委员会按照评审因素确定中标候选人。</w:t>
      </w:r>
    </w:p>
    <w:p w14:paraId="6177DE61">
      <w:pPr>
        <w:pStyle w:val="24"/>
        <w:spacing w:before="0" w:beforeAutospacing="0" w:after="0" w:afterAutospacing="0" w:line="360" w:lineRule="auto"/>
        <w:ind w:firstLine="482" w:firstLineChars="200"/>
        <w:jc w:val="both"/>
        <w:rPr>
          <w:rFonts w:hint="default" w:asciiTheme="minorEastAsia" w:hAnsiTheme="minorEastAsia" w:eastAsiaTheme="minorEastAsia"/>
        </w:rPr>
      </w:pPr>
      <w:r>
        <w:rPr>
          <w:rFonts w:ascii="宋体" w:hAnsi="宋体" w:eastAsia="宋体"/>
          <w:b/>
          <w:bCs/>
          <w:color w:val="000000" w:themeColor="text1"/>
          <w:highlight w:val="none"/>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一</w:t>
      </w:r>
      <w:r>
        <w:rPr>
          <w:rFonts w:ascii="宋体" w:hAnsi="宋体" w:eastAsia="宋体"/>
          <w:b/>
          <w:bCs/>
          <w:color w:val="000000" w:themeColor="text1"/>
          <w:highlight w:val="none"/>
          <w14:textFill>
            <w14:solidFill>
              <w14:schemeClr w14:val="tx1"/>
            </w14:solidFill>
          </w14:textFill>
        </w:rPr>
        <w:t>）</w:t>
      </w:r>
      <w:bookmarkStart w:id="37" w:name="_Toc27944_WPSOffice_Level1"/>
      <w:r>
        <w:rPr>
          <w:rFonts w:hint="eastAsia" w:ascii="Arial" w:hAnsi="Arial" w:cs="Arial" w:eastAsiaTheme="minorEastAsia"/>
          <w:b/>
          <w:bCs/>
          <w:lang w:eastAsia="zh-CN"/>
        </w:rPr>
        <w:t>技术资信标</w:t>
      </w:r>
      <w:r>
        <w:rPr>
          <w:rFonts w:ascii="Arial" w:hAnsi="Arial" w:cs="Arial" w:eastAsiaTheme="minorEastAsia"/>
          <w:b/>
          <w:bCs/>
        </w:rPr>
        <w:t>及商务标评审</w:t>
      </w:r>
    </w:p>
    <w:p w14:paraId="28D864C7">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评标委员会成员按商务与技术文件的评分标准，在分值范围内各自打分。商务与技术文件分按照评标委员会成员的评分结果取平均值，为供应商的商务与技术文件得分。（评委评分结果每项保留1位小数，第2位四舍五入；平均值小数点后保留2位，第3位四舍五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6226"/>
        <w:gridCol w:w="907"/>
      </w:tblGrid>
      <w:tr w14:paraId="0F79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61" w:type="dxa"/>
            <w:noWrap w:val="0"/>
            <w:vAlign w:val="center"/>
          </w:tcPr>
          <w:p w14:paraId="2C5C6454">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评分内容</w:t>
            </w:r>
          </w:p>
        </w:tc>
        <w:tc>
          <w:tcPr>
            <w:tcW w:w="6226" w:type="dxa"/>
            <w:noWrap w:val="0"/>
            <w:vAlign w:val="center"/>
          </w:tcPr>
          <w:p w14:paraId="4E5A561E">
            <w:pPr>
              <w:spacing w:line="360" w:lineRule="auto"/>
              <w:ind w:firstLine="2220" w:firstLineChars="925"/>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评分标准</w:t>
            </w:r>
          </w:p>
        </w:tc>
        <w:tc>
          <w:tcPr>
            <w:tcW w:w="907" w:type="dxa"/>
            <w:noWrap w:val="0"/>
            <w:vAlign w:val="center"/>
          </w:tcPr>
          <w:p w14:paraId="53E7864C">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分值</w:t>
            </w:r>
          </w:p>
        </w:tc>
      </w:tr>
      <w:tr w14:paraId="32E1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61" w:type="dxa"/>
            <w:vMerge w:val="restart"/>
            <w:noWrap w:val="0"/>
            <w:vAlign w:val="center"/>
          </w:tcPr>
          <w:p w14:paraId="1BEADE92">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技术方案</w:t>
            </w:r>
          </w:p>
          <w:p w14:paraId="2D72D8DF">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w:t>
            </w: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lang w:val="en-US" w:eastAsia="zh-CN"/>
              </w:rPr>
              <w:t>分）</w:t>
            </w:r>
          </w:p>
        </w:tc>
        <w:tc>
          <w:tcPr>
            <w:tcW w:w="6226" w:type="dxa"/>
            <w:noWrap w:val="0"/>
            <w:vAlign w:val="center"/>
          </w:tcPr>
          <w:p w14:paraId="0F524979">
            <w:pPr>
              <w:spacing w:line="360" w:lineRule="auto"/>
              <w:jc w:val="left"/>
              <w:rPr>
                <w:rFonts w:hint="eastAsia" w:ascii="宋体" w:hAnsi="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根据投标人提供的服务方案的管理机构设置、人员配置、员工素质标准、员工培训及管理、奖惩制度等方案合理、可行，综合体现完整性情况由评委酌情打分。</w:t>
            </w:r>
            <w:r>
              <w:rPr>
                <w:rFonts w:hint="eastAsia" w:ascii="宋体" w:hAnsi="宋体" w:cs="仿宋"/>
                <w:color w:val="auto"/>
                <w:sz w:val="24"/>
                <w:szCs w:val="24"/>
                <w:highlight w:val="none"/>
                <w:lang w:val="en-US" w:eastAsia="zh-CN"/>
              </w:rPr>
              <w:t>（</w:t>
            </w:r>
            <w:r>
              <w:rPr>
                <w:rFonts w:hint="eastAsia" w:ascii="宋体" w:hAnsi="宋体" w:eastAsia="宋体" w:cs="仿宋"/>
                <w:color w:val="auto"/>
                <w:sz w:val="24"/>
                <w:szCs w:val="24"/>
                <w:highlight w:val="none"/>
                <w:lang w:val="en-US" w:eastAsia="zh-CN"/>
              </w:rPr>
              <w:t>12</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w:t>
            </w:r>
          </w:p>
          <w:p w14:paraId="429F6EF6">
            <w:pPr>
              <w:pStyle w:val="2"/>
              <w:rPr>
                <w:rFonts w:hint="eastAsia"/>
                <w:lang w:val="en-US" w:eastAsia="zh-CN"/>
              </w:rPr>
            </w:pPr>
            <w:r>
              <w:rPr>
                <w:rFonts w:hint="eastAsia" w:ascii="宋体" w:hAnsi="宋体" w:eastAsia="宋体" w:cs="仿宋"/>
                <w:b w:val="0"/>
                <w:color w:val="auto"/>
                <w:kern w:val="2"/>
                <w:sz w:val="24"/>
                <w:szCs w:val="24"/>
                <w:highlight w:val="none"/>
                <w:lang w:val="en-US" w:eastAsia="zh-CN" w:bidi="ar-SA"/>
              </w:rPr>
              <w:t>注：缺项不得分。</w:t>
            </w:r>
          </w:p>
        </w:tc>
        <w:tc>
          <w:tcPr>
            <w:tcW w:w="907" w:type="dxa"/>
            <w:noWrap w:val="0"/>
            <w:vAlign w:val="center"/>
          </w:tcPr>
          <w:p w14:paraId="188D251E">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0-12分</w:t>
            </w:r>
          </w:p>
        </w:tc>
      </w:tr>
      <w:tr w14:paraId="603E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1761" w:type="dxa"/>
            <w:vMerge w:val="continue"/>
            <w:noWrap w:val="0"/>
            <w:vAlign w:val="center"/>
          </w:tcPr>
          <w:p w14:paraId="7B81E3CA">
            <w:pPr>
              <w:spacing w:line="360" w:lineRule="auto"/>
              <w:ind w:firstLine="540" w:firstLineChars="225"/>
              <w:jc w:val="left"/>
              <w:rPr>
                <w:rFonts w:hint="eastAsia" w:ascii="宋体" w:hAnsi="宋体" w:eastAsia="宋体" w:cs="仿宋"/>
                <w:color w:val="auto"/>
                <w:sz w:val="24"/>
                <w:szCs w:val="24"/>
                <w:highlight w:val="none"/>
                <w:lang w:val="en-US" w:eastAsia="zh-CN"/>
              </w:rPr>
            </w:pPr>
          </w:p>
        </w:tc>
        <w:tc>
          <w:tcPr>
            <w:tcW w:w="6226" w:type="dxa"/>
            <w:noWrap w:val="0"/>
            <w:vAlign w:val="center"/>
          </w:tcPr>
          <w:p w14:paraId="10F83259">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拟投入本项目机械设备情况打分，评委根据企业提供的方案的相关内容，重点考察投标人投入的机械设备为自有机械设备情况（自有机械设备中需提供挖机、翻耕机、收割机、推土机），横向比较评分。（12</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w:t>
            </w:r>
          </w:p>
          <w:p w14:paraId="184905D9">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注：自有设备需提供购置车辆发票复印件（或打印件）</w:t>
            </w:r>
            <w:r>
              <w:rPr>
                <w:rFonts w:hint="eastAsia" w:ascii="宋体" w:hAnsi="宋体" w:cs="仿宋"/>
                <w:strike w:val="0"/>
                <w:dstrike w:val="0"/>
                <w:color w:val="auto"/>
                <w:sz w:val="24"/>
                <w:szCs w:val="24"/>
                <w:highlight w:val="none"/>
                <w:lang w:val="en-US" w:eastAsia="zh-CN"/>
              </w:rPr>
              <w:t>，</w:t>
            </w:r>
            <w:r>
              <w:rPr>
                <w:rFonts w:hint="eastAsia" w:ascii="宋体" w:hAnsi="宋体" w:eastAsia="宋体" w:cs="仿宋"/>
                <w:b w:val="0"/>
                <w:color w:val="auto"/>
                <w:kern w:val="2"/>
                <w:sz w:val="24"/>
                <w:szCs w:val="24"/>
                <w:highlight w:val="none"/>
                <w:lang w:val="en-US" w:eastAsia="zh-CN" w:bidi="ar-SA"/>
              </w:rPr>
              <w:t>缺项不得分</w:t>
            </w:r>
            <w:r>
              <w:rPr>
                <w:rFonts w:hint="eastAsia" w:ascii="宋体" w:hAnsi="宋体" w:eastAsia="宋体" w:cs="仿宋"/>
                <w:color w:val="auto"/>
                <w:sz w:val="24"/>
                <w:szCs w:val="24"/>
                <w:highlight w:val="none"/>
                <w:lang w:val="en-US" w:eastAsia="zh-CN"/>
              </w:rPr>
              <w:t>。</w:t>
            </w:r>
          </w:p>
        </w:tc>
        <w:tc>
          <w:tcPr>
            <w:tcW w:w="907" w:type="dxa"/>
            <w:noWrap w:val="0"/>
            <w:vAlign w:val="center"/>
          </w:tcPr>
          <w:p w14:paraId="343545A5">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0-12分</w:t>
            </w:r>
          </w:p>
        </w:tc>
      </w:tr>
      <w:tr w14:paraId="7BE4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761" w:type="dxa"/>
            <w:vMerge w:val="continue"/>
            <w:noWrap w:val="0"/>
            <w:vAlign w:val="center"/>
          </w:tcPr>
          <w:p w14:paraId="22BFC42D">
            <w:pPr>
              <w:spacing w:line="360" w:lineRule="auto"/>
              <w:ind w:firstLine="540" w:firstLineChars="225"/>
              <w:jc w:val="left"/>
              <w:rPr>
                <w:rFonts w:hint="eastAsia" w:ascii="宋体" w:hAnsi="宋体" w:eastAsia="宋体" w:cs="仿宋"/>
                <w:color w:val="auto"/>
                <w:sz w:val="24"/>
                <w:szCs w:val="24"/>
                <w:highlight w:val="none"/>
                <w:lang w:val="en-US" w:eastAsia="zh-CN"/>
              </w:rPr>
            </w:pPr>
          </w:p>
        </w:tc>
        <w:tc>
          <w:tcPr>
            <w:tcW w:w="6226" w:type="dxa"/>
            <w:noWrap w:val="0"/>
            <w:vAlign w:val="center"/>
          </w:tcPr>
          <w:p w14:paraId="6FD50A3D">
            <w:pPr>
              <w:spacing w:line="360" w:lineRule="auto"/>
              <w:jc w:val="left"/>
              <w:rPr>
                <w:rFonts w:hint="eastAsia" w:ascii="宋体" w:hAnsi="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根据投标人提供的服务方案中的应急处置方案（应包括台风、暴雨、干旱等灾害性天气）并有突发事件处理和破坏性事件处理工作流程图等方案合理、可行，综合体现完整情况由评委酌情打分。</w:t>
            </w:r>
            <w:r>
              <w:rPr>
                <w:rFonts w:hint="eastAsia" w:ascii="宋体" w:hAnsi="宋体" w:cs="仿宋"/>
                <w:color w:val="auto"/>
                <w:sz w:val="24"/>
                <w:szCs w:val="24"/>
                <w:highlight w:val="none"/>
                <w:lang w:val="en-US" w:eastAsia="zh-CN"/>
              </w:rPr>
              <w:t>（</w:t>
            </w:r>
            <w:r>
              <w:rPr>
                <w:rFonts w:hint="eastAsia" w:ascii="宋体" w:hAnsi="宋体" w:eastAsia="宋体" w:cs="仿宋"/>
                <w:color w:val="auto"/>
                <w:sz w:val="24"/>
                <w:szCs w:val="24"/>
                <w:highlight w:val="none"/>
                <w:lang w:val="en-US" w:eastAsia="zh-CN"/>
              </w:rPr>
              <w:t>1</w:t>
            </w:r>
            <w:r>
              <w:rPr>
                <w:rFonts w:hint="eastAsia" w:ascii="宋体" w:hAnsi="宋体" w:cs="仿宋"/>
                <w:color w:val="auto"/>
                <w:sz w:val="24"/>
                <w:szCs w:val="24"/>
                <w:highlight w:val="none"/>
                <w:lang w:val="en-US" w:eastAsia="zh-CN"/>
              </w:rPr>
              <w:t>0-5</w:t>
            </w:r>
            <w:r>
              <w:rPr>
                <w:rFonts w:hint="eastAsia"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w:t>
            </w:r>
          </w:p>
          <w:p w14:paraId="10DAA725">
            <w:pPr>
              <w:pStyle w:val="2"/>
              <w:rPr>
                <w:rFonts w:hint="eastAsia"/>
                <w:lang w:val="en-US" w:eastAsia="zh-CN"/>
              </w:rPr>
            </w:pPr>
            <w:r>
              <w:rPr>
                <w:rFonts w:hint="eastAsia" w:ascii="宋体" w:hAnsi="宋体" w:eastAsia="宋体" w:cs="仿宋"/>
                <w:b w:val="0"/>
                <w:color w:val="auto"/>
                <w:kern w:val="2"/>
                <w:sz w:val="24"/>
                <w:szCs w:val="24"/>
                <w:highlight w:val="none"/>
                <w:lang w:val="en-US" w:eastAsia="zh-CN" w:bidi="ar-SA"/>
              </w:rPr>
              <w:t>注：缺项不得分。</w:t>
            </w:r>
          </w:p>
        </w:tc>
        <w:tc>
          <w:tcPr>
            <w:tcW w:w="907" w:type="dxa"/>
            <w:noWrap w:val="0"/>
            <w:vAlign w:val="center"/>
          </w:tcPr>
          <w:p w14:paraId="268E6477">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0-10分</w:t>
            </w:r>
          </w:p>
        </w:tc>
      </w:tr>
      <w:tr w14:paraId="6E2B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1761" w:type="dxa"/>
            <w:noWrap w:val="0"/>
            <w:vAlign w:val="center"/>
          </w:tcPr>
          <w:p w14:paraId="25408C61">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资信及业绩</w:t>
            </w:r>
          </w:p>
          <w:p w14:paraId="5F305E0B">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（3分）</w:t>
            </w:r>
          </w:p>
        </w:tc>
        <w:tc>
          <w:tcPr>
            <w:tcW w:w="6226" w:type="dxa"/>
            <w:noWrap w:val="0"/>
            <w:vAlign w:val="center"/>
          </w:tcPr>
          <w:p w14:paraId="594CD8D6">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根据各投标人2021年1月1日到开标之日之前单个合同30万及以上的国内同类项目业绩情况计分。每提供一份业绩得1分，最高不超过3分。注：须提供合同</w:t>
            </w:r>
            <w:r>
              <w:rPr>
                <w:rFonts w:hint="eastAsia" w:ascii="宋体" w:hAnsi="宋体" w:cs="仿宋"/>
                <w:color w:val="auto"/>
                <w:sz w:val="24"/>
                <w:szCs w:val="24"/>
                <w:highlight w:val="none"/>
                <w:lang w:val="en-US" w:eastAsia="zh-CN"/>
              </w:rPr>
              <w:t>清晰</w:t>
            </w:r>
            <w:r>
              <w:rPr>
                <w:rFonts w:hint="eastAsia" w:ascii="宋体" w:hAnsi="宋体" w:eastAsia="宋体" w:cs="仿宋"/>
                <w:color w:val="auto"/>
                <w:sz w:val="24"/>
                <w:szCs w:val="24"/>
                <w:highlight w:val="none"/>
                <w:lang w:val="en-US" w:eastAsia="zh-CN"/>
              </w:rPr>
              <w:t>复印件(或打印件)（没有提供或提供不全或提供不符合要求的，业绩不予认可），不提供不得分。</w:t>
            </w:r>
          </w:p>
        </w:tc>
        <w:tc>
          <w:tcPr>
            <w:tcW w:w="907" w:type="dxa"/>
            <w:noWrap w:val="0"/>
            <w:vAlign w:val="center"/>
          </w:tcPr>
          <w:p w14:paraId="696CC593">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0-3分</w:t>
            </w:r>
          </w:p>
        </w:tc>
      </w:tr>
      <w:tr w14:paraId="5F5A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761" w:type="dxa"/>
            <w:noWrap w:val="0"/>
            <w:vAlign w:val="center"/>
          </w:tcPr>
          <w:p w14:paraId="24785EF8">
            <w:pPr>
              <w:spacing w:line="360" w:lineRule="auto"/>
              <w:jc w:val="center"/>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服务承诺</w:t>
            </w:r>
          </w:p>
          <w:p w14:paraId="45CF824C">
            <w:pPr>
              <w:spacing w:line="360" w:lineRule="auto"/>
              <w:jc w:val="center"/>
              <w:rPr>
                <w:rFonts w:hint="default" w:ascii="宋体" w:hAnsi="宋体" w:eastAsia="宋体" w:cs="仿宋"/>
                <w:color w:val="FF0000"/>
                <w:sz w:val="24"/>
                <w:szCs w:val="24"/>
                <w:highlight w:val="yellow"/>
                <w:lang w:val="en-US" w:eastAsia="zh-CN"/>
              </w:rPr>
            </w:pPr>
            <w:r>
              <w:rPr>
                <w:rFonts w:hint="eastAsia" w:ascii="宋体" w:hAnsi="宋体" w:eastAsia="宋体" w:cs="仿宋"/>
                <w:color w:val="auto"/>
                <w:sz w:val="24"/>
                <w:szCs w:val="24"/>
                <w:highlight w:val="none"/>
                <w:lang w:val="en-US" w:eastAsia="zh-CN"/>
              </w:rPr>
              <w:t>（3分）</w:t>
            </w:r>
          </w:p>
        </w:tc>
        <w:tc>
          <w:tcPr>
            <w:tcW w:w="6226" w:type="dxa"/>
            <w:noWrap w:val="0"/>
            <w:vAlign w:val="center"/>
          </w:tcPr>
          <w:p w14:paraId="653AF2BC">
            <w:pPr>
              <w:spacing w:line="360" w:lineRule="auto"/>
              <w:jc w:val="left"/>
              <w:rPr>
                <w:rFonts w:hint="default"/>
                <w:highlight w:val="none"/>
                <w:lang w:val="en-US" w:eastAsia="zh-CN"/>
              </w:rPr>
            </w:pPr>
            <w:r>
              <w:rPr>
                <w:rFonts w:hint="eastAsia" w:ascii="宋体" w:hAnsi="宋体" w:eastAsia="宋体" w:cs="仿宋"/>
                <w:color w:val="auto"/>
                <w:sz w:val="24"/>
                <w:szCs w:val="24"/>
                <w:highlight w:val="none"/>
                <w:lang w:val="en-US" w:eastAsia="zh-CN"/>
              </w:rPr>
              <w:t>投标人在接到招标人通知后1</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响应，2</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到场的，得3分。接到招标人通知后2</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响应，4</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到场的，得2分。</w:t>
            </w:r>
            <w:r>
              <w:rPr>
                <w:rFonts w:hint="default" w:ascii="宋体" w:hAnsi="宋体" w:eastAsia="宋体" w:cs="仿宋"/>
                <w:color w:val="auto"/>
                <w:sz w:val="24"/>
                <w:szCs w:val="24"/>
                <w:highlight w:val="none"/>
                <w:lang w:val="en-US" w:eastAsia="zh-CN"/>
              </w:rPr>
              <w:t>接到招标人通知后</w:t>
            </w:r>
            <w:r>
              <w:rPr>
                <w:rFonts w:hint="eastAsia" w:ascii="宋体" w:hAnsi="宋体" w:eastAsia="宋体" w:cs="仿宋"/>
                <w:color w:val="auto"/>
                <w:sz w:val="24"/>
                <w:szCs w:val="24"/>
                <w:highlight w:val="none"/>
                <w:lang w:val="en-US" w:eastAsia="zh-CN"/>
              </w:rPr>
              <w:t>3</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default" w:ascii="宋体" w:hAnsi="宋体" w:eastAsia="宋体" w:cs="仿宋"/>
                <w:color w:val="auto"/>
                <w:sz w:val="24"/>
                <w:szCs w:val="24"/>
                <w:highlight w:val="none"/>
                <w:lang w:val="en-US" w:eastAsia="zh-CN"/>
              </w:rPr>
              <w:t>响应，</w:t>
            </w:r>
            <w:r>
              <w:rPr>
                <w:rFonts w:hint="eastAsia" w:ascii="宋体" w:hAnsi="宋体" w:eastAsia="宋体" w:cs="仿宋"/>
                <w:color w:val="auto"/>
                <w:sz w:val="24"/>
                <w:szCs w:val="24"/>
                <w:highlight w:val="none"/>
                <w:lang w:val="en-US" w:eastAsia="zh-CN"/>
              </w:rPr>
              <w:t>6</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default" w:ascii="宋体" w:hAnsi="宋体" w:eastAsia="宋体" w:cs="仿宋"/>
                <w:color w:val="auto"/>
                <w:sz w:val="24"/>
                <w:szCs w:val="24"/>
                <w:highlight w:val="none"/>
                <w:lang w:val="en-US" w:eastAsia="zh-CN"/>
              </w:rPr>
              <w:t>到场的，得</w:t>
            </w:r>
            <w:r>
              <w:rPr>
                <w:rFonts w:hint="eastAsia" w:ascii="宋体" w:hAnsi="宋体" w:eastAsia="宋体" w:cs="仿宋"/>
                <w:color w:val="auto"/>
                <w:sz w:val="24"/>
                <w:szCs w:val="24"/>
                <w:highlight w:val="none"/>
                <w:lang w:val="en-US" w:eastAsia="zh-CN"/>
              </w:rPr>
              <w:t>1</w:t>
            </w:r>
            <w:r>
              <w:rPr>
                <w:rFonts w:hint="default"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其余不得分。</w:t>
            </w:r>
          </w:p>
        </w:tc>
        <w:tc>
          <w:tcPr>
            <w:tcW w:w="907" w:type="dxa"/>
            <w:noWrap w:val="0"/>
            <w:vAlign w:val="center"/>
          </w:tcPr>
          <w:p w14:paraId="532796EE">
            <w:pPr>
              <w:spacing w:line="360" w:lineRule="auto"/>
              <w:jc w:val="left"/>
              <w:rPr>
                <w:rFonts w:hint="default"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0-3分</w:t>
            </w:r>
          </w:p>
        </w:tc>
      </w:tr>
    </w:tbl>
    <w:p w14:paraId="21AE4D32">
      <w:pPr>
        <w:spacing w:line="360" w:lineRule="auto"/>
        <w:ind w:firstLine="542" w:firstLineChars="225"/>
        <w:rPr>
          <w:rFonts w:hint="eastAsia"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lang w:val="en-US" w:eastAsia="zh-CN"/>
        </w:rPr>
        <w:t>（</w:t>
      </w:r>
      <w:r>
        <w:rPr>
          <w:rFonts w:hint="eastAsia" w:ascii="宋体" w:hAnsi="宋体" w:cs="仿宋"/>
          <w:b/>
          <w:bCs/>
          <w:color w:val="auto"/>
          <w:sz w:val="24"/>
          <w:szCs w:val="24"/>
          <w:highlight w:val="none"/>
          <w:lang w:val="en-US" w:eastAsia="zh-CN"/>
        </w:rPr>
        <w:t>二</w:t>
      </w:r>
      <w:r>
        <w:rPr>
          <w:rFonts w:hint="eastAsia" w:ascii="宋体" w:hAnsi="宋体" w:eastAsia="宋体" w:cs="仿宋"/>
          <w:b/>
          <w:bCs/>
          <w:color w:val="auto"/>
          <w:sz w:val="24"/>
          <w:szCs w:val="24"/>
          <w:highlight w:val="none"/>
          <w:lang w:val="en-US" w:eastAsia="zh-CN"/>
        </w:rPr>
        <w:t>）商务标评审（60分）</w:t>
      </w:r>
    </w:p>
    <w:p w14:paraId="5F4907B2">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商务标评定分值为60分。（以下除注明外，数值以百分号前保留二位小数</w:t>
      </w:r>
      <w:r>
        <w:rPr>
          <w:rFonts w:hint="eastAsia" w:ascii="宋体" w:hAnsi="宋体" w:cs="仿宋"/>
          <w:color w:val="auto"/>
          <w:sz w:val="24"/>
          <w:szCs w:val="24"/>
          <w:highlight w:val="none"/>
          <w:lang w:val="en-US" w:eastAsia="zh-CN"/>
        </w:rPr>
        <w:t>为准</w:t>
      </w:r>
      <w:bookmarkStart w:id="58" w:name="_GoBack"/>
      <w:bookmarkEnd w:id="58"/>
      <w:r>
        <w:rPr>
          <w:rFonts w:hint="eastAsia" w:ascii="宋体" w:hAnsi="宋体" w:eastAsia="宋体" w:cs="仿宋"/>
          <w:color w:val="auto"/>
          <w:sz w:val="24"/>
          <w:szCs w:val="24"/>
          <w:highlight w:val="none"/>
          <w:lang w:val="en-US" w:eastAsia="zh-CN"/>
        </w:rPr>
        <w:t>，计算结果小数点后保留2位，第3位四舍五入）。</w:t>
      </w:r>
    </w:p>
    <w:p w14:paraId="15CEB95B">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1、</w:t>
      </w:r>
      <w:r>
        <w:rPr>
          <w:rFonts w:hint="eastAsia" w:ascii="宋体" w:hAnsi="宋体" w:eastAsia="宋体" w:cs="仿宋"/>
          <w:color w:val="auto"/>
          <w:sz w:val="24"/>
          <w:szCs w:val="24"/>
          <w:highlight w:val="none"/>
          <w:lang w:val="en-US" w:eastAsia="zh-CN"/>
        </w:rPr>
        <w:t>评标标底价</w:t>
      </w:r>
    </w:p>
    <w:p w14:paraId="43E9A216">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取所有投标报价的平均值作为评标标底价。</w:t>
      </w:r>
    </w:p>
    <w:p w14:paraId="3CD01613">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2、</w:t>
      </w:r>
      <w:r>
        <w:rPr>
          <w:rFonts w:hint="eastAsia" w:ascii="宋体" w:hAnsi="宋体" w:eastAsia="宋体" w:cs="仿宋"/>
          <w:color w:val="auto"/>
          <w:sz w:val="24"/>
          <w:szCs w:val="24"/>
          <w:highlight w:val="none"/>
          <w:lang w:val="en-US" w:eastAsia="zh-CN"/>
        </w:rPr>
        <w:t>商务标得分</w:t>
      </w:r>
    </w:p>
    <w:p w14:paraId="0D8FFA27">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1）投标报价等于评标标底价的得60分。</w:t>
      </w:r>
    </w:p>
    <w:p w14:paraId="00784A29">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2）每高于评标标底价一个百分点扣1分（商务标分值＝60－|（投标报价-评标标底价）/评标标底价|×100×1），每低于评标标底价一个百分点扣0.5分（商务标分值＝60－| （评标标底价-投标报价）/评标标底价|×100×0.5），中间按内插法计算。</w:t>
      </w:r>
    </w:p>
    <w:p w14:paraId="4B46C676">
      <w:pPr>
        <w:spacing w:line="360" w:lineRule="auto"/>
        <w:ind w:firstLine="480" w:firstLineChars="200"/>
        <w:rPr>
          <w:rFonts w:asciiTheme="minorEastAsia" w:hAnsiTheme="minorEastAsia" w:eastAsiaTheme="minorEastAsia"/>
          <w:b/>
          <w:sz w:val="24"/>
        </w:rPr>
      </w:pPr>
      <w:r>
        <w:rPr>
          <w:rFonts w:hint="eastAsia" w:ascii="宋体" w:hAnsi="宋体" w:eastAsia="宋体" w:cs="仿宋"/>
          <w:color w:val="auto"/>
          <w:sz w:val="24"/>
          <w:szCs w:val="24"/>
          <w:highlight w:val="none"/>
          <w:lang w:val="en-US" w:eastAsia="zh-CN"/>
        </w:rPr>
        <w:t>3、</w:t>
      </w:r>
      <w:r>
        <w:rPr>
          <w:rFonts w:hint="eastAsia" w:asciiTheme="minorEastAsia" w:hAnsiTheme="minorEastAsia" w:eastAsiaTheme="minorEastAsia"/>
          <w:b/>
          <w:sz w:val="24"/>
        </w:rPr>
        <w:t>评审要求</w:t>
      </w:r>
    </w:p>
    <w:p w14:paraId="59C9DBFD">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723E3954">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14:paraId="15607111">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14:paraId="473D8B0A">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14:paraId="408D8F19">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14:paraId="001F8729">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14:paraId="7E44C2DE">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296A0DDA">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70B13E27">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lang w:val="en-US" w:eastAsia="zh-CN"/>
        </w:rPr>
        <w:t>有效投标供应商的综合得分=技术资信标得分+商务标得分。</w:t>
      </w:r>
    </w:p>
    <w:p w14:paraId="36246DC5">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评标委员会按综合得分高低顺序排列，综合得分第一名投标供应商作为中标候选人向采购人推荐，并提交评标报告。（综合得分相同的以投标报价低的为排序第一；综合得分、投标报价均相同时，则采购人授权评标委员会确定排名。）</w:t>
      </w:r>
    </w:p>
    <w:p w14:paraId="1C70894A">
      <w:pPr>
        <w:pStyle w:val="10"/>
        <w:rPr>
          <w:rFonts w:hint="eastAsia" w:ascii="宋体" w:hAnsi="宋体" w:eastAsia="宋体" w:cs="仿宋"/>
          <w:color w:val="auto"/>
          <w:sz w:val="24"/>
          <w:szCs w:val="24"/>
          <w:highlight w:val="none"/>
          <w:lang w:val="en-US" w:eastAsia="zh-CN"/>
        </w:rPr>
      </w:pPr>
    </w:p>
    <w:p w14:paraId="34FEDBA6">
      <w:pPr>
        <w:pStyle w:val="11"/>
        <w:rPr>
          <w:rFonts w:hint="eastAsia" w:ascii="宋体" w:hAnsi="宋体" w:eastAsia="宋体" w:cs="仿宋"/>
          <w:color w:val="auto"/>
          <w:sz w:val="24"/>
          <w:szCs w:val="24"/>
          <w:highlight w:val="none"/>
          <w:lang w:val="en-US" w:eastAsia="zh-CN"/>
        </w:rPr>
      </w:pPr>
    </w:p>
    <w:p w14:paraId="61D0D1A4">
      <w:pPr>
        <w:pStyle w:val="12"/>
        <w:rPr>
          <w:rFonts w:hint="eastAsia" w:ascii="宋体" w:hAnsi="宋体" w:eastAsia="宋体" w:cs="仿宋"/>
          <w:color w:val="auto"/>
          <w:sz w:val="24"/>
          <w:szCs w:val="24"/>
          <w:highlight w:val="none"/>
          <w:lang w:val="en-US" w:eastAsia="zh-CN"/>
        </w:rPr>
      </w:pPr>
    </w:p>
    <w:p w14:paraId="7555FBCD">
      <w:pPr>
        <w:rPr>
          <w:rFonts w:hint="eastAsia" w:ascii="宋体" w:hAnsi="宋体" w:eastAsia="宋体" w:cs="仿宋"/>
          <w:color w:val="auto"/>
          <w:sz w:val="24"/>
          <w:szCs w:val="24"/>
          <w:highlight w:val="none"/>
          <w:lang w:val="en-US" w:eastAsia="zh-CN"/>
        </w:rPr>
      </w:pPr>
    </w:p>
    <w:p w14:paraId="187F6996">
      <w:pPr>
        <w:pStyle w:val="10"/>
        <w:rPr>
          <w:rFonts w:hint="eastAsia" w:ascii="宋体" w:hAnsi="宋体" w:eastAsia="宋体" w:cs="仿宋"/>
          <w:color w:val="auto"/>
          <w:sz w:val="24"/>
          <w:szCs w:val="24"/>
          <w:highlight w:val="none"/>
          <w:lang w:val="en-US" w:eastAsia="zh-CN"/>
        </w:rPr>
      </w:pPr>
    </w:p>
    <w:p w14:paraId="5F3A3052">
      <w:pPr>
        <w:pStyle w:val="11"/>
        <w:rPr>
          <w:rFonts w:hint="eastAsia" w:ascii="宋体" w:hAnsi="宋体" w:eastAsia="宋体" w:cs="仿宋"/>
          <w:color w:val="auto"/>
          <w:sz w:val="24"/>
          <w:szCs w:val="24"/>
          <w:highlight w:val="none"/>
          <w:lang w:val="en-US" w:eastAsia="zh-CN"/>
        </w:rPr>
      </w:pPr>
    </w:p>
    <w:p w14:paraId="76D64A58">
      <w:pPr>
        <w:pStyle w:val="12"/>
        <w:rPr>
          <w:rFonts w:hint="eastAsia" w:ascii="宋体" w:hAnsi="宋体" w:eastAsia="宋体" w:cs="仿宋"/>
          <w:color w:val="auto"/>
          <w:sz w:val="24"/>
          <w:szCs w:val="24"/>
          <w:highlight w:val="none"/>
          <w:lang w:val="en-US" w:eastAsia="zh-CN"/>
        </w:rPr>
      </w:pPr>
    </w:p>
    <w:p w14:paraId="422AF278">
      <w:pPr>
        <w:rPr>
          <w:rFonts w:hint="eastAsia" w:ascii="宋体" w:hAnsi="宋体" w:eastAsia="宋体" w:cs="仿宋"/>
          <w:color w:val="auto"/>
          <w:sz w:val="24"/>
          <w:szCs w:val="24"/>
          <w:highlight w:val="none"/>
          <w:lang w:val="en-US" w:eastAsia="zh-CN"/>
        </w:rPr>
      </w:pPr>
    </w:p>
    <w:p w14:paraId="78DDB413">
      <w:pPr>
        <w:pStyle w:val="10"/>
        <w:rPr>
          <w:rFonts w:hint="eastAsia" w:ascii="宋体" w:hAnsi="宋体" w:eastAsia="宋体" w:cs="仿宋"/>
          <w:color w:val="auto"/>
          <w:sz w:val="24"/>
          <w:szCs w:val="24"/>
          <w:highlight w:val="none"/>
          <w:lang w:val="en-US" w:eastAsia="zh-CN"/>
        </w:rPr>
      </w:pPr>
    </w:p>
    <w:p w14:paraId="3CA4F673">
      <w:pPr>
        <w:pStyle w:val="11"/>
        <w:rPr>
          <w:rFonts w:hint="eastAsia" w:ascii="宋体" w:hAnsi="宋体" w:eastAsia="宋体" w:cs="仿宋"/>
          <w:color w:val="auto"/>
          <w:sz w:val="24"/>
          <w:szCs w:val="24"/>
          <w:highlight w:val="none"/>
          <w:lang w:val="en-US" w:eastAsia="zh-CN"/>
        </w:rPr>
      </w:pPr>
    </w:p>
    <w:p w14:paraId="632E6ECC">
      <w:pPr>
        <w:pStyle w:val="12"/>
        <w:rPr>
          <w:rFonts w:hint="eastAsia" w:ascii="宋体" w:hAnsi="宋体" w:eastAsia="宋体" w:cs="仿宋"/>
          <w:color w:val="auto"/>
          <w:sz w:val="24"/>
          <w:szCs w:val="24"/>
          <w:highlight w:val="none"/>
          <w:lang w:val="en-US" w:eastAsia="zh-CN"/>
        </w:rPr>
      </w:pPr>
    </w:p>
    <w:p w14:paraId="3D7890CD">
      <w:pPr>
        <w:rPr>
          <w:rFonts w:hint="eastAsia" w:ascii="宋体" w:hAnsi="宋体" w:eastAsia="宋体" w:cs="仿宋"/>
          <w:color w:val="auto"/>
          <w:sz w:val="24"/>
          <w:szCs w:val="24"/>
          <w:highlight w:val="none"/>
          <w:lang w:val="en-US" w:eastAsia="zh-CN"/>
        </w:rPr>
      </w:pPr>
    </w:p>
    <w:p w14:paraId="399EAF26">
      <w:pPr>
        <w:pStyle w:val="2"/>
        <w:rPr>
          <w:rFonts w:hint="eastAsia"/>
          <w:lang w:val="en-US" w:eastAsia="zh-CN"/>
        </w:rPr>
      </w:pPr>
    </w:p>
    <w:p w14:paraId="792A69CE">
      <w:pPr>
        <w:pStyle w:val="10"/>
        <w:rPr>
          <w:rFonts w:hint="eastAsia"/>
          <w:lang w:val="en-US" w:eastAsia="zh-CN"/>
        </w:rPr>
      </w:pPr>
    </w:p>
    <w:bookmarkEnd w:id="37"/>
    <w:p w14:paraId="24DE6D7D">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14:paraId="2CBF312F">
      <w:pPr>
        <w:pStyle w:val="21"/>
        <w:spacing w:line="360" w:lineRule="auto"/>
        <w:rPr>
          <w:rFonts w:ascii="黑体" w:eastAsia="黑体"/>
          <w:b/>
          <w:color w:val="auto"/>
          <w:sz w:val="32"/>
          <w:szCs w:val="32"/>
          <w:highlight w:val="none"/>
        </w:rPr>
      </w:pPr>
      <w:bookmarkStart w:id="38" w:name="_Toc291147771"/>
      <w:r>
        <w:rPr>
          <w:rFonts w:hint="eastAsia" w:ascii="黑体" w:eastAsia="黑体"/>
          <w:b/>
          <w:color w:val="auto"/>
          <w:sz w:val="32"/>
          <w:szCs w:val="32"/>
          <w:highlight w:val="none"/>
        </w:rPr>
        <w:t>合同格式</w:t>
      </w:r>
    </w:p>
    <w:p w14:paraId="0D3BDB82">
      <w:pPr>
        <w:pStyle w:val="2"/>
        <w:numPr>
          <w:ilvl w:val="0"/>
          <w:numId w:val="0"/>
        </w:numPr>
        <w:spacing w:before="0" w:line="360" w:lineRule="auto"/>
        <w:jc w:val="center"/>
        <w:rPr>
          <w:rFonts w:hint="eastAsia" w:ascii="宋体" w:hAnsi="宋体" w:eastAsia="宋体" w:cs="Times New Roman"/>
          <w:b/>
          <w:bCs/>
          <w:color w:val="auto"/>
          <w:kern w:val="21"/>
          <w:szCs w:val="32"/>
          <w:highlight w:val="none"/>
        </w:rPr>
      </w:pPr>
      <w:r>
        <w:rPr>
          <w:rFonts w:hint="eastAsia" w:ascii="宋体" w:hAnsi="宋体" w:eastAsia="宋体" w:cs="Times New Roman"/>
          <w:b/>
          <w:bCs/>
          <w:color w:val="auto"/>
          <w:kern w:val="21"/>
          <w:szCs w:val="32"/>
          <w:highlight w:val="none"/>
        </w:rPr>
        <w:t>第一部分  机械设备租赁合同</w:t>
      </w:r>
    </w:p>
    <w:p w14:paraId="61173908">
      <w:pPr>
        <w:spacing w:line="360" w:lineRule="auto"/>
        <w:ind w:firstLine="540" w:firstLineChars="225"/>
        <w:rPr>
          <w:rFonts w:hint="eastAsia"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承租方：（以下简称甲方）</w:t>
      </w:r>
      <w:r>
        <w:rPr>
          <w:rFonts w:hint="eastAsia" w:ascii="宋体" w:hAnsi="宋体" w:eastAsia="宋体" w:cs="仿宋"/>
          <w:color w:val="auto"/>
          <w:sz w:val="24"/>
          <w:szCs w:val="24"/>
          <w:highlight w:val="none"/>
          <w:u w:val="single"/>
        </w:rPr>
        <w:t xml:space="preserve">台州东茂观光农业开发有限公司 </w:t>
      </w:r>
    </w:p>
    <w:p w14:paraId="0762FA77">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出租方：（以下简称乙方）：                      </w:t>
      </w:r>
    </w:p>
    <w:p w14:paraId="69F4CA39">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依照《中华人民共和国</w:t>
      </w:r>
      <w:r>
        <w:rPr>
          <w:rFonts w:hint="eastAsia" w:ascii="宋体" w:hAnsi="宋体" w:eastAsia="宋体" w:cs="仿宋"/>
          <w:color w:val="auto"/>
          <w:sz w:val="24"/>
          <w:szCs w:val="24"/>
          <w:highlight w:val="none"/>
          <w:lang w:val="en-US" w:eastAsia="zh-CN"/>
        </w:rPr>
        <w:t>民法典</w:t>
      </w:r>
      <w:r>
        <w:rPr>
          <w:rFonts w:hint="eastAsia" w:ascii="宋体" w:hAnsi="宋体" w:eastAsia="宋体" w:cs="仿宋"/>
          <w:color w:val="auto"/>
          <w:sz w:val="24"/>
          <w:szCs w:val="24"/>
          <w:highlight w:val="none"/>
        </w:rPr>
        <w:t>》及国家相关法律、法规和公司文件相关规定，遵循平等、自愿、公平和诚信的原则，甲、乙双方就</w:t>
      </w:r>
      <w:r>
        <w:rPr>
          <w:rFonts w:hint="eastAsia" w:ascii="宋体" w:hAnsi="宋体" w:cs="仿宋"/>
          <w:color w:val="auto"/>
          <w:sz w:val="24"/>
          <w:szCs w:val="24"/>
          <w:highlight w:val="none"/>
          <w:u w:val="single"/>
          <w:lang w:eastAsia="zh-CN"/>
        </w:rPr>
        <w:t>台州东茂观光农业开发有限公司2024零星机械租赁项目（第二批)</w:t>
      </w:r>
      <w:r>
        <w:rPr>
          <w:rFonts w:hint="eastAsia" w:ascii="宋体" w:hAnsi="宋体" w:eastAsia="宋体" w:cs="仿宋"/>
          <w:color w:val="auto"/>
          <w:sz w:val="24"/>
          <w:szCs w:val="24"/>
          <w:highlight w:val="none"/>
        </w:rPr>
        <w:t>事宜协商达成一致,订立本合同。</w:t>
      </w:r>
    </w:p>
    <w:p w14:paraId="266948A9">
      <w:pPr>
        <w:spacing w:line="360" w:lineRule="auto"/>
        <w:ind w:firstLine="542" w:firstLineChars="225"/>
        <w:rPr>
          <w:rFonts w:hint="eastAsia" w:ascii="宋体" w:hAnsi="宋体" w:eastAsia="宋体" w:cs="仿宋"/>
          <w:b/>
          <w:bCs/>
          <w:color w:val="auto"/>
          <w:sz w:val="24"/>
          <w:szCs w:val="24"/>
          <w:highlight w:val="none"/>
          <w:lang w:eastAsia="zh-CN"/>
        </w:rPr>
      </w:pPr>
      <w:r>
        <w:rPr>
          <w:rFonts w:ascii="宋体" w:hAnsi="宋体" w:eastAsia="宋体"/>
          <w:b/>
          <w:bCs/>
          <w:color w:val="auto"/>
          <w:sz w:val="24"/>
          <w:szCs w:val="24"/>
          <w:highlight w:val="none"/>
        </w:rPr>
        <w:t>第一条：</w:t>
      </w:r>
      <w:r>
        <w:rPr>
          <w:rFonts w:hint="eastAsia" w:ascii="宋体" w:hAnsi="宋体" w:eastAsia="宋体" w:cs="仿宋"/>
          <w:b/>
          <w:bCs/>
          <w:color w:val="auto"/>
          <w:sz w:val="24"/>
          <w:szCs w:val="24"/>
          <w:highlight w:val="none"/>
        </w:rPr>
        <w:t>：工程概况</w:t>
      </w:r>
    </w:p>
    <w:p w14:paraId="4D5CAEC1">
      <w:pPr>
        <w:spacing w:line="360" w:lineRule="auto"/>
        <w:ind w:firstLine="241" w:firstLineChars="100"/>
        <w:rPr>
          <w:rFonts w:hint="eastAsia" w:ascii="宋体" w:hAnsi="宋体" w:eastAsia="宋体" w:cs="仿宋"/>
          <w:color w:val="auto"/>
          <w:sz w:val="24"/>
          <w:szCs w:val="24"/>
          <w:highlight w:val="none"/>
          <w:u w:val="single"/>
        </w:rPr>
      </w:pPr>
      <w:r>
        <w:rPr>
          <w:rFonts w:hint="eastAsia" w:ascii="宋体" w:hAnsi="宋体" w:eastAsia="宋体" w:cs="仿宋"/>
          <w:b/>
          <w:bCs/>
          <w:color w:val="auto"/>
          <w:sz w:val="24"/>
          <w:szCs w:val="24"/>
          <w:highlight w:val="none"/>
        </w:rPr>
        <w:t xml:space="preserve">  </w:t>
      </w:r>
      <w:r>
        <w:rPr>
          <w:rFonts w:hint="eastAsia" w:ascii="宋体" w:hAnsi="宋体" w:eastAsia="宋体" w:cs="仿宋"/>
          <w:color w:val="auto"/>
          <w:sz w:val="24"/>
          <w:szCs w:val="24"/>
          <w:highlight w:val="none"/>
        </w:rPr>
        <w:t>工程名称：</w:t>
      </w:r>
      <w:r>
        <w:rPr>
          <w:rFonts w:hint="eastAsia" w:ascii="宋体" w:hAnsi="宋体" w:cs="仿宋"/>
          <w:color w:val="auto"/>
          <w:sz w:val="24"/>
          <w:szCs w:val="24"/>
          <w:highlight w:val="none"/>
          <w:u w:val="single"/>
          <w:lang w:eastAsia="zh-CN"/>
        </w:rPr>
        <w:t>台州东茂观光农业开发有限公司2024零星机械租赁项目（第二批)</w:t>
      </w:r>
      <w:r>
        <w:rPr>
          <w:rFonts w:hint="eastAsia" w:ascii="宋体" w:hAnsi="宋体" w:eastAsia="宋体" w:cs="仿宋"/>
          <w:color w:val="auto"/>
          <w:sz w:val="24"/>
          <w:szCs w:val="24"/>
          <w:highlight w:val="none"/>
          <w:u w:val="single"/>
        </w:rPr>
        <w:t xml:space="preserve">  </w:t>
      </w:r>
    </w:p>
    <w:p w14:paraId="6F96508F">
      <w:pPr>
        <w:numPr>
          <w:ilvl w:val="0"/>
          <w:numId w:val="10"/>
        </w:num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：合同工期</w:t>
      </w:r>
    </w:p>
    <w:p w14:paraId="4F16DA69">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rPr>
        <w:t>签订合同后</w:t>
      </w:r>
      <w:r>
        <w:rPr>
          <w:rFonts w:hint="eastAsia" w:ascii="宋体" w:hAnsi="宋体" w:eastAsia="宋体" w:cs="仿宋"/>
          <w:color w:val="auto"/>
          <w:sz w:val="24"/>
          <w:szCs w:val="24"/>
          <w:highlight w:val="none"/>
          <w:lang w:val="en-US" w:eastAsia="zh-CN"/>
        </w:rPr>
        <w:t>1年或累计实际结算金额达到</w:t>
      </w:r>
      <w:r>
        <w:rPr>
          <w:rFonts w:hint="eastAsia" w:ascii="宋体" w:hAnsi="宋体" w:cs="仿宋"/>
          <w:color w:val="auto"/>
          <w:sz w:val="24"/>
          <w:szCs w:val="24"/>
          <w:highlight w:val="none"/>
          <w:lang w:val="en-US" w:eastAsia="zh-CN"/>
        </w:rPr>
        <w:t>200万元</w:t>
      </w:r>
      <w:r>
        <w:rPr>
          <w:rFonts w:hint="eastAsia" w:ascii="宋体" w:hAnsi="宋体" w:eastAsia="宋体" w:cs="仿宋"/>
          <w:color w:val="auto"/>
          <w:sz w:val="24"/>
          <w:szCs w:val="24"/>
          <w:highlight w:val="none"/>
          <w:lang w:val="en-US" w:eastAsia="zh-CN"/>
        </w:rPr>
        <w:t xml:space="preserve">（以先到者为准） </w:t>
      </w:r>
    </w:p>
    <w:p w14:paraId="207D029E">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三</w:t>
      </w:r>
      <w:r>
        <w:rPr>
          <w:rFonts w:hint="eastAsia" w:ascii="宋体" w:hAnsi="宋体" w:eastAsia="宋体" w:cs="仿宋"/>
          <w:b/>
          <w:bCs/>
          <w:color w:val="auto"/>
          <w:sz w:val="24"/>
          <w:szCs w:val="24"/>
          <w:highlight w:val="none"/>
        </w:rPr>
        <w:t>条：组成合同文件及解释顺序</w:t>
      </w:r>
    </w:p>
    <w:p w14:paraId="67C45F51">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组成本合同的文件及优先解释顺序如下：</w:t>
      </w:r>
    </w:p>
    <w:p w14:paraId="41275983">
      <w:pPr>
        <w:spacing w:line="360" w:lineRule="auto"/>
        <w:ind w:firstLine="720" w:firstLineChars="300"/>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1、中标通知书</w:t>
      </w:r>
    </w:p>
    <w:p w14:paraId="4AF07E43">
      <w:pPr>
        <w:spacing w:line="360" w:lineRule="auto"/>
        <w:ind w:firstLine="720" w:firstLineChars="3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2、本合同；</w:t>
      </w:r>
    </w:p>
    <w:p w14:paraId="04723E9B">
      <w:pPr>
        <w:spacing w:line="360" w:lineRule="auto"/>
        <w:ind w:firstLine="480" w:firstLineChars="2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3、本合同附件（如有）；</w:t>
      </w:r>
    </w:p>
    <w:p w14:paraId="0A5E92E0">
      <w:pPr>
        <w:spacing w:line="360" w:lineRule="auto"/>
        <w:ind w:firstLine="480" w:firstLineChars="200"/>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4、</w:t>
      </w:r>
      <w:r>
        <w:rPr>
          <w:rFonts w:hint="eastAsia" w:ascii="宋体" w:hAnsi="宋体" w:eastAsia="宋体" w:cs="仿宋"/>
          <w:color w:val="auto"/>
          <w:sz w:val="24"/>
          <w:szCs w:val="24"/>
          <w:highlight w:val="none"/>
          <w:lang w:val="en-US" w:eastAsia="zh-CN"/>
        </w:rPr>
        <w:t>投</w:t>
      </w:r>
      <w:r>
        <w:rPr>
          <w:rFonts w:hint="eastAsia" w:ascii="宋体" w:hAnsi="宋体" w:eastAsia="宋体" w:cs="仿宋"/>
          <w:color w:val="auto"/>
          <w:sz w:val="24"/>
          <w:szCs w:val="24"/>
          <w:highlight w:val="none"/>
        </w:rPr>
        <w:t>标文件；</w:t>
      </w:r>
    </w:p>
    <w:p w14:paraId="5AA1AA70">
      <w:pPr>
        <w:spacing w:line="360" w:lineRule="auto"/>
        <w:ind w:firstLine="720" w:firstLineChars="3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5、</w:t>
      </w:r>
      <w:r>
        <w:rPr>
          <w:rFonts w:hint="eastAsia" w:ascii="宋体" w:hAnsi="宋体" w:eastAsia="宋体" w:cs="仿宋"/>
          <w:color w:val="auto"/>
          <w:sz w:val="24"/>
          <w:szCs w:val="24"/>
          <w:highlight w:val="none"/>
          <w:lang w:val="en-US" w:eastAsia="zh-CN"/>
        </w:rPr>
        <w:t>招</w:t>
      </w:r>
      <w:r>
        <w:rPr>
          <w:rFonts w:hint="eastAsia" w:ascii="宋体" w:hAnsi="宋体" w:eastAsia="宋体" w:cs="仿宋"/>
          <w:color w:val="auto"/>
          <w:sz w:val="24"/>
          <w:szCs w:val="24"/>
          <w:highlight w:val="none"/>
        </w:rPr>
        <w:t>标文件；</w:t>
      </w:r>
    </w:p>
    <w:p w14:paraId="776E39FE">
      <w:pPr>
        <w:spacing w:line="360" w:lineRule="auto"/>
        <w:ind w:firstLine="480" w:firstLineChars="2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注：上述文件应互为补充，在合同中出现含糊不清或不相一致时，按上述顺序解释，不能清楚解释时，在不影响工程正常施工进度的情况下由双方协商解决。</w:t>
      </w:r>
    </w:p>
    <w:p w14:paraId="4578683F">
      <w:pPr>
        <w:spacing w:line="360" w:lineRule="auto"/>
        <w:ind w:firstLine="482" w:firstLineChars="200"/>
        <w:jc w:val="left"/>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四</w:t>
      </w:r>
      <w:r>
        <w:rPr>
          <w:rFonts w:hint="eastAsia" w:ascii="宋体" w:hAnsi="宋体" w:eastAsia="宋体" w:cs="仿宋"/>
          <w:b/>
          <w:bCs/>
          <w:color w:val="auto"/>
          <w:sz w:val="24"/>
          <w:szCs w:val="24"/>
          <w:highlight w:val="none"/>
        </w:rPr>
        <w:t>条：标准规范</w:t>
      </w:r>
    </w:p>
    <w:p w14:paraId="6DE24DBC">
      <w:pPr>
        <w:spacing w:line="360" w:lineRule="auto"/>
        <w:ind w:firstLine="480" w:firstLineChars="200"/>
        <w:jc w:val="left"/>
        <w:rPr>
          <w:rFonts w:hint="eastAsia" w:ascii="宋体" w:hAnsi="宋体" w:eastAsia="宋体" w:cs="仿宋"/>
          <w:color w:val="auto"/>
          <w:sz w:val="24"/>
          <w:szCs w:val="24"/>
          <w:highlight w:val="none"/>
          <w:u w:val="single"/>
          <w:lang w:eastAsia="zh-CN"/>
        </w:rPr>
      </w:pPr>
      <w:r>
        <w:rPr>
          <w:rFonts w:hint="eastAsia" w:ascii="宋体" w:hAnsi="宋体" w:eastAsia="宋体" w:cs="仿宋"/>
          <w:color w:val="auto"/>
          <w:sz w:val="24"/>
          <w:szCs w:val="24"/>
          <w:highlight w:val="none"/>
        </w:rPr>
        <w:t>本合同适用标准规范：</w:t>
      </w:r>
      <w:r>
        <w:rPr>
          <w:rFonts w:hint="eastAsia" w:ascii="宋体" w:hAnsi="宋体" w:eastAsia="宋体" w:cs="仿宋"/>
          <w:color w:val="auto"/>
          <w:sz w:val="24"/>
          <w:szCs w:val="24"/>
          <w:highlight w:val="none"/>
          <w:u w:val="single"/>
        </w:rPr>
        <w:t xml:space="preserve">/  </w:t>
      </w:r>
    </w:p>
    <w:p w14:paraId="10A38625">
      <w:pPr>
        <w:spacing w:line="360" w:lineRule="auto"/>
        <w:ind w:firstLine="482" w:firstLineChars="200"/>
        <w:jc w:val="left"/>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五</w:t>
      </w:r>
      <w:r>
        <w:rPr>
          <w:rFonts w:hint="eastAsia" w:ascii="宋体" w:hAnsi="宋体" w:eastAsia="宋体" w:cs="仿宋"/>
          <w:b/>
          <w:bCs/>
          <w:color w:val="auto"/>
          <w:sz w:val="24"/>
          <w:szCs w:val="24"/>
          <w:highlight w:val="none"/>
        </w:rPr>
        <w:t>条：甲方责任和义务</w:t>
      </w:r>
    </w:p>
    <w:p w14:paraId="25A077E2">
      <w:pPr>
        <w:spacing w:line="360" w:lineRule="auto"/>
        <w:ind w:firstLine="480" w:firstLineChars="200"/>
        <w:jc w:val="both"/>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1、负责对机械设备租赁单位的工程质量、工期、文明施工的监督检查。</w:t>
      </w:r>
    </w:p>
    <w:p w14:paraId="13E95B30">
      <w:pPr>
        <w:spacing w:line="360" w:lineRule="auto"/>
        <w:ind w:firstLine="480" w:firstLineChars="200"/>
        <w:jc w:val="both"/>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2、负责与有关部门工作联系，协调现场工作关系。</w:t>
      </w:r>
    </w:p>
    <w:p w14:paraId="3EC88DB7">
      <w:pPr>
        <w:spacing w:line="360" w:lineRule="auto"/>
        <w:ind w:firstLine="480" w:firstLineChars="200"/>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3、按本合同约定，负责租赁设备实际租赁工作时间签认，及时向乙方支付机械设备租赁款。</w:t>
      </w:r>
    </w:p>
    <w:p w14:paraId="118E60C9">
      <w:pPr>
        <w:spacing w:line="360" w:lineRule="auto"/>
        <w:ind w:firstLine="480" w:firstLineChars="200"/>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4、协助乙方办理现场施工人员、设备出入证件。</w:t>
      </w:r>
    </w:p>
    <w:p w14:paraId="705A737C">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六</w:t>
      </w:r>
      <w:r>
        <w:rPr>
          <w:rFonts w:hint="eastAsia" w:ascii="宋体" w:hAnsi="宋体" w:eastAsia="宋体" w:cs="仿宋"/>
          <w:b/>
          <w:bCs/>
          <w:color w:val="auto"/>
          <w:sz w:val="24"/>
          <w:szCs w:val="24"/>
          <w:highlight w:val="none"/>
        </w:rPr>
        <w:t>条：乙方责任和义务</w:t>
      </w:r>
    </w:p>
    <w:p w14:paraId="68C53C9E">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1、遵守国家政策和法律法规；遵守甲方的相关规章制度，做好安全、文明施工、环境和职业健康安全、劳动保护等工作。</w:t>
      </w:r>
    </w:p>
    <w:p w14:paraId="125E4E87">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2、严格按照施工验收规范、有关技术要求及组织施工，确保工程质量达到约定的标准，对本合同承包范围内的工程质量向甲方负责；根据甲方的计划要求（包括调整后的计划），合理组织，科学安排作业计划，投入足够的机械设备。</w:t>
      </w:r>
    </w:p>
    <w:p w14:paraId="6AB78405">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应按招标文件要求和承诺的操作人员机械设备保质保量到位。机械设备车辆必须符合国家有关法律法规要求，并经检测合格，操作机械设备车辆的相关人员必须按国家规定持证上岗，特殊工种必须有特种作业操作证，持证率达到100%。</w:t>
      </w:r>
    </w:p>
    <w:p w14:paraId="24E71B86">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4、服从甲方的监督、检查、管理；接受甲方有关人员对质量、进度、技术、文明施工、环境保护等方面的管理：接受甲方随时检查其设备使用情况及其操作人员有效证件、持证上岗情况；</w:t>
      </w:r>
    </w:p>
    <w:p w14:paraId="55D2C3B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5、进场施工人员要求具备思想素质好、身体健康、技术熟练等条件；禁止使用不法人员，乙方应承担因使用以上不合格人员而引起的责任和后果。</w:t>
      </w:r>
    </w:p>
    <w:p w14:paraId="578082A8">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6．密切配合甲方的施工生产，满足甲方施工要求。服从甲方施工人员的施工安排，但有权拒绝甲方的违章指挥。</w:t>
      </w:r>
    </w:p>
    <w:p w14:paraId="2E570855">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7、负责配备设备操作维护人员，负责设备的日常操作，日常的油料供应，机械维护保养和故障的处理，确保机械技术状态完好。乙方还应配备相应的指挥人员及安全管理人员。</w:t>
      </w:r>
    </w:p>
    <w:p w14:paraId="7B3039A5">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8、负责机械设备操作人员的工资及设备维修配件。</w:t>
      </w:r>
    </w:p>
    <w:p w14:paraId="71464D10">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9、与甲方共同办理机械设备的租费签认工作。</w:t>
      </w:r>
    </w:p>
    <w:p w14:paraId="657E66FC">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10、负责工作期间租赁机械和操作司机的安全，严禁违章施工。在施工中因乙方原因造成的损失，乙方承担一切责任，甲方不承担任何责任及费用。</w:t>
      </w:r>
    </w:p>
    <w:p w14:paraId="638DE55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11、乙方的操作人员应严格按照操作规程操作租赁机械，若使用过程中出现安全责任事故由乙方自行负责，甲方不承担任何责任及费用。</w:t>
      </w:r>
    </w:p>
    <w:p w14:paraId="19F67A21">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12、负责租赁机械进出场运费，负责运输安全，承担运输费用及保险费。</w:t>
      </w:r>
    </w:p>
    <w:p w14:paraId="4E95C001">
      <w:pPr>
        <w:spacing w:line="360" w:lineRule="auto"/>
        <w:ind w:firstLine="480" w:firstLineChars="200"/>
        <w:jc w:val="both"/>
        <w:rPr>
          <w:rFonts w:hint="eastAsia" w:ascii="宋体" w:hAnsi="宋体" w:cs="仿宋"/>
          <w:color w:val="auto"/>
          <w:sz w:val="24"/>
          <w:szCs w:val="24"/>
          <w:highlight w:val="none"/>
          <w:u w:val="none"/>
          <w:lang w:val="en-US" w:eastAsia="zh-CN"/>
        </w:rPr>
      </w:pPr>
      <w:r>
        <w:rPr>
          <w:rFonts w:hint="eastAsia" w:ascii="宋体" w:hAnsi="宋体" w:eastAsia="宋体" w:cs="仿宋"/>
          <w:color w:val="auto"/>
          <w:sz w:val="24"/>
          <w:szCs w:val="24"/>
          <w:highlight w:val="none"/>
          <w:lang w:val="en-US" w:eastAsia="zh-CN"/>
        </w:rPr>
        <w:t>1</w:t>
      </w:r>
      <w:r>
        <w:rPr>
          <w:rFonts w:hint="eastAsia" w:ascii="宋体" w:hAnsi="宋体" w:cs="仿宋"/>
          <w:color w:val="auto"/>
          <w:sz w:val="24"/>
          <w:szCs w:val="24"/>
          <w:highlight w:val="none"/>
          <w:lang w:val="en-US" w:eastAsia="zh-CN"/>
        </w:rPr>
        <w:t>3、</w:t>
      </w:r>
      <w:r>
        <w:rPr>
          <w:rFonts w:hint="eastAsia" w:ascii="宋体" w:hAnsi="宋体" w:eastAsia="宋体" w:cs="仿宋"/>
          <w:color w:val="auto"/>
          <w:sz w:val="24"/>
          <w:szCs w:val="24"/>
          <w:highlight w:val="none"/>
          <w:lang w:val="en-US" w:eastAsia="zh-CN"/>
        </w:rPr>
        <w:t>接到</w:t>
      </w:r>
      <w:r>
        <w:rPr>
          <w:rFonts w:hint="eastAsia" w:ascii="宋体" w:hAnsi="宋体" w:cs="仿宋"/>
          <w:color w:val="auto"/>
          <w:sz w:val="24"/>
          <w:szCs w:val="24"/>
          <w:highlight w:val="none"/>
          <w:lang w:val="en-US" w:eastAsia="zh-CN"/>
        </w:rPr>
        <w:t>甲方通知后</w:t>
      </w:r>
      <w:r>
        <w:rPr>
          <w:rFonts w:hint="eastAsia" w:ascii="宋体" w:hAnsi="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小时内响应、</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w:t>
      </w:r>
      <w:r>
        <w:rPr>
          <w:rFonts w:hint="default" w:ascii="宋体" w:hAnsi="宋体" w:cs="仿宋"/>
          <w:color w:val="auto"/>
          <w:sz w:val="24"/>
          <w:szCs w:val="24"/>
          <w:highlight w:val="none"/>
          <w:u w:val="none"/>
          <w:lang w:val="en-US" w:eastAsia="zh-CN"/>
        </w:rPr>
        <w:t>到场</w:t>
      </w:r>
      <w:r>
        <w:rPr>
          <w:rFonts w:hint="eastAsia" w:ascii="宋体" w:hAnsi="宋体" w:cs="仿宋"/>
          <w:color w:val="auto"/>
          <w:sz w:val="24"/>
          <w:szCs w:val="24"/>
          <w:highlight w:val="none"/>
          <w:u w:val="none"/>
          <w:lang w:val="en-US" w:eastAsia="zh-CN"/>
        </w:rPr>
        <w:t>。</w:t>
      </w:r>
    </w:p>
    <w:p w14:paraId="26FD8113">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七</w:t>
      </w:r>
      <w:r>
        <w:rPr>
          <w:rFonts w:hint="eastAsia" w:ascii="宋体" w:hAnsi="宋体" w:eastAsia="宋体" w:cs="仿宋"/>
          <w:b/>
          <w:bCs/>
          <w:color w:val="auto"/>
          <w:sz w:val="24"/>
          <w:szCs w:val="24"/>
          <w:highlight w:val="none"/>
        </w:rPr>
        <w:t>条：租赁机械的使用、维修、保养和费用</w:t>
      </w:r>
    </w:p>
    <w:p w14:paraId="2685266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1、租赁机械设备在租赁期内由乙方负责日常燃油、维修、保养，使设备保持良好状态，并承担由此产生的全部费用。</w:t>
      </w:r>
    </w:p>
    <w:p w14:paraId="65B4846C">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2、租赁机械在安装、保管、使用等过程中发生的一切费用、税款，均由乙方承担。</w:t>
      </w:r>
    </w:p>
    <w:p w14:paraId="60772E4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3、租赁机械进退场的费用由乙方承担。（在招标文件</w:t>
      </w:r>
      <w:r>
        <w:rPr>
          <w:rFonts w:hint="eastAsia" w:ascii="宋体" w:hAnsi="宋体" w:cs="仿宋"/>
          <w:color w:val="auto"/>
          <w:sz w:val="24"/>
          <w:szCs w:val="24"/>
          <w:highlight w:val="none"/>
          <w:lang w:val="en-US" w:eastAsia="zh-CN"/>
        </w:rPr>
        <w:t>第三章招标需求</w:t>
      </w:r>
      <w:r>
        <w:rPr>
          <w:rFonts w:hint="eastAsia" w:ascii="宋体" w:hAnsi="宋体" w:eastAsia="宋体" w:cs="仿宋"/>
          <w:color w:val="auto"/>
          <w:sz w:val="24"/>
          <w:szCs w:val="24"/>
          <w:highlight w:val="none"/>
          <w:lang w:val="en-US" w:eastAsia="zh-CN"/>
        </w:rPr>
        <w:t>备注另有约定的按照约定执行）</w:t>
      </w:r>
    </w:p>
    <w:p w14:paraId="4626FB3D">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八</w:t>
      </w:r>
      <w:r>
        <w:rPr>
          <w:rFonts w:hint="eastAsia" w:ascii="宋体" w:hAnsi="宋体" w:eastAsia="宋体" w:cs="仿宋"/>
          <w:b/>
          <w:bCs/>
          <w:color w:val="auto"/>
          <w:sz w:val="24"/>
          <w:szCs w:val="24"/>
          <w:highlight w:val="none"/>
        </w:rPr>
        <w:t>条：环境保护、安全生产和文明施工</w:t>
      </w:r>
    </w:p>
    <w:p w14:paraId="498B5738">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1、乙方应经常性组织对进场施工人员进行安全生产、文明施工、环境保护以及相关制度等方面的教育；依据国家法律法规及公司相关规章制度、监督、监控相关工作实施情况，使其体系有效运行。</w:t>
      </w:r>
    </w:p>
    <w:p w14:paraId="34DDDD90">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安全措施不力、人员管理不到位及违章操作等原因造成事故，一切责任后果和经济费用均有乙方承担。发生安全事故，乙方应按有关规定立即上报甲方以及各有关部门，同时按国家有关法律规定对事故进行处理。</w:t>
      </w:r>
    </w:p>
    <w:p w14:paraId="6A739E9D">
      <w:pPr>
        <w:spacing w:line="360" w:lineRule="auto"/>
        <w:ind w:firstLine="542" w:firstLineChars="225"/>
        <w:rPr>
          <w:rFonts w:hint="eastAsia" w:ascii="宋体" w:hAnsi="宋体" w:eastAsia="宋体" w:cs="仿宋"/>
          <w:color w:val="auto"/>
          <w:sz w:val="24"/>
          <w:szCs w:val="24"/>
          <w:highlight w:val="none"/>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九</w:t>
      </w:r>
      <w:r>
        <w:rPr>
          <w:rFonts w:hint="eastAsia" w:ascii="宋体" w:hAnsi="宋体" w:eastAsia="宋体" w:cs="仿宋"/>
          <w:b/>
          <w:bCs/>
          <w:color w:val="auto"/>
          <w:sz w:val="24"/>
          <w:szCs w:val="24"/>
          <w:highlight w:val="none"/>
        </w:rPr>
        <w:t>条：租赁方式及设备的所有权</w:t>
      </w:r>
    </w:p>
    <w:p w14:paraId="40A5CB99">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1．租赁方式：机械设备由乙方配备专门的操作人员、指挥人员及安全管理人员，负责设备的操作、指挥、安全管理和维护保养工作。</w:t>
      </w:r>
    </w:p>
    <w:p w14:paraId="539035C0">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2．租赁设备的所有权：合同附件所列租赁设备的所有权属于乙方，承租方对租赁机械只享有租赁期间的使用权，不拥有设备的所有权。</w:t>
      </w:r>
    </w:p>
    <w:p w14:paraId="38EB59B3">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第十条：</w:t>
      </w:r>
      <w:r>
        <w:rPr>
          <w:rFonts w:hint="eastAsia" w:ascii="宋体" w:hAnsi="宋体" w:eastAsia="宋体" w:cs="仿宋"/>
          <w:b/>
          <w:bCs/>
          <w:color w:val="auto"/>
          <w:sz w:val="24"/>
          <w:szCs w:val="24"/>
          <w:highlight w:val="none"/>
          <w:lang w:eastAsia="zh-CN"/>
        </w:rPr>
        <w:t>费用结算</w:t>
      </w:r>
      <w:r>
        <w:rPr>
          <w:rFonts w:hint="eastAsia" w:ascii="宋体" w:hAnsi="宋体" w:eastAsia="宋体" w:cs="仿宋"/>
          <w:b/>
          <w:bCs/>
          <w:color w:val="auto"/>
          <w:sz w:val="24"/>
          <w:szCs w:val="24"/>
          <w:highlight w:val="none"/>
        </w:rPr>
        <w:t>规则</w:t>
      </w:r>
    </w:p>
    <w:p w14:paraId="0F91544B">
      <w:pPr>
        <w:spacing w:line="360" w:lineRule="auto"/>
        <w:ind w:firstLine="482" w:firstLineChars="200"/>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1、结算租赁费=按招标文件约定的各种机械设备租赁固定单价*经甲方核定的各种机械设备租赁实际租赁台班量*</w:t>
      </w:r>
      <w:r>
        <w:rPr>
          <w:rFonts w:hint="eastAsia" w:ascii="宋体" w:hAnsi="宋体" w:eastAsia="宋体" w:cs="仿宋"/>
          <w:b/>
          <w:bCs/>
          <w:color w:val="auto"/>
          <w:sz w:val="24"/>
          <w:szCs w:val="24"/>
          <w:highlight w:val="none"/>
          <w:lang w:eastAsia="zh-CN"/>
        </w:rPr>
        <w:t>结算率</w:t>
      </w:r>
      <w:r>
        <w:rPr>
          <w:rFonts w:hint="eastAsia" w:ascii="宋体" w:hAnsi="宋体" w:eastAsia="宋体" w:cs="仿宋"/>
          <w:b/>
          <w:bCs/>
          <w:color w:val="auto"/>
          <w:sz w:val="24"/>
          <w:szCs w:val="24"/>
          <w:highlight w:val="none"/>
        </w:rPr>
        <w:t>。</w:t>
      </w:r>
    </w:p>
    <w:p w14:paraId="1C04ADF4">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一</w:t>
      </w:r>
      <w:r>
        <w:rPr>
          <w:rFonts w:hint="eastAsia" w:ascii="宋体" w:hAnsi="宋体" w:eastAsia="宋体" w:cs="仿宋"/>
          <w:b/>
          <w:bCs/>
          <w:color w:val="auto"/>
          <w:sz w:val="24"/>
          <w:szCs w:val="24"/>
          <w:highlight w:val="none"/>
        </w:rPr>
        <w:t>条：结算办法及付款方式</w:t>
      </w:r>
    </w:p>
    <w:p w14:paraId="0569598F">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1、租赁费按每月实际完成台班量支付，乙方每月应根据实际完成并经甲方签字确认的台班量于</w:t>
      </w:r>
      <w:r>
        <w:rPr>
          <w:rFonts w:hint="eastAsia" w:ascii="宋体" w:hAnsi="宋体" w:eastAsia="宋体" w:cs="仿宋"/>
          <w:b/>
          <w:bCs/>
          <w:color w:val="auto"/>
          <w:sz w:val="24"/>
          <w:szCs w:val="24"/>
          <w:highlight w:val="none"/>
          <w:lang w:eastAsia="zh-CN"/>
        </w:rPr>
        <w:t>次</w:t>
      </w:r>
      <w:r>
        <w:rPr>
          <w:rFonts w:hint="eastAsia" w:ascii="宋体" w:hAnsi="宋体" w:eastAsia="宋体" w:cs="仿宋"/>
          <w:b/>
          <w:bCs/>
          <w:color w:val="auto"/>
          <w:sz w:val="24"/>
          <w:szCs w:val="24"/>
          <w:highlight w:val="none"/>
        </w:rPr>
        <w:t>月</w:t>
      </w:r>
      <w:r>
        <w:rPr>
          <w:rFonts w:hint="eastAsia" w:ascii="宋体" w:hAnsi="宋体" w:eastAsia="宋体" w:cs="仿宋"/>
          <w:b/>
          <w:bCs/>
          <w:color w:val="auto"/>
          <w:sz w:val="24"/>
          <w:szCs w:val="24"/>
          <w:highlight w:val="none"/>
          <w:lang w:val="en-US" w:eastAsia="zh-CN"/>
        </w:rPr>
        <w:t>15</w:t>
      </w:r>
      <w:r>
        <w:rPr>
          <w:rFonts w:hint="eastAsia" w:ascii="宋体" w:hAnsi="宋体" w:eastAsia="宋体" w:cs="仿宋"/>
          <w:b/>
          <w:bCs/>
          <w:color w:val="auto"/>
          <w:sz w:val="24"/>
          <w:szCs w:val="24"/>
          <w:highlight w:val="none"/>
        </w:rPr>
        <w:t>日结算</w:t>
      </w:r>
      <w:r>
        <w:rPr>
          <w:rFonts w:hint="eastAsia" w:ascii="宋体" w:hAnsi="宋体" w:eastAsia="宋体" w:cs="仿宋"/>
          <w:b/>
          <w:bCs/>
          <w:color w:val="auto"/>
          <w:sz w:val="24"/>
          <w:szCs w:val="24"/>
          <w:highlight w:val="none"/>
          <w:lang w:eastAsia="zh-CN"/>
        </w:rPr>
        <w:t>上</w:t>
      </w:r>
      <w:r>
        <w:rPr>
          <w:rFonts w:hint="eastAsia" w:ascii="宋体" w:hAnsi="宋体" w:eastAsia="宋体" w:cs="仿宋"/>
          <w:b/>
          <w:bCs/>
          <w:color w:val="auto"/>
          <w:sz w:val="24"/>
          <w:szCs w:val="24"/>
          <w:highlight w:val="none"/>
        </w:rPr>
        <w:t>期租赁费的100%（遇节假日或双休日顺延）。若遇春节，可根据具体情况作微调，以保证在春节前结算一次。春节后，调整为</w:t>
      </w:r>
      <w:r>
        <w:rPr>
          <w:rFonts w:hint="eastAsia" w:ascii="宋体" w:hAnsi="宋体" w:eastAsia="宋体" w:cs="仿宋"/>
          <w:b/>
          <w:bCs/>
          <w:color w:val="auto"/>
          <w:sz w:val="24"/>
          <w:szCs w:val="24"/>
          <w:highlight w:val="none"/>
          <w:lang w:eastAsia="zh-CN"/>
        </w:rPr>
        <w:t>次</w:t>
      </w:r>
      <w:r>
        <w:rPr>
          <w:rFonts w:hint="eastAsia" w:ascii="宋体" w:hAnsi="宋体" w:eastAsia="宋体" w:cs="仿宋"/>
          <w:b/>
          <w:bCs/>
          <w:color w:val="auto"/>
          <w:sz w:val="24"/>
          <w:szCs w:val="24"/>
          <w:highlight w:val="none"/>
        </w:rPr>
        <w:t>月</w:t>
      </w:r>
      <w:r>
        <w:rPr>
          <w:rFonts w:hint="eastAsia" w:ascii="宋体" w:hAnsi="宋体" w:eastAsia="宋体" w:cs="仿宋"/>
          <w:b/>
          <w:bCs/>
          <w:color w:val="auto"/>
          <w:sz w:val="24"/>
          <w:szCs w:val="24"/>
          <w:highlight w:val="none"/>
          <w:lang w:val="en-US" w:eastAsia="zh-CN"/>
        </w:rPr>
        <w:t>15</w:t>
      </w:r>
      <w:r>
        <w:rPr>
          <w:rFonts w:hint="eastAsia" w:ascii="宋体" w:hAnsi="宋体" w:eastAsia="宋体" w:cs="仿宋"/>
          <w:b/>
          <w:bCs/>
          <w:color w:val="auto"/>
          <w:sz w:val="24"/>
          <w:szCs w:val="24"/>
          <w:highlight w:val="none"/>
        </w:rPr>
        <w:t>日结算。</w:t>
      </w:r>
    </w:p>
    <w:p w14:paraId="0426EA07">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2、乙方收取每期</w:t>
      </w:r>
      <w:r>
        <w:rPr>
          <w:rFonts w:hint="eastAsia" w:ascii="宋体" w:hAnsi="宋体" w:eastAsia="宋体" w:cs="仿宋"/>
          <w:b/>
          <w:bCs/>
          <w:color w:val="auto"/>
          <w:sz w:val="24"/>
          <w:szCs w:val="24"/>
          <w:highlight w:val="none"/>
          <w:lang w:eastAsia="zh-CN"/>
        </w:rPr>
        <w:t>服务费</w:t>
      </w:r>
      <w:r>
        <w:rPr>
          <w:rFonts w:hint="eastAsia" w:ascii="宋体" w:hAnsi="宋体" w:eastAsia="宋体" w:cs="仿宋"/>
          <w:b/>
          <w:bCs/>
          <w:color w:val="auto"/>
          <w:sz w:val="24"/>
          <w:szCs w:val="24"/>
          <w:highlight w:val="none"/>
        </w:rPr>
        <w:t>时应开具正式发票（增值税普通发票或专用发票由甲方确定）。</w:t>
      </w:r>
    </w:p>
    <w:p w14:paraId="3A7A29C4">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3、甲方向乙方支付的所有</w:t>
      </w:r>
      <w:r>
        <w:rPr>
          <w:rFonts w:hint="eastAsia" w:ascii="宋体" w:hAnsi="宋体" w:eastAsia="宋体" w:cs="仿宋"/>
          <w:b/>
          <w:bCs/>
          <w:color w:val="auto"/>
          <w:sz w:val="24"/>
          <w:szCs w:val="24"/>
          <w:highlight w:val="none"/>
          <w:lang w:eastAsia="zh-CN"/>
        </w:rPr>
        <w:t>服务费</w:t>
      </w:r>
      <w:r>
        <w:rPr>
          <w:rFonts w:hint="eastAsia" w:ascii="宋体" w:hAnsi="宋体" w:eastAsia="宋体" w:cs="仿宋"/>
          <w:b/>
          <w:bCs/>
          <w:color w:val="auto"/>
          <w:sz w:val="24"/>
          <w:szCs w:val="24"/>
          <w:highlight w:val="none"/>
        </w:rPr>
        <w:t>均须汇入协议书中指定的承包人银行账户。</w:t>
      </w:r>
    </w:p>
    <w:p w14:paraId="58A429A1">
      <w:pPr>
        <w:spacing w:line="360" w:lineRule="auto"/>
        <w:ind w:firstLine="241" w:firstLineChars="100"/>
        <w:rPr>
          <w:rFonts w:hint="eastAsia" w:ascii="宋体" w:hAnsi="宋体" w:eastAsia="宋体"/>
          <w:color w:val="auto"/>
          <w:sz w:val="24"/>
          <w:szCs w:val="24"/>
          <w:highlight w:val="none"/>
        </w:rPr>
      </w:pPr>
      <w:r>
        <w:rPr>
          <w:rFonts w:hint="eastAsia" w:ascii="宋体" w:hAnsi="宋体" w:eastAsia="宋体" w:cs="仿宋"/>
          <w:b/>
          <w:bCs/>
          <w:color w:val="auto"/>
          <w:sz w:val="24"/>
          <w:szCs w:val="24"/>
          <w:highlight w:val="none"/>
        </w:rPr>
        <w:t xml:space="preserve">  第十</w:t>
      </w:r>
      <w:r>
        <w:rPr>
          <w:rFonts w:hint="eastAsia" w:ascii="宋体" w:hAnsi="宋体" w:eastAsia="宋体" w:cs="仿宋"/>
          <w:b/>
          <w:bCs/>
          <w:color w:val="auto"/>
          <w:sz w:val="24"/>
          <w:szCs w:val="24"/>
          <w:highlight w:val="none"/>
          <w:lang w:val="en-US" w:eastAsia="zh-CN"/>
        </w:rPr>
        <w:t>二</w:t>
      </w:r>
      <w:r>
        <w:rPr>
          <w:rFonts w:hint="eastAsia" w:ascii="宋体" w:hAnsi="宋体" w:eastAsia="宋体" w:cs="仿宋"/>
          <w:b/>
          <w:bCs/>
          <w:color w:val="auto"/>
          <w:sz w:val="24"/>
          <w:szCs w:val="24"/>
          <w:highlight w:val="none"/>
        </w:rPr>
        <w:t>条：违约责任</w:t>
      </w:r>
    </w:p>
    <w:p w14:paraId="31DFE8EB">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1、甲方在对乙方提出使用租赁设备通知后及时提供所需的机械设备，如乙方在2天内不能按甲方要求提供所需机械设备的，承租方有权选择其他单位或个人提供所需的机械设备，费用由乙方承担，甲方可对本次合同提出解除要求。</w:t>
      </w:r>
    </w:p>
    <w:p w14:paraId="004905E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2、未经对方书面同意，任何一方不得中途变更或解除本合同；任何一方违反本合同约定，都应向对方偿付10000元的违约金。</w:t>
      </w:r>
    </w:p>
    <w:p w14:paraId="2B65130A">
      <w:pPr>
        <w:spacing w:line="360" w:lineRule="auto"/>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 xml:space="preserve">   </w:t>
      </w:r>
      <w:r>
        <w:rPr>
          <w:rFonts w:hint="eastAsia" w:ascii="宋体" w:hAnsi="宋体" w:cs="仿宋"/>
          <w:color w:val="auto"/>
          <w:sz w:val="24"/>
          <w:szCs w:val="24"/>
          <w:highlight w:val="none"/>
          <w:lang w:val="en-US" w:eastAsia="zh-CN"/>
        </w:rPr>
        <w:t>3、</w:t>
      </w:r>
      <w:r>
        <w:rPr>
          <w:rFonts w:hint="eastAsia" w:ascii="宋体" w:hAnsi="宋体" w:eastAsia="宋体" w:cs="仿宋"/>
          <w:color w:val="auto"/>
          <w:sz w:val="24"/>
          <w:szCs w:val="24"/>
          <w:highlight w:val="none"/>
          <w:lang w:val="en-US" w:eastAsia="zh-CN"/>
        </w:rPr>
        <w:t>接到</w:t>
      </w:r>
      <w:r>
        <w:rPr>
          <w:rFonts w:hint="eastAsia" w:ascii="宋体" w:hAnsi="宋体" w:cs="仿宋"/>
          <w:color w:val="auto"/>
          <w:sz w:val="24"/>
          <w:szCs w:val="24"/>
          <w:highlight w:val="none"/>
          <w:lang w:val="en-US" w:eastAsia="zh-CN"/>
        </w:rPr>
        <w:t>甲方通知后</w:t>
      </w:r>
      <w:r>
        <w:rPr>
          <w:rFonts w:hint="eastAsia" w:ascii="宋体" w:hAnsi="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小时内响应、</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w:t>
      </w:r>
      <w:r>
        <w:rPr>
          <w:rFonts w:hint="default" w:ascii="宋体" w:hAnsi="宋体" w:cs="仿宋"/>
          <w:color w:val="auto"/>
          <w:sz w:val="24"/>
          <w:szCs w:val="24"/>
          <w:highlight w:val="none"/>
          <w:u w:val="none"/>
          <w:lang w:val="en-US" w:eastAsia="zh-CN"/>
        </w:rPr>
        <w:t>到场</w:t>
      </w:r>
      <w:r>
        <w:rPr>
          <w:rFonts w:hint="eastAsia" w:ascii="宋体" w:hAnsi="宋体" w:cs="仿宋"/>
          <w:color w:val="auto"/>
          <w:sz w:val="24"/>
          <w:szCs w:val="24"/>
          <w:highlight w:val="none"/>
          <w:u w:val="none"/>
          <w:lang w:val="en-US" w:eastAsia="zh-CN"/>
        </w:rPr>
        <w:t>。乙方未能按时到场的，甲方有权解除合同，并向乙方索赔因此造成的所有损失，甲方亦可不解除合同，而要求乙方每次向甲方支付违约金2000元，并要求乙方重新补足履约保证金。</w:t>
      </w:r>
      <w:r>
        <w:rPr>
          <w:rFonts w:hint="eastAsia" w:ascii="宋体" w:hAnsi="宋体" w:eastAsia="宋体" w:cs="仿宋"/>
          <w:b/>
          <w:bCs/>
          <w:color w:val="auto"/>
          <w:sz w:val="24"/>
          <w:szCs w:val="24"/>
          <w:highlight w:val="none"/>
        </w:rPr>
        <w:t xml:space="preserve"> </w:t>
      </w:r>
    </w:p>
    <w:p w14:paraId="0ACCE7A7">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三</w:t>
      </w:r>
      <w:r>
        <w:rPr>
          <w:rFonts w:hint="eastAsia" w:ascii="宋体" w:hAnsi="宋体" w:eastAsia="宋体" w:cs="仿宋"/>
          <w:b/>
          <w:bCs/>
          <w:color w:val="auto"/>
          <w:sz w:val="24"/>
          <w:szCs w:val="24"/>
          <w:highlight w:val="none"/>
        </w:rPr>
        <w:t>条：争议</w:t>
      </w:r>
    </w:p>
    <w:p w14:paraId="2B272A6A">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1、甲、乙双方在履行合同时发生争议，可以自行协商解决或请甲方上级部门协调解决；否则，双方应在合同签订所在地人民法院解决。</w:t>
      </w:r>
    </w:p>
    <w:p w14:paraId="10A27E25">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2、发生争议后，除非出现下列情况，双方都应继续履行合同，保持工作连续，保护好已完工作成果；</w:t>
      </w:r>
    </w:p>
    <w:p w14:paraId="0E73D109">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2．1单方违约导致合同确已无法履行，双方协议终止合同；</w:t>
      </w:r>
    </w:p>
    <w:p w14:paraId="6B92C3A8">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2．2调解要求停止合同工作，且为双方接受；</w:t>
      </w:r>
    </w:p>
    <w:p w14:paraId="304B163B">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法院要求停止合同工作。</w:t>
      </w:r>
    </w:p>
    <w:p w14:paraId="5D0145A3">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四</w:t>
      </w:r>
      <w:r>
        <w:rPr>
          <w:rFonts w:hint="eastAsia" w:ascii="宋体" w:hAnsi="宋体" w:eastAsia="宋体" w:cs="仿宋"/>
          <w:b/>
          <w:bCs/>
          <w:color w:val="auto"/>
          <w:sz w:val="24"/>
          <w:szCs w:val="24"/>
          <w:highlight w:val="none"/>
        </w:rPr>
        <w:t>条：合同履约保证金</w:t>
      </w:r>
    </w:p>
    <w:p w14:paraId="16B683C0">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w:t>
      </w:r>
      <w:r>
        <w:rPr>
          <w:rFonts w:hint="eastAsia" w:ascii="宋体" w:hAnsi="宋体" w:eastAsia="宋体"/>
          <w:b/>
          <w:bCs/>
          <w:color w:val="auto"/>
          <w:sz w:val="24"/>
          <w:szCs w:val="24"/>
          <w:highlight w:val="none"/>
        </w:rPr>
        <w:t>乙方在合同签订前向甲方缴纳合同履约保证金贰万元</w:t>
      </w:r>
      <w:r>
        <w:rPr>
          <w:rFonts w:hint="eastAsia" w:ascii="宋体" w:hAnsi="宋体"/>
          <w:b/>
          <w:bCs/>
          <w:color w:val="auto"/>
          <w:sz w:val="24"/>
          <w:szCs w:val="24"/>
          <w:highlight w:val="none"/>
          <w:lang w:val="en-US" w:eastAsia="zh-CN"/>
        </w:rPr>
        <w:t>或履约保函</w:t>
      </w:r>
      <w:r>
        <w:rPr>
          <w:rFonts w:hint="eastAsia" w:ascii="宋体" w:hAnsi="宋体" w:eastAsia="宋体"/>
          <w:color w:val="auto"/>
          <w:sz w:val="24"/>
          <w:szCs w:val="24"/>
          <w:highlight w:val="none"/>
        </w:rPr>
        <w:t>。</w:t>
      </w:r>
    </w:p>
    <w:p w14:paraId="51C20782">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w:t>
      </w:r>
      <w:r>
        <w:rPr>
          <w:rFonts w:hint="eastAsia" w:ascii="宋体" w:hAnsi="宋体" w:eastAsia="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年零星机械租赁合同服务期限到期，乙方承诺已结清全部人员工资，未发生劳务纠纷后7天内退还。</w:t>
      </w:r>
    </w:p>
    <w:p w14:paraId="2CE9142E">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cs="仿宋"/>
          <w:b/>
          <w:bCs/>
          <w:color w:val="auto"/>
          <w:sz w:val="24"/>
          <w:szCs w:val="24"/>
          <w:highlight w:val="none"/>
        </w:rPr>
        <w:t xml:space="preserve">  第十</w:t>
      </w:r>
      <w:r>
        <w:rPr>
          <w:rFonts w:hint="eastAsia" w:ascii="宋体" w:hAnsi="宋体" w:eastAsia="宋体" w:cs="仿宋"/>
          <w:b/>
          <w:bCs/>
          <w:color w:val="auto"/>
          <w:sz w:val="24"/>
          <w:szCs w:val="24"/>
          <w:highlight w:val="none"/>
          <w:lang w:val="en-US" w:eastAsia="zh-CN"/>
        </w:rPr>
        <w:t>五</w:t>
      </w:r>
      <w:r>
        <w:rPr>
          <w:rFonts w:hint="eastAsia" w:ascii="宋体" w:hAnsi="宋体" w:eastAsia="宋体" w:cs="仿宋"/>
          <w:b/>
          <w:bCs/>
          <w:color w:val="auto"/>
          <w:sz w:val="24"/>
          <w:szCs w:val="24"/>
          <w:highlight w:val="none"/>
        </w:rPr>
        <w:t>条：不可抗力</w:t>
      </w:r>
    </w:p>
    <w:p w14:paraId="41EEDCF8">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1、不可抗力事件发生后，乙方应立即通知甲方，并在力所能及的条件下迅速采取措施，尽力减少损失，甲方应协助乙方采取措施。</w:t>
      </w:r>
    </w:p>
    <w:p w14:paraId="0FBF4DF6">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、因不可抗力事件延误的工作时间相</w:t>
      </w:r>
      <w:r>
        <w:rPr>
          <w:rFonts w:hint="eastAsia" w:ascii="宋体" w:hAnsi="宋体" w:eastAsia="宋体"/>
          <w:color w:val="auto"/>
          <w:sz w:val="24"/>
          <w:szCs w:val="24"/>
          <w:highlight w:val="none"/>
          <w:lang w:val="en-US" w:eastAsia="zh-CN"/>
        </w:rPr>
        <w:t>应</w:t>
      </w:r>
      <w:r>
        <w:rPr>
          <w:rFonts w:hint="eastAsia" w:ascii="宋体" w:hAnsi="宋体" w:eastAsia="宋体"/>
          <w:color w:val="auto"/>
          <w:sz w:val="24"/>
          <w:szCs w:val="24"/>
          <w:highlight w:val="none"/>
        </w:rPr>
        <w:t>顺延。</w:t>
      </w:r>
    </w:p>
    <w:p w14:paraId="7B246D14">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、因合同一方迟延履行合同后发生不可抗力的，不能免除迟延履行方的相应责任。</w:t>
      </w:r>
    </w:p>
    <w:p w14:paraId="7258BFD9">
      <w:pPr>
        <w:spacing w:line="360" w:lineRule="auto"/>
        <w:ind w:firstLine="482" w:firstLineChars="200"/>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第十</w:t>
      </w:r>
      <w:r>
        <w:rPr>
          <w:rFonts w:hint="eastAsia" w:ascii="宋体" w:hAnsi="宋体" w:eastAsia="宋体"/>
          <w:b/>
          <w:bCs/>
          <w:color w:val="auto"/>
          <w:sz w:val="24"/>
          <w:szCs w:val="24"/>
          <w:highlight w:val="none"/>
          <w:lang w:val="en-US" w:eastAsia="zh-CN"/>
        </w:rPr>
        <w:t>六</w:t>
      </w:r>
      <w:r>
        <w:rPr>
          <w:rFonts w:hint="eastAsia" w:ascii="宋体" w:hAnsi="宋体" w:eastAsia="宋体"/>
          <w:b/>
          <w:bCs/>
          <w:color w:val="auto"/>
          <w:sz w:val="24"/>
          <w:szCs w:val="24"/>
          <w:highlight w:val="none"/>
        </w:rPr>
        <w:t>条：合同解除</w:t>
      </w:r>
    </w:p>
    <w:p w14:paraId="5E080C09">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1、如因不可抗力致使本合同无法履行、或因一方违约或因</w:t>
      </w:r>
      <w:r>
        <w:rPr>
          <w:rFonts w:hint="eastAsia" w:ascii="宋体" w:hAnsi="宋体"/>
          <w:color w:val="auto"/>
          <w:sz w:val="24"/>
          <w:szCs w:val="24"/>
          <w:highlight w:val="none"/>
          <w:lang w:eastAsia="zh-CN"/>
        </w:rPr>
        <w:t>甲方</w:t>
      </w:r>
      <w:r>
        <w:rPr>
          <w:rFonts w:hint="eastAsia" w:ascii="宋体" w:hAnsi="宋体" w:eastAsia="宋体"/>
          <w:color w:val="auto"/>
          <w:sz w:val="24"/>
          <w:szCs w:val="24"/>
          <w:highlight w:val="none"/>
        </w:rPr>
        <w:t>方原因造成工程停建或缓建，致使合同无法履行的，可以解除合同。</w:t>
      </w:r>
    </w:p>
    <w:p w14:paraId="31FB8162">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2、因不可抗力或</w:t>
      </w:r>
      <w:r>
        <w:rPr>
          <w:rFonts w:hint="eastAsia" w:ascii="宋体" w:hAnsi="宋体"/>
          <w:color w:val="auto"/>
          <w:sz w:val="24"/>
          <w:szCs w:val="24"/>
          <w:highlight w:val="none"/>
          <w:lang w:eastAsia="zh-CN"/>
        </w:rPr>
        <w:t>甲方</w:t>
      </w:r>
      <w:r>
        <w:rPr>
          <w:rFonts w:hint="eastAsia" w:ascii="宋体" w:hAnsi="宋体" w:eastAsia="宋体"/>
          <w:color w:val="auto"/>
          <w:sz w:val="24"/>
          <w:szCs w:val="24"/>
          <w:highlight w:val="none"/>
        </w:rPr>
        <w:t>原因造成合同解除，乙方就妥善做好已完工程和剩余材料、设备的保护和移交工作，按要求撤出施工场地；甲方按合同约定支付已完工作租赁费。</w:t>
      </w:r>
    </w:p>
    <w:p w14:paraId="762738C1">
      <w:pPr>
        <w:spacing w:line="360" w:lineRule="auto"/>
        <w:rPr>
          <w:rFonts w:hint="eastAsia" w:ascii="宋体" w:hAnsi="宋体" w:eastAsia="宋体"/>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b/>
          <w:bCs/>
          <w:color w:val="auto"/>
          <w:sz w:val="24"/>
          <w:szCs w:val="24"/>
          <w:highlight w:val="none"/>
        </w:rPr>
        <w:t xml:space="preserve">   第</w:t>
      </w:r>
      <w:r>
        <w:rPr>
          <w:rFonts w:hint="eastAsia" w:ascii="宋体" w:hAnsi="宋体" w:eastAsia="宋体"/>
          <w:b/>
          <w:bCs/>
          <w:color w:val="auto"/>
          <w:sz w:val="24"/>
          <w:szCs w:val="24"/>
          <w:highlight w:val="none"/>
          <w:lang w:val="en-US" w:eastAsia="zh-CN"/>
        </w:rPr>
        <w:t>十七</w:t>
      </w:r>
      <w:r>
        <w:rPr>
          <w:rFonts w:hint="eastAsia" w:ascii="宋体" w:hAnsi="宋体" w:eastAsia="宋体"/>
          <w:b/>
          <w:bCs/>
          <w:color w:val="auto"/>
          <w:sz w:val="24"/>
          <w:szCs w:val="24"/>
          <w:highlight w:val="none"/>
        </w:rPr>
        <w:t>条：合同终止</w:t>
      </w:r>
    </w:p>
    <w:p w14:paraId="2DF761B8">
      <w:pPr>
        <w:spacing w:line="360" w:lineRule="auto"/>
        <w:rPr>
          <w:rFonts w:hint="eastAsia" w:ascii="宋体" w:hAnsi="宋体" w:eastAsia="宋体" w:cs="Times New Roman"/>
          <w:color w:val="auto"/>
          <w:sz w:val="24"/>
          <w:szCs w:val="24"/>
          <w:highlight w:val="none"/>
          <w:u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u w:val="none"/>
        </w:rPr>
        <w:t xml:space="preserve"> </w:t>
      </w:r>
      <w:r>
        <w:rPr>
          <w:rFonts w:hint="eastAsia" w:ascii="宋体" w:hAnsi="宋体" w:eastAsia="宋体" w:cs="Times New Roman"/>
          <w:color w:val="auto"/>
          <w:sz w:val="24"/>
          <w:szCs w:val="24"/>
          <w:highlight w:val="none"/>
          <w:u w:val="none"/>
        </w:rPr>
        <w:t>触动以下任一条件合同自动终止：</w:t>
      </w:r>
    </w:p>
    <w:p w14:paraId="5044DC28">
      <w:pPr>
        <w:spacing w:line="360" w:lineRule="auto"/>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 xml:space="preserve">    1、双方履行合同全部义务，合同约定时间到期，设备租赁款支付完毕，本合同即告终止。</w:t>
      </w:r>
    </w:p>
    <w:p w14:paraId="7DA1680C">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Times New Roman"/>
          <w:color w:val="auto"/>
          <w:sz w:val="24"/>
          <w:szCs w:val="24"/>
          <w:highlight w:val="none"/>
          <w:u w:val="none"/>
        </w:rPr>
        <w:t>2、累计实际结算金额达到</w:t>
      </w:r>
      <w:r>
        <w:rPr>
          <w:rFonts w:hint="eastAsia" w:ascii="宋体" w:hAnsi="宋体" w:cs="Times New Roman"/>
          <w:color w:val="auto"/>
          <w:sz w:val="24"/>
          <w:szCs w:val="24"/>
          <w:highlight w:val="none"/>
          <w:u w:val="none"/>
          <w:lang w:val="en-US" w:eastAsia="zh-CN"/>
        </w:rPr>
        <w:t>200</w:t>
      </w:r>
      <w:r>
        <w:rPr>
          <w:rFonts w:hint="eastAsia" w:ascii="宋体" w:hAnsi="宋体" w:eastAsia="宋体" w:cs="Times New Roman"/>
          <w:color w:val="auto"/>
          <w:sz w:val="24"/>
          <w:szCs w:val="24"/>
          <w:highlight w:val="none"/>
          <w:u w:val="none"/>
        </w:rPr>
        <w:t>万时，合同自动终止。</w:t>
      </w:r>
    </w:p>
    <w:p w14:paraId="4C5F9F6B">
      <w:pPr>
        <w:spacing w:line="360" w:lineRule="auto"/>
        <w:ind w:firstLine="480"/>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第</w:t>
      </w:r>
      <w:r>
        <w:rPr>
          <w:rFonts w:hint="eastAsia" w:ascii="宋体" w:hAnsi="宋体" w:eastAsia="宋体"/>
          <w:b/>
          <w:bCs/>
          <w:color w:val="auto"/>
          <w:sz w:val="24"/>
          <w:szCs w:val="24"/>
          <w:highlight w:val="none"/>
          <w:lang w:val="en-US" w:eastAsia="zh-CN"/>
        </w:rPr>
        <w:t>十八</w:t>
      </w:r>
      <w:r>
        <w:rPr>
          <w:rFonts w:hint="eastAsia" w:ascii="宋体" w:hAnsi="宋体" w:eastAsia="宋体"/>
          <w:b/>
          <w:bCs/>
          <w:color w:val="auto"/>
          <w:sz w:val="24"/>
          <w:szCs w:val="24"/>
          <w:highlight w:val="none"/>
        </w:rPr>
        <w:t>条：合同生效</w:t>
      </w:r>
    </w:p>
    <w:p w14:paraId="7E688966">
      <w:pPr>
        <w:spacing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本合同双方约定双方签字盖章后生效。</w:t>
      </w:r>
    </w:p>
    <w:p w14:paraId="2AC2D398">
      <w:pPr>
        <w:spacing w:line="360" w:lineRule="auto"/>
        <w:rPr>
          <w:rFonts w:hint="eastAsia" w:ascii="宋体" w:hAnsi="宋体" w:eastAsia="宋体"/>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b/>
          <w:bCs/>
          <w:color w:val="auto"/>
          <w:sz w:val="24"/>
          <w:szCs w:val="24"/>
          <w:highlight w:val="none"/>
        </w:rPr>
        <w:t>第</w:t>
      </w:r>
      <w:r>
        <w:rPr>
          <w:rFonts w:hint="eastAsia" w:ascii="宋体" w:hAnsi="宋体" w:eastAsia="宋体"/>
          <w:b/>
          <w:bCs/>
          <w:color w:val="auto"/>
          <w:sz w:val="24"/>
          <w:szCs w:val="24"/>
          <w:highlight w:val="none"/>
          <w:lang w:val="en-US" w:eastAsia="zh-CN"/>
        </w:rPr>
        <w:t>十九</w:t>
      </w:r>
      <w:r>
        <w:rPr>
          <w:rFonts w:hint="eastAsia" w:ascii="宋体" w:hAnsi="宋体" w:eastAsia="宋体"/>
          <w:b/>
          <w:bCs/>
          <w:color w:val="auto"/>
          <w:sz w:val="24"/>
          <w:szCs w:val="24"/>
          <w:highlight w:val="none"/>
        </w:rPr>
        <w:t>条：未尽事宜，双方另行协商解决，本协议壹式肆份，甲乙双方各执两份，双方签字盖章后生效。</w:t>
      </w:r>
    </w:p>
    <w:p w14:paraId="462BE958">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 xml:space="preserve">    合同签订时间：       年       月        日</w:t>
      </w:r>
    </w:p>
    <w:p w14:paraId="3D9A773A">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 xml:space="preserve">    合同签订地点：                            </w:t>
      </w:r>
    </w:p>
    <w:p w14:paraId="3204AC4D">
      <w:pPr>
        <w:pStyle w:val="25"/>
        <w:rPr>
          <w:rFonts w:hint="eastAsia"/>
          <w:color w:val="auto"/>
          <w:highlight w:val="none"/>
          <w:lang w:eastAsia="zh-CN"/>
        </w:rPr>
      </w:pPr>
    </w:p>
    <w:p w14:paraId="4F6B1D06">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w:t>
      </w:r>
      <w:r>
        <w:rPr>
          <w:rFonts w:hint="eastAsia" w:ascii="宋体" w:hAnsi="宋体" w:eastAsia="宋体"/>
          <w:color w:val="auto"/>
          <w:sz w:val="21"/>
          <w:szCs w:val="21"/>
          <w:highlight w:val="none"/>
          <w:lang w:val="en-US" w:eastAsia="zh-CN"/>
        </w:rPr>
        <w:t>租方</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甲</w:t>
      </w:r>
      <w:r>
        <w:rPr>
          <w:rFonts w:hint="eastAsia" w:ascii="宋体" w:hAnsi="宋体" w:eastAsia="宋体"/>
          <w:color w:val="auto"/>
          <w:sz w:val="21"/>
          <w:szCs w:val="21"/>
          <w:highlight w:val="none"/>
        </w:rPr>
        <w:t xml:space="preserve">方）：                              </w:t>
      </w:r>
      <w:r>
        <w:rPr>
          <w:rFonts w:hint="eastAsia" w:ascii="宋体" w:hAnsi="宋体" w:eastAsia="宋体"/>
          <w:color w:val="auto"/>
          <w:sz w:val="21"/>
          <w:szCs w:val="21"/>
          <w:highlight w:val="none"/>
          <w:lang w:val="en-US" w:eastAsia="zh-CN"/>
        </w:rPr>
        <w:t>出租方</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乙</w:t>
      </w:r>
      <w:r>
        <w:rPr>
          <w:rFonts w:hint="eastAsia" w:ascii="宋体" w:hAnsi="宋体" w:eastAsia="宋体"/>
          <w:color w:val="auto"/>
          <w:sz w:val="21"/>
          <w:szCs w:val="21"/>
          <w:highlight w:val="none"/>
        </w:rPr>
        <w:t>方）：</w:t>
      </w:r>
    </w:p>
    <w:p w14:paraId="06A702C1">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法定代表人：                                  法定代表人：</w:t>
      </w:r>
    </w:p>
    <w:p w14:paraId="39C4612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委托代理人：                                  委托代理人：</w:t>
      </w:r>
    </w:p>
    <w:p w14:paraId="6FCFDB7D">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 址：                                       地 址：</w:t>
      </w:r>
    </w:p>
    <w:p w14:paraId="6D8B2186">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电 话：                                       电 话：</w:t>
      </w:r>
    </w:p>
    <w:p w14:paraId="5C27F884">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 户 行：                                    开 户 行：</w:t>
      </w:r>
    </w:p>
    <w:p w14:paraId="757E0429">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帐 号：                                       帐 号：</w:t>
      </w:r>
    </w:p>
    <w:p w14:paraId="6DC3A239">
      <w:pPr>
        <w:spacing w:line="360" w:lineRule="auto"/>
        <w:rPr>
          <w:rFonts w:hint="eastAsia" w:ascii="宋体" w:hAnsi="宋体" w:eastAsia="宋体" w:cs="宋体"/>
          <w:kern w:val="21"/>
          <w:sz w:val="24"/>
          <w:szCs w:val="24"/>
          <w:highlight w:val="none"/>
        </w:rPr>
      </w:pPr>
      <w:r>
        <w:rPr>
          <w:rFonts w:hint="eastAsia" w:ascii="宋体" w:hAnsi="宋体" w:eastAsia="宋体"/>
          <w:color w:val="auto"/>
          <w:sz w:val="21"/>
          <w:szCs w:val="21"/>
          <w:highlight w:val="none"/>
        </w:rPr>
        <w:t>税 号：                                       税 号：</w:t>
      </w:r>
    </w:p>
    <w:p w14:paraId="1D897CC8">
      <w:pPr>
        <w:pStyle w:val="2"/>
        <w:jc w:val="center"/>
        <w:rPr>
          <w:rFonts w:hint="eastAsia" w:ascii="宋体" w:hAnsi="宋体" w:eastAsia="宋体" w:cs="宋体"/>
          <w:sz w:val="24"/>
          <w:highlight w:val="none"/>
        </w:rPr>
      </w:pPr>
      <w:r>
        <w:rPr>
          <w:rFonts w:hint="eastAsia" w:ascii="宋体" w:hAnsi="宋体" w:eastAsia="宋体" w:cs="宋体"/>
          <w:kern w:val="21"/>
          <w:sz w:val="24"/>
          <w:szCs w:val="24"/>
          <w:highlight w:val="none"/>
        </w:rPr>
        <w:t>工程建设项目廉政责任书</w:t>
      </w:r>
      <w:bookmarkEnd w:id="38"/>
    </w:p>
    <w:p w14:paraId="0ADF7A40">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u w:val="single"/>
        </w:rPr>
        <w:t xml:space="preserve">                 </w:t>
      </w:r>
    </w:p>
    <w:p w14:paraId="2159C5E5">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项目地址：</w:t>
      </w:r>
      <w:r>
        <w:rPr>
          <w:rFonts w:hint="eastAsia" w:ascii="宋体" w:hAnsi="宋体" w:cs="宋体"/>
          <w:bCs/>
          <w:sz w:val="24"/>
          <w:highlight w:val="none"/>
          <w:u w:val="single"/>
        </w:rPr>
        <w:t xml:space="preserve">                         </w:t>
      </w:r>
    </w:p>
    <w:p w14:paraId="52AF2441">
      <w:pPr>
        <w:spacing w:line="360" w:lineRule="auto"/>
        <w:ind w:firstLine="652" w:firstLineChars="272"/>
        <w:rPr>
          <w:rFonts w:hint="eastAsia" w:ascii="宋体" w:hAnsi="宋体" w:cs="宋体"/>
          <w:bCs/>
          <w:sz w:val="24"/>
          <w:highlight w:val="none"/>
          <w:u w:val="single"/>
        </w:rPr>
      </w:pPr>
      <w:r>
        <w:rPr>
          <w:rFonts w:hint="eastAsia" w:ascii="宋体" w:hAnsi="宋体" w:cs="宋体"/>
          <w:bCs/>
          <w:sz w:val="24"/>
          <w:highlight w:val="none"/>
        </w:rPr>
        <w:t>发包人（甲方）：</w:t>
      </w:r>
      <w:r>
        <w:rPr>
          <w:rFonts w:hint="eastAsia" w:ascii="宋体" w:hAnsi="宋体" w:cs="宋体"/>
          <w:bCs/>
          <w:sz w:val="24"/>
          <w:highlight w:val="none"/>
          <w:u w:val="single"/>
          <w:lang w:eastAsia="zh-CN"/>
        </w:rPr>
        <w:t>台州东茂观光农业开发有限公司</w:t>
      </w:r>
      <w:r>
        <w:rPr>
          <w:rFonts w:hint="eastAsia" w:ascii="宋体" w:hAnsi="宋体" w:cs="宋体"/>
          <w:bCs/>
          <w:sz w:val="24"/>
          <w:highlight w:val="none"/>
          <w:u w:val="single"/>
        </w:rPr>
        <w:t xml:space="preserve">                </w:t>
      </w:r>
    </w:p>
    <w:p w14:paraId="22A5A738">
      <w:pPr>
        <w:spacing w:line="360" w:lineRule="auto"/>
        <w:ind w:firstLine="652" w:firstLineChars="272"/>
        <w:rPr>
          <w:rFonts w:hint="eastAsia" w:ascii="宋体" w:hAnsi="宋体" w:cs="宋体"/>
          <w:bCs/>
          <w:sz w:val="24"/>
          <w:highlight w:val="none"/>
        </w:rPr>
      </w:pPr>
      <w:r>
        <w:rPr>
          <w:rFonts w:hint="eastAsia" w:ascii="宋体" w:hAnsi="宋体" w:cs="宋体"/>
          <w:bCs/>
          <w:sz w:val="24"/>
          <w:highlight w:val="none"/>
        </w:rPr>
        <w:t>承包人（乙方）：</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3AAC2135">
      <w:pPr>
        <w:spacing w:line="360" w:lineRule="auto"/>
        <w:ind w:firstLine="520"/>
        <w:rPr>
          <w:rFonts w:hint="eastAsia" w:ascii="宋体" w:hAnsi="宋体" w:cs="宋体"/>
          <w:bCs/>
          <w:sz w:val="24"/>
          <w:highlight w:val="none"/>
        </w:rPr>
      </w:pPr>
      <w:r>
        <w:rPr>
          <w:rFonts w:hint="eastAsia" w:ascii="宋体" w:hAnsi="宋体" w:cs="宋体"/>
          <w:bCs/>
          <w:sz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17E19D8">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第一条 甲乙双方的责任</w:t>
      </w:r>
    </w:p>
    <w:p w14:paraId="256DDE1D">
      <w:pPr>
        <w:spacing w:line="360" w:lineRule="auto"/>
        <w:ind w:firstLine="520"/>
        <w:rPr>
          <w:rFonts w:hint="eastAsia" w:ascii="宋体" w:hAnsi="宋体" w:cs="宋体"/>
          <w:bCs/>
          <w:sz w:val="24"/>
          <w:highlight w:val="none"/>
        </w:rPr>
      </w:pPr>
      <w:r>
        <w:rPr>
          <w:rFonts w:hint="eastAsia" w:ascii="宋体" w:hAnsi="宋体" w:cs="宋体"/>
          <w:bCs/>
          <w:sz w:val="24"/>
          <w:highlight w:val="none"/>
        </w:rPr>
        <w:t>（一）应严格遵守国家关于市场准入、项目招标投标、工程建设、施工安装和市场活动等有关法律、法规，相关政策，以及廉政建设的各项规定。</w:t>
      </w:r>
    </w:p>
    <w:p w14:paraId="62AE21A4">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（二）严格执行建设工程项目承发包合同文件，自觉按合同办事。</w:t>
      </w:r>
    </w:p>
    <w:p w14:paraId="54EF74BA">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（三）业务活动必须坚持公开、公平、公正、诚信、透明的原则（除法律法规另有规定者外），不得为获取不正当的利益，损害国家、集体和对方利益，不得违反工程建设管理、施工安装的规章制度。</w:t>
      </w:r>
    </w:p>
    <w:p w14:paraId="48A5147B">
      <w:pPr>
        <w:spacing w:line="360" w:lineRule="auto"/>
        <w:ind w:firstLine="520"/>
        <w:rPr>
          <w:rFonts w:hint="eastAsia" w:ascii="宋体" w:hAnsi="宋体" w:cs="宋体"/>
          <w:bCs/>
          <w:sz w:val="24"/>
          <w:highlight w:val="none"/>
        </w:rPr>
      </w:pPr>
      <w:r>
        <w:rPr>
          <w:rFonts w:hint="eastAsia" w:ascii="宋体" w:hAnsi="宋体" w:cs="宋体"/>
          <w:bCs/>
          <w:sz w:val="24"/>
          <w:highlight w:val="none"/>
        </w:rPr>
        <w:t>（四）发现对方在业务活动中有违规、违纪、违法行为的，应及时提醒对方，情节严重的，应向其上级主管部门或纪检监察、司法等有关机关举报。</w:t>
      </w:r>
    </w:p>
    <w:p w14:paraId="64FE87B1">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第二条 甲方的责任</w:t>
      </w:r>
    </w:p>
    <w:p w14:paraId="671B85E3">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甲方的领导和从事该建设工程项目的工作人员，在工程建设的事前、事中、事后应遵守以下规定：</w:t>
      </w:r>
    </w:p>
    <w:p w14:paraId="634C1AC4">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（一）不准向乙方和相关单位索要或接受回扣、礼金、有价证券、贵重物品和好处费、感谢费等。</w:t>
      </w:r>
    </w:p>
    <w:p w14:paraId="74119F0A">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（二）不准在乙方和相关单位报销任何应由甲方或个人支付的费用。</w:t>
      </w:r>
    </w:p>
    <w:p w14:paraId="19B9A528">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（三）不准要求、暗示和接受乙方和相关单位为个人装修住房、婚丧嫁娶、配偶子女的工作安排以及出国（境）、旅游等提供方便。</w:t>
      </w:r>
    </w:p>
    <w:p w14:paraId="5D71D787">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（四）不准参加有可能影响公正执行公务的乙方和相关单位的宴请和健身、娱乐等活动。</w:t>
      </w:r>
    </w:p>
    <w:p w14:paraId="75CC574E">
      <w:pPr>
        <w:spacing w:line="360" w:lineRule="auto"/>
        <w:ind w:firstLine="520"/>
        <w:rPr>
          <w:rFonts w:hint="eastAsia" w:ascii="宋体" w:hAnsi="宋体" w:cs="宋体"/>
          <w:bCs/>
          <w:sz w:val="24"/>
          <w:highlight w:val="none"/>
        </w:rPr>
      </w:pPr>
      <w:r>
        <w:rPr>
          <w:rFonts w:hint="eastAsia" w:ascii="宋体" w:hAnsi="宋体" w:cs="宋体"/>
          <w:bCs/>
          <w:sz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416B7E2">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第三条 乙方的责任</w:t>
      </w:r>
    </w:p>
    <w:p w14:paraId="3030A8BE">
      <w:pPr>
        <w:spacing w:line="360" w:lineRule="auto"/>
        <w:ind w:firstLine="520"/>
        <w:rPr>
          <w:rFonts w:hint="eastAsia" w:ascii="宋体" w:hAnsi="宋体" w:cs="宋体"/>
          <w:bCs/>
          <w:sz w:val="24"/>
          <w:highlight w:val="none"/>
        </w:rPr>
      </w:pPr>
      <w:r>
        <w:rPr>
          <w:rFonts w:hint="eastAsia" w:ascii="宋体" w:hAnsi="宋体" w:cs="宋体"/>
          <w:bCs/>
          <w:sz w:val="24"/>
          <w:highlight w:val="none"/>
        </w:rPr>
        <w:t>应与甲方保持正常的业务交往，按照有关法律法规和程序开展业务工作，严格执行工程建设的有关方针、政策，尤其是有关建筑施工安装的强制性标准和规范，并遵守以下规定：</w:t>
      </w:r>
    </w:p>
    <w:p w14:paraId="6C956D71">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（一）不准以任何理由向甲方、相关单位及其工作人员索要、接受或赠送礼金、有价证券、贵重物品和回扣、好处费、感谢费等。</w:t>
      </w:r>
    </w:p>
    <w:p w14:paraId="5B0837A5">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（二）不准以任何理由为甲方和相关单位报销应由对方或个人支付的费用。</w:t>
      </w:r>
    </w:p>
    <w:p w14:paraId="1067B115">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（三）不准接受或暗示为甲方、相关单位或个人装修住房、婚丧嫁娶、配偶子女的工作安排以及出国（境）、旅游等提供方便。</w:t>
      </w:r>
    </w:p>
    <w:p w14:paraId="6686C530">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（四）不准以任何理由为甲方、相关单位或个人组织有可能影响公正执行公务的宴请、健身、娱乐等活动。</w:t>
      </w:r>
    </w:p>
    <w:p w14:paraId="129CAF3E">
      <w:pPr>
        <w:spacing w:line="360" w:lineRule="auto"/>
        <w:ind w:firstLine="520"/>
        <w:rPr>
          <w:rFonts w:hint="eastAsia" w:ascii="宋体" w:hAnsi="宋体" w:cs="宋体"/>
          <w:bCs/>
          <w:sz w:val="24"/>
          <w:highlight w:val="none"/>
        </w:rPr>
      </w:pPr>
      <w:r>
        <w:rPr>
          <w:rFonts w:hint="eastAsia" w:ascii="宋体" w:hAnsi="宋体" w:cs="宋体"/>
          <w:bCs/>
          <w:sz w:val="24"/>
          <w:highlight w:val="none"/>
        </w:rPr>
        <w:t>第四条 违约责任</w:t>
      </w:r>
    </w:p>
    <w:p w14:paraId="7C5FCB72">
      <w:pPr>
        <w:spacing w:line="360" w:lineRule="auto"/>
        <w:ind w:firstLine="520"/>
        <w:rPr>
          <w:rFonts w:hint="eastAsia" w:ascii="宋体" w:hAnsi="宋体" w:cs="宋体"/>
          <w:bCs/>
          <w:sz w:val="24"/>
          <w:highlight w:val="none"/>
        </w:rPr>
      </w:pPr>
      <w:r>
        <w:rPr>
          <w:rFonts w:hint="eastAsia" w:ascii="宋体" w:hAnsi="宋体" w:cs="宋体"/>
          <w:bCs/>
          <w:sz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943CFD4">
      <w:pPr>
        <w:spacing w:line="360" w:lineRule="auto"/>
        <w:ind w:firstLine="520"/>
        <w:rPr>
          <w:rFonts w:hint="eastAsia" w:ascii="宋体" w:hAnsi="宋体" w:cs="宋体"/>
          <w:bCs/>
          <w:sz w:val="24"/>
          <w:highlight w:val="none"/>
        </w:rPr>
      </w:pPr>
      <w:r>
        <w:rPr>
          <w:rFonts w:hint="eastAsia" w:ascii="宋体" w:hAnsi="宋体" w:cs="宋体"/>
          <w:bCs/>
          <w:sz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25491F2">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第五条 本责任书作为工程施工合同的附件，与工程施工合同具有同等法律效力。经双方签署后立即生效。</w:t>
      </w:r>
    </w:p>
    <w:p w14:paraId="1C7E2C89">
      <w:pPr>
        <w:spacing w:line="360" w:lineRule="auto"/>
        <w:ind w:firstLine="520"/>
        <w:rPr>
          <w:rFonts w:hint="eastAsia" w:ascii="宋体" w:hAnsi="宋体" w:cs="宋体"/>
          <w:bCs/>
          <w:sz w:val="24"/>
          <w:highlight w:val="none"/>
        </w:rPr>
      </w:pPr>
      <w:r>
        <w:rPr>
          <w:rFonts w:hint="eastAsia" w:ascii="宋体" w:hAnsi="宋体" w:cs="宋体"/>
          <w:bCs/>
          <w:sz w:val="24"/>
          <w:highlight w:val="none"/>
        </w:rPr>
        <w:t>第六条 本责任书的有效期为双方签署之日起至该工程项目竣工验收合格时止。</w:t>
      </w:r>
    </w:p>
    <w:p w14:paraId="423AA93F">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甲方单位：（盖章）　　　　           　　　乙方单位：（盖章）</w:t>
      </w:r>
    </w:p>
    <w:p w14:paraId="7550174D">
      <w:pPr>
        <w:spacing w:line="360" w:lineRule="auto"/>
        <w:ind w:firstLine="520"/>
        <w:rPr>
          <w:rFonts w:hint="eastAsia" w:ascii="宋体" w:hAnsi="宋体" w:cs="宋体"/>
          <w:bCs/>
          <w:sz w:val="24"/>
          <w:highlight w:val="none"/>
        </w:rPr>
      </w:pPr>
      <w:r>
        <w:rPr>
          <w:rFonts w:hint="eastAsia" w:ascii="宋体" w:hAnsi="宋体" w:cs="宋体"/>
          <w:bCs/>
          <w:sz w:val="24"/>
          <w:highlight w:val="none"/>
        </w:rPr>
        <w:t>法定代表人：　　　              　　　　　法定代表人：</w:t>
      </w:r>
    </w:p>
    <w:p w14:paraId="64EDD7EF">
      <w:pPr>
        <w:spacing w:line="360" w:lineRule="auto"/>
        <w:ind w:firstLine="520"/>
        <w:rPr>
          <w:rFonts w:hint="eastAsia" w:ascii="宋体" w:hAnsi="宋体" w:cs="宋体"/>
          <w:bCs/>
          <w:sz w:val="24"/>
          <w:highlight w:val="none"/>
        </w:rPr>
      </w:pPr>
      <w:r>
        <w:rPr>
          <w:rFonts w:hint="eastAsia" w:ascii="宋体" w:hAnsi="宋体" w:cs="宋体"/>
          <w:bCs/>
          <w:sz w:val="24"/>
          <w:highlight w:val="none"/>
        </w:rPr>
        <w:t>地址：　　　　　　　　　          　　　　地址：</w:t>
      </w:r>
    </w:p>
    <w:p w14:paraId="7C31EC55">
      <w:pPr>
        <w:spacing w:line="360" w:lineRule="auto"/>
        <w:ind w:firstLine="520"/>
        <w:rPr>
          <w:rFonts w:hint="eastAsia" w:ascii="宋体" w:hAnsi="宋体" w:cs="宋体"/>
          <w:bCs/>
          <w:sz w:val="24"/>
          <w:highlight w:val="none"/>
        </w:rPr>
      </w:pPr>
      <w:r>
        <w:rPr>
          <w:rFonts w:hint="eastAsia" w:ascii="宋体" w:hAnsi="宋体" w:cs="宋体"/>
          <w:bCs/>
          <w:sz w:val="24"/>
          <w:highlight w:val="none"/>
        </w:rPr>
        <w:t>电话：　　　　　　　　　　　　        　　电话：</w:t>
      </w:r>
    </w:p>
    <w:p w14:paraId="3A7E811F">
      <w:pPr>
        <w:autoSpaceDE w:val="0"/>
        <w:autoSpaceDN w:val="0"/>
        <w:adjustRightInd w:val="0"/>
        <w:spacing w:line="360" w:lineRule="auto"/>
        <w:ind w:firstLine="840" w:firstLineChars="350"/>
        <w:rPr>
          <w:rFonts w:hint="eastAsia" w:ascii="宋体" w:hAnsi="宋体" w:cs="Arial"/>
          <w:sz w:val="24"/>
          <w:highlight w:val="none"/>
        </w:rPr>
      </w:pPr>
      <w:r>
        <w:rPr>
          <w:rFonts w:hint="eastAsia" w:ascii="宋体" w:hAnsi="宋体" w:cs="宋体"/>
          <w:bCs/>
          <w:sz w:val="24"/>
          <w:highlight w:val="none"/>
        </w:rPr>
        <w:t>年　月　日　　　　　                   　　年　月　日</w:t>
      </w:r>
      <w:r>
        <w:rPr>
          <w:rFonts w:hint="eastAsia" w:hAnsi="宋体" w:cs="宋体"/>
          <w:highlight w:val="none"/>
        </w:rPr>
        <w:t xml:space="preserve"> </w:t>
      </w:r>
    </w:p>
    <w:p w14:paraId="76D1D8EC">
      <w:pPr>
        <w:pStyle w:val="15"/>
        <w:snapToGrid w:val="0"/>
        <w:spacing w:before="120" w:after="120" w:line="360" w:lineRule="auto"/>
        <w:jc w:val="center"/>
        <w:rPr>
          <w:rFonts w:hint="eastAsia" w:ascii="宋体" w:hAnsi="宋体" w:cs="宋体"/>
          <w:bCs/>
          <w:color w:val="000000" w:themeColor="text1"/>
          <w:sz w:val="32"/>
          <w:szCs w:val="32"/>
          <w:highlight w:val="none"/>
          <w14:textFill>
            <w14:solidFill>
              <w14:schemeClr w14:val="tx1"/>
            </w14:solidFill>
          </w14:textFill>
        </w:rPr>
      </w:pPr>
      <w:r>
        <w:rPr>
          <w:b/>
          <w:bCs/>
          <w:sz w:val="32"/>
          <w:highlight w:val="none"/>
        </w:rPr>
        <w:br w:type="page"/>
      </w:r>
    </w:p>
    <w:p w14:paraId="372A0A42">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9"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9"/>
    </w:p>
    <w:p w14:paraId="7E7DB53E">
      <w:pPr>
        <w:rPr>
          <w:rFonts w:ascii="宋体" w:hAnsi="宋体"/>
          <w:b/>
          <w:color w:val="000000" w:themeColor="text1"/>
          <w:sz w:val="30"/>
          <w:szCs w:val="30"/>
          <w:highlight w:val="none"/>
          <w14:textFill>
            <w14:solidFill>
              <w14:schemeClr w14:val="tx1"/>
            </w14:solidFill>
          </w14:textFill>
        </w:rPr>
      </w:pPr>
    </w:p>
    <w:p w14:paraId="1AA3239E">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14:paraId="076D679E">
      <w:pPr>
        <w:spacing w:line="360" w:lineRule="auto"/>
        <w:rPr>
          <w:rFonts w:ascii="宋体" w:hAnsi="宋体" w:eastAsia="宋体"/>
          <w:b/>
          <w:color w:val="000000" w:themeColor="text1"/>
          <w:sz w:val="30"/>
          <w:szCs w:val="30"/>
          <w:highlight w:val="none"/>
          <w14:textFill>
            <w14:solidFill>
              <w14:schemeClr w14:val="tx1"/>
            </w14:solidFill>
          </w14:textFill>
        </w:rPr>
      </w:pPr>
    </w:p>
    <w:p w14:paraId="3CFE18B2">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台州东茂观光农业开发有限公司2024零星机械租赁项目（第二批)</w:t>
      </w:r>
    </w:p>
    <w:p w14:paraId="5FBC41A3">
      <w:pPr>
        <w:pStyle w:val="27"/>
        <w:rPr>
          <w:color w:val="000000" w:themeColor="text1"/>
          <w:highlight w:val="none"/>
          <w14:textFill>
            <w14:solidFill>
              <w14:schemeClr w14:val="tx1"/>
            </w14:solidFill>
          </w14:textFill>
        </w:rPr>
      </w:pPr>
    </w:p>
    <w:p w14:paraId="401E3701">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14:paraId="651D2599">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14:paraId="1408ADBE">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14:paraId="73631975">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14:paraId="6AEA60B3">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lang w:eastAsia="zh-CN"/>
          <w14:textFill>
            <w14:solidFill>
              <w14:schemeClr w14:val="tx1"/>
            </w14:solidFill>
          </w14:textFill>
        </w:rPr>
        <w:t>技术资信标</w:t>
      </w:r>
      <w:r>
        <w:rPr>
          <w:rFonts w:hint="eastAsia" w:ascii="宋体" w:hAnsi="宋体"/>
          <w:b/>
          <w:color w:val="000000" w:themeColor="text1"/>
          <w:sz w:val="28"/>
          <w:szCs w:val="28"/>
          <w:highlight w:val="none"/>
          <w14:textFill>
            <w14:solidFill>
              <w14:schemeClr w14:val="tx1"/>
            </w14:solidFill>
          </w14:textFill>
        </w:rPr>
        <w:t>）</w:t>
      </w:r>
    </w:p>
    <w:p w14:paraId="2315CB46">
      <w:pPr>
        <w:pStyle w:val="27"/>
        <w:rPr>
          <w:color w:val="000000" w:themeColor="text1"/>
          <w:highlight w:val="none"/>
          <w14:textFill>
            <w14:solidFill>
              <w14:schemeClr w14:val="tx1"/>
            </w14:solidFill>
          </w14:textFill>
        </w:rPr>
      </w:pPr>
    </w:p>
    <w:p w14:paraId="19049094">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14:paraId="356B7694">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14:paraId="46FD218B">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14:paraId="61C5C240">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14:paraId="435C10B1">
      <w:pPr>
        <w:pStyle w:val="10"/>
        <w:rPr>
          <w:rFonts w:ascii="仿宋_GB2312" w:hAnsi="宋体" w:eastAsia="仿宋_GB2312"/>
          <w:b/>
          <w:color w:val="000000" w:themeColor="text1"/>
          <w:sz w:val="36"/>
          <w:szCs w:val="36"/>
          <w:highlight w:val="none"/>
          <w14:textFill>
            <w14:solidFill>
              <w14:schemeClr w14:val="tx1"/>
            </w14:solidFill>
          </w14:textFill>
        </w:rPr>
      </w:pPr>
    </w:p>
    <w:p w14:paraId="014253E0">
      <w:pPr>
        <w:pStyle w:val="11"/>
        <w:ind w:firstLine="480"/>
        <w:rPr>
          <w:color w:val="000000" w:themeColor="text1"/>
          <w:highlight w:val="none"/>
          <w14:textFill>
            <w14:solidFill>
              <w14:schemeClr w14:val="tx1"/>
            </w14:solidFill>
          </w14:textFill>
        </w:rPr>
      </w:pPr>
    </w:p>
    <w:p w14:paraId="3376B8CB">
      <w:pPr>
        <w:pStyle w:val="5"/>
        <w:rPr>
          <w:rFonts w:ascii="仿宋_GB2312" w:hAnsi="宋体" w:eastAsia="仿宋_GB2312"/>
          <w:b/>
          <w:color w:val="000000" w:themeColor="text1"/>
          <w:sz w:val="36"/>
          <w:szCs w:val="36"/>
          <w:highlight w:val="none"/>
          <w14:textFill>
            <w14:solidFill>
              <w14:schemeClr w14:val="tx1"/>
            </w14:solidFill>
          </w14:textFill>
        </w:rPr>
      </w:pPr>
    </w:p>
    <w:p w14:paraId="29FE1719">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技术资信标</w:t>
      </w:r>
      <w:r>
        <w:rPr>
          <w:rFonts w:hint="eastAsia"/>
          <w:b/>
          <w:bCs/>
          <w:color w:val="000000" w:themeColor="text1"/>
          <w:sz w:val="36"/>
          <w:szCs w:val="36"/>
          <w:highlight w:val="none"/>
          <w14:textFill>
            <w14:solidFill>
              <w14:schemeClr w14:val="tx1"/>
            </w14:solidFill>
          </w14:textFill>
        </w:rPr>
        <w:t>目录</w:t>
      </w:r>
    </w:p>
    <w:p w14:paraId="6FBCC7F4">
      <w:pPr>
        <w:spacing w:line="360" w:lineRule="auto"/>
        <w:ind w:firstLine="560" w:firstLineChars="200"/>
        <w:rPr>
          <w:color w:val="000000" w:themeColor="text1"/>
          <w:sz w:val="28"/>
          <w:szCs w:val="36"/>
          <w:highlight w:val="none"/>
          <w14:textFill>
            <w14:solidFill>
              <w14:schemeClr w14:val="tx1"/>
            </w14:solidFill>
          </w14:textFill>
        </w:rPr>
      </w:pPr>
    </w:p>
    <w:p w14:paraId="4BCA3D04">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（1）营业执照扫描件；</w:t>
      </w:r>
    </w:p>
    <w:p w14:paraId="5496DD33">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（2）法定代表人身份证明（格式见附件）或</w:t>
      </w:r>
      <w:r>
        <w:rPr>
          <w:rFonts w:hint="eastAsia" w:ascii="宋体" w:hAnsi="宋体"/>
          <w:sz w:val="24"/>
          <w:highlight w:val="none"/>
          <w:lang w:eastAsia="zh-CN"/>
        </w:rPr>
        <w:t>法定代表人授权委托书</w:t>
      </w:r>
      <w:r>
        <w:rPr>
          <w:rFonts w:hint="eastAsia" w:ascii="宋体" w:hAnsi="宋体"/>
          <w:sz w:val="24"/>
          <w:highlight w:val="none"/>
        </w:rPr>
        <w:t>（格式见附件）；</w:t>
      </w:r>
    </w:p>
    <w:p w14:paraId="32708533">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（3）各投标人根据自身对本项目的解读，按照本招标文件第四章“评标办法及评分标准”中技术资信标的打分内容，并结合第</w:t>
      </w:r>
      <w:r>
        <w:rPr>
          <w:rFonts w:hint="eastAsia" w:ascii="宋体" w:hAnsi="宋体"/>
          <w:sz w:val="24"/>
          <w:highlight w:val="none"/>
          <w:lang w:val="en-US" w:eastAsia="zh-CN"/>
        </w:rPr>
        <w:t>三</w:t>
      </w:r>
      <w:r>
        <w:rPr>
          <w:rFonts w:hint="eastAsia" w:ascii="宋体" w:hAnsi="宋体"/>
          <w:sz w:val="24"/>
          <w:highlight w:val="none"/>
        </w:rPr>
        <w:t>章“招标需求”，由各投标人自行编制技术资信标；</w:t>
      </w:r>
    </w:p>
    <w:p w14:paraId="6960B3D2">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）2021年1月1日以来同类项目业绩一览表（如有）(见附件)；</w:t>
      </w:r>
    </w:p>
    <w:p w14:paraId="5F8275C7">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）投标人诚信投标承诺书（格式见附件）</w:t>
      </w:r>
    </w:p>
    <w:p w14:paraId="27C7DEAC">
      <w:pPr>
        <w:numPr>
          <w:ilvl w:val="0"/>
          <w:numId w:val="0"/>
        </w:numPr>
        <w:autoSpaceDE w:val="0"/>
        <w:autoSpaceDN w:val="0"/>
        <w:adjustRightInd w:val="0"/>
        <w:snapToGrid/>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）投标人认为可以证明自身实力的其他相关材料。</w:t>
      </w:r>
    </w:p>
    <w:p w14:paraId="4872E429">
      <w:pPr>
        <w:spacing w:line="360" w:lineRule="auto"/>
        <w:rPr>
          <w:rFonts w:ascii="宋体" w:hAnsi="宋体"/>
          <w:b/>
          <w:color w:val="000000" w:themeColor="text1"/>
          <w:sz w:val="28"/>
          <w:highlight w:val="none"/>
          <w14:textFill>
            <w14:solidFill>
              <w14:schemeClr w14:val="tx1"/>
            </w14:solidFill>
          </w14:textFill>
        </w:rPr>
      </w:pPr>
    </w:p>
    <w:p w14:paraId="2A70ADA7">
      <w:pPr>
        <w:spacing w:line="360" w:lineRule="auto"/>
        <w:ind w:left="420"/>
        <w:rPr>
          <w:rFonts w:ascii="宋体" w:hAnsi="宋体"/>
          <w:b/>
          <w:color w:val="000000" w:themeColor="text1"/>
          <w:sz w:val="28"/>
          <w:highlight w:val="none"/>
          <w14:textFill>
            <w14:solidFill>
              <w14:schemeClr w14:val="tx1"/>
            </w14:solidFill>
          </w14:textFill>
        </w:rPr>
      </w:pPr>
    </w:p>
    <w:p w14:paraId="435353CA">
      <w:pPr>
        <w:pStyle w:val="38"/>
        <w:rPr>
          <w:rFonts w:ascii="宋体" w:hAnsi="宋体"/>
          <w:b/>
          <w:color w:val="000000" w:themeColor="text1"/>
          <w:sz w:val="28"/>
          <w:highlight w:val="none"/>
          <w14:textFill>
            <w14:solidFill>
              <w14:schemeClr w14:val="tx1"/>
            </w14:solidFill>
          </w14:textFill>
        </w:rPr>
      </w:pPr>
    </w:p>
    <w:p w14:paraId="326F2E29">
      <w:pPr>
        <w:pStyle w:val="38"/>
        <w:rPr>
          <w:rFonts w:ascii="宋体" w:hAnsi="宋体"/>
          <w:b/>
          <w:color w:val="000000" w:themeColor="text1"/>
          <w:sz w:val="28"/>
          <w:highlight w:val="none"/>
          <w14:textFill>
            <w14:solidFill>
              <w14:schemeClr w14:val="tx1"/>
            </w14:solidFill>
          </w14:textFill>
        </w:rPr>
      </w:pPr>
    </w:p>
    <w:p w14:paraId="2F3F9CC3">
      <w:pPr>
        <w:spacing w:line="360" w:lineRule="auto"/>
        <w:ind w:left="420"/>
        <w:rPr>
          <w:rFonts w:ascii="宋体" w:hAnsi="宋体"/>
          <w:b/>
          <w:color w:val="000000" w:themeColor="text1"/>
          <w:sz w:val="28"/>
          <w:highlight w:val="none"/>
          <w14:textFill>
            <w14:solidFill>
              <w14:schemeClr w14:val="tx1"/>
            </w14:solidFill>
          </w14:textFill>
        </w:rPr>
      </w:pPr>
    </w:p>
    <w:p w14:paraId="5983872B">
      <w:pPr>
        <w:spacing w:line="360" w:lineRule="auto"/>
        <w:ind w:left="420"/>
        <w:rPr>
          <w:rFonts w:ascii="宋体" w:hAnsi="宋体"/>
          <w:b/>
          <w:color w:val="000000" w:themeColor="text1"/>
          <w:sz w:val="28"/>
          <w:highlight w:val="none"/>
          <w14:textFill>
            <w14:solidFill>
              <w14:schemeClr w14:val="tx1"/>
            </w14:solidFill>
          </w14:textFill>
        </w:rPr>
      </w:pPr>
    </w:p>
    <w:p w14:paraId="1AED224D">
      <w:pPr>
        <w:spacing w:line="360" w:lineRule="auto"/>
        <w:ind w:left="420"/>
        <w:rPr>
          <w:rFonts w:ascii="宋体" w:hAnsi="宋体"/>
          <w:b/>
          <w:color w:val="000000" w:themeColor="text1"/>
          <w:sz w:val="28"/>
          <w:highlight w:val="none"/>
          <w14:textFill>
            <w14:solidFill>
              <w14:schemeClr w14:val="tx1"/>
            </w14:solidFill>
          </w14:textFill>
        </w:rPr>
      </w:pPr>
    </w:p>
    <w:p w14:paraId="0BCDA336">
      <w:pPr>
        <w:spacing w:line="360" w:lineRule="auto"/>
        <w:ind w:left="420"/>
        <w:rPr>
          <w:rFonts w:ascii="宋体" w:hAnsi="宋体"/>
          <w:b/>
          <w:color w:val="000000" w:themeColor="text1"/>
          <w:sz w:val="28"/>
          <w:highlight w:val="none"/>
          <w14:textFill>
            <w14:solidFill>
              <w14:schemeClr w14:val="tx1"/>
            </w14:solidFill>
          </w14:textFill>
        </w:rPr>
      </w:pPr>
    </w:p>
    <w:p w14:paraId="1E458953">
      <w:pPr>
        <w:spacing w:line="360" w:lineRule="auto"/>
        <w:rPr>
          <w:rFonts w:ascii="宋体" w:hAnsi="宋体"/>
          <w:b/>
          <w:color w:val="000000" w:themeColor="text1"/>
          <w:sz w:val="28"/>
          <w:highlight w:val="none"/>
          <w14:textFill>
            <w14:solidFill>
              <w14:schemeClr w14:val="tx1"/>
            </w14:solidFill>
          </w14:textFill>
        </w:rPr>
      </w:pPr>
    </w:p>
    <w:p w14:paraId="06E948F3">
      <w:pPr>
        <w:pStyle w:val="3"/>
        <w:numPr>
          <w:ilvl w:val="0"/>
          <w:numId w:val="0"/>
        </w:numPr>
        <w:ind w:left="425"/>
        <w:jc w:val="both"/>
        <w:rPr>
          <w:color w:val="000000" w:themeColor="text1"/>
          <w:highlight w:val="none"/>
          <w14:textFill>
            <w14:solidFill>
              <w14:schemeClr w14:val="tx1"/>
            </w14:solidFill>
          </w14:textFill>
        </w:rPr>
      </w:pPr>
    </w:p>
    <w:p w14:paraId="537DC677">
      <w:pPr>
        <w:rPr>
          <w:color w:val="000000" w:themeColor="text1"/>
          <w:highlight w:val="none"/>
          <w14:textFill>
            <w14:solidFill>
              <w14:schemeClr w14:val="tx1"/>
            </w14:solidFill>
          </w14:textFill>
        </w:rPr>
      </w:pPr>
    </w:p>
    <w:p w14:paraId="187CC005">
      <w:pPr>
        <w:pStyle w:val="5"/>
        <w:rPr>
          <w:rFonts w:ascii="宋体" w:hAnsi="宋体"/>
          <w:b/>
          <w:color w:val="000000" w:themeColor="text1"/>
          <w:sz w:val="28"/>
          <w:highlight w:val="none"/>
          <w14:textFill>
            <w14:solidFill>
              <w14:schemeClr w14:val="tx1"/>
            </w14:solidFill>
          </w14:textFill>
        </w:rPr>
      </w:pPr>
    </w:p>
    <w:p w14:paraId="6AA27C0A">
      <w:pPr>
        <w:pStyle w:val="5"/>
        <w:rPr>
          <w:rFonts w:ascii="宋体" w:hAnsi="宋体"/>
          <w:b/>
          <w:color w:val="000000" w:themeColor="text1"/>
          <w:sz w:val="28"/>
          <w:highlight w:val="none"/>
          <w14:textFill>
            <w14:solidFill>
              <w14:schemeClr w14:val="tx1"/>
            </w14:solidFill>
          </w14:textFill>
        </w:rPr>
      </w:pPr>
    </w:p>
    <w:p w14:paraId="1A4F1BF3">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36C4CFB">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14:paraId="5ADC31FE">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7D08ABB3">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70ABEB15">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544C9137">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台州东茂观光农业开发有限公司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w:t>
      </w:r>
      <w:r>
        <w:rPr>
          <w:rFonts w:hint="eastAsia" w:cs="Times New Roman"/>
          <w:color w:val="auto"/>
          <w:sz w:val="28"/>
          <w:szCs w:val="28"/>
          <w:highlight w:val="none"/>
          <w:lang w:eastAsia="zh-CN"/>
        </w:rPr>
        <w:t>招标人</w:t>
      </w:r>
      <w:r>
        <w:rPr>
          <w:rFonts w:hint="eastAsia" w:ascii="Times New Roman" w:hAnsi="Times New Roman" w:eastAsia="宋体" w:cs="Times New Roman"/>
          <w:color w:val="auto"/>
          <w:sz w:val="28"/>
          <w:szCs w:val="28"/>
          <w:highlight w:val="none"/>
        </w:rPr>
        <w:t>）的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台州东茂观光农业开发有限公司2024零星机械租赁项目（第二批)</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498B4959">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0AC9E1B2">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026041EC">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4359DF08">
      <w:pPr>
        <w:rPr>
          <w:rFonts w:ascii="Times New Roman" w:hAnsi="Times New Roman" w:eastAsia="仿宋_GB2312" w:cs="Times New Roman"/>
          <w:color w:val="auto"/>
          <w:sz w:val="28"/>
          <w:szCs w:val="28"/>
          <w:highlight w:val="none"/>
        </w:rPr>
      </w:pPr>
    </w:p>
    <w:p w14:paraId="15111827">
      <w:pPr>
        <w:widowControl/>
        <w:snapToGrid w:val="0"/>
        <w:spacing w:line="360" w:lineRule="auto"/>
        <w:rPr>
          <w:rFonts w:ascii="Times New Roman" w:hAnsi="Times New Roman" w:eastAsia="仿宋_GB2312" w:cs="Times New Roman"/>
          <w:color w:val="auto"/>
          <w:sz w:val="28"/>
          <w:szCs w:val="28"/>
          <w:highlight w:val="none"/>
        </w:rPr>
      </w:pPr>
    </w:p>
    <w:p w14:paraId="3CAF74BC">
      <w:pPr>
        <w:widowControl/>
        <w:snapToGrid w:val="0"/>
        <w:spacing w:line="360" w:lineRule="auto"/>
        <w:rPr>
          <w:rFonts w:ascii="Times New Roman" w:hAnsi="Times New Roman" w:eastAsia="仿宋_GB2312" w:cs="Times New Roman"/>
          <w:color w:val="auto"/>
          <w:sz w:val="28"/>
          <w:szCs w:val="28"/>
          <w:highlight w:val="none"/>
        </w:rPr>
      </w:pPr>
    </w:p>
    <w:p w14:paraId="152CA717">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14:paraId="4C8CB794">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14:paraId="1DA61691">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648F29EC">
      <w:pPr>
        <w:rPr>
          <w:rFonts w:hint="eastAsia" w:ascii="宋体" w:hAnsi="宋体"/>
          <w:b/>
          <w:color w:val="000000" w:themeColor="text1"/>
          <w:sz w:val="28"/>
          <w:highlight w:val="none"/>
          <w14:textFill>
            <w14:solidFill>
              <w14:schemeClr w14:val="tx1"/>
            </w14:solidFill>
          </w14:textFill>
        </w:rPr>
      </w:pPr>
    </w:p>
    <w:p w14:paraId="26FC5FBE">
      <w:pPr>
        <w:pStyle w:val="25"/>
        <w:rPr>
          <w:rFonts w:hint="eastAsia"/>
        </w:rPr>
      </w:pPr>
    </w:p>
    <w:p w14:paraId="0929FDDB">
      <w:pPr>
        <w:rPr>
          <w:rFonts w:hint="eastAsia" w:ascii="宋体" w:hAnsi="宋体"/>
          <w:b/>
          <w:color w:val="000000" w:themeColor="text1"/>
          <w:sz w:val="28"/>
          <w:highlight w:val="none"/>
          <w14:textFill>
            <w14:solidFill>
              <w14:schemeClr w14:val="tx1"/>
            </w14:solidFill>
          </w14:textFill>
        </w:rPr>
      </w:pPr>
    </w:p>
    <w:p w14:paraId="2539F40F">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14:paraId="00F1497B">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14:paraId="08FEF430">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14:paraId="7CAD600E">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46144A78">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26B3B936">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E856D33">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57A16651">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C604D12">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2C9AADEB">
      <w:pPr>
        <w:pStyle w:val="45"/>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A141D60">
      <w:pPr>
        <w:pStyle w:val="45"/>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3730949">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14:paraId="447D3F8E">
      <w:pPr>
        <w:pStyle w:val="45"/>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13EA1DB6">
      <w:pPr>
        <w:pStyle w:val="45"/>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身份证扫描件：</w:t>
      </w:r>
    </w:p>
    <w:p w14:paraId="0D5C5056">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14:paraId="58114838">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14:paraId="45A011F6">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14:paraId="363338D5">
      <w:pPr>
        <w:widowControl w:val="0"/>
        <w:spacing w:before="240" w:beforeLines="0" w:after="60" w:afterLines="0"/>
        <w:jc w:val="center"/>
        <w:outlineLvl w:val="0"/>
        <w:rPr>
          <w:rFonts w:hint="eastAsia" w:ascii="Cambria" w:hAnsi="Cambria" w:eastAsia="Cambria" w:cs="Times New Roman"/>
          <w:b/>
          <w:color w:val="auto"/>
          <w:kern w:val="2"/>
          <w:sz w:val="32"/>
          <w:szCs w:val="32"/>
          <w:highlight w:val="none"/>
          <w:lang w:val="en-US" w:eastAsia="zh-CN" w:bidi="ar-SA"/>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14:paraId="4D2DE677">
      <w:pP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8"/>
          <w:szCs w:val="28"/>
          <w:highlight w:val="none"/>
        </w:rPr>
        <w:t xml:space="preserve">                      </w:t>
      </w:r>
      <w:r>
        <w:rPr>
          <w:rFonts w:hint="eastAsia" w:ascii="宋体" w:hAnsi="宋体" w:eastAsia="宋体" w:cs="宋体"/>
          <w:color w:val="auto"/>
          <w:position w:val="-3"/>
          <w:sz w:val="24"/>
          <w:highlight w:val="none"/>
        </w:rPr>
        <w:t xml:space="preserve"> 投标人（盖单位</w:t>
      </w:r>
      <w:r>
        <w:rPr>
          <w:rFonts w:hint="eastAsia" w:ascii="宋体" w:hAnsi="宋体" w:eastAsia="宋体" w:cs="宋体"/>
          <w:color w:val="auto"/>
          <w:position w:val="-3"/>
          <w:sz w:val="24"/>
          <w:highlight w:val="none"/>
          <w:lang w:val="en-US" w:eastAsia="zh-CN"/>
        </w:rPr>
        <w:t>电子</w:t>
      </w:r>
      <w:r>
        <w:rPr>
          <w:rFonts w:hint="eastAsia" w:ascii="宋体" w:hAnsi="宋体" w:eastAsia="宋体" w:cs="宋体"/>
          <w:color w:val="auto"/>
          <w:position w:val="-3"/>
          <w:sz w:val="24"/>
          <w:highlight w:val="none"/>
        </w:rPr>
        <w:t>公章）：</w:t>
      </w:r>
      <w:r>
        <w:rPr>
          <w:rFonts w:hint="eastAsia" w:ascii="宋体" w:hAnsi="宋体" w:eastAsia="宋体" w:cs="宋体"/>
          <w:snapToGrid w:val="0"/>
          <w:color w:val="auto"/>
          <w:kern w:val="0"/>
          <w:sz w:val="28"/>
          <w:szCs w:val="28"/>
          <w:highlight w:val="none"/>
        </w:rPr>
        <w:t xml:space="preserve">  </w:t>
      </w:r>
    </w:p>
    <w:p w14:paraId="6CC6BBF2">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65EE7ACE">
      <w:pPr>
        <w:pStyle w:val="12"/>
        <w:jc w:val="right"/>
        <w:rPr>
          <w:rFonts w:hint="eastAsia" w:ascii="宋体" w:hAnsi="宋体" w:eastAsia="宋体" w:cs="宋体"/>
          <w:color w:val="auto"/>
          <w:kern w:val="2"/>
          <w:position w:val="-3"/>
          <w:sz w:val="24"/>
          <w:szCs w:val="24"/>
          <w:highlight w:val="none"/>
          <w:lang w:val="en-US" w:eastAsia="zh-CN" w:bidi="ar-SA"/>
        </w:rPr>
      </w:pPr>
      <w:r>
        <w:rPr>
          <w:rFonts w:hint="eastAsia" w:ascii="宋体" w:hAnsi="宋体" w:eastAsia="宋体" w:cs="宋体"/>
          <w:color w:val="auto"/>
          <w:kern w:val="2"/>
          <w:position w:val="-3"/>
          <w:sz w:val="24"/>
          <w:szCs w:val="24"/>
          <w:highlight w:val="none"/>
          <w:lang w:val="en-US" w:eastAsia="zh-CN" w:bidi="ar-SA"/>
        </w:rPr>
        <w:t>日期:     年    月    日</w:t>
      </w:r>
    </w:p>
    <w:p w14:paraId="2A10ABD3">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74B2D55B">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42FD4C8C">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14:paraId="54F0B445">
      <w:pPr>
        <w:spacing w:line="360" w:lineRule="auto"/>
        <w:jc w:val="center"/>
        <w:rPr>
          <w:b/>
          <w:color w:val="000000" w:themeColor="text1"/>
          <w:sz w:val="32"/>
          <w:szCs w:val="32"/>
          <w:highlight w:val="none"/>
          <w14:textFill>
            <w14:solidFill>
              <w14:schemeClr w14:val="tx1"/>
            </w14:solidFill>
          </w14:textFill>
        </w:rPr>
      </w:pPr>
      <w:bookmarkStart w:id="40" w:name="_Toc6870_WPSOffice_Level1"/>
      <w:bookmarkStart w:id="41" w:name="_Toc24373_WPSOffice_Level1"/>
      <w:r>
        <w:rPr>
          <w:rFonts w:hint="eastAsia"/>
          <w:b/>
          <w:color w:val="000000" w:themeColor="text1"/>
          <w:sz w:val="32"/>
          <w:szCs w:val="32"/>
          <w:highlight w:val="none"/>
          <w14:textFill>
            <w14:solidFill>
              <w14:schemeClr w14:val="tx1"/>
            </w14:solidFill>
          </w14:textFill>
        </w:rPr>
        <w:t>台州市诚信投标承诺书</w:t>
      </w:r>
    </w:p>
    <w:p w14:paraId="67F9F6EE">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14:paraId="65A5B6AD">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台州东茂观光农业开发有限公司2024零星机械租赁项目（第二批)</w:t>
      </w:r>
      <w:r>
        <w:rPr>
          <w:rFonts w:hint="eastAsia"/>
          <w:color w:val="000000" w:themeColor="text1"/>
          <w:sz w:val="28"/>
          <w:szCs w:val="28"/>
          <w:highlight w:val="none"/>
          <w14:textFill>
            <w14:solidFill>
              <w14:schemeClr w14:val="tx1"/>
            </w14:solidFill>
          </w14:textFill>
        </w:rPr>
        <w:t>（招标项目名称）的投标；</w:t>
      </w:r>
    </w:p>
    <w:p w14:paraId="6A447926">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14:paraId="1840BEAC">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14:paraId="0FE4BB60">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14:paraId="156596BF">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14:paraId="7E91A603">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14:paraId="48D4F1A8">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14:paraId="279F4E0F">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14:paraId="1A4E0FD7">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14:paraId="12EA57F5">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14:paraId="199EA31B">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bookmarkEnd w:id="40"/>
    <w:bookmarkEnd w:id="41"/>
    <w:p w14:paraId="62EDBC19">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pPr>
    </w:p>
    <w:p w14:paraId="5F302B17">
      <w:pPr>
        <w:adjustRightInd w:val="0"/>
        <w:snapToGrid w:val="0"/>
        <w:spacing w:line="360" w:lineRule="auto"/>
        <w:ind w:right="480"/>
        <w:rPr>
          <w:rFonts w:hint="eastAsia" w:ascii="宋体" w:hAnsi="宋体" w:eastAsia="宋体" w:cs="宋体"/>
          <w:b/>
          <w:bCs/>
          <w:color w:val="auto"/>
          <w:sz w:val="24"/>
          <w:szCs w:val="24"/>
          <w:highlight w:val="none"/>
          <w:lang w:eastAsia="zh-CN"/>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r>
        <w:rPr>
          <w:rFonts w:hint="eastAsia" w:ascii="宋体" w:hAnsi="宋体" w:cs="宋体"/>
          <w:b/>
          <w:bCs/>
          <w:color w:val="auto"/>
          <w:sz w:val="24"/>
          <w:szCs w:val="24"/>
          <w:highlight w:val="none"/>
          <w:lang w:val="en-US" w:eastAsia="zh-CN"/>
        </w:rPr>
        <w:t xml:space="preserve"> </w:t>
      </w:r>
    </w:p>
    <w:p w14:paraId="3434BFE6">
      <w:pPr>
        <w:pStyle w:val="15"/>
        <w:spacing w:before="197" w:after="197"/>
        <w:jc w:val="center"/>
        <w:rPr>
          <w:rFonts w:hint="eastAsia" w:ascii="宋体" w:hAnsi="宋体" w:cs="宋体"/>
          <w:b/>
          <w:color w:val="auto"/>
          <w:sz w:val="24"/>
          <w:highlight w:val="none"/>
        </w:rPr>
      </w:pPr>
      <w:r>
        <w:rPr>
          <w:rFonts w:hint="eastAsia" w:hAnsi="宋体" w:cs="宋体"/>
          <w:b/>
          <w:bCs/>
          <w:i w:val="0"/>
          <w:iCs w:val="0"/>
          <w:color w:val="auto"/>
          <w:sz w:val="28"/>
          <w:szCs w:val="28"/>
          <w:highlight w:val="none"/>
        </w:rPr>
        <w:t>20</w:t>
      </w:r>
      <w:r>
        <w:rPr>
          <w:rFonts w:hint="eastAsia" w:hAnsi="宋体" w:cs="宋体"/>
          <w:b/>
          <w:bCs/>
          <w:i w:val="0"/>
          <w:iCs w:val="0"/>
          <w:color w:val="auto"/>
          <w:sz w:val="28"/>
          <w:szCs w:val="28"/>
          <w:highlight w:val="none"/>
          <w:lang w:val="en-US" w:eastAsia="zh-CN"/>
        </w:rPr>
        <w:t>21</w:t>
      </w:r>
      <w:r>
        <w:rPr>
          <w:rFonts w:hint="eastAsia" w:hAnsi="宋体" w:cs="宋体"/>
          <w:b/>
          <w:bCs/>
          <w:i w:val="0"/>
          <w:iCs w:val="0"/>
          <w:color w:val="auto"/>
          <w:sz w:val="28"/>
          <w:szCs w:val="28"/>
          <w:highlight w:val="none"/>
        </w:rPr>
        <w:t>年1月1日以来同类项目业绩一览表</w:t>
      </w:r>
    </w:p>
    <w:p w14:paraId="34F44903">
      <w:pPr>
        <w:adjustRightInd w:val="0"/>
        <w:spacing w:line="500" w:lineRule="exact"/>
        <w:textAlignment w:val="baseline"/>
        <w:rPr>
          <w:rFonts w:hint="eastAsia" w:ascii="宋体" w:hAnsi="宋体" w:cs="宋体"/>
          <w:color w:val="auto"/>
          <w:sz w:val="24"/>
          <w:highlight w:val="none"/>
        </w:rPr>
      </w:pPr>
      <w:r>
        <w:rPr>
          <w:rFonts w:hint="eastAsia" w:ascii="宋体" w:hAnsi="宋体" w:cs="宋体"/>
          <w:color w:val="auto"/>
          <w:sz w:val="24"/>
          <w:highlight w:val="none"/>
        </w:rPr>
        <w:t>项目名称：                                  招标编号：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30"/>
        <w:gridCol w:w="1885"/>
        <w:gridCol w:w="1185"/>
        <w:gridCol w:w="1477"/>
        <w:gridCol w:w="1036"/>
        <w:gridCol w:w="836"/>
      </w:tblGrid>
      <w:tr w14:paraId="77C4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7815242F">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30" w:type="dxa"/>
            <w:noWrap w:val="0"/>
            <w:vAlign w:val="center"/>
          </w:tcPr>
          <w:p w14:paraId="2A16C95A">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用户名称</w:t>
            </w:r>
          </w:p>
        </w:tc>
        <w:tc>
          <w:tcPr>
            <w:tcW w:w="1885" w:type="dxa"/>
            <w:noWrap w:val="0"/>
            <w:vAlign w:val="center"/>
          </w:tcPr>
          <w:p w14:paraId="76C241D7">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型号规格</w:t>
            </w:r>
          </w:p>
        </w:tc>
        <w:tc>
          <w:tcPr>
            <w:tcW w:w="1185" w:type="dxa"/>
            <w:noWrap w:val="0"/>
            <w:vAlign w:val="center"/>
          </w:tcPr>
          <w:p w14:paraId="171B60FB">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477" w:type="dxa"/>
            <w:noWrap w:val="0"/>
            <w:vAlign w:val="center"/>
          </w:tcPr>
          <w:p w14:paraId="7AB84E77">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联系方式</w:t>
            </w:r>
          </w:p>
        </w:tc>
        <w:tc>
          <w:tcPr>
            <w:tcW w:w="1036" w:type="dxa"/>
            <w:noWrap w:val="0"/>
            <w:vAlign w:val="center"/>
          </w:tcPr>
          <w:p w14:paraId="55667D8B">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联系人</w:t>
            </w:r>
          </w:p>
        </w:tc>
        <w:tc>
          <w:tcPr>
            <w:tcW w:w="836" w:type="dxa"/>
            <w:noWrap w:val="0"/>
            <w:vAlign w:val="center"/>
          </w:tcPr>
          <w:p w14:paraId="5A28C77A">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B69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34932EBC">
            <w:pPr>
              <w:spacing w:line="380" w:lineRule="exact"/>
              <w:jc w:val="center"/>
              <w:rPr>
                <w:rFonts w:hint="eastAsia" w:ascii="宋体" w:hAnsi="宋体" w:cs="宋体"/>
                <w:b/>
                <w:color w:val="auto"/>
                <w:sz w:val="24"/>
                <w:highlight w:val="none"/>
              </w:rPr>
            </w:pPr>
          </w:p>
        </w:tc>
        <w:tc>
          <w:tcPr>
            <w:tcW w:w="1830" w:type="dxa"/>
            <w:noWrap w:val="0"/>
            <w:vAlign w:val="center"/>
          </w:tcPr>
          <w:p w14:paraId="4EE45D75">
            <w:pPr>
              <w:spacing w:line="380" w:lineRule="exact"/>
              <w:jc w:val="center"/>
              <w:rPr>
                <w:rFonts w:hint="eastAsia" w:ascii="宋体" w:hAnsi="宋体" w:cs="宋体"/>
                <w:b/>
                <w:color w:val="auto"/>
                <w:sz w:val="24"/>
                <w:highlight w:val="none"/>
              </w:rPr>
            </w:pPr>
          </w:p>
        </w:tc>
        <w:tc>
          <w:tcPr>
            <w:tcW w:w="1885" w:type="dxa"/>
            <w:noWrap w:val="0"/>
            <w:vAlign w:val="center"/>
          </w:tcPr>
          <w:p w14:paraId="01AC6587">
            <w:pPr>
              <w:spacing w:line="380" w:lineRule="exact"/>
              <w:jc w:val="center"/>
              <w:rPr>
                <w:rFonts w:hint="eastAsia" w:ascii="宋体" w:hAnsi="宋体" w:cs="宋体"/>
                <w:b/>
                <w:color w:val="auto"/>
                <w:sz w:val="24"/>
                <w:highlight w:val="none"/>
              </w:rPr>
            </w:pPr>
          </w:p>
        </w:tc>
        <w:tc>
          <w:tcPr>
            <w:tcW w:w="1185" w:type="dxa"/>
            <w:noWrap w:val="0"/>
            <w:vAlign w:val="center"/>
          </w:tcPr>
          <w:p w14:paraId="1DA765DD">
            <w:pPr>
              <w:spacing w:line="380" w:lineRule="exact"/>
              <w:jc w:val="center"/>
              <w:rPr>
                <w:rFonts w:hint="eastAsia" w:ascii="宋体" w:hAnsi="宋体" w:cs="宋体"/>
                <w:b/>
                <w:color w:val="auto"/>
                <w:sz w:val="24"/>
                <w:highlight w:val="none"/>
              </w:rPr>
            </w:pPr>
          </w:p>
        </w:tc>
        <w:tc>
          <w:tcPr>
            <w:tcW w:w="1477" w:type="dxa"/>
            <w:noWrap w:val="0"/>
            <w:vAlign w:val="center"/>
          </w:tcPr>
          <w:p w14:paraId="7F998CEA">
            <w:pPr>
              <w:spacing w:line="380" w:lineRule="exact"/>
              <w:jc w:val="center"/>
              <w:rPr>
                <w:rFonts w:hint="eastAsia" w:ascii="宋体" w:hAnsi="宋体" w:cs="宋体"/>
                <w:b/>
                <w:color w:val="auto"/>
                <w:sz w:val="24"/>
                <w:highlight w:val="none"/>
              </w:rPr>
            </w:pPr>
          </w:p>
        </w:tc>
        <w:tc>
          <w:tcPr>
            <w:tcW w:w="1036" w:type="dxa"/>
            <w:noWrap w:val="0"/>
            <w:vAlign w:val="center"/>
          </w:tcPr>
          <w:p w14:paraId="030339C8">
            <w:pPr>
              <w:spacing w:line="380" w:lineRule="exact"/>
              <w:jc w:val="center"/>
              <w:rPr>
                <w:rFonts w:hint="eastAsia" w:ascii="宋体" w:hAnsi="宋体" w:cs="宋体"/>
                <w:b/>
                <w:color w:val="auto"/>
                <w:sz w:val="24"/>
                <w:highlight w:val="none"/>
              </w:rPr>
            </w:pPr>
          </w:p>
        </w:tc>
        <w:tc>
          <w:tcPr>
            <w:tcW w:w="836" w:type="dxa"/>
            <w:noWrap w:val="0"/>
            <w:vAlign w:val="center"/>
          </w:tcPr>
          <w:p w14:paraId="08C58AD6">
            <w:pPr>
              <w:spacing w:line="380" w:lineRule="exact"/>
              <w:jc w:val="center"/>
              <w:rPr>
                <w:rFonts w:hint="eastAsia" w:ascii="宋体" w:hAnsi="宋体" w:cs="宋体"/>
                <w:b/>
                <w:color w:val="auto"/>
                <w:sz w:val="24"/>
                <w:highlight w:val="none"/>
              </w:rPr>
            </w:pPr>
          </w:p>
        </w:tc>
      </w:tr>
      <w:tr w14:paraId="73AF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76D4E19B">
            <w:pPr>
              <w:spacing w:line="380" w:lineRule="exact"/>
              <w:jc w:val="center"/>
              <w:rPr>
                <w:rFonts w:hint="eastAsia" w:ascii="宋体" w:hAnsi="宋体" w:cs="宋体"/>
                <w:b/>
                <w:color w:val="auto"/>
                <w:sz w:val="24"/>
                <w:highlight w:val="none"/>
              </w:rPr>
            </w:pPr>
          </w:p>
        </w:tc>
        <w:tc>
          <w:tcPr>
            <w:tcW w:w="1830" w:type="dxa"/>
            <w:noWrap w:val="0"/>
            <w:vAlign w:val="center"/>
          </w:tcPr>
          <w:p w14:paraId="4488B306">
            <w:pPr>
              <w:spacing w:line="380" w:lineRule="exact"/>
              <w:jc w:val="center"/>
              <w:rPr>
                <w:rFonts w:hint="eastAsia" w:ascii="宋体" w:hAnsi="宋体" w:cs="宋体"/>
                <w:b/>
                <w:color w:val="auto"/>
                <w:sz w:val="24"/>
                <w:highlight w:val="none"/>
              </w:rPr>
            </w:pPr>
          </w:p>
        </w:tc>
        <w:tc>
          <w:tcPr>
            <w:tcW w:w="1885" w:type="dxa"/>
            <w:noWrap w:val="0"/>
            <w:vAlign w:val="center"/>
          </w:tcPr>
          <w:p w14:paraId="7EDDE48F">
            <w:pPr>
              <w:spacing w:line="380" w:lineRule="exact"/>
              <w:jc w:val="center"/>
              <w:rPr>
                <w:rFonts w:hint="eastAsia" w:ascii="宋体" w:hAnsi="宋体" w:cs="宋体"/>
                <w:b/>
                <w:color w:val="auto"/>
                <w:sz w:val="24"/>
                <w:highlight w:val="none"/>
              </w:rPr>
            </w:pPr>
          </w:p>
        </w:tc>
        <w:tc>
          <w:tcPr>
            <w:tcW w:w="1185" w:type="dxa"/>
            <w:noWrap w:val="0"/>
            <w:vAlign w:val="center"/>
          </w:tcPr>
          <w:p w14:paraId="530F06D4">
            <w:pPr>
              <w:spacing w:line="380" w:lineRule="exact"/>
              <w:jc w:val="center"/>
              <w:rPr>
                <w:rFonts w:hint="eastAsia" w:ascii="宋体" w:hAnsi="宋体" w:cs="宋体"/>
                <w:b/>
                <w:color w:val="auto"/>
                <w:sz w:val="24"/>
                <w:highlight w:val="none"/>
              </w:rPr>
            </w:pPr>
          </w:p>
        </w:tc>
        <w:tc>
          <w:tcPr>
            <w:tcW w:w="1477" w:type="dxa"/>
            <w:noWrap w:val="0"/>
            <w:vAlign w:val="center"/>
          </w:tcPr>
          <w:p w14:paraId="1F558238">
            <w:pPr>
              <w:spacing w:line="380" w:lineRule="exact"/>
              <w:jc w:val="center"/>
              <w:rPr>
                <w:rFonts w:hint="eastAsia" w:ascii="宋体" w:hAnsi="宋体" w:cs="宋体"/>
                <w:b/>
                <w:color w:val="auto"/>
                <w:sz w:val="24"/>
                <w:highlight w:val="none"/>
              </w:rPr>
            </w:pPr>
          </w:p>
        </w:tc>
        <w:tc>
          <w:tcPr>
            <w:tcW w:w="1036" w:type="dxa"/>
            <w:noWrap w:val="0"/>
            <w:vAlign w:val="center"/>
          </w:tcPr>
          <w:p w14:paraId="0CB1D81B">
            <w:pPr>
              <w:spacing w:line="380" w:lineRule="exact"/>
              <w:jc w:val="center"/>
              <w:rPr>
                <w:rFonts w:hint="eastAsia" w:ascii="宋体" w:hAnsi="宋体" w:cs="宋体"/>
                <w:b/>
                <w:color w:val="auto"/>
                <w:sz w:val="24"/>
                <w:highlight w:val="none"/>
              </w:rPr>
            </w:pPr>
          </w:p>
        </w:tc>
        <w:tc>
          <w:tcPr>
            <w:tcW w:w="836" w:type="dxa"/>
            <w:noWrap w:val="0"/>
            <w:vAlign w:val="center"/>
          </w:tcPr>
          <w:p w14:paraId="71DA9BE1">
            <w:pPr>
              <w:spacing w:line="380" w:lineRule="exact"/>
              <w:jc w:val="center"/>
              <w:rPr>
                <w:rFonts w:hint="eastAsia" w:ascii="宋体" w:hAnsi="宋体" w:cs="宋体"/>
                <w:b/>
                <w:color w:val="auto"/>
                <w:sz w:val="24"/>
                <w:highlight w:val="none"/>
              </w:rPr>
            </w:pPr>
          </w:p>
        </w:tc>
      </w:tr>
      <w:tr w14:paraId="2B29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7A3CF11C">
            <w:pPr>
              <w:spacing w:line="380" w:lineRule="exact"/>
              <w:jc w:val="center"/>
              <w:rPr>
                <w:rFonts w:hint="eastAsia" w:ascii="宋体" w:hAnsi="宋体" w:cs="宋体"/>
                <w:b/>
                <w:color w:val="auto"/>
                <w:sz w:val="24"/>
                <w:highlight w:val="none"/>
              </w:rPr>
            </w:pPr>
          </w:p>
        </w:tc>
        <w:tc>
          <w:tcPr>
            <w:tcW w:w="1830" w:type="dxa"/>
            <w:noWrap w:val="0"/>
            <w:vAlign w:val="center"/>
          </w:tcPr>
          <w:p w14:paraId="5A64AF6E">
            <w:pPr>
              <w:spacing w:line="380" w:lineRule="exact"/>
              <w:jc w:val="center"/>
              <w:rPr>
                <w:rFonts w:hint="eastAsia" w:ascii="宋体" w:hAnsi="宋体" w:cs="宋体"/>
                <w:b/>
                <w:color w:val="auto"/>
                <w:sz w:val="24"/>
                <w:highlight w:val="none"/>
              </w:rPr>
            </w:pPr>
          </w:p>
        </w:tc>
        <w:tc>
          <w:tcPr>
            <w:tcW w:w="1885" w:type="dxa"/>
            <w:noWrap w:val="0"/>
            <w:vAlign w:val="center"/>
          </w:tcPr>
          <w:p w14:paraId="4B95648D">
            <w:pPr>
              <w:spacing w:line="380" w:lineRule="exact"/>
              <w:jc w:val="center"/>
              <w:rPr>
                <w:rFonts w:hint="eastAsia" w:ascii="宋体" w:hAnsi="宋体" w:cs="宋体"/>
                <w:b/>
                <w:color w:val="auto"/>
                <w:sz w:val="24"/>
                <w:highlight w:val="none"/>
              </w:rPr>
            </w:pPr>
          </w:p>
        </w:tc>
        <w:tc>
          <w:tcPr>
            <w:tcW w:w="1185" w:type="dxa"/>
            <w:noWrap w:val="0"/>
            <w:vAlign w:val="center"/>
          </w:tcPr>
          <w:p w14:paraId="0142DA4A">
            <w:pPr>
              <w:spacing w:line="380" w:lineRule="exact"/>
              <w:jc w:val="center"/>
              <w:rPr>
                <w:rFonts w:hint="eastAsia" w:ascii="宋体" w:hAnsi="宋体" w:cs="宋体"/>
                <w:b/>
                <w:color w:val="auto"/>
                <w:sz w:val="24"/>
                <w:highlight w:val="none"/>
              </w:rPr>
            </w:pPr>
          </w:p>
        </w:tc>
        <w:tc>
          <w:tcPr>
            <w:tcW w:w="1477" w:type="dxa"/>
            <w:noWrap w:val="0"/>
            <w:vAlign w:val="center"/>
          </w:tcPr>
          <w:p w14:paraId="50BF8FBC">
            <w:pPr>
              <w:spacing w:line="380" w:lineRule="exact"/>
              <w:jc w:val="center"/>
              <w:rPr>
                <w:rFonts w:hint="eastAsia" w:ascii="宋体" w:hAnsi="宋体" w:cs="宋体"/>
                <w:b/>
                <w:color w:val="auto"/>
                <w:sz w:val="24"/>
                <w:highlight w:val="none"/>
              </w:rPr>
            </w:pPr>
          </w:p>
        </w:tc>
        <w:tc>
          <w:tcPr>
            <w:tcW w:w="1036" w:type="dxa"/>
            <w:noWrap w:val="0"/>
            <w:vAlign w:val="center"/>
          </w:tcPr>
          <w:p w14:paraId="56522FDF">
            <w:pPr>
              <w:spacing w:line="380" w:lineRule="exact"/>
              <w:jc w:val="center"/>
              <w:rPr>
                <w:rFonts w:hint="eastAsia" w:ascii="宋体" w:hAnsi="宋体" w:cs="宋体"/>
                <w:b/>
                <w:color w:val="auto"/>
                <w:sz w:val="24"/>
                <w:highlight w:val="none"/>
              </w:rPr>
            </w:pPr>
          </w:p>
        </w:tc>
        <w:tc>
          <w:tcPr>
            <w:tcW w:w="836" w:type="dxa"/>
            <w:noWrap w:val="0"/>
            <w:vAlign w:val="center"/>
          </w:tcPr>
          <w:p w14:paraId="331DD69C">
            <w:pPr>
              <w:spacing w:line="380" w:lineRule="exact"/>
              <w:jc w:val="center"/>
              <w:rPr>
                <w:rFonts w:hint="eastAsia" w:ascii="宋体" w:hAnsi="宋体" w:cs="宋体"/>
                <w:b/>
                <w:color w:val="auto"/>
                <w:sz w:val="24"/>
                <w:highlight w:val="none"/>
              </w:rPr>
            </w:pPr>
          </w:p>
        </w:tc>
      </w:tr>
      <w:tr w14:paraId="433D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5E1F883D">
            <w:pPr>
              <w:spacing w:line="380" w:lineRule="exact"/>
              <w:jc w:val="center"/>
              <w:rPr>
                <w:rFonts w:hint="eastAsia" w:ascii="宋体" w:hAnsi="宋体" w:cs="宋体"/>
                <w:b/>
                <w:color w:val="auto"/>
                <w:sz w:val="24"/>
                <w:highlight w:val="none"/>
              </w:rPr>
            </w:pPr>
          </w:p>
        </w:tc>
        <w:tc>
          <w:tcPr>
            <w:tcW w:w="1830" w:type="dxa"/>
            <w:noWrap w:val="0"/>
            <w:vAlign w:val="center"/>
          </w:tcPr>
          <w:p w14:paraId="5BB27708">
            <w:pPr>
              <w:spacing w:line="380" w:lineRule="exact"/>
              <w:jc w:val="center"/>
              <w:rPr>
                <w:rFonts w:hint="eastAsia" w:ascii="宋体" w:hAnsi="宋体" w:cs="宋体"/>
                <w:b/>
                <w:color w:val="auto"/>
                <w:sz w:val="24"/>
                <w:highlight w:val="none"/>
              </w:rPr>
            </w:pPr>
          </w:p>
        </w:tc>
        <w:tc>
          <w:tcPr>
            <w:tcW w:w="1885" w:type="dxa"/>
            <w:noWrap w:val="0"/>
            <w:vAlign w:val="center"/>
          </w:tcPr>
          <w:p w14:paraId="1D9C4B33">
            <w:pPr>
              <w:spacing w:line="380" w:lineRule="exact"/>
              <w:jc w:val="center"/>
              <w:rPr>
                <w:rFonts w:hint="eastAsia" w:ascii="宋体" w:hAnsi="宋体" w:cs="宋体"/>
                <w:b/>
                <w:color w:val="auto"/>
                <w:sz w:val="24"/>
                <w:highlight w:val="none"/>
              </w:rPr>
            </w:pPr>
          </w:p>
        </w:tc>
        <w:tc>
          <w:tcPr>
            <w:tcW w:w="1185" w:type="dxa"/>
            <w:noWrap w:val="0"/>
            <w:vAlign w:val="center"/>
          </w:tcPr>
          <w:p w14:paraId="2F5E9D8A">
            <w:pPr>
              <w:spacing w:line="380" w:lineRule="exact"/>
              <w:jc w:val="center"/>
              <w:rPr>
                <w:rFonts w:hint="eastAsia" w:ascii="宋体" w:hAnsi="宋体" w:cs="宋体"/>
                <w:b/>
                <w:color w:val="auto"/>
                <w:sz w:val="24"/>
                <w:highlight w:val="none"/>
              </w:rPr>
            </w:pPr>
          </w:p>
        </w:tc>
        <w:tc>
          <w:tcPr>
            <w:tcW w:w="1477" w:type="dxa"/>
            <w:noWrap w:val="0"/>
            <w:vAlign w:val="center"/>
          </w:tcPr>
          <w:p w14:paraId="5D662B16">
            <w:pPr>
              <w:spacing w:line="380" w:lineRule="exact"/>
              <w:jc w:val="center"/>
              <w:rPr>
                <w:rFonts w:hint="eastAsia" w:ascii="宋体" w:hAnsi="宋体" w:cs="宋体"/>
                <w:b/>
                <w:color w:val="auto"/>
                <w:sz w:val="24"/>
                <w:highlight w:val="none"/>
              </w:rPr>
            </w:pPr>
          </w:p>
        </w:tc>
        <w:tc>
          <w:tcPr>
            <w:tcW w:w="1036" w:type="dxa"/>
            <w:noWrap w:val="0"/>
            <w:vAlign w:val="center"/>
          </w:tcPr>
          <w:p w14:paraId="756124B2">
            <w:pPr>
              <w:spacing w:line="380" w:lineRule="exact"/>
              <w:jc w:val="center"/>
              <w:rPr>
                <w:rFonts w:hint="eastAsia" w:ascii="宋体" w:hAnsi="宋体" w:cs="宋体"/>
                <w:b/>
                <w:color w:val="auto"/>
                <w:sz w:val="24"/>
                <w:highlight w:val="none"/>
              </w:rPr>
            </w:pPr>
          </w:p>
        </w:tc>
        <w:tc>
          <w:tcPr>
            <w:tcW w:w="836" w:type="dxa"/>
            <w:noWrap w:val="0"/>
            <w:vAlign w:val="center"/>
          </w:tcPr>
          <w:p w14:paraId="45FD795A">
            <w:pPr>
              <w:spacing w:line="380" w:lineRule="exact"/>
              <w:jc w:val="center"/>
              <w:rPr>
                <w:rFonts w:hint="eastAsia" w:ascii="宋体" w:hAnsi="宋体" w:cs="宋体"/>
                <w:b/>
                <w:color w:val="auto"/>
                <w:sz w:val="24"/>
                <w:highlight w:val="none"/>
              </w:rPr>
            </w:pPr>
          </w:p>
        </w:tc>
      </w:tr>
      <w:tr w14:paraId="481A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1476F3EF">
            <w:pPr>
              <w:spacing w:line="380" w:lineRule="exact"/>
              <w:jc w:val="center"/>
              <w:rPr>
                <w:rFonts w:hint="eastAsia" w:ascii="宋体" w:hAnsi="宋体" w:cs="宋体"/>
                <w:b/>
                <w:color w:val="auto"/>
                <w:sz w:val="24"/>
                <w:highlight w:val="none"/>
              </w:rPr>
            </w:pPr>
          </w:p>
        </w:tc>
        <w:tc>
          <w:tcPr>
            <w:tcW w:w="1830" w:type="dxa"/>
            <w:noWrap w:val="0"/>
            <w:vAlign w:val="center"/>
          </w:tcPr>
          <w:p w14:paraId="4D554F47">
            <w:pPr>
              <w:spacing w:line="380" w:lineRule="exact"/>
              <w:jc w:val="center"/>
              <w:rPr>
                <w:rFonts w:hint="eastAsia" w:ascii="宋体" w:hAnsi="宋体" w:cs="宋体"/>
                <w:b/>
                <w:color w:val="auto"/>
                <w:sz w:val="24"/>
                <w:highlight w:val="none"/>
              </w:rPr>
            </w:pPr>
          </w:p>
        </w:tc>
        <w:tc>
          <w:tcPr>
            <w:tcW w:w="1885" w:type="dxa"/>
            <w:noWrap w:val="0"/>
            <w:vAlign w:val="center"/>
          </w:tcPr>
          <w:p w14:paraId="08F78C11">
            <w:pPr>
              <w:spacing w:line="380" w:lineRule="exact"/>
              <w:jc w:val="center"/>
              <w:rPr>
                <w:rFonts w:hint="eastAsia" w:ascii="宋体" w:hAnsi="宋体" w:cs="宋体"/>
                <w:b/>
                <w:color w:val="auto"/>
                <w:sz w:val="24"/>
                <w:highlight w:val="none"/>
              </w:rPr>
            </w:pPr>
          </w:p>
        </w:tc>
        <w:tc>
          <w:tcPr>
            <w:tcW w:w="1185" w:type="dxa"/>
            <w:noWrap w:val="0"/>
            <w:vAlign w:val="center"/>
          </w:tcPr>
          <w:p w14:paraId="78FB17D4">
            <w:pPr>
              <w:spacing w:line="380" w:lineRule="exact"/>
              <w:jc w:val="center"/>
              <w:rPr>
                <w:rFonts w:hint="eastAsia" w:ascii="宋体" w:hAnsi="宋体" w:cs="宋体"/>
                <w:b/>
                <w:color w:val="auto"/>
                <w:sz w:val="24"/>
                <w:highlight w:val="none"/>
              </w:rPr>
            </w:pPr>
          </w:p>
        </w:tc>
        <w:tc>
          <w:tcPr>
            <w:tcW w:w="1477" w:type="dxa"/>
            <w:noWrap w:val="0"/>
            <w:vAlign w:val="center"/>
          </w:tcPr>
          <w:p w14:paraId="743CDF1E">
            <w:pPr>
              <w:spacing w:line="380" w:lineRule="exact"/>
              <w:jc w:val="center"/>
              <w:rPr>
                <w:rFonts w:hint="eastAsia" w:ascii="宋体" w:hAnsi="宋体" w:cs="宋体"/>
                <w:b/>
                <w:color w:val="auto"/>
                <w:sz w:val="24"/>
                <w:highlight w:val="none"/>
              </w:rPr>
            </w:pPr>
          </w:p>
        </w:tc>
        <w:tc>
          <w:tcPr>
            <w:tcW w:w="1036" w:type="dxa"/>
            <w:noWrap w:val="0"/>
            <w:vAlign w:val="center"/>
          </w:tcPr>
          <w:p w14:paraId="4DC0F350">
            <w:pPr>
              <w:spacing w:line="380" w:lineRule="exact"/>
              <w:jc w:val="center"/>
              <w:rPr>
                <w:rFonts w:hint="eastAsia" w:ascii="宋体" w:hAnsi="宋体" w:cs="宋体"/>
                <w:b/>
                <w:color w:val="auto"/>
                <w:sz w:val="24"/>
                <w:highlight w:val="none"/>
              </w:rPr>
            </w:pPr>
          </w:p>
        </w:tc>
        <w:tc>
          <w:tcPr>
            <w:tcW w:w="836" w:type="dxa"/>
            <w:noWrap w:val="0"/>
            <w:vAlign w:val="center"/>
          </w:tcPr>
          <w:p w14:paraId="071F9650">
            <w:pPr>
              <w:spacing w:line="380" w:lineRule="exact"/>
              <w:jc w:val="center"/>
              <w:rPr>
                <w:rFonts w:hint="eastAsia" w:ascii="宋体" w:hAnsi="宋体" w:cs="宋体"/>
                <w:b/>
                <w:color w:val="auto"/>
                <w:sz w:val="24"/>
                <w:highlight w:val="none"/>
              </w:rPr>
            </w:pPr>
          </w:p>
        </w:tc>
      </w:tr>
      <w:tr w14:paraId="3279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3EABACBD">
            <w:pPr>
              <w:spacing w:line="380" w:lineRule="exact"/>
              <w:jc w:val="center"/>
              <w:rPr>
                <w:rFonts w:hint="eastAsia" w:ascii="宋体" w:hAnsi="宋体" w:cs="宋体"/>
                <w:b/>
                <w:color w:val="auto"/>
                <w:sz w:val="24"/>
                <w:highlight w:val="none"/>
              </w:rPr>
            </w:pPr>
          </w:p>
        </w:tc>
        <w:tc>
          <w:tcPr>
            <w:tcW w:w="1830" w:type="dxa"/>
            <w:noWrap w:val="0"/>
            <w:vAlign w:val="center"/>
          </w:tcPr>
          <w:p w14:paraId="6B016D05">
            <w:pPr>
              <w:spacing w:line="380" w:lineRule="exact"/>
              <w:jc w:val="center"/>
              <w:rPr>
                <w:rFonts w:hint="eastAsia" w:ascii="宋体" w:hAnsi="宋体" w:cs="宋体"/>
                <w:b/>
                <w:color w:val="auto"/>
                <w:sz w:val="24"/>
                <w:highlight w:val="none"/>
              </w:rPr>
            </w:pPr>
          </w:p>
        </w:tc>
        <w:tc>
          <w:tcPr>
            <w:tcW w:w="1885" w:type="dxa"/>
            <w:noWrap w:val="0"/>
            <w:vAlign w:val="center"/>
          </w:tcPr>
          <w:p w14:paraId="3EADFA26">
            <w:pPr>
              <w:spacing w:line="380" w:lineRule="exact"/>
              <w:jc w:val="center"/>
              <w:rPr>
                <w:rFonts w:hint="eastAsia" w:ascii="宋体" w:hAnsi="宋体" w:cs="宋体"/>
                <w:b/>
                <w:color w:val="auto"/>
                <w:sz w:val="24"/>
                <w:highlight w:val="none"/>
              </w:rPr>
            </w:pPr>
          </w:p>
        </w:tc>
        <w:tc>
          <w:tcPr>
            <w:tcW w:w="1185" w:type="dxa"/>
            <w:noWrap w:val="0"/>
            <w:vAlign w:val="center"/>
          </w:tcPr>
          <w:p w14:paraId="74C615D6">
            <w:pPr>
              <w:spacing w:line="380" w:lineRule="exact"/>
              <w:jc w:val="center"/>
              <w:rPr>
                <w:rFonts w:hint="eastAsia" w:ascii="宋体" w:hAnsi="宋体" w:cs="宋体"/>
                <w:b/>
                <w:color w:val="auto"/>
                <w:sz w:val="24"/>
                <w:highlight w:val="none"/>
              </w:rPr>
            </w:pPr>
          </w:p>
        </w:tc>
        <w:tc>
          <w:tcPr>
            <w:tcW w:w="1477" w:type="dxa"/>
            <w:noWrap w:val="0"/>
            <w:vAlign w:val="center"/>
          </w:tcPr>
          <w:p w14:paraId="75E80BDC">
            <w:pPr>
              <w:spacing w:line="380" w:lineRule="exact"/>
              <w:jc w:val="center"/>
              <w:rPr>
                <w:rFonts w:hint="eastAsia" w:ascii="宋体" w:hAnsi="宋体" w:cs="宋体"/>
                <w:b/>
                <w:color w:val="auto"/>
                <w:sz w:val="24"/>
                <w:highlight w:val="none"/>
              </w:rPr>
            </w:pPr>
          </w:p>
        </w:tc>
        <w:tc>
          <w:tcPr>
            <w:tcW w:w="1036" w:type="dxa"/>
            <w:noWrap w:val="0"/>
            <w:vAlign w:val="center"/>
          </w:tcPr>
          <w:p w14:paraId="6BA07438">
            <w:pPr>
              <w:spacing w:line="380" w:lineRule="exact"/>
              <w:jc w:val="center"/>
              <w:rPr>
                <w:rFonts w:hint="eastAsia" w:ascii="宋体" w:hAnsi="宋体" w:cs="宋体"/>
                <w:b/>
                <w:color w:val="auto"/>
                <w:sz w:val="24"/>
                <w:highlight w:val="none"/>
              </w:rPr>
            </w:pPr>
          </w:p>
        </w:tc>
        <w:tc>
          <w:tcPr>
            <w:tcW w:w="836" w:type="dxa"/>
            <w:noWrap w:val="0"/>
            <w:vAlign w:val="center"/>
          </w:tcPr>
          <w:p w14:paraId="29F23740">
            <w:pPr>
              <w:spacing w:line="380" w:lineRule="exact"/>
              <w:jc w:val="center"/>
              <w:rPr>
                <w:rFonts w:hint="eastAsia" w:ascii="宋体" w:hAnsi="宋体" w:cs="宋体"/>
                <w:b/>
                <w:color w:val="auto"/>
                <w:sz w:val="24"/>
                <w:highlight w:val="none"/>
              </w:rPr>
            </w:pPr>
          </w:p>
        </w:tc>
      </w:tr>
      <w:tr w14:paraId="0637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2457036D">
            <w:pPr>
              <w:spacing w:line="380" w:lineRule="exact"/>
              <w:jc w:val="center"/>
              <w:rPr>
                <w:rFonts w:hint="eastAsia" w:ascii="宋体" w:hAnsi="宋体" w:cs="宋体"/>
                <w:b/>
                <w:color w:val="auto"/>
                <w:sz w:val="24"/>
                <w:highlight w:val="none"/>
              </w:rPr>
            </w:pPr>
          </w:p>
        </w:tc>
        <w:tc>
          <w:tcPr>
            <w:tcW w:w="1830" w:type="dxa"/>
            <w:noWrap w:val="0"/>
            <w:vAlign w:val="center"/>
          </w:tcPr>
          <w:p w14:paraId="6FE9BD15">
            <w:pPr>
              <w:spacing w:line="380" w:lineRule="exact"/>
              <w:jc w:val="center"/>
              <w:rPr>
                <w:rFonts w:hint="eastAsia" w:ascii="宋体" w:hAnsi="宋体" w:cs="宋体"/>
                <w:b/>
                <w:color w:val="auto"/>
                <w:sz w:val="24"/>
                <w:highlight w:val="none"/>
              </w:rPr>
            </w:pPr>
          </w:p>
        </w:tc>
        <w:tc>
          <w:tcPr>
            <w:tcW w:w="1885" w:type="dxa"/>
            <w:noWrap w:val="0"/>
            <w:vAlign w:val="center"/>
          </w:tcPr>
          <w:p w14:paraId="3F34A4B5">
            <w:pPr>
              <w:spacing w:line="380" w:lineRule="exact"/>
              <w:jc w:val="center"/>
              <w:rPr>
                <w:rFonts w:hint="eastAsia" w:ascii="宋体" w:hAnsi="宋体" w:cs="宋体"/>
                <w:b/>
                <w:color w:val="auto"/>
                <w:sz w:val="24"/>
                <w:highlight w:val="none"/>
              </w:rPr>
            </w:pPr>
          </w:p>
        </w:tc>
        <w:tc>
          <w:tcPr>
            <w:tcW w:w="1185" w:type="dxa"/>
            <w:noWrap w:val="0"/>
            <w:vAlign w:val="center"/>
          </w:tcPr>
          <w:p w14:paraId="068F4734">
            <w:pPr>
              <w:spacing w:line="380" w:lineRule="exact"/>
              <w:jc w:val="center"/>
              <w:rPr>
                <w:rFonts w:hint="eastAsia" w:ascii="宋体" w:hAnsi="宋体" w:cs="宋体"/>
                <w:b/>
                <w:color w:val="auto"/>
                <w:sz w:val="24"/>
                <w:highlight w:val="none"/>
              </w:rPr>
            </w:pPr>
          </w:p>
        </w:tc>
        <w:tc>
          <w:tcPr>
            <w:tcW w:w="1477" w:type="dxa"/>
            <w:noWrap w:val="0"/>
            <w:vAlign w:val="center"/>
          </w:tcPr>
          <w:p w14:paraId="380F5EC5">
            <w:pPr>
              <w:spacing w:line="380" w:lineRule="exact"/>
              <w:jc w:val="center"/>
              <w:rPr>
                <w:rFonts w:hint="eastAsia" w:ascii="宋体" w:hAnsi="宋体" w:cs="宋体"/>
                <w:b/>
                <w:color w:val="auto"/>
                <w:sz w:val="24"/>
                <w:highlight w:val="none"/>
              </w:rPr>
            </w:pPr>
          </w:p>
        </w:tc>
        <w:tc>
          <w:tcPr>
            <w:tcW w:w="1036" w:type="dxa"/>
            <w:noWrap w:val="0"/>
            <w:vAlign w:val="center"/>
          </w:tcPr>
          <w:p w14:paraId="0BD1C8D1">
            <w:pPr>
              <w:spacing w:line="380" w:lineRule="exact"/>
              <w:jc w:val="center"/>
              <w:rPr>
                <w:rFonts w:hint="eastAsia" w:ascii="宋体" w:hAnsi="宋体" w:cs="宋体"/>
                <w:b/>
                <w:color w:val="auto"/>
                <w:sz w:val="24"/>
                <w:highlight w:val="none"/>
              </w:rPr>
            </w:pPr>
          </w:p>
        </w:tc>
        <w:tc>
          <w:tcPr>
            <w:tcW w:w="836" w:type="dxa"/>
            <w:noWrap w:val="0"/>
            <w:vAlign w:val="center"/>
          </w:tcPr>
          <w:p w14:paraId="5248FB6D">
            <w:pPr>
              <w:spacing w:line="380" w:lineRule="exact"/>
              <w:jc w:val="center"/>
              <w:rPr>
                <w:rFonts w:hint="eastAsia" w:ascii="宋体" w:hAnsi="宋体" w:cs="宋体"/>
                <w:b/>
                <w:color w:val="auto"/>
                <w:sz w:val="24"/>
                <w:highlight w:val="none"/>
              </w:rPr>
            </w:pPr>
          </w:p>
        </w:tc>
      </w:tr>
      <w:tr w14:paraId="3BF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3E8B4B65">
            <w:pPr>
              <w:spacing w:line="380" w:lineRule="exact"/>
              <w:jc w:val="center"/>
              <w:rPr>
                <w:rFonts w:hint="eastAsia" w:ascii="宋体" w:hAnsi="宋体" w:cs="宋体"/>
                <w:b/>
                <w:color w:val="auto"/>
                <w:sz w:val="24"/>
                <w:highlight w:val="none"/>
              </w:rPr>
            </w:pPr>
          </w:p>
        </w:tc>
        <w:tc>
          <w:tcPr>
            <w:tcW w:w="1830" w:type="dxa"/>
            <w:noWrap w:val="0"/>
            <w:vAlign w:val="center"/>
          </w:tcPr>
          <w:p w14:paraId="070F0B62">
            <w:pPr>
              <w:spacing w:line="380" w:lineRule="exact"/>
              <w:jc w:val="center"/>
              <w:rPr>
                <w:rFonts w:hint="eastAsia" w:ascii="宋体" w:hAnsi="宋体" w:cs="宋体"/>
                <w:b/>
                <w:color w:val="auto"/>
                <w:sz w:val="24"/>
                <w:highlight w:val="none"/>
              </w:rPr>
            </w:pPr>
          </w:p>
        </w:tc>
        <w:tc>
          <w:tcPr>
            <w:tcW w:w="1885" w:type="dxa"/>
            <w:noWrap w:val="0"/>
            <w:vAlign w:val="center"/>
          </w:tcPr>
          <w:p w14:paraId="0FE07664">
            <w:pPr>
              <w:spacing w:line="380" w:lineRule="exact"/>
              <w:jc w:val="center"/>
              <w:rPr>
                <w:rFonts w:hint="eastAsia" w:ascii="宋体" w:hAnsi="宋体" w:cs="宋体"/>
                <w:b/>
                <w:color w:val="auto"/>
                <w:sz w:val="24"/>
                <w:highlight w:val="none"/>
              </w:rPr>
            </w:pPr>
          </w:p>
        </w:tc>
        <w:tc>
          <w:tcPr>
            <w:tcW w:w="1185" w:type="dxa"/>
            <w:noWrap w:val="0"/>
            <w:vAlign w:val="center"/>
          </w:tcPr>
          <w:p w14:paraId="5DB09055">
            <w:pPr>
              <w:spacing w:line="380" w:lineRule="exact"/>
              <w:jc w:val="center"/>
              <w:rPr>
                <w:rFonts w:hint="eastAsia" w:ascii="宋体" w:hAnsi="宋体" w:cs="宋体"/>
                <w:b/>
                <w:color w:val="auto"/>
                <w:sz w:val="24"/>
                <w:highlight w:val="none"/>
              </w:rPr>
            </w:pPr>
          </w:p>
        </w:tc>
        <w:tc>
          <w:tcPr>
            <w:tcW w:w="1477" w:type="dxa"/>
            <w:noWrap w:val="0"/>
            <w:vAlign w:val="center"/>
          </w:tcPr>
          <w:p w14:paraId="3128906C">
            <w:pPr>
              <w:spacing w:line="380" w:lineRule="exact"/>
              <w:jc w:val="center"/>
              <w:rPr>
                <w:rFonts w:hint="eastAsia" w:ascii="宋体" w:hAnsi="宋体" w:cs="宋体"/>
                <w:b/>
                <w:color w:val="auto"/>
                <w:sz w:val="24"/>
                <w:highlight w:val="none"/>
              </w:rPr>
            </w:pPr>
          </w:p>
        </w:tc>
        <w:tc>
          <w:tcPr>
            <w:tcW w:w="1036" w:type="dxa"/>
            <w:noWrap w:val="0"/>
            <w:vAlign w:val="center"/>
          </w:tcPr>
          <w:p w14:paraId="4CCA484B">
            <w:pPr>
              <w:spacing w:line="380" w:lineRule="exact"/>
              <w:jc w:val="center"/>
              <w:rPr>
                <w:rFonts w:hint="eastAsia" w:ascii="宋体" w:hAnsi="宋体" w:cs="宋体"/>
                <w:b/>
                <w:color w:val="auto"/>
                <w:sz w:val="24"/>
                <w:highlight w:val="none"/>
              </w:rPr>
            </w:pPr>
          </w:p>
        </w:tc>
        <w:tc>
          <w:tcPr>
            <w:tcW w:w="836" w:type="dxa"/>
            <w:noWrap w:val="0"/>
            <w:vAlign w:val="center"/>
          </w:tcPr>
          <w:p w14:paraId="6AAB8ADC">
            <w:pPr>
              <w:spacing w:line="380" w:lineRule="exact"/>
              <w:jc w:val="center"/>
              <w:rPr>
                <w:rFonts w:hint="eastAsia" w:ascii="宋体" w:hAnsi="宋体" w:cs="宋体"/>
                <w:b/>
                <w:color w:val="auto"/>
                <w:sz w:val="24"/>
                <w:highlight w:val="none"/>
              </w:rPr>
            </w:pPr>
          </w:p>
        </w:tc>
      </w:tr>
      <w:tr w14:paraId="0428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1C7891ED">
            <w:pPr>
              <w:spacing w:line="380" w:lineRule="exact"/>
              <w:jc w:val="center"/>
              <w:rPr>
                <w:rFonts w:hint="eastAsia" w:ascii="宋体" w:hAnsi="宋体" w:cs="宋体"/>
                <w:b/>
                <w:color w:val="auto"/>
                <w:sz w:val="24"/>
                <w:highlight w:val="none"/>
              </w:rPr>
            </w:pPr>
          </w:p>
        </w:tc>
        <w:tc>
          <w:tcPr>
            <w:tcW w:w="1830" w:type="dxa"/>
            <w:noWrap w:val="0"/>
            <w:vAlign w:val="center"/>
          </w:tcPr>
          <w:p w14:paraId="00A1319B">
            <w:pPr>
              <w:spacing w:line="380" w:lineRule="exact"/>
              <w:jc w:val="center"/>
              <w:rPr>
                <w:rFonts w:hint="eastAsia" w:ascii="宋体" w:hAnsi="宋体" w:cs="宋体"/>
                <w:b/>
                <w:color w:val="auto"/>
                <w:sz w:val="24"/>
                <w:highlight w:val="none"/>
              </w:rPr>
            </w:pPr>
          </w:p>
        </w:tc>
        <w:tc>
          <w:tcPr>
            <w:tcW w:w="1885" w:type="dxa"/>
            <w:noWrap w:val="0"/>
            <w:vAlign w:val="center"/>
          </w:tcPr>
          <w:p w14:paraId="1736AB12">
            <w:pPr>
              <w:spacing w:line="380" w:lineRule="exact"/>
              <w:jc w:val="center"/>
              <w:rPr>
                <w:rFonts w:hint="eastAsia" w:ascii="宋体" w:hAnsi="宋体" w:cs="宋体"/>
                <w:b/>
                <w:color w:val="auto"/>
                <w:sz w:val="24"/>
                <w:highlight w:val="none"/>
              </w:rPr>
            </w:pPr>
          </w:p>
        </w:tc>
        <w:tc>
          <w:tcPr>
            <w:tcW w:w="1185" w:type="dxa"/>
            <w:noWrap w:val="0"/>
            <w:vAlign w:val="center"/>
          </w:tcPr>
          <w:p w14:paraId="09D738E3">
            <w:pPr>
              <w:spacing w:line="380" w:lineRule="exact"/>
              <w:jc w:val="center"/>
              <w:rPr>
                <w:rFonts w:hint="eastAsia" w:ascii="宋体" w:hAnsi="宋体" w:cs="宋体"/>
                <w:b/>
                <w:color w:val="auto"/>
                <w:sz w:val="24"/>
                <w:highlight w:val="none"/>
              </w:rPr>
            </w:pPr>
          </w:p>
        </w:tc>
        <w:tc>
          <w:tcPr>
            <w:tcW w:w="1477" w:type="dxa"/>
            <w:noWrap w:val="0"/>
            <w:vAlign w:val="center"/>
          </w:tcPr>
          <w:p w14:paraId="63FD447D">
            <w:pPr>
              <w:spacing w:line="380" w:lineRule="exact"/>
              <w:jc w:val="center"/>
              <w:rPr>
                <w:rFonts w:hint="eastAsia" w:ascii="宋体" w:hAnsi="宋体" w:cs="宋体"/>
                <w:b/>
                <w:color w:val="auto"/>
                <w:sz w:val="24"/>
                <w:highlight w:val="none"/>
              </w:rPr>
            </w:pPr>
          </w:p>
        </w:tc>
        <w:tc>
          <w:tcPr>
            <w:tcW w:w="1036" w:type="dxa"/>
            <w:noWrap w:val="0"/>
            <w:vAlign w:val="center"/>
          </w:tcPr>
          <w:p w14:paraId="316D9A99">
            <w:pPr>
              <w:spacing w:line="380" w:lineRule="exact"/>
              <w:jc w:val="center"/>
              <w:rPr>
                <w:rFonts w:hint="eastAsia" w:ascii="宋体" w:hAnsi="宋体" w:cs="宋体"/>
                <w:b/>
                <w:color w:val="auto"/>
                <w:sz w:val="24"/>
                <w:highlight w:val="none"/>
              </w:rPr>
            </w:pPr>
          </w:p>
        </w:tc>
        <w:tc>
          <w:tcPr>
            <w:tcW w:w="836" w:type="dxa"/>
            <w:noWrap w:val="0"/>
            <w:vAlign w:val="center"/>
          </w:tcPr>
          <w:p w14:paraId="3CCD7C68">
            <w:pPr>
              <w:spacing w:line="380" w:lineRule="exact"/>
              <w:jc w:val="center"/>
              <w:rPr>
                <w:rFonts w:hint="eastAsia" w:ascii="宋体" w:hAnsi="宋体" w:cs="宋体"/>
                <w:b/>
                <w:color w:val="auto"/>
                <w:sz w:val="24"/>
                <w:highlight w:val="none"/>
              </w:rPr>
            </w:pPr>
          </w:p>
        </w:tc>
      </w:tr>
      <w:tr w14:paraId="2FC2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21C0BCC4">
            <w:pPr>
              <w:spacing w:line="380" w:lineRule="exact"/>
              <w:jc w:val="center"/>
              <w:rPr>
                <w:rFonts w:hint="eastAsia" w:ascii="宋体" w:hAnsi="宋体" w:cs="宋体"/>
                <w:b/>
                <w:color w:val="auto"/>
                <w:sz w:val="24"/>
                <w:highlight w:val="none"/>
              </w:rPr>
            </w:pPr>
          </w:p>
        </w:tc>
        <w:tc>
          <w:tcPr>
            <w:tcW w:w="1830" w:type="dxa"/>
            <w:noWrap w:val="0"/>
            <w:vAlign w:val="center"/>
          </w:tcPr>
          <w:p w14:paraId="2969756D">
            <w:pPr>
              <w:spacing w:line="380" w:lineRule="exact"/>
              <w:jc w:val="center"/>
              <w:rPr>
                <w:rFonts w:hint="eastAsia" w:ascii="宋体" w:hAnsi="宋体" w:cs="宋体"/>
                <w:b/>
                <w:color w:val="auto"/>
                <w:sz w:val="24"/>
                <w:highlight w:val="none"/>
              </w:rPr>
            </w:pPr>
          </w:p>
        </w:tc>
        <w:tc>
          <w:tcPr>
            <w:tcW w:w="1885" w:type="dxa"/>
            <w:noWrap w:val="0"/>
            <w:vAlign w:val="center"/>
          </w:tcPr>
          <w:p w14:paraId="0109B41C">
            <w:pPr>
              <w:spacing w:line="380" w:lineRule="exact"/>
              <w:jc w:val="center"/>
              <w:rPr>
                <w:rFonts w:hint="eastAsia" w:ascii="宋体" w:hAnsi="宋体" w:cs="宋体"/>
                <w:b/>
                <w:color w:val="auto"/>
                <w:sz w:val="24"/>
                <w:highlight w:val="none"/>
              </w:rPr>
            </w:pPr>
          </w:p>
        </w:tc>
        <w:tc>
          <w:tcPr>
            <w:tcW w:w="1185" w:type="dxa"/>
            <w:noWrap w:val="0"/>
            <w:vAlign w:val="center"/>
          </w:tcPr>
          <w:p w14:paraId="5F0F2993">
            <w:pPr>
              <w:spacing w:line="380" w:lineRule="exact"/>
              <w:jc w:val="center"/>
              <w:rPr>
                <w:rFonts w:hint="eastAsia" w:ascii="宋体" w:hAnsi="宋体" w:cs="宋体"/>
                <w:b/>
                <w:color w:val="auto"/>
                <w:sz w:val="24"/>
                <w:highlight w:val="none"/>
              </w:rPr>
            </w:pPr>
          </w:p>
        </w:tc>
        <w:tc>
          <w:tcPr>
            <w:tcW w:w="1477" w:type="dxa"/>
            <w:noWrap w:val="0"/>
            <w:vAlign w:val="center"/>
          </w:tcPr>
          <w:p w14:paraId="739EACA4">
            <w:pPr>
              <w:spacing w:line="380" w:lineRule="exact"/>
              <w:jc w:val="center"/>
              <w:rPr>
                <w:rFonts w:hint="eastAsia" w:ascii="宋体" w:hAnsi="宋体" w:cs="宋体"/>
                <w:b/>
                <w:color w:val="auto"/>
                <w:sz w:val="24"/>
                <w:highlight w:val="none"/>
              </w:rPr>
            </w:pPr>
          </w:p>
        </w:tc>
        <w:tc>
          <w:tcPr>
            <w:tcW w:w="1036" w:type="dxa"/>
            <w:noWrap w:val="0"/>
            <w:vAlign w:val="center"/>
          </w:tcPr>
          <w:p w14:paraId="2B2104C7">
            <w:pPr>
              <w:spacing w:line="380" w:lineRule="exact"/>
              <w:jc w:val="center"/>
              <w:rPr>
                <w:rFonts w:hint="eastAsia" w:ascii="宋体" w:hAnsi="宋体" w:cs="宋体"/>
                <w:b/>
                <w:color w:val="auto"/>
                <w:sz w:val="24"/>
                <w:highlight w:val="none"/>
              </w:rPr>
            </w:pPr>
          </w:p>
        </w:tc>
        <w:tc>
          <w:tcPr>
            <w:tcW w:w="836" w:type="dxa"/>
            <w:noWrap w:val="0"/>
            <w:vAlign w:val="center"/>
          </w:tcPr>
          <w:p w14:paraId="4D13E7E9">
            <w:pPr>
              <w:spacing w:line="380" w:lineRule="exact"/>
              <w:jc w:val="center"/>
              <w:rPr>
                <w:rFonts w:hint="eastAsia" w:ascii="宋体" w:hAnsi="宋体" w:cs="宋体"/>
                <w:b/>
                <w:color w:val="auto"/>
                <w:sz w:val="24"/>
                <w:highlight w:val="none"/>
              </w:rPr>
            </w:pPr>
          </w:p>
        </w:tc>
      </w:tr>
      <w:tr w14:paraId="1046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11B6F8E2">
            <w:pPr>
              <w:spacing w:line="380" w:lineRule="exact"/>
              <w:jc w:val="center"/>
              <w:rPr>
                <w:rFonts w:hint="eastAsia" w:ascii="宋体" w:hAnsi="宋体" w:cs="宋体"/>
                <w:b/>
                <w:color w:val="auto"/>
                <w:sz w:val="24"/>
                <w:highlight w:val="none"/>
              </w:rPr>
            </w:pPr>
          </w:p>
        </w:tc>
        <w:tc>
          <w:tcPr>
            <w:tcW w:w="1830" w:type="dxa"/>
            <w:noWrap w:val="0"/>
            <w:vAlign w:val="center"/>
          </w:tcPr>
          <w:p w14:paraId="6BBF2388">
            <w:pPr>
              <w:spacing w:line="380" w:lineRule="exact"/>
              <w:jc w:val="center"/>
              <w:rPr>
                <w:rFonts w:hint="eastAsia" w:ascii="宋体" w:hAnsi="宋体" w:cs="宋体"/>
                <w:b/>
                <w:color w:val="auto"/>
                <w:sz w:val="24"/>
                <w:highlight w:val="none"/>
              </w:rPr>
            </w:pPr>
          </w:p>
        </w:tc>
        <w:tc>
          <w:tcPr>
            <w:tcW w:w="1885" w:type="dxa"/>
            <w:noWrap w:val="0"/>
            <w:vAlign w:val="center"/>
          </w:tcPr>
          <w:p w14:paraId="287BA330">
            <w:pPr>
              <w:spacing w:line="380" w:lineRule="exact"/>
              <w:jc w:val="center"/>
              <w:rPr>
                <w:rFonts w:hint="eastAsia" w:ascii="宋体" w:hAnsi="宋体" w:cs="宋体"/>
                <w:b/>
                <w:color w:val="auto"/>
                <w:sz w:val="24"/>
                <w:highlight w:val="none"/>
              </w:rPr>
            </w:pPr>
          </w:p>
        </w:tc>
        <w:tc>
          <w:tcPr>
            <w:tcW w:w="1185" w:type="dxa"/>
            <w:noWrap w:val="0"/>
            <w:vAlign w:val="center"/>
          </w:tcPr>
          <w:p w14:paraId="48EC5FD3">
            <w:pPr>
              <w:spacing w:line="380" w:lineRule="exact"/>
              <w:jc w:val="center"/>
              <w:rPr>
                <w:rFonts w:hint="eastAsia" w:ascii="宋体" w:hAnsi="宋体" w:cs="宋体"/>
                <w:b/>
                <w:color w:val="auto"/>
                <w:sz w:val="24"/>
                <w:highlight w:val="none"/>
              </w:rPr>
            </w:pPr>
          </w:p>
        </w:tc>
        <w:tc>
          <w:tcPr>
            <w:tcW w:w="1477" w:type="dxa"/>
            <w:noWrap w:val="0"/>
            <w:vAlign w:val="center"/>
          </w:tcPr>
          <w:p w14:paraId="04BCC9F6">
            <w:pPr>
              <w:spacing w:line="380" w:lineRule="exact"/>
              <w:jc w:val="center"/>
              <w:rPr>
                <w:rFonts w:hint="eastAsia" w:ascii="宋体" w:hAnsi="宋体" w:cs="宋体"/>
                <w:b/>
                <w:color w:val="auto"/>
                <w:sz w:val="24"/>
                <w:highlight w:val="none"/>
              </w:rPr>
            </w:pPr>
          </w:p>
        </w:tc>
        <w:tc>
          <w:tcPr>
            <w:tcW w:w="1036" w:type="dxa"/>
            <w:noWrap w:val="0"/>
            <w:vAlign w:val="center"/>
          </w:tcPr>
          <w:p w14:paraId="4E32205F">
            <w:pPr>
              <w:spacing w:line="380" w:lineRule="exact"/>
              <w:jc w:val="center"/>
              <w:rPr>
                <w:rFonts w:hint="eastAsia" w:ascii="宋体" w:hAnsi="宋体" w:cs="宋体"/>
                <w:b/>
                <w:color w:val="auto"/>
                <w:sz w:val="24"/>
                <w:highlight w:val="none"/>
              </w:rPr>
            </w:pPr>
          </w:p>
        </w:tc>
        <w:tc>
          <w:tcPr>
            <w:tcW w:w="836" w:type="dxa"/>
            <w:noWrap w:val="0"/>
            <w:vAlign w:val="center"/>
          </w:tcPr>
          <w:p w14:paraId="4804A625">
            <w:pPr>
              <w:spacing w:line="380" w:lineRule="exact"/>
              <w:jc w:val="center"/>
              <w:rPr>
                <w:rFonts w:hint="eastAsia" w:ascii="宋体" w:hAnsi="宋体" w:cs="宋体"/>
                <w:b/>
                <w:color w:val="auto"/>
                <w:sz w:val="24"/>
                <w:highlight w:val="none"/>
              </w:rPr>
            </w:pPr>
          </w:p>
        </w:tc>
      </w:tr>
    </w:tbl>
    <w:p w14:paraId="5FC36C10">
      <w:pPr>
        <w:spacing w:line="500" w:lineRule="exact"/>
        <w:textAlignment w:val="baseline"/>
        <w:rPr>
          <w:rFonts w:hint="eastAsia" w:ascii="宋体" w:hAnsi="宋体" w:cs="宋体"/>
          <w:b/>
          <w:color w:val="auto"/>
          <w:sz w:val="24"/>
          <w:highlight w:val="none"/>
        </w:rPr>
      </w:pPr>
      <w:r>
        <w:rPr>
          <w:rFonts w:hint="eastAsia" w:ascii="宋体" w:hAnsi="宋体" w:cs="宋体"/>
          <w:b/>
          <w:color w:val="auto"/>
          <w:sz w:val="24"/>
          <w:highlight w:val="none"/>
        </w:rPr>
        <w:t>注：投标人可按此表格式复制，后附证明材料复印件。</w:t>
      </w:r>
    </w:p>
    <w:p w14:paraId="67F3F15C">
      <w:pPr>
        <w:spacing w:line="500" w:lineRule="exact"/>
        <w:ind w:firstLine="4320" w:firstLineChars="1800"/>
        <w:textAlignment w:val="baseline"/>
        <w:rPr>
          <w:rFonts w:hint="eastAsia" w:ascii="宋体" w:hAnsi="宋体" w:cs="宋体"/>
          <w:color w:val="auto"/>
          <w:sz w:val="24"/>
          <w:highlight w:val="none"/>
        </w:rPr>
      </w:pPr>
    </w:p>
    <w:p w14:paraId="0DEE8F49">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14:paraId="42EA0F81">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14:paraId="67D21B81">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3F15F33F">
      <w:pPr>
        <w:jc w:val="center"/>
        <w:rPr>
          <w:rFonts w:hint="eastAsia"/>
          <w:color w:val="000000" w:themeColor="text1"/>
          <w:sz w:val="44"/>
          <w:szCs w:val="44"/>
          <w:highlight w:val="none"/>
          <w:lang w:eastAsia="zh-CN"/>
          <w14:textFill>
            <w14:solidFill>
              <w14:schemeClr w14:val="tx1"/>
            </w14:solidFill>
          </w14:textFill>
        </w:rPr>
      </w:pPr>
    </w:p>
    <w:p w14:paraId="12FC831E">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台州东茂观光农业开发有限公司2024零星机械租赁项目（第二批)</w:t>
      </w:r>
    </w:p>
    <w:p w14:paraId="38719A05">
      <w:pPr>
        <w:pStyle w:val="27"/>
        <w:rPr>
          <w:color w:val="000000" w:themeColor="text1"/>
          <w:highlight w:val="none"/>
          <w14:textFill>
            <w14:solidFill>
              <w14:schemeClr w14:val="tx1"/>
            </w14:solidFill>
          </w14:textFill>
        </w:rPr>
      </w:pPr>
    </w:p>
    <w:p w14:paraId="4EC4856C">
      <w:pPr>
        <w:pStyle w:val="27"/>
        <w:rPr>
          <w:color w:val="000000" w:themeColor="text1"/>
          <w:highlight w:val="none"/>
          <w14:textFill>
            <w14:solidFill>
              <w14:schemeClr w14:val="tx1"/>
            </w14:solidFill>
          </w14:textFill>
        </w:rPr>
      </w:pPr>
    </w:p>
    <w:p w14:paraId="1B86D55F">
      <w:pPr>
        <w:pStyle w:val="27"/>
        <w:rPr>
          <w:color w:val="000000" w:themeColor="text1"/>
          <w:highlight w:val="none"/>
          <w14:textFill>
            <w14:solidFill>
              <w14:schemeClr w14:val="tx1"/>
            </w14:solidFill>
          </w14:textFill>
        </w:rPr>
      </w:pPr>
    </w:p>
    <w:p w14:paraId="20C8C1A7">
      <w:pPr>
        <w:pStyle w:val="27"/>
        <w:rPr>
          <w:color w:val="000000" w:themeColor="text1"/>
          <w:highlight w:val="none"/>
          <w14:textFill>
            <w14:solidFill>
              <w14:schemeClr w14:val="tx1"/>
            </w14:solidFill>
          </w14:textFill>
        </w:rPr>
      </w:pPr>
    </w:p>
    <w:p w14:paraId="38FA65F8">
      <w:pPr>
        <w:jc w:val="center"/>
        <w:rPr>
          <w:color w:val="000000" w:themeColor="text1"/>
          <w:sz w:val="84"/>
          <w:szCs w:val="84"/>
          <w:highlight w:val="none"/>
          <w14:textFill>
            <w14:solidFill>
              <w14:schemeClr w14:val="tx1"/>
            </w14:solidFill>
          </w14:textFill>
        </w:rPr>
      </w:pPr>
      <w:bookmarkStart w:id="42" w:name="_Toc3932_WPSOffice_Level1"/>
      <w:bookmarkStart w:id="43" w:name="_Toc14572_WPSOffice_Level1"/>
      <w:r>
        <w:rPr>
          <w:rFonts w:hint="eastAsia"/>
          <w:color w:val="000000" w:themeColor="text1"/>
          <w:sz w:val="84"/>
          <w:szCs w:val="84"/>
          <w:highlight w:val="none"/>
          <w14:textFill>
            <w14:solidFill>
              <w14:schemeClr w14:val="tx1"/>
            </w14:solidFill>
          </w14:textFill>
        </w:rPr>
        <w:t>商</w:t>
      </w:r>
    </w:p>
    <w:p w14:paraId="0B6B0BC2">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2"/>
    <w:bookmarkEnd w:id="43"/>
    <w:p w14:paraId="1A786BAD">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14:paraId="5E0D3C42">
      <w:pPr>
        <w:jc w:val="center"/>
        <w:rPr>
          <w:color w:val="000000" w:themeColor="text1"/>
          <w:sz w:val="84"/>
          <w:szCs w:val="84"/>
          <w:highlight w:val="none"/>
          <w14:textFill>
            <w14:solidFill>
              <w14:schemeClr w14:val="tx1"/>
            </w14:solidFill>
          </w14:textFill>
        </w:rPr>
      </w:pPr>
    </w:p>
    <w:p w14:paraId="7959F15C">
      <w:pPr>
        <w:spacing w:line="360" w:lineRule="auto"/>
        <w:ind w:right="532"/>
        <w:rPr>
          <w:rFonts w:ascii="宋体" w:hAnsi="宋体"/>
          <w:color w:val="000000" w:themeColor="text1"/>
          <w:sz w:val="36"/>
          <w:szCs w:val="36"/>
          <w:highlight w:val="none"/>
          <w14:textFill>
            <w14:solidFill>
              <w14:schemeClr w14:val="tx1"/>
            </w14:solidFill>
          </w14:textFill>
        </w:rPr>
      </w:pPr>
    </w:p>
    <w:p w14:paraId="12F91AA9">
      <w:pPr>
        <w:spacing w:line="360" w:lineRule="auto"/>
        <w:ind w:right="532"/>
        <w:jc w:val="center"/>
        <w:rPr>
          <w:rFonts w:ascii="宋体" w:hAnsi="宋体"/>
          <w:color w:val="000000" w:themeColor="text1"/>
          <w:sz w:val="36"/>
          <w:szCs w:val="36"/>
          <w:highlight w:val="none"/>
          <w14:textFill>
            <w14:solidFill>
              <w14:schemeClr w14:val="tx1"/>
            </w14:solidFill>
          </w14:textFill>
        </w:rPr>
      </w:pPr>
    </w:p>
    <w:p w14:paraId="3D1C239F">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4" w:name="_Toc4603_WPSOffice_Level1"/>
      <w:bookmarkStart w:id="45" w:name="_Toc26700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4"/>
      <w:bookmarkEnd w:id="45"/>
    </w:p>
    <w:p w14:paraId="533B4227">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6" w:name="_Toc32593_WPSOffice_Level1"/>
      <w:bookmarkStart w:id="47" w:name="_Toc1391_WPSOffice_Level1"/>
      <w:r>
        <w:rPr>
          <w:rFonts w:hint="eastAsia" w:ascii="宋体" w:hAnsi="宋体"/>
          <w:color w:val="000000" w:themeColor="text1"/>
          <w:sz w:val="36"/>
          <w:szCs w:val="36"/>
          <w:highlight w:val="none"/>
          <w14:textFill>
            <w14:solidFill>
              <w14:schemeClr w14:val="tx1"/>
            </w14:solidFill>
          </w14:textFill>
        </w:rPr>
        <w:t>地    址：</w:t>
      </w:r>
      <w:bookmarkEnd w:id="46"/>
      <w:bookmarkEnd w:id="47"/>
    </w:p>
    <w:p w14:paraId="37A3785A">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8" w:name="_Toc20938_WPSOffice_Level1"/>
      <w:bookmarkStart w:id="49" w:name="_Toc3791_WPSOffice_Level1"/>
      <w:r>
        <w:rPr>
          <w:rFonts w:hint="eastAsia" w:ascii="宋体" w:hAnsi="宋体"/>
          <w:color w:val="000000" w:themeColor="text1"/>
          <w:sz w:val="36"/>
          <w:szCs w:val="36"/>
          <w:highlight w:val="none"/>
          <w14:textFill>
            <w14:solidFill>
              <w14:schemeClr w14:val="tx1"/>
            </w14:solidFill>
          </w14:textFill>
        </w:rPr>
        <w:t>时    间：</w:t>
      </w:r>
      <w:bookmarkEnd w:id="48"/>
      <w:bookmarkEnd w:id="49"/>
    </w:p>
    <w:p w14:paraId="0F883C90">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14:paraId="49DF5CC3">
      <w:pPr>
        <w:pStyle w:val="27"/>
        <w:rPr>
          <w:color w:val="000000" w:themeColor="text1"/>
          <w:highlight w:val="none"/>
          <w14:textFill>
            <w14:solidFill>
              <w14:schemeClr w14:val="tx1"/>
            </w14:solidFill>
          </w14:textFill>
        </w:rPr>
      </w:pPr>
    </w:p>
    <w:p w14:paraId="03771978">
      <w:pPr>
        <w:pStyle w:val="27"/>
        <w:rPr>
          <w:color w:val="000000" w:themeColor="text1"/>
          <w:highlight w:val="none"/>
          <w14:textFill>
            <w14:solidFill>
              <w14:schemeClr w14:val="tx1"/>
            </w14:solidFill>
          </w14:textFill>
        </w:rPr>
      </w:pPr>
    </w:p>
    <w:p w14:paraId="60BE5A5C">
      <w:pPr>
        <w:pStyle w:val="27"/>
        <w:rPr>
          <w:color w:val="000000" w:themeColor="text1"/>
          <w:highlight w:val="none"/>
          <w14:textFill>
            <w14:solidFill>
              <w14:schemeClr w14:val="tx1"/>
            </w14:solidFill>
          </w14:textFill>
        </w:rPr>
      </w:pPr>
    </w:p>
    <w:p w14:paraId="7995F8D1">
      <w:pPr>
        <w:pStyle w:val="27"/>
        <w:rPr>
          <w:color w:val="000000" w:themeColor="text1"/>
          <w:highlight w:val="none"/>
          <w14:textFill>
            <w14:solidFill>
              <w14:schemeClr w14:val="tx1"/>
            </w14:solidFill>
          </w14:textFill>
        </w:rPr>
      </w:pPr>
    </w:p>
    <w:p w14:paraId="1121EE02">
      <w:pPr>
        <w:pStyle w:val="27"/>
        <w:rPr>
          <w:color w:val="000000" w:themeColor="text1"/>
          <w:highlight w:val="none"/>
          <w14:textFill>
            <w14:solidFill>
              <w14:schemeClr w14:val="tx1"/>
            </w14:solidFill>
          </w14:textFill>
        </w:rPr>
      </w:pPr>
    </w:p>
    <w:p w14:paraId="31A4E221">
      <w:pPr>
        <w:pStyle w:val="27"/>
        <w:rPr>
          <w:color w:val="000000" w:themeColor="text1"/>
          <w:highlight w:val="none"/>
          <w14:textFill>
            <w14:solidFill>
              <w14:schemeClr w14:val="tx1"/>
            </w14:solidFill>
          </w14:textFill>
        </w:rPr>
      </w:pPr>
    </w:p>
    <w:p w14:paraId="4B527CC8">
      <w:pPr>
        <w:pStyle w:val="27"/>
        <w:rPr>
          <w:color w:val="000000" w:themeColor="text1"/>
          <w:highlight w:val="none"/>
          <w14:textFill>
            <w14:solidFill>
              <w14:schemeClr w14:val="tx1"/>
            </w14:solidFill>
          </w14:textFill>
        </w:rPr>
      </w:pPr>
    </w:p>
    <w:p w14:paraId="612B7B36">
      <w:pPr>
        <w:pStyle w:val="5"/>
        <w:rPr>
          <w:rFonts w:ascii="仿宋_GB2312" w:hAnsi="宋体" w:eastAsia="仿宋_GB2312"/>
          <w:b/>
          <w:color w:val="000000" w:themeColor="text1"/>
          <w:sz w:val="36"/>
          <w:szCs w:val="36"/>
          <w:highlight w:val="none"/>
          <w14:textFill>
            <w14:solidFill>
              <w14:schemeClr w14:val="tx1"/>
            </w14:solidFill>
          </w14:textFill>
        </w:rPr>
      </w:pPr>
    </w:p>
    <w:p w14:paraId="2FB833B5">
      <w:pPr>
        <w:spacing w:line="480" w:lineRule="auto"/>
        <w:jc w:val="center"/>
        <w:rPr>
          <w:color w:val="000000" w:themeColor="text1"/>
          <w:highlight w:val="none"/>
          <w14:textFill>
            <w14:solidFill>
              <w14:schemeClr w14:val="tx1"/>
            </w14:solidFill>
          </w14:textFill>
        </w:rPr>
      </w:pPr>
      <w:bookmarkStart w:id="50" w:name="_Toc29537_WPSOffice_Level1"/>
      <w:bookmarkStart w:id="51"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50"/>
      <w:bookmarkEnd w:id="51"/>
    </w:p>
    <w:p w14:paraId="4F6E391A">
      <w:pPr>
        <w:rPr>
          <w:rFonts w:ascii="宋体" w:hAnsi="宋体" w:eastAsia="宋体" w:cs="宋体"/>
          <w:color w:val="000000" w:themeColor="text1"/>
          <w:sz w:val="28"/>
          <w:szCs w:val="28"/>
          <w:highlight w:val="none"/>
          <w14:textFill>
            <w14:solidFill>
              <w14:schemeClr w14:val="tx1"/>
            </w14:solidFill>
          </w14:textFill>
        </w:rPr>
      </w:pPr>
    </w:p>
    <w:p w14:paraId="4E7872D9">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2" w:name="_Toc29988_WPSOffice_Level1"/>
      <w:bookmarkStart w:id="53"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14:paraId="372DAA92">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14:paraId="02CFD0BD">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2"/>
    <w:bookmarkEnd w:id="53"/>
    <w:p w14:paraId="6BBB917E">
      <w:pPr>
        <w:spacing w:line="360" w:lineRule="auto"/>
        <w:ind w:firstLine="480" w:firstLineChars="200"/>
        <w:rPr>
          <w:color w:val="000000" w:themeColor="text1"/>
          <w:sz w:val="24"/>
          <w:highlight w:val="none"/>
          <w14:textFill>
            <w14:solidFill>
              <w14:schemeClr w14:val="tx1"/>
            </w14:solidFill>
          </w14:textFill>
        </w:rPr>
      </w:pPr>
    </w:p>
    <w:p w14:paraId="265D00D7">
      <w:pPr>
        <w:spacing w:line="360" w:lineRule="auto"/>
        <w:ind w:firstLine="482" w:firstLineChars="200"/>
        <w:rPr>
          <w:rFonts w:ascii="宋体" w:hAnsi="宋体"/>
          <w:b/>
          <w:color w:val="000000" w:themeColor="text1"/>
          <w:sz w:val="24"/>
          <w:highlight w:val="none"/>
          <w14:textFill>
            <w14:solidFill>
              <w14:schemeClr w14:val="tx1"/>
            </w14:solidFill>
          </w14:textFill>
        </w:rPr>
      </w:pPr>
    </w:p>
    <w:p w14:paraId="71A1A2E9">
      <w:pPr>
        <w:spacing w:line="360" w:lineRule="auto"/>
        <w:ind w:left="480"/>
        <w:rPr>
          <w:rFonts w:ascii="宋体" w:hAnsi="宋体"/>
          <w:b/>
          <w:color w:val="000000" w:themeColor="text1"/>
          <w:sz w:val="28"/>
          <w:highlight w:val="none"/>
          <w14:textFill>
            <w14:solidFill>
              <w14:schemeClr w14:val="tx1"/>
            </w14:solidFill>
          </w14:textFill>
        </w:rPr>
      </w:pPr>
    </w:p>
    <w:p w14:paraId="34F40FF2">
      <w:pPr>
        <w:spacing w:line="360" w:lineRule="auto"/>
        <w:ind w:left="480"/>
        <w:rPr>
          <w:rFonts w:ascii="宋体" w:hAnsi="宋体"/>
          <w:b/>
          <w:color w:val="000000" w:themeColor="text1"/>
          <w:sz w:val="28"/>
          <w:highlight w:val="none"/>
          <w14:textFill>
            <w14:solidFill>
              <w14:schemeClr w14:val="tx1"/>
            </w14:solidFill>
          </w14:textFill>
        </w:rPr>
      </w:pPr>
    </w:p>
    <w:p w14:paraId="45F11DC7">
      <w:pPr>
        <w:spacing w:line="360" w:lineRule="auto"/>
        <w:ind w:left="480"/>
        <w:rPr>
          <w:rFonts w:ascii="宋体" w:hAnsi="宋体"/>
          <w:b/>
          <w:color w:val="000000" w:themeColor="text1"/>
          <w:sz w:val="28"/>
          <w:highlight w:val="none"/>
          <w14:textFill>
            <w14:solidFill>
              <w14:schemeClr w14:val="tx1"/>
            </w14:solidFill>
          </w14:textFill>
        </w:rPr>
      </w:pPr>
    </w:p>
    <w:p w14:paraId="50F79E35">
      <w:pPr>
        <w:spacing w:line="360" w:lineRule="auto"/>
        <w:ind w:left="480"/>
        <w:rPr>
          <w:rFonts w:ascii="宋体" w:hAnsi="宋体"/>
          <w:b/>
          <w:color w:val="000000" w:themeColor="text1"/>
          <w:sz w:val="28"/>
          <w:highlight w:val="none"/>
          <w14:textFill>
            <w14:solidFill>
              <w14:schemeClr w14:val="tx1"/>
            </w14:solidFill>
          </w14:textFill>
        </w:rPr>
      </w:pPr>
    </w:p>
    <w:p w14:paraId="32C9ABC4">
      <w:pPr>
        <w:spacing w:line="360" w:lineRule="auto"/>
        <w:ind w:left="480"/>
        <w:rPr>
          <w:rFonts w:ascii="宋体" w:hAnsi="宋体"/>
          <w:b/>
          <w:color w:val="000000" w:themeColor="text1"/>
          <w:sz w:val="28"/>
          <w:highlight w:val="none"/>
          <w14:textFill>
            <w14:solidFill>
              <w14:schemeClr w14:val="tx1"/>
            </w14:solidFill>
          </w14:textFill>
        </w:rPr>
      </w:pPr>
    </w:p>
    <w:p w14:paraId="76009288">
      <w:pPr>
        <w:spacing w:line="360" w:lineRule="auto"/>
        <w:ind w:left="480"/>
        <w:rPr>
          <w:rFonts w:ascii="宋体" w:hAnsi="宋体"/>
          <w:b/>
          <w:color w:val="000000" w:themeColor="text1"/>
          <w:sz w:val="28"/>
          <w:highlight w:val="none"/>
          <w14:textFill>
            <w14:solidFill>
              <w14:schemeClr w14:val="tx1"/>
            </w14:solidFill>
          </w14:textFill>
        </w:rPr>
      </w:pPr>
    </w:p>
    <w:p w14:paraId="2BAA67F1">
      <w:pPr>
        <w:spacing w:line="360" w:lineRule="auto"/>
        <w:ind w:left="480"/>
        <w:rPr>
          <w:rFonts w:ascii="宋体" w:hAnsi="宋体"/>
          <w:b/>
          <w:color w:val="000000" w:themeColor="text1"/>
          <w:sz w:val="28"/>
          <w:highlight w:val="none"/>
          <w14:textFill>
            <w14:solidFill>
              <w14:schemeClr w14:val="tx1"/>
            </w14:solidFill>
          </w14:textFill>
        </w:rPr>
      </w:pPr>
    </w:p>
    <w:p w14:paraId="5FF6858D">
      <w:pPr>
        <w:spacing w:line="360" w:lineRule="auto"/>
        <w:ind w:left="480"/>
        <w:rPr>
          <w:rFonts w:ascii="宋体" w:hAnsi="宋体"/>
          <w:b/>
          <w:color w:val="000000" w:themeColor="text1"/>
          <w:sz w:val="28"/>
          <w:highlight w:val="none"/>
          <w14:textFill>
            <w14:solidFill>
              <w14:schemeClr w14:val="tx1"/>
            </w14:solidFill>
          </w14:textFill>
        </w:rPr>
      </w:pPr>
    </w:p>
    <w:p w14:paraId="6A6080A1">
      <w:pPr>
        <w:spacing w:line="360" w:lineRule="auto"/>
        <w:ind w:left="480"/>
        <w:rPr>
          <w:rFonts w:ascii="宋体" w:hAnsi="宋体"/>
          <w:b/>
          <w:color w:val="000000" w:themeColor="text1"/>
          <w:sz w:val="28"/>
          <w:highlight w:val="none"/>
          <w14:textFill>
            <w14:solidFill>
              <w14:schemeClr w14:val="tx1"/>
            </w14:solidFill>
          </w14:textFill>
        </w:rPr>
      </w:pPr>
    </w:p>
    <w:p w14:paraId="0FFA645E">
      <w:pPr>
        <w:spacing w:line="360" w:lineRule="auto"/>
        <w:ind w:left="480"/>
        <w:rPr>
          <w:rFonts w:ascii="宋体" w:hAnsi="宋体"/>
          <w:b/>
          <w:color w:val="000000" w:themeColor="text1"/>
          <w:sz w:val="28"/>
          <w:highlight w:val="none"/>
          <w14:textFill>
            <w14:solidFill>
              <w14:schemeClr w14:val="tx1"/>
            </w14:solidFill>
          </w14:textFill>
        </w:rPr>
      </w:pPr>
    </w:p>
    <w:p w14:paraId="6C301E80">
      <w:pPr>
        <w:spacing w:line="360" w:lineRule="auto"/>
        <w:ind w:left="480"/>
        <w:rPr>
          <w:rFonts w:ascii="宋体" w:hAnsi="宋体"/>
          <w:b/>
          <w:color w:val="000000" w:themeColor="text1"/>
          <w:sz w:val="28"/>
          <w:highlight w:val="none"/>
          <w14:textFill>
            <w14:solidFill>
              <w14:schemeClr w14:val="tx1"/>
            </w14:solidFill>
          </w14:textFill>
        </w:rPr>
      </w:pPr>
    </w:p>
    <w:p w14:paraId="673963F5">
      <w:pPr>
        <w:spacing w:line="360" w:lineRule="auto"/>
        <w:ind w:left="480"/>
        <w:rPr>
          <w:rFonts w:ascii="宋体" w:hAnsi="宋体"/>
          <w:b/>
          <w:color w:val="000000" w:themeColor="text1"/>
          <w:sz w:val="28"/>
          <w:highlight w:val="none"/>
          <w14:textFill>
            <w14:solidFill>
              <w14:schemeClr w14:val="tx1"/>
            </w14:solidFill>
          </w14:textFill>
        </w:rPr>
      </w:pPr>
    </w:p>
    <w:p w14:paraId="0B2CEEA5">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0F0B617">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14:paraId="5ABDB172">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4" w:name="_Toc16144_WPSOffice_Level1"/>
      <w:bookmarkStart w:id="55" w:name="_Toc30363_WPSOffice_Level1"/>
      <w:r>
        <w:rPr>
          <w:rFonts w:hint="eastAsia" w:ascii="宋体" w:hAnsi="宋体"/>
          <w:b/>
          <w:color w:val="000000" w:themeColor="text1"/>
          <w:sz w:val="32"/>
          <w:szCs w:val="32"/>
          <w:highlight w:val="none"/>
          <w:lang w:val="en-US" w:eastAsia="zh-CN"/>
          <w14:textFill>
            <w14:solidFill>
              <w14:schemeClr w14:val="tx1"/>
            </w14:solidFill>
          </w14:textFill>
        </w:rPr>
        <w:t>台州东茂观光农业开发有限公司2024零星机械租赁项目（第二批)</w:t>
      </w:r>
    </w:p>
    <w:p w14:paraId="4F70D746">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4"/>
      <w:bookmarkEnd w:id="55"/>
    </w:p>
    <w:p w14:paraId="05D7BB7A">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lang w:eastAsia="zh-CN"/>
        </w:rPr>
        <w:t>台州东茂观光农业开发有限公司</w:t>
      </w:r>
      <w:r>
        <w:rPr>
          <w:rFonts w:hint="eastAsia" w:ascii="宋体" w:hAnsi="宋体" w:cs="宋体"/>
          <w:position w:val="-3"/>
          <w:sz w:val="24"/>
          <w:highlight w:val="none"/>
        </w:rPr>
        <w:t>：</w:t>
      </w:r>
    </w:p>
    <w:p w14:paraId="017C9E00">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14:paraId="45806B0E">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100</w:t>
      </w:r>
      <w:r>
        <w:rPr>
          <w:rFonts w:hint="eastAsia" w:ascii="宋体" w:hAnsi="宋体" w:cs="宋体"/>
          <w:position w:val="-3"/>
          <w:sz w:val="24"/>
          <w:highlight w:val="none"/>
        </w:rPr>
        <w:t>%，否则作无效标处理）承包上述招标项目。</w:t>
      </w:r>
    </w:p>
    <w:p w14:paraId="5C8DA88F">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14:paraId="794EAA9F">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14:paraId="41102893">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lang w:eastAsia="zh-CN"/>
        </w:rPr>
        <w:t>招标人</w:t>
      </w:r>
      <w:r>
        <w:rPr>
          <w:rFonts w:ascii="宋体" w:hAnsi="宋体" w:cs="宋体"/>
          <w:sz w:val="24"/>
          <w:highlight w:val="none"/>
        </w:rPr>
        <w:t>有权根据实际情况确定</w:t>
      </w:r>
      <w:r>
        <w:rPr>
          <w:rFonts w:hint="eastAsia" w:ascii="宋体" w:hAnsi="宋体" w:cs="宋体"/>
          <w:sz w:val="24"/>
          <w:highlight w:val="none"/>
          <w:lang w:val="en-US" w:eastAsia="zh-CN"/>
        </w:rPr>
        <w:t>租赁</w:t>
      </w:r>
      <w:r>
        <w:rPr>
          <w:rFonts w:ascii="宋体" w:hAnsi="宋体" w:cs="宋体"/>
          <w:sz w:val="24"/>
          <w:highlight w:val="none"/>
        </w:rPr>
        <w:t>需求，若服务期内</w:t>
      </w:r>
      <w:r>
        <w:rPr>
          <w:rFonts w:hint="eastAsia" w:ascii="宋体" w:hAnsi="宋体" w:cs="宋体"/>
          <w:sz w:val="24"/>
          <w:highlight w:val="none"/>
          <w:lang w:eastAsia="zh-CN"/>
        </w:rPr>
        <w:t>招标人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14:paraId="7B9711E3">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法定代表人（签字或电子盖章）：</w:t>
      </w:r>
    </w:p>
    <w:p w14:paraId="7B1E8EF6">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投标人（盖单位电子公章）：</w:t>
      </w:r>
    </w:p>
    <w:p w14:paraId="29D7E65A">
      <w:pPr>
        <w:spacing w:line="360" w:lineRule="auto"/>
        <w:jc w:val="right"/>
        <w:rPr>
          <w:rFonts w:hint="eastAsia"/>
          <w:b/>
          <w:color w:val="000000" w:themeColor="text1"/>
          <w:szCs w:val="21"/>
          <w:highlight w:val="none"/>
          <w14:textFill>
            <w14:solidFill>
              <w14:schemeClr w14:val="tx1"/>
            </w14:solidFill>
          </w14:textFill>
        </w:rPr>
      </w:pPr>
      <w:r>
        <w:rPr>
          <w:rFonts w:hint="eastAsia" w:ascii="宋体" w:hAnsi="宋体" w:cs="宋体"/>
          <w:position w:val="-3"/>
          <w:sz w:val="24"/>
          <w:highlight w:val="none"/>
        </w:rPr>
        <w:t>日期：    年   月   日</w:t>
      </w:r>
    </w:p>
    <w:p w14:paraId="0B92400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ED821C1">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p>
    <w:p w14:paraId="7E212625">
      <w:pPr>
        <w:snapToGrid w:val="0"/>
        <w:spacing w:before="120" w:beforeLines="50" w:after="50" w:line="360" w:lineRule="auto"/>
        <w:jc w:val="center"/>
        <w:rPr>
          <w:rFonts w:hint="eastAsia" w:ascii="宋体" w:hAnsi="宋体" w:eastAsia="宋体" w:cs="Times New Roman"/>
          <w:b/>
          <w:color w:val="auto"/>
          <w:sz w:val="24"/>
          <w:highlight w:val="none"/>
          <w:lang w:eastAsia="zh-CN"/>
        </w:rPr>
      </w:pPr>
      <w:r>
        <w:rPr>
          <w:rFonts w:hint="eastAsia" w:ascii="宋体" w:hAnsi="宋体" w:cs="Times New Roman"/>
          <w:b/>
          <w:color w:val="auto"/>
          <w:sz w:val="24"/>
          <w:highlight w:val="none"/>
          <w:lang w:eastAsia="zh-CN"/>
        </w:rPr>
        <w:t>台州东茂观光农业开发有限公司2024零星机械租赁项目（第二批)</w:t>
      </w:r>
    </w:p>
    <w:p w14:paraId="54562759">
      <w:pPr>
        <w:snapToGrid w:val="0"/>
        <w:spacing w:before="120" w:beforeLines="50" w:after="50" w:line="360" w:lineRule="auto"/>
        <w:jc w:val="center"/>
        <w:rPr>
          <w:rFonts w:hint="eastAsia" w:ascii="宋体" w:hAnsi="宋体" w:eastAsia="宋体" w:cs="Times New Roman"/>
          <w:b/>
          <w:color w:val="auto"/>
          <w:sz w:val="24"/>
          <w:highlight w:val="none"/>
          <w:lang w:eastAsia="zh-CN"/>
        </w:rPr>
      </w:pPr>
      <w:r>
        <w:rPr>
          <w:rFonts w:hint="eastAsia" w:ascii="宋体" w:hAnsi="宋体" w:cs="宋体"/>
          <w:b/>
          <w:sz w:val="24"/>
          <w:highlight w:val="none"/>
        </w:rPr>
        <w:t>报价明细表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95"/>
        <w:gridCol w:w="2262"/>
        <w:gridCol w:w="1627"/>
        <w:gridCol w:w="1373"/>
        <w:gridCol w:w="1728"/>
      </w:tblGrid>
      <w:tr w14:paraId="0505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0" w:type="auto"/>
            <w:noWrap w:val="0"/>
            <w:vAlign w:val="center"/>
          </w:tcPr>
          <w:p w14:paraId="55EECBB9">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序号</w:t>
            </w:r>
          </w:p>
        </w:tc>
        <w:tc>
          <w:tcPr>
            <w:tcW w:w="1095" w:type="dxa"/>
            <w:noWrap w:val="0"/>
            <w:vAlign w:val="center"/>
          </w:tcPr>
          <w:p w14:paraId="3E9CE7F1">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设备名称</w:t>
            </w:r>
          </w:p>
        </w:tc>
        <w:tc>
          <w:tcPr>
            <w:tcW w:w="2262" w:type="dxa"/>
            <w:noWrap w:val="0"/>
            <w:vAlign w:val="center"/>
          </w:tcPr>
          <w:p w14:paraId="1AE98B82">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品牌/类型</w:t>
            </w:r>
          </w:p>
        </w:tc>
        <w:tc>
          <w:tcPr>
            <w:tcW w:w="1627" w:type="dxa"/>
            <w:noWrap w:val="0"/>
            <w:vAlign w:val="center"/>
          </w:tcPr>
          <w:p w14:paraId="712BB1FB">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型号/规格</w:t>
            </w:r>
          </w:p>
        </w:tc>
        <w:tc>
          <w:tcPr>
            <w:tcW w:w="1373" w:type="dxa"/>
            <w:noWrap w:val="0"/>
            <w:vAlign w:val="center"/>
          </w:tcPr>
          <w:p w14:paraId="1CAD0A20">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单价（元/台班）</w:t>
            </w:r>
          </w:p>
        </w:tc>
        <w:tc>
          <w:tcPr>
            <w:tcW w:w="1728" w:type="dxa"/>
            <w:noWrap w:val="0"/>
            <w:vAlign w:val="top"/>
          </w:tcPr>
          <w:p w14:paraId="749B0787">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Arial"/>
                <w:b/>
                <w:color w:val="auto"/>
                <w:sz w:val="21"/>
                <w:szCs w:val="21"/>
                <w:highlight w:val="none"/>
              </w:rPr>
              <w:t>备注</w:t>
            </w:r>
          </w:p>
        </w:tc>
      </w:tr>
      <w:tr w14:paraId="53FD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04351E0E">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一</w:t>
            </w:r>
          </w:p>
        </w:tc>
        <w:tc>
          <w:tcPr>
            <w:tcW w:w="1095" w:type="dxa"/>
            <w:vMerge w:val="restart"/>
            <w:noWrap w:val="0"/>
            <w:vAlign w:val="center"/>
          </w:tcPr>
          <w:p w14:paraId="68493491">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挖机</w:t>
            </w:r>
          </w:p>
          <w:p w14:paraId="375CF16F">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(履带式)</w:t>
            </w:r>
          </w:p>
        </w:tc>
        <w:tc>
          <w:tcPr>
            <w:tcW w:w="2262" w:type="dxa"/>
            <w:vMerge w:val="restart"/>
            <w:noWrap w:val="0"/>
            <w:vAlign w:val="center"/>
          </w:tcPr>
          <w:p w14:paraId="4C03278A">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神</w:t>
            </w:r>
            <w:r>
              <w:rPr>
                <w:rFonts w:hint="eastAsia" w:ascii="宋体" w:hAnsi="宋体" w:eastAsia="宋体" w:cs="Arial"/>
                <w:color w:val="auto"/>
                <w:sz w:val="21"/>
                <w:szCs w:val="21"/>
                <w:highlight w:val="none"/>
              </w:rPr>
              <w:t>钢、小松、住友、日立、新源、三一</w:t>
            </w:r>
            <w:r>
              <w:rPr>
                <w:rFonts w:hint="eastAsia" w:ascii="宋体" w:hAnsi="宋体" w:eastAsia="宋体"/>
                <w:color w:val="auto"/>
                <w:sz w:val="21"/>
                <w:szCs w:val="21"/>
                <w:highlight w:val="none"/>
                <w:lang w:val="en-US" w:eastAsia="zh-CN"/>
              </w:rPr>
              <w:t>或相当于</w:t>
            </w:r>
          </w:p>
        </w:tc>
        <w:tc>
          <w:tcPr>
            <w:tcW w:w="1627" w:type="dxa"/>
            <w:noWrap w:val="0"/>
            <w:vAlign w:val="center"/>
          </w:tcPr>
          <w:p w14:paraId="20EA1E91">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60</w:t>
            </w:r>
          </w:p>
        </w:tc>
        <w:tc>
          <w:tcPr>
            <w:tcW w:w="1373" w:type="dxa"/>
            <w:noWrap w:val="0"/>
            <w:vAlign w:val="center"/>
          </w:tcPr>
          <w:p w14:paraId="13A73AF5">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1180</w:t>
            </w:r>
          </w:p>
        </w:tc>
        <w:tc>
          <w:tcPr>
            <w:tcW w:w="1728" w:type="dxa"/>
            <w:vMerge w:val="restart"/>
            <w:noWrap w:val="0"/>
            <w:vAlign w:val="center"/>
          </w:tcPr>
          <w:p w14:paraId="18FD23F7">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eastAsia="zh-CN"/>
              </w:rPr>
              <w:t>进出场费按400元/次</w:t>
            </w:r>
          </w:p>
        </w:tc>
      </w:tr>
      <w:tr w14:paraId="4181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F705A54">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29F73904">
            <w:pPr>
              <w:spacing w:line="300" w:lineRule="exact"/>
              <w:jc w:val="center"/>
              <w:rPr>
                <w:rFonts w:hint="eastAsia" w:ascii="宋体" w:hAnsi="宋体" w:eastAsia="宋体"/>
                <w:color w:val="auto"/>
                <w:sz w:val="21"/>
                <w:szCs w:val="21"/>
                <w:highlight w:val="none"/>
              </w:rPr>
            </w:pPr>
          </w:p>
        </w:tc>
        <w:tc>
          <w:tcPr>
            <w:tcW w:w="2262" w:type="dxa"/>
            <w:vMerge w:val="continue"/>
            <w:noWrap w:val="0"/>
            <w:vAlign w:val="center"/>
          </w:tcPr>
          <w:p w14:paraId="5DEA7243">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0FEE050C">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120</w:t>
            </w:r>
          </w:p>
        </w:tc>
        <w:tc>
          <w:tcPr>
            <w:tcW w:w="1373" w:type="dxa"/>
            <w:noWrap w:val="0"/>
            <w:vAlign w:val="center"/>
          </w:tcPr>
          <w:p w14:paraId="68B24BA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28" w:type="dxa"/>
            <w:vMerge w:val="continue"/>
            <w:noWrap w:val="0"/>
            <w:vAlign w:val="center"/>
          </w:tcPr>
          <w:p w14:paraId="0E2ABC2F">
            <w:pPr>
              <w:spacing w:line="300" w:lineRule="exact"/>
              <w:jc w:val="center"/>
              <w:rPr>
                <w:rFonts w:hint="eastAsia" w:ascii="宋体" w:hAnsi="宋体" w:eastAsia="宋体" w:cs="Times New Roman"/>
                <w:color w:val="auto"/>
                <w:sz w:val="21"/>
                <w:szCs w:val="21"/>
                <w:highlight w:val="none"/>
                <w:lang w:eastAsia="zh-CN"/>
              </w:rPr>
            </w:pPr>
          </w:p>
        </w:tc>
      </w:tr>
      <w:tr w14:paraId="352D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A068118">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12D707BE">
            <w:pPr>
              <w:spacing w:line="300" w:lineRule="exact"/>
              <w:jc w:val="center"/>
              <w:rPr>
                <w:rFonts w:hint="eastAsia" w:ascii="宋体" w:hAnsi="宋体" w:eastAsia="宋体"/>
                <w:color w:val="auto"/>
                <w:sz w:val="21"/>
                <w:szCs w:val="21"/>
                <w:highlight w:val="none"/>
              </w:rPr>
            </w:pPr>
          </w:p>
        </w:tc>
        <w:tc>
          <w:tcPr>
            <w:tcW w:w="2262" w:type="dxa"/>
            <w:vMerge w:val="continue"/>
            <w:noWrap w:val="0"/>
            <w:vAlign w:val="center"/>
          </w:tcPr>
          <w:p w14:paraId="111E0158">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0F590AC1">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200</w:t>
            </w:r>
          </w:p>
        </w:tc>
        <w:tc>
          <w:tcPr>
            <w:tcW w:w="1373" w:type="dxa"/>
            <w:noWrap w:val="0"/>
            <w:vAlign w:val="center"/>
          </w:tcPr>
          <w:p w14:paraId="62BE5BA6">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2000</w:t>
            </w:r>
          </w:p>
        </w:tc>
        <w:tc>
          <w:tcPr>
            <w:tcW w:w="1728" w:type="dxa"/>
            <w:vMerge w:val="continue"/>
            <w:noWrap w:val="0"/>
            <w:vAlign w:val="center"/>
          </w:tcPr>
          <w:p w14:paraId="01367688">
            <w:pPr>
              <w:spacing w:line="300" w:lineRule="exact"/>
              <w:jc w:val="center"/>
              <w:rPr>
                <w:rFonts w:hint="eastAsia" w:ascii="宋体" w:hAnsi="宋体" w:eastAsia="宋体" w:cs="Times New Roman"/>
                <w:color w:val="auto"/>
                <w:sz w:val="21"/>
                <w:szCs w:val="21"/>
                <w:highlight w:val="none"/>
                <w:lang w:eastAsia="zh-CN"/>
              </w:rPr>
            </w:pPr>
          </w:p>
        </w:tc>
      </w:tr>
      <w:tr w14:paraId="4C1E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6E4E9B9">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14:paraId="1A17B399">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14:paraId="4A46DFED">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14:paraId="52E89612">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220</w:t>
            </w:r>
          </w:p>
        </w:tc>
        <w:tc>
          <w:tcPr>
            <w:tcW w:w="1373" w:type="dxa"/>
            <w:noWrap w:val="0"/>
            <w:vAlign w:val="center"/>
          </w:tcPr>
          <w:p w14:paraId="609AF02D">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2050</w:t>
            </w:r>
          </w:p>
        </w:tc>
        <w:tc>
          <w:tcPr>
            <w:tcW w:w="1728" w:type="dxa"/>
            <w:vMerge w:val="continue"/>
            <w:noWrap w:val="0"/>
            <w:vAlign w:val="top"/>
          </w:tcPr>
          <w:p w14:paraId="1EEB1754">
            <w:pPr>
              <w:spacing w:line="300" w:lineRule="exact"/>
              <w:jc w:val="center"/>
              <w:rPr>
                <w:rFonts w:hint="eastAsia" w:ascii="宋体" w:hAnsi="宋体" w:eastAsia="宋体" w:cs="Arial"/>
                <w:color w:val="auto"/>
                <w:sz w:val="21"/>
                <w:szCs w:val="21"/>
                <w:highlight w:val="none"/>
              </w:rPr>
            </w:pPr>
          </w:p>
        </w:tc>
      </w:tr>
      <w:tr w14:paraId="35DE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E88CFD8">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14:paraId="2866078C">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14:paraId="6E9F4624">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14:paraId="7833F9A1">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300</w:t>
            </w:r>
          </w:p>
        </w:tc>
        <w:tc>
          <w:tcPr>
            <w:tcW w:w="1373" w:type="dxa"/>
            <w:noWrap w:val="0"/>
            <w:vAlign w:val="center"/>
          </w:tcPr>
          <w:p w14:paraId="36EC6B8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3220</w:t>
            </w:r>
          </w:p>
        </w:tc>
        <w:tc>
          <w:tcPr>
            <w:tcW w:w="1728" w:type="dxa"/>
            <w:vMerge w:val="continue"/>
            <w:noWrap w:val="0"/>
            <w:vAlign w:val="top"/>
          </w:tcPr>
          <w:p w14:paraId="5DE50C8D">
            <w:pPr>
              <w:spacing w:line="300" w:lineRule="exact"/>
              <w:jc w:val="center"/>
              <w:rPr>
                <w:rFonts w:hint="eastAsia" w:ascii="宋体" w:hAnsi="宋体" w:eastAsia="宋体" w:cs="Arial"/>
                <w:color w:val="auto"/>
                <w:sz w:val="21"/>
                <w:szCs w:val="21"/>
                <w:highlight w:val="none"/>
              </w:rPr>
            </w:pPr>
          </w:p>
        </w:tc>
      </w:tr>
      <w:tr w14:paraId="77E7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23FC12F">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14:paraId="25211434">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14:paraId="4AF2484D">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14:paraId="583AAEA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360</w:t>
            </w:r>
          </w:p>
        </w:tc>
        <w:tc>
          <w:tcPr>
            <w:tcW w:w="1373" w:type="dxa"/>
            <w:noWrap w:val="0"/>
            <w:vAlign w:val="center"/>
          </w:tcPr>
          <w:p w14:paraId="2D5548D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3600</w:t>
            </w:r>
          </w:p>
        </w:tc>
        <w:tc>
          <w:tcPr>
            <w:tcW w:w="1728" w:type="dxa"/>
            <w:vMerge w:val="continue"/>
            <w:noWrap w:val="0"/>
            <w:vAlign w:val="top"/>
          </w:tcPr>
          <w:p w14:paraId="611C8577">
            <w:pPr>
              <w:spacing w:line="300" w:lineRule="exact"/>
              <w:jc w:val="center"/>
              <w:rPr>
                <w:rFonts w:hint="eastAsia" w:ascii="宋体" w:hAnsi="宋体" w:eastAsia="宋体" w:cs="Arial"/>
                <w:color w:val="auto"/>
                <w:sz w:val="21"/>
                <w:szCs w:val="21"/>
                <w:highlight w:val="none"/>
              </w:rPr>
            </w:pPr>
          </w:p>
        </w:tc>
      </w:tr>
      <w:tr w14:paraId="5174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BF7CA3B">
            <w:pPr>
              <w:spacing w:line="300" w:lineRule="exact"/>
              <w:jc w:val="center"/>
              <w:rPr>
                <w:rFonts w:hint="eastAsia" w:ascii="宋体" w:hAnsi="宋体" w:eastAsia="宋体"/>
                <w:color w:val="auto"/>
                <w:sz w:val="22"/>
                <w:highlight w:val="none"/>
                <w:lang w:eastAsia="zh-CN"/>
              </w:rPr>
            </w:pPr>
          </w:p>
        </w:tc>
        <w:tc>
          <w:tcPr>
            <w:tcW w:w="1095" w:type="dxa"/>
            <w:noWrap w:val="0"/>
            <w:vAlign w:val="center"/>
          </w:tcPr>
          <w:p w14:paraId="5FA52D84">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轮胎式液压单斗挖掘机</w:t>
            </w:r>
          </w:p>
        </w:tc>
        <w:tc>
          <w:tcPr>
            <w:tcW w:w="2262" w:type="dxa"/>
            <w:vMerge w:val="continue"/>
            <w:noWrap w:val="0"/>
            <w:vAlign w:val="center"/>
          </w:tcPr>
          <w:p w14:paraId="48F4E918">
            <w:pPr>
              <w:spacing w:line="300" w:lineRule="exact"/>
              <w:jc w:val="center"/>
              <w:rPr>
                <w:rFonts w:hint="default" w:ascii="宋体" w:hAnsi="宋体" w:eastAsia="宋体"/>
                <w:color w:val="auto"/>
                <w:sz w:val="21"/>
                <w:szCs w:val="21"/>
                <w:highlight w:val="none"/>
                <w:lang w:val="en-US" w:eastAsia="zh-CN"/>
              </w:rPr>
            </w:pPr>
          </w:p>
        </w:tc>
        <w:tc>
          <w:tcPr>
            <w:tcW w:w="1627" w:type="dxa"/>
            <w:noWrap w:val="0"/>
            <w:vAlign w:val="center"/>
          </w:tcPr>
          <w:p w14:paraId="67E231FD">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60型</w:t>
            </w:r>
          </w:p>
        </w:tc>
        <w:tc>
          <w:tcPr>
            <w:tcW w:w="1373" w:type="dxa"/>
            <w:noWrap w:val="0"/>
            <w:vAlign w:val="center"/>
          </w:tcPr>
          <w:p w14:paraId="0010967A">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1200</w:t>
            </w:r>
          </w:p>
        </w:tc>
        <w:tc>
          <w:tcPr>
            <w:tcW w:w="1728" w:type="dxa"/>
            <w:noWrap w:val="0"/>
            <w:vAlign w:val="top"/>
          </w:tcPr>
          <w:p w14:paraId="0E4E73CE">
            <w:pPr>
              <w:spacing w:line="300" w:lineRule="exact"/>
              <w:jc w:val="center"/>
              <w:rPr>
                <w:rFonts w:hint="eastAsia" w:ascii="宋体" w:hAnsi="宋体" w:eastAsia="宋体"/>
                <w:color w:val="auto"/>
                <w:sz w:val="21"/>
                <w:szCs w:val="21"/>
                <w:highlight w:val="none"/>
                <w:lang w:eastAsia="zh-CN"/>
              </w:rPr>
            </w:pPr>
          </w:p>
        </w:tc>
      </w:tr>
      <w:tr w14:paraId="1470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14:paraId="280BC788">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olor w:val="auto"/>
                <w:sz w:val="22"/>
                <w:highlight w:val="none"/>
                <w:lang w:eastAsia="zh-CN"/>
              </w:rPr>
              <w:t>二</w:t>
            </w:r>
          </w:p>
        </w:tc>
        <w:tc>
          <w:tcPr>
            <w:tcW w:w="1095" w:type="dxa"/>
            <w:noWrap w:val="0"/>
            <w:vAlign w:val="center"/>
          </w:tcPr>
          <w:p w14:paraId="7B2E394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rPr>
              <w:t>水陆两用挖掘机</w:t>
            </w:r>
          </w:p>
        </w:tc>
        <w:tc>
          <w:tcPr>
            <w:tcW w:w="2262" w:type="dxa"/>
            <w:noWrap w:val="0"/>
            <w:vAlign w:val="center"/>
          </w:tcPr>
          <w:p w14:paraId="2A37DD83">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eastAsia="zh-CN"/>
              </w:rPr>
              <w:t>小松、日立、加藤、神钢、卡特、大宇、现代</w:t>
            </w:r>
            <w:r>
              <w:rPr>
                <w:rFonts w:hint="eastAsia" w:ascii="宋体" w:hAnsi="宋体" w:eastAsia="宋体"/>
                <w:color w:val="auto"/>
                <w:sz w:val="21"/>
                <w:szCs w:val="21"/>
                <w:highlight w:val="none"/>
                <w:lang w:val="en-US" w:eastAsia="zh-CN"/>
              </w:rPr>
              <w:t>或相当于</w:t>
            </w:r>
          </w:p>
        </w:tc>
        <w:tc>
          <w:tcPr>
            <w:tcW w:w="1627" w:type="dxa"/>
            <w:noWrap w:val="0"/>
            <w:vAlign w:val="center"/>
          </w:tcPr>
          <w:p w14:paraId="0AB26F0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220-260</w:t>
            </w:r>
          </w:p>
        </w:tc>
        <w:tc>
          <w:tcPr>
            <w:tcW w:w="1373" w:type="dxa"/>
            <w:noWrap w:val="0"/>
            <w:vAlign w:val="center"/>
          </w:tcPr>
          <w:p w14:paraId="65A87FC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3600</w:t>
            </w:r>
          </w:p>
        </w:tc>
        <w:tc>
          <w:tcPr>
            <w:tcW w:w="1728" w:type="dxa"/>
            <w:noWrap w:val="0"/>
            <w:vAlign w:val="center"/>
          </w:tcPr>
          <w:p w14:paraId="72640A0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eastAsia="zh-CN"/>
              </w:rPr>
              <w:t>具体型号根据</w:t>
            </w:r>
            <w:r>
              <w:rPr>
                <w:rFonts w:hint="eastAsia" w:ascii="宋体" w:hAnsi="宋体"/>
                <w:color w:val="auto"/>
                <w:sz w:val="21"/>
                <w:szCs w:val="21"/>
                <w:highlight w:val="none"/>
                <w:lang w:eastAsia="zh-CN"/>
              </w:rPr>
              <w:t>招标人</w:t>
            </w:r>
            <w:r>
              <w:rPr>
                <w:rFonts w:hint="eastAsia" w:ascii="宋体" w:hAnsi="宋体" w:eastAsia="宋体"/>
                <w:color w:val="auto"/>
                <w:sz w:val="21"/>
                <w:szCs w:val="21"/>
                <w:highlight w:val="none"/>
                <w:lang w:eastAsia="zh-CN"/>
              </w:rPr>
              <w:t>需求提供</w:t>
            </w:r>
          </w:p>
        </w:tc>
      </w:tr>
      <w:tr w14:paraId="489E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326A96D4">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lang w:eastAsia="zh-CN"/>
              </w:rPr>
              <w:t>三</w:t>
            </w:r>
          </w:p>
        </w:tc>
        <w:tc>
          <w:tcPr>
            <w:tcW w:w="1095" w:type="dxa"/>
            <w:vMerge w:val="restart"/>
            <w:noWrap w:val="0"/>
            <w:vAlign w:val="center"/>
          </w:tcPr>
          <w:p w14:paraId="6E9A3C48">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吊车</w:t>
            </w:r>
          </w:p>
        </w:tc>
        <w:tc>
          <w:tcPr>
            <w:tcW w:w="2262" w:type="dxa"/>
            <w:vMerge w:val="restart"/>
            <w:noWrap w:val="0"/>
            <w:vAlign w:val="center"/>
          </w:tcPr>
          <w:p w14:paraId="6E76CA7C">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浦沅、徐工、三一、马尼托瓦克、中联重科、长江或相当于</w:t>
            </w:r>
          </w:p>
        </w:tc>
        <w:tc>
          <w:tcPr>
            <w:tcW w:w="1627" w:type="dxa"/>
            <w:noWrap w:val="0"/>
            <w:vAlign w:val="center"/>
          </w:tcPr>
          <w:p w14:paraId="77FC6742">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8吨</w:t>
            </w:r>
          </w:p>
        </w:tc>
        <w:tc>
          <w:tcPr>
            <w:tcW w:w="1373" w:type="dxa"/>
            <w:noWrap w:val="0"/>
            <w:vAlign w:val="center"/>
          </w:tcPr>
          <w:p w14:paraId="06FA4DDD">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1100</w:t>
            </w:r>
          </w:p>
        </w:tc>
        <w:tc>
          <w:tcPr>
            <w:tcW w:w="1728" w:type="dxa"/>
            <w:noWrap w:val="0"/>
            <w:vAlign w:val="top"/>
          </w:tcPr>
          <w:p w14:paraId="0FD838A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小时按400元/次计</w:t>
            </w:r>
          </w:p>
        </w:tc>
      </w:tr>
      <w:tr w14:paraId="49DF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92D15BA">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3E9BC096">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76C5F8DB">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2814949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16吨</w:t>
            </w:r>
          </w:p>
        </w:tc>
        <w:tc>
          <w:tcPr>
            <w:tcW w:w="1373" w:type="dxa"/>
            <w:noWrap w:val="0"/>
            <w:vAlign w:val="center"/>
          </w:tcPr>
          <w:p w14:paraId="530081C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1500</w:t>
            </w:r>
          </w:p>
        </w:tc>
        <w:tc>
          <w:tcPr>
            <w:tcW w:w="1728" w:type="dxa"/>
            <w:noWrap w:val="0"/>
            <w:vAlign w:val="top"/>
          </w:tcPr>
          <w:p w14:paraId="06A2628C">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03D6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E4741E4">
            <w:pPr>
              <w:spacing w:line="300" w:lineRule="exact"/>
              <w:jc w:val="center"/>
              <w:rPr>
                <w:rFonts w:hint="eastAsia" w:ascii="宋体" w:hAnsi="宋体" w:eastAsia="宋体" w:cs="Arial"/>
                <w:color w:val="auto"/>
                <w:sz w:val="22"/>
                <w:highlight w:val="none"/>
                <w:lang w:eastAsia="zh-CN"/>
              </w:rPr>
            </w:pPr>
          </w:p>
        </w:tc>
        <w:tc>
          <w:tcPr>
            <w:tcW w:w="1095" w:type="dxa"/>
            <w:vMerge w:val="continue"/>
            <w:noWrap w:val="0"/>
            <w:vAlign w:val="center"/>
          </w:tcPr>
          <w:p w14:paraId="2E432555">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38E380F2">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7E60754F">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25吨</w:t>
            </w:r>
          </w:p>
        </w:tc>
        <w:tc>
          <w:tcPr>
            <w:tcW w:w="1373" w:type="dxa"/>
            <w:noWrap w:val="0"/>
            <w:vAlign w:val="center"/>
          </w:tcPr>
          <w:p w14:paraId="3C5EA66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1700</w:t>
            </w:r>
          </w:p>
        </w:tc>
        <w:tc>
          <w:tcPr>
            <w:tcW w:w="1728" w:type="dxa"/>
            <w:noWrap w:val="0"/>
            <w:vAlign w:val="top"/>
          </w:tcPr>
          <w:p w14:paraId="1612A78F">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39F4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59FA6D74">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lang w:eastAsia="zh-CN"/>
              </w:rPr>
              <w:t>四</w:t>
            </w:r>
          </w:p>
        </w:tc>
        <w:tc>
          <w:tcPr>
            <w:tcW w:w="1095" w:type="dxa"/>
            <w:vMerge w:val="restart"/>
            <w:noWrap w:val="0"/>
            <w:vAlign w:val="center"/>
          </w:tcPr>
          <w:p w14:paraId="0B37BA5F">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汽车类</w:t>
            </w:r>
          </w:p>
        </w:tc>
        <w:tc>
          <w:tcPr>
            <w:tcW w:w="2262" w:type="dxa"/>
            <w:vMerge w:val="restart"/>
            <w:noWrap w:val="0"/>
            <w:vAlign w:val="center"/>
          </w:tcPr>
          <w:p w14:paraId="09A7DCE8">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rPr>
              <w:t>彪马、东风、解放、江淮、欧曼</w:t>
            </w:r>
            <w:r>
              <w:rPr>
                <w:rFonts w:hint="eastAsia" w:ascii="宋体" w:hAnsi="宋体" w:eastAsia="宋体" w:cs="Times New Roman"/>
                <w:color w:val="auto"/>
                <w:sz w:val="21"/>
                <w:szCs w:val="21"/>
                <w:highlight w:val="none"/>
                <w:lang w:val="en-US" w:eastAsia="zh-CN"/>
              </w:rPr>
              <w:t>或相当于</w:t>
            </w:r>
          </w:p>
        </w:tc>
        <w:tc>
          <w:tcPr>
            <w:tcW w:w="1627" w:type="dxa"/>
            <w:noWrap w:val="0"/>
            <w:vAlign w:val="center"/>
          </w:tcPr>
          <w:p w14:paraId="04B51F22">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val="en-US" w:eastAsia="zh-CN"/>
              </w:rPr>
              <w:t>1.5吨-</w:t>
            </w:r>
            <w:r>
              <w:rPr>
                <w:rFonts w:hint="eastAsia" w:ascii="宋体" w:hAnsi="宋体" w:eastAsia="宋体" w:cs="Times New Roman"/>
                <w:color w:val="auto"/>
                <w:sz w:val="21"/>
                <w:szCs w:val="21"/>
                <w:highlight w:val="none"/>
              </w:rPr>
              <w:t>2吨</w:t>
            </w:r>
          </w:p>
        </w:tc>
        <w:tc>
          <w:tcPr>
            <w:tcW w:w="1373" w:type="dxa"/>
            <w:noWrap w:val="0"/>
            <w:vAlign w:val="center"/>
          </w:tcPr>
          <w:p w14:paraId="27BC759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550</w:t>
            </w:r>
          </w:p>
        </w:tc>
        <w:tc>
          <w:tcPr>
            <w:tcW w:w="1728" w:type="dxa"/>
            <w:noWrap w:val="0"/>
            <w:vAlign w:val="center"/>
          </w:tcPr>
          <w:p w14:paraId="70F48BBD">
            <w:pPr>
              <w:spacing w:line="300" w:lineRule="exact"/>
              <w:jc w:val="center"/>
              <w:rPr>
                <w:rFonts w:hint="eastAsia" w:ascii="宋体" w:hAnsi="宋体" w:eastAsia="宋体" w:cs="Arial"/>
                <w:color w:val="auto"/>
                <w:sz w:val="21"/>
                <w:szCs w:val="21"/>
                <w:highlight w:val="none"/>
              </w:rPr>
            </w:pPr>
          </w:p>
        </w:tc>
      </w:tr>
      <w:tr w14:paraId="537F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DC431EE">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6D6B040D">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5B977D0D">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72F6CF6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10吨</w:t>
            </w:r>
          </w:p>
        </w:tc>
        <w:tc>
          <w:tcPr>
            <w:tcW w:w="1373" w:type="dxa"/>
            <w:noWrap w:val="0"/>
            <w:vAlign w:val="center"/>
          </w:tcPr>
          <w:p w14:paraId="464285FA">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900</w:t>
            </w:r>
          </w:p>
        </w:tc>
        <w:tc>
          <w:tcPr>
            <w:tcW w:w="1728" w:type="dxa"/>
            <w:noWrap w:val="0"/>
            <w:vAlign w:val="center"/>
          </w:tcPr>
          <w:p w14:paraId="0192C541">
            <w:pPr>
              <w:spacing w:line="300" w:lineRule="exact"/>
              <w:jc w:val="center"/>
              <w:rPr>
                <w:rFonts w:hint="eastAsia" w:ascii="宋体" w:hAnsi="宋体" w:eastAsia="宋体" w:cs="Arial"/>
                <w:color w:val="auto"/>
                <w:sz w:val="21"/>
                <w:szCs w:val="21"/>
                <w:highlight w:val="none"/>
              </w:rPr>
            </w:pPr>
          </w:p>
        </w:tc>
      </w:tr>
      <w:tr w14:paraId="47E1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757A6F75">
            <w:pPr>
              <w:spacing w:line="300" w:lineRule="exact"/>
              <w:jc w:val="center"/>
              <w:rPr>
                <w:rFonts w:hint="eastAsia" w:ascii="宋体" w:hAnsi="宋体" w:eastAsia="宋体" w:cs="Arial"/>
                <w:color w:val="auto"/>
                <w:sz w:val="22"/>
                <w:highlight w:val="none"/>
                <w:lang w:eastAsia="zh-CN"/>
              </w:rPr>
            </w:pPr>
          </w:p>
        </w:tc>
        <w:tc>
          <w:tcPr>
            <w:tcW w:w="1095" w:type="dxa"/>
            <w:vMerge w:val="continue"/>
            <w:noWrap w:val="0"/>
            <w:vAlign w:val="center"/>
          </w:tcPr>
          <w:p w14:paraId="095C6180">
            <w:pPr>
              <w:spacing w:line="300" w:lineRule="exact"/>
              <w:jc w:val="center"/>
              <w:rPr>
                <w:rFonts w:hint="eastAsia" w:ascii="宋体" w:hAnsi="宋体" w:eastAsia="宋体" w:cs="Arial"/>
                <w:color w:val="auto"/>
                <w:sz w:val="21"/>
                <w:szCs w:val="21"/>
                <w:highlight w:val="none"/>
                <w:lang w:eastAsia="zh-CN"/>
              </w:rPr>
            </w:pPr>
          </w:p>
        </w:tc>
        <w:tc>
          <w:tcPr>
            <w:tcW w:w="2262" w:type="dxa"/>
            <w:noWrap w:val="0"/>
            <w:vAlign w:val="center"/>
          </w:tcPr>
          <w:p w14:paraId="054DBF65">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轻型卡车</w:t>
            </w:r>
          </w:p>
        </w:tc>
        <w:tc>
          <w:tcPr>
            <w:tcW w:w="1627" w:type="dxa"/>
            <w:noWrap w:val="0"/>
            <w:vAlign w:val="center"/>
          </w:tcPr>
          <w:p w14:paraId="15304A7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2吨</w:t>
            </w:r>
          </w:p>
        </w:tc>
        <w:tc>
          <w:tcPr>
            <w:tcW w:w="1373" w:type="dxa"/>
            <w:noWrap w:val="0"/>
            <w:vAlign w:val="center"/>
          </w:tcPr>
          <w:p w14:paraId="1D11669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550</w:t>
            </w:r>
          </w:p>
        </w:tc>
        <w:tc>
          <w:tcPr>
            <w:tcW w:w="1728" w:type="dxa"/>
            <w:noWrap w:val="0"/>
            <w:vAlign w:val="center"/>
          </w:tcPr>
          <w:p w14:paraId="26F9CE67">
            <w:pPr>
              <w:spacing w:line="300" w:lineRule="exact"/>
              <w:jc w:val="center"/>
              <w:rPr>
                <w:rFonts w:hint="eastAsia" w:ascii="宋体" w:hAnsi="宋体" w:eastAsia="宋体" w:cs="Arial"/>
                <w:color w:val="auto"/>
                <w:sz w:val="21"/>
                <w:szCs w:val="21"/>
                <w:highlight w:val="none"/>
              </w:rPr>
            </w:pPr>
          </w:p>
        </w:tc>
      </w:tr>
      <w:tr w14:paraId="3476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14:paraId="2411B0F8">
            <w:pPr>
              <w:spacing w:line="300" w:lineRule="exact"/>
              <w:jc w:val="center"/>
              <w:rPr>
                <w:rFonts w:hint="eastAsia" w:ascii="宋体" w:hAnsi="宋体" w:eastAsia="宋体" w:cs="Arial"/>
                <w:b w:val="0"/>
                <w:color w:val="auto"/>
                <w:kern w:val="2"/>
                <w:sz w:val="22"/>
                <w:szCs w:val="24"/>
                <w:highlight w:val="none"/>
                <w:lang w:val="en-US" w:eastAsia="zh-CN" w:bidi="ar-SA"/>
              </w:rPr>
            </w:pPr>
            <w:r>
              <w:rPr>
                <w:rFonts w:hint="eastAsia" w:ascii="宋体" w:hAnsi="宋体" w:eastAsia="宋体" w:cs="Arial"/>
                <w:color w:val="auto"/>
                <w:sz w:val="22"/>
                <w:highlight w:val="none"/>
                <w:lang w:eastAsia="zh-CN"/>
              </w:rPr>
              <w:t>五</w:t>
            </w:r>
          </w:p>
        </w:tc>
        <w:tc>
          <w:tcPr>
            <w:tcW w:w="1095" w:type="dxa"/>
            <w:noWrap w:val="0"/>
            <w:vAlign w:val="center"/>
          </w:tcPr>
          <w:p w14:paraId="11704F2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eastAsia="zh-CN"/>
              </w:rPr>
              <w:t>拖车类</w:t>
            </w:r>
          </w:p>
        </w:tc>
        <w:tc>
          <w:tcPr>
            <w:tcW w:w="2262" w:type="dxa"/>
            <w:noWrap w:val="0"/>
            <w:vAlign w:val="center"/>
          </w:tcPr>
          <w:p w14:paraId="75177C77">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627" w:type="dxa"/>
            <w:noWrap w:val="0"/>
            <w:vAlign w:val="center"/>
          </w:tcPr>
          <w:p w14:paraId="320F66C2">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40吨平板拖车</w:t>
            </w:r>
          </w:p>
        </w:tc>
        <w:tc>
          <w:tcPr>
            <w:tcW w:w="1373" w:type="dxa"/>
            <w:noWrap w:val="0"/>
            <w:vAlign w:val="center"/>
          </w:tcPr>
          <w:p w14:paraId="26296C8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2800</w:t>
            </w:r>
          </w:p>
        </w:tc>
        <w:tc>
          <w:tcPr>
            <w:tcW w:w="1728" w:type="dxa"/>
            <w:noWrap w:val="0"/>
            <w:vAlign w:val="center"/>
          </w:tcPr>
          <w:p w14:paraId="395774FB">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不足3小时按400元/次计</w:t>
            </w:r>
          </w:p>
        </w:tc>
      </w:tr>
      <w:tr w14:paraId="71FF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740F8006">
            <w:pPr>
              <w:spacing w:line="300" w:lineRule="exact"/>
              <w:jc w:val="center"/>
              <w:rPr>
                <w:rFonts w:hint="eastAsia" w:ascii="宋体" w:hAnsi="宋体" w:eastAsia="宋体" w:cs="Arial"/>
                <w:b w:val="0"/>
                <w:color w:val="auto"/>
                <w:kern w:val="2"/>
                <w:sz w:val="22"/>
                <w:szCs w:val="24"/>
                <w:highlight w:val="none"/>
                <w:lang w:val="en-US" w:eastAsia="zh-CN" w:bidi="ar-SA"/>
              </w:rPr>
            </w:pPr>
            <w:r>
              <w:rPr>
                <w:rFonts w:hint="eastAsia" w:ascii="宋体" w:hAnsi="宋体" w:eastAsia="宋体" w:cs="Arial"/>
                <w:color w:val="auto"/>
                <w:sz w:val="22"/>
                <w:highlight w:val="none"/>
              </w:rPr>
              <w:t>六</w:t>
            </w:r>
          </w:p>
        </w:tc>
        <w:tc>
          <w:tcPr>
            <w:tcW w:w="1095" w:type="dxa"/>
            <w:vMerge w:val="restart"/>
            <w:noWrap w:val="0"/>
            <w:vAlign w:val="center"/>
          </w:tcPr>
          <w:p w14:paraId="0B67D65A">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铲车（轮式装载机）</w:t>
            </w:r>
          </w:p>
        </w:tc>
        <w:tc>
          <w:tcPr>
            <w:tcW w:w="2262" w:type="dxa"/>
            <w:vMerge w:val="restart"/>
            <w:noWrap w:val="0"/>
            <w:vAlign w:val="center"/>
          </w:tcPr>
          <w:p w14:paraId="24A4442B">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柳工、龙工、厦工、徐工、临工</w:t>
            </w:r>
            <w:r>
              <w:rPr>
                <w:rFonts w:hint="eastAsia" w:ascii="宋体" w:hAnsi="宋体" w:eastAsia="宋体"/>
                <w:color w:val="auto"/>
                <w:sz w:val="21"/>
                <w:szCs w:val="21"/>
                <w:highlight w:val="none"/>
                <w:lang w:val="en-US" w:eastAsia="zh-CN"/>
              </w:rPr>
              <w:t>或相当于</w:t>
            </w:r>
          </w:p>
        </w:tc>
        <w:tc>
          <w:tcPr>
            <w:tcW w:w="1627" w:type="dxa"/>
            <w:noWrap w:val="0"/>
            <w:vAlign w:val="center"/>
          </w:tcPr>
          <w:p w14:paraId="787252EE">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12型小铲车</w:t>
            </w:r>
          </w:p>
        </w:tc>
        <w:tc>
          <w:tcPr>
            <w:tcW w:w="1373" w:type="dxa"/>
            <w:noWrap w:val="0"/>
            <w:vAlign w:val="center"/>
          </w:tcPr>
          <w:p w14:paraId="0320004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520</w:t>
            </w:r>
          </w:p>
        </w:tc>
        <w:tc>
          <w:tcPr>
            <w:tcW w:w="1728" w:type="dxa"/>
            <w:noWrap w:val="0"/>
            <w:vAlign w:val="center"/>
          </w:tcPr>
          <w:p w14:paraId="378FAEC8">
            <w:pPr>
              <w:spacing w:line="300" w:lineRule="exact"/>
              <w:jc w:val="center"/>
              <w:rPr>
                <w:rFonts w:hint="eastAsia" w:ascii="宋体" w:hAnsi="宋体" w:eastAsia="宋体" w:cs="Arial"/>
                <w:color w:val="auto"/>
                <w:sz w:val="21"/>
                <w:szCs w:val="21"/>
                <w:highlight w:val="none"/>
              </w:rPr>
            </w:pPr>
          </w:p>
        </w:tc>
      </w:tr>
      <w:tr w14:paraId="4C66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53468A9">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14:paraId="588015E1">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4F4ED17B">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2A0267FD">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18型小铲车</w:t>
            </w:r>
          </w:p>
        </w:tc>
        <w:tc>
          <w:tcPr>
            <w:tcW w:w="1373" w:type="dxa"/>
            <w:noWrap w:val="0"/>
            <w:vAlign w:val="center"/>
          </w:tcPr>
          <w:p w14:paraId="5528937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664</w:t>
            </w:r>
          </w:p>
        </w:tc>
        <w:tc>
          <w:tcPr>
            <w:tcW w:w="1728" w:type="dxa"/>
            <w:noWrap w:val="0"/>
            <w:vAlign w:val="center"/>
          </w:tcPr>
          <w:p w14:paraId="165D2EE5">
            <w:pPr>
              <w:spacing w:line="300" w:lineRule="exact"/>
              <w:jc w:val="center"/>
              <w:rPr>
                <w:rFonts w:hint="eastAsia" w:ascii="宋体" w:hAnsi="宋体" w:eastAsia="宋体" w:cs="Arial"/>
                <w:color w:val="auto"/>
                <w:sz w:val="21"/>
                <w:szCs w:val="21"/>
                <w:highlight w:val="none"/>
              </w:rPr>
            </w:pPr>
          </w:p>
        </w:tc>
      </w:tr>
      <w:tr w14:paraId="7435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5F80291D">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14:paraId="2803936A">
            <w:pPr>
              <w:spacing w:line="300" w:lineRule="exact"/>
              <w:jc w:val="center"/>
              <w:rPr>
                <w:rFonts w:hint="eastAsia" w:ascii="宋体" w:hAnsi="宋体" w:eastAsia="宋体" w:cs="Arial"/>
                <w:color w:val="auto"/>
                <w:kern w:val="2"/>
                <w:sz w:val="21"/>
                <w:szCs w:val="21"/>
                <w:highlight w:val="none"/>
                <w:lang w:val="en-US" w:eastAsia="zh-CN" w:bidi="ar-SA"/>
              </w:rPr>
            </w:pPr>
          </w:p>
        </w:tc>
        <w:tc>
          <w:tcPr>
            <w:tcW w:w="2262" w:type="dxa"/>
            <w:vMerge w:val="continue"/>
            <w:noWrap w:val="0"/>
            <w:vAlign w:val="center"/>
          </w:tcPr>
          <w:p w14:paraId="4B5E3F7D">
            <w:pPr>
              <w:spacing w:line="300" w:lineRule="exact"/>
              <w:jc w:val="center"/>
              <w:rPr>
                <w:rFonts w:hint="eastAsia" w:ascii="宋体" w:hAnsi="宋体" w:eastAsia="宋体"/>
                <w:color w:val="auto"/>
                <w:kern w:val="2"/>
                <w:sz w:val="21"/>
                <w:szCs w:val="21"/>
                <w:highlight w:val="none"/>
                <w:lang w:val="en-US" w:eastAsia="zh-CN" w:bidi="ar-SA"/>
              </w:rPr>
            </w:pPr>
          </w:p>
        </w:tc>
        <w:tc>
          <w:tcPr>
            <w:tcW w:w="1627" w:type="dxa"/>
            <w:noWrap w:val="0"/>
            <w:vAlign w:val="center"/>
          </w:tcPr>
          <w:p w14:paraId="027C900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30型小铲车</w:t>
            </w:r>
          </w:p>
        </w:tc>
        <w:tc>
          <w:tcPr>
            <w:tcW w:w="1373" w:type="dxa"/>
            <w:noWrap w:val="0"/>
            <w:vAlign w:val="center"/>
          </w:tcPr>
          <w:p w14:paraId="03FCFFC6">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904</w:t>
            </w:r>
          </w:p>
        </w:tc>
        <w:tc>
          <w:tcPr>
            <w:tcW w:w="1728" w:type="dxa"/>
            <w:noWrap w:val="0"/>
            <w:vAlign w:val="center"/>
          </w:tcPr>
          <w:p w14:paraId="514BC85C">
            <w:pPr>
              <w:spacing w:line="300" w:lineRule="exact"/>
              <w:jc w:val="center"/>
              <w:rPr>
                <w:rFonts w:hint="eastAsia" w:ascii="宋体" w:hAnsi="宋体" w:eastAsia="宋体" w:cs="Arial"/>
                <w:color w:val="auto"/>
                <w:sz w:val="21"/>
                <w:szCs w:val="21"/>
                <w:highlight w:val="none"/>
              </w:rPr>
            </w:pPr>
          </w:p>
        </w:tc>
      </w:tr>
      <w:tr w14:paraId="143A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8236FFF">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14:paraId="1237ABFA">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5C0EA3CC">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0A44DAD3">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50型铲车</w:t>
            </w:r>
          </w:p>
        </w:tc>
        <w:tc>
          <w:tcPr>
            <w:tcW w:w="1373" w:type="dxa"/>
            <w:noWrap w:val="0"/>
            <w:vAlign w:val="center"/>
          </w:tcPr>
          <w:p w14:paraId="22039C63">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1980</w:t>
            </w:r>
          </w:p>
        </w:tc>
        <w:tc>
          <w:tcPr>
            <w:tcW w:w="1728" w:type="dxa"/>
            <w:noWrap w:val="0"/>
            <w:vAlign w:val="center"/>
          </w:tcPr>
          <w:p w14:paraId="5B61B617">
            <w:pPr>
              <w:spacing w:line="300" w:lineRule="exact"/>
              <w:jc w:val="center"/>
              <w:rPr>
                <w:rFonts w:hint="eastAsia" w:ascii="宋体" w:hAnsi="宋体" w:eastAsia="宋体" w:cs="Arial"/>
                <w:color w:val="auto"/>
                <w:sz w:val="21"/>
                <w:szCs w:val="21"/>
                <w:highlight w:val="none"/>
              </w:rPr>
            </w:pPr>
          </w:p>
        </w:tc>
      </w:tr>
      <w:tr w14:paraId="3BA4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2B4B6474">
            <w:pPr>
              <w:spacing w:line="300" w:lineRule="exact"/>
              <w:jc w:val="center"/>
              <w:rPr>
                <w:rFonts w:hint="eastAsia" w:ascii="宋体" w:hAnsi="宋体" w:eastAsia="宋体" w:cs="Arial"/>
                <w:color w:val="auto"/>
                <w:sz w:val="22"/>
                <w:highlight w:val="none"/>
                <w:lang w:val="en-US" w:eastAsia="zh-CN"/>
              </w:rPr>
            </w:pPr>
          </w:p>
          <w:p w14:paraId="1440043F">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七</w:t>
            </w:r>
          </w:p>
          <w:p w14:paraId="30A8E1C5">
            <w:pPr>
              <w:pStyle w:val="25"/>
              <w:jc w:val="center"/>
              <w:rPr>
                <w:rFonts w:hint="eastAsia" w:ascii="宋体" w:hAnsi="宋体" w:eastAsia="宋体" w:cs="Arial"/>
                <w:b w:val="0"/>
                <w:color w:val="auto"/>
                <w:kern w:val="2"/>
                <w:sz w:val="22"/>
                <w:szCs w:val="24"/>
                <w:highlight w:val="none"/>
                <w:lang w:val="en-US" w:eastAsia="zh-CN" w:bidi="ar-SA"/>
              </w:rPr>
            </w:pPr>
          </w:p>
        </w:tc>
        <w:tc>
          <w:tcPr>
            <w:tcW w:w="1095" w:type="dxa"/>
            <w:vMerge w:val="restart"/>
            <w:noWrap w:val="0"/>
            <w:vAlign w:val="center"/>
          </w:tcPr>
          <w:p w14:paraId="23402EAC">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推土机</w:t>
            </w:r>
          </w:p>
        </w:tc>
        <w:tc>
          <w:tcPr>
            <w:tcW w:w="2262" w:type="dxa"/>
            <w:vMerge w:val="restart"/>
            <w:noWrap w:val="0"/>
            <w:vAlign w:val="center"/>
          </w:tcPr>
          <w:p w14:paraId="4A4035F1">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山推</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移山</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卡特彼勒</w:t>
            </w:r>
            <w:r>
              <w:rPr>
                <w:rFonts w:hint="eastAsia" w:ascii="宋体" w:hAnsi="宋体" w:eastAsia="宋体" w:cs="Times New Roman"/>
                <w:color w:val="auto"/>
                <w:sz w:val="21"/>
                <w:szCs w:val="21"/>
                <w:highlight w:val="none"/>
                <w:lang w:eastAsia="zh-CN"/>
              </w:rPr>
              <w:t>、中联重科</w:t>
            </w:r>
            <w:r>
              <w:rPr>
                <w:rFonts w:hint="eastAsia" w:ascii="宋体" w:hAnsi="宋体" w:eastAsia="宋体" w:cs="Times New Roman"/>
                <w:color w:val="auto"/>
                <w:sz w:val="21"/>
                <w:szCs w:val="21"/>
                <w:highlight w:val="none"/>
                <w:lang w:val="en-US" w:eastAsia="zh-CN"/>
              </w:rPr>
              <w:t>或相当</w:t>
            </w:r>
            <w:r>
              <w:rPr>
                <w:rFonts w:hint="eastAsia" w:ascii="宋体" w:hAnsi="宋体" w:eastAsia="宋体" w:cs="Arial"/>
                <w:color w:val="auto"/>
                <w:sz w:val="21"/>
                <w:szCs w:val="21"/>
                <w:highlight w:val="none"/>
                <w:lang w:val="en-US" w:eastAsia="zh-CN"/>
              </w:rPr>
              <w:t>于</w:t>
            </w:r>
          </w:p>
        </w:tc>
        <w:tc>
          <w:tcPr>
            <w:tcW w:w="1627" w:type="dxa"/>
            <w:noWrap w:val="0"/>
            <w:vAlign w:val="center"/>
          </w:tcPr>
          <w:p w14:paraId="1D14A265">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95kw</w:t>
            </w:r>
          </w:p>
        </w:tc>
        <w:tc>
          <w:tcPr>
            <w:tcW w:w="1373" w:type="dxa"/>
            <w:noWrap w:val="0"/>
            <w:vAlign w:val="center"/>
          </w:tcPr>
          <w:p w14:paraId="1B132C0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2413</w:t>
            </w:r>
          </w:p>
        </w:tc>
        <w:tc>
          <w:tcPr>
            <w:tcW w:w="1728" w:type="dxa"/>
            <w:noWrap w:val="0"/>
            <w:vAlign w:val="center"/>
          </w:tcPr>
          <w:p w14:paraId="0CA2E67A">
            <w:pPr>
              <w:spacing w:line="300" w:lineRule="exact"/>
              <w:jc w:val="center"/>
              <w:rPr>
                <w:rFonts w:hint="eastAsia" w:ascii="宋体" w:hAnsi="宋体" w:eastAsia="宋体" w:cs="Arial"/>
                <w:color w:val="auto"/>
                <w:sz w:val="21"/>
                <w:szCs w:val="21"/>
                <w:highlight w:val="none"/>
              </w:rPr>
            </w:pPr>
          </w:p>
        </w:tc>
      </w:tr>
      <w:tr w14:paraId="6BEA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B0F763A">
            <w:pPr>
              <w:pStyle w:val="25"/>
              <w:jc w:val="center"/>
              <w:rPr>
                <w:rFonts w:hint="eastAsia" w:ascii="宋体" w:hAnsi="宋体" w:eastAsia="宋体" w:cs="Arial"/>
                <w:color w:val="auto"/>
                <w:sz w:val="22"/>
                <w:highlight w:val="none"/>
                <w:lang w:eastAsia="zh-CN"/>
              </w:rPr>
            </w:pPr>
          </w:p>
        </w:tc>
        <w:tc>
          <w:tcPr>
            <w:tcW w:w="1095" w:type="dxa"/>
            <w:vMerge w:val="continue"/>
            <w:noWrap w:val="0"/>
            <w:vAlign w:val="center"/>
          </w:tcPr>
          <w:p w14:paraId="5BEFDBE0">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6A92007B">
            <w:pPr>
              <w:spacing w:line="300" w:lineRule="exact"/>
              <w:jc w:val="center"/>
              <w:rPr>
                <w:rFonts w:hint="eastAsia" w:ascii="宋体" w:hAnsi="宋体" w:eastAsia="宋体"/>
                <w:color w:val="auto"/>
                <w:sz w:val="21"/>
                <w:szCs w:val="21"/>
                <w:highlight w:val="none"/>
                <w:lang w:val="en-US" w:eastAsia="zh-CN"/>
              </w:rPr>
            </w:pPr>
          </w:p>
        </w:tc>
        <w:tc>
          <w:tcPr>
            <w:tcW w:w="1627" w:type="dxa"/>
            <w:noWrap w:val="0"/>
            <w:vAlign w:val="center"/>
          </w:tcPr>
          <w:p w14:paraId="0C31E8A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131kw</w:t>
            </w:r>
          </w:p>
        </w:tc>
        <w:tc>
          <w:tcPr>
            <w:tcW w:w="1373" w:type="dxa"/>
            <w:noWrap w:val="0"/>
            <w:vAlign w:val="center"/>
          </w:tcPr>
          <w:p w14:paraId="3543C8AA">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3313</w:t>
            </w:r>
          </w:p>
        </w:tc>
        <w:tc>
          <w:tcPr>
            <w:tcW w:w="1728" w:type="dxa"/>
            <w:noWrap w:val="0"/>
            <w:vAlign w:val="center"/>
          </w:tcPr>
          <w:p w14:paraId="43CD2AD6">
            <w:pPr>
              <w:spacing w:line="300" w:lineRule="exact"/>
              <w:jc w:val="center"/>
              <w:rPr>
                <w:rFonts w:hint="default" w:ascii="宋体" w:hAnsi="宋体" w:eastAsia="宋体" w:cs="Arial"/>
                <w:color w:val="auto"/>
                <w:sz w:val="21"/>
                <w:szCs w:val="21"/>
                <w:highlight w:val="none"/>
                <w:lang w:val="en-US" w:eastAsia="zh-CN"/>
              </w:rPr>
            </w:pPr>
          </w:p>
        </w:tc>
      </w:tr>
      <w:tr w14:paraId="5545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769654CF">
            <w:pPr>
              <w:pStyle w:val="25"/>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14:paraId="6F81ACD9">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6D839854">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1FA60169">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175kW</w:t>
            </w:r>
          </w:p>
        </w:tc>
        <w:tc>
          <w:tcPr>
            <w:tcW w:w="1373" w:type="dxa"/>
            <w:noWrap w:val="0"/>
            <w:vAlign w:val="center"/>
          </w:tcPr>
          <w:p w14:paraId="53B86EB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3947</w:t>
            </w:r>
          </w:p>
        </w:tc>
        <w:tc>
          <w:tcPr>
            <w:tcW w:w="1728" w:type="dxa"/>
            <w:noWrap w:val="0"/>
            <w:vAlign w:val="center"/>
          </w:tcPr>
          <w:p w14:paraId="7D61F154">
            <w:pPr>
              <w:spacing w:line="300" w:lineRule="exact"/>
              <w:jc w:val="center"/>
              <w:rPr>
                <w:rFonts w:hint="eastAsia" w:ascii="宋体" w:hAnsi="宋体" w:eastAsia="宋体" w:cs="Arial"/>
                <w:color w:val="auto"/>
                <w:sz w:val="21"/>
                <w:szCs w:val="21"/>
                <w:highlight w:val="none"/>
              </w:rPr>
            </w:pPr>
          </w:p>
        </w:tc>
      </w:tr>
      <w:tr w14:paraId="3D86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7" w:type="dxa"/>
            <w:vMerge w:val="restart"/>
            <w:noWrap w:val="0"/>
            <w:vAlign w:val="center"/>
          </w:tcPr>
          <w:p w14:paraId="76CB52DD">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八</w:t>
            </w:r>
          </w:p>
        </w:tc>
        <w:tc>
          <w:tcPr>
            <w:tcW w:w="1095" w:type="dxa"/>
            <w:noWrap w:val="0"/>
            <w:vAlign w:val="center"/>
          </w:tcPr>
          <w:p w14:paraId="47C3857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翻耕机</w:t>
            </w:r>
          </w:p>
        </w:tc>
        <w:tc>
          <w:tcPr>
            <w:tcW w:w="2262" w:type="dxa"/>
            <w:noWrap w:val="0"/>
            <w:vAlign w:val="center"/>
          </w:tcPr>
          <w:p w14:paraId="5EC3750E">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27" w:type="dxa"/>
            <w:noWrap w:val="0"/>
            <w:vAlign w:val="center"/>
          </w:tcPr>
          <w:p w14:paraId="502371B4">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3B5A01F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60</w:t>
            </w:r>
            <w:r>
              <w:rPr>
                <w:rFonts w:hint="eastAsia" w:ascii="宋体" w:hAnsi="宋体" w:eastAsia="宋体" w:cs="Arial"/>
                <w:color w:val="auto"/>
                <w:sz w:val="21"/>
                <w:szCs w:val="21"/>
                <w:highlight w:val="none"/>
              </w:rPr>
              <w:t>元/亩/次</w:t>
            </w:r>
          </w:p>
        </w:tc>
        <w:tc>
          <w:tcPr>
            <w:tcW w:w="1728" w:type="dxa"/>
            <w:noWrap w:val="0"/>
            <w:vAlign w:val="center"/>
          </w:tcPr>
          <w:p w14:paraId="7769C1D6">
            <w:pPr>
              <w:spacing w:line="300" w:lineRule="exact"/>
              <w:jc w:val="center"/>
              <w:rPr>
                <w:rFonts w:hint="eastAsia" w:ascii="宋体" w:hAnsi="宋体" w:eastAsia="宋体" w:cs="Arial"/>
                <w:color w:val="auto"/>
                <w:sz w:val="21"/>
                <w:szCs w:val="21"/>
                <w:highlight w:val="none"/>
              </w:rPr>
            </w:pPr>
            <w:r>
              <w:rPr>
                <w:rFonts w:hint="eastAsia" w:ascii="宋体" w:hAnsi="宋体" w:cs="Arial"/>
                <w:color w:val="auto"/>
                <w:sz w:val="21"/>
                <w:szCs w:val="21"/>
                <w:highlight w:val="none"/>
                <w:lang w:val="en-US" w:eastAsia="zh-CN"/>
              </w:rPr>
              <w:t>土地整理</w:t>
            </w:r>
          </w:p>
        </w:tc>
      </w:tr>
      <w:tr w14:paraId="7554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37" w:type="dxa"/>
            <w:vMerge w:val="continue"/>
            <w:noWrap w:val="0"/>
            <w:vAlign w:val="center"/>
          </w:tcPr>
          <w:p w14:paraId="5704755A">
            <w:pPr>
              <w:spacing w:line="300" w:lineRule="exact"/>
              <w:jc w:val="center"/>
              <w:rPr>
                <w:rFonts w:hint="eastAsia" w:ascii="宋体" w:hAnsi="宋体" w:eastAsia="宋体" w:cs="Arial"/>
                <w:color w:val="auto"/>
                <w:sz w:val="22"/>
                <w:highlight w:val="none"/>
                <w:lang w:val="en-US" w:eastAsia="zh-CN"/>
              </w:rPr>
            </w:pPr>
          </w:p>
        </w:tc>
        <w:tc>
          <w:tcPr>
            <w:tcW w:w="1095" w:type="dxa"/>
            <w:noWrap w:val="0"/>
            <w:vAlign w:val="center"/>
          </w:tcPr>
          <w:p w14:paraId="2FCAFEBA">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开沟机</w:t>
            </w:r>
          </w:p>
        </w:tc>
        <w:tc>
          <w:tcPr>
            <w:tcW w:w="2262" w:type="dxa"/>
            <w:noWrap w:val="0"/>
            <w:vAlign w:val="center"/>
          </w:tcPr>
          <w:p w14:paraId="548741E6">
            <w:pPr>
              <w:spacing w:line="300" w:lineRule="exact"/>
              <w:jc w:val="center"/>
              <w:rPr>
                <w:rFonts w:hint="eastAsia" w:ascii="宋体" w:hAnsi="宋体" w:eastAsia="宋体"/>
                <w:color w:val="auto"/>
                <w:sz w:val="21"/>
                <w:szCs w:val="21"/>
                <w:highlight w:val="none"/>
              </w:rPr>
            </w:pPr>
            <w:r>
              <w:rPr>
                <w:rFonts w:hint="eastAsia" w:ascii="宋体" w:hAnsi="宋体" w:eastAsia="宋体" w:cs="Arial"/>
                <w:color w:val="auto"/>
                <w:sz w:val="21"/>
                <w:szCs w:val="21"/>
                <w:highlight w:val="none"/>
              </w:rPr>
              <w:t>/</w:t>
            </w:r>
          </w:p>
        </w:tc>
        <w:tc>
          <w:tcPr>
            <w:tcW w:w="1627" w:type="dxa"/>
            <w:noWrap w:val="0"/>
            <w:vAlign w:val="center"/>
          </w:tcPr>
          <w:p w14:paraId="2B48468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63A872F4">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60元/亩/次</w:t>
            </w:r>
          </w:p>
        </w:tc>
        <w:tc>
          <w:tcPr>
            <w:tcW w:w="1728" w:type="dxa"/>
            <w:noWrap w:val="0"/>
            <w:vAlign w:val="center"/>
          </w:tcPr>
          <w:p w14:paraId="4ED97D05">
            <w:pPr>
              <w:spacing w:line="300" w:lineRule="exact"/>
              <w:jc w:val="center"/>
              <w:rPr>
                <w:rFonts w:hint="eastAsia" w:ascii="宋体" w:hAnsi="宋体" w:eastAsia="宋体" w:cs="Arial"/>
                <w:color w:val="auto"/>
                <w:sz w:val="21"/>
                <w:szCs w:val="21"/>
                <w:highlight w:val="none"/>
                <w:lang w:val="en-US" w:eastAsia="zh-CN"/>
              </w:rPr>
            </w:pPr>
          </w:p>
        </w:tc>
      </w:tr>
      <w:tr w14:paraId="4EAB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7" w:type="dxa"/>
            <w:vMerge w:val="continue"/>
            <w:noWrap w:val="0"/>
            <w:vAlign w:val="center"/>
          </w:tcPr>
          <w:p w14:paraId="0D39CEDB">
            <w:pPr>
              <w:spacing w:line="300" w:lineRule="exact"/>
              <w:jc w:val="center"/>
              <w:rPr>
                <w:rFonts w:hint="eastAsia" w:ascii="宋体" w:hAnsi="宋体" w:eastAsia="宋体" w:cs="Arial"/>
                <w:color w:val="auto"/>
                <w:sz w:val="22"/>
                <w:highlight w:val="none"/>
                <w:lang w:val="en-US" w:eastAsia="zh-CN"/>
              </w:rPr>
            </w:pPr>
          </w:p>
        </w:tc>
        <w:tc>
          <w:tcPr>
            <w:tcW w:w="1095" w:type="dxa"/>
            <w:noWrap w:val="0"/>
            <w:vAlign w:val="center"/>
          </w:tcPr>
          <w:p w14:paraId="11AF8049">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插秧机</w:t>
            </w:r>
          </w:p>
        </w:tc>
        <w:tc>
          <w:tcPr>
            <w:tcW w:w="2262" w:type="dxa"/>
            <w:noWrap w:val="0"/>
            <w:vAlign w:val="center"/>
          </w:tcPr>
          <w:p w14:paraId="5207A3EE">
            <w:pPr>
              <w:spacing w:line="300" w:lineRule="exact"/>
              <w:jc w:val="center"/>
              <w:rPr>
                <w:rFonts w:hint="eastAsia" w:ascii="宋体" w:hAnsi="宋体" w:eastAsia="宋体"/>
                <w:color w:val="auto"/>
                <w:sz w:val="21"/>
                <w:szCs w:val="21"/>
                <w:highlight w:val="none"/>
              </w:rPr>
            </w:pPr>
            <w:r>
              <w:rPr>
                <w:rFonts w:hint="eastAsia" w:ascii="宋体" w:hAnsi="宋体" w:eastAsia="宋体" w:cs="Arial"/>
                <w:color w:val="auto"/>
                <w:sz w:val="21"/>
                <w:szCs w:val="21"/>
                <w:highlight w:val="none"/>
              </w:rPr>
              <w:t>/</w:t>
            </w:r>
          </w:p>
        </w:tc>
        <w:tc>
          <w:tcPr>
            <w:tcW w:w="1627" w:type="dxa"/>
            <w:noWrap w:val="0"/>
            <w:vAlign w:val="center"/>
          </w:tcPr>
          <w:p w14:paraId="091914C9">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440F61B8">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100 元/亩</w:t>
            </w:r>
          </w:p>
        </w:tc>
        <w:tc>
          <w:tcPr>
            <w:tcW w:w="1728" w:type="dxa"/>
            <w:noWrap w:val="0"/>
            <w:vAlign w:val="center"/>
          </w:tcPr>
          <w:p w14:paraId="27730940">
            <w:pPr>
              <w:spacing w:line="300" w:lineRule="exact"/>
              <w:jc w:val="center"/>
              <w:rPr>
                <w:rFonts w:hint="eastAsia" w:ascii="宋体" w:hAnsi="宋体" w:eastAsia="宋体" w:cs="Arial"/>
                <w:color w:val="auto"/>
                <w:sz w:val="21"/>
                <w:szCs w:val="21"/>
                <w:highlight w:val="none"/>
                <w:lang w:val="en-US" w:eastAsia="zh-CN"/>
              </w:rPr>
            </w:pPr>
          </w:p>
        </w:tc>
      </w:tr>
      <w:tr w14:paraId="269B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14:paraId="4C5057C2">
            <w:pPr>
              <w:spacing w:line="300" w:lineRule="exact"/>
              <w:jc w:val="center"/>
              <w:rPr>
                <w:color w:val="auto"/>
                <w:highlight w:val="none"/>
              </w:rPr>
            </w:pPr>
            <w:r>
              <w:rPr>
                <w:rFonts w:hint="eastAsia" w:ascii="宋体" w:hAnsi="宋体" w:eastAsia="宋体" w:cs="Arial"/>
                <w:color w:val="auto"/>
                <w:sz w:val="22"/>
                <w:highlight w:val="none"/>
                <w:lang w:val="en-US" w:eastAsia="zh-CN"/>
              </w:rPr>
              <w:t>九</w:t>
            </w:r>
          </w:p>
        </w:tc>
        <w:tc>
          <w:tcPr>
            <w:tcW w:w="1095" w:type="dxa"/>
            <w:noWrap w:val="0"/>
            <w:vAlign w:val="center"/>
          </w:tcPr>
          <w:p w14:paraId="42EF5F6F">
            <w:pPr>
              <w:spacing w:line="300" w:lineRule="exact"/>
              <w:jc w:val="center"/>
              <w:rPr>
                <w:color w:val="auto"/>
                <w:sz w:val="21"/>
                <w:szCs w:val="21"/>
                <w:highlight w:val="none"/>
              </w:rPr>
            </w:pPr>
            <w:r>
              <w:rPr>
                <w:rFonts w:hint="eastAsia" w:ascii="宋体" w:hAnsi="宋体" w:eastAsia="宋体" w:cs="Arial"/>
                <w:color w:val="auto"/>
                <w:sz w:val="21"/>
                <w:szCs w:val="21"/>
                <w:highlight w:val="none"/>
                <w:lang w:val="en-US" w:eastAsia="zh-CN"/>
              </w:rPr>
              <w:t>收割机</w:t>
            </w:r>
          </w:p>
        </w:tc>
        <w:tc>
          <w:tcPr>
            <w:tcW w:w="2262" w:type="dxa"/>
            <w:noWrap w:val="0"/>
            <w:vAlign w:val="center"/>
          </w:tcPr>
          <w:p w14:paraId="7AEAEB2B">
            <w:pPr>
              <w:spacing w:line="300" w:lineRule="exact"/>
              <w:jc w:val="center"/>
              <w:rPr>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27" w:type="dxa"/>
            <w:noWrap w:val="0"/>
            <w:vAlign w:val="center"/>
          </w:tcPr>
          <w:p w14:paraId="2691360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w:t>
            </w:r>
          </w:p>
        </w:tc>
        <w:tc>
          <w:tcPr>
            <w:tcW w:w="1373" w:type="dxa"/>
            <w:noWrap w:val="0"/>
            <w:vAlign w:val="center"/>
          </w:tcPr>
          <w:p w14:paraId="22210704">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w:t>
            </w:r>
            <w:r>
              <w:rPr>
                <w:rFonts w:hint="eastAsia" w:ascii="宋体" w:hAnsi="宋体" w:eastAsia="宋体" w:cs="Arial"/>
                <w:color w:val="auto"/>
                <w:sz w:val="21"/>
                <w:szCs w:val="21"/>
                <w:highlight w:val="none"/>
              </w:rPr>
              <w:t>元/亩/次</w:t>
            </w:r>
          </w:p>
        </w:tc>
        <w:tc>
          <w:tcPr>
            <w:tcW w:w="1728" w:type="dxa"/>
            <w:noWrap w:val="0"/>
            <w:vAlign w:val="center"/>
          </w:tcPr>
          <w:p w14:paraId="1176A90D">
            <w:pPr>
              <w:spacing w:line="300" w:lineRule="exact"/>
              <w:jc w:val="center"/>
              <w:rPr>
                <w:rFonts w:hint="default" w:ascii="宋体" w:hAnsi="宋体" w:eastAsia="宋体" w:cs="Arial"/>
                <w:color w:val="auto"/>
                <w:sz w:val="21"/>
                <w:szCs w:val="21"/>
                <w:highlight w:val="none"/>
                <w:lang w:val="en-US" w:eastAsia="zh-CN"/>
              </w:rPr>
            </w:pPr>
          </w:p>
        </w:tc>
      </w:tr>
      <w:tr w14:paraId="4603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422236FC">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w:t>
            </w:r>
          </w:p>
        </w:tc>
        <w:tc>
          <w:tcPr>
            <w:tcW w:w="1095" w:type="dxa"/>
            <w:vMerge w:val="restart"/>
            <w:noWrap w:val="0"/>
            <w:vAlign w:val="center"/>
          </w:tcPr>
          <w:p w14:paraId="525BA4F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随车吊</w:t>
            </w:r>
          </w:p>
        </w:tc>
        <w:tc>
          <w:tcPr>
            <w:tcW w:w="2262" w:type="dxa"/>
            <w:vMerge w:val="restart"/>
            <w:noWrap w:val="0"/>
            <w:vAlign w:val="center"/>
          </w:tcPr>
          <w:p w14:paraId="35098519">
            <w:pPr>
              <w:spacing w:line="300" w:lineRule="exact"/>
              <w:jc w:val="center"/>
              <w:rPr>
                <w:rFonts w:hint="default" w:ascii="宋体" w:hAnsi="宋体" w:eastAsia="宋体" w:cs="Arial"/>
                <w:color w:val="auto"/>
                <w:sz w:val="21"/>
                <w:szCs w:val="21"/>
                <w:highlight w:val="none"/>
                <w:lang w:val="en-US" w:eastAsia="zh-CN"/>
              </w:rPr>
            </w:pPr>
          </w:p>
        </w:tc>
        <w:tc>
          <w:tcPr>
            <w:tcW w:w="1627" w:type="dxa"/>
            <w:noWrap w:val="0"/>
            <w:vAlign w:val="center"/>
          </w:tcPr>
          <w:p w14:paraId="0DF6A4CA">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4吨</w:t>
            </w:r>
          </w:p>
        </w:tc>
        <w:tc>
          <w:tcPr>
            <w:tcW w:w="1373" w:type="dxa"/>
            <w:noWrap w:val="0"/>
            <w:vAlign w:val="center"/>
          </w:tcPr>
          <w:p w14:paraId="312F166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1200</w:t>
            </w:r>
          </w:p>
        </w:tc>
        <w:tc>
          <w:tcPr>
            <w:tcW w:w="1728" w:type="dxa"/>
            <w:vMerge w:val="restart"/>
            <w:noWrap w:val="0"/>
            <w:vAlign w:val="center"/>
          </w:tcPr>
          <w:p w14:paraId="05104B0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不足3小时按400元/次计</w:t>
            </w:r>
          </w:p>
        </w:tc>
      </w:tr>
      <w:tr w14:paraId="3C1F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3E5772A">
            <w:pPr>
              <w:spacing w:line="300" w:lineRule="exact"/>
              <w:jc w:val="center"/>
              <w:rPr>
                <w:rFonts w:hint="default" w:ascii="宋体" w:hAnsi="宋体" w:eastAsia="宋体" w:cs="Arial"/>
                <w:color w:val="auto"/>
                <w:sz w:val="22"/>
                <w:highlight w:val="none"/>
                <w:lang w:val="en-US" w:eastAsia="zh-CN"/>
              </w:rPr>
            </w:pPr>
          </w:p>
        </w:tc>
        <w:tc>
          <w:tcPr>
            <w:tcW w:w="1095" w:type="dxa"/>
            <w:vMerge w:val="continue"/>
            <w:noWrap w:val="0"/>
            <w:vAlign w:val="center"/>
          </w:tcPr>
          <w:p w14:paraId="44992A40">
            <w:pPr>
              <w:spacing w:line="300" w:lineRule="exact"/>
              <w:jc w:val="center"/>
              <w:rPr>
                <w:rFonts w:hint="default" w:ascii="宋体" w:hAnsi="宋体" w:eastAsia="宋体" w:cs="Arial"/>
                <w:color w:val="auto"/>
                <w:sz w:val="21"/>
                <w:szCs w:val="21"/>
                <w:highlight w:val="none"/>
                <w:lang w:val="en-US" w:eastAsia="zh-CN"/>
              </w:rPr>
            </w:pPr>
          </w:p>
        </w:tc>
        <w:tc>
          <w:tcPr>
            <w:tcW w:w="2262" w:type="dxa"/>
            <w:vMerge w:val="continue"/>
            <w:noWrap w:val="0"/>
            <w:vAlign w:val="center"/>
          </w:tcPr>
          <w:p w14:paraId="3A22916F">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66BD2ED5">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8吨</w:t>
            </w:r>
          </w:p>
        </w:tc>
        <w:tc>
          <w:tcPr>
            <w:tcW w:w="1373" w:type="dxa"/>
            <w:noWrap w:val="0"/>
            <w:vAlign w:val="center"/>
          </w:tcPr>
          <w:p w14:paraId="6B3B372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28" w:type="dxa"/>
            <w:vMerge w:val="continue"/>
            <w:noWrap w:val="0"/>
            <w:vAlign w:val="center"/>
          </w:tcPr>
          <w:p w14:paraId="4AD42737">
            <w:pPr>
              <w:spacing w:line="300" w:lineRule="exact"/>
              <w:jc w:val="center"/>
              <w:rPr>
                <w:rFonts w:hint="eastAsia" w:ascii="宋体" w:hAnsi="宋体" w:eastAsia="宋体" w:cs="Arial"/>
                <w:color w:val="auto"/>
                <w:sz w:val="21"/>
                <w:szCs w:val="21"/>
                <w:highlight w:val="none"/>
              </w:rPr>
            </w:pPr>
          </w:p>
        </w:tc>
      </w:tr>
      <w:tr w14:paraId="6457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53DD519B">
            <w:pPr>
              <w:spacing w:line="300" w:lineRule="exact"/>
              <w:jc w:val="center"/>
              <w:rPr>
                <w:color w:val="auto"/>
                <w:highlight w:val="none"/>
              </w:rPr>
            </w:pPr>
          </w:p>
        </w:tc>
        <w:tc>
          <w:tcPr>
            <w:tcW w:w="1095" w:type="dxa"/>
            <w:vMerge w:val="continue"/>
            <w:noWrap w:val="0"/>
            <w:vAlign w:val="center"/>
          </w:tcPr>
          <w:p w14:paraId="6741E417">
            <w:pPr>
              <w:spacing w:line="300" w:lineRule="exact"/>
              <w:jc w:val="center"/>
              <w:rPr>
                <w:color w:val="auto"/>
                <w:sz w:val="21"/>
                <w:szCs w:val="21"/>
                <w:highlight w:val="none"/>
              </w:rPr>
            </w:pPr>
          </w:p>
        </w:tc>
        <w:tc>
          <w:tcPr>
            <w:tcW w:w="2262" w:type="dxa"/>
            <w:vMerge w:val="continue"/>
            <w:noWrap w:val="0"/>
            <w:vAlign w:val="center"/>
          </w:tcPr>
          <w:p w14:paraId="4621C32A">
            <w:pPr>
              <w:spacing w:line="300" w:lineRule="exact"/>
              <w:jc w:val="center"/>
              <w:rPr>
                <w:color w:val="auto"/>
                <w:sz w:val="21"/>
                <w:szCs w:val="21"/>
                <w:highlight w:val="none"/>
              </w:rPr>
            </w:pPr>
          </w:p>
        </w:tc>
        <w:tc>
          <w:tcPr>
            <w:tcW w:w="1627" w:type="dxa"/>
            <w:noWrap w:val="0"/>
            <w:vAlign w:val="center"/>
          </w:tcPr>
          <w:p w14:paraId="39AF00EC">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12吨</w:t>
            </w:r>
          </w:p>
        </w:tc>
        <w:tc>
          <w:tcPr>
            <w:tcW w:w="1373" w:type="dxa"/>
            <w:noWrap w:val="0"/>
            <w:vAlign w:val="center"/>
          </w:tcPr>
          <w:p w14:paraId="068CAEB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1800</w:t>
            </w:r>
          </w:p>
        </w:tc>
        <w:tc>
          <w:tcPr>
            <w:tcW w:w="1728" w:type="dxa"/>
            <w:vMerge w:val="continue"/>
            <w:noWrap w:val="0"/>
            <w:vAlign w:val="center"/>
          </w:tcPr>
          <w:p w14:paraId="52F2E6B3">
            <w:pPr>
              <w:spacing w:line="300" w:lineRule="exact"/>
              <w:jc w:val="center"/>
              <w:rPr>
                <w:rFonts w:hint="default" w:ascii="宋体" w:hAnsi="宋体" w:eastAsia="宋体" w:cs="Arial"/>
                <w:color w:val="auto"/>
                <w:sz w:val="21"/>
                <w:szCs w:val="21"/>
                <w:highlight w:val="none"/>
                <w:lang w:val="en-US" w:eastAsia="zh-CN"/>
              </w:rPr>
            </w:pPr>
          </w:p>
        </w:tc>
      </w:tr>
      <w:tr w14:paraId="0D8E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1C21994D">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十一</w:t>
            </w:r>
          </w:p>
        </w:tc>
        <w:tc>
          <w:tcPr>
            <w:tcW w:w="1095" w:type="dxa"/>
            <w:vMerge w:val="restart"/>
            <w:noWrap w:val="0"/>
            <w:vAlign w:val="center"/>
          </w:tcPr>
          <w:p w14:paraId="7CD8E5E8">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叉车</w:t>
            </w:r>
          </w:p>
        </w:tc>
        <w:tc>
          <w:tcPr>
            <w:tcW w:w="2262" w:type="dxa"/>
            <w:vMerge w:val="restart"/>
            <w:noWrap w:val="0"/>
            <w:vAlign w:val="center"/>
          </w:tcPr>
          <w:p w14:paraId="02D651B9">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合力、杭叉、柳工、徐工或相当于</w:t>
            </w:r>
          </w:p>
        </w:tc>
        <w:tc>
          <w:tcPr>
            <w:tcW w:w="1627" w:type="dxa"/>
            <w:noWrap w:val="0"/>
            <w:vAlign w:val="center"/>
          </w:tcPr>
          <w:p w14:paraId="6A2CC14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2-3吨</w:t>
            </w:r>
          </w:p>
        </w:tc>
        <w:tc>
          <w:tcPr>
            <w:tcW w:w="1373" w:type="dxa"/>
            <w:noWrap w:val="0"/>
            <w:vAlign w:val="center"/>
          </w:tcPr>
          <w:p w14:paraId="155D3FD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1110</w:t>
            </w:r>
          </w:p>
        </w:tc>
        <w:tc>
          <w:tcPr>
            <w:tcW w:w="1728" w:type="dxa"/>
            <w:vMerge w:val="restart"/>
            <w:noWrap w:val="0"/>
            <w:vAlign w:val="center"/>
          </w:tcPr>
          <w:p w14:paraId="04248268">
            <w:pPr>
              <w:spacing w:line="300" w:lineRule="exact"/>
              <w:jc w:val="center"/>
              <w:rPr>
                <w:rFonts w:hint="eastAsia" w:ascii="宋体" w:hAnsi="宋体" w:eastAsia="宋体" w:cs="Arial"/>
                <w:color w:val="auto"/>
                <w:sz w:val="21"/>
                <w:szCs w:val="21"/>
                <w:highlight w:val="none"/>
              </w:rPr>
            </w:pPr>
          </w:p>
        </w:tc>
      </w:tr>
      <w:tr w14:paraId="42BD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F4E8606">
            <w:pPr>
              <w:spacing w:line="300" w:lineRule="exact"/>
              <w:jc w:val="center"/>
              <w:rPr>
                <w:color w:val="auto"/>
                <w:highlight w:val="none"/>
              </w:rPr>
            </w:pPr>
          </w:p>
        </w:tc>
        <w:tc>
          <w:tcPr>
            <w:tcW w:w="1095" w:type="dxa"/>
            <w:vMerge w:val="continue"/>
            <w:noWrap w:val="0"/>
            <w:vAlign w:val="center"/>
          </w:tcPr>
          <w:p w14:paraId="0A2B4DE4">
            <w:pPr>
              <w:spacing w:line="300" w:lineRule="exact"/>
              <w:jc w:val="center"/>
              <w:rPr>
                <w:color w:val="auto"/>
                <w:sz w:val="21"/>
                <w:szCs w:val="21"/>
                <w:highlight w:val="none"/>
              </w:rPr>
            </w:pPr>
          </w:p>
        </w:tc>
        <w:tc>
          <w:tcPr>
            <w:tcW w:w="2262" w:type="dxa"/>
            <w:vMerge w:val="continue"/>
            <w:noWrap w:val="0"/>
            <w:vAlign w:val="center"/>
          </w:tcPr>
          <w:p w14:paraId="1E5A58EA">
            <w:pPr>
              <w:spacing w:line="300" w:lineRule="exact"/>
              <w:jc w:val="center"/>
              <w:rPr>
                <w:color w:val="auto"/>
                <w:sz w:val="21"/>
                <w:szCs w:val="21"/>
                <w:highlight w:val="none"/>
              </w:rPr>
            </w:pPr>
          </w:p>
        </w:tc>
        <w:tc>
          <w:tcPr>
            <w:tcW w:w="1627" w:type="dxa"/>
            <w:noWrap w:val="0"/>
            <w:vAlign w:val="center"/>
          </w:tcPr>
          <w:p w14:paraId="0443281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5吨</w:t>
            </w:r>
          </w:p>
        </w:tc>
        <w:tc>
          <w:tcPr>
            <w:tcW w:w="1373" w:type="dxa"/>
            <w:noWrap w:val="0"/>
            <w:vAlign w:val="center"/>
          </w:tcPr>
          <w:p w14:paraId="67B41A6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1990</w:t>
            </w:r>
          </w:p>
        </w:tc>
        <w:tc>
          <w:tcPr>
            <w:tcW w:w="1728" w:type="dxa"/>
            <w:vMerge w:val="continue"/>
            <w:noWrap w:val="0"/>
            <w:vAlign w:val="center"/>
          </w:tcPr>
          <w:p w14:paraId="537DFBAA">
            <w:pPr>
              <w:spacing w:line="300" w:lineRule="exact"/>
              <w:jc w:val="center"/>
              <w:rPr>
                <w:rFonts w:hint="default" w:ascii="宋体" w:hAnsi="宋体" w:eastAsia="宋体" w:cs="Arial"/>
                <w:color w:val="auto"/>
                <w:sz w:val="21"/>
                <w:szCs w:val="21"/>
                <w:highlight w:val="none"/>
                <w:lang w:val="en-US" w:eastAsia="zh-CN"/>
              </w:rPr>
            </w:pPr>
          </w:p>
        </w:tc>
      </w:tr>
      <w:tr w14:paraId="16EB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066B852B">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十二</w:t>
            </w:r>
          </w:p>
        </w:tc>
        <w:tc>
          <w:tcPr>
            <w:tcW w:w="1095" w:type="dxa"/>
            <w:vMerge w:val="restart"/>
            <w:noWrap w:val="0"/>
            <w:vAlign w:val="center"/>
          </w:tcPr>
          <w:p w14:paraId="3B277F34">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压路机</w:t>
            </w:r>
          </w:p>
        </w:tc>
        <w:tc>
          <w:tcPr>
            <w:tcW w:w="2262" w:type="dxa"/>
            <w:vMerge w:val="restart"/>
            <w:noWrap w:val="0"/>
            <w:vAlign w:val="center"/>
          </w:tcPr>
          <w:p w14:paraId="69CF993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厦工、徐工、柳工、龙工或相当于</w:t>
            </w:r>
          </w:p>
        </w:tc>
        <w:tc>
          <w:tcPr>
            <w:tcW w:w="1627" w:type="dxa"/>
            <w:noWrap w:val="0"/>
            <w:vAlign w:val="center"/>
          </w:tcPr>
          <w:p w14:paraId="35244B0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15吨振动式</w:t>
            </w:r>
          </w:p>
        </w:tc>
        <w:tc>
          <w:tcPr>
            <w:tcW w:w="1373" w:type="dxa"/>
            <w:noWrap w:val="0"/>
            <w:vAlign w:val="center"/>
          </w:tcPr>
          <w:p w14:paraId="7CBC8B8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2350</w:t>
            </w:r>
          </w:p>
        </w:tc>
        <w:tc>
          <w:tcPr>
            <w:tcW w:w="1728" w:type="dxa"/>
            <w:vMerge w:val="restart"/>
            <w:noWrap w:val="0"/>
            <w:vAlign w:val="center"/>
          </w:tcPr>
          <w:p w14:paraId="381D688F">
            <w:pPr>
              <w:spacing w:line="300" w:lineRule="exact"/>
              <w:jc w:val="center"/>
              <w:rPr>
                <w:rFonts w:hint="default" w:ascii="宋体" w:hAnsi="宋体" w:eastAsia="宋体" w:cs="Arial"/>
                <w:color w:val="auto"/>
                <w:sz w:val="21"/>
                <w:szCs w:val="21"/>
                <w:highlight w:val="none"/>
                <w:lang w:val="en-US" w:eastAsia="zh-CN"/>
              </w:rPr>
            </w:pPr>
          </w:p>
        </w:tc>
      </w:tr>
      <w:tr w14:paraId="4B01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534E597D">
            <w:pPr>
              <w:spacing w:line="300" w:lineRule="exact"/>
              <w:jc w:val="center"/>
              <w:rPr>
                <w:rFonts w:hint="default" w:ascii="宋体" w:hAnsi="宋体" w:eastAsia="宋体" w:cs="Arial"/>
                <w:color w:val="auto"/>
                <w:sz w:val="22"/>
                <w:highlight w:val="none"/>
                <w:lang w:val="en-US" w:eastAsia="zh-CN"/>
              </w:rPr>
            </w:pPr>
          </w:p>
        </w:tc>
        <w:tc>
          <w:tcPr>
            <w:tcW w:w="1095" w:type="dxa"/>
            <w:vMerge w:val="continue"/>
            <w:noWrap w:val="0"/>
            <w:vAlign w:val="center"/>
          </w:tcPr>
          <w:p w14:paraId="2A3A3B53">
            <w:pPr>
              <w:spacing w:line="300" w:lineRule="exact"/>
              <w:jc w:val="center"/>
              <w:rPr>
                <w:rFonts w:hint="default" w:ascii="宋体" w:hAnsi="宋体" w:eastAsia="宋体" w:cs="Arial"/>
                <w:color w:val="auto"/>
                <w:sz w:val="21"/>
                <w:szCs w:val="21"/>
                <w:highlight w:val="none"/>
                <w:lang w:val="en-US" w:eastAsia="zh-CN"/>
              </w:rPr>
            </w:pPr>
          </w:p>
        </w:tc>
        <w:tc>
          <w:tcPr>
            <w:tcW w:w="2262" w:type="dxa"/>
            <w:vMerge w:val="continue"/>
            <w:noWrap w:val="0"/>
            <w:vAlign w:val="center"/>
          </w:tcPr>
          <w:p w14:paraId="72DC0F9D">
            <w:pPr>
              <w:spacing w:line="300" w:lineRule="exact"/>
              <w:jc w:val="center"/>
              <w:rPr>
                <w:rFonts w:hint="default" w:ascii="宋体" w:hAnsi="宋体" w:eastAsia="宋体" w:cs="Arial"/>
                <w:color w:val="auto"/>
                <w:sz w:val="21"/>
                <w:szCs w:val="21"/>
                <w:highlight w:val="none"/>
                <w:lang w:val="en-US" w:eastAsia="zh-CN"/>
              </w:rPr>
            </w:pPr>
          </w:p>
        </w:tc>
        <w:tc>
          <w:tcPr>
            <w:tcW w:w="1627" w:type="dxa"/>
            <w:noWrap w:val="0"/>
            <w:vAlign w:val="center"/>
          </w:tcPr>
          <w:p w14:paraId="4F3CD079">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20吨振动式</w:t>
            </w:r>
          </w:p>
        </w:tc>
        <w:tc>
          <w:tcPr>
            <w:tcW w:w="1373" w:type="dxa"/>
            <w:noWrap w:val="0"/>
            <w:vAlign w:val="center"/>
          </w:tcPr>
          <w:p w14:paraId="4F3DF93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2400</w:t>
            </w:r>
          </w:p>
        </w:tc>
        <w:tc>
          <w:tcPr>
            <w:tcW w:w="1728" w:type="dxa"/>
            <w:vMerge w:val="continue"/>
            <w:noWrap w:val="0"/>
            <w:vAlign w:val="center"/>
          </w:tcPr>
          <w:p w14:paraId="26E9EB4B">
            <w:pPr>
              <w:spacing w:line="300" w:lineRule="exact"/>
              <w:jc w:val="center"/>
              <w:rPr>
                <w:rFonts w:hint="default" w:ascii="宋体" w:hAnsi="宋体" w:eastAsia="宋体" w:cs="Arial"/>
                <w:color w:val="auto"/>
                <w:sz w:val="21"/>
                <w:szCs w:val="21"/>
                <w:highlight w:val="none"/>
                <w:lang w:val="en-US" w:eastAsia="zh-CN"/>
              </w:rPr>
            </w:pPr>
          </w:p>
        </w:tc>
      </w:tr>
      <w:tr w14:paraId="1844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55C297A">
            <w:pPr>
              <w:spacing w:line="300" w:lineRule="exact"/>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14:paraId="60822268">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0E57BDA9">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33638F22">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26吨振动式</w:t>
            </w:r>
          </w:p>
        </w:tc>
        <w:tc>
          <w:tcPr>
            <w:tcW w:w="1373" w:type="dxa"/>
            <w:noWrap w:val="0"/>
            <w:vAlign w:val="center"/>
          </w:tcPr>
          <w:p w14:paraId="6E42A9A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2710</w:t>
            </w:r>
          </w:p>
        </w:tc>
        <w:tc>
          <w:tcPr>
            <w:tcW w:w="1728" w:type="dxa"/>
            <w:vMerge w:val="continue"/>
            <w:noWrap w:val="0"/>
            <w:vAlign w:val="center"/>
          </w:tcPr>
          <w:p w14:paraId="039C8F25">
            <w:pPr>
              <w:spacing w:line="300" w:lineRule="exact"/>
              <w:jc w:val="center"/>
              <w:rPr>
                <w:rFonts w:hint="eastAsia" w:ascii="宋体" w:hAnsi="宋体" w:eastAsia="宋体" w:cs="Arial"/>
                <w:color w:val="auto"/>
                <w:sz w:val="21"/>
                <w:szCs w:val="21"/>
                <w:highlight w:val="none"/>
                <w:lang w:val="en-US" w:eastAsia="zh-CN"/>
              </w:rPr>
            </w:pPr>
          </w:p>
        </w:tc>
      </w:tr>
      <w:tr w14:paraId="1FD0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562E2FD9">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十三</w:t>
            </w:r>
          </w:p>
          <w:p w14:paraId="3E9EEC1E">
            <w:pPr>
              <w:spacing w:line="300" w:lineRule="exact"/>
              <w:jc w:val="center"/>
              <w:rPr>
                <w:rFonts w:hint="eastAsia" w:ascii="宋体" w:hAnsi="宋体" w:eastAsia="宋体" w:cs="Arial"/>
                <w:color w:val="auto"/>
                <w:sz w:val="22"/>
                <w:highlight w:val="none"/>
                <w:lang w:val="en-US" w:eastAsia="zh-CN"/>
              </w:rPr>
            </w:pPr>
          </w:p>
        </w:tc>
        <w:tc>
          <w:tcPr>
            <w:tcW w:w="1095" w:type="dxa"/>
            <w:vMerge w:val="restart"/>
            <w:noWrap w:val="0"/>
            <w:vAlign w:val="center"/>
          </w:tcPr>
          <w:p w14:paraId="022ED6A4">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农用无人机</w:t>
            </w:r>
          </w:p>
        </w:tc>
        <w:tc>
          <w:tcPr>
            <w:tcW w:w="2262" w:type="dxa"/>
            <w:vMerge w:val="restart"/>
            <w:noWrap w:val="0"/>
            <w:vAlign w:val="center"/>
          </w:tcPr>
          <w:p w14:paraId="461C79B8">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大疆、极飞、启飞或相当于</w:t>
            </w:r>
          </w:p>
        </w:tc>
        <w:tc>
          <w:tcPr>
            <w:tcW w:w="1627" w:type="dxa"/>
            <w:noWrap w:val="0"/>
            <w:vAlign w:val="center"/>
          </w:tcPr>
          <w:p w14:paraId="38915EDB">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1C25FF1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10元/亩/次</w:t>
            </w:r>
          </w:p>
        </w:tc>
        <w:tc>
          <w:tcPr>
            <w:tcW w:w="1728" w:type="dxa"/>
            <w:noWrap w:val="0"/>
            <w:vAlign w:val="center"/>
          </w:tcPr>
          <w:p w14:paraId="6AFEB0CA">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洒药</w:t>
            </w:r>
          </w:p>
        </w:tc>
      </w:tr>
      <w:tr w14:paraId="5A57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16877F75">
            <w:pPr>
              <w:spacing w:line="300" w:lineRule="exact"/>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14:paraId="131BBAEE">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01B08B83">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224CB4C8">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6EF774C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0.5元</w:t>
            </w:r>
            <w:r>
              <w:rPr>
                <w:rFonts w:hint="eastAsia" w:ascii="宋体" w:hAnsi="宋体" w:eastAsia="宋体" w:cs="Arial"/>
                <w:color w:val="auto"/>
                <w:sz w:val="21"/>
                <w:szCs w:val="21"/>
                <w:highlight w:val="none"/>
                <w:lang w:val="en-US" w:eastAsia="zh-CN"/>
              </w:rPr>
              <w:t>/</w:t>
            </w:r>
            <w:r>
              <w:rPr>
                <w:rFonts w:hint="eastAsia" w:ascii="宋体" w:hAnsi="宋体" w:cs="Arial"/>
                <w:color w:val="auto"/>
                <w:sz w:val="21"/>
                <w:szCs w:val="21"/>
                <w:highlight w:val="none"/>
                <w:lang w:val="en-US" w:eastAsia="zh-CN"/>
              </w:rPr>
              <w:t>斤</w:t>
            </w:r>
          </w:p>
        </w:tc>
        <w:tc>
          <w:tcPr>
            <w:tcW w:w="1728" w:type="dxa"/>
            <w:noWrap w:val="0"/>
            <w:vAlign w:val="center"/>
          </w:tcPr>
          <w:p w14:paraId="4FBAB0EC">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播种、施肥</w:t>
            </w:r>
          </w:p>
        </w:tc>
      </w:tr>
      <w:tr w14:paraId="011F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4" w:type="dxa"/>
            <w:gridSpan w:val="3"/>
            <w:noWrap w:val="0"/>
            <w:vAlign w:val="center"/>
          </w:tcPr>
          <w:p w14:paraId="33F682F1">
            <w:pPr>
              <w:spacing w:line="300" w:lineRule="exact"/>
              <w:jc w:val="center"/>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lang w:eastAsia="zh-CN"/>
              </w:rPr>
              <w:t>结算率</w:t>
            </w:r>
          </w:p>
        </w:tc>
        <w:tc>
          <w:tcPr>
            <w:tcW w:w="4728" w:type="dxa"/>
            <w:gridSpan w:val="3"/>
            <w:noWrap w:val="0"/>
            <w:vAlign w:val="center"/>
          </w:tcPr>
          <w:p w14:paraId="7D40DC01">
            <w:pPr>
              <w:spacing w:line="300" w:lineRule="exact"/>
              <w:jc w:val="center"/>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u w:val="single"/>
              </w:rPr>
              <w:t xml:space="preserve">       </w:t>
            </w:r>
            <w:r>
              <w:rPr>
                <w:rFonts w:hint="eastAsia" w:ascii="宋体" w:hAnsi="宋体" w:eastAsia="宋体" w:cs="Times New Roman"/>
                <w:color w:val="auto"/>
                <w:sz w:val="22"/>
                <w:highlight w:val="none"/>
              </w:rPr>
              <w:t>%（百分号前保留二位小数，</w:t>
            </w:r>
            <w:r>
              <w:rPr>
                <w:rFonts w:hint="eastAsia" w:ascii="宋体" w:hAnsi="宋体" w:eastAsia="宋体" w:cs="Times New Roman"/>
                <w:color w:val="auto"/>
                <w:sz w:val="22"/>
                <w:highlight w:val="none"/>
                <w:lang w:eastAsia="zh-CN"/>
              </w:rPr>
              <w:t>结算率</w:t>
            </w:r>
            <w:r>
              <w:rPr>
                <w:rFonts w:hint="eastAsia" w:ascii="宋体" w:hAnsi="宋体" w:eastAsia="宋体" w:cs="Times New Roman"/>
                <w:color w:val="auto"/>
                <w:sz w:val="22"/>
                <w:highlight w:val="none"/>
              </w:rPr>
              <w:t>不得高于100%，否则作无效标处理）</w:t>
            </w:r>
          </w:p>
        </w:tc>
      </w:tr>
    </w:tbl>
    <w:p w14:paraId="2BF634BC">
      <w:pPr>
        <w:spacing w:line="360" w:lineRule="auto"/>
        <w:ind w:right="-69" w:rightChars="-33"/>
        <w:jc w:val="left"/>
        <w:rPr>
          <w:rFonts w:hint="eastAsia" w:ascii="宋体" w:hAnsi="宋体" w:eastAsia="宋体" w:cs="Times New Roman"/>
          <w:sz w:val="22"/>
          <w:szCs w:val="22"/>
          <w:highlight w:val="none"/>
        </w:rPr>
      </w:pPr>
      <w:bookmarkStart w:id="56" w:name="_Toc1047"/>
      <w:bookmarkStart w:id="57" w:name="_Toc4173"/>
      <w:r>
        <w:rPr>
          <w:rFonts w:hint="eastAsia" w:ascii="宋体" w:hAnsi="宋体" w:eastAsia="宋体"/>
          <w:sz w:val="22"/>
          <w:szCs w:val="22"/>
          <w:highlight w:val="none"/>
        </w:rPr>
        <w:t>备注：</w:t>
      </w:r>
      <w:r>
        <w:rPr>
          <w:rFonts w:hint="eastAsia" w:ascii="宋体" w:hAnsi="宋体" w:eastAsia="宋体" w:cs="Times New Roman"/>
          <w:sz w:val="22"/>
          <w:szCs w:val="22"/>
          <w:highlight w:val="none"/>
        </w:rPr>
        <w:t xml:space="preserve"> （1）报价方式：采用完</w:t>
      </w:r>
      <w:r>
        <w:rPr>
          <w:rFonts w:hint="eastAsia" w:ascii="宋体" w:hAnsi="宋体" w:eastAsia="宋体" w:cs="Times New Roman"/>
          <w:sz w:val="22"/>
          <w:szCs w:val="22"/>
          <w:highlight w:val="none"/>
          <w:lang w:eastAsia="zh-CN"/>
        </w:rPr>
        <w:t>全费用综合单价报价</w:t>
      </w:r>
      <w:r>
        <w:rPr>
          <w:rFonts w:hint="eastAsia" w:ascii="宋体" w:hAnsi="宋体" w:eastAsia="宋体" w:cs="Times New Roman"/>
          <w:sz w:val="22"/>
          <w:szCs w:val="22"/>
          <w:highlight w:val="none"/>
        </w:rPr>
        <w:t>，</w:t>
      </w:r>
      <w:bookmarkEnd w:id="56"/>
      <w:bookmarkEnd w:id="57"/>
      <w:r>
        <w:rPr>
          <w:rFonts w:hint="eastAsia" w:ascii="宋体" w:hAnsi="宋体" w:eastAsia="宋体" w:cs="Times New Roman"/>
          <w:sz w:val="22"/>
          <w:szCs w:val="22"/>
          <w:highlight w:val="none"/>
          <w:lang w:eastAsia="zh-CN"/>
        </w:rPr>
        <w:t>其完全费用综合单价</w:t>
      </w:r>
      <w:r>
        <w:rPr>
          <w:rFonts w:hint="eastAsia" w:ascii="宋体" w:hAnsi="宋体" w:eastAsia="宋体" w:cs="Times New Roman"/>
          <w:sz w:val="22"/>
          <w:szCs w:val="22"/>
          <w:highlight w:val="none"/>
        </w:rPr>
        <w:t>包括各种机械设备人员费用、劳保用品、管理人员费用、人员意外保险、运输、进退场费</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在招标文件</w:t>
      </w:r>
      <w:r>
        <w:rPr>
          <w:rFonts w:hint="eastAsia" w:ascii="宋体" w:hAnsi="宋体" w:cs="Times New Roman"/>
          <w:sz w:val="22"/>
          <w:szCs w:val="22"/>
          <w:highlight w:val="none"/>
          <w:lang w:val="en-US" w:eastAsia="zh-CN"/>
        </w:rPr>
        <w:t>第三章招标需求</w:t>
      </w:r>
      <w:r>
        <w:rPr>
          <w:rFonts w:hint="eastAsia" w:ascii="宋体" w:hAnsi="宋体" w:eastAsia="宋体" w:cs="Times New Roman"/>
          <w:sz w:val="22"/>
          <w:szCs w:val="22"/>
          <w:highlight w:val="none"/>
          <w:lang w:val="en-US" w:eastAsia="zh-CN"/>
        </w:rPr>
        <w:t>备注另有约定的按照约定执行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、设备维修费、设备运行油耗费、劳务、管理、利润、规费、税金以及其他所有可能包含的风险、责任等各项所有费用。</w:t>
      </w:r>
    </w:p>
    <w:p w14:paraId="62123B32">
      <w:pPr>
        <w:spacing w:line="360" w:lineRule="auto"/>
        <w:ind w:right="-409" w:rightChars="-195" w:firstLine="110" w:firstLineChars="50"/>
        <w:rPr>
          <w:rFonts w:hint="eastAsia" w:ascii="宋体" w:hAnsi="宋体" w:eastAsia="宋体"/>
          <w:sz w:val="22"/>
          <w:szCs w:val="22"/>
          <w:highlight w:val="none"/>
        </w:rPr>
      </w:pPr>
      <w:r>
        <w:rPr>
          <w:rFonts w:hint="eastAsia" w:ascii="宋体" w:hAnsi="宋体" w:eastAsia="宋体"/>
          <w:sz w:val="22"/>
          <w:szCs w:val="22"/>
          <w:highlight w:val="none"/>
        </w:rPr>
        <w:t>（2）各投标人需填写</w:t>
      </w:r>
      <w:r>
        <w:rPr>
          <w:rFonts w:hint="eastAsia" w:ascii="宋体" w:hAnsi="宋体" w:eastAsia="宋体"/>
          <w:sz w:val="22"/>
          <w:szCs w:val="22"/>
          <w:highlight w:val="none"/>
          <w:lang w:eastAsia="zh-CN"/>
        </w:rPr>
        <w:t>结算率</w:t>
      </w:r>
      <w:r>
        <w:rPr>
          <w:rFonts w:hint="eastAsia" w:ascii="宋体" w:hAnsi="宋体" w:eastAsia="宋体"/>
          <w:sz w:val="22"/>
          <w:szCs w:val="22"/>
          <w:highlight w:val="none"/>
        </w:rPr>
        <w:t>，</w:t>
      </w:r>
      <w:r>
        <w:rPr>
          <w:rFonts w:hint="eastAsia" w:ascii="宋体" w:hAnsi="宋体" w:eastAsia="宋体"/>
          <w:b/>
          <w:bCs/>
          <w:i w:val="0"/>
          <w:iCs w:val="0"/>
          <w:sz w:val="22"/>
          <w:szCs w:val="22"/>
          <w:highlight w:val="none"/>
        </w:rPr>
        <w:t>结算租赁费=按上表约定的各种机械设备台班租赁单价*经甲方核定的各种机械设备租赁实际租赁台班量*</w:t>
      </w:r>
      <w:r>
        <w:rPr>
          <w:rFonts w:hint="eastAsia" w:ascii="宋体" w:hAnsi="宋体" w:eastAsia="宋体"/>
          <w:b/>
          <w:bCs/>
          <w:i w:val="0"/>
          <w:iCs w:val="0"/>
          <w:sz w:val="22"/>
          <w:szCs w:val="22"/>
          <w:highlight w:val="none"/>
          <w:lang w:eastAsia="zh-CN"/>
        </w:rPr>
        <w:t>结算率</w:t>
      </w:r>
      <w:r>
        <w:rPr>
          <w:rFonts w:hint="eastAsia" w:ascii="宋体" w:hAnsi="宋体" w:eastAsia="宋体"/>
          <w:b/>
          <w:bCs/>
          <w:i w:val="0"/>
          <w:iCs w:val="0"/>
          <w:sz w:val="22"/>
          <w:szCs w:val="22"/>
          <w:highlight w:val="none"/>
        </w:rPr>
        <w:t>。</w:t>
      </w:r>
    </w:p>
    <w:p w14:paraId="75429F30">
      <w:pPr>
        <w:spacing w:line="360" w:lineRule="auto"/>
        <w:ind w:right="-409" w:rightChars="-195" w:firstLine="110" w:firstLineChars="50"/>
        <w:rPr>
          <w:rFonts w:hint="eastAsia" w:ascii="宋体" w:hAnsi="宋体" w:eastAsia="宋体"/>
          <w:sz w:val="22"/>
          <w:szCs w:val="22"/>
          <w:highlight w:val="none"/>
        </w:rPr>
      </w:pPr>
      <w:r>
        <w:rPr>
          <w:rFonts w:hint="eastAsia" w:ascii="宋体" w:hAnsi="宋体" w:eastAsia="宋体"/>
          <w:sz w:val="22"/>
          <w:szCs w:val="22"/>
          <w:highlight w:val="none"/>
        </w:rPr>
        <w:t>（3）上述各类机械设备品牌只需具有其中一个品牌即可，每个台班按8小时计算，特殊情况的台班进出场费、台班起步费按上表备注执行，其中挖机类单个工程项目工作量超过两台班的进出场费不计,不足两个台班的进出场费计一次。吊车类每天工作两小时内按不足两小时方式计算。</w:t>
      </w:r>
    </w:p>
    <w:p w14:paraId="1942614A">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法定代表人（签字或电子盖章）：</w:t>
      </w:r>
    </w:p>
    <w:p w14:paraId="454152BC">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投标人（盖单位电子公章）：</w:t>
      </w:r>
    </w:p>
    <w:p w14:paraId="0A713D62">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    年   月   日</w:t>
      </w:r>
    </w:p>
    <w:p w14:paraId="2BB400FA">
      <w:pPr>
        <w:pStyle w:val="18"/>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羈摷.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3EFC">
    <w:pPr>
      <w:pStyle w:val="6"/>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19872A">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5919872A">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EA7B">
    <w:pPr>
      <w:pStyle w:val="6"/>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14:paraId="03AC741E">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70E5">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134A33">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63134A33">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AA46">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519E51">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2D519E51">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5353">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3FCD">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32CF3"/>
    <w:multiLevelType w:val="singleLevel"/>
    <w:tmpl w:val="F2832CF3"/>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bullet"/>
      <w:pStyle w:val="7"/>
      <w:lvlText w:val=""/>
      <w:lvlJc w:val="left"/>
      <w:pPr>
        <w:tabs>
          <w:tab w:val="left" w:pos="360"/>
        </w:tabs>
        <w:ind w:left="360" w:hanging="360"/>
      </w:pPr>
      <w:rPr>
        <w:rFonts w:hint="default" w:ascii="Wingdings" w:hAnsi="Wingdings"/>
      </w:rPr>
    </w:lvl>
  </w:abstractNum>
  <w:abstractNum w:abstractNumId="4">
    <w:nsid w:val="00000005"/>
    <w:multiLevelType w:val="singleLevel"/>
    <w:tmpl w:val="00000005"/>
    <w:lvl w:ilvl="0" w:tentative="0">
      <w:start w:val="1"/>
      <w:numFmt w:val="decimal"/>
      <w:pStyle w:val="6"/>
      <w:lvlText w:val="%1."/>
      <w:lvlJc w:val="left"/>
      <w:pPr>
        <w:tabs>
          <w:tab w:val="left" w:pos="360"/>
        </w:tabs>
        <w:ind w:left="360" w:hanging="360"/>
      </w:pPr>
    </w:lvl>
  </w:abstractNum>
  <w:abstractNum w:abstractNumId="5">
    <w:nsid w:val="00000006"/>
    <w:multiLevelType w:val="singleLevel"/>
    <w:tmpl w:val="00000006"/>
    <w:lvl w:ilvl="0" w:tentative="0">
      <w:start w:val="2"/>
      <w:numFmt w:val="chineseCounting"/>
      <w:suff w:val="space"/>
      <w:lvlText w:val="第%1章"/>
      <w:lvlJc w:val="left"/>
      <w:rPr>
        <w:rFonts w:hint="eastAsia"/>
      </w:rPr>
    </w:lvl>
  </w:abstractNum>
  <w:abstractNum w:abstractNumId="6">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9"/>
    <w:multiLevelType w:val="singleLevel"/>
    <w:tmpl w:val="00000009"/>
    <w:lvl w:ilvl="0" w:tentative="0">
      <w:start w:val="1"/>
      <w:numFmt w:val="chineseCounting"/>
      <w:suff w:val="space"/>
      <w:lvlText w:val="第%1章"/>
      <w:lvlJc w:val="left"/>
      <w:rPr>
        <w:rFonts w:hint="eastAsia"/>
      </w:rPr>
    </w:lvl>
  </w:abstractNum>
  <w:abstractNum w:abstractNumId="8">
    <w:nsid w:val="0000000A"/>
    <w:multiLevelType w:val="singleLevel"/>
    <w:tmpl w:val="0000000A"/>
    <w:lvl w:ilvl="0" w:tentative="0">
      <w:start w:val="1"/>
      <w:numFmt w:val="chineseCounting"/>
      <w:suff w:val="nothing"/>
      <w:lvlText w:val="%1、"/>
      <w:lvlJc w:val="left"/>
      <w:rPr>
        <w:rFonts w:hint="eastAsia"/>
      </w:rPr>
    </w:lvl>
  </w:abstractNum>
  <w:abstractNum w:abstractNumId="9">
    <w:nsid w:val="58481E77"/>
    <w:multiLevelType w:val="singleLevel"/>
    <w:tmpl w:val="58481E77"/>
    <w:lvl w:ilvl="0" w:tentative="0">
      <w:start w:val="2"/>
      <w:numFmt w:val="chineseCounting"/>
      <w:suff w:val="nothing"/>
      <w:lvlText w:val="第%1条"/>
      <w:lvlJc w:val="left"/>
    </w:lvl>
  </w:abstractNum>
  <w:num w:numId="1">
    <w:abstractNumId w:val="6"/>
  </w:num>
  <w:num w:numId="2">
    <w:abstractNumId w:val="4"/>
  </w:num>
  <w:num w:numId="3">
    <w:abstractNumId w:val="3"/>
  </w:num>
  <w:num w:numId="4">
    <w:abstractNumId w:val="1"/>
  </w:num>
  <w:num w:numId="5">
    <w:abstractNumId w:val="7"/>
  </w:num>
  <w:num w:numId="6">
    <w:abstractNumId w:val="5"/>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Mzc3NGQ1ZGNjZGI1M2Q5ODNhNmZlYzVmYTIwMDEifQ=="/>
  </w:docVars>
  <w:rsids>
    <w:rsidRoot w:val="00000000"/>
    <w:rsid w:val="032338E1"/>
    <w:rsid w:val="05BA2954"/>
    <w:rsid w:val="05E1390B"/>
    <w:rsid w:val="06EA7D25"/>
    <w:rsid w:val="0A2D57C4"/>
    <w:rsid w:val="0BCD4D32"/>
    <w:rsid w:val="0CAE15C5"/>
    <w:rsid w:val="0DCC5CD5"/>
    <w:rsid w:val="0F743728"/>
    <w:rsid w:val="14AF4E03"/>
    <w:rsid w:val="177F6D70"/>
    <w:rsid w:val="18602A8A"/>
    <w:rsid w:val="18EF184A"/>
    <w:rsid w:val="19094ED0"/>
    <w:rsid w:val="1C41122D"/>
    <w:rsid w:val="1D773433"/>
    <w:rsid w:val="1F0307F1"/>
    <w:rsid w:val="22135B75"/>
    <w:rsid w:val="225B49EE"/>
    <w:rsid w:val="227A1914"/>
    <w:rsid w:val="2470118A"/>
    <w:rsid w:val="296B6D7E"/>
    <w:rsid w:val="29721786"/>
    <w:rsid w:val="2C0E7654"/>
    <w:rsid w:val="2C5B58E2"/>
    <w:rsid w:val="2E17616E"/>
    <w:rsid w:val="366C0322"/>
    <w:rsid w:val="399B1010"/>
    <w:rsid w:val="39F865EB"/>
    <w:rsid w:val="3A684EE0"/>
    <w:rsid w:val="3B4E7BA4"/>
    <w:rsid w:val="3B9703AF"/>
    <w:rsid w:val="40061FE5"/>
    <w:rsid w:val="403102E6"/>
    <w:rsid w:val="412D262B"/>
    <w:rsid w:val="41F477D8"/>
    <w:rsid w:val="42694E81"/>
    <w:rsid w:val="433C187A"/>
    <w:rsid w:val="447A5F73"/>
    <w:rsid w:val="44AE0556"/>
    <w:rsid w:val="460C490E"/>
    <w:rsid w:val="49A65F5E"/>
    <w:rsid w:val="49AD38FD"/>
    <w:rsid w:val="49F308E0"/>
    <w:rsid w:val="4AB062A7"/>
    <w:rsid w:val="4CDF25AC"/>
    <w:rsid w:val="4F327D4A"/>
    <w:rsid w:val="4FC43323"/>
    <w:rsid w:val="500C7508"/>
    <w:rsid w:val="50CD4459"/>
    <w:rsid w:val="51246236"/>
    <w:rsid w:val="52120376"/>
    <w:rsid w:val="53990623"/>
    <w:rsid w:val="551848B8"/>
    <w:rsid w:val="56A812A9"/>
    <w:rsid w:val="56B64DD1"/>
    <w:rsid w:val="57856723"/>
    <w:rsid w:val="578E0039"/>
    <w:rsid w:val="57EB04EF"/>
    <w:rsid w:val="5AD14B46"/>
    <w:rsid w:val="5D5F7ED9"/>
    <w:rsid w:val="5D995050"/>
    <w:rsid w:val="654A79CF"/>
    <w:rsid w:val="66D460EA"/>
    <w:rsid w:val="67E26786"/>
    <w:rsid w:val="688561C8"/>
    <w:rsid w:val="6CED3A62"/>
    <w:rsid w:val="6E3E026B"/>
    <w:rsid w:val="70B62A4F"/>
    <w:rsid w:val="71766353"/>
    <w:rsid w:val="73592D1C"/>
    <w:rsid w:val="73A4064D"/>
    <w:rsid w:val="74675EA7"/>
    <w:rsid w:val="753C5F1B"/>
    <w:rsid w:val="76904AE4"/>
    <w:rsid w:val="78A70F68"/>
    <w:rsid w:val="799F7821"/>
    <w:rsid w:val="7A730C2B"/>
    <w:rsid w:val="7A764911"/>
    <w:rsid w:val="7B4E3901"/>
    <w:rsid w:val="7D176327"/>
    <w:rsid w:val="7D833674"/>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2">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qFormat/>
    <w:uiPriority w:val="0"/>
    <w:pPr>
      <w:keepNext/>
      <w:keepLines/>
      <w:tabs>
        <w:tab w:val="left" w:pos="8280"/>
      </w:tabs>
      <w:spacing w:before="260" w:after="260" w:line="416" w:lineRule="auto"/>
      <w:outlineLvl w:val="2"/>
    </w:pPr>
    <w:rPr>
      <w:bCs/>
      <w:szCs w:val="32"/>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List Number"/>
    <w:basedOn w:val="1"/>
    <w:autoRedefine/>
    <w:qFormat/>
    <w:uiPriority w:val="0"/>
    <w:pPr>
      <w:numPr>
        <w:ilvl w:val="0"/>
        <w:numId w:val="2"/>
      </w:numPr>
    </w:pPr>
  </w:style>
  <w:style w:type="paragraph" w:styleId="7">
    <w:name w:val="List Bullet"/>
    <w:basedOn w:val="1"/>
    <w:next w:val="1"/>
    <w:qFormat/>
    <w:uiPriority w:val="0"/>
    <w:pPr>
      <w:numPr>
        <w:ilvl w:val="0"/>
        <w:numId w:val="3"/>
      </w:numPr>
    </w:pPr>
  </w:style>
  <w:style w:type="paragraph" w:styleId="8">
    <w:name w:val="annotation text"/>
    <w:basedOn w:val="1"/>
    <w:link w:val="79"/>
    <w:autoRedefine/>
    <w:qFormat/>
    <w:uiPriority w:val="0"/>
    <w:pPr>
      <w:jc w:val="left"/>
    </w:pPr>
  </w:style>
  <w:style w:type="paragraph" w:styleId="9">
    <w:name w:val="Body Text 3"/>
    <w:basedOn w:val="1"/>
    <w:autoRedefine/>
    <w:qFormat/>
    <w:uiPriority w:val="0"/>
    <w:pPr>
      <w:snapToGrid w:val="0"/>
      <w:spacing w:before="50" w:after="50"/>
    </w:pPr>
    <w:rPr>
      <w:rFonts w:hAnsi="宋体" w:eastAsia="仿宋_GB2312"/>
      <w:b/>
      <w:bCs/>
      <w:sz w:val="24"/>
      <w:szCs w:val="20"/>
    </w:rPr>
  </w:style>
  <w:style w:type="paragraph" w:styleId="10">
    <w:name w:val="Body Text"/>
    <w:basedOn w:val="1"/>
    <w:next w:val="11"/>
    <w:autoRedefine/>
    <w:qFormat/>
    <w:uiPriority w:val="0"/>
    <w:pPr>
      <w:spacing w:line="360" w:lineRule="exact"/>
    </w:pPr>
    <w:rPr>
      <w:sz w:val="24"/>
    </w:rPr>
  </w:style>
  <w:style w:type="paragraph" w:styleId="11">
    <w:name w:val="Body Text First Indent"/>
    <w:basedOn w:val="10"/>
    <w:next w:val="12"/>
    <w:link w:val="81"/>
    <w:autoRedefine/>
    <w:qFormat/>
    <w:uiPriority w:val="0"/>
    <w:pPr>
      <w:ind w:firstLine="200" w:firstLineChars="200"/>
    </w:pPr>
  </w:style>
  <w:style w:type="paragraph" w:styleId="12">
    <w:name w:val="toc 6"/>
    <w:basedOn w:val="1"/>
    <w:next w:val="1"/>
    <w:autoRedefine/>
    <w:qFormat/>
    <w:uiPriority w:val="39"/>
    <w:pPr>
      <w:ind w:left="2100" w:leftChars="1000"/>
    </w:pPr>
    <w:rPr>
      <w:rFonts w:ascii="Calibri" w:hAnsi="Calibri"/>
    </w:rPr>
  </w:style>
  <w:style w:type="paragraph" w:styleId="13">
    <w:name w:val="Body Text Indent"/>
    <w:basedOn w:val="1"/>
    <w:next w:val="1"/>
    <w:autoRedefine/>
    <w:qFormat/>
    <w:uiPriority w:val="0"/>
    <w:pPr>
      <w:spacing w:after="120"/>
      <w:ind w:left="420" w:leftChars="200"/>
    </w:pPr>
  </w:style>
  <w:style w:type="paragraph" w:styleId="14">
    <w:name w:val="List Bullet 2"/>
    <w:basedOn w:val="1"/>
    <w:next w:val="7"/>
    <w:autoRedefine/>
    <w:qFormat/>
    <w:uiPriority w:val="0"/>
    <w:pPr>
      <w:numPr>
        <w:ilvl w:val="0"/>
        <w:numId w:val="4"/>
      </w:numPr>
    </w:pPr>
  </w:style>
  <w:style w:type="paragraph" w:styleId="15">
    <w:name w:val="Plain Text"/>
    <w:basedOn w:val="1"/>
    <w:next w:val="1"/>
    <w:link w:val="71"/>
    <w:autoRedefine/>
    <w:qFormat/>
    <w:uiPriority w:val="0"/>
    <w:rPr>
      <w:rFonts w:ascii="宋体" w:hAnsi="Courier New" w:cs="宋体"/>
    </w:rPr>
  </w:style>
  <w:style w:type="paragraph" w:styleId="16">
    <w:name w:val="Date"/>
    <w:basedOn w:val="1"/>
    <w:next w:val="1"/>
    <w:autoRedefine/>
    <w:qFormat/>
    <w:uiPriority w:val="0"/>
    <w:pPr>
      <w:ind w:left="2500" w:leftChars="2500"/>
    </w:pPr>
    <w:rPr>
      <w:rFonts w:ascii="Calibri" w:hAnsi="Calibri" w:eastAsia="楷体_GB2312" w:cs="宋体"/>
      <w:sz w:val="32"/>
      <w:szCs w:val="22"/>
    </w:rPr>
  </w:style>
  <w:style w:type="paragraph" w:styleId="17">
    <w:name w:val="Balloon Text"/>
    <w:basedOn w:val="1"/>
    <w:link w:val="61"/>
    <w:autoRedefine/>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spacing w:line="360" w:lineRule="auto"/>
      <w:ind w:left="420" w:leftChars="200" w:right="420" w:rightChars="200"/>
    </w:pPr>
    <w:rPr>
      <w:rFonts w:ascii="宋体" w:hAnsi="宋体"/>
      <w:sz w:val="24"/>
    </w:rPr>
  </w:style>
  <w:style w:type="paragraph" w:styleId="21">
    <w:name w:val="Subtitle"/>
    <w:basedOn w:val="1"/>
    <w:next w:val="1"/>
    <w:autoRedefine/>
    <w:qFormat/>
    <w:uiPriority w:val="11"/>
    <w:pPr>
      <w:spacing w:after="60"/>
      <w:jc w:val="center"/>
      <w:outlineLvl w:val="1"/>
    </w:pPr>
    <w:rPr>
      <w:rFonts w:ascii="Cambria" w:hAnsi="Cambria"/>
    </w:rPr>
  </w:style>
  <w:style w:type="paragraph" w:styleId="22">
    <w:name w:val="Body Text Indent 3"/>
    <w:basedOn w:val="1"/>
    <w:autoRedefine/>
    <w:qFormat/>
    <w:uiPriority w:val="0"/>
    <w:pPr>
      <w:spacing w:after="120" w:afterLines="0"/>
      <w:ind w:left="420" w:leftChars="200"/>
    </w:pPr>
    <w:rPr>
      <w:sz w:val="16"/>
      <w:szCs w:val="16"/>
    </w:rPr>
  </w:style>
  <w:style w:type="paragraph" w:styleId="23">
    <w:name w:val="toc 2"/>
    <w:basedOn w:val="1"/>
    <w:next w:val="1"/>
    <w:autoRedefine/>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annotation subject"/>
    <w:basedOn w:val="8"/>
    <w:next w:val="8"/>
    <w:link w:val="80"/>
    <w:autoRedefine/>
    <w:qFormat/>
    <w:uiPriority w:val="0"/>
    <w:rPr>
      <w:b/>
      <w:bCs/>
    </w:rPr>
  </w:style>
  <w:style w:type="paragraph" w:styleId="27">
    <w:name w:val="Body Text First Indent 2"/>
    <w:basedOn w:val="13"/>
    <w:autoRedefine/>
    <w:qFormat/>
    <w:uiPriority w:val="0"/>
    <w:pPr>
      <w:ind w:firstLine="420"/>
    </w:pPr>
  </w:style>
  <w:style w:type="table" w:styleId="29">
    <w:name w:val="Table Grid"/>
    <w:basedOn w:val="28"/>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Hyperlink"/>
    <w:autoRedefine/>
    <w:qFormat/>
    <w:uiPriority w:val="0"/>
    <w:rPr>
      <w:color w:val="0000FF"/>
      <w:u w:val="single"/>
    </w:rPr>
  </w:style>
  <w:style w:type="character" w:styleId="32">
    <w:name w:val="annotation reference"/>
    <w:basedOn w:val="30"/>
    <w:autoRedefine/>
    <w:qFormat/>
    <w:uiPriority w:val="0"/>
    <w:rPr>
      <w:sz w:val="21"/>
      <w:szCs w:val="21"/>
    </w:rPr>
  </w:style>
  <w:style w:type="paragraph" w:customStyle="1" w:styleId="33">
    <w:name w:val="4、正文"/>
    <w:basedOn w:val="1"/>
    <w:autoRedefine/>
    <w:qFormat/>
    <w:uiPriority w:val="0"/>
    <w:pPr>
      <w:ind w:firstLine="200" w:firstLineChars="200"/>
    </w:pPr>
    <w:rPr>
      <w:rFonts w:ascii="宋体"/>
      <w:sz w:val="24"/>
      <w:szCs w:val="28"/>
    </w:rPr>
  </w:style>
  <w:style w:type="paragraph" w:customStyle="1" w:styleId="34">
    <w:name w:val="Default"/>
    <w:next w:val="35"/>
    <w:autoRedefine/>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表格文字"/>
    <w:basedOn w:val="1"/>
    <w:next w:val="10"/>
    <w:autoRedefine/>
    <w:qFormat/>
    <w:uiPriority w:val="0"/>
    <w:pPr>
      <w:jc w:val="left"/>
      <w:textAlignment w:val="top"/>
    </w:pPr>
    <w:rPr>
      <w:sz w:val="18"/>
    </w:rPr>
  </w:style>
  <w:style w:type="paragraph" w:customStyle="1" w:styleId="3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39">
    <w:name w:val="List Paragraph"/>
    <w:basedOn w:val="1"/>
    <w:autoRedefine/>
    <w:qFormat/>
    <w:uiPriority w:val="0"/>
    <w:pPr>
      <w:ind w:firstLine="420" w:firstLineChars="200"/>
    </w:pPr>
    <w:rPr>
      <w:rFonts w:ascii="Calibri" w:hAnsi="Calibri"/>
      <w:szCs w:val="22"/>
    </w:rPr>
  </w:style>
  <w:style w:type="paragraph" w:customStyle="1" w:styleId="4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0"/>
    <w:rPr>
      <w:rFonts w:ascii="Times New Roman" w:hAnsi="Times New Roman" w:eastAsia="宋体" w:cs="Times New Roman"/>
      <w:sz w:val="21"/>
      <w:szCs w:val="22"/>
      <w:lang w:val="en-US" w:eastAsia="zh-CN" w:bidi="ar-SA"/>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0"/>
    <w:pPr>
      <w:widowControl/>
      <w:jc w:val="left"/>
    </w:pPr>
    <w:rPr>
      <w:rFonts w:ascii="宋体" w:hAnsi="Courier New" w:eastAsia="宋体" w:cs="宋体"/>
      <w:szCs w:val="21"/>
    </w:rPr>
  </w:style>
  <w:style w:type="paragraph" w:customStyle="1" w:styleId="49">
    <w:name w:val="纯文本_0_1"/>
    <w:basedOn w:val="1"/>
    <w:autoRedefine/>
    <w:qFormat/>
    <w:uiPriority w:val="0"/>
    <w:pPr>
      <w:widowControl/>
      <w:jc w:val="left"/>
    </w:pPr>
    <w:rPr>
      <w:rFonts w:ascii="宋体" w:hAnsi="Courier New" w:eastAsia="宋体" w:cs="宋体"/>
      <w:szCs w:val="21"/>
    </w:rPr>
  </w:style>
  <w:style w:type="paragraph" w:customStyle="1" w:styleId="5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30"/>
    <w:autoRedefine/>
    <w:qFormat/>
    <w:uiPriority w:val="0"/>
    <w:rPr>
      <w:rFonts w:hint="default" w:ascii="Arial" w:hAnsi="Arial" w:cs="Arial"/>
      <w:color w:val="000000"/>
      <w:sz w:val="20"/>
      <w:szCs w:val="20"/>
      <w:u w:val="none"/>
    </w:rPr>
  </w:style>
  <w:style w:type="character" w:customStyle="1" w:styleId="55">
    <w:name w:val="font01"/>
    <w:basedOn w:val="30"/>
    <w:autoRedefine/>
    <w:qFormat/>
    <w:uiPriority w:val="0"/>
    <w:rPr>
      <w:rFonts w:hint="eastAsia" w:ascii="宋体" w:hAnsi="宋体" w:eastAsia="宋体" w:cs="宋体"/>
      <w:color w:val="000000"/>
      <w:sz w:val="20"/>
      <w:szCs w:val="20"/>
      <w:u w:val="none"/>
    </w:rPr>
  </w:style>
  <w:style w:type="paragraph" w:customStyle="1" w:styleId="56">
    <w:name w:val="纯文本1"/>
    <w:basedOn w:val="57"/>
    <w:autoRedefine/>
    <w:qFormat/>
    <w:uiPriority w:val="0"/>
    <w:pPr>
      <w:widowControl/>
      <w:jc w:val="left"/>
    </w:pPr>
    <w:rPr>
      <w:rFonts w:ascii="宋体" w:hAnsi="Courier New"/>
    </w:rPr>
  </w:style>
  <w:style w:type="paragraph" w:customStyle="1" w:styleId="5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autoRedefine/>
    <w:qFormat/>
    <w:uiPriority w:val="1"/>
    <w:rPr>
      <w:rFonts w:ascii="宋体" w:hAnsi="宋体" w:cs="宋体"/>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autoRedefine/>
    <w:qFormat/>
    <w:uiPriority w:val="0"/>
    <w:rPr>
      <w:rFonts w:ascii="Tahoma" w:hAnsi="Tahoma"/>
      <w:sz w:val="24"/>
      <w:szCs w:val="20"/>
    </w:rPr>
  </w:style>
  <w:style w:type="character" w:customStyle="1" w:styleId="61">
    <w:name w:val="批注框文本 字符"/>
    <w:basedOn w:val="30"/>
    <w:link w:val="17"/>
    <w:autoRedefine/>
    <w:qFormat/>
    <w:uiPriority w:val="0"/>
    <w:rPr>
      <w:kern w:val="2"/>
      <w:sz w:val="18"/>
      <w:szCs w:val="18"/>
    </w:rPr>
  </w:style>
  <w:style w:type="paragraph" w:customStyle="1" w:styleId="62">
    <w:name w:val="英文"/>
    <w:basedOn w:val="1"/>
    <w:link w:val="64"/>
    <w:autoRedefine/>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autoRedefine/>
    <w:qFormat/>
    <w:uiPriority w:val="0"/>
    <w:rPr>
      <w:rFonts w:ascii="Arial" w:hAnsi="Arial" w:cs="Arial"/>
      <w:sz w:val="24"/>
    </w:rPr>
  </w:style>
  <w:style w:type="paragraph" w:customStyle="1" w:styleId="65">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autoRedefine/>
    <w:qFormat/>
    <w:uiPriority w:val="0"/>
    <w:pPr>
      <w:spacing w:line="360" w:lineRule="auto"/>
      <w:ind w:firstLine="200" w:firstLineChars="200"/>
    </w:pPr>
    <w:rPr>
      <w:rFonts w:eastAsia="仿宋"/>
      <w:sz w:val="28"/>
    </w:rPr>
  </w:style>
  <w:style w:type="paragraph" w:customStyle="1" w:styleId="67">
    <w:name w:val="Normal Indent1"/>
    <w:basedOn w:val="1"/>
    <w:autoRedefine/>
    <w:qFormat/>
    <w:uiPriority w:val="0"/>
    <w:pPr>
      <w:ind w:firstLine="420" w:firstLineChars="200"/>
    </w:pPr>
  </w:style>
  <w:style w:type="paragraph" w:customStyle="1" w:styleId="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9">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autoRedefine/>
    <w:qFormat/>
    <w:uiPriority w:val="0"/>
    <w:pPr>
      <w:ind w:firstLine="420" w:firstLineChars="200"/>
    </w:pPr>
  </w:style>
  <w:style w:type="character" w:customStyle="1" w:styleId="71">
    <w:name w:val="纯文本 字符"/>
    <w:link w:val="15"/>
    <w:autoRedefine/>
    <w:qFormat/>
    <w:uiPriority w:val="0"/>
    <w:rPr>
      <w:rFonts w:ascii="宋体" w:hAnsi="Courier New" w:cs="宋体"/>
      <w:kern w:val="2"/>
      <w:sz w:val="21"/>
      <w:szCs w:val="24"/>
    </w:rPr>
  </w:style>
  <w:style w:type="character" w:customStyle="1" w:styleId="72">
    <w:name w:val="NormalCharacter"/>
    <w:autoRedefine/>
    <w:qFormat/>
    <w:uiPriority w:val="0"/>
  </w:style>
  <w:style w:type="paragraph" w:customStyle="1" w:styleId="73">
    <w:name w:val="UserStyle_4"/>
    <w:basedOn w:val="1"/>
    <w:autoRedefine/>
    <w:qFormat/>
    <w:uiPriority w:val="0"/>
    <w:pPr>
      <w:ind w:firstLine="420" w:firstLineChars="200"/>
    </w:pPr>
    <w:rPr>
      <w:sz w:val="24"/>
    </w:rPr>
  </w:style>
  <w:style w:type="paragraph" w:customStyle="1" w:styleId="74">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autoRedefine/>
    <w:qFormat/>
    <w:uiPriority w:val="0"/>
    <w:pPr>
      <w:ind w:firstLine="420" w:firstLineChars="200"/>
    </w:pPr>
    <w:rPr>
      <w:szCs w:val="21"/>
    </w:rPr>
  </w:style>
  <w:style w:type="paragraph" w:customStyle="1" w:styleId="76">
    <w:name w:val="PlainText"/>
    <w:basedOn w:val="1"/>
    <w:autoRedefine/>
    <w:qFormat/>
    <w:uiPriority w:val="0"/>
    <w:pPr>
      <w:spacing w:before="156" w:after="156" w:line="400" w:lineRule="atLeast"/>
    </w:pPr>
    <w:rPr>
      <w:rFonts w:ascii="宋体" w:hAnsi="Courier New"/>
      <w:sz w:val="24"/>
    </w:rPr>
  </w:style>
  <w:style w:type="paragraph" w:customStyle="1" w:styleId="77">
    <w:name w:val="UserStyle_29"/>
    <w:basedOn w:val="1"/>
    <w:autoRedefine/>
    <w:qFormat/>
    <w:uiPriority w:val="0"/>
    <w:pPr>
      <w:ind w:firstLine="420" w:firstLineChars="200"/>
    </w:pPr>
    <w:rPr>
      <w:szCs w:val="22"/>
    </w:rPr>
  </w:style>
  <w:style w:type="table" w:customStyle="1" w:styleId="78">
    <w:name w:val="Table Normal"/>
    <w:autoRedefine/>
    <w:qFormat/>
    <w:uiPriority w:val="0"/>
    <w:tblPr>
      <w:tblCellMar>
        <w:top w:w="0" w:type="dxa"/>
        <w:left w:w="0" w:type="dxa"/>
        <w:bottom w:w="0" w:type="dxa"/>
        <w:right w:w="0" w:type="dxa"/>
      </w:tblCellMar>
    </w:tblPr>
  </w:style>
  <w:style w:type="character" w:customStyle="1" w:styleId="79">
    <w:name w:val="批注文字 字符"/>
    <w:basedOn w:val="30"/>
    <w:link w:val="8"/>
    <w:autoRedefine/>
    <w:qFormat/>
    <w:uiPriority w:val="0"/>
    <w:rPr>
      <w:kern w:val="2"/>
      <w:sz w:val="21"/>
      <w:szCs w:val="24"/>
    </w:rPr>
  </w:style>
  <w:style w:type="character" w:customStyle="1" w:styleId="80">
    <w:name w:val="批注主题 字符"/>
    <w:basedOn w:val="79"/>
    <w:link w:val="26"/>
    <w:autoRedefine/>
    <w:qFormat/>
    <w:uiPriority w:val="0"/>
    <w:rPr>
      <w:b/>
      <w:bCs/>
      <w:kern w:val="2"/>
      <w:sz w:val="21"/>
      <w:szCs w:val="24"/>
    </w:rPr>
  </w:style>
  <w:style w:type="character" w:customStyle="1" w:styleId="81">
    <w:name w:val="正文文本首行缩进 字符"/>
    <w:basedOn w:val="30"/>
    <w:link w:val="11"/>
    <w:autoRedefine/>
    <w:qFormat/>
    <w:uiPriority w:val="0"/>
    <w:rPr>
      <w:kern w:val="2"/>
      <w:sz w:val="24"/>
      <w:szCs w:val="24"/>
    </w:rPr>
  </w:style>
  <w:style w:type="paragraph" w:customStyle="1" w:styleId="8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3">
    <w:name w:val="Unresolved Mention"/>
    <w:basedOn w:val="30"/>
    <w:autoRedefine/>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42</Pages>
  <Words>20664</Words>
  <Characters>21649</Characters>
  <Paragraphs>897</Paragraphs>
  <TotalTime>8</TotalTime>
  <ScaleCrop>false</ScaleCrop>
  <LinksUpToDate>false</LinksUpToDate>
  <CharactersWithSpaces>23165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建设咨询</cp:lastModifiedBy>
  <cp:lastPrinted>2024-05-14T08:18:00Z</cp:lastPrinted>
  <dcterms:modified xsi:type="dcterms:W3CDTF">2024-08-22T08:08:56Z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