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b/>
          <w:bCs/>
          <w:sz w:val="36"/>
          <w:szCs w:val="40"/>
        </w:rPr>
      </w:pPr>
      <w:r>
        <w:rPr>
          <w:rFonts w:hint="eastAsia"/>
          <w:b/>
          <w:bCs/>
          <w:sz w:val="36"/>
          <w:szCs w:val="40"/>
        </w:rPr>
        <w:t>台州“飞安行”低空飞行管控服务平台</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宋体"/>
          <w:b/>
          <w:kern w:val="0"/>
          <w:sz w:val="24"/>
        </w:rPr>
      </w:pPr>
      <w:r>
        <w:rPr>
          <w:rFonts w:hint="eastAsia" w:ascii="宋体" w:hAnsi="宋体" w:cs="Calibri Light"/>
          <w:kern w:val="0"/>
          <w:sz w:val="24"/>
        </w:rPr>
        <w:t>采购编号：</w:t>
      </w:r>
      <w:r>
        <w:rPr>
          <w:rFonts w:ascii="宋体"/>
          <w:b/>
          <w:kern w:val="0"/>
          <w:sz w:val="24"/>
        </w:rPr>
        <w:t xml:space="preserve"> </w:t>
      </w:r>
      <w:r>
        <w:rPr>
          <w:rFonts w:ascii="宋体"/>
          <w:b/>
          <w:kern w:val="0"/>
          <w:sz w:val="24"/>
        </w:rPr>
        <w:fldChar w:fldCharType="begin"/>
      </w:r>
      <w:r>
        <w:rPr>
          <w:rFonts w:ascii="宋体"/>
          <w:b/>
          <w:kern w:val="0"/>
          <w:sz w:val="24"/>
        </w:rPr>
        <w:instrText xml:space="preserve"> HYPERLINK "https://www.tzwztb.com/ztb/Framework/Main/Default.aspx?p=01001&amp;PrjId=I3310005276000788001" </w:instrText>
      </w:r>
      <w:r>
        <w:rPr>
          <w:rFonts w:ascii="宋体"/>
          <w:b/>
          <w:kern w:val="0"/>
          <w:sz w:val="24"/>
        </w:rPr>
        <w:fldChar w:fldCharType="separate"/>
      </w:r>
      <w:r>
        <w:rPr>
          <w:rFonts w:hint="default" w:ascii="宋体"/>
          <w:b/>
          <w:kern w:val="0"/>
          <w:sz w:val="24"/>
        </w:rPr>
        <w:t>QBJ2024165</w:t>
      </w:r>
      <w:r>
        <w:rPr>
          <w:rFonts w:hint="default" w:ascii="宋体"/>
          <w:b/>
          <w:kern w:val="0"/>
          <w:sz w:val="24"/>
        </w:rPr>
        <w:fldChar w:fldCharType="end"/>
      </w:r>
    </w:p>
    <w:p>
      <w:pPr>
        <w:pStyle w:val="2"/>
      </w:pPr>
    </w:p>
    <w:p>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lang w:eastAsia="zh-CN"/>
        </w:rPr>
        <w:t>招标人</w:t>
      </w:r>
      <w:r>
        <w:rPr>
          <w:rFonts w:hint="eastAsia" w:ascii="宋体" w:hAnsi="宋体"/>
          <w:spacing w:val="20"/>
          <w:kern w:val="21"/>
          <w:sz w:val="30"/>
          <w:szCs w:val="30"/>
        </w:rPr>
        <w:t>：</w:t>
      </w:r>
      <w:r>
        <w:rPr>
          <w:rFonts w:hint="eastAsia" w:ascii="宋体" w:hAnsi="宋体"/>
          <w:spacing w:val="20"/>
          <w:kern w:val="21"/>
          <w:sz w:val="30"/>
          <w:szCs w:val="30"/>
          <w:u w:val="single"/>
          <w:lang w:eastAsia="zh-CN"/>
        </w:rPr>
        <w:t>台州循环经济发展有限公司</w:t>
      </w:r>
      <w:r>
        <w:rPr>
          <w:rFonts w:hint="eastAsia" w:ascii="宋体" w:hAnsi="宋体"/>
          <w:spacing w:val="20"/>
          <w:kern w:val="21"/>
          <w:sz w:val="30"/>
          <w:szCs w:val="30"/>
        </w:rPr>
        <w:t>（盖章）</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hAnsi="宋体"/>
          <w:sz w:val="28"/>
          <w:u w:val="single"/>
          <w:lang w:val="en-US" w:eastAsia="zh-CN"/>
        </w:rPr>
        <w:t>毛先生</w:t>
      </w:r>
      <w:r>
        <w:rPr>
          <w:rFonts w:hAnsi="宋体"/>
          <w:sz w:val="28"/>
          <w:u w:val="single"/>
        </w:rPr>
        <w:t xml:space="preserve">      </w:t>
      </w:r>
    </w:p>
    <w:p>
      <w:pPr>
        <w:spacing w:line="640" w:lineRule="exact"/>
        <w:ind w:firstLine="1020" w:firstLineChars="300"/>
        <w:outlineLvl w:val="0"/>
        <w:rPr>
          <w:rFonts w:hint="default" w:ascii="宋体" w:hAnsi="宋体" w:eastAsia="宋体"/>
          <w:spacing w:val="20"/>
          <w:kern w:val="21"/>
          <w:sz w:val="30"/>
          <w:szCs w:val="30"/>
          <w:lang w:val="en-US" w:eastAsia="zh-CN"/>
        </w:rPr>
      </w:pPr>
      <w:r>
        <w:rPr>
          <w:rFonts w:hint="eastAsia" w:ascii="宋体" w:hAnsi="宋体"/>
          <w:spacing w:val="20"/>
          <w:kern w:val="21"/>
          <w:sz w:val="30"/>
          <w:szCs w:val="30"/>
        </w:rPr>
        <w:t>联系电话：</w:t>
      </w:r>
      <w:r>
        <w:rPr>
          <w:rFonts w:hint="eastAsia" w:ascii="宋体" w:hAnsi="宋体"/>
          <w:spacing w:val="20"/>
          <w:kern w:val="21"/>
          <w:sz w:val="30"/>
          <w:szCs w:val="30"/>
          <w:u w:val="single"/>
          <w:lang w:val="en-US" w:eastAsia="zh-CN"/>
        </w:rPr>
        <w:t>0576-88921726</w:t>
      </w:r>
    </w:p>
    <w:p>
      <w:pPr>
        <w:pStyle w:val="13"/>
        <w:numPr>
          <w:ilvl w:val="0"/>
          <w:numId w:val="0"/>
        </w:numPr>
      </w:pP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z w:val="28"/>
          <w:u w:val="single"/>
          <w:lang w:eastAsia="zh-CN"/>
        </w:rPr>
        <w:t>台州市建设咨询有限公司</w:t>
      </w:r>
      <w:r>
        <w:rPr>
          <w:rFonts w:hint="eastAsia" w:ascii="宋体" w:hAnsi="宋体"/>
          <w:spacing w:val="20"/>
          <w:kern w:val="21"/>
          <w:sz w:val="30"/>
          <w:szCs w:val="30"/>
        </w:rPr>
        <w:t>（盖章）</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ascii="宋体" w:hAnsi="宋体"/>
          <w:sz w:val="28"/>
          <w:u w:val="single"/>
          <w:lang w:val="en-US" w:eastAsia="zh-CN"/>
        </w:rPr>
        <w:t>李女士</w:t>
      </w:r>
      <w:r>
        <w:rPr>
          <w:rFonts w:ascii="宋体" w:hAnsi="宋体"/>
          <w:sz w:val="28"/>
          <w:u w:val="single"/>
        </w:rPr>
        <w:t xml:space="preserve"> </w:t>
      </w:r>
    </w:p>
    <w:p>
      <w:pPr>
        <w:spacing w:line="480" w:lineRule="auto"/>
        <w:ind w:firstLine="1020" w:firstLineChars="300"/>
        <w:rPr>
          <w:rFonts w:hint="default" w:ascii="宋体" w:hAnsi="宋体" w:eastAsia="宋体"/>
          <w:spacing w:val="20"/>
          <w:kern w:val="21"/>
          <w:sz w:val="30"/>
          <w:szCs w:val="30"/>
          <w:lang w:val="en-US" w:eastAsia="zh-CN"/>
        </w:rPr>
      </w:pPr>
      <w:r>
        <w:rPr>
          <w:rFonts w:hint="eastAsia" w:ascii="宋体" w:hAnsi="宋体"/>
          <w:spacing w:val="20"/>
          <w:kern w:val="21"/>
          <w:sz w:val="30"/>
          <w:szCs w:val="30"/>
        </w:rPr>
        <w:t>联系电话：</w:t>
      </w:r>
      <w:r>
        <w:rPr>
          <w:rFonts w:hint="eastAsia" w:ascii="宋体" w:hAnsi="宋体"/>
          <w:spacing w:val="20"/>
          <w:kern w:val="21"/>
          <w:sz w:val="30"/>
          <w:szCs w:val="30"/>
          <w:u w:val="single"/>
        </w:rPr>
        <w:t>0576-</w:t>
      </w:r>
      <w:r>
        <w:rPr>
          <w:rFonts w:hint="eastAsia" w:ascii="宋体" w:hAnsi="宋体"/>
          <w:spacing w:val="20"/>
          <w:kern w:val="21"/>
          <w:sz w:val="30"/>
          <w:szCs w:val="30"/>
          <w:u w:val="single"/>
          <w:lang w:val="en-US" w:eastAsia="zh-CN"/>
        </w:rPr>
        <w:t>88517783</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期：202</w:t>
      </w:r>
      <w:r>
        <w:rPr>
          <w:rFonts w:hint="eastAsia" w:ascii="宋体" w:hAnsi="宋体"/>
          <w:spacing w:val="20"/>
          <w:kern w:val="21"/>
          <w:sz w:val="30"/>
          <w:szCs w:val="30"/>
          <w:lang w:val="en-US" w:eastAsia="zh-CN"/>
        </w:rPr>
        <w:t>4</w:t>
      </w:r>
      <w:r>
        <w:rPr>
          <w:rFonts w:hint="eastAsia" w:ascii="宋体" w:hAnsi="宋体"/>
          <w:spacing w:val="20"/>
          <w:kern w:val="21"/>
          <w:sz w:val="30"/>
          <w:szCs w:val="30"/>
        </w:rPr>
        <w:t>年</w:t>
      </w:r>
      <w:r>
        <w:rPr>
          <w:rFonts w:hint="eastAsia" w:ascii="宋体" w:hAnsi="宋体"/>
          <w:spacing w:val="20"/>
          <w:kern w:val="21"/>
          <w:sz w:val="30"/>
          <w:szCs w:val="30"/>
          <w:lang w:val="en-US" w:eastAsia="zh-CN"/>
        </w:rPr>
        <w:t>8</w:t>
      </w:r>
      <w:r>
        <w:rPr>
          <w:rFonts w:hint="eastAsia" w:ascii="宋体" w:hAnsi="宋体"/>
          <w:spacing w:val="20"/>
          <w:kern w:val="21"/>
          <w:sz w:val="30"/>
          <w:szCs w:val="30"/>
        </w:rPr>
        <w:t>月</w:t>
      </w:r>
    </w:p>
    <w:p>
      <w:pPr>
        <w:pStyle w:val="34"/>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9"/>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6"/>
        <w:ind w:firstLine="480" w:firstLineChars="200"/>
        <w:rPr>
          <w:rFonts w:cs="宋体"/>
          <w:b w:val="0"/>
          <w:sz w:val="24"/>
          <w:szCs w:val="24"/>
        </w:rPr>
      </w:pPr>
      <w:bookmarkStart w:id="6" w:name="_Toc28359002"/>
      <w:bookmarkStart w:id="7" w:name="_Toc28359079"/>
      <w:bookmarkStart w:id="8" w:name="_Toc35393621"/>
      <w:bookmarkStart w:id="9" w:name="_Toc35393790"/>
      <w:bookmarkStart w:id="10" w:name="_Hlk24379207"/>
      <w:r>
        <w:rPr>
          <w:rFonts w:hint="eastAsia" w:cs="宋体"/>
          <w:b w:val="0"/>
          <w:sz w:val="24"/>
          <w:szCs w:val="24"/>
          <w:u w:val="single"/>
          <w:lang w:eastAsia="zh-CN"/>
        </w:rPr>
        <w:t>台州市建设咨询有限公司</w:t>
      </w:r>
      <w:r>
        <w:rPr>
          <w:rFonts w:hint="eastAsia" w:cs="宋体"/>
          <w:b w:val="0"/>
          <w:sz w:val="24"/>
          <w:szCs w:val="24"/>
          <w:highlight w:val="none"/>
        </w:rPr>
        <w:t>受</w:t>
      </w:r>
      <w:r>
        <w:rPr>
          <w:rFonts w:hint="eastAsia" w:cs="宋体"/>
          <w:b w:val="0"/>
          <w:sz w:val="24"/>
          <w:szCs w:val="24"/>
          <w:highlight w:val="none"/>
          <w:u w:val="single"/>
          <w:lang w:eastAsia="zh-CN"/>
        </w:rPr>
        <w:t>台州循环经济发展有限公司</w:t>
      </w:r>
      <w:r>
        <w:rPr>
          <w:rFonts w:hint="eastAsia" w:cs="宋体"/>
          <w:b w:val="0"/>
          <w:sz w:val="24"/>
          <w:szCs w:val="24"/>
          <w:highlight w:val="none"/>
        </w:rPr>
        <w:t>委</w:t>
      </w:r>
      <w:r>
        <w:rPr>
          <w:rFonts w:hint="eastAsia" w:cs="宋体"/>
          <w:b w:val="0"/>
          <w:sz w:val="24"/>
          <w:szCs w:val="24"/>
        </w:rPr>
        <w:t>托，</w:t>
      </w:r>
      <w:r>
        <w:rPr>
          <w:rFonts w:hint="eastAsia" w:ascii="宋体" w:hAnsi="宋体" w:eastAsia="宋体" w:cs="宋体"/>
          <w:b w:val="0"/>
          <w:sz w:val="24"/>
          <w:szCs w:val="24"/>
        </w:rPr>
        <w:t>根据《中华人民共和国</w:t>
      </w:r>
      <w:r>
        <w:rPr>
          <w:rFonts w:hint="eastAsia" w:ascii="宋体" w:hAnsi="宋体" w:eastAsia="宋体" w:cs="宋体"/>
          <w:b w:val="0"/>
          <w:sz w:val="24"/>
          <w:szCs w:val="24"/>
          <w:lang w:val="en-US" w:eastAsia="zh-CN"/>
        </w:rPr>
        <w:t>招标投标</w:t>
      </w:r>
      <w:r>
        <w:rPr>
          <w:rFonts w:hint="eastAsia" w:ascii="宋体" w:hAnsi="宋体" w:eastAsia="宋体" w:cs="宋体"/>
          <w:b w:val="0"/>
          <w:sz w:val="24"/>
          <w:szCs w:val="24"/>
        </w:rPr>
        <w:t>法》等相关法律、法规规定，</w:t>
      </w:r>
      <w:r>
        <w:rPr>
          <w:rFonts w:hint="eastAsia" w:cs="宋体"/>
          <w:b w:val="0"/>
          <w:sz w:val="24"/>
          <w:szCs w:val="24"/>
        </w:rPr>
        <w:t>就</w:t>
      </w:r>
      <w:r>
        <w:rPr>
          <w:rFonts w:hint="eastAsia" w:cs="宋体"/>
          <w:b w:val="0"/>
          <w:sz w:val="24"/>
          <w:szCs w:val="24"/>
          <w:u w:val="single"/>
        </w:rPr>
        <w:t>台州“飞安行”低空飞行管控服务平台</w:t>
      </w:r>
      <w:r>
        <w:rPr>
          <w:rFonts w:hint="eastAsia" w:cs="宋体"/>
          <w:b w:val="0"/>
          <w:sz w:val="24"/>
          <w:szCs w:val="24"/>
        </w:rPr>
        <w:t>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12" w:lineRule="auto"/>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 xml:space="preserve"> </w:t>
      </w:r>
      <w:bookmarkEnd w:id="10"/>
      <w:r>
        <w:rPr>
          <w:rFonts w:ascii="宋体" w:hAnsi="宋体" w:cs="宋体"/>
          <w:sz w:val="24"/>
        </w:rPr>
        <w:fldChar w:fldCharType="begin"/>
      </w:r>
      <w:r>
        <w:rPr>
          <w:rFonts w:ascii="宋体" w:hAnsi="宋体" w:cs="宋体"/>
          <w:sz w:val="24"/>
        </w:rPr>
        <w:instrText xml:space="preserve"> HYPERLINK "https://www.tzwztb.com/ztb/Framework/Main/Default.aspx?p=01001&amp;PrjId=I3310005276000788001" </w:instrText>
      </w:r>
      <w:r>
        <w:rPr>
          <w:rFonts w:ascii="宋体" w:hAnsi="宋体" w:cs="宋体"/>
          <w:sz w:val="24"/>
        </w:rPr>
        <w:fldChar w:fldCharType="separate"/>
      </w:r>
      <w:r>
        <w:rPr>
          <w:rFonts w:hint="default" w:ascii="宋体" w:hAnsi="宋体" w:cs="宋体"/>
          <w:sz w:val="24"/>
        </w:rPr>
        <w:t>QBJ2024165</w:t>
      </w:r>
      <w:r>
        <w:rPr>
          <w:rFonts w:hint="default" w:ascii="宋体" w:hAnsi="宋体" w:cs="宋体"/>
          <w:sz w:val="24"/>
        </w:rPr>
        <w:fldChar w:fldCharType="end"/>
      </w:r>
    </w:p>
    <w:p>
      <w:pPr>
        <w:spacing w:line="312" w:lineRule="auto"/>
        <w:ind w:firstLine="420" w:firstLineChars="200"/>
        <w:rPr>
          <w:rFonts w:hint="eastAsia" w:ascii="宋体" w:hAnsi="宋体" w:cs="宋体"/>
          <w:sz w:val="24"/>
        </w:rPr>
      </w:pPr>
      <w:r>
        <w:t xml:space="preserve"> </w:t>
      </w:r>
      <w:r>
        <w:rPr>
          <w:rFonts w:hint="eastAsia" w:ascii="宋体" w:hAnsi="宋体" w:cs="宋体"/>
          <w:sz w:val="24"/>
        </w:rPr>
        <w:t>项目名称：</w:t>
      </w:r>
      <w:r>
        <w:rPr>
          <w:rFonts w:hint="eastAsia" w:ascii="宋体" w:hAnsi="宋体" w:cs="宋体"/>
          <w:sz w:val="24"/>
          <w:u w:val="single"/>
        </w:rPr>
        <w:t>台州“飞安行”低空飞行管控服务平台</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04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112" w:type="dxa"/>
            <w:vAlign w:val="center"/>
          </w:tcPr>
          <w:p>
            <w:pPr>
              <w:tabs>
                <w:tab w:val="left" w:pos="8280"/>
              </w:tabs>
              <w:autoSpaceDE w:val="0"/>
              <w:autoSpaceDN w:val="0"/>
              <w:adjustRightInd w:val="0"/>
              <w:rPr>
                <w:rFonts w:ascii="宋体" w:hAnsi="宋体" w:cs="宋体"/>
                <w:b/>
                <w:szCs w:val="21"/>
              </w:rPr>
            </w:pPr>
            <w:r>
              <w:rPr>
                <w:rFonts w:hint="eastAsia" w:ascii="宋体" w:hAnsi="宋体" w:cs="宋体"/>
                <w:b/>
                <w:szCs w:val="21"/>
              </w:rPr>
              <w:t>台州“飞安行”低空飞行管控服务平台</w:t>
            </w:r>
          </w:p>
        </w:tc>
        <w:tc>
          <w:tcPr>
            <w:tcW w:w="1040" w:type="dxa"/>
            <w:vAlign w:val="center"/>
          </w:tcPr>
          <w:p>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350</w:t>
            </w:r>
          </w:p>
        </w:tc>
        <w:tc>
          <w:tcPr>
            <w:tcW w:w="1372" w:type="dxa"/>
            <w:vAlign w:val="center"/>
          </w:tcPr>
          <w:p>
            <w:pPr>
              <w:tabs>
                <w:tab w:val="left" w:pos="8280"/>
              </w:tabs>
              <w:autoSpaceDE w:val="0"/>
              <w:autoSpaceDN w:val="0"/>
              <w:adjustRightInd w:val="0"/>
              <w:jc w:val="center"/>
              <w:rPr>
                <w:rStyle w:val="68"/>
                <w:rFonts w:hint="default" w:ascii="宋体" w:hAnsi="宋体" w:eastAsia="宋体"/>
                <w:szCs w:val="21"/>
                <w:lang w:val="en-US" w:eastAsia="zh-CN"/>
              </w:rPr>
            </w:pPr>
            <w:r>
              <w:rPr>
                <w:rStyle w:val="68"/>
                <w:rFonts w:hint="eastAsia" w:ascii="宋体" w:hAnsi="宋体"/>
                <w:szCs w:val="21"/>
                <w:lang w:val="en-US" w:eastAsia="zh-CN"/>
              </w:rPr>
              <w:t>350</w:t>
            </w:r>
          </w:p>
        </w:tc>
      </w:tr>
    </w:tbl>
    <w:p>
      <w:pPr>
        <w:pStyle w:val="6"/>
        <w:tabs>
          <w:tab w:val="left" w:pos="9660"/>
          <w:tab w:val="clear" w:pos="8280"/>
        </w:tabs>
        <w:ind w:right="23" w:firstLine="482" w:firstLineChars="200"/>
        <w:jc w:val="left"/>
        <w:rPr>
          <w:rFonts w:cs="宋体"/>
          <w:bCs/>
          <w:sz w:val="24"/>
          <w:szCs w:val="24"/>
        </w:rPr>
      </w:pPr>
      <w:bookmarkStart w:id="11" w:name="_Toc35393791"/>
      <w:bookmarkStart w:id="12" w:name="_Toc35393622"/>
      <w:bookmarkStart w:id="13" w:name="_Toc28359080"/>
      <w:bookmarkStart w:id="14" w:name="_Toc28359003"/>
      <w:r>
        <w:rPr>
          <w:rFonts w:hint="eastAsia" w:cs="宋体"/>
          <w:bCs/>
          <w:sz w:val="24"/>
          <w:szCs w:val="24"/>
        </w:rPr>
        <w:t>二、投标人的资格要求</w:t>
      </w:r>
      <w:bookmarkEnd w:id="11"/>
      <w:bookmarkEnd w:id="12"/>
      <w:bookmarkEnd w:id="13"/>
      <w:bookmarkEnd w:id="14"/>
    </w:p>
    <w:p>
      <w:pPr>
        <w:pStyle w:val="83"/>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bookmarkStart w:id="15" w:name="_Toc35393792"/>
      <w:bookmarkStart w:id="16" w:name="_Toc28359004"/>
      <w:bookmarkStart w:id="17" w:name="_Toc35393623"/>
      <w:bookmarkStart w:id="18" w:name="_Toc28359081"/>
      <w:r>
        <w:rPr>
          <w:rFonts w:hint="eastAsia" w:ascii="宋体" w:hAnsi="宋体" w:eastAsia="宋体" w:cs="Arial"/>
          <w:color w:val="auto"/>
          <w:kern w:val="2"/>
          <w:sz w:val="24"/>
          <w:szCs w:val="24"/>
          <w:highlight w:val="none"/>
          <w:lang w:val="en-US" w:eastAsia="zh-CN" w:bidi="ar-SA"/>
        </w:rPr>
        <w:t>（一）</w:t>
      </w:r>
      <w:r>
        <w:rPr>
          <w:rFonts w:hint="eastAsia" w:ascii="宋体" w:eastAsia="宋体" w:cs="Arial"/>
          <w:color w:val="auto"/>
          <w:kern w:val="2"/>
          <w:sz w:val="24"/>
          <w:szCs w:val="24"/>
          <w:highlight w:val="none"/>
          <w:lang w:val="en-US" w:eastAsia="zh-CN" w:bidi="ar-SA"/>
        </w:rPr>
        <w:t>能提供本项目货物服务能力的供应商</w:t>
      </w:r>
      <w:r>
        <w:rPr>
          <w:rFonts w:hint="eastAsia" w:ascii="宋体" w:hAnsi="宋体" w:eastAsia="宋体" w:cs="Arial"/>
          <w:color w:val="auto"/>
          <w:kern w:val="2"/>
          <w:sz w:val="24"/>
          <w:szCs w:val="24"/>
          <w:highlight w:val="none"/>
          <w:lang w:val="en-US" w:eastAsia="zh-CN" w:bidi="ar-SA"/>
        </w:rPr>
        <w:t>；</w:t>
      </w:r>
    </w:p>
    <w:p>
      <w:pPr>
        <w:pStyle w:val="83"/>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w:t>
      </w:r>
      <w:r>
        <w:rPr>
          <w:rFonts w:hint="eastAsia" w:ascii="宋体" w:eastAsia="宋体" w:cs="Arial"/>
          <w:color w:val="auto"/>
          <w:kern w:val="2"/>
          <w:sz w:val="24"/>
          <w:szCs w:val="24"/>
          <w:highlight w:val="none"/>
          <w:lang w:val="en-US" w:eastAsia="zh-CN" w:bidi="ar-SA"/>
        </w:rPr>
        <w:t>二</w:t>
      </w:r>
      <w:r>
        <w:rPr>
          <w:rFonts w:hint="eastAsia" w:ascii="宋体" w:hAnsi="宋体" w:eastAsia="宋体" w:cs="Arial"/>
          <w:color w:val="auto"/>
          <w:kern w:val="2"/>
          <w:sz w:val="24"/>
          <w:szCs w:val="24"/>
          <w:highlight w:val="none"/>
          <w:lang w:val="en-US" w:eastAsia="zh-CN" w:bidi="ar-SA"/>
        </w:rPr>
        <w:t>）本项目不接受联合体投标。</w:t>
      </w:r>
    </w:p>
    <w:p>
      <w:pPr>
        <w:pStyle w:val="6"/>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snapToGrid w:val="0"/>
        <w:spacing w:line="360" w:lineRule="auto"/>
        <w:ind w:firstLine="539"/>
        <w:rPr>
          <w:rFonts w:hint="eastAsia" w:ascii="宋体" w:hAnsi="宋体" w:cs="Arial"/>
          <w:color w:val="auto"/>
          <w:sz w:val="24"/>
          <w:highlight w:val="none"/>
        </w:rPr>
      </w:pPr>
      <w:r>
        <w:rPr>
          <w:rFonts w:hint="eastAsia" w:ascii="宋体" w:hAnsi="宋体" w:cs="宋体"/>
          <w:sz w:val="24"/>
        </w:rPr>
        <w:t>（二）方式：</w:t>
      </w: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pStyle w:val="6"/>
        <w:ind w:right="0" w:firstLine="482" w:firstLineChars="200"/>
        <w:rPr>
          <w:rFonts w:cs="宋体"/>
          <w:bCs/>
          <w:sz w:val="24"/>
          <w:szCs w:val="24"/>
        </w:rPr>
      </w:pPr>
      <w:bookmarkStart w:id="19" w:name="_Toc28359082"/>
      <w:bookmarkStart w:id="20" w:name="_Toc35393624"/>
      <w:bookmarkStart w:id="21" w:name="_Toc35393793"/>
      <w:bookmarkStart w:id="22" w:name="_Toc28359005"/>
      <w:r>
        <w:rPr>
          <w:rFonts w:hint="eastAsia" w:cs="宋体"/>
          <w:bCs/>
          <w:sz w:val="24"/>
          <w:szCs w:val="24"/>
        </w:rPr>
        <w:t>四、提交投标文件</w:t>
      </w:r>
      <w:bookmarkEnd w:id="19"/>
      <w:bookmarkEnd w:id="20"/>
      <w:bookmarkEnd w:id="21"/>
      <w:bookmarkEnd w:id="22"/>
    </w:p>
    <w:p>
      <w:pPr>
        <w:spacing w:line="360" w:lineRule="auto"/>
        <w:ind w:firstLine="480" w:firstLineChars="200"/>
        <w:jc w:val="left"/>
        <w:rPr>
          <w:rFonts w:ascii="宋体" w:hAnsi="宋体" w:cs="宋体"/>
          <w:sz w:val="24"/>
        </w:rPr>
      </w:pPr>
      <w:bookmarkStart w:id="23" w:name="_Toc35393625"/>
      <w:bookmarkStart w:id="24" w:name="_Toc28359007"/>
      <w:bookmarkStart w:id="25" w:name="_Toc35393794"/>
      <w:bookmarkStart w:id="26" w:name="_Toc28359084"/>
      <w:r>
        <w:rPr>
          <w:rFonts w:hint="eastAsia" w:ascii="宋体" w:hAnsi="宋体" w:cs="宋体"/>
          <w:sz w:val="24"/>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09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3"/>
    <w:bookmarkEnd w:id="24"/>
    <w:bookmarkEnd w:id="25"/>
    <w:bookmarkEnd w:id="26"/>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6"/>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bookmarkStart w:id="29" w:name="_Toc28359008"/>
      <w:bookmarkStart w:id="30" w:name="_Toc28359085"/>
      <w:bookmarkStart w:id="31" w:name="_Toc35393796"/>
      <w:bookmarkStart w:id="32" w:name="_Toc35393627"/>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7万</w:t>
      </w:r>
      <w:r>
        <w:rPr>
          <w:rFonts w:hint="eastAsia" w:ascii="宋体" w:hAnsi="宋体" w:cs="宋体"/>
          <w:bCs/>
          <w:kern w:val="0"/>
          <w:sz w:val="24"/>
        </w:rPr>
        <w:t>元。</w:t>
      </w:r>
    </w:p>
    <w:p>
      <w:pPr>
        <w:pStyle w:val="24"/>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r>
        <w:rPr>
          <w:rFonts w:hint="eastAsia" w:ascii="宋体" w:hAnsi="宋体" w:cs="宋体"/>
          <w:bCs/>
          <w:kern w:val="0"/>
          <w:sz w:val="24"/>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：台州循环经济发展有限公司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提交地</w:t>
      </w:r>
      <w:r>
        <w:rPr>
          <w:rFonts w:hint="eastAsia" w:ascii="宋体" w:hAnsi="宋体" w:cs="宋体"/>
          <w:bCs/>
          <w:kern w:val="0"/>
          <w:sz w:val="24"/>
          <w:highlight w:val="none"/>
        </w:rPr>
        <w:t>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18</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9</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14</w:t>
      </w:r>
      <w:r>
        <w:rPr>
          <w:rFonts w:hint="eastAsia" w:ascii="宋体" w:hAnsi="宋体" w:cs="宋体"/>
          <w:b/>
          <w:bCs/>
          <w:color w:val="000000"/>
          <w:kern w:val="0"/>
          <w:sz w:val="24"/>
          <w:highlight w:val="none"/>
          <w:u w:val="none"/>
          <w:lang w:val="en-US" w:eastAsia="zh-CN"/>
        </w:rPr>
        <w:t>日</w:t>
      </w:r>
      <w:r>
        <w:rPr>
          <w:rFonts w:hint="eastAsia" w:ascii="宋体" w:hAnsi="宋体" w:cs="宋体"/>
          <w:b/>
          <w:bCs/>
          <w:color w:val="000000"/>
          <w:kern w:val="0"/>
          <w:sz w:val="24"/>
          <w:highlight w:val="none"/>
        </w:rPr>
        <w:t>下午16点前</w:t>
      </w:r>
    </w:p>
    <w:p>
      <w:pPr>
        <w:pStyle w:val="6"/>
        <w:ind w:right="0" w:firstLine="482" w:firstLineChars="200"/>
        <w:rPr>
          <w:rFonts w:cs="宋体"/>
          <w:bCs/>
          <w:sz w:val="24"/>
          <w:szCs w:val="24"/>
        </w:rPr>
      </w:pPr>
      <w:r>
        <w:rPr>
          <w:rFonts w:hint="eastAsia" w:cs="宋体"/>
          <w:bCs/>
          <w:sz w:val="24"/>
          <w:szCs w:val="24"/>
        </w:rPr>
        <w:t>八、</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eastAsia="zh-CN"/>
        </w:rPr>
        <w:t>招标人</w:t>
      </w:r>
      <w:r>
        <w:rPr>
          <w:rFonts w:hint="eastAsia" w:ascii="宋体" w:hAnsi="宋体" w:cs="宋体"/>
          <w:b/>
          <w:bCs/>
          <w:sz w:val="24"/>
        </w:rPr>
        <w:t xml:space="preserve">（受理招标文件相关质疑及答复）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台州循环经济发展有限公司</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台州市甲南大道东段9号</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3" w:name="_Toc28359086"/>
      <w:bookmarkStart w:id="34" w:name="_Toc28359009"/>
      <w:r>
        <w:rPr>
          <w:rFonts w:hint="eastAsia" w:ascii="宋体" w:hAnsi="宋体" w:cs="宋体"/>
          <w:sz w:val="24"/>
          <w:highlight w:val="none"/>
        </w:rPr>
        <w:t xml:space="preserve"> </w:t>
      </w:r>
      <w:r>
        <w:rPr>
          <w:rFonts w:hint="eastAsia" w:ascii="宋体" w:hAnsi="宋体" w:cs="宋体"/>
          <w:sz w:val="24"/>
          <w:highlight w:val="none"/>
          <w:u w:val="single"/>
          <w:lang w:val="en-US" w:eastAsia="zh-CN"/>
        </w:rPr>
        <w:t>毛先生</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0576-88921726</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bookmarkEnd w:id="33"/>
    <w:bookmarkEnd w:id="34"/>
    <w:p>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bookmarkStart w:id="99" w:name="_GoBack"/>
      <w:bookmarkEnd w:id="99"/>
    </w:p>
    <w:p>
      <w:pPr>
        <w:widowControl/>
        <w:spacing w:line="336" w:lineRule="auto"/>
        <w:ind w:firstLine="600" w:firstLineChars="250"/>
        <w:jc w:val="left"/>
        <w:rPr>
          <w:rFonts w:hint="eastAsia" w:ascii="宋体" w:hAnsi="宋体" w:cs="宋体"/>
          <w:color w:val="auto"/>
          <w:kern w:val="0"/>
          <w:sz w:val="24"/>
          <w:highlight w:val="none"/>
        </w:rPr>
      </w:pPr>
      <w:bookmarkStart w:id="35" w:name="_Toc28359087"/>
      <w:bookmarkStart w:id="36" w:name="_Toc28359010"/>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lang w:eastAsia="zh-CN"/>
        </w:rPr>
        <w:t>台州市建设咨询有限公司</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李女士</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default" w:ascii="宋体" w:hAnsi="宋体" w:eastAsia="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88517650</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台州湾新区行政审批与投资服务局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台州市建设咨询有限公司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kern w:val="0"/>
          <w:sz w:val="24"/>
        </w:rPr>
        <w:t>月</w:t>
      </w: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bookmarkEnd w:id="35"/>
    <w:bookmarkEnd w:id="36"/>
    <w:p>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67"/>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以书面形式向</w:t>
            </w:r>
            <w:r>
              <w:rPr>
                <w:rFonts w:hint="eastAsia" w:ascii="宋体" w:hAnsi="宋体" w:cs="宋体"/>
                <w:lang w:eastAsia="zh-CN"/>
              </w:rPr>
              <w:t>招标人</w:t>
            </w:r>
            <w:r>
              <w:rPr>
                <w:rFonts w:hint="eastAsia" w:ascii="宋体" w:hAnsi="宋体" w:cs="宋体"/>
              </w:rPr>
              <w:t>、采购代理机构递交质疑函。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highlight w:val="none"/>
              </w:rPr>
            </w:pPr>
            <w:r>
              <w:rPr>
                <w:rFonts w:hint="eastAsia" w:ascii="宋体" w:hAnsi="宋体" w:eastAsia="宋体" w:cs="宋体"/>
                <w:highlight w:val="none"/>
                <w:lang w:eastAsia="zh-CN"/>
              </w:rPr>
              <w:t>中标</w:t>
            </w:r>
            <w:r>
              <w:rPr>
                <w:rFonts w:hint="eastAsia" w:ascii="宋体" w:hAnsi="宋体" w:cs="宋体"/>
                <w:highlight w:val="none"/>
                <w:lang w:val="en-US" w:eastAsia="zh-CN"/>
              </w:rPr>
              <w:t>公示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cs="宋体"/>
                <w:highlight w:val="none"/>
              </w:rPr>
            </w:pPr>
            <w:r>
              <w:rPr>
                <w:rFonts w:hint="eastAsia" w:ascii="宋体" w:hAnsi="宋体" w:cs="宋体"/>
                <w:highlight w:val="none"/>
                <w:lang w:val="en-US" w:eastAsia="zh-CN"/>
              </w:rPr>
              <w:t>招标人</w:t>
            </w:r>
            <w:r>
              <w:rPr>
                <w:rFonts w:hint="eastAsia" w:ascii="宋体" w:hAnsi="宋体" w:eastAsia="宋体" w:cs="宋体"/>
                <w:highlight w:val="none"/>
                <w:lang w:val="en-US" w:eastAsia="zh-CN"/>
              </w:rPr>
              <w:t>确认</w:t>
            </w:r>
            <w:r>
              <w:rPr>
                <w:rFonts w:hint="eastAsia" w:ascii="宋体" w:hAnsi="宋体" w:eastAsia="宋体" w:cs="宋体"/>
                <w:highlight w:val="none"/>
                <w:lang w:eastAsia="zh-CN"/>
              </w:rPr>
              <w:t>后</w:t>
            </w:r>
            <w:r>
              <w:rPr>
                <w:rFonts w:hint="eastAsia" w:ascii="宋体" w:hAnsi="宋体" w:cs="宋体"/>
                <w:highlight w:val="none"/>
                <w:lang w:val="en-US" w:eastAsia="zh-CN"/>
              </w:rPr>
              <w:t>3</w:t>
            </w:r>
            <w:r>
              <w:rPr>
                <w:rFonts w:hint="eastAsia" w:ascii="宋体" w:hAnsi="宋体" w:eastAsia="宋体" w:cs="宋体"/>
                <w:highlight w:val="none"/>
                <w:lang w:eastAsia="zh-CN"/>
              </w:rPr>
              <w:t>日内，中标公告发布于台州湾新区小额工程电子交易平台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highlight w:val="none"/>
              </w:rPr>
            </w:pPr>
            <w:r>
              <w:rPr>
                <w:rFonts w:hint="eastAsia" w:ascii="宋体" w:hAnsi="宋体" w:eastAsia="宋体" w:cs="宋体"/>
                <w:highlight w:val="none"/>
                <w:lang w:val="en-US" w:eastAsia="zh-CN"/>
              </w:rPr>
              <w:t>合同签订</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cs="宋体"/>
                <w:highlight w:val="none"/>
              </w:rPr>
            </w:pPr>
            <w:r>
              <w:rPr>
                <w:rFonts w:hint="eastAsia" w:ascii="宋体" w:hAnsi="宋体" w:eastAsia="宋体" w:cs="宋体"/>
                <w:highlight w:val="none"/>
                <w:lang w:eastAsia="zh-CN"/>
              </w:rPr>
              <w:t>中标通知书发出</w:t>
            </w:r>
            <w:r>
              <w:rPr>
                <w:rFonts w:hint="eastAsia" w:ascii="宋体" w:hAnsi="宋体" w:cs="宋体"/>
                <w:highlight w:val="none"/>
                <w:lang w:val="en-US" w:eastAsia="zh-CN"/>
              </w:rPr>
              <w:t>之日起</w:t>
            </w:r>
            <w:r>
              <w:rPr>
                <w:rFonts w:hint="eastAsia" w:ascii="宋体" w:hAnsi="宋体" w:eastAsia="宋体" w:cs="宋体"/>
                <w:highlight w:val="none"/>
                <w:lang w:eastAsia="zh-CN"/>
              </w:rPr>
              <w:t>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本招标文件解释权属于</w:t>
            </w:r>
            <w:r>
              <w:rPr>
                <w:rFonts w:hint="eastAsia" w:ascii="宋体" w:hAnsi="宋体" w:cs="宋体"/>
                <w:lang w:eastAsia="zh-CN"/>
              </w:rPr>
              <w:t>招标人</w:t>
            </w:r>
            <w:r>
              <w:rPr>
                <w:rFonts w:hint="eastAsia" w:ascii="宋体" w:hAnsi="宋体" w:cs="宋体"/>
              </w:rPr>
              <w:t>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cs="宋体"/>
                <w:lang w:val="en-US" w:eastAsia="zh-CN"/>
              </w:rPr>
            </w:pPr>
            <w:r>
              <w:rPr>
                <w:rFonts w:hint="eastAsia" w:ascii="宋体" w:hAnsi="宋体" w:cs="宋体"/>
                <w:lang w:val="en-US" w:eastAsia="zh-CN"/>
              </w:rPr>
              <w:t>15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val="en-US" w:eastAsia="zh-CN"/>
              </w:rPr>
            </w:pPr>
            <w:r>
              <w:rPr>
                <w:rFonts w:hint="eastAsia" w:ascii="宋体" w:hAnsi="宋体" w:cs="宋体"/>
                <w:lang w:val="en-US" w:eastAsia="zh-CN"/>
              </w:rPr>
              <w:t>真实系统演示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
              <w:numPr>
                <w:ilvl w:val="0"/>
                <w:numId w:val="0"/>
              </w:numPr>
              <w:jc w:val="both"/>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演示人员需自行携带演示设备（电脑）到现场演示</w:t>
            </w:r>
            <w:r>
              <w:rPr>
                <w:rFonts w:hint="eastAsia" w:ascii="宋体" w:hAnsi="宋体" w:cs="宋体"/>
                <w:b w:val="0"/>
                <w:bCs w:val="0"/>
                <w:kern w:val="2"/>
                <w:sz w:val="21"/>
                <w:szCs w:val="24"/>
                <w:lang w:val="en-US" w:eastAsia="zh-CN" w:bidi="ar-SA"/>
              </w:rPr>
              <w:t>真实系统，演示人员仅限1人。</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演示人员签到时间：开标当天9：00-9:30 ；</w:t>
            </w:r>
          </w:p>
          <w:p>
            <w:pPr>
              <w:rPr>
                <w:rFonts w:hint="default"/>
                <w:lang w:val="en-US" w:eastAsia="zh-CN"/>
              </w:rPr>
            </w:pPr>
            <w:r>
              <w:rPr>
                <w:rFonts w:hint="eastAsia" w:ascii="宋体" w:hAnsi="宋体" w:eastAsia="宋体" w:cs="宋体"/>
                <w:b w:val="0"/>
                <w:bCs w:val="0"/>
                <w:kern w:val="2"/>
                <w:sz w:val="21"/>
                <w:szCs w:val="24"/>
                <w:lang w:val="en-US" w:eastAsia="zh-CN" w:bidi="ar-SA"/>
              </w:rPr>
              <w:t>地址：台州湾新区海虹街道办事处一楼大厅。</w:t>
            </w:r>
          </w:p>
        </w:tc>
      </w:tr>
    </w:tbl>
    <w:p>
      <w:pPr>
        <w:pStyle w:val="14"/>
        <w:snapToGrid w:val="0"/>
        <w:spacing w:line="360" w:lineRule="auto"/>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5"/>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本招标文件适用于本项目的招标、投标、评标、定标、验收、合同履约、付款等行为（法律、法规另有规定的，从其规定）。</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：是指</w:t>
      </w:r>
      <w:r>
        <w:rPr>
          <w:rFonts w:hint="eastAsia" w:asciiTheme="minorEastAsia" w:hAnsiTheme="minorEastAsia" w:eastAsiaTheme="minorEastAsia"/>
          <w:sz w:val="24"/>
          <w:lang w:val="en-US" w:eastAsia="zh-CN"/>
        </w:rPr>
        <w:t>台州循环经济发展有限公司</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出实质性响应，经招标人按照规定在评</w:t>
      </w:r>
      <w:r>
        <w:rPr>
          <w:rFonts w:hint="eastAsia" w:ascii="宋体" w:hAnsi="宋体"/>
          <w:sz w:val="24"/>
        </w:rPr>
        <w:t>标</w:t>
      </w:r>
      <w:r>
        <w:rPr>
          <w:rFonts w:hint="eastAsia" w:ascii="宋体" w:hAnsi="宋体"/>
          <w:sz w:val="24"/>
          <w:lang w:val="zh-CN"/>
        </w:rPr>
        <w:t>委员会推荐的中标候选人中确定的或受招标人委托直接确认的，与招标人签订合同资格的投标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台州市建设咨询有限公司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招标人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1、非单一产品采购项目，</w:t>
      </w:r>
      <w:r>
        <w:rPr>
          <w:rFonts w:hint="eastAsia" w:asciiTheme="minorEastAsia" w:hAnsiTheme="minorEastAsia" w:eastAsiaTheme="minorEastAsia"/>
          <w:sz w:val="24"/>
          <w:highlight w:val="none"/>
          <w:lang w:val="en-US" w:eastAsia="zh-CN"/>
        </w:rPr>
        <w:t>招标</w:t>
      </w:r>
      <w:r>
        <w:rPr>
          <w:rFonts w:hint="eastAsia" w:asciiTheme="minorEastAsia" w:hAnsiTheme="minorEastAsia" w:eastAsiaTheme="minorEastAsia"/>
          <w:sz w:val="24"/>
          <w:highlight w:val="none"/>
        </w:rPr>
        <w:t>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w:t>
      </w:r>
    </w:p>
    <w:p>
      <w:pPr>
        <w:pStyle w:val="14"/>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员工。</w:t>
      </w:r>
    </w:p>
    <w:p>
      <w:pPr>
        <w:pStyle w:val="35"/>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highlight w:val="none"/>
          <w:u w:val="none"/>
        </w:rPr>
      </w:pPr>
      <w:r>
        <w:rPr>
          <w:rFonts w:hint="eastAsia" w:asciiTheme="minorEastAsia" w:hAnsiTheme="minorEastAsia" w:eastAsiaTheme="minorEastAsia" w:cstheme="minorBidi"/>
          <w:sz w:val="24"/>
          <w:highlight w:val="none"/>
          <w:u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日前在台州湾新区小额工程电子交易平台上以更正公告的形式通知各潜在的投标人；不足</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w:t>
      </w:r>
      <w:r>
        <w:rPr>
          <w:rFonts w:hint="eastAsia" w:ascii="宋体" w:hAnsi="宋体"/>
          <w:bCs/>
          <w:sz w:val="24"/>
          <w:lang w:val="en-US" w:eastAsia="zh-CN"/>
        </w:rPr>
        <w:t>3</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pPr>
        <w:pStyle w:val="8"/>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（1）开标一览表（附件</w:t>
      </w:r>
      <w:r>
        <w:rPr>
          <w:rFonts w:hint="eastAsia" w:cs="Times New Roman" w:asciiTheme="minorEastAsia" w:hAnsiTheme="minorEastAsia" w:eastAsiaTheme="minorEastAsia"/>
          <w:kern w:val="0"/>
          <w:sz w:val="24"/>
          <w:lang w:val="en-US" w:eastAsia="zh-CN"/>
        </w:rPr>
        <w:t>9</w:t>
      </w:r>
      <w:r>
        <w:rPr>
          <w:rFonts w:hint="eastAsia" w:cs="Times New Roman" w:asciiTheme="minorEastAsia" w:hAnsiTheme="minorEastAsia" w:eastAsiaTheme="minorEastAsia"/>
          <w:kern w:val="0"/>
          <w:sz w:val="24"/>
        </w:rPr>
        <w:t>）；</w:t>
      </w:r>
    </w:p>
    <w:p>
      <w:pPr>
        <w:autoSpaceDE w:val="0"/>
        <w:autoSpaceDN w:val="0"/>
        <w:adjustRightInd w:val="0"/>
        <w:spacing w:line="360" w:lineRule="auto"/>
        <w:ind w:firstLine="480" w:firstLineChars="200"/>
        <w:rPr>
          <w:rFonts w:hint="default"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eastAsia="zh-CN"/>
        </w:rPr>
        <w:t>（</w:t>
      </w:r>
      <w:r>
        <w:rPr>
          <w:rFonts w:hint="eastAsia" w:cs="Times New Roman" w:asciiTheme="minorEastAsia" w:hAnsiTheme="minorEastAsia" w:eastAsiaTheme="minorEastAsia"/>
          <w:kern w:val="0"/>
          <w:sz w:val="24"/>
          <w:lang w:val="en-US" w:eastAsia="zh-CN"/>
        </w:rPr>
        <w:t>2</w:t>
      </w:r>
      <w:r>
        <w:rPr>
          <w:rFonts w:hint="eastAsia" w:cs="Times New Roman" w:asciiTheme="minorEastAsia" w:hAnsiTheme="minorEastAsia" w:eastAsiaTheme="minorEastAsia"/>
          <w:kern w:val="0"/>
          <w:sz w:val="24"/>
          <w:lang w:eastAsia="zh-CN"/>
        </w:rPr>
        <w:t>）</w:t>
      </w:r>
      <w:r>
        <w:rPr>
          <w:rFonts w:hint="eastAsia" w:ascii="宋体" w:hAnsi="宋体" w:cs="宋体"/>
          <w:color w:val="auto"/>
          <w:kern w:val="0"/>
          <w:sz w:val="24"/>
          <w:highlight w:val="none"/>
        </w:rPr>
        <w:t>报价明细表</w:t>
      </w:r>
      <w:r>
        <w:rPr>
          <w:rFonts w:hint="eastAsia" w:cs="Times New Roman" w:asciiTheme="minorEastAsia" w:hAnsiTheme="minorEastAsia" w:eastAsiaTheme="minorEastAsia"/>
          <w:kern w:val="0"/>
          <w:sz w:val="24"/>
          <w:lang w:val="en-US" w:eastAsia="zh-CN"/>
        </w:rPr>
        <w:t>（附件10）；</w:t>
      </w:r>
    </w:p>
    <w:p>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w:t>
      </w:r>
      <w:r>
        <w:rPr>
          <w:rFonts w:hint="eastAsia" w:cs="Times New Roman" w:asciiTheme="minorEastAsia" w:hAnsiTheme="minorEastAsia" w:eastAsiaTheme="minorEastAsia"/>
          <w:kern w:val="0"/>
          <w:sz w:val="24"/>
          <w:lang w:val="en-US" w:eastAsia="zh-CN"/>
        </w:rPr>
        <w:t>3</w:t>
      </w:r>
      <w:r>
        <w:rPr>
          <w:rFonts w:hint="eastAsia" w:cs="Times New Roman"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cs="Times New Roman" w:asciiTheme="minorEastAsia" w:hAnsiTheme="minorEastAsia" w:eastAsiaTheme="minorEastAsia"/>
          <w:bCs/>
          <w:kern w:val="0"/>
          <w:sz w:val="24"/>
          <w:highlight w:val="none"/>
        </w:rPr>
        <w:t>，</w:t>
      </w:r>
      <w:r>
        <w:rPr>
          <w:rFonts w:hint="eastAsia" w:cs="Times New Roman" w:asciiTheme="minorEastAsia" w:hAnsiTheme="minorEastAsia" w:eastAsiaTheme="minorEastAsia"/>
          <w:bCs/>
          <w:kern w:val="0"/>
          <w:sz w:val="24"/>
          <w:highlight w:val="none"/>
          <w:lang w:val="en-US" w:eastAsia="zh-CN"/>
        </w:rPr>
        <w:t>其应包括</w:t>
      </w:r>
      <w:r>
        <w:rPr>
          <w:rFonts w:hint="eastAsia" w:cs="Times New Roman" w:asciiTheme="minorEastAsia" w:hAnsiTheme="minorEastAsia" w:eastAsiaTheme="minorEastAsia"/>
          <w:bCs/>
          <w:kern w:val="0"/>
          <w:sz w:val="24"/>
          <w:highlight w:val="none"/>
        </w:rPr>
        <w:t>本项目的软件开发实施项目所需的需求调研费</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系统设计、开发、测试、</w:t>
      </w:r>
      <w:r>
        <w:rPr>
          <w:rFonts w:hint="eastAsia" w:cs="Times New Roman" w:asciiTheme="minorEastAsia" w:hAnsiTheme="minorEastAsia" w:eastAsiaTheme="minorEastAsia"/>
          <w:bCs/>
          <w:kern w:val="0"/>
          <w:sz w:val="24"/>
          <w:highlight w:val="none"/>
        </w:rPr>
        <w:t>系统集成（含软、硬件）</w:t>
      </w:r>
      <w:r>
        <w:rPr>
          <w:rFonts w:hint="eastAsia" w:cs="Times New Roman" w:asciiTheme="minorEastAsia" w:hAnsiTheme="minorEastAsia" w:eastAsiaTheme="minorEastAsia"/>
          <w:bCs/>
          <w:kern w:val="0"/>
          <w:sz w:val="24"/>
          <w:highlight w:val="none"/>
          <w:lang w:val="en-US" w:eastAsia="zh-CN"/>
        </w:rPr>
        <w:t>实施、</w:t>
      </w:r>
      <w:r>
        <w:rPr>
          <w:rFonts w:hint="eastAsia" w:cs="Times New Roman" w:asciiTheme="minorEastAsia" w:hAnsiTheme="minorEastAsia" w:eastAsiaTheme="minorEastAsia"/>
          <w:bCs/>
          <w:kern w:val="0"/>
          <w:sz w:val="24"/>
          <w:highlight w:val="none"/>
        </w:rPr>
        <w:t>接口费用</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运行维护、</w:t>
      </w:r>
      <w:r>
        <w:rPr>
          <w:rFonts w:hint="eastAsia" w:cs="Times New Roman" w:asciiTheme="minorEastAsia" w:hAnsiTheme="minorEastAsia" w:eastAsiaTheme="minorEastAsia"/>
          <w:bCs/>
          <w:kern w:val="0"/>
          <w:sz w:val="24"/>
          <w:highlight w:val="none"/>
        </w:rPr>
        <w:t>安全性评估、</w:t>
      </w:r>
      <w:r>
        <w:rPr>
          <w:rFonts w:hint="eastAsia" w:cs="Times New Roman" w:asciiTheme="minorEastAsia" w:hAnsiTheme="minorEastAsia" w:eastAsiaTheme="minorEastAsia"/>
          <w:bCs/>
          <w:kern w:val="0"/>
          <w:sz w:val="24"/>
          <w:highlight w:val="none"/>
          <w:lang w:val="en-US" w:eastAsia="zh-CN"/>
        </w:rPr>
        <w:t>配合</w:t>
      </w:r>
      <w:r>
        <w:rPr>
          <w:rFonts w:hint="eastAsia" w:cs="Times New Roman" w:asciiTheme="minorEastAsia" w:hAnsiTheme="minorEastAsia" w:eastAsiaTheme="minorEastAsia"/>
          <w:bCs/>
          <w:kern w:val="0"/>
          <w:sz w:val="24"/>
          <w:highlight w:val="none"/>
        </w:rPr>
        <w:t>密评检测、</w:t>
      </w:r>
      <w:r>
        <w:rPr>
          <w:rFonts w:hint="eastAsia" w:cs="Times New Roman" w:asciiTheme="minorEastAsia" w:hAnsiTheme="minorEastAsia" w:eastAsiaTheme="minorEastAsia"/>
          <w:bCs/>
          <w:kern w:val="0"/>
          <w:sz w:val="24"/>
          <w:highlight w:val="none"/>
          <w:lang w:val="en-US" w:eastAsia="zh-CN"/>
        </w:rPr>
        <w:t>税</w:t>
      </w:r>
      <w:r>
        <w:rPr>
          <w:rFonts w:hint="eastAsia" w:asciiTheme="minorEastAsia" w:hAnsiTheme="minorEastAsia" w:eastAsiaTheme="minorEastAsia"/>
          <w:bCs/>
          <w:kern w:val="0"/>
          <w:sz w:val="24"/>
          <w:highlight w:val="none"/>
          <w:lang w:val="en-US" w:eastAsia="zh-CN"/>
        </w:rPr>
        <w:t>金、验收、培训、辅助工作、验收、保险、税金、质保及售后技术服务等一切项目发生的其他费用。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w:t>
      </w:r>
      <w:r>
        <w:rPr>
          <w:rFonts w:hint="eastAsia" w:asciiTheme="minorEastAsia" w:hAnsiTheme="minorEastAsia" w:eastAsiaTheme="minorEastAsia" w:cstheme="minorEastAsia"/>
          <w:sz w:val="24"/>
          <w:lang w:val="en-GB" w:eastAsia="zh-CN"/>
        </w:rPr>
        <w:t>招标人</w:t>
      </w:r>
      <w:r>
        <w:rPr>
          <w:rFonts w:hint="eastAsia" w:asciiTheme="minorEastAsia" w:hAnsiTheme="minorEastAsia" w:eastAsiaTheme="minorEastAsia" w:cstheme="minorEastAsia"/>
          <w:sz w:val="24"/>
          <w:lang w:val="en-GB"/>
        </w:rPr>
        <w:t>可与投标人协商延长投标文件的有效期。</w:t>
      </w:r>
    </w:p>
    <w:p>
      <w:pPr>
        <w:snapToGrid w:val="0"/>
        <w:spacing w:line="360" w:lineRule="auto"/>
        <w:ind w:firstLine="480" w:firstLineChars="200"/>
        <w:rPr>
          <w:rFonts w:ascii="宋体" w:hAnsi="宋体"/>
          <w:b/>
          <w:color w:val="auto"/>
          <w:sz w:val="24"/>
          <w:highlight w:val="none"/>
        </w:rPr>
      </w:pPr>
      <w:r>
        <w:rPr>
          <w:rFonts w:hint="eastAsia" w:asciiTheme="minorEastAsia" w:hAnsiTheme="minorEastAsia" w:eastAsiaTheme="minorEastAsia" w:cstheme="minorEastAsia"/>
          <w:sz w:val="24"/>
        </w:rPr>
        <w:t>3.中标人的投标文件自开标之日起至合同履行完毕均应保持有效。</w:t>
      </w:r>
    </w:p>
    <w:p>
      <w:pPr>
        <w:spacing w:line="360" w:lineRule="auto"/>
        <w:ind w:firstLine="482" w:firstLineChars="200"/>
        <w:rPr>
          <w:rFonts w:hint="eastAsia" w:cs="Times New Roman" w:asciiTheme="minorEastAsia" w:hAnsiTheme="minorEastAsia" w:eastAsiaTheme="minorEastAsia"/>
          <w:b/>
          <w:bCs w:val="0"/>
          <w:kern w:val="0"/>
          <w:sz w:val="24"/>
          <w:highlight w:val="none"/>
        </w:rPr>
      </w:pPr>
      <w:r>
        <w:rPr>
          <w:rFonts w:hint="eastAsia" w:cs="Times New Roman" w:asciiTheme="minorEastAsia" w:hAnsiTheme="minorEastAsia" w:eastAsiaTheme="minorEastAsia"/>
          <w:b/>
          <w:bCs w:val="0"/>
          <w:kern w:val="0"/>
          <w:sz w:val="24"/>
          <w:highlight w:val="none"/>
        </w:rPr>
        <w:t>（</w:t>
      </w:r>
      <w:r>
        <w:rPr>
          <w:rFonts w:hint="eastAsia" w:cs="Times New Roman" w:asciiTheme="minorEastAsia" w:hAnsiTheme="minorEastAsia" w:eastAsiaTheme="minorEastAsia"/>
          <w:b/>
          <w:bCs w:val="0"/>
          <w:kern w:val="0"/>
          <w:sz w:val="24"/>
          <w:highlight w:val="none"/>
          <w:lang w:val="en-US" w:eastAsia="zh-CN"/>
        </w:rPr>
        <w:t>四</w:t>
      </w:r>
      <w:r>
        <w:rPr>
          <w:rFonts w:hint="eastAsia" w:cs="Times New Roman" w:asciiTheme="minorEastAsia" w:hAnsiTheme="minorEastAsia" w:eastAsiaTheme="minorEastAsia"/>
          <w:b/>
          <w:bCs w:val="0"/>
          <w:kern w:val="0"/>
          <w:sz w:val="24"/>
          <w:highlight w:val="none"/>
        </w:rPr>
        <w:t>）投标保证金</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▲1.投标人须按规定提交投标保证金。否则，其投标将被拒绝。</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2.保证金形式：现金转账、银行保函、保险机构保证保险保单、融资担保公司保函。</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3.未中标人的投标保证金在中标通知书发出后5个工作日内退还。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4.中标人应在中标通知书发出后30日内与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签订合同，中标人的投标保证金在合同签订后5天内退还。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5.保证金不计息。</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6.投标人有下列情形之一的，投标保证金将不予退还：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（1）投标人在投标有效期内撤回投标文件的；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（2）未按规定提交履约保证金或履约保函的；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（3）投标人在投标过程中弄虚作假，提供虚假材料的；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（4）中标人无正当理由不与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（5）将中标项目转让给他人或者在投标文件中未说明且未经招标采购单位同意，将中标项目分包给他人的；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（6）拒绝履行合同义务的；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（7）其他严重扰乱招投标程序的；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（8）投标人违反《</w:t>
      </w:r>
      <w:r>
        <w:rPr>
          <w:rFonts w:hint="eastAsia" w:cs="Times New Roman" w:asciiTheme="minorEastAsia" w:hAnsiTheme="minorEastAsia" w:eastAsiaTheme="minorEastAsia"/>
          <w:bCs/>
          <w:kern w:val="0"/>
          <w:sz w:val="24"/>
          <w:highlight w:val="none"/>
          <w:lang w:val="en-US" w:eastAsia="zh-CN"/>
        </w:rPr>
        <w:t>投标声明书</w:t>
      </w:r>
      <w:r>
        <w:rPr>
          <w:rFonts w:hint="eastAsia" w:cs="Times New Roman" w:asciiTheme="minorEastAsia" w:hAnsiTheme="minorEastAsia" w:eastAsiaTheme="minorEastAsia"/>
          <w:bCs/>
          <w:kern w:val="0"/>
          <w:sz w:val="24"/>
          <w:highlight w:val="none"/>
        </w:rPr>
        <w:t>》承诺内容的；</w:t>
      </w:r>
    </w:p>
    <w:p>
      <w:pPr>
        <w:spacing w:line="360" w:lineRule="auto"/>
        <w:ind w:firstLine="480" w:firstLineChars="200"/>
        <w:rPr>
          <w:rFonts w:ascii="宋体" w:hAnsi="宋体"/>
          <w:color w:val="auto"/>
          <w:sz w:val="24"/>
          <w:highlight w:val="none"/>
        </w:rPr>
      </w:pPr>
      <w:r>
        <w:rPr>
          <w:rFonts w:hint="eastAsia" w:cs="Times New Roman" w:asciiTheme="minorEastAsia" w:hAnsiTheme="minorEastAsia" w:eastAsiaTheme="minorEastAsia"/>
          <w:bCs/>
          <w:kern w:val="0"/>
          <w:sz w:val="24"/>
          <w:highlight w:val="none"/>
        </w:rPr>
        <w:t>（9）有《关于印发&lt;台州市工程建设投标保函管理规定&gt;的通知》（台公管办〔2022〕2号）第十一条规定情形的。</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五</w:t>
      </w:r>
      <w:r>
        <w:rPr>
          <w:rFonts w:hint="eastAsia" w:asciiTheme="minorEastAsia" w:hAnsiTheme="minorEastAsia" w:eastAsiaTheme="minorEastAsia"/>
          <w:b/>
          <w:kern w:val="0"/>
          <w:sz w:val="24"/>
        </w:rPr>
        <w:t>）投标文件的签署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或经其正式授权的代表签字或盖章，其《授权</w:t>
      </w:r>
      <w:r>
        <w:rPr>
          <w:rFonts w:hint="eastAsia" w:asciiTheme="minorEastAsia" w:hAnsiTheme="minorEastAsia" w:eastAsiaTheme="minorEastAsia"/>
          <w:bCs/>
          <w:kern w:val="0"/>
          <w:sz w:val="24"/>
          <w:lang w:val="en-US" w:eastAsia="zh-CN"/>
        </w:rPr>
        <w:t>委托书</w:t>
      </w:r>
      <w:r>
        <w:rPr>
          <w:rFonts w:hint="eastAsia" w:asciiTheme="minorEastAsia" w:hAnsiTheme="minorEastAsia" w:eastAsiaTheme="minorEastAsia"/>
          <w:bCs/>
          <w:kern w:val="0"/>
          <w:sz w:val="24"/>
        </w:rPr>
        <w:t>》应附在投标文件中。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六</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beforeLines="50" w:line="360" w:lineRule="exact"/>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七</w:t>
      </w:r>
      <w:r>
        <w:rPr>
          <w:rFonts w:hint="eastAsia" w:ascii="宋体" w:hAnsi="宋体"/>
          <w:b/>
          <w:color w:val="auto"/>
          <w:sz w:val="24"/>
          <w:highlight w:val="none"/>
        </w:rPr>
        <w:t>）投标无效的情形</w:t>
      </w:r>
    </w:p>
    <w:p>
      <w:pPr>
        <w:snapToGrid w:val="0"/>
        <w:spacing w:line="360" w:lineRule="auto"/>
        <w:ind w:firstLine="480" w:firstLineChars="200"/>
        <w:rPr>
          <w:rFonts w:ascii="宋体" w:hAnsi="宋体"/>
          <w:bCs/>
          <w:color w:val="auto"/>
          <w:sz w:val="24"/>
          <w:szCs w:val="20"/>
          <w:highlight w:val="none"/>
        </w:rPr>
      </w:pPr>
      <w:r>
        <w:rPr>
          <w:rFonts w:hint="eastAsia" w:cs="Times New Roman" w:asciiTheme="minorEastAsia" w:hAnsiTheme="minorEastAsia" w:eastAsiaTheme="minorEastAsia"/>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w:t>
      </w:r>
      <w:r>
        <w:rPr>
          <w:rFonts w:hint="eastAsia" w:ascii="宋体" w:hAnsi="宋体"/>
          <w:b/>
          <w:bCs/>
          <w:color w:val="auto"/>
          <w:sz w:val="24"/>
          <w:highlight w:val="none"/>
          <w:lang w:val="en-US" w:eastAsia="zh-CN"/>
        </w:rPr>
        <w:t>资格</w:t>
      </w:r>
      <w:r>
        <w:rPr>
          <w:rFonts w:ascii="宋体" w:hAnsi="宋体"/>
          <w:b/>
          <w:bCs/>
          <w:color w:val="auto"/>
          <w:sz w:val="24"/>
          <w:highlight w:val="none"/>
        </w:rPr>
        <w:t>评审时，如发现下列情形之一的，投标文件将被视为无效：</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（3）投标文件未按招标文件要求签署、盖章的；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pPr>
        <w:snapToGrid w:val="0"/>
        <w:spacing w:line="360" w:lineRule="auto"/>
        <w:ind w:firstLine="470" w:firstLineChars="196"/>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pPr>
        <w:snapToGrid w:val="0"/>
        <w:spacing w:line="360" w:lineRule="auto"/>
        <w:ind w:firstLine="470" w:firstLineChars="196"/>
        <w:jc w:val="left"/>
        <w:rPr>
          <w:rFonts w:hint="default" w:eastAsia="宋体"/>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投标人有串通投标、弄虚作假、行贿等违法行为的；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70" w:firstLineChars="196"/>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（11）未实质性响应招标文件要求或者投标文件有招标方不能接受的附加条件的；</w:t>
      </w:r>
    </w:p>
    <w:p>
      <w:pPr>
        <w:snapToGrid w:val="0"/>
        <w:spacing w:line="360" w:lineRule="auto"/>
        <w:ind w:firstLine="470" w:firstLineChars="196"/>
        <w:jc w:val="left"/>
        <w:rPr>
          <w:rFonts w:hAnsi="宋体"/>
          <w:color w:val="auto"/>
          <w:sz w:val="24"/>
          <w:highlight w:val="none"/>
        </w:rPr>
      </w:pPr>
      <w:r>
        <w:rPr>
          <w:rFonts w:hint="eastAsia" w:ascii="宋体" w:hAnsi="宋体" w:cs="Times New Roman"/>
          <w:color w:val="auto"/>
          <w:sz w:val="24"/>
          <w:highlight w:val="none"/>
          <w:lang w:val="en-US" w:eastAsia="zh-CN"/>
        </w:rPr>
        <w:t>（12）法律</w:t>
      </w:r>
      <w:r>
        <w:rPr>
          <w:rFonts w:hint="eastAsia" w:hAnsi="宋体"/>
          <w:color w:val="auto"/>
          <w:sz w:val="24"/>
          <w:highlight w:val="none"/>
        </w:rPr>
        <w:t>法规或规章规定属无效标情形的。</w:t>
      </w:r>
    </w:p>
    <w:p>
      <w:pPr>
        <w:pStyle w:val="12"/>
        <w:snapToGrid w:val="0"/>
        <w:spacing w:line="360" w:lineRule="auto"/>
        <w:rPr>
          <w:rFonts w:hAnsi="宋体"/>
          <w:b/>
          <w:bCs/>
          <w:color w:val="auto"/>
          <w:sz w:val="24"/>
          <w:highlight w:val="none"/>
        </w:rPr>
      </w:pPr>
      <w:r>
        <w:rPr>
          <w:rFonts w:hint="eastAsia" w:hAnsi="宋体"/>
          <w:b/>
          <w:bCs/>
          <w:color w:val="auto"/>
          <w:sz w:val="24"/>
          <w:highlight w:val="none"/>
        </w:rPr>
        <w:t>2.在技术标评审时，如发现下列情形之一的，投标文件将被视为无效：</w:t>
      </w:r>
    </w:p>
    <w:p>
      <w:pPr>
        <w:pStyle w:val="12"/>
        <w:snapToGrid w:val="0"/>
        <w:spacing w:line="360" w:lineRule="auto"/>
        <w:rPr>
          <w:rFonts w:ascii="仿宋" w:hAnsi="仿宋" w:cs="仿宋"/>
          <w:color w:val="auto"/>
          <w:sz w:val="22"/>
          <w:szCs w:val="22"/>
          <w:highlight w:val="none"/>
        </w:rPr>
      </w:pPr>
      <w:r>
        <w:rPr>
          <w:rFonts w:hint="eastAsia" w:hAnsi="宋体"/>
          <w:color w:val="auto"/>
          <w:sz w:val="24"/>
          <w:highlight w:val="none"/>
        </w:rPr>
        <w:t>（1）未实质性响应招标文件要求或者明显不符合招标文件要求的规格型号、质量标准</w:t>
      </w:r>
      <w:r>
        <w:rPr>
          <w:rFonts w:hint="eastAsia" w:ascii="仿宋" w:hAnsi="仿宋" w:eastAsia="仿宋" w:cs="仿宋"/>
          <w:color w:val="auto"/>
          <w:sz w:val="22"/>
          <w:szCs w:val="22"/>
          <w:highlight w:val="none"/>
        </w:rPr>
        <w:t>。</w:t>
      </w:r>
    </w:p>
    <w:p>
      <w:pPr>
        <w:pStyle w:val="12"/>
        <w:snapToGrid w:val="0"/>
        <w:spacing w:line="360" w:lineRule="auto"/>
        <w:rPr>
          <w:rFonts w:hAnsi="宋体"/>
          <w:b/>
          <w:bCs/>
          <w:color w:val="auto"/>
          <w:sz w:val="24"/>
          <w:highlight w:val="none"/>
        </w:rPr>
      </w:pPr>
      <w:r>
        <w:rPr>
          <w:rFonts w:hint="eastAsia" w:hAnsi="宋体" w:cs="Calibri"/>
          <w:b/>
          <w:bCs/>
          <w:color w:val="auto"/>
          <w:sz w:val="24"/>
          <w:highlight w:val="none"/>
        </w:rPr>
        <w:t>3</w:t>
      </w:r>
      <w:r>
        <w:rPr>
          <w:rFonts w:hAnsi="宋体" w:cs="Calibri"/>
          <w:b/>
          <w:bCs/>
          <w:color w:val="auto"/>
          <w:sz w:val="24"/>
          <w:highlight w:val="none"/>
        </w:rPr>
        <w:t>.</w:t>
      </w:r>
      <w:r>
        <w:rPr>
          <w:rFonts w:hAnsi="宋体"/>
          <w:b/>
          <w:bCs/>
          <w:color w:val="auto"/>
          <w:sz w:val="24"/>
          <w:highlight w:val="none"/>
        </w:rPr>
        <w:t>在报价评审时，如发现下列情形之一的，投标文件将被视为无效：</w:t>
      </w:r>
    </w:p>
    <w:p>
      <w:pPr>
        <w:pStyle w:val="12"/>
        <w:snapToGrid w:val="0"/>
        <w:spacing w:line="360" w:lineRule="auto"/>
        <w:rPr>
          <w:rFonts w:hAnsi="宋体"/>
          <w:color w:val="auto"/>
          <w:sz w:val="24"/>
          <w:highlight w:val="none"/>
        </w:rPr>
      </w:pPr>
      <w:r>
        <w:rPr>
          <w:rFonts w:hint="eastAsia" w:hAnsi="宋体"/>
          <w:color w:val="auto"/>
          <w:sz w:val="24"/>
          <w:highlight w:val="none"/>
        </w:rPr>
        <w:t>（1）未采用人民币报价或者未按照招标文件标明的币种报价的；</w:t>
      </w:r>
    </w:p>
    <w:p>
      <w:pPr>
        <w:pStyle w:val="12"/>
        <w:snapToGrid w:val="0"/>
        <w:spacing w:line="360" w:lineRule="auto"/>
        <w:rPr>
          <w:rFonts w:hAnsi="宋体"/>
          <w:color w:val="auto"/>
          <w:sz w:val="24"/>
          <w:highlight w:val="none"/>
        </w:rPr>
      </w:pPr>
      <w:r>
        <w:rPr>
          <w:rFonts w:hint="eastAsia" w:hAnsi="宋体"/>
          <w:color w:val="auto"/>
          <w:sz w:val="24"/>
          <w:highlight w:val="none"/>
        </w:rPr>
        <w:t>（2）投标报价具有选择性，或者开标价格与投标文件承诺的优惠（折扣）价格不一致的；</w:t>
      </w:r>
    </w:p>
    <w:p>
      <w:pPr>
        <w:pStyle w:val="12"/>
        <w:snapToGrid w:val="0"/>
        <w:spacing w:line="360" w:lineRule="auto"/>
        <w:rPr>
          <w:rFonts w:hAnsi="宋体"/>
          <w:color w:val="auto"/>
          <w:sz w:val="24"/>
          <w:highlight w:val="none"/>
        </w:rPr>
      </w:pPr>
      <w:r>
        <w:rPr>
          <w:rFonts w:hint="eastAsia" w:hAnsi="宋体"/>
          <w:color w:val="auto"/>
          <w:sz w:val="24"/>
          <w:highlight w:val="none"/>
        </w:rPr>
        <w:t>（3）投标报价不得超过单价最高限价或总价最高限价，超过单价最高限价或总价最高限价的报价为无效标。</w:t>
      </w:r>
    </w:p>
    <w:p>
      <w:pPr>
        <w:pStyle w:val="12"/>
        <w:snapToGrid w:val="0"/>
        <w:spacing w:line="360" w:lineRule="auto"/>
        <w:rPr>
          <w:rFonts w:hAnsi="宋体"/>
          <w:color w:val="auto"/>
          <w:sz w:val="24"/>
          <w:highlight w:val="none"/>
        </w:rPr>
      </w:pPr>
      <w:r>
        <w:rPr>
          <w:rFonts w:hint="eastAsia" w:hAnsi="宋体"/>
          <w:color w:val="auto"/>
          <w:sz w:val="24"/>
          <w:highlight w:val="none"/>
        </w:rPr>
        <w:t>（4）</w:t>
      </w:r>
      <w:r>
        <w:rPr>
          <w:rFonts w:hint="eastAsia" w:hAnsi="宋体"/>
          <w:b/>
          <w:color w:val="auto"/>
          <w:sz w:val="24"/>
          <w:highlight w:val="none"/>
        </w:rPr>
        <w:t>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r>
        <w:rPr>
          <w:rFonts w:hint="eastAsia" w:hAnsi="宋体"/>
          <w:color w:val="auto"/>
          <w:sz w:val="24"/>
          <w:highlight w:val="none"/>
        </w:rPr>
        <w:t>。</w:t>
      </w:r>
    </w:p>
    <w:p>
      <w:pPr>
        <w:pStyle w:val="12"/>
        <w:snapToGrid w:val="0"/>
        <w:spacing w:line="360" w:lineRule="auto"/>
        <w:rPr>
          <w:rFonts w:hAnsi="宋体"/>
          <w:b/>
          <w:color w:val="auto"/>
          <w:sz w:val="24"/>
          <w:highlight w:val="none"/>
        </w:rPr>
      </w:pPr>
      <w:r>
        <w:rPr>
          <w:rFonts w:hint="eastAsia" w:hAnsi="宋体"/>
          <w:b/>
          <w:color w:val="auto"/>
          <w:sz w:val="24"/>
          <w:highlight w:val="none"/>
        </w:rPr>
        <w:t>4</w:t>
      </w:r>
      <w:r>
        <w:rPr>
          <w:rFonts w:hAnsi="宋体"/>
          <w:b/>
          <w:color w:val="auto"/>
          <w:sz w:val="24"/>
          <w:highlight w:val="none"/>
        </w:rPr>
        <w:t>.被拒绝的报价文件为无效。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4"/>
        <w:snapToGrid w:val="0"/>
        <w:spacing w:line="360" w:lineRule="auto"/>
        <w:ind w:firstLine="413" w:firstLineChars="196"/>
        <w:rPr>
          <w:rFonts w:hAnsi="宋体"/>
          <w:b/>
          <w:bCs/>
        </w:rPr>
      </w:pPr>
      <w:r>
        <w:rPr>
          <w:rFonts w:hAnsi="宋体"/>
          <w:b/>
          <w:bCs/>
        </w:rPr>
        <w:t>（一）开标</w:t>
      </w:r>
    </w:p>
    <w:p>
      <w:pPr>
        <w:pStyle w:val="21"/>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pPr>
        <w:pStyle w:val="14"/>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招标人</w:t>
      </w:r>
      <w:r>
        <w:rPr>
          <w:rFonts w:ascii="宋体" w:hAnsi="宋体" w:cs="宋体"/>
          <w:sz w:val="24"/>
        </w:rPr>
        <w:t>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8"/>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8"/>
        <w:spacing w:line="360" w:lineRule="auto"/>
        <w:ind w:firstLine="723" w:firstLineChars="300"/>
        <w:rPr>
          <w:b/>
          <w:bCs/>
          <w:sz w:val="24"/>
          <w:szCs w:val="22"/>
        </w:rPr>
      </w:pPr>
      <w:r>
        <w:rPr>
          <w:rFonts w:hint="eastAsia"/>
          <w:b/>
          <w:bCs/>
          <w:sz w:val="24"/>
          <w:szCs w:val="22"/>
        </w:rPr>
        <w:t>（四）开标异议</w:t>
      </w:r>
    </w:p>
    <w:p>
      <w:pPr>
        <w:pStyle w:val="8"/>
        <w:spacing w:line="360" w:lineRule="auto"/>
        <w:ind w:firstLine="480" w:firstLineChars="200"/>
        <w:rPr>
          <w:sz w:val="24"/>
          <w:szCs w:val="22"/>
        </w:rPr>
      </w:pPr>
      <w:r>
        <w:rPr>
          <w:rFonts w:hint="eastAsia"/>
          <w:sz w:val="24"/>
          <w:szCs w:val="22"/>
        </w:rPr>
        <w:t>投标人代表对开标过程和开标记录有疑义，以及认为</w:t>
      </w:r>
      <w:r>
        <w:rPr>
          <w:rFonts w:hint="eastAsia"/>
          <w:sz w:val="24"/>
          <w:szCs w:val="22"/>
          <w:lang w:eastAsia="zh-CN"/>
        </w:rPr>
        <w:t>招标人</w:t>
      </w:r>
      <w:r>
        <w:rPr>
          <w:rFonts w:hint="eastAsia"/>
          <w:sz w:val="24"/>
          <w:szCs w:val="22"/>
        </w:rPr>
        <w:t>、采购组织机构相关工作人员有需要回避的情形的，应当场提出询问或者回避申请，开标会议结束后不再接受相关询问、质疑或者回避申请。</w:t>
      </w:r>
    </w:p>
    <w:p>
      <w:pPr>
        <w:snapToGrid w:val="0"/>
        <w:spacing w:line="360" w:lineRule="auto"/>
        <w:ind w:firstLine="482" w:firstLineChars="200"/>
        <w:rPr>
          <w:rFonts w:hint="eastAsia" w:ascii="宋体" w:hAnsi="宋体" w:eastAsia="宋体" w:cs="Times New Roman"/>
          <w:sz w:val="24"/>
        </w:rPr>
      </w:pPr>
      <w:r>
        <w:rPr>
          <w:rFonts w:hint="eastAsia" w:ascii="宋体" w:hAnsi="宋体" w:eastAsia="宋体" w:cs="Times New Roman"/>
          <w:b/>
          <w:bCs/>
          <w:sz w:val="24"/>
        </w:rPr>
        <w:t>（五）投标人不足三家，不得开标。</w:t>
      </w:r>
    </w:p>
    <w:p>
      <w:pPr>
        <w:pStyle w:val="14"/>
        <w:snapToGrid w:val="0"/>
        <w:spacing w:before="156" w:after="156" w:line="360" w:lineRule="auto"/>
        <w:ind w:left="787" w:leftChars="128" w:hanging="518" w:hangingChars="215"/>
        <w:rPr>
          <w:rFonts w:hint="eastAsia" w:asciiTheme="minorEastAsia" w:hAnsiTheme="minorEastAsia" w:eastAsiaTheme="minorEastAsia"/>
          <w:b/>
          <w:sz w:val="24"/>
        </w:rPr>
      </w:pPr>
      <w:r>
        <w:rPr>
          <w:rFonts w:hint="eastAsia" w:asciiTheme="minorEastAsia" w:hAnsiTheme="minorEastAsia" w:eastAsiaTheme="minorEastAsia"/>
          <w:b/>
          <w:sz w:val="24"/>
        </w:rPr>
        <w:t>五、评标</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（一）组建</w:t>
      </w:r>
      <w:r>
        <w:rPr>
          <w:rFonts w:hint="eastAsia" w:ascii="宋体" w:hAnsi="宋体" w:eastAsia="宋体" w:cs="Times New Roman"/>
          <w:b/>
          <w:bCs/>
          <w:color w:val="0D0D0D"/>
          <w:kern w:val="2"/>
          <w:sz w:val="24"/>
          <w:szCs w:val="24"/>
          <w:lang w:val="en-US" w:eastAsia="zh-CN" w:bidi="ar-SA"/>
        </w:rPr>
        <w:t>评标委员会</w:t>
      </w:r>
    </w:p>
    <w:p>
      <w:pPr>
        <w:pStyle w:val="14"/>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本项目评标委员会由评审专家和</w:t>
      </w:r>
      <w:r>
        <w:rPr>
          <w:rFonts w:hint="eastAsia" w:ascii="Times New Roman" w:hAnsi="Times New Roman" w:cs="Times New Roman"/>
          <w:kern w:val="2"/>
          <w:sz w:val="24"/>
          <w:szCs w:val="22"/>
          <w:lang w:val="en-US" w:eastAsia="zh-CN" w:bidi="ar-SA"/>
        </w:rPr>
        <w:t>招标人</w:t>
      </w:r>
      <w:r>
        <w:rPr>
          <w:rFonts w:hint="eastAsia" w:ascii="Times New Roman" w:hAnsi="Times New Roman" w:eastAsia="宋体" w:cs="Times New Roman"/>
          <w:kern w:val="2"/>
          <w:sz w:val="24"/>
          <w:szCs w:val="22"/>
          <w:lang w:val="en-US" w:eastAsia="zh-CN" w:bidi="ar-SA"/>
        </w:rPr>
        <w:t>代表</w:t>
      </w:r>
      <w:r>
        <w:rPr>
          <w:rFonts w:hint="eastAsia" w:ascii="Times New Roman" w:hAnsi="Times New Roman" w:cs="Times New Roman"/>
          <w:kern w:val="2"/>
          <w:sz w:val="24"/>
          <w:szCs w:val="22"/>
          <w:lang w:val="en-US" w:eastAsia="zh-CN" w:bidi="ar-SA"/>
        </w:rPr>
        <w:t>（如有）</w:t>
      </w:r>
      <w:r>
        <w:rPr>
          <w:rFonts w:hint="eastAsia" w:ascii="Times New Roman" w:hAnsi="Times New Roman" w:eastAsia="宋体" w:cs="Times New Roman"/>
          <w:kern w:val="2"/>
          <w:sz w:val="24"/>
          <w:szCs w:val="22"/>
          <w:lang w:val="en-US" w:eastAsia="zh-CN" w:bidi="ar-SA"/>
        </w:rPr>
        <w:t>组成。</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（二）评标的方式</w:t>
      </w:r>
    </w:p>
    <w:p>
      <w:pPr>
        <w:pStyle w:val="14"/>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本项目采用不公开方式评标，评标的依据为招标文件和报价文件。</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（三）评标程序</w:t>
      </w:r>
    </w:p>
    <w:p>
      <w:pPr>
        <w:snapToGrid w:val="0"/>
        <w:spacing w:line="360" w:lineRule="auto"/>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360" w:lineRule="auto"/>
        <w:ind w:firstLine="480" w:firstLineChars="200"/>
        <w:rPr>
          <w:rFonts w:hint="eastAsia" w:ascii="宋体" w:hAnsi="宋体"/>
          <w:b/>
          <w:color w:val="0D0D0D"/>
          <w:sz w:val="24"/>
          <w:szCs w:val="20"/>
        </w:rPr>
      </w:pPr>
      <w:r>
        <w:rPr>
          <w:rFonts w:hint="eastAsia" w:ascii="宋体" w:hAnsi="宋体"/>
          <w:color w:val="0D0D0D"/>
          <w:sz w:val="24"/>
        </w:rPr>
        <w:t>评标委员会对投标人的资格</w:t>
      </w:r>
      <w:r>
        <w:rPr>
          <w:rFonts w:ascii="宋体" w:hAnsi="宋体"/>
          <w:color w:val="0D0D0D"/>
          <w:sz w:val="24"/>
        </w:rPr>
        <w:t>和报价文件的完整性、合法性等进行审查。</w:t>
      </w:r>
    </w:p>
    <w:p>
      <w:pPr>
        <w:snapToGrid w:val="0"/>
        <w:spacing w:line="360" w:lineRule="auto"/>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360" w:lineRule="auto"/>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360" w:lineRule="auto"/>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autoSpaceDE w:val="0"/>
        <w:autoSpaceDN w:val="0"/>
        <w:adjustRightInd w:val="0"/>
        <w:spacing w:line="360" w:lineRule="auto"/>
        <w:ind w:firstLine="359" w:firstLineChars="149"/>
        <w:rPr>
          <w:rFonts w:ascii="宋体" w:hAnsi="宋体"/>
          <w:b/>
          <w:color w:val="auto"/>
          <w:kern w:val="0"/>
          <w:sz w:val="24"/>
          <w:highlight w:val="none"/>
        </w:rPr>
      </w:pPr>
      <w:r>
        <w:rPr>
          <w:rFonts w:hint="eastAsia" w:ascii="宋体" w:hAnsi="宋体"/>
          <w:b/>
          <w:color w:val="auto"/>
          <w:kern w:val="0"/>
          <w:sz w:val="24"/>
          <w:highlight w:val="none"/>
        </w:rPr>
        <w:t>（</w:t>
      </w:r>
      <w:r>
        <w:rPr>
          <w:rFonts w:hint="eastAsia" w:ascii="宋体" w:hAnsi="宋体"/>
          <w:b/>
          <w:color w:val="auto"/>
          <w:kern w:val="0"/>
          <w:sz w:val="24"/>
          <w:highlight w:val="none"/>
          <w:lang w:val="en-US" w:eastAsia="zh-CN"/>
        </w:rPr>
        <w:t>五</w:t>
      </w:r>
      <w:r>
        <w:rPr>
          <w:rFonts w:hint="eastAsia" w:ascii="宋体" w:hAnsi="宋体"/>
          <w:b/>
          <w:color w:val="auto"/>
          <w:kern w:val="0"/>
          <w:sz w:val="24"/>
          <w:highlight w:val="none"/>
        </w:rPr>
        <w:t>）有下列情况之一的，本次招标作为废标处理，除采购任务取消外，由</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重新组织招标：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1、评标委员会否决不合格投标后因有效标不足3个使得投标明显缺乏竞争，评标委员会否决全部投标的；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3、投标人的报价均超过了采购最高限价，</w:t>
      </w:r>
      <w:r>
        <w:rPr>
          <w:rFonts w:hint="eastAsia" w:ascii="宋体" w:hAnsi="宋体"/>
          <w:color w:val="auto"/>
          <w:sz w:val="24"/>
          <w:highlight w:val="none"/>
          <w:lang w:eastAsia="zh-CN"/>
        </w:rPr>
        <w:t>招标人</w:t>
      </w:r>
      <w:r>
        <w:rPr>
          <w:rFonts w:hint="eastAsia" w:ascii="宋体" w:hAnsi="宋体"/>
          <w:color w:val="auto"/>
          <w:sz w:val="24"/>
          <w:highlight w:val="none"/>
        </w:rPr>
        <w:t>不能支付的；</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pPr>
        <w:pStyle w:val="14"/>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（六）评标原则和评标办法</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2、评标办法。具体评标内容及评分标准等详见《第四章：评标办法及评分标准》。</w:t>
      </w:r>
    </w:p>
    <w:p>
      <w:pPr>
        <w:pStyle w:val="14"/>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（七）评标过程的监控</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本项目评标过程实行全程录音、录像监控，投标人在评标过程中所进行的试图影响评标结果的不公正活动，可能导致其投标被拒绝。</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lang w:val="en-US" w:eastAsia="zh-CN"/>
        </w:rPr>
        <w:t>本项目推荐二名中标候选人，</w:t>
      </w:r>
      <w:r>
        <w:rPr>
          <w:rFonts w:hint="eastAsia" w:ascii="宋体" w:hAnsi="宋体"/>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default"/>
        </w:rPr>
      </w:pPr>
      <w:r>
        <w:t>采购组织机构自中标候选人确定之日起3日内，在</w:t>
      </w:r>
      <w:r>
        <w:rPr>
          <w:rFonts w:cs="宋体"/>
        </w:rPr>
        <w:t>台州湾新区小额工程电子交易平台</w:t>
      </w:r>
      <w:r>
        <w:t>公告中标结果，中标结果公示期为3日。</w:t>
      </w:r>
    </w:p>
    <w:p>
      <w:pPr>
        <w:pStyle w:val="21"/>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w:t>
      </w:r>
      <w:r>
        <w:rPr>
          <w:rFonts w:hint="eastAsia" w:ascii="宋体" w:hAnsi="宋体"/>
          <w:kern w:val="0"/>
          <w:sz w:val="24"/>
          <w:highlight w:val="none"/>
          <w:lang w:val="en-US" w:eastAsia="zh-CN"/>
        </w:rPr>
        <w:t>一</w:t>
      </w:r>
      <w:r>
        <w:rPr>
          <w:rFonts w:hint="eastAsia" w:ascii="宋体" w:hAnsi="宋体"/>
          <w:kern w:val="0"/>
          <w:sz w:val="24"/>
          <w:highlight w:val="none"/>
        </w:rPr>
        <w:t>名中标人，公示期满后，</w:t>
      </w:r>
      <w:r>
        <w:rPr>
          <w:rFonts w:hint="eastAsia" w:ascii="宋体" w:hAnsi="宋体"/>
          <w:kern w:val="0"/>
          <w:sz w:val="24"/>
          <w:highlight w:val="none"/>
          <w:lang w:eastAsia="zh-CN"/>
        </w:rPr>
        <w:t>招标人</w:t>
      </w:r>
      <w:r>
        <w:rPr>
          <w:rFonts w:hint="eastAsia" w:ascii="宋体" w:hAnsi="宋体"/>
          <w:kern w:val="0"/>
          <w:sz w:val="24"/>
          <w:highlight w:val="none"/>
        </w:rPr>
        <w:t>应确定本项目第一中标候选人为本项目中标人。</w:t>
      </w:r>
    </w:p>
    <w:p>
      <w:pPr>
        <w:pStyle w:val="11"/>
        <w:numPr>
          <w:ilvl w:val="0"/>
          <w:numId w:val="8"/>
        </w:numPr>
        <w:spacing w:line="360" w:lineRule="auto"/>
        <w:ind w:firstLine="482" w:firstLineChars="200"/>
        <w:jc w:val="both"/>
        <w:rPr>
          <w:b/>
          <w:bCs/>
          <w:sz w:val="24"/>
        </w:rPr>
      </w:pPr>
      <w:r>
        <w:rPr>
          <w:rFonts w:hint="eastAsia"/>
          <w:b/>
          <w:bCs/>
          <w:sz w:val="24"/>
        </w:rPr>
        <w:t>发放中标通知书</w:t>
      </w:r>
    </w:p>
    <w:p>
      <w:pPr>
        <w:pStyle w:val="2"/>
        <w:tabs>
          <w:tab w:val="left" w:pos="574"/>
        </w:tabs>
        <w:spacing w:line="400" w:lineRule="exact"/>
        <w:ind w:firstLine="480" w:firstLineChars="200"/>
      </w:pPr>
      <w:r>
        <w:rPr>
          <w:rFonts w:hint="eastAsia"/>
          <w:szCs w:val="32"/>
          <w:lang w:eastAsia="zh-CN"/>
        </w:rPr>
        <w:t>招标人</w:t>
      </w:r>
      <w:r>
        <w:rPr>
          <w:rFonts w:hint="eastAsia"/>
          <w:szCs w:val="32"/>
        </w:rPr>
        <w:t>应当确定第一中标候选人为中标人。如涉及第二中标候选人和其他投标人资格无效的，评标结果不作调整。</w:t>
      </w:r>
    </w:p>
    <w:p>
      <w:pPr>
        <w:pStyle w:val="2"/>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2"/>
        <w:tabs>
          <w:tab w:val="left" w:pos="574"/>
        </w:tabs>
        <w:spacing w:line="400" w:lineRule="exact"/>
        <w:ind w:firstLine="480" w:firstLineChars="200"/>
      </w:pPr>
      <w:r>
        <w:rPr>
          <w:rFonts w:hint="eastAsia"/>
          <w:szCs w:val="32"/>
        </w:rPr>
        <w:t>中标人确定后，</w:t>
      </w:r>
      <w:r>
        <w:rPr>
          <w:rFonts w:hint="eastAsia"/>
          <w:szCs w:val="32"/>
          <w:lang w:eastAsia="zh-CN"/>
        </w:rPr>
        <w:t>招标人</w:t>
      </w:r>
      <w:r>
        <w:rPr>
          <w:rFonts w:hint="eastAsia"/>
          <w:szCs w:val="32"/>
        </w:rPr>
        <w:t>应当向中标人发出《中标通知书》。</w:t>
      </w:r>
    </w:p>
    <w:p>
      <w:pPr>
        <w:pStyle w:val="2"/>
        <w:tabs>
          <w:tab w:val="left" w:pos="574"/>
        </w:tabs>
        <w:spacing w:line="400" w:lineRule="exact"/>
        <w:ind w:firstLine="480" w:firstLineChars="200"/>
        <w:rPr>
          <w:szCs w:val="32"/>
        </w:rPr>
      </w:pPr>
      <w:r>
        <w:rPr>
          <w:rFonts w:hint="eastAsia"/>
          <w:szCs w:val="32"/>
          <w:lang w:eastAsia="zh-CN"/>
        </w:rPr>
        <w:t>招标人</w:t>
      </w:r>
      <w:r>
        <w:rPr>
          <w:rFonts w:hint="eastAsia"/>
          <w:szCs w:val="32"/>
        </w:rPr>
        <w:t>在发出《中标通知书》的同时，应当将中标结果在交易场所（发布招标公告的媒体上）通知所有未中标的投标人。</w:t>
      </w:r>
    </w:p>
    <w:p>
      <w:pPr>
        <w:pStyle w:val="2"/>
        <w:tabs>
          <w:tab w:val="left" w:pos="574"/>
        </w:tabs>
        <w:spacing w:line="400" w:lineRule="exact"/>
        <w:ind w:firstLine="480" w:firstLineChars="200"/>
        <w:rPr>
          <w:szCs w:val="32"/>
        </w:rPr>
      </w:pPr>
      <w:r>
        <w:rPr>
          <w:rFonts w:hint="eastAsia"/>
          <w:szCs w:val="32"/>
        </w:rPr>
        <w:t>《中标通知书》对</w:t>
      </w:r>
      <w:r>
        <w:rPr>
          <w:rFonts w:hint="eastAsia"/>
          <w:szCs w:val="32"/>
          <w:lang w:eastAsia="zh-CN"/>
        </w:rPr>
        <w:t>招标人</w:t>
      </w:r>
      <w:r>
        <w:rPr>
          <w:rFonts w:hint="eastAsia"/>
          <w:szCs w:val="32"/>
        </w:rPr>
        <w:t>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可以按照评标报告推荐的中标候选人名单排序，确定下一候选人为中标人，也可以重新开展</w:t>
      </w:r>
      <w:r>
        <w:rPr>
          <w:rFonts w:hint="eastAsia" w:asciiTheme="minorEastAsia" w:hAnsiTheme="minorEastAsia" w:eastAsiaTheme="minorEastAsia" w:cstheme="minorEastAsia"/>
          <w:lang w:val="en-US" w:eastAsia="zh-CN"/>
        </w:rPr>
        <w:t>招标</w:t>
      </w:r>
      <w:r>
        <w:rPr>
          <w:rFonts w:asciiTheme="minorEastAsia" w:hAnsiTheme="minorEastAsia" w:eastAsiaTheme="minorEastAsia" w:cstheme="minorEastAsia"/>
        </w:rPr>
        <w:t>。同时，拒绝与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签订合同的中标人，由同级</w:t>
      </w:r>
      <w:r>
        <w:rPr>
          <w:rFonts w:hint="eastAsia" w:asciiTheme="minorEastAsia" w:hAnsiTheme="minorEastAsia" w:eastAsiaTheme="minorEastAsia" w:cstheme="minorEastAsia"/>
          <w:lang w:val="en-US" w:eastAsia="zh-CN"/>
        </w:rPr>
        <w:t>监管</w:t>
      </w:r>
      <w:r>
        <w:rPr>
          <w:rFonts w:asciiTheme="minorEastAsia" w:hAnsiTheme="minorEastAsia" w:eastAsiaTheme="minorEastAsia" w:cstheme="minorEastAsia"/>
        </w:rPr>
        <w:t>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应当暂停签订合同，已经签订合同的，应当中止履行合同。</w:t>
      </w:r>
    </w:p>
    <w:p>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w:t>
      </w:r>
      <w:r>
        <w:rPr>
          <w:rFonts w:hint="eastAsia" w:ascii="宋体" w:hAnsi="宋体"/>
          <w:sz w:val="24"/>
          <w:lang w:val="en-US" w:eastAsia="zh-CN"/>
        </w:rPr>
        <w:t>招投标</w:t>
      </w:r>
      <w:r>
        <w:rPr>
          <w:rFonts w:hint="eastAsia" w:ascii="宋体" w:hAnsi="宋体"/>
          <w:sz w:val="24"/>
        </w:rPr>
        <w:t>活动事项（招标文件、采购过程和中标结果）有疑问的，可以向</w:t>
      </w:r>
      <w:r>
        <w:rPr>
          <w:rFonts w:hint="eastAsia" w:ascii="宋体" w:hAnsi="宋体"/>
          <w:sz w:val="24"/>
          <w:lang w:eastAsia="zh-CN"/>
        </w:rPr>
        <w:t>招标人</w:t>
      </w:r>
      <w:r>
        <w:rPr>
          <w:rFonts w:hint="eastAsia" w:ascii="宋体" w:hAnsi="宋体"/>
          <w:sz w:val="24"/>
        </w:rPr>
        <w:t>或采购组织机构提出询问，</w:t>
      </w:r>
      <w:r>
        <w:rPr>
          <w:rFonts w:hint="eastAsia" w:ascii="宋体" w:hAnsi="宋体"/>
          <w:sz w:val="24"/>
          <w:lang w:eastAsia="zh-CN"/>
        </w:rPr>
        <w:t>招标人</w:t>
      </w:r>
      <w:r>
        <w:rPr>
          <w:rFonts w:hint="eastAsia" w:ascii="宋体" w:hAnsi="宋体"/>
          <w:sz w:val="24"/>
        </w:rPr>
        <w:t>或采购组织机构将及时作出答复，但答复的内容不涉及商业秘密。询问可以口头方式提出，也可以书面方式提出。联系方式见第一章“投标邀请”中“</w:t>
      </w:r>
      <w:r>
        <w:rPr>
          <w:rFonts w:hint="eastAsia" w:ascii="宋体" w:hAnsi="宋体"/>
          <w:sz w:val="24"/>
          <w:lang w:eastAsia="zh-CN"/>
        </w:rPr>
        <w:t>招标人</w:t>
      </w:r>
      <w:r>
        <w:rPr>
          <w:rFonts w:hint="eastAsia" w:ascii="宋体" w:hAnsi="宋体"/>
          <w:sz w:val="24"/>
        </w:rPr>
        <w:t>、采购组织机构的名称、地址和联系方式”。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1.报名本项目的投标人认为招标文件、采购过程和中标结果使自己的权益受到损害的，通过书面形式一次性向</w:t>
      </w:r>
      <w:r>
        <w:rPr>
          <w:rFonts w:hint="eastAsia" w:ascii="宋体" w:hAnsi="宋体" w:cs="Times New Roman"/>
          <w:sz w:val="24"/>
          <w:lang w:eastAsia="zh-CN"/>
        </w:rPr>
        <w:t>招标人</w:t>
      </w:r>
      <w:r>
        <w:rPr>
          <w:rFonts w:hint="eastAsia" w:ascii="宋体" w:hAnsi="宋体" w:eastAsia="宋体" w:cs="Times New Roman"/>
          <w:sz w:val="24"/>
        </w:rPr>
        <w:t>或采购组织机构提出质疑：</w:t>
      </w:r>
    </w:p>
    <w:p>
      <w:pPr>
        <w:pStyle w:val="11"/>
        <w:spacing w:line="360" w:lineRule="auto"/>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、采购代理机构提出（附相关有效证明材料），</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、采购代理机构应给予答复。投标人对答复不服或认为采购代理机构有违反有关规定及其他弄虚作假情形的，可在接到答复之日起3日内向招标监管机构书面申请核查，并提交相关材料。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1.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1"/>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投标人对</w:t>
      </w:r>
      <w:r>
        <w:rPr>
          <w:rFonts w:hint="eastAsia" w:ascii="宋体" w:hAnsi="宋体"/>
          <w:sz w:val="24"/>
          <w:lang w:eastAsia="zh-CN"/>
        </w:rPr>
        <w:t>招标人</w:t>
      </w:r>
      <w:r>
        <w:rPr>
          <w:rFonts w:hint="eastAsia" w:ascii="宋体" w:hAnsi="宋体"/>
          <w:sz w:val="24"/>
        </w:rPr>
        <w:t>或采购组织机构的质疑答复不满意或在规定时间内未得到答复的，可以在答复期满后15个工作日内，向同级监督管理机构投诉。</w:t>
      </w: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322"/>
        <w:gridCol w:w="1254"/>
        <w:gridCol w:w="811"/>
        <w:gridCol w:w="863"/>
        <w:gridCol w:w="146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99"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标段号</w:t>
            </w:r>
          </w:p>
        </w:tc>
        <w:tc>
          <w:tcPr>
            <w:tcW w:w="2322" w:type="dxa"/>
            <w:vAlign w:val="center"/>
          </w:tcPr>
          <w:p>
            <w:pPr>
              <w:tabs>
                <w:tab w:val="left" w:pos="8280"/>
              </w:tabs>
              <w:autoSpaceDE w:val="0"/>
              <w:autoSpaceDN w:val="0"/>
              <w:adjustRightInd w:val="0"/>
              <w:spacing w:line="360" w:lineRule="auto"/>
              <w:ind w:right="25" w:firstLine="105" w:firstLineChars="50"/>
              <w:jc w:val="center"/>
              <w:rPr>
                <w:b/>
                <w:szCs w:val="21"/>
              </w:rPr>
            </w:pPr>
            <w:r>
              <w:rPr>
                <w:rFonts w:hint="eastAsia"/>
                <w:b/>
                <w:szCs w:val="21"/>
              </w:rPr>
              <w:t>项目名称</w:t>
            </w:r>
          </w:p>
        </w:tc>
        <w:tc>
          <w:tcPr>
            <w:tcW w:w="1254" w:type="dxa"/>
            <w:vAlign w:val="center"/>
          </w:tcPr>
          <w:p>
            <w:pPr>
              <w:tabs>
                <w:tab w:val="left" w:pos="8280"/>
              </w:tabs>
              <w:autoSpaceDE w:val="0"/>
              <w:autoSpaceDN w:val="0"/>
              <w:adjustRightInd w:val="0"/>
              <w:spacing w:line="360" w:lineRule="auto"/>
              <w:ind w:right="25"/>
              <w:rPr>
                <w:b/>
                <w:szCs w:val="21"/>
              </w:rPr>
            </w:pPr>
            <w:r>
              <w:rPr>
                <w:rFonts w:hint="eastAsia"/>
                <w:b/>
                <w:szCs w:val="21"/>
              </w:rPr>
              <w:t>规格型号</w:t>
            </w:r>
          </w:p>
        </w:tc>
        <w:tc>
          <w:tcPr>
            <w:tcW w:w="811"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数量</w:t>
            </w:r>
          </w:p>
        </w:tc>
        <w:tc>
          <w:tcPr>
            <w:tcW w:w="863"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单位</w:t>
            </w:r>
          </w:p>
        </w:tc>
        <w:tc>
          <w:tcPr>
            <w:tcW w:w="1462"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预算（</w:t>
            </w:r>
            <w:r>
              <w:rPr>
                <w:rFonts w:hint="eastAsia"/>
                <w:b/>
                <w:szCs w:val="21"/>
                <w:lang w:val="en-US" w:eastAsia="zh-CN"/>
              </w:rPr>
              <w:t>万</w:t>
            </w:r>
            <w:r>
              <w:rPr>
                <w:rFonts w:hint="eastAsia"/>
                <w:b/>
                <w:szCs w:val="21"/>
              </w:rPr>
              <w:t>元）</w:t>
            </w:r>
          </w:p>
        </w:tc>
        <w:tc>
          <w:tcPr>
            <w:tcW w:w="1209" w:type="dxa"/>
            <w:vAlign w:val="center"/>
          </w:tcPr>
          <w:p>
            <w:pPr>
              <w:tabs>
                <w:tab w:val="left" w:pos="8280"/>
              </w:tabs>
              <w:autoSpaceDE w:val="0"/>
              <w:autoSpaceDN w:val="0"/>
              <w:adjustRightInd w:val="0"/>
              <w:spacing w:line="360" w:lineRule="auto"/>
              <w:ind w:right="25"/>
              <w:jc w:val="center"/>
              <w:rPr>
                <w:b/>
                <w:szCs w:val="21"/>
              </w:rPr>
            </w:pPr>
            <w:r>
              <w:rPr>
                <w:rFonts w:hint="eastAsia"/>
                <w:b/>
                <w:szCs w:val="21"/>
                <w:lang w:val="en-US" w:eastAsia="zh-CN"/>
              </w:rPr>
              <w:t>服务</w:t>
            </w:r>
            <w:r>
              <w:rPr>
                <w:rFonts w:hint="eastAsia"/>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99" w:type="dxa"/>
            <w:vAlign w:val="center"/>
          </w:tcPr>
          <w:p>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2322" w:type="dxa"/>
            <w:vAlign w:val="center"/>
          </w:tcPr>
          <w:p>
            <w:pPr>
              <w:jc w:val="center"/>
              <w:rPr>
                <w:sz w:val="22"/>
                <w:szCs w:val="22"/>
              </w:rPr>
            </w:pPr>
            <w:r>
              <w:rPr>
                <w:rFonts w:hint="eastAsia"/>
                <w:sz w:val="22"/>
                <w:szCs w:val="22"/>
              </w:rPr>
              <w:t>台州“飞安行”低空飞行管控服务平台</w:t>
            </w:r>
          </w:p>
        </w:tc>
        <w:tc>
          <w:tcPr>
            <w:tcW w:w="1254" w:type="dxa"/>
            <w:vAlign w:val="center"/>
          </w:tcPr>
          <w:p>
            <w:pPr>
              <w:jc w:val="center"/>
              <w:rPr>
                <w:sz w:val="22"/>
                <w:szCs w:val="22"/>
              </w:rPr>
            </w:pPr>
            <w:r>
              <w:rPr>
                <w:rFonts w:hint="eastAsia"/>
                <w:sz w:val="22"/>
                <w:szCs w:val="22"/>
              </w:rPr>
              <w:t>详见具体技术需求</w:t>
            </w:r>
          </w:p>
        </w:tc>
        <w:tc>
          <w:tcPr>
            <w:tcW w:w="811" w:type="dxa"/>
            <w:vAlign w:val="center"/>
          </w:tcPr>
          <w:p>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863" w:type="dxa"/>
            <w:vAlign w:val="center"/>
          </w:tcPr>
          <w:p>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w:t>
            </w:r>
          </w:p>
        </w:tc>
        <w:tc>
          <w:tcPr>
            <w:tcW w:w="1462" w:type="dxa"/>
            <w:vAlign w:val="center"/>
          </w:tcPr>
          <w:p>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350</w:t>
            </w:r>
          </w:p>
        </w:tc>
        <w:tc>
          <w:tcPr>
            <w:tcW w:w="1209" w:type="dxa"/>
            <w:vAlign w:val="center"/>
          </w:tcPr>
          <w:p>
            <w:pPr>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采购人指定地点</w:t>
            </w:r>
          </w:p>
        </w:tc>
      </w:tr>
    </w:tbl>
    <w:p>
      <w:pPr>
        <w:tabs>
          <w:tab w:val="left" w:pos="8280"/>
        </w:tabs>
        <w:autoSpaceDE w:val="0"/>
        <w:autoSpaceDN w:val="0"/>
        <w:adjustRightInd w:val="0"/>
        <w:spacing w:line="360" w:lineRule="auto"/>
        <w:ind w:right="25"/>
        <w:rPr>
          <w:rFonts w:hint="eastAsia"/>
          <w:b/>
          <w:sz w:val="24"/>
          <w:lang w:val="en-US" w:eastAsia="zh-CN"/>
        </w:rPr>
      </w:pPr>
      <w:bookmarkStart w:id="39" w:name="_Toc37599085"/>
    </w:p>
    <w:p>
      <w:pPr>
        <w:numPr>
          <w:ilvl w:val="0"/>
          <w:numId w:val="7"/>
        </w:numPr>
        <w:tabs>
          <w:tab w:val="left" w:pos="8280"/>
        </w:tabs>
        <w:autoSpaceDE w:val="0"/>
        <w:autoSpaceDN w:val="0"/>
        <w:adjustRightInd w:val="0"/>
        <w:spacing w:line="360" w:lineRule="auto"/>
        <w:ind w:left="0" w:leftChars="0" w:right="25" w:firstLine="482" w:firstLineChars="200"/>
        <w:rPr>
          <w:rFonts w:hint="eastAsia"/>
          <w:b/>
          <w:sz w:val="24"/>
        </w:rPr>
      </w:pPr>
      <w:r>
        <w:rPr>
          <w:rFonts w:hint="eastAsia"/>
          <w:b/>
          <w:sz w:val="24"/>
        </w:rPr>
        <w:t>项目需求</w:t>
      </w:r>
      <w:bookmarkEnd w:id="39"/>
    </w:p>
    <w:p>
      <w:pPr>
        <w:numPr>
          <w:ilvl w:val="0"/>
          <w:numId w:val="0"/>
        </w:numPr>
        <w:tabs>
          <w:tab w:val="left" w:pos="8280"/>
        </w:tabs>
        <w:autoSpaceDE w:val="0"/>
        <w:autoSpaceDN w:val="0"/>
        <w:adjustRightInd w:val="0"/>
        <w:spacing w:line="360" w:lineRule="auto"/>
        <w:ind w:leftChars="200" w:right="25" w:rightChars="0" w:firstLine="241" w:firstLineChars="100"/>
        <w:rPr>
          <w:rFonts w:hint="default" w:ascii="宋体" w:hAnsi="宋体" w:eastAsia="宋体" w:cs="宋体"/>
          <w:sz w:val="24"/>
          <w:lang w:val="en-US" w:eastAsia="zh-CN"/>
        </w:rPr>
      </w:pPr>
      <w:r>
        <w:rPr>
          <w:rFonts w:hint="eastAsia"/>
          <w:b/>
          <w:sz w:val="24"/>
          <w:lang w:val="en-US" w:eastAsia="zh-CN"/>
        </w:rPr>
        <w:t>软件需求</w:t>
      </w:r>
    </w:p>
    <w:tbl>
      <w:tblPr>
        <w:tblStyle w:val="25"/>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382"/>
        <w:gridCol w:w="1136"/>
        <w:gridCol w:w="1913"/>
        <w:gridCol w:w="4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blHeader/>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功能模块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一级功能</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二级功能</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功能描述说明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全域监测</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全域监测</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地图底图控制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支持2D\3D模式卫星地图和矢量地图的切换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2D模式下以支持平面卫星图、路网图应用，显示地图中心点经纬度；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3D模式下切换卫星地图、自动叠加地形数据，使地图上的山体、丘陵等以接近正式海拔高度的形态体现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显示地图中心点经纬度、海拔高度。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无人机实时定位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涵盖地面侦测、网络透传等多种方式发现的无人机在地图上呈现实时位置，当前状态和数据来源，以图标区分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基站实时状态</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在地图上以不同图标区分不同感知侦测设备、区分设备不同状态和不同范围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基站详情信息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点击基站图标可显示当前基站基础信息和动态侦测信息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无人机详情信息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点击侦测到的无人机图标可关联显示其实名信息、飞控位置、起降点位置等信息，可一键通知警员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坐标二维码</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支持自动生成飞机位置、飞控位置、返航位置二维码、快速定位找到飞手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实时报警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支持按事件维度按预设行为进行报警，报警信息高亮推送给当前登录账号并在左侧显示报警信息列表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快速出警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报警信息快速定位至指定位置，点击信息跳转至该报警位置，并指定飞手进行设备到达后远程控制；支持一键通知飞手和警员以短信、App通知的形式，下发无人机命令同时，同步至指定飞手；第一时间处理事件，将出警的数据、警情、联合无人机飞行画面，进行快速联动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图层控制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支持隐藏各类型无人机、基站设备、侦测设备、空域信息等图层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数据驾驶舱</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数据大屏</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飞行计划数据汇总</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基于时间、空间的飞行计划报备数据统计分析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平台用户数量汇总</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截止当前的实时平台飞手端用户数据统计分析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实时飞行动态数据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当前实时侦测到的无人机动态飞行数据统计分析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飞行分类数据统计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依据飞行计划报备的类型进行统计分析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空域分类统计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截止当前所有的空域类型统计分析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空域信息统计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截止当前所有的空域所包含的有效信息统计分析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黑飞告警数量统计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截止当前的所有黑飞行为次数类型统计分析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历史飞行数量统计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截止当前的所有历史侦测数据统计分析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其他类型数据查看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截止当前的所有其他类型数据统计分析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气象信息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对接气象系统，显示航空气象信息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低空服务应用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个人实名</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飞手列表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显示已在本地登记审核通过的飞手信息，包含飞手个人信息、所持有无人机的信息、驾驶资质信息等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支持实名信息的登记、飞手飞行驾驶证期限的登记等功能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本地飞手审核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通过飞手端小程序申请飞手实名登记、登记信息同步至平台端进行后台审核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新提交的飞手审核信息与已通过的信息做区分，新提交的信息以红点形式提醒，并显示未审核信息总数；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在平台端审核是否通过飞手实名登记，未审核通过的填写未通过原因，并通过小程序推送反馈至飞手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企业实名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支持维护本地企业已通过实名登记的企业列表，包含企业注册信息、辖区信息、所持无人机信息、认证资质等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本地企业审核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通过企业端小程序申请企业实名登记、登记信息同步至平台端进行后台审核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新提交的企业审核信息与已通过的信息做区分，新提交的信息以红点形式提醒，并显示未审核信息总数；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在平台端审核是否通过企业实名登记，未审核通过的填写未通过原因，并通过小程序推送反馈至企业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飞行活动报备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在飞手端应用申请飞行活动，提交无人机飞行的原因，可选择活动类型，飞行时间和飞行范围；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飞行范围支持在地图上进行框选，框选的图像信息会以数据形式回到平台进行报备；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框选的信息支持调整修改，并重新提交，覆盖原先申请的范围。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通过飞手端发起的飞行活动，可在平台上查看申请的详细信息，可选择是否通过并保留所有已处理的记录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品牌无人机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通过飞手端可申请注册无人机通过后可在平台维护无人机信息，支持手动添加身份认证设备信息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自制无人机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通过飞手端可申请注册无人机通过后可在平台维护无人机信息，支持手动添加身份认证设备信息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支持管理当前辖区内所有无人机自动航线，支持通过其他平台规划好的航线进行导入应用（需格式相同）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可支持申请长期可用的指定航路，同空域下多航线的相对位置等信息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停机坪管理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停机坪列表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管理当前辖区内所有的无人机固定起降点、机场、固定充电仓等信息，可在GIS地图显示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低空监管应用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空域绘制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支持多种不同类型的管制区域和适航区域绘制，包括多边形或圆形绘制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支持直接在地图上进行绘制，并支持所有类型的空域在地图上统一展示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自定义名称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支持修改空域名称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空域列表查看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支持空域列表的查看，点击列表空域，右侧地图即可精准定位到相应区域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立体化显示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不同的空域能够依据各自相应的高度，在三维地图上清晰显示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使用web端展示控件，实现三维地图在网页端的优化呈现，体现不同空域之间的相互关系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空域标签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支持为空域添加标签，按照警用、民用、公共设施等范围进行划分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警用范围不允许民用、公共设施的应用设备进入，空域之间范围允许叠加，区分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空域删除</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支持删除单个空域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标签筛选</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支持标签筛选空域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名称搜索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支持空域名称搜索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修改高度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支持修改空域高度，绘制好的空域支持高度设定，使2D模式下空域叠加显示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3D模式下，显示空域与空域之间的高度差、空域与地形之间的高度差。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临时空域管制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支持针对空域在法定节假日或自定义时间进行管制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管制空域报警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对于进入管制空域内飞行且未进行飞行报备的无人机，系统会自动发出报警，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自动区分登记但受到管制的无人机、管制区域内正常作业的白名单无人机、警航无人机等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违规报警配置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违规报警配置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支持管理员自主修改违规报警规则，管制空域以大疆限飞区域为基础叠加本地规划的管制空域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自定义违规类型，支持设定未实名登记的飞机按照本地未登记或者UOM未登记进行报警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自定义违规阈值，大、中型无人机且无民航证的、或者在空域中超过限制高度、速度的可进行报警设定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布控管理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事件布控</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支持预设布防事件，可选择加入指定基站作为布控对象，指定时间指定该基站区域内出现目标即会报警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可选择加入无人机作为布控对象，指定时间指定区域内出现该无人机目标即会报警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事件处置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工单管理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支持根据历史报警记录或实时报警信息下发至警员时自动生成报警工单，警员处置警情后在平台回填处置结果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支持对操作飞手、无人机SN、高度、速度、发生事件、报警区域、违规行为、处理结果进行统一记录和返回，并支持手动创建工单，将已完成、待处理的事件工单进行区分，并红点提示未处理工单的总数。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低空政务协作</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信息发布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政策发布</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可在平台编辑政策规定信息，一键发送至飞手端页面，飞手登录即可查看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内部通告</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支持在平台编辑内部通知通告，可选择指定时间下发至指定部门，该部门账号登录平台时即可查看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业务流转</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查看警务工单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显示操作飞手、无人机型号、高度速度等信息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新增警务工单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1、发现违规飞机报警，通知警员选择警员信息后，自动转入警务工单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2、在历史违规记录，可一键转入警务工单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3、手动填写新增警务工单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处理结果</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处理中的警务工单，填写处置结果即转为已完成工单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一键流转</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通过统一的数据平台，或业务流转方式，发送工单给其他政务部门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导出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支持工单导出功能，以对应需求格式一键导出工单，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筛选</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支持按照时间、无人机SN、报警类型等进行筛选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接口拓展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接口预留</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预留多样化的政务应用接口，支持与多政务系统间数据互通业务联动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历史数据查询</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报警记录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包含所有报警记录触发的事件、时间、地点、人物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触发轨迹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可查看到同一无人机触发的多次或多个报警点的轨迹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一键出警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支持对历史记录中的报警信息进行出警，并生成警务工单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支持按时间、空间、人员等多维度查询设备侦测到的活动记录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历史轨迹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支持根据同一无人机的坐标自动生成动态历史轨迹，可作为判断其违法行为研判的依据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基础信息管理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身份识别设备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登记和维护5G-A基站、报文基站等设备的基础信息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支持对对应身份识别设备进行基站与发射端的模块区分，进行分类登记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支持通过设备名称、设备Sn、设备型号进行搜索、删除、修改等功能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侦测反制设备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登记和维护雷达、云哨、反制盾等侦测反制设备的基础信息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支持不同类型的侦测反制设备进行重要参数主页显示，区分侦测反制设备显示形态、全向定向打击类别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支持通过设备名称、设备Sn、设备型号进行搜索、删除、修改等功能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设备品牌</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管理和维护侦测反制、身份识别等地面设备的品牌信息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无人机厂家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管理和维护无人机的厂家和品牌等预设信息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型号管理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设备型号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管理和维护侦测反制、身份识别等地面设备的型号信息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无人机型号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管理和维护无人机的型号预设信息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账号配置管理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账号配置管理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管理和维护用于云哨等设备登录和推送至平台的设备账号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云哨设备在使用过程中需要登录对应账号，平台支持云哨的远程系统登录，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支持记录过的云哨账号通过验证码一键登录，支持显示云哨账号状态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无人机类型</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无人机类型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管理和维护多旋翼、固定翼等无人机的类型固定字段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预设报警区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报警区列表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支持预设报警区域和核心区域，预设进入区域后的报警模式以及自动响应的反制设备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辖区派出所</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辖区派出所列表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支持管理辖区派出所信息，支持绑定所属地区和所在地址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重点管控区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区域列表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支持预设重点管控区域，可在GIS地图上显示，可根据此类区域设置不同的管理方案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值班配比</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值班配比</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支持管理和维护各区域各时段的值班人员信息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98</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系统权限管理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管理和维护平台账号所属的部门信息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新建和维护登录平台的账号和密码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角色管理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角色管理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管理所有登录平台账号的操作权限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设定每个账号在平台内所拥有的查看与操作权限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支持调整该账号中，对应子模块的增删改查的单项功能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同一个账号拥有多个角色权限时，采取合并能力的方式给与该账号平台应用权限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操作日志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操作日志</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记录所有平台账号在平台上的敏感操作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登录日志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登录日志</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记录所有平台账号登录平台的IP和时间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106</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政务航空应用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无人机自动机场管理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巡检态势</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能够在电子地图上展示多个机场当前位置、每个机场当前状态，和机场巡检的区域范围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巡检监控</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获取无人机直播视频及机场、无人机状态数据，实时掌控巡检任务执行情况。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视频录像</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支持视频直播的自动录制，数据保存云端，可随时追溯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航线列表查看和管理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显示航线缩略图、航线名称、起点、终点、创建时间以及下发机场名称，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可对创建时间进行筛选，支持KMZ文件的导入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航线编辑</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支持在立体地图中编辑航线基本信息，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包括照片存储类别选择、默认飞行高度设置、默认飞行速度设置、偏航角设置、任务完后后动作设置。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航点管理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包括配置各个航点的飞行速度、高度、云台俯仰角；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配置各个航点的执行动作,包括悬停、偏航角、变焦、录像、拍照等动作；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能够自动计算出航点总数、预计飞行里程和预计飞行时间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可新建、查看、删除任务信息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任务名称、描述、模式、下发机场名称，可对任务信息进行日期筛选，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可重新激活已执行的任务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任务排班</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可根据需要选择三种模式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立即执行：设定好飞行参数，完成设定后无人机立即执行飞行任务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定时模式：设定好飞行参数，设定起飞时间，到预定时间后自动飞行，可按照日、周、月设定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循环模式：设定飞行时间段，此段时间内无人机自动反复巡航，满电自动起飞，低电自动返航直至时间结束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绘制好的航线支持关联航线并将任务下发到机场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任务概览</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默认展示当月每天的任务信息，可切换修改，展示未执行、已执行、执行中、取消执行的任务状态，可具体查看某一天的任务执行情况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支持飞行数据存储，如飞行轨迹、设备信息、飞行时间、拍摄照片、直播录制文件等，保存在任务记录中，便于后期回放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能够接入、停用机场，能够查看机场实时信息，包括气象数据、监控视频、机场状态数据等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安全设定</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根据无人机机场部署周边环境定制设置飞行安全区域信息，保证无人机接警后能够安全高效进行飞行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机场监控视频接入</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实现机场视频监控的接入，无需增加其他监控存储设备，机场监控视频统一保存在平台端。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远程驾驶舱控制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确保无人机各项指标正常，飞行参数无误后，支持机场无人机一键起飞，起飞后悬停在机场上空，等待接管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支持自动按照预设的路线返回机场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中断无人机航线，暂停后可继续操作，停止则使其静止在空中等待接管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无人机将接着之前暂停时的状态继续执行飞行任务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让无人机立即停止一切动作，最大程度保障飞行安全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支持控制机场的无人机，脱离传统遥控器限制，虚拟摇杆分左右两个盘，可用鼠标进行拖拽控制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支持查看键盘快捷键操作按钮，也可根据习惯修改键盘快捷按钮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支持桌面式摇杆控制，支持自定义方案控制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使用人需要申请控制时，需要获取当前控制人的同意，点击申请控制按钮后，当前控制人在飞行过程中，会弹出是否释放控制的弹窗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指点飞行</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支持通过鼠标点击GIS地图点位或双击地图任意位置放置目标点位，页面自动获取该点位经纬度信息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修改目标点后，会自动修改航线目标点，修改航线路径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放置目标点后，设置飞行高度速度后，生成航线路径，自动操控无人机执行该飞行指令，到达点位后悬停等待接管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放置目标点后，根据目标点位位置，调整无人机俯仰角，使目标点至画面中心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放置目标点后，设置飞行高度速度，生成圆形航线路径，环绕目标点飞行，自动操控无人机执行该飞行指令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根据指点飞行、环绕飞行、一键返航等不同指令自动生成航线，控制无人机飞行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如无接管，待低电量后，无人机自动返航，降落机场。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无人机飞行信息显示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机场无人机起飞后，支持多类型信息实时显示：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1、切换到FPV镜头视频显示。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2、实时显示无人机飞行信息，主要包括飞行高度、水平速度、垂直速度、云台的角度、飞行的姿态信息。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3、显示机场的监控相机视频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4、实时显示机场的状态信息,主要包括舱盖状态、温度、网络信息、天气信息、机场的状态、数据上传数量.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检测算法库</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识别视频中人脸目标，可进行人脸图片扣取。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识别视频中人员目标。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违章建筑比对识别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小区违章建筑识别，如阳光房加装、建筑加层等。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多期无人机采集到的照片支持对比识别，支持指定照片作为基础图进行对比，对比识别自动剔除车辆、光线造成的变化，高效识别图片之间的差别，支持双图卷帘方式呈现比对结果。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对比成果会以提示符形式显示在主页缩略图，可人工进行错识别误识别框剔除，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支持将出现问题的照片以派发工单的形式推送至其他局办单位进行处理。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烟火识别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烟火检测识别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垃圾识别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美丽田园巡查，白色垃圾识别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人数统计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识别统计人员数量，管理人员聚集场所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车流识别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识别统计道路上车流的车辆数，判断道路拥堵情况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裸土堆积识别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支持空旷场地中大面积的裸土堆积检识别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河道漂浮物检测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支持检测河道水域上漂浮物检测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热成像人员检测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支持在红外热成像镜头模式下，人员目标的检测识别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城市运营工单派发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融合登录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匹配需求单位的用户账号体系，提供登录入口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任务申请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任务单位填写任务需求、描述和相关附件。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需求填报</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将详细的业务需求填写在系统中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人工审核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管理员对任务进行审核和补充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任务沟通</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运营团队与需求团队进行任务沟通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任务派发</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将任务分派至自动机场或飞手进行执飞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成果提交</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飞行团队提交任务成果和相关文件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成果审批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需求单位对任务成果进行审查和验收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服务评价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需求单位对任务结果进行评价和反馈。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分析派发任务的数据并生成报表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反馈分析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根据数据分析的结果提出改进和优化建议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视频回放成果统计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对视频回放成果情数量进行统计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多媒体成果统计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对多媒体数据成果数量进行统计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任务数量成果统计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对任务数量成果进行统计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警情数量成果统计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对警情数量成果进行统计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成果统计分析条件查询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支持按飞机机型、时间、月份、年度查询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部门飞行架次、时长、距离统计分析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按部门统计飞行架架次、时长、距离信息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按部门统计飞行时长信息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按部门统计飞行距离信息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飞行任务统计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展示不同任务的类型、数量及占比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警情类型统计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展示不同报警类型、数量及占比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飞行统计查询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可按序列号、飞手、时间进行飞行记录查询统计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飞行架次、时长统计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对查询出的飞行架次进行统计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对查询出的飞行架次进行统计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飞行时长分布统计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对查询出的飞行时长分布进行展示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飞行记录上传</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可手动上传飞行日志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按部门、人员汇总飞行记录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对查询出的飞行统计记录按部门汇总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对查询出的飞行统计记录按人员汇总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视频回放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可查询并回放所有无人机的视频流数据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按SN、状态、日期查询视频记录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可按无人机的SN查询视频记录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可按视频状态条件（正常、收藏、过期）查询视频记录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可按开始结束时间段查询视频记录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日历模式视频回放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可点击对应的月份和日期选择视频进行回放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视频下载</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可以直接下载视频至本机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视频重命名、删除、收藏</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可以对视频进行重命名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可以删除视频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可以对视频进行收藏操作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视频播放倍速调节</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支持以1到3倍速进行视频播放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视频内容标记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支持在视频回放过程中进行标记，记录时间点和备注描述信息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视频播放时间轴调整</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支持按1天、6小时、2小时、1小时、30分钟、6分钟设置播放视频的时间轴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按名称、文件类型、时间段媒体文件查询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可按名称查询并回放所有无人机的手工拍摄的照片及视频数据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可按文件类型查询并回放所有无人机的手工拍摄的照片及视频数据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可按时间段查询并回放所有无人机的手工拍摄的照片及视频数据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媒体文件自定义归集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可新建文件夹，将需要归集的数据存放在统一文件夹内，后续数据自动更新至新目录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按SN、开始结束时间段查询飞行记录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可按无人机的SN查询无人机的飞行轨迹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可按开始结束时间段查询无人机的飞行轨迹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查看飞行记录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以三维模式回放飞行记录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飞行记录标签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以标签的是形式对飞行记录进行归类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接警记录配置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可配置无人机机场是否接警后自动起飞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接警记录关键字、记录查询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可按关键字查询平台接收到的所有需无人机处理的接警记录信息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可查看无人机轨迹及处置过程中的视频，包含起飞、降落等关键信息及处置流程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接警记录同步到任务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将警情分配给飞手或无人机自动机场执飞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按报警类型记录查询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按报警类型查询无人机维护保养等提醒报警信息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按报警状态、时间记录查询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按报警状态查询无人机维护保养等提醒报警信息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按报警时间查询无人机维护保养等提醒报警信息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236</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低空空域管理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针对空域进行空间管理，实现适飞空域、禁飞空域的三维化显示，并支持违规飞行的实时预警。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适飞空域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划分不需要管制的飞行的空域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四类管制空域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地面A类管制区一般适用于军民航机场、涉密单位、监狱、公安各重点监管场所等核心要地。需市局空警支队才给予解禁审批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地面B类管制一般适用于区地市级人民政府、重要车站码头、直升机机场、国家管网枢纽设施等重要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适用于风景旅游点，划分特定时间段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属于UOM系统里面的管制空域但除上述A、B、C类之外的区域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立体显示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三维化显示空域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申报空域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对于飞行申报的空域统一管理，在特定时间内为适飞空域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时间轴</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按照时间进度展示空域，能清晰的展现相应时间下的空域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地图底图风格</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支持地图地图切换包括亮色暗色等风格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空域分类显示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按照不同类型划分显示隐藏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报警信息列表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对违规飞行的实时预警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飞行服务监测</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实时飞行监测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对于空域中的飞行活动进行实时监测，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实时展现无人机在空域中飞行的状态、位置、实时轨迹信息等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地图点位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显示地图上监测到的无人机以及飞手，支持显示设备点位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支持点击无人机、飞手显示对应的设备信息、无人机归属人信息、飞手遥控所在位置等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支持显示无人机飞行的航线轨迹，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3D形态显示飞行器在空中的实时位置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视图层级优化</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在地图的点位处于不同层级的情况下，多架设备能够实现聚合点的显示，以此避免产生视觉干扰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应急事件处置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应急处置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接到突发事件后，自动将附近的无人机飞到指定地点，可进行喊话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支持到点之后的无人机设备进行远程接管，实现无人机远程操控飞行功能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支持手动选择指定无人机飞到指定地点，处理事件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支持地图选点飞行，支持地图选择位置使无人机重新朝向目标点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处置结果</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支持查看事件成果，包括使用哪台设备，该设备执行任务的起降时间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执行任务采集到的视频数据，视频时间轴支持添加事件标记与收藏，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产生的轨迹以及拍摄的高清素材支持调用与查看</w:t>
            </w:r>
          </w:p>
        </w:tc>
      </w:tr>
    </w:tbl>
    <w:p>
      <w:pPr>
        <w:spacing w:line="360" w:lineRule="auto"/>
        <w:rPr>
          <w:rFonts w:ascii="宋体" w:hAnsi="宋体" w:cs="宋体"/>
          <w:sz w:val="24"/>
        </w:rPr>
      </w:pPr>
    </w:p>
    <w:p>
      <w:pPr>
        <w:snapToGrid w:val="0"/>
        <w:spacing w:line="360" w:lineRule="auto"/>
        <w:ind w:firstLine="354" w:firstLineChars="169"/>
        <w:jc w:val="left"/>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sectPr>
          <w:pgSz w:w="11906" w:h="16838"/>
          <w:pgMar w:top="1247" w:right="1361" w:bottom="1247" w:left="1361" w:header="851" w:footer="851" w:gutter="0"/>
          <w:pgNumType w:fmt="numberInDash"/>
          <w:cols w:space="720" w:num="1"/>
          <w:docGrid w:type="lines" w:linePitch="312" w:charSpace="0"/>
        </w:sect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硬件需求</w:t>
      </w:r>
    </w:p>
    <w:tbl>
      <w:tblPr>
        <w:tblStyle w:val="25"/>
        <w:tblW w:w="14503" w:type="dxa"/>
        <w:jc w:val="center"/>
        <w:tblLayout w:type="fixed"/>
        <w:tblCellMar>
          <w:top w:w="0" w:type="dxa"/>
          <w:left w:w="108" w:type="dxa"/>
          <w:bottom w:w="0" w:type="dxa"/>
          <w:right w:w="108" w:type="dxa"/>
        </w:tblCellMar>
      </w:tblPr>
      <w:tblGrid>
        <w:gridCol w:w="1252"/>
        <w:gridCol w:w="1788"/>
        <w:gridCol w:w="1412"/>
        <w:gridCol w:w="10051"/>
      </w:tblGrid>
      <w:tr>
        <w:tblPrEx>
          <w:tblCellMar>
            <w:top w:w="0" w:type="dxa"/>
            <w:left w:w="108" w:type="dxa"/>
            <w:bottom w:w="0" w:type="dxa"/>
            <w:right w:w="108" w:type="dxa"/>
          </w:tblCellMar>
        </w:tblPrEx>
        <w:trPr>
          <w:trHeight w:val="567" w:hRule="atLeast"/>
          <w:tblHeader/>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设备名称</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类型</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参数要求</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手持式特征频谱侦测设备</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侦测设备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手持式无人机探测定位系统 1）设备为一体式结构，具有探测和定位功能。</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2）显示屏：具有电容触摸屏，应支持多点触摸。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3）显示屏尺寸：≥6英寸。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4）探测识别：应具有无人机信号探测识别功能，探测品牌类型覆盖大疆、哈博森、臻迪、Wi-Fi无人机、穿越机等。</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5）★探测定位：应具有定位功能，能显示无人机的工作频段、品牌型号、电子指纹、方位、距离、经纬度、飞行高度等信息，能在电子地图上显示标识图标和飞行轨迹。</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6）飞手定位：能够显示飞手经纬度、距离、方位等信息，能在电子地图上显示遥控器表示图标，以及对应无人机标识图标的连线。</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7）★探测频率范围：要求设备的频率探测范围为25MHz-6000MHz。</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8）探测灵敏度：≤-105dBm。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9）探测距离：无人机的探测距离≥2km。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10）定位精度：设备对无人机的定位误差应≤2m。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11）高度精度：设备对无人机飞行高度的定位误差应≤1m。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12）飞手精度：设备对遥控器（飞手）的定位误差应≤1m。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13）测向精度：设备对无人机的测向误差应≤1°（RMS）。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14）探测时间：设备发现无人机所需的时间应≤5s。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15）探测结果时间：探测结果刷新时间应≤2s。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16）探测成功率：≥99%。</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17）虚警率：设备持续探测24小时，虚警应≤1架次。</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18）续航时长：设备的持续工作时间≥4h。</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19）★同一无人机入侵识别：多次探测识别到同一架次无人机入侵时，应能自动融合为一条信息，能自动整合该无人机的入侵信息，且 多条记录中的无人机电子指纹ID应相同。</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20）多目标识别功能：能同时探测并识别无人机的数量应≥10架。</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21）多目标定位功能：具有多目标定位功能，应能同时探测并定位不少于11架的无人机目标。</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22）轨迹跟踪：能同时显示无人机轨迹数量应≥11条。</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23）定位功能：具有定位功能，应能在电子地图上显示设备所在位置的经纬度信息。</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24）★无人机特征信号库：具有无人机特征信号库，特征库包含的无人机品牌数量应≥25个，机型应≥100种，至少包含以下：大疆（包括御3、御2、御mini2、御Air、御Air2、御miniSE、御Pro、御Air2S、御mini、精灵4Pro、精灵4ProV2.0、精灵4、Tello等型号）、道通、小米、大华、海康、世季、哈博森、亿航、昊翔、零度、伟力、臻迪、华科尔、司马、基石、云科、追云、普宙、Holystone、AEE、飞拍、优迪、飞马、科卫泰、大工、科比特、JOUAV、Parrot、3DR、CFLY、TW等品牌的无人机。</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25）动态工作：设备应在移动状态下（且移动速度≥60km/h）对无人机、遥控器（飞手）进行探测及定位。</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26）供电充电：应能通过内置锂电池供电、通过移动电源（充电宝）、车载USB接口或电源适配器接入市电等方式充电。</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27）静电放电抗扰度：接触放电：±6kV；空气放电：±2kV，±4kV，±8kV。</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28）电磁场辐射抗扰度：扫频：80MHz～1000MHz；场强：10V/m；幅度调制：1kHz、调制深度80%，设备工作正常。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29）电磁环境试验：按照GB8702-2014《电磁环境控制限制》中限制和评价方法的规定进行，在距离设备0.5m应符合，发射频率范围在30MHz-3000MHz，环境电场强度的方均根值应≤12V/m。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30）工作温度：-25℃-50℃。</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31）低气压高海拔工况：设备在10℃，55kPa低气压环境下4h可正常工作。</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需提供国家安全防范报警系统产品质量监督检测中心、公安部安全与警用电子产品质量检测中心出具的检测报告，并提供检验报告复印件加盖厂家公章。 </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反制盾（含侦查功能）</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反制设备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lang w:val="en-US" w:eastAsia="zh-CN"/>
              </w:rPr>
              <w:t>1</w:t>
            </w:r>
            <w:r>
              <w:rPr>
                <w:rFonts w:hint="default" w:ascii="宋体" w:hAnsi="宋体" w:eastAsia="宋体" w:cs="宋体"/>
                <w:sz w:val="21"/>
                <w:szCs w:val="21"/>
                <w:lang w:val="en-US" w:eastAsia="zh-CN"/>
              </w:rPr>
              <w:t>.供电：33v。</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2、主机重量：≤7Kg；</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3、散热方式：智能温控</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4、工作时间：≥30mins（持续时间）</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5、主机尺寸：L*W*H≤400mm *300mm *150mm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6：设备应为一体化设计</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7、反制形式：定向式无线电干扰，基本干扰频段包括 800MHz、900MHz、1.2GHz（全段）、1.6GHz（全段）、2.4GHz（全段）、5.2GHz（全段）、5.8GHz（全段） 7 频段干扰。</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8、发射频率：①ISM 800M：790-850（MHZ）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②ISM 900M：855-940（MHZ）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③ISM 1.2G：1157-1285（MHZ）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④ISM 1.6G：1545-1620（MHZ）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⑤ISM 2.4G: 2400-2500(MHZ)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⑥ISM 5.2G：5170-5250（MHZ）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⑦ISM 5.8G：5700-5865（MHZ）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9、发射功率：①ISM 800：≥40dBm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②ISM 900：≥40dBm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③ISM 1.2：≥40dBm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④ISM 1.6：≥40dBm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⑤ISM 2.4: ≥40dBm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⑥ISM 5.2：≥40dBm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⑦ISM 5.8: ≥40dBm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10、★展开时间：＜ 5. 0s;</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11、撤收时间：＜5. 0s</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12、高低温：高温70度±2，低温30±2，后开机仍能正常工作</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13：环境电场强度：便携式无人机单兵干扰器环境电场强度符合GB 8702-2014《电磁环境控制限值》标准</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★14、设备性能：对遥控频率为800MHz、900MHz、1.2GHz（全段）、1.6GHz（全段）、2.4GHz（全段）、5.2GHz（全段）、5.8GHz（全段）的无人机，干扰距离≥3000米。</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★15、GPS定位功能：支持的定位系统 BDS/GPS/GLONASS/GALTLEO/QZSS/SBAS，可以实时发送GPS定位信息，可接入浙江省无人机管理平台终端，能显示设备当前地理位置信息，并可实现多设备定位信息同时显示。  </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16、可实现对无人机遥控频段和图传频段干扰作用。</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17、配有普通民用（220V）充电器。</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18：电源总开关按键响应时间：≤1 秒钟。</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19：发射开关按键响应时间：≤1 秒钟。</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20：干扰反应时间：3000M距离,≤6 秒钟。</w:t>
            </w:r>
          </w:p>
          <w:p>
            <w:pP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★21、4G/5G模块通信：设备具有4G/5G通信模块，可通过4G/5G网络进行数据传输</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穿越机</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10" w:firstLineChars="10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反制设备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★1.机架:机架尺寸≤193*144*34mm；电机对角;245mm/240mm；底板厚度≥2.5mm；机臂厚度≥5mm；中心板厚度≥3mm</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default" w:ascii="宋体" w:hAnsi="宋体" w:eastAsia="宋体" w:cs="宋体"/>
                <w:sz w:val="21"/>
                <w:szCs w:val="21"/>
                <w:lang w:val="en-US" w:eastAsia="zh-CN"/>
              </w:rPr>
              <w:t>飞控:飞控处理器不低于：STM32F722/孔位尺寸≤30.5*30.5mm 重量≤7.8g</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3.电调:孔距≤30.5*30.5mm/重量≤15.3g/输入电压≤2-6S/固件≥IFLIGHT BLITZ G3/瞬间电流≥65A</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4.电机:尺寸≤2207/1800KV数量*4</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5.眼镜:分辨率≥1920*1080/刷新率≥100hz/屈光度调节范围≥72/电池数量*2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6.图传:最高码率≥50Mbps 画质≥1080p/100fps 传感器≥1/1.7 英寸</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7.接收机:重量≤0.7克/尺寸≤11*18毫米</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8.遥控器:发射功率≥1000mW/尺寸≥185*175*79mm/重量≤481g（不含电池）/遥控器电池容量≥5000mah数量*2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9.机臂:机臂厚度≤5mm数量*2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10.电池:电压6s /放电倍率≤150c /容量≤1400mah</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11.高频头:尺寸≤55*89*15mm/频率915mhz/功率≥2W</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12.充电器:充电电流≤0.1-15A*2/充电功率≥DC 325Wx2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13.桨叶:螺距≤3.6in/桨盘直径≤131.8mm/桨叶宽度≤15mm重量≤4.2g/数量*4</w:t>
            </w:r>
          </w:p>
          <w:p>
            <w:pPr>
              <w:widowControl/>
              <w:spacing w:line="240" w:lineRule="auto"/>
              <w:ind w:firstLine="0" w:firstLineChars="0"/>
              <w:jc w:val="left"/>
              <w:textAlignment w:val="center"/>
              <w:rPr>
                <w:rFonts w:hint="eastAsia" w:ascii="宋体" w:hAnsi="宋体" w:eastAsia="宋体" w:cs="宋体"/>
                <w:kern w:val="0"/>
                <w:sz w:val="21"/>
                <w:szCs w:val="21"/>
                <w:lang w:bidi="ar"/>
              </w:rPr>
            </w:pPr>
            <w:r>
              <w:rPr>
                <w:rFonts w:hint="default" w:ascii="宋体" w:hAnsi="宋体" w:eastAsia="宋体" w:cs="宋体"/>
                <w:sz w:val="21"/>
                <w:szCs w:val="21"/>
                <w:lang w:val="en-US" w:eastAsia="zh-CN"/>
              </w:rPr>
              <w:t>14.拆桨工具:开口厚度≤5.2MM/开口宽度≤17.3MM/柄处厚度 ≤4.1MM/圆口厚度≤6.5MM</w:t>
            </w:r>
          </w:p>
        </w:tc>
      </w:tr>
      <w:tr>
        <w:tblPrEx>
          <w:tblCellMar>
            <w:top w:w="0" w:type="dxa"/>
            <w:left w:w="108" w:type="dxa"/>
            <w:bottom w:w="0" w:type="dxa"/>
            <w:right w:w="108"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无人机远程控制盒</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控制设备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eastAsia="宋体" w:cs="宋体"/>
                <w:kern w:val="0"/>
                <w:sz w:val="21"/>
                <w:szCs w:val="21"/>
                <w:lang w:val="en-US" w:eastAsia="zh-CN" w:bidi="ar"/>
              </w:rPr>
              <w:t>.重量：≤150g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eastAsia="宋体" w:cs="宋体"/>
                <w:kern w:val="0"/>
                <w:sz w:val="21"/>
                <w:szCs w:val="21"/>
                <w:lang w:val="en-US" w:eastAsia="zh-CN" w:bidi="ar"/>
              </w:rPr>
              <w:t>.自身内存规格：≥DDR4X  8G 总带宽≥51.2GB/s</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val="en-US" w:eastAsia="zh-CN" w:bidi="ar"/>
              </w:rPr>
              <w:t>.存储空间：≥128G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hint="default" w:ascii="宋体" w:hAnsi="宋体" w:eastAsia="宋体" w:cs="宋体"/>
                <w:kern w:val="0"/>
                <w:sz w:val="21"/>
                <w:szCs w:val="21"/>
                <w:lang w:val="en-US" w:eastAsia="zh-CN" w:bidi="ar"/>
              </w:rPr>
              <w:t>.防护等级：≥IP45</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r>
              <w:rPr>
                <w:rFonts w:hint="default" w:ascii="宋体" w:hAnsi="宋体" w:eastAsia="宋体" w:cs="宋体"/>
                <w:kern w:val="0"/>
                <w:sz w:val="21"/>
                <w:szCs w:val="21"/>
                <w:lang w:val="en-US" w:eastAsia="zh-CN" w:bidi="ar"/>
              </w:rPr>
              <w:t>,工作温度：-30°C~60°C</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6</w:t>
            </w:r>
            <w:r>
              <w:rPr>
                <w:rFonts w:hint="default" w:ascii="宋体" w:hAnsi="宋体" w:eastAsia="宋体" w:cs="宋体"/>
                <w:kern w:val="0"/>
                <w:sz w:val="21"/>
                <w:szCs w:val="21"/>
                <w:lang w:val="en-US" w:eastAsia="zh-CN" w:bidi="ar"/>
              </w:rPr>
              <w:t>.电源输入电压：12~28V</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7</w:t>
            </w:r>
            <w:r>
              <w:rPr>
                <w:rFonts w:hint="default" w:ascii="宋体" w:hAnsi="宋体" w:eastAsia="宋体" w:cs="宋体"/>
                <w:kern w:val="0"/>
                <w:sz w:val="21"/>
                <w:szCs w:val="21"/>
                <w:lang w:val="en-US" w:eastAsia="zh-CN" w:bidi="ar"/>
              </w:rPr>
              <w:t>.拓展接口：支持USB3.0/2.0/UART/以太网络接入</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8</w:t>
            </w:r>
            <w:r>
              <w:rPr>
                <w:rFonts w:hint="default" w:ascii="宋体" w:hAnsi="宋体" w:eastAsia="宋体" w:cs="宋体"/>
                <w:kern w:val="0"/>
                <w:sz w:val="21"/>
                <w:szCs w:val="21"/>
                <w:lang w:val="en-US" w:eastAsia="zh-CN" w:bidi="ar"/>
              </w:rPr>
              <w:t>.通信能力：5G/WIFI6/1.4G(自组网通信)（提供具有CMA标识的第三方检测报告。（扫描件或复印件））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9</w:t>
            </w:r>
            <w:r>
              <w:rPr>
                <w:rFonts w:hint="default" w:ascii="宋体" w:hAnsi="宋体" w:eastAsia="宋体" w:cs="宋体"/>
                <w:kern w:val="0"/>
                <w:sz w:val="21"/>
                <w:szCs w:val="21"/>
                <w:lang w:val="en-US" w:eastAsia="zh-CN" w:bidi="ar"/>
              </w:rPr>
              <w:t>.支持设备：</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支持接入大疆M300RTK、M210系列等主流无人机设备（提供具有CMA标识的第三方检测报告。（扫描件或复印件））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10</w:t>
            </w:r>
            <w:r>
              <w:rPr>
                <w:rFonts w:hint="default" w:ascii="宋体" w:hAnsi="宋体" w:eastAsia="宋体" w:cs="宋体"/>
                <w:kern w:val="0"/>
                <w:sz w:val="21"/>
                <w:szCs w:val="21"/>
                <w:lang w:val="en-US" w:eastAsia="zh-CN" w:bidi="ar"/>
              </w:rPr>
              <w:t>.支持SDK类型：大疆系列：PSDK；</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1</w:t>
            </w:r>
            <w:r>
              <w:rPr>
                <w:rFonts w:hint="default" w:ascii="宋体" w:hAnsi="宋体" w:eastAsia="宋体" w:cs="宋体"/>
                <w:kern w:val="0"/>
                <w:sz w:val="21"/>
                <w:szCs w:val="21"/>
                <w:lang w:val="en-US" w:eastAsia="zh-CN" w:bidi="ar"/>
              </w:rPr>
              <w:t>.具有无人机飞行控制能力,控制飞机执行任务飞行,控制云台转动,控制相机拍照变焦录像等（提供具有CMA标识的第三方检测报告。（扫描件或复印件）</w:t>
            </w:r>
          </w:p>
          <w:p>
            <w:pPr>
              <w:widowControl/>
              <w:spacing w:line="240" w:lineRule="auto"/>
              <w:ind w:firstLine="0" w:firstLineChars="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2</w:t>
            </w:r>
            <w:r>
              <w:rPr>
                <w:rFonts w:hint="default" w:ascii="宋体" w:hAnsi="宋体" w:eastAsia="宋体" w:cs="宋体"/>
                <w:kern w:val="0"/>
                <w:sz w:val="21"/>
                <w:szCs w:val="21"/>
                <w:lang w:val="en-US" w:eastAsia="zh-CN" w:bidi="ar"/>
              </w:rPr>
              <w:t>.AI算力：算力≥20 TOPS 精度≥INT 8,可作为无人机入门级AI算力平台</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飞行控制摇杆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控制设备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★1.摇杆操作解析度≥16 位（提供具有CMA标识的第三方检测报告。扫描件或复印件）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2.摇杆手柄可拆卸，底座稳固，自重≥2.5kg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★3．有效操作按键≥19个，包含苦力帽、八向帽、按压帽、金属扳机等必要操作按钮，(提供具有CMA标识的第三方检测报告。（扫描件或复印件）)</w:t>
            </w:r>
          </w:p>
          <w:p>
            <w:pPr>
              <w:widowControl/>
              <w:spacing w:line="240" w:lineRule="auto"/>
              <w:ind w:firstLine="0" w:firstLineChars="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4.模拟控制台：底座稳固，自重≥2.5kg； 包含操作按钮、挡位开关和Trim 轮</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6</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流量卡</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流量卡</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满足4M超清码流下视频回传通畅，视频观看不卡顿，飞行过程不会出现数据断链，流量使用不受限制.按年付费</w:t>
            </w:r>
            <w:r>
              <w:rPr>
                <w:rFonts w:hint="eastAsia" w:ascii="宋体" w:hAnsi="宋体" w:cs="宋体"/>
                <w:sz w:val="21"/>
                <w:szCs w:val="21"/>
                <w:lang w:val="en-US" w:eastAsia="zh-CN"/>
              </w:rPr>
              <w:t>。</w:t>
            </w:r>
          </w:p>
        </w:tc>
      </w:tr>
    </w:tbl>
    <w:p>
      <w:pPr>
        <w:pStyle w:val="6"/>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color w:val="auto"/>
          <w:sz w:val="21"/>
          <w:szCs w:val="21"/>
          <w:highlight w:val="none"/>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注：上述检测报告，加盖原厂公章允许中标后提供。</w:t>
      </w:r>
    </w:p>
    <w:p>
      <w:pPr>
        <w:rPr>
          <w:rFonts w:hint="eastAsia" w:cs="宋体"/>
          <w:color w:val="auto"/>
          <w:sz w:val="24"/>
          <w:szCs w:val="24"/>
          <w:highlight w:val="none"/>
          <w:lang w:val="en-US" w:eastAsia="zh-CN"/>
        </w:rPr>
      </w:pPr>
    </w:p>
    <w:p>
      <w:pPr>
        <w:pStyle w:val="14"/>
        <w:snapToGrid w:val="0"/>
        <w:spacing w:before="120" w:beforeLines="0" w:after="120" w:afterLines="0" w:line="240" w:lineRule="auto"/>
        <w:ind w:firstLine="210" w:firstLineChars="100"/>
        <w:outlineLvl w:val="0"/>
        <w:rPr>
          <w:rFonts w:hAnsi="宋体"/>
          <w:color w:val="0D0D0D"/>
          <w:szCs w:val="21"/>
        </w:rPr>
      </w:pPr>
      <w:bookmarkStart w:id="40" w:name="_Toc525049748"/>
      <w:r>
        <w:rPr>
          <w:rFonts w:hAnsi="宋体"/>
          <w:color w:val="0D0D0D"/>
          <w:szCs w:val="21"/>
        </w:rPr>
        <w:t>三、商务需求表</w:t>
      </w:r>
    </w:p>
    <w:tbl>
      <w:tblPr>
        <w:tblStyle w:val="2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68"/>
        <w:gridCol w:w="1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highlight w:val="none"/>
                <w:lang w:eastAsia="zh-CN"/>
              </w:rPr>
              <w:t>供应商</w:t>
            </w:r>
            <w:r>
              <w:rPr>
                <w:rFonts w:hint="eastAsia" w:ascii="宋体" w:hAnsi="宋体"/>
                <w:color w:val="0D0D0D"/>
                <w:sz w:val="21"/>
                <w:szCs w:val="21"/>
                <w:highlight w:val="none"/>
              </w:rPr>
              <w:t>需按本技术规格书的要求完成</w:t>
            </w:r>
            <w:r>
              <w:rPr>
                <w:rFonts w:hint="eastAsia" w:ascii="宋体" w:hAnsi="宋体"/>
                <w:color w:val="0D0D0D"/>
                <w:sz w:val="21"/>
                <w:lang w:eastAsia="zh-CN"/>
              </w:rPr>
              <w:t>台州“飞安行”低空飞行管控服务平台</w:t>
            </w:r>
            <w:r>
              <w:rPr>
                <w:rFonts w:hint="eastAsia" w:ascii="宋体" w:hAnsi="宋体"/>
                <w:color w:val="0D0D0D"/>
                <w:sz w:val="21"/>
                <w:szCs w:val="21"/>
                <w:highlight w:val="none"/>
              </w:rPr>
              <w:t>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台州“飞安行”低空飞行管控服务平台</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lang w:val="en-US" w:eastAsia="zh-CN"/>
              </w:rPr>
              <w:t>服务</w:t>
            </w:r>
            <w:r>
              <w:rPr>
                <w:rFonts w:hint="eastAsia" w:ascii="宋体" w:hAnsi="宋体"/>
                <w:color w:val="0D0D0D"/>
                <w:sz w:val="21"/>
              </w:rPr>
              <w:t>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D0D0D"/>
                <w:sz w:val="21"/>
                <w:lang w:val="en-US" w:eastAsia="zh-CN"/>
              </w:rPr>
            </w:pPr>
            <w:r>
              <w:rPr>
                <w:rFonts w:hint="eastAsia" w:ascii="宋体" w:hAnsi="宋体"/>
                <w:color w:val="0D0D0D"/>
                <w:sz w:val="21"/>
              </w:rPr>
              <w:t>完成时间：</w:t>
            </w:r>
            <w:r>
              <w:rPr>
                <w:rFonts w:hint="eastAsia" w:ascii="宋体" w:hAnsi="宋体"/>
                <w:color w:val="0D0D0D"/>
                <w:sz w:val="21"/>
                <w:highlight w:val="none"/>
              </w:rPr>
              <w:t>合同签订之日起</w:t>
            </w:r>
            <w:r>
              <w:rPr>
                <w:rFonts w:hint="eastAsia" w:ascii="宋体" w:hAnsi="宋体"/>
                <w:color w:val="0D0D0D"/>
                <w:sz w:val="21"/>
                <w:highlight w:val="none"/>
                <w:lang w:val="en-US" w:eastAsia="zh-CN"/>
              </w:rPr>
              <w:t>一</w:t>
            </w:r>
            <w:r>
              <w:rPr>
                <w:rFonts w:hint="eastAsia" w:ascii="宋体" w:hAnsi="宋体"/>
                <w:color w:val="0D0D0D"/>
                <w:sz w:val="21"/>
                <w:highlight w:val="none"/>
              </w:rPr>
              <w:t>年</w:t>
            </w:r>
            <w:r>
              <w:rPr>
                <w:rFonts w:hint="eastAsia" w:ascii="宋体" w:hAnsi="宋体"/>
                <w:color w:val="0D0D0D"/>
                <w:sz w:val="21"/>
                <w:highlight w:val="none"/>
                <w:lang w:eastAsia="zh-CN"/>
              </w:rPr>
              <w:t>，</w:t>
            </w:r>
            <w:r>
              <w:rPr>
                <w:rFonts w:hint="eastAsia" w:ascii="宋体" w:hAnsi="宋体"/>
                <w:color w:val="0D0D0D"/>
                <w:sz w:val="21"/>
                <w:highlight w:val="none"/>
                <w:lang w:val="en-US" w:eastAsia="zh-CN"/>
              </w:rPr>
              <w:t>硬件交货时间接到招标人通知后15日内完成供货。</w:t>
            </w:r>
          </w:p>
          <w:p>
            <w:pPr>
              <w:snapToGrid w:val="0"/>
              <w:rPr>
                <w:rFonts w:ascii="宋体" w:hAnsi="宋体"/>
                <w:color w:val="0D0D0D"/>
                <w:sz w:val="21"/>
              </w:rPr>
            </w:pPr>
            <w:r>
              <w:rPr>
                <w:rFonts w:hint="eastAsia" w:ascii="宋体" w:hAnsi="宋体"/>
                <w:color w:val="0D0D0D"/>
                <w:sz w:val="21"/>
                <w:lang w:val="en-US" w:eastAsia="zh-CN"/>
              </w:rPr>
              <w:t>服务</w:t>
            </w:r>
            <w:r>
              <w:rPr>
                <w:rFonts w:hint="eastAsia" w:ascii="宋体" w:hAnsi="宋体"/>
                <w:color w:val="0D0D0D"/>
                <w:sz w:val="21"/>
              </w:rPr>
              <w:t>地点：甲方指定地点</w:t>
            </w:r>
            <w:r>
              <w:rPr>
                <w:rFonts w:hint="eastAsia" w:ascii="宋体" w:hAnsi="宋体"/>
                <w:color w:val="0D0D0D"/>
                <w:sz w:val="21"/>
                <w:lang w:eastAsia="zh-CN"/>
              </w:rPr>
              <w:t>。</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bookmarkEnd w:id="40"/>
    </w:tbl>
    <w:p>
      <w:pPr>
        <w:pStyle w:val="5"/>
        <w:rPr>
          <w:rFonts w:hint="default"/>
          <w:lang w:val="en-US" w:eastAsia="zh-CN"/>
        </w:rPr>
        <w:sectPr>
          <w:pgSz w:w="16838" w:h="11906" w:orient="landscape"/>
          <w:pgMar w:top="1361" w:right="1247" w:bottom="1361" w:left="1247" w:header="851" w:footer="851" w:gutter="0"/>
          <w:pgNumType w:fmt="numberInDash"/>
          <w:cols w:space="720" w:num="1"/>
          <w:docGrid w:type="lines" w:linePitch="312" w:charSpace="0"/>
        </w:sect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四、实施要求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41" w:name="_Toc27928"/>
      <w:bookmarkStart w:id="42" w:name="_Toc80456366"/>
      <w:bookmarkStart w:id="43" w:name="_Toc105761426"/>
      <w:bookmarkStart w:id="44" w:name="_Toc69930468"/>
      <w:bookmarkStart w:id="45" w:name="_Toc70237431"/>
      <w:bookmarkStart w:id="46" w:name="_Toc21833"/>
      <w:bookmarkStart w:id="47" w:name="_Toc70237437"/>
      <w:bookmarkStart w:id="48" w:name="_Toc69930474"/>
      <w:bookmarkStart w:id="49" w:name="_Toc22551250"/>
      <w:bookmarkStart w:id="50" w:name="_Toc80456353"/>
      <w:r>
        <w:rPr>
          <w:rFonts w:hint="eastAsia" w:ascii="宋体" w:hAnsi="宋体" w:eastAsia="宋体" w:cs="宋体"/>
          <w:b/>
          <w:color w:val="auto"/>
          <w:sz w:val="24"/>
          <w:szCs w:val="24"/>
          <w:highlight w:val="none"/>
        </w:rPr>
        <w:t>1.等保测评</w:t>
      </w:r>
      <w:bookmarkEnd w:id="41"/>
      <w:bookmarkEnd w:id="42"/>
      <w:bookmarkEnd w:id="43"/>
      <w:bookmarkEnd w:id="44"/>
      <w:bookmarkEnd w:id="45"/>
      <w:bookmarkEnd w:id="4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参照最新国标《信息安全技术网络安全等级保护安全设计技术要求》（GBT 25070-2019）以及其他要求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本次项目要求中标供应商</w:t>
      </w:r>
      <w:r>
        <w:rPr>
          <w:rFonts w:hint="eastAsia" w:ascii="宋体" w:hAnsi="宋体" w:cs="宋体"/>
          <w:color w:val="auto"/>
          <w:sz w:val="24"/>
          <w:szCs w:val="24"/>
          <w:highlight w:val="none"/>
          <w:lang w:val="en-US" w:eastAsia="zh-CN"/>
        </w:rPr>
        <w:t>无条件配合招标人</w:t>
      </w:r>
      <w:r>
        <w:rPr>
          <w:rFonts w:hint="eastAsia" w:ascii="宋体" w:hAnsi="宋体" w:eastAsia="宋体" w:cs="宋体"/>
          <w:color w:val="auto"/>
          <w:sz w:val="24"/>
          <w:szCs w:val="24"/>
          <w:highlight w:val="none"/>
        </w:rPr>
        <w:t>完成信息系统安全等级保护二级定级备案、整改等工作。</w:t>
      </w:r>
    </w:p>
    <w:bookmarkEnd w:id="47"/>
    <w:bookmarkEnd w:id="48"/>
    <w:bookmarkEnd w:id="49"/>
    <w:bookmarkEnd w:id="50"/>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51" w:name="_Toc30194"/>
      <w:bookmarkStart w:id="52" w:name="_Toc14175"/>
      <w:r>
        <w:rPr>
          <w:rFonts w:hint="eastAsia" w:ascii="宋体" w:hAnsi="宋体" w:eastAsia="宋体" w:cs="宋体"/>
          <w:b/>
          <w:color w:val="auto"/>
          <w:sz w:val="24"/>
          <w:szCs w:val="24"/>
          <w:highlight w:val="none"/>
        </w:rPr>
        <w:t>2.第三方软件检测</w:t>
      </w:r>
      <w:bookmarkEnd w:id="51"/>
      <w:bookmarkEnd w:id="5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配合招标人对本项目系统</w:t>
      </w:r>
      <w:r>
        <w:rPr>
          <w:rFonts w:hint="eastAsia" w:ascii="宋体" w:hAnsi="宋体" w:eastAsia="宋体" w:cs="宋体"/>
          <w:color w:val="auto"/>
          <w:sz w:val="24"/>
          <w:szCs w:val="24"/>
          <w:highlight w:val="none"/>
        </w:rPr>
        <w:t>应用开展第三方软件检测，测评内容主要包括功能测试、性能测试、安全性测试（基线检测、漏扫、渗透测试、代码检测）等，使得系统功能、性能、安全满足要求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如有问题，相关整改工作无条件配合招标人。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3.项目进度要求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合同签订后2周内组织人员进场开工，6个月内完成主要功能开发，9个月完成初验并进入试运行。稳定试运行3个月后，由循环公司组织终验。中标供应商必须严格按照各模块要求进度完成业务上线。如因</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原因造成不能按期完工，工期相应顺延。</w:t>
      </w:r>
      <w:bookmarkStart w:id="53" w:name="_Toc436664876"/>
      <w:bookmarkStart w:id="54" w:name="_Toc1279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4.项目组织及实施要求</w:t>
      </w:r>
      <w:bookmarkEnd w:id="53"/>
      <w:bookmarkEnd w:id="54"/>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5" w:name="_Toc6904"/>
      <w:r>
        <w:rPr>
          <w:rFonts w:hint="eastAsia" w:ascii="宋体" w:hAnsi="宋体" w:eastAsia="宋体" w:cs="宋体"/>
          <w:color w:val="auto"/>
          <w:sz w:val="24"/>
          <w:szCs w:val="24"/>
          <w:highlight w:val="none"/>
        </w:rPr>
        <w:t>1）投标供应商中标后需要在10个工作日内在循环公司成立工作团队，并指定一名专职的项目经理，负责项目协调和调度工作。除项目经理外，项目组须配备专职的技术负责人，并按照项目实施的要求，配置相应的项目管理、系统设计、开发、测试、集成、培训、质量保证等人员。</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2）本项目实施阶段要求驻场，要求投标供应商明确各阶段的人员驻场安排，项目经理要求在项目建设各阶段在现场开展相关工作，并保证一定的到场率；项目小组团队成员在各阶段至少安排</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人（含项目经理1人）进驻现场开展各项工作。并在验收后的质量保证期内专人（该工程师需全程参与过本项目建设）参加日常维护工作。中标单位无法按期完成人员进驻的，招标人有权取消其中标资格。</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3）参与此项目的技术人员必须具有承担过相同类型软件开发的经验，能够与用户进行良好的沟通，掌握相关领域的相关基础知识，具备相关应用和开发的能力。</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4）中标供应商在项目合同签订后，需组织相关实施人员在该项目招标需求的基础上进行深入调研，编制需求规格说明书。需求规格说明经</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、中标供应商确认后作为项目验收的依据。</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5）要求中标供应商在各阶段及时提供相应的项目管理文档、开发类文档及实施类文档，以便</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及时了解项目进展情况。</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6）对上述安排投标供应商应列出详细实施方案，包括但不限于项目管理计划、项目进度计划、项目验收计划、项目组织结构等。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方案提出的对项目的主要需求，是投标供应商编制投标文件和报价的主要依据，但不应作为编制正式实施方案的完整的详细要求。在编制正式的项目建设实施方案和详细设计时，投标供应商应深入分析和充分考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对本项目现在及未来发展的需求，设计出完整的优质方案。要开放各类数据显示的数据接口，便于系统功能的扩充和完善。</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8）中标后投标供应商所作的详细设计应完全满足用户的需求，同时不得与投标供应商案有实质性改变，除非</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和初步设计单位认可。</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5.安装、测试及系统集成要求</w:t>
      </w:r>
      <w:bookmarkEnd w:id="55"/>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6" w:name="_Toc13352"/>
      <w:r>
        <w:rPr>
          <w:rFonts w:hint="eastAsia" w:ascii="宋体" w:hAnsi="宋体" w:eastAsia="宋体" w:cs="宋体"/>
          <w:color w:val="auto"/>
          <w:sz w:val="24"/>
          <w:szCs w:val="24"/>
          <w:highlight w:val="none"/>
        </w:rPr>
        <w:t>1）负责本项目范围内应用软件的现场安装部署、集成、测试和调试，保证系统功能、性能要求的实现，提供售后服务。同时负责对应用于该项目的原有软硬件设备的系统集成。在安装、配置和测试、调试过程中，中标供应商应对最终用户技术人员所提出的技术问题，给予满意的答复。</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2）要求有完整的安装和配置程序，具有详细的系统安装配置说明手册、用户使用说明书和系统维护说明书。系统实际安装与操作必须与说明书描述一致。</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3）要求具有完整的系统测试计划，包括根据用户需求编写的，遍及系统95%以上功能、性能的测试用例，合理的测试方案和测试方法。要求保留完整的测试报告。</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4）项目实施过程中，如果牵涉到与第三方产品集成工作，中标供应商应与系统集成商及其他供应商通力合作，并提供必要的技术支持。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5）在整个软件系统建设中，中标供应商如果使用第三方产品，必须作出</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关于知识产权免责申明的承诺。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6）中标供应商负责解决系统建设中全部技术问题，对用户单位项目建设中碰到的其他技术问题，有责任和义务提供咨询和帮助。</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6.技术方案书内容要求</w:t>
      </w:r>
      <w:bookmarkEnd w:id="5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1）作为一个完整的投标技术方案，必须不遗漏、不重复。 </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2）报价中已经包括了相应的系统软件及相关手册、服务费用等。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3）投标供应商对本项目扩展、后续采购和保修期后的承诺。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4）投标供应商针对本项目做出特殊的承诺，该部分作为投标供应商技术实力的一个方面，例如系统中包含了潜在的对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有利的其它功能作为除报价以外的优惠条件。</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5）投标供应商需要在投标供应商案中提出对软硬件基础设施的要求和部署策略。</w:t>
      </w:r>
      <w:bookmarkStart w:id="57" w:name="_Toc1308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7.售后服务要求</w:t>
      </w:r>
      <w:bookmarkEnd w:id="57"/>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8" w:name="_Toc16881"/>
      <w:r>
        <w:rPr>
          <w:rFonts w:hint="eastAsia" w:ascii="宋体" w:hAnsi="宋体" w:eastAsia="宋体" w:cs="宋体"/>
          <w:color w:val="auto"/>
          <w:sz w:val="24"/>
          <w:szCs w:val="24"/>
          <w:highlight w:val="none"/>
        </w:rPr>
        <w:t>1）中标供应商应保证对软件系统提供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年的维护期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对硬件提供3年质保期</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2）在维护期内由于系统本身质量原因造成的任何故障，中标供应商须免费负责优化完善。</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期自项目最终验收合格之日开始计算；质量保证期内，在接到系统故障通知后，供应商必须在15分钟内响应。对于影响平台系统正常运行的严重故障，供应商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ascii="宋体" w:hAnsi="宋体"/>
          <w:color w:val="auto"/>
          <w:sz w:val="24"/>
          <w:highlight w:val="none"/>
        </w:rPr>
        <w:t>▲</w:t>
      </w: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人员驻点：</w:t>
      </w:r>
      <w:r>
        <w:rPr>
          <w:rFonts w:hint="eastAsia" w:ascii="宋体" w:hAnsi="宋体" w:eastAsia="宋体" w:cs="宋体"/>
          <w:color w:val="auto"/>
          <w:sz w:val="24"/>
          <w:szCs w:val="24"/>
          <w:highlight w:val="none"/>
        </w:rPr>
        <w:t>本项目自项目终验后至少提供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年驻场支持服务。驻场人员应和循环公司工作时间保持同步，并接受循环公司日常考核，如考核不达标，按以下条款进行处罚：①缺岗时间每1个工作日/人，扣除450元作为违约金；②</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年驻场期间，因驻场服务人员明显工作履职不到位，导致数据接入、治理、共享服务等任一环节出现重大失误的，每发生一次扣除项目维护费用1000元。</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保证系统正常、安全地运行，技术支持力量和优良的服务是系统正常、安全运行的保障。供应商应据此制定系统详细的技术支持与服务方案，包括服务内容、服务方式、服务响应时间、应急措施及组织结构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6）质量保证期结束后，供应商应保证以优惠价格优先对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进行系统技术支持和维护。</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7）中标供应商应提供电话免费咨询服务。</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.软件版权要求</w:t>
      </w:r>
      <w:bookmarkEnd w:id="58"/>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9" w:name="_Toc28885"/>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针对本项目开发</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的分析算法模型及源代码，通用版本及定制化版本所有权和知识产权均归</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所有。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针对本项目开发</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的源代码（含质保期内的后续升级版本）必须遵循相关标准和规范,并无条件提交给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3）涉及接口的必须遵循相关标准和规范，向下部署的，必须满足国家共享相关规定要求，供应商有义务配合</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做好有关信息共享工作。</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4）本项目在开发、使用和维护过程中接触到的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的所有资料，未经</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授权代表书面许可，不得留存，私自查阅及向任何第三方泄露。</w:t>
      </w:r>
    </w:p>
    <w:p>
      <w:pPr>
        <w:snapToGrid w:val="0"/>
        <w:spacing w:line="360" w:lineRule="auto"/>
        <w:ind w:firstLine="480" w:firstLineChars="200"/>
        <w:rPr>
          <w:rFonts w:hint="eastAsia" w:ascii="宋体" w:hAnsi="宋体" w:eastAsia="宋体" w:cs="宋体"/>
          <w:b/>
          <w:bCs/>
          <w:kern w:val="2"/>
          <w:sz w:val="24"/>
          <w:szCs w:val="24"/>
          <w:highlight w:val="none"/>
          <w:lang w:val="zh-CN" w:eastAsia="zh-CN" w:bidi="ar-SA"/>
        </w:rPr>
      </w:pPr>
      <w:r>
        <w:rPr>
          <w:rFonts w:ascii="宋体" w:hAnsi="宋体"/>
          <w:color w:val="auto"/>
          <w:sz w:val="24"/>
          <w:highlight w:val="none"/>
        </w:rPr>
        <w:t>▲</w:t>
      </w:r>
      <w:r>
        <w:rPr>
          <w:rFonts w:hint="eastAsia" w:ascii="宋体" w:hAnsi="宋体" w:cs="宋体"/>
          <w:b/>
          <w:bCs/>
          <w:kern w:val="2"/>
          <w:sz w:val="24"/>
          <w:szCs w:val="24"/>
          <w:highlight w:val="none"/>
          <w:lang w:val="en-US" w:eastAsia="zh-CN" w:bidi="ar-SA"/>
        </w:rPr>
        <w:t>9.</w:t>
      </w:r>
      <w:r>
        <w:rPr>
          <w:rFonts w:hint="eastAsia" w:ascii="宋体" w:hAnsi="宋体" w:eastAsia="宋体" w:cs="宋体"/>
          <w:b/>
          <w:bCs/>
          <w:kern w:val="2"/>
          <w:sz w:val="24"/>
          <w:szCs w:val="24"/>
          <w:highlight w:val="none"/>
          <w:lang w:val="zh-CN" w:eastAsia="zh-CN" w:bidi="ar-SA"/>
        </w:rPr>
        <w:t>信创要求</w:t>
      </w:r>
    </w:p>
    <w:p>
      <w:pPr>
        <w:snapToGrid w:val="0"/>
        <w:spacing w:line="360" w:lineRule="auto"/>
        <w:ind w:firstLine="480" w:firstLineChars="200"/>
        <w:rPr>
          <w:rFonts w:hint="eastAsia"/>
          <w:highlight w:val="none"/>
          <w:lang w:val="zh-CN"/>
        </w:rPr>
      </w:pPr>
      <w:r>
        <w:rPr>
          <w:rFonts w:hint="eastAsia" w:ascii="宋体" w:hAnsi="宋体" w:eastAsia="宋体" w:cs="宋体"/>
          <w:sz w:val="24"/>
          <w:highlight w:val="none"/>
          <w:lang w:val="zh-CN" w:eastAsia="zh-CN"/>
        </w:rPr>
        <w:t>本项目的开发、部署</w:t>
      </w:r>
      <w:r>
        <w:rPr>
          <w:rFonts w:hint="eastAsia" w:ascii="宋体" w:hAnsi="宋体" w:cs="宋体"/>
          <w:sz w:val="24"/>
          <w:highlight w:val="none"/>
          <w:lang w:val="en-US" w:eastAsia="zh-CN"/>
        </w:rPr>
        <w:t>须</w:t>
      </w:r>
      <w:r>
        <w:rPr>
          <w:rFonts w:hint="eastAsia" w:ascii="宋体" w:hAnsi="宋体" w:eastAsia="宋体" w:cs="宋体"/>
          <w:sz w:val="24"/>
          <w:highlight w:val="none"/>
          <w:lang w:val="zh-CN" w:eastAsia="zh-CN"/>
        </w:rPr>
        <w:t>满足信创要求。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.培训要求</w:t>
      </w:r>
      <w:bookmarkEnd w:id="59"/>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1）供应商必须为</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提供系统使用、系统操作和管理维护培训，培训形式包括客户现场培训、课堂培训；供应商必须列明相应的培训课程。</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2）供应商应在投标文件中提供详细的培训计划，包括培训项目、人数、地点、日程、资料、其它等详细内容，为所有被培训人员提供培训用文字资料和讲义等相关用品。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3）技术培训的内容必须包含软件的日常操作和管理维护，以及基本的故障诊断与排错。供应商培训人员必须是公司的资深工程师。</w:t>
      </w:r>
    </w:p>
    <w:p>
      <w:pPr>
        <w:snapToGrid w:val="0"/>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GB" w:eastAsia="zh-CN"/>
        </w:rPr>
        <w:t>）供应商</w:t>
      </w:r>
      <w:r>
        <w:rPr>
          <w:rFonts w:hint="eastAsia" w:ascii="宋体" w:hAnsi="宋体" w:cs="宋体"/>
          <w:color w:val="auto"/>
          <w:sz w:val="24"/>
          <w:highlight w:val="none"/>
          <w:lang w:val="en-GB"/>
        </w:rPr>
        <w:t>提供总计不少于10人日的培训服务。</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确保</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参与本项目后期相关的运维人员都能掌握本次建设平台的日常操作和管理维护，以及基本的故障诊断与排错。</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）培训工作必须在合同生效之后系统试运行之前安排。</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）所有培训费用（含培训教材费），已包括在投标总价中。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）实际培训时间、人数和地点按中标供应商与</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商定的为准。</w:t>
      </w:r>
      <w:bookmarkStart w:id="60" w:name="_Toc5789"/>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委派2人以上人员进行专员培训，全程参与项目开发过程学习。</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11</w:t>
      </w:r>
      <w:r>
        <w:rPr>
          <w:rFonts w:hint="eastAsia" w:ascii="宋体" w:hAnsi="宋体" w:eastAsia="宋体" w:cs="宋体"/>
          <w:b/>
          <w:color w:val="auto"/>
          <w:sz w:val="24"/>
          <w:szCs w:val="24"/>
          <w:highlight w:val="none"/>
        </w:rPr>
        <w:t>.交付要求</w:t>
      </w:r>
      <w:bookmarkEnd w:id="60"/>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应按照招标文件所约定的内容和时间进行交付；按照计算机软件工程规范国家标准分阶段交付应用系统的文档，所交付的文档与文件为电子版式及纸质形式。交付的文档不限于：需求规格说明书、概要设计说明书、详细设计说明书、数据库设计说明书、项目测试方案、项目测试报告、用户操作手册、管理与维护手册、安装手册、总结报告及</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认为需要的其他材料。</w:t>
      </w:r>
      <w:bookmarkStart w:id="61" w:name="_Toc3273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.项目验收要求</w:t>
      </w:r>
      <w:bookmarkEnd w:id="61"/>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项目的验收包括初步验收、试运行和竣工验收，</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1）项目初验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项目初验前，中标供应商应首先对系统进行自测，并将系统自测报告提交</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和监理单位审查。中标供应商依本合同约定向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提交成果及相关文档，并向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提出初验申请。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接到中标供应商初验申请后，组织相关单位进行初验，初验合格后联合签署初验报告。</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2）试运行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初验合格后，系统进入试运行，试运行时间为3个月。</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3）终验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系统通过试运行后，中标供应商向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提出终验申请，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pStyle w:val="32"/>
        <w:ind w:firstLine="0" w:firstLineChars="0"/>
      </w:pPr>
      <w:r>
        <w:rPr>
          <w:rFonts w:hint="eastAsia" w:ascii="宋体" w:hAnsi="宋体" w:eastAsia="宋体" w:cs="宋体"/>
          <w:color w:val="auto"/>
          <w:sz w:val="24"/>
          <w:szCs w:val="24"/>
          <w:highlight w:val="none"/>
        </w:rPr>
        <w:t>4）验收时中标供应商必须在现场，验收完毕后作出验收结果报告。</w:t>
      </w:r>
    </w:p>
    <w:p>
      <w:pPr>
        <w:pStyle w:val="14"/>
        <w:snapToGrid w:val="0"/>
        <w:spacing w:before="120" w:after="120" w:line="360" w:lineRule="auto"/>
        <w:rPr>
          <w:rFonts w:hint="eastAsia" w:hAnsi="宋体"/>
          <w:b w:val="0"/>
          <w:bCs/>
          <w:color w:val="auto"/>
          <w:sz w:val="24"/>
          <w:highlight w:val="none"/>
        </w:rPr>
      </w:pPr>
      <w:r>
        <w:rPr>
          <w:rFonts w:hint="eastAsia" w:hAnsi="宋体"/>
          <w:b w:val="0"/>
          <w:bCs/>
          <w:color w:val="auto"/>
          <w:sz w:val="24"/>
          <w:highlight w:val="none"/>
          <w:lang w:val="en-US" w:eastAsia="zh-CN"/>
        </w:rPr>
        <w:t>5）</w:t>
      </w:r>
      <w:r>
        <w:rPr>
          <w:rFonts w:hint="eastAsia" w:hAnsi="宋体"/>
          <w:b w:val="0"/>
          <w:bCs/>
          <w:color w:val="auto"/>
          <w:sz w:val="24"/>
          <w:highlight w:val="none"/>
        </w:rPr>
        <w:t>验收费用由</w:t>
      </w:r>
      <w:r>
        <w:rPr>
          <w:rFonts w:hint="eastAsia" w:ascii="宋体" w:hAnsi="宋体" w:eastAsia="宋体" w:cs="宋体"/>
          <w:color w:val="auto"/>
          <w:sz w:val="24"/>
          <w:szCs w:val="24"/>
          <w:highlight w:val="none"/>
        </w:rPr>
        <w:t>中标供应商</w:t>
      </w:r>
      <w:r>
        <w:rPr>
          <w:rFonts w:hint="eastAsia" w:hAnsi="宋体"/>
          <w:b w:val="0"/>
          <w:bCs/>
          <w:color w:val="auto"/>
          <w:sz w:val="24"/>
          <w:highlight w:val="none"/>
        </w:rPr>
        <w:t>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硬件：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1）</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对中标供应商所交产品依照招标文件的技术需求标准的进行验收。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2）</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可组织专家对中标供应商所交产品依照招标文件上的技术规格要求进行现场验收，性能达到招标文件中所规定的技术要求并提供检测报告技术参数、产品合格证及使用说明。验收不合格的不予签收，后果由中标供应商负责。</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3）</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应在调试完毕之日起 30 个工作日内验收完毕，并作出验收结果报告,验收时中标供应商必须在现场。</w:t>
      </w:r>
    </w:p>
    <w:p>
      <w:pPr>
        <w:pStyle w:val="32"/>
        <w:ind w:firstLine="0" w:firstLineChars="0"/>
        <w:rPr>
          <w:rFonts w:hint="default" w:eastAsia="宋体"/>
          <w:highlight w:val="none"/>
          <w:lang w:val="en-US" w:eastAsia="zh-CN"/>
        </w:rPr>
      </w:pPr>
      <w:r>
        <w:rPr>
          <w:rFonts w:hint="eastAsia"/>
          <w:highlight w:val="none"/>
          <w:lang w:val="en-US" w:eastAsia="zh-CN"/>
        </w:rPr>
        <w:t>4）</w:t>
      </w:r>
      <w:r>
        <w:rPr>
          <w:rFonts w:hint="eastAsia" w:hAnsi="宋体"/>
          <w:b w:val="0"/>
          <w:bCs/>
          <w:color w:val="auto"/>
          <w:sz w:val="24"/>
          <w:highlight w:val="none"/>
        </w:rPr>
        <w:t>验收费用由</w:t>
      </w:r>
      <w:r>
        <w:rPr>
          <w:rFonts w:hint="eastAsia" w:ascii="宋体" w:hAnsi="宋体" w:eastAsia="宋体" w:cs="宋体"/>
          <w:color w:val="auto"/>
          <w:sz w:val="24"/>
          <w:szCs w:val="24"/>
          <w:highlight w:val="none"/>
        </w:rPr>
        <w:t>中标供应商</w:t>
      </w:r>
      <w:r>
        <w:rPr>
          <w:rFonts w:hint="eastAsia" w:hAnsi="宋体"/>
          <w:b w:val="0"/>
          <w:bCs/>
          <w:color w:val="auto"/>
          <w:sz w:val="24"/>
          <w:highlight w:val="none"/>
        </w:rPr>
        <w:t>负责。</w:t>
      </w:r>
    </w:p>
    <w:p>
      <w:pPr>
        <w:pStyle w:val="32"/>
        <w:ind w:firstLine="0" w:firstLineChars="0"/>
      </w:pPr>
    </w:p>
    <w:p>
      <w:pPr>
        <w:pStyle w:val="32"/>
        <w:spacing w:line="360" w:lineRule="auto"/>
        <w:ind w:firstLine="0" w:firstLineChars="0"/>
        <w:rPr>
          <w:rFonts w:hint="eastAsia"/>
          <w:highlight w:val="none"/>
          <w:lang w:val="en-US" w:eastAsia="zh-CN"/>
        </w:rPr>
      </w:pPr>
      <w:r>
        <w:rPr>
          <w:rFonts w:hint="eastAsia" w:ascii="宋体" w:hAnsi="宋体" w:eastAsia="宋体" w:cs="宋体"/>
          <w:b/>
          <w:color w:val="auto"/>
          <w:kern w:val="2"/>
          <w:sz w:val="24"/>
          <w:szCs w:val="24"/>
          <w:highlight w:val="none"/>
          <w:lang w:val="en-US" w:eastAsia="zh-CN" w:bidi="ar-SA"/>
        </w:rPr>
        <w:t>13.</w:t>
      </w:r>
      <w:r>
        <w:rPr>
          <w:rFonts w:hint="eastAsia" w:hAnsi="宋体" w:cs="宋体"/>
          <w:b/>
          <w:color w:val="auto"/>
          <w:kern w:val="2"/>
          <w:sz w:val="24"/>
          <w:szCs w:val="24"/>
          <w:highlight w:val="none"/>
          <w:lang w:val="en-US" w:eastAsia="zh-CN" w:bidi="ar-SA"/>
        </w:rPr>
        <w:t>平台接入</w:t>
      </w:r>
    </w:p>
    <w:p>
      <w:pPr>
        <w:pStyle w:val="32"/>
        <w:spacing w:line="360" w:lineRule="auto"/>
        <w:ind w:firstLine="0" w:firstLineChars="0"/>
        <w:rPr>
          <w:highlight w:val="none"/>
        </w:rPr>
      </w:pPr>
      <w:r>
        <w:rPr>
          <w:rFonts w:hint="eastAsia"/>
          <w:highlight w:val="none"/>
          <w:lang w:val="en-US" w:eastAsia="zh-CN"/>
        </w:rPr>
        <w:t>中标单位须接入台州警航无人机指挥管控平台，在平台端实现超视距控制。</w:t>
      </w:r>
    </w:p>
    <w:p>
      <w:pPr>
        <w:pStyle w:val="32"/>
        <w:ind w:firstLine="0" w:firstLineChars="0"/>
        <w:rPr>
          <w:highlight w:val="none"/>
        </w:rPr>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numPr>
          <w:ilvl w:val="0"/>
          <w:numId w:val="6"/>
        </w:numPr>
        <w:spacing w:line="360" w:lineRule="auto"/>
        <w:jc w:val="center"/>
        <w:rPr>
          <w:rFonts w:asciiTheme="minorEastAsia" w:hAnsiTheme="minorEastAsia" w:eastAsiaTheme="minorEastAsia"/>
          <w:b/>
          <w:sz w:val="36"/>
          <w:szCs w:val="36"/>
        </w:rPr>
      </w:pPr>
      <w:bookmarkStart w:id="62" w:name="_Toc31173_WPSOffice_Level1"/>
      <w:r>
        <w:rPr>
          <w:rFonts w:hint="eastAsia" w:asciiTheme="minorEastAsia" w:hAnsiTheme="minorEastAsia" w:eastAsiaTheme="minorEastAsia"/>
          <w:b/>
          <w:sz w:val="36"/>
          <w:szCs w:val="36"/>
        </w:rPr>
        <w:t>评标</w:t>
      </w:r>
      <w:bookmarkEnd w:id="6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asciiTheme="minorEastAsia" w:hAnsiTheme="minorEastAsia" w:eastAsiaTheme="minorEastAsia"/>
          <w:b/>
          <w:bCs/>
        </w:rPr>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Arial" w:hAnsi="Arial" w:cs="Arial" w:eastAsiaTheme="minorEastAsia"/>
          <w:b/>
          <w:bCs/>
        </w:rPr>
        <w:t>技术标及商务标评审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pPr>
        <w:autoSpaceDE w:val="0"/>
        <w:autoSpaceDN w:val="0"/>
        <w:adjustRightInd w:val="0"/>
        <w:spacing w:line="360" w:lineRule="auto"/>
        <w:ind w:right="85" w:firstLine="241" w:firstLineChars="100"/>
        <w:rPr>
          <w:rFonts w:hint="eastAsia" w:ascii="宋体" w:eastAsia="宋体"/>
          <w:b/>
          <w:bCs/>
          <w:sz w:val="24"/>
          <w:lang w:eastAsia="zh-CN"/>
        </w:rPr>
      </w:pPr>
      <w:r>
        <w:rPr>
          <w:rFonts w:hint="eastAsia" w:ascii="宋体"/>
          <w:b/>
          <w:bCs/>
          <w:sz w:val="24"/>
        </w:rPr>
        <w:t>1、评分标准</w:t>
      </w:r>
      <w:r>
        <w:rPr>
          <w:rFonts w:hint="eastAsia" w:ascii="宋体"/>
          <w:b/>
          <w:bCs/>
          <w:sz w:val="24"/>
          <w:lang w:eastAsia="zh-CN"/>
        </w:rPr>
        <w:t>（</w:t>
      </w:r>
      <w:r>
        <w:rPr>
          <w:rFonts w:hint="eastAsia" w:ascii="宋体"/>
          <w:b/>
          <w:bCs/>
          <w:sz w:val="24"/>
          <w:lang w:val="en-US" w:eastAsia="zh-CN"/>
        </w:rPr>
        <w:t>80分</w:t>
      </w:r>
      <w:r>
        <w:rPr>
          <w:rFonts w:hint="eastAsia" w:ascii="宋体"/>
          <w:b/>
          <w:bCs/>
          <w:sz w:val="24"/>
          <w:lang w:eastAsia="zh-CN"/>
        </w:rPr>
        <w:t>）</w:t>
      </w:r>
    </w:p>
    <w:tbl>
      <w:tblPr>
        <w:tblStyle w:val="2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6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1" w:type="dxa"/>
            <w:shd w:val="clear" w:color="auto" w:fill="BEBEBE"/>
            <w:noWrap w:val="0"/>
            <w:vAlign w:val="center"/>
          </w:tcPr>
          <w:p>
            <w:pPr>
              <w:bidi w:val="0"/>
              <w:rPr>
                <w:rFonts w:ascii="宋体" w:hAnsi="宋体" w:cs="宋体"/>
                <w:bCs/>
                <w:color w:val="auto"/>
                <w:sz w:val="21"/>
                <w:szCs w:val="21"/>
                <w:highlight w:val="none"/>
              </w:rPr>
            </w:pPr>
            <w:r>
              <w:rPr>
                <w:rFonts w:hint="eastAsia"/>
              </w:rPr>
              <w:t>评分项目</w:t>
            </w:r>
          </w:p>
        </w:tc>
        <w:tc>
          <w:tcPr>
            <w:tcW w:w="7676" w:type="dxa"/>
            <w:shd w:val="clear" w:color="auto" w:fill="BEBEBE"/>
            <w:noWrap w:val="0"/>
            <w:vAlign w:val="center"/>
          </w:tcPr>
          <w:p>
            <w:pPr>
              <w:bidi w:val="0"/>
              <w:rPr>
                <w:rFonts w:ascii="宋体" w:hAnsi="宋体" w:cs="宋体"/>
                <w:bCs/>
                <w:color w:val="auto"/>
                <w:sz w:val="21"/>
                <w:szCs w:val="21"/>
                <w:highlight w:val="none"/>
              </w:rPr>
            </w:pPr>
            <w:r>
              <w:rPr>
                <w:rFonts w:hint="eastAsia"/>
              </w:rPr>
              <w:t>评分细则</w:t>
            </w:r>
          </w:p>
        </w:tc>
        <w:tc>
          <w:tcPr>
            <w:tcW w:w="847" w:type="dxa"/>
            <w:shd w:val="clear" w:color="auto" w:fill="BEBEBE"/>
            <w:noWrap w:val="0"/>
            <w:vAlign w:val="center"/>
          </w:tcPr>
          <w:p>
            <w:pPr>
              <w:bidi w:val="0"/>
              <w:rPr>
                <w:rFonts w:ascii="宋体" w:hAnsi="宋体" w:cs="宋体"/>
                <w:bCs/>
                <w:color w:val="auto"/>
                <w:sz w:val="21"/>
                <w:szCs w:val="21"/>
                <w:highlight w:val="none"/>
              </w:rP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1</w:t>
            </w:r>
          </w:p>
        </w:tc>
        <w:tc>
          <w:tcPr>
            <w:tcW w:w="7676" w:type="dxa"/>
            <w:noWrap w:val="0"/>
            <w:vAlign w:val="center"/>
          </w:tcPr>
          <w:p>
            <w:pPr>
              <w:bidi w:val="0"/>
              <w:rPr>
                <w:rFonts w:hint="eastAsia"/>
                <w:lang w:val="zh-CN"/>
              </w:rPr>
            </w:pPr>
            <w:r>
              <w:rPr>
                <w:rFonts w:hint="eastAsia"/>
                <w:lang w:val="zh-CN"/>
              </w:rPr>
              <w:t>项目需求理解情况：</w:t>
            </w:r>
          </w:p>
          <w:p>
            <w:pPr>
              <w:bidi w:val="0"/>
              <w:rPr>
                <w:rFonts w:hint="eastAsia"/>
                <w:lang w:val="zh-CN"/>
              </w:rPr>
            </w:pPr>
            <w:r>
              <w:rPr>
                <w:rFonts w:hint="eastAsia"/>
                <w:lang w:val="zh-CN"/>
              </w:rPr>
              <w:t>对</w:t>
            </w:r>
            <w:r>
              <w:rPr>
                <w:rFonts w:hint="eastAsia"/>
              </w:rPr>
              <w:t>本项目建设内容</w:t>
            </w:r>
            <w:r>
              <w:rPr>
                <w:rFonts w:hint="eastAsia"/>
                <w:lang w:val="zh-CN"/>
              </w:rPr>
              <w:t>深入理解情况：</w:t>
            </w:r>
          </w:p>
          <w:p>
            <w:pPr>
              <w:bidi w:val="0"/>
              <w:rPr>
                <w:rFonts w:hint="eastAsia"/>
                <w:lang w:val="zh-CN"/>
              </w:rPr>
            </w:pPr>
            <w:r>
              <w:rPr>
                <w:rFonts w:hint="eastAsia"/>
                <w:lang w:val="zh-CN"/>
              </w:rPr>
              <w:t>能深入准确阐述的得</w:t>
            </w:r>
            <w:r>
              <w:rPr>
                <w:rFonts w:hint="eastAsia"/>
                <w:lang w:val="en-US" w:eastAsia="zh-CN"/>
              </w:rPr>
              <w:t>5</w:t>
            </w:r>
            <w:r>
              <w:rPr>
                <w:rFonts w:hint="eastAsia"/>
                <w:lang w:val="zh-CN"/>
              </w:rPr>
              <w:t>-</w:t>
            </w:r>
            <w:r>
              <w:rPr>
                <w:rFonts w:hint="eastAsia"/>
                <w:lang w:val="en-US" w:eastAsia="zh-CN"/>
              </w:rPr>
              <w:t>4.1</w:t>
            </w:r>
            <w:r>
              <w:rPr>
                <w:rFonts w:hint="eastAsia"/>
                <w:lang w:val="zh-CN"/>
              </w:rPr>
              <w:t>分；</w:t>
            </w:r>
          </w:p>
          <w:p>
            <w:pPr>
              <w:bidi w:val="0"/>
              <w:rPr>
                <w:rFonts w:hint="eastAsia"/>
                <w:lang w:val="zh-CN"/>
              </w:rPr>
            </w:pPr>
            <w:r>
              <w:rPr>
                <w:rFonts w:hint="eastAsia"/>
                <w:lang w:val="zh-CN"/>
              </w:rPr>
              <w:t>能基本阐述的得</w:t>
            </w:r>
            <w:r>
              <w:rPr>
                <w:rFonts w:hint="eastAsia"/>
                <w:lang w:val="en-US" w:eastAsia="zh-CN"/>
              </w:rPr>
              <w:t>4</w:t>
            </w:r>
            <w:r>
              <w:rPr>
                <w:rFonts w:hint="eastAsia"/>
                <w:lang w:val="zh-CN"/>
              </w:rPr>
              <w:t>-</w:t>
            </w:r>
            <w:r>
              <w:rPr>
                <w:rFonts w:hint="eastAsia"/>
                <w:lang w:val="en-US" w:eastAsia="zh-CN"/>
              </w:rPr>
              <w:t>3.1</w:t>
            </w:r>
            <w:r>
              <w:rPr>
                <w:rFonts w:hint="eastAsia"/>
                <w:lang w:val="zh-CN"/>
              </w:rPr>
              <w:t>分；</w:t>
            </w:r>
          </w:p>
          <w:p>
            <w:pPr>
              <w:bidi w:val="0"/>
              <w:rPr>
                <w:rFonts w:hint="eastAsia"/>
                <w:lang w:val="zh-CN"/>
              </w:rPr>
            </w:pPr>
            <w:r>
              <w:rPr>
                <w:rFonts w:hint="eastAsia"/>
                <w:lang w:val="zh-CN"/>
              </w:rPr>
              <w:t>能简单阐述的得</w:t>
            </w:r>
            <w:r>
              <w:rPr>
                <w:rFonts w:hint="eastAsia"/>
                <w:lang w:val="en-US" w:eastAsia="zh-CN"/>
              </w:rPr>
              <w:t>3</w:t>
            </w:r>
            <w:r>
              <w:rPr>
                <w:rFonts w:hint="eastAsia"/>
                <w:lang w:val="zh-CN"/>
              </w:rPr>
              <w:t>-0分；</w:t>
            </w:r>
          </w:p>
          <w:p>
            <w:pPr>
              <w:bidi w:val="0"/>
              <w:rPr>
                <w:color w:val="auto"/>
                <w:sz w:val="21"/>
                <w:szCs w:val="21"/>
                <w:highlight w:val="none"/>
                <w:lang w:val="zh-CN" w:eastAsia="zh-CN"/>
              </w:rPr>
            </w:pPr>
            <w:r>
              <w:rPr>
                <w:rFonts w:hint="eastAsia"/>
                <w:lang w:val="zh-CN"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51" w:type="dxa"/>
            <w:noWrap w:val="0"/>
            <w:vAlign w:val="center"/>
          </w:tcPr>
          <w:p>
            <w:pPr>
              <w:bidi w:val="0"/>
              <w:rPr>
                <w:rFonts w:hint="default" w:ascii="宋体" w:hAnsi="宋体" w:cs="宋体"/>
                <w:bCs/>
                <w:color w:val="auto"/>
                <w:sz w:val="21"/>
                <w:szCs w:val="21"/>
                <w:highlight w:val="none"/>
                <w:lang w:val="en-US" w:eastAsia="zh-CN"/>
              </w:rPr>
            </w:pPr>
            <w:r>
              <w:rPr>
                <w:rFonts w:hint="eastAsia"/>
                <w:lang w:val="en-US" w:eastAsia="zh-CN"/>
              </w:rPr>
              <w:t>2</w:t>
            </w:r>
          </w:p>
        </w:tc>
        <w:tc>
          <w:tcPr>
            <w:tcW w:w="7676" w:type="dxa"/>
            <w:noWrap w:val="0"/>
            <w:vAlign w:val="center"/>
          </w:tcPr>
          <w:p>
            <w:pPr>
              <w:bidi w:val="0"/>
              <w:rPr>
                <w:rFonts w:hint="eastAsia"/>
                <w:lang w:val="zh-CN" w:eastAsia="zh-CN"/>
              </w:rPr>
            </w:pPr>
            <w:r>
              <w:rPr>
                <w:rFonts w:hint="eastAsia"/>
                <w:lang w:val="en-US" w:eastAsia="zh-CN"/>
              </w:rPr>
              <w:t>信创方案</w:t>
            </w:r>
            <w:r>
              <w:rPr>
                <w:rFonts w:hint="eastAsia"/>
                <w:lang w:val="zh-CN" w:eastAsia="zh-CN"/>
              </w:rPr>
              <w:t>：</w:t>
            </w:r>
          </w:p>
          <w:p>
            <w:pPr>
              <w:bidi w:val="0"/>
              <w:rPr>
                <w:rFonts w:hint="eastAsia"/>
                <w:lang w:val="en-US" w:eastAsia="zh-CN"/>
              </w:rPr>
            </w:pPr>
            <w:r>
              <w:rPr>
                <w:rFonts w:hint="eastAsia"/>
                <w:lang w:val="en-US" w:eastAsia="zh-CN"/>
              </w:rPr>
              <w:t>根据投标人的信创实施能力、平台适配兼容方案等进行评分</w:t>
            </w:r>
          </w:p>
          <w:p>
            <w:pPr>
              <w:bidi w:val="0"/>
              <w:rPr>
                <w:rFonts w:hint="eastAsia"/>
                <w:lang w:val="zh-CN" w:eastAsia="zh-CN"/>
              </w:rPr>
            </w:pPr>
            <w:r>
              <w:rPr>
                <w:rFonts w:hint="eastAsia"/>
                <w:lang w:val="en-US" w:eastAsia="zh-CN"/>
              </w:rPr>
              <w:t>方案完整合理，逻辑性、可操作性强的得5</w:t>
            </w:r>
            <w:r>
              <w:rPr>
                <w:rFonts w:hint="eastAsia"/>
                <w:lang w:val="zh-CN" w:eastAsia="zh-CN"/>
              </w:rPr>
              <w:t>-</w:t>
            </w:r>
            <w:r>
              <w:rPr>
                <w:rFonts w:hint="eastAsia"/>
                <w:lang w:val="en-US" w:eastAsia="zh-CN"/>
              </w:rPr>
              <w:t>4.1</w:t>
            </w:r>
            <w:r>
              <w:rPr>
                <w:rFonts w:hint="eastAsia"/>
                <w:lang w:val="zh-CN" w:eastAsia="zh-CN"/>
              </w:rPr>
              <w:t>分；</w:t>
            </w:r>
          </w:p>
          <w:p>
            <w:pPr>
              <w:bidi w:val="0"/>
              <w:rPr>
                <w:rFonts w:hint="eastAsia"/>
                <w:lang w:val="zh-CN" w:eastAsia="zh-CN"/>
              </w:rPr>
            </w:pPr>
            <w:r>
              <w:rPr>
                <w:rFonts w:hint="eastAsia"/>
                <w:lang w:val="en-US" w:eastAsia="zh-CN"/>
              </w:rPr>
              <w:t>方案完整合理，逻辑性、可操作性一般</w:t>
            </w:r>
            <w:r>
              <w:rPr>
                <w:rFonts w:hint="eastAsia"/>
                <w:lang w:val="zh-CN" w:eastAsia="zh-CN"/>
              </w:rPr>
              <w:t>得</w:t>
            </w:r>
            <w:r>
              <w:rPr>
                <w:rFonts w:hint="eastAsia"/>
                <w:lang w:val="en-US" w:eastAsia="zh-CN"/>
              </w:rPr>
              <w:t>4</w:t>
            </w:r>
            <w:r>
              <w:rPr>
                <w:rFonts w:hint="eastAsia"/>
                <w:lang w:val="zh-CN" w:eastAsia="zh-CN"/>
              </w:rPr>
              <w:t>-</w:t>
            </w:r>
            <w:r>
              <w:rPr>
                <w:rFonts w:hint="eastAsia"/>
                <w:lang w:val="en-US" w:eastAsia="zh-CN"/>
              </w:rPr>
              <w:t>3.1</w:t>
            </w:r>
            <w:r>
              <w:rPr>
                <w:rFonts w:hint="eastAsia"/>
                <w:lang w:val="zh-CN" w:eastAsia="zh-CN"/>
              </w:rPr>
              <w:t>分；</w:t>
            </w:r>
          </w:p>
          <w:p>
            <w:pPr>
              <w:bidi w:val="0"/>
              <w:rPr>
                <w:rFonts w:hint="eastAsia"/>
                <w:lang w:val="zh-CN" w:eastAsia="zh-CN"/>
              </w:rPr>
            </w:pPr>
            <w:r>
              <w:rPr>
                <w:rFonts w:hint="eastAsia"/>
                <w:lang w:val="en-US" w:eastAsia="zh-CN"/>
              </w:rPr>
              <w:t>方案完整合理，逻辑性、可操作性差</w:t>
            </w:r>
            <w:r>
              <w:rPr>
                <w:rFonts w:hint="eastAsia"/>
                <w:lang w:val="zh-CN" w:eastAsia="zh-CN"/>
              </w:rPr>
              <w:t>得</w:t>
            </w:r>
            <w:r>
              <w:rPr>
                <w:rFonts w:hint="eastAsia"/>
                <w:lang w:val="en-US" w:eastAsia="zh-CN"/>
              </w:rPr>
              <w:t>3</w:t>
            </w:r>
            <w:r>
              <w:rPr>
                <w:rFonts w:hint="eastAsia"/>
                <w:lang w:val="zh-CN" w:eastAsia="zh-CN"/>
              </w:rPr>
              <w:t>-0分；</w:t>
            </w:r>
          </w:p>
          <w:p>
            <w:pPr>
              <w:bidi w:val="0"/>
              <w:rPr>
                <w:rFonts w:hint="eastAsia" w:ascii="宋体" w:hAnsi="宋体" w:cs="宋体"/>
                <w:bCs/>
                <w:color w:val="auto"/>
                <w:sz w:val="21"/>
                <w:szCs w:val="21"/>
                <w:highlight w:val="none"/>
                <w:lang w:eastAsia="zh-CN"/>
              </w:rPr>
            </w:pPr>
            <w:r>
              <w:rPr>
                <w:rFonts w:hint="eastAsia"/>
                <w:lang w:val="zh-CN" w:eastAsia="zh-CN"/>
              </w:rPr>
              <w:t>不提供不得分。</w:t>
            </w:r>
          </w:p>
        </w:tc>
        <w:tc>
          <w:tcPr>
            <w:tcW w:w="847" w:type="dxa"/>
            <w:noWrap w:val="0"/>
            <w:vAlign w:val="center"/>
          </w:tcPr>
          <w:p>
            <w:pPr>
              <w:bidi w:val="0"/>
              <w:rPr>
                <w:rFonts w:hint="default" w:ascii="宋体" w:hAnsi="宋体" w:cs="宋体"/>
                <w:bCs/>
                <w:color w:val="auto"/>
                <w:sz w:val="21"/>
                <w:szCs w:val="21"/>
                <w:highlight w:val="none"/>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3</w:t>
            </w:r>
          </w:p>
        </w:tc>
        <w:tc>
          <w:tcPr>
            <w:tcW w:w="7676" w:type="dxa"/>
            <w:noWrap w:val="0"/>
            <w:vAlign w:val="center"/>
          </w:tcPr>
          <w:p>
            <w:pPr>
              <w:bidi w:val="0"/>
              <w:rPr>
                <w:rFonts w:hint="eastAsia"/>
                <w:lang w:val="zh-CN" w:eastAsia="zh-CN"/>
              </w:rPr>
            </w:pPr>
            <w:r>
              <w:rPr>
                <w:rFonts w:hint="eastAsia"/>
                <w:lang w:val="en-US" w:eastAsia="zh-CN"/>
              </w:rPr>
              <w:t>项目对接方案</w:t>
            </w:r>
            <w:r>
              <w:rPr>
                <w:rFonts w:hint="eastAsia"/>
                <w:lang w:val="zh-CN" w:eastAsia="zh-CN"/>
              </w:rPr>
              <w:t>：</w:t>
            </w:r>
          </w:p>
          <w:p>
            <w:pPr>
              <w:bidi w:val="0"/>
              <w:rPr>
                <w:rFonts w:hint="eastAsia"/>
                <w:lang w:val="zh-CN" w:eastAsia="zh-CN"/>
              </w:rPr>
            </w:pPr>
            <w:r>
              <w:rPr>
                <w:rFonts w:hint="eastAsia"/>
                <w:lang w:val="en-US" w:eastAsia="zh-CN"/>
              </w:rPr>
              <w:t>投标人提供对</w:t>
            </w:r>
            <w:r>
              <w:rPr>
                <w:rFonts w:hint="eastAsia"/>
                <w:lang w:val="zh-CN" w:eastAsia="zh-CN"/>
              </w:rPr>
              <w:t>台州“飞安行”低空飞行管控服务平台</w:t>
            </w:r>
            <w:r>
              <w:rPr>
                <w:rFonts w:hint="eastAsia"/>
                <w:lang w:val="en-US" w:eastAsia="zh-CN"/>
              </w:rPr>
              <w:t>功能模块的了解</w:t>
            </w:r>
            <w:r>
              <w:rPr>
                <w:rFonts w:hint="eastAsia"/>
                <w:lang w:val="zh-CN" w:eastAsia="zh-CN"/>
              </w:rPr>
              <w:t>，</w:t>
            </w:r>
            <w:r>
              <w:rPr>
                <w:rFonts w:hint="eastAsia"/>
                <w:lang w:val="en-US" w:eastAsia="zh-CN"/>
              </w:rPr>
              <w:t>并设计相应</w:t>
            </w:r>
            <w:r>
              <w:rPr>
                <w:rFonts w:hint="eastAsia"/>
                <w:lang w:val="zh-CN" w:eastAsia="zh-CN"/>
              </w:rPr>
              <w:t>对接方案（</w:t>
            </w:r>
            <w:r>
              <w:rPr>
                <w:rFonts w:hint="eastAsia"/>
                <w:lang w:val="en-US" w:eastAsia="zh-CN"/>
              </w:rPr>
              <w:t>台州警航无人机指挥管控平台</w:t>
            </w:r>
            <w:r>
              <w:rPr>
                <w:rFonts w:hint="eastAsia"/>
                <w:lang w:val="zh-CN" w:eastAsia="zh-CN"/>
              </w:rPr>
              <w:t>）</w:t>
            </w:r>
            <w:r>
              <w:rPr>
                <w:rFonts w:hint="eastAsia"/>
                <w:lang w:eastAsia="zh-CN"/>
              </w:rPr>
              <w:t>，</w:t>
            </w:r>
            <w:r>
              <w:rPr>
                <w:rFonts w:hint="eastAsia"/>
                <w:lang w:val="en-US" w:eastAsia="zh-CN"/>
              </w:rPr>
              <w:t>了解程度高、</w:t>
            </w:r>
            <w:r>
              <w:rPr>
                <w:rFonts w:hint="eastAsia"/>
                <w:lang w:val="zh-CN" w:eastAsia="zh-CN"/>
              </w:rPr>
              <w:t>方案描述清晰，针对性强，内容详细，且确实可行的得</w:t>
            </w:r>
            <w:r>
              <w:rPr>
                <w:rFonts w:hint="eastAsia"/>
                <w:lang w:val="en-US" w:eastAsia="zh-CN"/>
              </w:rPr>
              <w:t>8</w:t>
            </w:r>
            <w:r>
              <w:rPr>
                <w:rFonts w:hint="eastAsia"/>
                <w:lang w:val="zh-CN" w:eastAsia="zh-CN"/>
              </w:rPr>
              <w:t>-</w:t>
            </w:r>
            <w:r>
              <w:rPr>
                <w:rFonts w:hint="eastAsia"/>
                <w:lang w:val="en-US" w:eastAsia="zh-CN"/>
              </w:rPr>
              <w:t>6.1</w:t>
            </w:r>
            <w:r>
              <w:rPr>
                <w:rFonts w:hint="eastAsia"/>
                <w:lang w:val="zh-CN" w:eastAsia="zh-CN"/>
              </w:rPr>
              <w:t>分；</w:t>
            </w:r>
          </w:p>
          <w:p>
            <w:pPr>
              <w:bidi w:val="0"/>
              <w:rPr>
                <w:rFonts w:hint="eastAsia"/>
                <w:lang w:val="zh-CN" w:eastAsia="zh-CN"/>
              </w:rPr>
            </w:pPr>
            <w:r>
              <w:rPr>
                <w:rFonts w:hint="eastAsia"/>
                <w:lang w:val="en-US" w:eastAsia="zh-CN"/>
              </w:rPr>
              <w:t>了解程度一般、</w:t>
            </w:r>
            <w:r>
              <w:rPr>
                <w:rFonts w:hint="eastAsia"/>
                <w:lang w:val="zh-CN" w:eastAsia="zh-CN"/>
              </w:rPr>
              <w:t>方案描述基本清晰，内容比较齐全，但过于空泛，可行性不强的得</w:t>
            </w:r>
            <w:r>
              <w:rPr>
                <w:rFonts w:hint="eastAsia"/>
                <w:lang w:val="en-US" w:eastAsia="zh-CN"/>
              </w:rPr>
              <w:t>6</w:t>
            </w:r>
            <w:r>
              <w:rPr>
                <w:rFonts w:hint="eastAsia"/>
                <w:lang w:val="zh-CN" w:eastAsia="zh-CN"/>
              </w:rPr>
              <w:t>-</w:t>
            </w:r>
            <w:r>
              <w:rPr>
                <w:rFonts w:hint="eastAsia"/>
                <w:lang w:val="en-US" w:eastAsia="zh-CN"/>
              </w:rPr>
              <w:t>4.1</w:t>
            </w:r>
            <w:r>
              <w:rPr>
                <w:rFonts w:hint="eastAsia"/>
                <w:lang w:val="zh-CN" w:eastAsia="zh-CN"/>
              </w:rPr>
              <w:t>分；</w:t>
            </w:r>
          </w:p>
          <w:p>
            <w:pPr>
              <w:bidi w:val="0"/>
              <w:rPr>
                <w:rFonts w:hint="eastAsia"/>
                <w:lang w:val="zh-CN" w:eastAsia="zh-CN"/>
              </w:rPr>
            </w:pPr>
            <w:r>
              <w:rPr>
                <w:rFonts w:hint="eastAsia"/>
                <w:lang w:val="zh-CN" w:eastAsia="zh-CN"/>
              </w:rPr>
              <w:t>方案过于空泛、可行性不强或思路不清晰的得</w:t>
            </w:r>
            <w:r>
              <w:rPr>
                <w:rFonts w:hint="eastAsia"/>
                <w:lang w:val="en-US" w:eastAsia="zh-CN"/>
              </w:rPr>
              <w:t>4</w:t>
            </w:r>
            <w:r>
              <w:rPr>
                <w:rFonts w:hint="eastAsia"/>
                <w:lang w:val="zh-CN" w:eastAsia="zh-CN"/>
              </w:rPr>
              <w:t>-0分；</w:t>
            </w:r>
          </w:p>
          <w:p>
            <w:pPr>
              <w:bidi w:val="0"/>
              <w:rPr>
                <w:color w:val="auto"/>
                <w:sz w:val="21"/>
                <w:szCs w:val="21"/>
                <w:highlight w:val="none"/>
                <w:lang w:eastAsia="zh-CN"/>
              </w:rPr>
            </w:pPr>
            <w:r>
              <w:rPr>
                <w:rFonts w:hint="eastAsia"/>
                <w:lang w:val="zh-CN"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4</w:t>
            </w:r>
          </w:p>
        </w:tc>
        <w:tc>
          <w:tcPr>
            <w:tcW w:w="7676" w:type="dxa"/>
            <w:noWrap w:val="0"/>
            <w:vAlign w:val="center"/>
          </w:tcPr>
          <w:p>
            <w:pPr>
              <w:bidi w:val="0"/>
              <w:rPr>
                <w:rFonts w:hint="eastAsia"/>
                <w:lang w:val="zh-CN"/>
              </w:rPr>
            </w:pPr>
            <w:r>
              <w:rPr>
                <w:rFonts w:hint="eastAsia"/>
                <w:lang w:val="zh-CN"/>
              </w:rPr>
              <w:t>对照招标文件需求，详细阐述</w:t>
            </w:r>
            <w:r>
              <w:rPr>
                <w:rFonts w:hint="eastAsia"/>
              </w:rPr>
              <w:t>技术方案，包括但不限于思路原则、系统架构、应用设计等</w:t>
            </w:r>
            <w:r>
              <w:rPr>
                <w:rFonts w:hint="eastAsia"/>
                <w:lang w:val="zh-CN"/>
              </w:rPr>
              <w:t>：方案描述清晰，针对性强，内容详细，且确实可行的得</w:t>
            </w:r>
            <w:r>
              <w:rPr>
                <w:rFonts w:hint="eastAsia"/>
                <w:lang w:val="en-US" w:eastAsia="zh-CN"/>
              </w:rPr>
              <w:t>5</w:t>
            </w:r>
            <w:r>
              <w:rPr>
                <w:rFonts w:hint="eastAsia"/>
                <w:lang w:val="zh-CN"/>
              </w:rPr>
              <w:t>-</w:t>
            </w:r>
            <w:r>
              <w:rPr>
                <w:rFonts w:hint="eastAsia"/>
                <w:lang w:val="en-US" w:eastAsia="zh-CN"/>
              </w:rPr>
              <w:t>4.1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4</w:t>
            </w:r>
            <w:r>
              <w:rPr>
                <w:rFonts w:hint="eastAsia"/>
                <w:lang w:val="zh-CN"/>
              </w:rPr>
              <w:t>-</w:t>
            </w:r>
            <w:r>
              <w:rPr>
                <w:rFonts w:hint="eastAsia"/>
                <w:lang w:val="en-US" w:eastAsia="zh-CN"/>
              </w:rPr>
              <w:t>3.1</w:t>
            </w:r>
            <w:r>
              <w:rPr>
                <w:rFonts w:hint="eastAsia"/>
                <w:lang w:val="zh-CN"/>
              </w:rPr>
              <w:t>分；</w:t>
            </w:r>
          </w:p>
          <w:p>
            <w:pPr>
              <w:bidi w:val="0"/>
              <w:rPr>
                <w:rFonts w:hint="eastAsia"/>
                <w:lang w:val="zh-CN"/>
              </w:rPr>
            </w:pPr>
            <w:r>
              <w:rPr>
                <w:rFonts w:hint="eastAsia"/>
                <w:lang w:val="zh-CN"/>
              </w:rPr>
              <w:t>方案有缺失，内容简单，思路不清晰的得</w:t>
            </w:r>
            <w:r>
              <w:rPr>
                <w:rFonts w:hint="eastAsia"/>
                <w:lang w:val="en-US" w:eastAsia="zh-CN"/>
              </w:rPr>
              <w:t>3</w:t>
            </w:r>
            <w:r>
              <w:rPr>
                <w:rFonts w:hint="eastAsia"/>
                <w:lang w:val="zh-CN"/>
              </w:rPr>
              <w:t>-0分；</w:t>
            </w:r>
          </w:p>
          <w:p>
            <w:pPr>
              <w:bidi w:val="0"/>
              <w:rPr>
                <w:color w:val="auto"/>
                <w:sz w:val="21"/>
                <w:szCs w:val="21"/>
                <w:highlight w:val="none"/>
                <w:lang w:val="zh-CN"/>
              </w:rPr>
            </w:pPr>
            <w:r>
              <w:rPr>
                <w:rFonts w:hint="eastAsia"/>
                <w:lang w:val="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5</w:t>
            </w:r>
          </w:p>
        </w:tc>
        <w:tc>
          <w:tcPr>
            <w:tcW w:w="7676" w:type="dxa"/>
            <w:noWrap w:val="0"/>
            <w:vAlign w:val="center"/>
          </w:tcPr>
          <w:p>
            <w:pPr>
              <w:bidi w:val="0"/>
              <w:rPr>
                <w:rFonts w:hint="eastAsia"/>
                <w:lang w:val="zh-CN"/>
              </w:rPr>
            </w:pPr>
            <w:r>
              <w:rPr>
                <w:rFonts w:hint="eastAsia"/>
                <w:lang w:val="zh-CN"/>
              </w:rPr>
              <w:t>根据投标人对招标需求的逐条响应情况打分。</w:t>
            </w:r>
          </w:p>
          <w:p>
            <w:pPr>
              <w:bidi w:val="0"/>
              <w:rPr>
                <w:rFonts w:ascii="宋体" w:hAnsi="宋体" w:cs="宋体"/>
                <w:bCs/>
                <w:color w:val="auto"/>
                <w:sz w:val="21"/>
                <w:szCs w:val="21"/>
                <w:highlight w:val="none"/>
                <w:lang w:val="zh-CN"/>
              </w:rPr>
            </w:pPr>
            <w:r>
              <w:rPr>
                <w:rFonts w:hint="eastAsia"/>
                <w:lang w:val="zh-CN"/>
              </w:rPr>
              <w:t>带“★”为重要技术指标、参数，加“★”的性能指标及技术参数负偏离的每项扣1分，</w:t>
            </w:r>
            <w:r>
              <w:rPr>
                <w:rFonts w:hint="eastAsia"/>
                <w:lang w:val="en-US" w:eastAsia="zh-CN"/>
              </w:rPr>
              <w:t>未</w:t>
            </w:r>
            <w:r>
              <w:rPr>
                <w:rFonts w:hint="eastAsia"/>
                <w:lang w:val="zh-CN"/>
              </w:rPr>
              <w:t>带“★”的负偏离的每项扣</w:t>
            </w:r>
            <w:r>
              <w:rPr>
                <w:rFonts w:hint="eastAsia"/>
                <w:lang w:val="en-US" w:eastAsia="zh-CN"/>
              </w:rPr>
              <w:t>0.5</w:t>
            </w:r>
            <w:r>
              <w:rPr>
                <w:rFonts w:hint="eastAsia"/>
                <w:lang w:val="zh-CN"/>
              </w:rPr>
              <w:t>分，扣完为止。</w:t>
            </w:r>
          </w:p>
        </w:tc>
        <w:tc>
          <w:tcPr>
            <w:tcW w:w="847"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6</w:t>
            </w:r>
          </w:p>
        </w:tc>
        <w:tc>
          <w:tcPr>
            <w:tcW w:w="7676" w:type="dxa"/>
            <w:noWrap w:val="0"/>
            <w:vAlign w:val="center"/>
          </w:tcPr>
          <w:p>
            <w:pPr>
              <w:bidi w:val="0"/>
              <w:rPr>
                <w:rFonts w:hint="eastAsia"/>
                <w:lang w:val="zh-CN"/>
              </w:rPr>
            </w:pPr>
            <w:r>
              <w:rPr>
                <w:rFonts w:hint="eastAsia"/>
                <w:lang w:val="zh-CN"/>
              </w:rPr>
              <w:t>项目实施方案：</w:t>
            </w:r>
          </w:p>
          <w:p>
            <w:pPr>
              <w:bidi w:val="0"/>
              <w:rPr>
                <w:rFonts w:hint="eastAsia"/>
                <w:lang w:val="zh-CN"/>
              </w:rPr>
            </w:pPr>
            <w:r>
              <w:rPr>
                <w:rFonts w:hint="eastAsia"/>
                <w:lang w:val="zh-CN"/>
              </w:rPr>
              <w:t>实施方案包括</w:t>
            </w:r>
            <w:r>
              <w:rPr>
                <w:rFonts w:hint="eastAsia"/>
              </w:rPr>
              <w:t>工期</w:t>
            </w:r>
            <w:r>
              <w:rPr>
                <w:rFonts w:hint="eastAsia"/>
                <w:lang w:val="zh-CN"/>
              </w:rPr>
              <w:t>计划、人员配置、安装调试测试、验收方案、质量保障方案、</w:t>
            </w:r>
            <w:r>
              <w:rPr>
                <w:rFonts w:hint="eastAsia"/>
              </w:rPr>
              <w:t>试运行</w:t>
            </w:r>
            <w:r>
              <w:rPr>
                <w:rFonts w:hint="eastAsia"/>
                <w:lang w:val="zh-CN"/>
              </w:rPr>
              <w:t>等内容综合评价。</w:t>
            </w:r>
          </w:p>
          <w:p>
            <w:pPr>
              <w:bidi w:val="0"/>
              <w:rPr>
                <w:rFonts w:hint="eastAsia"/>
                <w:lang w:val="zh-CN"/>
              </w:rPr>
            </w:pPr>
            <w:r>
              <w:rPr>
                <w:rFonts w:hint="eastAsia"/>
                <w:lang w:val="zh-CN"/>
              </w:rPr>
              <w:t>方案描述清晰，针对性强，内容详细，且确实可行的得</w:t>
            </w:r>
            <w:r>
              <w:rPr>
                <w:rFonts w:hint="eastAsia"/>
                <w:lang w:val="en-US" w:eastAsia="zh-CN"/>
              </w:rPr>
              <w:t>4</w:t>
            </w:r>
            <w:r>
              <w:rPr>
                <w:rFonts w:hint="eastAsia"/>
              </w:rPr>
              <w:t>-</w:t>
            </w:r>
            <w:r>
              <w:rPr>
                <w:rFonts w:hint="eastAsia"/>
                <w:lang w:val="en-US" w:eastAsia="zh-CN"/>
              </w:rPr>
              <w:t>3.1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3</w:t>
            </w:r>
            <w:r>
              <w:rPr>
                <w:rFonts w:hint="eastAsia"/>
                <w:lang w:val="zh-CN"/>
              </w:rPr>
              <w:t>-</w:t>
            </w:r>
            <w:r>
              <w:rPr>
                <w:rFonts w:hint="eastAsia"/>
                <w:lang w:val="en-US" w:eastAsia="zh-CN"/>
              </w:rPr>
              <w:t>2.1</w:t>
            </w:r>
            <w:r>
              <w:rPr>
                <w:rFonts w:hint="eastAsia"/>
                <w:lang w:val="zh-CN"/>
              </w:rPr>
              <w:t>分；</w:t>
            </w:r>
          </w:p>
          <w:p>
            <w:pPr>
              <w:bidi w:val="0"/>
              <w:rPr>
                <w:rFonts w:hint="eastAsia"/>
                <w:lang w:val="zh-CN"/>
              </w:rPr>
            </w:pPr>
            <w:r>
              <w:rPr>
                <w:rFonts w:hint="eastAsia"/>
                <w:lang w:val="zh-CN"/>
              </w:rPr>
              <w:t>方案有缺失，内容简单，思路不清晰的得</w:t>
            </w:r>
            <w:r>
              <w:rPr>
                <w:rFonts w:hint="eastAsia"/>
                <w:lang w:val="en-US" w:eastAsia="zh-CN"/>
              </w:rPr>
              <w:t>2</w:t>
            </w:r>
            <w:r>
              <w:rPr>
                <w:rFonts w:hint="eastAsia"/>
                <w:lang w:val="zh-CN"/>
              </w:rPr>
              <w:t>-0分；</w:t>
            </w:r>
          </w:p>
          <w:p>
            <w:pPr>
              <w:bidi w:val="0"/>
              <w:rPr>
                <w:rFonts w:ascii="宋体" w:hAnsi="宋体" w:cs="宋体"/>
                <w:bCs/>
                <w:color w:val="auto"/>
                <w:sz w:val="21"/>
                <w:szCs w:val="21"/>
                <w:highlight w:val="none"/>
              </w:rPr>
            </w:pPr>
            <w:r>
              <w:rPr>
                <w:rFonts w:hint="eastAsia"/>
                <w:lang w:val="zh-CN"/>
              </w:rPr>
              <w:t>不提供不得分。</w:t>
            </w:r>
          </w:p>
        </w:tc>
        <w:tc>
          <w:tcPr>
            <w:tcW w:w="847"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7</w:t>
            </w:r>
          </w:p>
        </w:tc>
        <w:tc>
          <w:tcPr>
            <w:tcW w:w="7676" w:type="dxa"/>
            <w:noWrap w:val="0"/>
            <w:vAlign w:val="center"/>
          </w:tcPr>
          <w:p>
            <w:pPr>
              <w:bidi w:val="0"/>
              <w:rPr>
                <w:rFonts w:hint="eastAsia"/>
                <w:lang w:val="en-US" w:eastAsia="zh-CN"/>
              </w:rPr>
            </w:pPr>
            <w:r>
              <w:rPr>
                <w:rFonts w:hint="eastAsia"/>
                <w:lang w:val="en-US" w:eastAsia="zh-CN"/>
              </w:rPr>
              <w:t>为保障系统功能投标人必须使用真实系统进行演示，演示时间不得超过 15 分钟。总分 20 分，演示要求如下:</w:t>
            </w:r>
          </w:p>
          <w:p>
            <w:pPr>
              <w:bidi w:val="0"/>
              <w:rPr>
                <w:rFonts w:hint="eastAsia"/>
                <w:lang w:val="en-US" w:eastAsia="zh-CN"/>
              </w:rPr>
            </w:pPr>
            <w:r>
              <w:rPr>
                <w:rFonts w:hint="eastAsia"/>
                <w:lang w:val="en-US" w:eastAsia="zh-CN"/>
              </w:rPr>
              <w:t>1、低空安全应用演示(8分)</w:t>
            </w:r>
          </w:p>
          <w:p>
            <w:pPr>
              <w:bidi w:val="0"/>
              <w:rPr>
                <w:rFonts w:hint="eastAsia"/>
                <w:lang w:val="en-US" w:eastAsia="zh-CN"/>
              </w:rPr>
            </w:pPr>
            <w:r>
              <w:rPr>
                <w:rFonts w:hint="eastAsia"/>
                <w:lang w:val="en-US" w:eastAsia="zh-CN"/>
              </w:rPr>
              <w:t>（1）侦测反制设备管理:支持不同类型的侦测反制设备进行登记和维护，包括开线电侦测、低空雷达、光电侦测、单兵手持侦测、报文侦测、无线电压制、GPS诱偏、单兵手持反制等设备，并将重要参数在实时监测页面显示，区分侦测反制设备显示形态、全向定向打击类别，支持通过设备名称、设备 sn、设备型号进行搜索、删除、修改等功能。根据演示效果得2-0分，未实现不得分。</w:t>
            </w:r>
          </w:p>
          <w:p>
            <w:pPr>
              <w:bidi w:val="0"/>
              <w:rPr>
                <w:rFonts w:hint="eastAsia"/>
                <w:lang w:val="en-US" w:eastAsia="zh-CN"/>
              </w:rPr>
            </w:pPr>
            <w:r>
              <w:rPr>
                <w:rFonts w:hint="eastAsia"/>
                <w:lang w:val="en-US" w:eastAsia="zh-CN"/>
              </w:rPr>
              <w:t>（2）无人机报文信息呈现:前端报文侦测设备获取厂家无人机报文信息，在平台端能够显示厂家无人机相关信息，需包括以下所有信息:无人机机型、SN码、飞行速度、高度、经纬度、实时飞行轨迹、遥控器控位置。据演示效果得 2-0分，未实现不得分。</w:t>
            </w:r>
          </w:p>
          <w:p>
            <w:pPr>
              <w:bidi w:val="0"/>
              <w:rPr>
                <w:rFonts w:hint="eastAsia"/>
                <w:lang w:val="en-US" w:eastAsia="zh-CN"/>
              </w:rPr>
            </w:pPr>
            <w:r>
              <w:rPr>
                <w:rFonts w:hint="eastAsia"/>
                <w:lang w:val="en-US" w:eastAsia="zh-CN"/>
              </w:rPr>
              <w:t>（3）精准定位快速出警:平台支持将该目标无人机遥控器位置智能分配至所在辖区派出所的，并支持遥控器位置以二维码方式生成快速导航路径。根据演示效果得3-0分，未实现不得分。</w:t>
            </w:r>
          </w:p>
          <w:p>
            <w:pPr>
              <w:bidi w:val="0"/>
              <w:rPr>
                <w:rFonts w:hint="eastAsia"/>
                <w:lang w:val="en-US" w:eastAsia="zh-CN"/>
              </w:rPr>
            </w:pPr>
            <w:r>
              <w:rPr>
                <w:rFonts w:hint="eastAsia"/>
                <w:lang w:val="en-US" w:eastAsia="zh-CN"/>
              </w:rPr>
              <w:t>（4）无人机侦测分类:通过地面侦测、网络透传等多种方式侦测到的无人机在地图上呈现实时位置，根据当前无人机归属和数据来源，以不同形式图标区分4种以上无人机类型。根据演示效果得 1-0 分，未实现不得分。</w:t>
            </w:r>
          </w:p>
          <w:p>
            <w:pPr>
              <w:bidi w:val="0"/>
              <w:rPr>
                <w:rFonts w:hint="eastAsia"/>
                <w:lang w:val="en-US" w:eastAsia="zh-CN"/>
              </w:rPr>
            </w:pPr>
            <w:r>
              <w:rPr>
                <w:rFonts w:hint="eastAsia"/>
                <w:lang w:val="en-US" w:eastAsia="zh-CN"/>
              </w:rPr>
              <w:t>2、低空服务应用演示(7分)</w:t>
            </w:r>
          </w:p>
          <w:p>
            <w:pPr>
              <w:bidi w:val="0"/>
              <w:rPr>
                <w:rFonts w:hint="eastAsia"/>
                <w:lang w:val="en-US" w:eastAsia="zh-CN"/>
              </w:rPr>
            </w:pPr>
            <w:r>
              <w:rPr>
                <w:rFonts w:hint="eastAsia"/>
                <w:lang w:val="en-US" w:eastAsia="zh-CN"/>
              </w:rPr>
              <w:t>(1)低空空域规划:支持建立多类场景，可加载已上传资源的三维实景模型作为场景底层，实现实体模型、点模型、线模型、面模型和墙模型等模型形态添加进该场景中，实现飞行区域三维底图制作功能，以上5种模型形态均可实现标绘。根据演示效果得3-0分，未实现不得分。</w:t>
            </w:r>
          </w:p>
          <w:p>
            <w:pPr>
              <w:bidi w:val="0"/>
              <w:rPr>
                <w:rFonts w:hint="eastAsia"/>
                <w:lang w:val="en-US" w:eastAsia="zh-CN"/>
              </w:rPr>
            </w:pPr>
            <w:r>
              <w:rPr>
                <w:rFonts w:hint="eastAsia"/>
                <w:lang w:val="en-US" w:eastAsia="zh-CN"/>
              </w:rPr>
              <w:t>（2）低空空域管理:针对空域进行分类管理，实现适飞空域、禁飞空域等三维化显示，并支持违规飞行实时预警。实现在辖区内，分配的运营固定航线在三维底图上的显示，并支持违法飞行入侵报警。根据演示效果得 2-0 分，未实现不得分。</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（3）实景航线规划:在三维场景下，支持包含航点航线、二维正摄航线规划、三维倾斜摄影航线、环形航线规划。其中二维正摄航线、三维倾斜摄影航线、环形航线支持自动生成航线路径。根据演示效果得 1-0 分，未实现不得分。</w:t>
            </w:r>
          </w:p>
          <w:p>
            <w:pPr>
              <w:pStyle w:val="3"/>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（4）航点航线编辑器:支持使用鼠标和键盘控制移动虚拟飞行器进行航点航线规划并快速检验已有航线安全性。支持在三维底图叠加高程数据及地物建筑模型的场景中进行航线的编辑。根据演示效果得 1-0 分，未实现不得分。</w:t>
            </w:r>
          </w:p>
          <w:p>
            <w:pPr>
              <w:pStyle w:val="4"/>
              <w:ind w:left="0" w:leftChars="0" w:firstLine="0" w:firstLineChars="0"/>
              <w:rPr>
                <w:rFonts w:hint="eastAsia"/>
                <w:lang w:val="en-US" w:eastAsia="zh-CN"/>
              </w:rPr>
            </w:pPr>
            <w:r>
              <w:rPr>
                <w:rFonts w:hint="eastAsia"/>
                <w:lang w:val="en-US" w:eastAsia="zh-CN"/>
              </w:rPr>
              <w:t>3、政务航空应用演示(5分)</w:t>
            </w:r>
          </w:p>
          <w:p>
            <w:pPr>
              <w:rPr>
                <w:rFonts w:hint="eastAsia"/>
                <w:lang w:val="en-US" w:eastAsia="zh-CN"/>
              </w:rPr>
            </w:pPr>
            <w:r>
              <w:rPr>
                <w:rFonts w:hint="eastAsia"/>
                <w:lang w:val="en-US" w:eastAsia="zh-CN"/>
              </w:rPr>
              <w:t>（1）单兵设备联动:支持单兵设备联动显示，对接单兵设备，能够在实时监测面显示单兵实时坐标位置，且定位准确(误差在50米内)，能够在实时监测页面显示单兵设备摄像头实时视频。根据演示效果得2-0分，未实现不得分。</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（2）无人机机场管理:机场无人机一键起飞功能，无人机起飞后，支持用鼠标键盘、模拟遥杆等方式接管无人机飞行控制的;通过模拟摇杆对无人机进行飞行控制!可自定义摇杆按键功能。根据演示效果得 2-0 分，未实现不得分。</w:t>
            </w:r>
          </w:p>
          <w:p>
            <w:pPr>
              <w:pStyle w:val="3"/>
              <w:ind w:left="0" w:leftChars="0" w:firstLine="0" w:firstLineChars="0"/>
              <w:rPr>
                <w:rFonts w:hint="default" w:ascii="宋体" w:hAnsi="宋体" w:eastAsia="宋体" w:cs="宋体"/>
                <w:bCs/>
                <w:color w:val="auto"/>
                <w:sz w:val="21"/>
                <w:szCs w:val="21"/>
                <w:highlight w:val="yellow"/>
                <w:lang w:val="en-US" w:eastAsia="zh-CN"/>
              </w:rPr>
            </w:pPr>
            <w:r>
              <w:rPr>
                <w:rFonts w:hint="eastAsia" w:ascii="Times New Roman" w:hAnsi="Times New Roman" w:eastAsia="宋体" w:cs="Times New Roman"/>
                <w:kern w:val="2"/>
                <w:sz w:val="21"/>
                <w:szCs w:val="24"/>
                <w:lang w:val="en-US" w:eastAsia="zh-CN" w:bidi="ar-SA"/>
              </w:rPr>
              <w:t>（3）机场集群调度:多架机场无人机按预设航线进行起飞，执行任务飞行，在平台界面可以同时对多架作业中(大于等于四架)机巢无人机进行状态监控，并随时接管其中一架无人机的控制。根据演示效果得 1-0分，未实现不得分。</w:t>
            </w:r>
          </w:p>
        </w:tc>
        <w:tc>
          <w:tcPr>
            <w:tcW w:w="847" w:type="dxa"/>
            <w:noWrap w:val="0"/>
            <w:vAlign w:val="center"/>
          </w:tcPr>
          <w:p>
            <w:pPr>
              <w:bidi w:val="0"/>
              <w:rPr>
                <w:rFonts w:hint="default" w:ascii="宋体" w:hAnsi="宋体" w:eastAsia="宋体" w:cs="宋体"/>
                <w:bCs/>
                <w:color w:val="auto"/>
                <w:sz w:val="21"/>
                <w:szCs w:val="21"/>
                <w:highlight w:val="yellow"/>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51" w:type="dxa"/>
            <w:noWrap w:val="0"/>
            <w:vAlign w:val="center"/>
          </w:tcPr>
          <w:p>
            <w:pPr>
              <w:bidi w:val="0"/>
              <w:rPr>
                <w:rFonts w:hint="eastAsia" w:ascii="宋体" w:hAnsi="宋体" w:eastAsia="宋体" w:cs="宋体"/>
                <w:bCs/>
                <w:color w:val="auto"/>
                <w:sz w:val="21"/>
                <w:szCs w:val="21"/>
                <w:highlight w:val="yellow"/>
                <w:lang w:val="en-US" w:eastAsia="zh-CN"/>
              </w:rPr>
            </w:pPr>
            <w:r>
              <w:rPr>
                <w:rFonts w:hint="eastAsia"/>
                <w:lang w:val="en-US" w:eastAsia="zh-CN"/>
              </w:rPr>
              <w:t>8</w:t>
            </w:r>
          </w:p>
        </w:tc>
        <w:tc>
          <w:tcPr>
            <w:tcW w:w="7676" w:type="dxa"/>
            <w:noWrap w:val="0"/>
            <w:vAlign w:val="center"/>
          </w:tcPr>
          <w:p>
            <w:pPr>
              <w:bidi w:val="0"/>
              <w:rPr>
                <w:rFonts w:hint="default"/>
                <w:lang w:val="en-US" w:eastAsia="zh-CN"/>
              </w:rPr>
            </w:pPr>
            <w:r>
              <w:rPr>
                <w:rFonts w:hint="eastAsia"/>
                <w:lang w:val="zh-CN"/>
              </w:rPr>
              <w:t>投标单位拟派的项目负责人：具备信息系统项目管理师、</w:t>
            </w:r>
            <w:r>
              <w:rPr>
                <w:rFonts w:hint="eastAsia"/>
              </w:rPr>
              <w:t>网络工程师</w:t>
            </w:r>
            <w:r>
              <w:rPr>
                <w:rFonts w:hint="eastAsia"/>
                <w:lang w:val="en-US" w:eastAsia="zh-CN"/>
              </w:rPr>
              <w:t>,通信工程师（</w:t>
            </w:r>
            <w:r>
              <w:rPr>
                <w:rFonts w:hint="eastAsia"/>
              </w:rPr>
              <w:t>互联网技术</w:t>
            </w:r>
            <w:r>
              <w:rPr>
                <w:rFonts w:hint="eastAsia"/>
                <w:lang w:eastAsia="zh-CN"/>
              </w:rPr>
              <w:t>）</w:t>
            </w:r>
            <w:r>
              <w:rPr>
                <w:rFonts w:hint="eastAsia"/>
                <w:lang w:val="en-US" w:eastAsia="zh-CN"/>
              </w:rPr>
              <w:t>,</w:t>
            </w:r>
            <w:r>
              <w:rPr>
                <w:rFonts w:hint="eastAsia"/>
              </w:rPr>
              <w:t>信息安全工程师</w:t>
            </w:r>
            <w:r>
              <w:rPr>
                <w:rFonts w:hint="eastAsia"/>
                <w:lang w:val="zh-CN"/>
              </w:rPr>
              <w:t>，</w:t>
            </w:r>
            <w:r>
              <w:rPr>
                <w:rFonts w:hint="eastAsia"/>
                <w:lang w:val="en-US" w:eastAsia="zh-CN"/>
              </w:rPr>
              <w:t>每具有一本证书得1分，最高得4分。</w:t>
            </w:r>
          </w:p>
          <w:p>
            <w:pPr>
              <w:bidi w:val="0"/>
              <w:rPr>
                <w:rFonts w:ascii="宋体" w:hAnsi="宋体" w:cs="宋体"/>
                <w:bCs/>
                <w:color w:val="auto"/>
                <w:sz w:val="21"/>
                <w:szCs w:val="21"/>
                <w:highlight w:val="yellow"/>
                <w:lang w:val="zh-CN"/>
              </w:rPr>
            </w:pPr>
            <w:r>
              <w:rPr>
                <w:rFonts w:hint="eastAsia"/>
                <w:lang w:val="zh-CN"/>
              </w:rPr>
              <w:t>（需提供人员相关资质证书原件扫描件及</w:t>
            </w:r>
            <w:r>
              <w:rPr>
                <w:rFonts w:hint="eastAsia"/>
                <w:lang w:val="en-US" w:eastAsia="zh-CN"/>
              </w:rPr>
              <w:t>三</w:t>
            </w:r>
            <w:r>
              <w:rPr>
                <w:rFonts w:hint="eastAsia"/>
                <w:lang w:val="zh-CN"/>
              </w:rPr>
              <w:t>个月内</w:t>
            </w:r>
            <w:r>
              <w:rPr>
                <w:rFonts w:hint="eastAsia"/>
                <w:lang w:val="en-US" w:eastAsia="zh-CN"/>
              </w:rPr>
              <w:t>其中一个月</w:t>
            </w:r>
            <w:r>
              <w:rPr>
                <w:rFonts w:hint="eastAsia"/>
                <w:lang w:val="zh-CN"/>
              </w:rPr>
              <w:t>的社保证明做入标书，加盖电子印章）</w:t>
            </w:r>
          </w:p>
        </w:tc>
        <w:tc>
          <w:tcPr>
            <w:tcW w:w="847" w:type="dxa"/>
            <w:noWrap w:val="0"/>
            <w:vAlign w:val="center"/>
          </w:tcPr>
          <w:p>
            <w:pPr>
              <w:bidi w:val="0"/>
              <w:rPr>
                <w:rFonts w:ascii="宋体" w:hAnsi="宋体" w:cs="宋体"/>
                <w:bCs/>
                <w:color w:val="auto"/>
                <w:sz w:val="21"/>
                <w:szCs w:val="21"/>
                <w:highlight w:val="yellow"/>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eastAsia" w:ascii="宋体" w:hAnsi="宋体" w:eastAsia="宋体" w:cs="宋体"/>
                <w:bCs/>
                <w:color w:val="auto"/>
                <w:sz w:val="21"/>
                <w:szCs w:val="21"/>
                <w:highlight w:val="yellow"/>
                <w:lang w:val="en-US" w:eastAsia="zh-CN"/>
              </w:rPr>
            </w:pPr>
            <w:r>
              <w:rPr>
                <w:rFonts w:hint="eastAsia"/>
                <w:lang w:val="en-US" w:eastAsia="zh-CN"/>
              </w:rPr>
              <w:t>9</w:t>
            </w:r>
          </w:p>
        </w:tc>
        <w:tc>
          <w:tcPr>
            <w:tcW w:w="7676" w:type="dxa"/>
            <w:noWrap w:val="0"/>
            <w:vAlign w:val="center"/>
          </w:tcPr>
          <w:p>
            <w:pPr>
              <w:bidi w:val="0"/>
              <w:rPr>
                <w:rFonts w:hint="eastAsia"/>
                <w:lang w:eastAsia="zh-CN"/>
              </w:rPr>
            </w:pPr>
            <w:r>
              <w:rPr>
                <w:rFonts w:hint="eastAsia"/>
              </w:rPr>
              <w:t>项目组成员</w:t>
            </w:r>
            <w:r>
              <w:rPr>
                <w:rFonts w:hint="eastAsia"/>
                <w:lang w:val="en-US" w:eastAsia="zh-CN"/>
              </w:rPr>
              <w:t>具有系统集成项目管理师，网络工程师</w:t>
            </w:r>
            <w:r>
              <w:rPr>
                <w:rFonts w:hint="eastAsia"/>
                <w:lang w:val="zh-CN"/>
              </w:rPr>
              <w:t>，</w:t>
            </w:r>
            <w:r>
              <w:rPr>
                <w:rFonts w:hint="eastAsia"/>
                <w:lang w:val="en-US" w:eastAsia="zh-CN"/>
              </w:rPr>
              <w:t>每具有一本证书得1分，最高得2分。</w:t>
            </w:r>
          </w:p>
          <w:p>
            <w:pPr>
              <w:bidi w:val="0"/>
              <w:rPr>
                <w:rFonts w:hint="default" w:eastAsia="宋体"/>
                <w:lang w:val="en-US" w:eastAsia="zh-CN"/>
              </w:rPr>
            </w:pPr>
            <w:r>
              <w:rPr>
                <w:rFonts w:hint="eastAsia"/>
                <w:lang w:val="en-US" w:eastAsia="zh-CN"/>
              </w:rPr>
              <w:t>注：</w:t>
            </w:r>
            <w:r>
              <w:rPr>
                <w:rFonts w:hint="eastAsia"/>
              </w:rPr>
              <w:t>一人有多</w:t>
            </w:r>
            <w:r>
              <w:rPr>
                <w:rFonts w:hint="eastAsia"/>
                <w:lang w:val="en-US" w:eastAsia="zh-CN"/>
              </w:rPr>
              <w:t>本</w:t>
            </w:r>
            <w:r>
              <w:rPr>
                <w:rFonts w:hint="eastAsia"/>
              </w:rPr>
              <w:t>证书的，只按一本得分</w:t>
            </w:r>
            <w:r>
              <w:rPr>
                <w:rFonts w:hint="eastAsia"/>
                <w:lang w:eastAsia="zh-CN"/>
              </w:rPr>
              <w:t>；</w:t>
            </w:r>
            <w:r>
              <w:rPr>
                <w:rFonts w:hint="eastAsia"/>
                <w:lang w:val="en-US" w:eastAsia="zh-CN"/>
              </w:rPr>
              <w:t>多人同一本证书，只按一本得分。</w:t>
            </w:r>
          </w:p>
          <w:p>
            <w:pPr>
              <w:bidi w:val="0"/>
              <w:rPr>
                <w:rFonts w:ascii="宋体" w:hAnsi="宋体" w:cs="宋体"/>
                <w:bCs/>
                <w:color w:val="auto"/>
                <w:sz w:val="21"/>
                <w:szCs w:val="21"/>
                <w:highlight w:val="yellow"/>
                <w:lang w:val="zh-CN"/>
              </w:rPr>
            </w:pPr>
            <w:r>
              <w:rPr>
                <w:rFonts w:hint="eastAsia"/>
                <w:lang w:val="zh-CN"/>
              </w:rPr>
              <w:t>（需提供人员相关资质证书原件扫描件及</w:t>
            </w:r>
            <w:r>
              <w:rPr>
                <w:rFonts w:hint="eastAsia"/>
                <w:lang w:val="en-US" w:eastAsia="zh-CN"/>
              </w:rPr>
              <w:t>三</w:t>
            </w:r>
            <w:r>
              <w:rPr>
                <w:rFonts w:hint="eastAsia"/>
                <w:lang w:val="zh-CN"/>
              </w:rPr>
              <w:t>个月内</w:t>
            </w:r>
            <w:r>
              <w:rPr>
                <w:rFonts w:hint="eastAsia"/>
                <w:lang w:val="en-US" w:eastAsia="zh-CN"/>
              </w:rPr>
              <w:t>其中一个月</w:t>
            </w:r>
            <w:r>
              <w:rPr>
                <w:rFonts w:hint="eastAsia"/>
                <w:lang w:val="zh-CN"/>
              </w:rPr>
              <w:t>的社保证明做入标书，加盖电子印章）</w:t>
            </w:r>
          </w:p>
        </w:tc>
        <w:tc>
          <w:tcPr>
            <w:tcW w:w="847" w:type="dxa"/>
            <w:noWrap w:val="0"/>
            <w:vAlign w:val="center"/>
          </w:tcPr>
          <w:p>
            <w:pPr>
              <w:bidi w:val="0"/>
              <w:rPr>
                <w:rFonts w:hint="eastAsia" w:ascii="宋体" w:hAnsi="宋体" w:eastAsia="宋体" w:cs="宋体"/>
                <w:bCs/>
                <w:color w:val="auto"/>
                <w:sz w:val="21"/>
                <w:szCs w:val="21"/>
                <w:highlight w:val="yellow"/>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shd w:val="clear" w:color="auto" w:fill="auto"/>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10</w:t>
            </w:r>
          </w:p>
        </w:tc>
        <w:tc>
          <w:tcPr>
            <w:tcW w:w="7676" w:type="dxa"/>
            <w:shd w:val="clear" w:color="auto" w:fill="FFFFFF"/>
            <w:noWrap w:val="0"/>
            <w:vAlign w:val="center"/>
          </w:tcPr>
          <w:p>
            <w:pPr>
              <w:bidi w:val="0"/>
              <w:rPr>
                <w:rFonts w:hint="eastAsia"/>
                <w:lang w:val="en-US" w:eastAsia="zh-CN"/>
              </w:rPr>
            </w:pPr>
            <w:r>
              <w:rPr>
                <w:rFonts w:hint="eastAsia"/>
                <w:lang w:val="en-US" w:eastAsia="zh-CN"/>
              </w:rPr>
              <w:t>投标人具有有效的基础电信业务经营许可证的得3分；</w:t>
            </w:r>
          </w:p>
          <w:p>
            <w:pPr>
              <w:bidi w:val="0"/>
              <w:rPr>
                <w:rFonts w:hint="eastAsia"/>
                <w:lang w:val="en-US" w:eastAsia="zh-CN"/>
              </w:rPr>
            </w:pPr>
            <w:r>
              <w:rPr>
                <w:rFonts w:hint="eastAsia"/>
                <w:lang w:val="en-US" w:eastAsia="zh-CN"/>
              </w:rPr>
              <w:t>投标人具有有效的信息安全等级保护三级（政务云相关）及以上证明的得3分；</w:t>
            </w:r>
          </w:p>
          <w:p>
            <w:pPr>
              <w:bidi w:val="0"/>
              <w:rPr>
                <w:rFonts w:hint="eastAsia"/>
                <w:lang w:val="en-US" w:eastAsia="zh-CN"/>
              </w:rPr>
            </w:pPr>
            <w:r>
              <w:rPr>
                <w:rFonts w:hint="eastAsia"/>
                <w:lang w:val="en-US" w:eastAsia="zh-CN"/>
              </w:rPr>
              <w:t>投标人具有</w:t>
            </w:r>
            <w:r>
              <w:rPr>
                <w:rFonts w:hint="eastAsia"/>
              </w:rPr>
              <w:t>隐私管理体系认证</w:t>
            </w:r>
            <w:r>
              <w:rPr>
                <w:rFonts w:hint="eastAsia"/>
                <w:lang w:val="en-US" w:eastAsia="zh-CN"/>
              </w:rPr>
              <w:t>证书，数据存储安全管理体系认证证书，能源管理体系认证证书，信息技术服务管理体系认证证书，每个证书得1分，最高得4分</w:t>
            </w:r>
          </w:p>
          <w:p>
            <w:pPr>
              <w:bidi w:val="0"/>
              <w:rPr>
                <w:rFonts w:ascii="宋体" w:hAnsi="宋体" w:cs="宋体"/>
                <w:bCs/>
                <w:color w:val="auto"/>
                <w:sz w:val="21"/>
                <w:szCs w:val="21"/>
                <w:highlight w:val="yellow"/>
              </w:rPr>
            </w:pPr>
            <w:r>
              <w:rPr>
                <w:rFonts w:hint="eastAsia"/>
                <w:lang w:val="zh-CN"/>
              </w:rPr>
              <w:t>（</w:t>
            </w:r>
            <w:r>
              <w:rPr>
                <w:rFonts w:hint="eastAsia"/>
                <w:lang w:val="en-US" w:eastAsia="zh-CN"/>
              </w:rPr>
              <w:t>体系认证需提供</w:t>
            </w:r>
            <w:r>
              <w:rPr>
                <w:rFonts w:hint="eastAsia"/>
                <w:lang w:val="zh-CN"/>
              </w:rPr>
              <w:t>国家认证认可监督管理委员会官方网站上相关证书有效的网页截图或网站打印页，否则不得分；</w:t>
            </w:r>
            <w:r>
              <w:rPr>
                <w:rFonts w:hint="eastAsia"/>
                <w:lang w:val="en-US" w:eastAsia="zh-CN"/>
              </w:rPr>
              <w:t>其他资质证书提供扫描件加盖公章。</w:t>
            </w:r>
            <w:r>
              <w:rPr>
                <w:rFonts w:hint="eastAsia"/>
                <w:lang w:val="zh-CN"/>
              </w:rPr>
              <w:t>）</w:t>
            </w:r>
          </w:p>
        </w:tc>
        <w:tc>
          <w:tcPr>
            <w:tcW w:w="847" w:type="dxa"/>
            <w:shd w:val="clear" w:color="auto" w:fill="FFFFFF"/>
            <w:noWrap w:val="0"/>
            <w:vAlign w:val="center"/>
          </w:tcPr>
          <w:p>
            <w:pPr>
              <w:bidi w:val="0"/>
              <w:rPr>
                <w:rFonts w:hint="default" w:ascii="宋体" w:hAnsi="宋体" w:eastAsia="宋体" w:cs="宋体"/>
                <w:bCs/>
                <w:color w:val="auto"/>
                <w:sz w:val="21"/>
                <w:szCs w:val="21"/>
                <w:highlight w:val="yellow"/>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shd w:val="clear" w:color="auto" w:fill="auto"/>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11</w:t>
            </w:r>
          </w:p>
        </w:tc>
        <w:tc>
          <w:tcPr>
            <w:tcW w:w="7676" w:type="dxa"/>
            <w:shd w:val="clear" w:color="auto" w:fill="FFFFFF"/>
            <w:noWrap w:val="0"/>
            <w:vAlign w:val="center"/>
          </w:tcPr>
          <w:p>
            <w:pPr>
              <w:bidi w:val="0"/>
              <w:rPr>
                <w:rFonts w:hint="eastAsia"/>
                <w:lang w:val="zh-CN"/>
              </w:rPr>
            </w:pPr>
            <w:r>
              <w:rPr>
                <w:rFonts w:hint="eastAsia"/>
                <w:lang w:val="zh-CN"/>
              </w:rPr>
              <w:t>成功案例及业绩：</w:t>
            </w:r>
          </w:p>
          <w:p>
            <w:pPr>
              <w:bidi w:val="0"/>
              <w:rPr>
                <w:rFonts w:ascii="宋体" w:hAnsi="宋体" w:cs="宋体"/>
                <w:bCs/>
                <w:color w:val="auto"/>
                <w:sz w:val="21"/>
                <w:szCs w:val="21"/>
                <w:highlight w:val="none"/>
              </w:rPr>
            </w:pPr>
            <w:r>
              <w:rPr>
                <w:rFonts w:hint="eastAsia"/>
                <w:lang w:val="zh-CN"/>
              </w:rPr>
              <w:t>投标人自20</w:t>
            </w:r>
            <w:r>
              <w:rPr>
                <w:rFonts w:hint="eastAsia"/>
              </w:rPr>
              <w:t>2</w:t>
            </w:r>
            <w:r>
              <w:rPr>
                <w:rFonts w:hint="eastAsia"/>
                <w:lang w:val="en-US" w:eastAsia="zh-CN"/>
              </w:rPr>
              <w:t>1</w:t>
            </w:r>
            <w:r>
              <w:rPr>
                <w:rFonts w:hint="eastAsia"/>
                <w:lang w:val="zh-CN"/>
              </w:rPr>
              <w:t>年</w:t>
            </w:r>
            <w:r>
              <w:rPr>
                <w:rFonts w:hint="eastAsia"/>
                <w:lang w:val="en-US" w:eastAsia="zh-CN"/>
              </w:rPr>
              <w:t>1</w:t>
            </w:r>
            <w:r>
              <w:rPr>
                <w:rFonts w:hint="eastAsia"/>
                <w:lang w:val="zh-CN"/>
              </w:rPr>
              <w:t>月</w:t>
            </w:r>
            <w:r>
              <w:rPr>
                <w:rFonts w:hint="eastAsia"/>
              </w:rPr>
              <w:t>1日</w:t>
            </w:r>
            <w:r>
              <w:rPr>
                <w:rFonts w:hint="eastAsia"/>
                <w:lang w:val="zh-CN"/>
              </w:rPr>
              <w:t>以来</w:t>
            </w:r>
            <w:r>
              <w:rPr>
                <w:rFonts w:hint="eastAsia"/>
              </w:rPr>
              <w:t>类似</w:t>
            </w:r>
            <w:r>
              <w:rPr>
                <w:rFonts w:hint="eastAsia"/>
                <w:lang w:val="zh-CN"/>
              </w:rPr>
              <w:t>项目成功案例，每个得</w:t>
            </w:r>
            <w:r>
              <w:rPr>
                <w:rFonts w:hint="eastAsia"/>
                <w:lang w:val="en-US" w:eastAsia="zh-CN"/>
              </w:rPr>
              <w:t>1</w:t>
            </w:r>
            <w:r>
              <w:rPr>
                <w:rFonts w:hint="eastAsia"/>
                <w:lang w:val="zh-CN"/>
              </w:rPr>
              <w:t>分，最高得</w:t>
            </w:r>
            <w:r>
              <w:rPr>
                <w:rFonts w:hint="eastAsia"/>
              </w:rPr>
              <w:t>1</w:t>
            </w:r>
            <w:r>
              <w:rPr>
                <w:rFonts w:hint="eastAsia"/>
                <w:lang w:val="zh-CN"/>
              </w:rPr>
              <w:t>分。（以签订时间为准，提供提供证书原件扫描件并加盖电子印章，未提供不得分。）</w:t>
            </w:r>
          </w:p>
        </w:tc>
        <w:tc>
          <w:tcPr>
            <w:tcW w:w="847" w:type="dxa"/>
            <w:shd w:val="clear" w:color="auto" w:fill="FFFFFF"/>
            <w:noWrap w:val="0"/>
            <w:vAlign w:val="center"/>
          </w:tcPr>
          <w:p>
            <w:pPr>
              <w:bidi w:val="0"/>
              <w:rPr>
                <w:rFonts w:ascii="宋体" w:hAnsi="宋体" w:cs="宋体"/>
                <w:bCs/>
                <w:color w:val="auto"/>
                <w:sz w:val="21"/>
                <w:szCs w:val="21"/>
                <w:highlight w:val="none"/>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12</w:t>
            </w:r>
          </w:p>
        </w:tc>
        <w:tc>
          <w:tcPr>
            <w:tcW w:w="7676" w:type="dxa"/>
            <w:noWrap w:val="0"/>
            <w:vAlign w:val="center"/>
          </w:tcPr>
          <w:p>
            <w:pPr>
              <w:bidi w:val="0"/>
              <w:rPr>
                <w:rFonts w:hint="eastAsia"/>
                <w:lang w:val="zh-CN"/>
              </w:rPr>
            </w:pPr>
            <w:r>
              <w:rPr>
                <w:rFonts w:hint="eastAsia"/>
                <w:lang w:val="zh-CN"/>
              </w:rPr>
              <w:t>据本服务响应时间、专业技术力量、</w:t>
            </w:r>
            <w:r>
              <w:rPr>
                <w:rFonts w:hint="eastAsia"/>
              </w:rPr>
              <w:t>运营服务人员绩效考核响应</w:t>
            </w:r>
            <w:r>
              <w:rPr>
                <w:rFonts w:hint="eastAsia"/>
                <w:lang w:eastAsia="zh-CN"/>
              </w:rPr>
              <w:t>、</w:t>
            </w:r>
            <w:r>
              <w:rPr>
                <w:rFonts w:hint="eastAsia"/>
                <w:lang w:val="en-US" w:eastAsia="zh-CN"/>
              </w:rPr>
              <w:t>培训方案</w:t>
            </w:r>
            <w:r>
              <w:rPr>
                <w:rFonts w:hint="eastAsia"/>
                <w:lang w:val="zh-CN"/>
              </w:rPr>
              <w:t>等方面综合评价。</w:t>
            </w:r>
          </w:p>
          <w:p>
            <w:pPr>
              <w:bidi w:val="0"/>
              <w:rPr>
                <w:rFonts w:hint="eastAsia"/>
                <w:lang w:val="zh-CN"/>
              </w:rPr>
            </w:pPr>
            <w:r>
              <w:rPr>
                <w:rFonts w:hint="eastAsia"/>
                <w:lang w:val="zh-CN"/>
              </w:rPr>
              <w:t>方案描述清晰，针对性强，内容详细，且确实可行的得</w:t>
            </w:r>
            <w:r>
              <w:rPr>
                <w:rFonts w:hint="eastAsia"/>
                <w:lang w:val="en-US" w:eastAsia="zh-CN"/>
              </w:rPr>
              <w:t>3</w:t>
            </w:r>
            <w:r>
              <w:rPr>
                <w:rFonts w:hint="eastAsia"/>
                <w:lang w:val="zh-CN"/>
              </w:rPr>
              <w:t>-</w:t>
            </w:r>
            <w:r>
              <w:rPr>
                <w:rFonts w:hint="eastAsia"/>
                <w:lang w:val="en-US" w:eastAsia="zh-CN"/>
              </w:rPr>
              <w:t>2.1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2</w:t>
            </w:r>
            <w:r>
              <w:rPr>
                <w:rFonts w:hint="eastAsia"/>
                <w:lang w:val="zh-CN"/>
              </w:rPr>
              <w:t>-</w:t>
            </w:r>
            <w:r>
              <w:rPr>
                <w:rFonts w:hint="eastAsia"/>
                <w:lang w:val="en-US" w:eastAsia="zh-CN"/>
              </w:rPr>
              <w:t>1.1</w:t>
            </w:r>
            <w:r>
              <w:rPr>
                <w:rFonts w:hint="eastAsia"/>
                <w:lang w:val="zh-CN"/>
              </w:rPr>
              <w:t>分；方案有缺失，内容简单，思路不清晰的得</w:t>
            </w:r>
            <w:r>
              <w:rPr>
                <w:rFonts w:hint="eastAsia"/>
                <w:lang w:val="en-US" w:eastAsia="zh-CN"/>
              </w:rPr>
              <w:t>1</w:t>
            </w:r>
            <w:r>
              <w:rPr>
                <w:rFonts w:hint="eastAsia"/>
                <w:lang w:val="zh-CN"/>
              </w:rPr>
              <w:t>-0分。</w:t>
            </w:r>
          </w:p>
          <w:p>
            <w:pPr>
              <w:bidi w:val="0"/>
              <w:rPr>
                <w:rFonts w:ascii="宋体" w:hAnsi="宋体" w:cs="宋体"/>
                <w:bCs/>
                <w:color w:val="auto"/>
                <w:sz w:val="21"/>
                <w:szCs w:val="21"/>
                <w:highlight w:val="none"/>
                <w:lang w:val="zh-CN"/>
              </w:rPr>
            </w:pPr>
            <w:r>
              <w:rPr>
                <w:rFonts w:hint="eastAsia"/>
                <w:lang w:val="en-US"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val="zh-CN" w:eastAsia="zh-CN"/>
              </w:rPr>
            </w:pPr>
            <w:r>
              <w:rPr>
                <w:rFonts w:hint="eastAsia"/>
                <w:lang w:val="en-US" w:eastAsia="zh-CN"/>
              </w:rPr>
              <w:t>3</w:t>
            </w:r>
          </w:p>
        </w:tc>
      </w:tr>
    </w:tbl>
    <w:p>
      <w:pPr>
        <w:pStyle w:val="3"/>
        <w:ind w:firstLine="0" w:firstLineChars="0"/>
      </w:pPr>
    </w:p>
    <w:p>
      <w:pPr>
        <w:spacing w:line="360" w:lineRule="auto"/>
      </w:pPr>
      <w:r>
        <w:rPr>
          <w:rFonts w:hint="eastAsia"/>
          <w:b/>
          <w:bCs/>
        </w:rPr>
        <w:t>注</w:t>
      </w:r>
      <w:r>
        <w:rPr>
          <w:rFonts w:hint="eastAsia"/>
        </w:rPr>
        <w:t>：①请扫描上传合同、证书、报告及其他相关证明材料的原件至投标文件，并加盖公章。</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2、商务标（20分）</w:t>
      </w:r>
    </w:p>
    <w:p>
      <w:pPr>
        <w:spacing w:line="360" w:lineRule="auto"/>
        <w:ind w:firstLine="480" w:firstLineChars="200"/>
        <w:rPr>
          <w:rFonts w:hint="eastAsia" w:ascii="宋体" w:hAnsi="宋体" w:cs="宋体"/>
          <w:sz w:val="24"/>
        </w:rPr>
      </w:pPr>
      <w:r>
        <w:rPr>
          <w:rFonts w:hint="eastAsia" w:ascii="宋体" w:hAnsi="宋体" w:cs="宋体"/>
          <w:sz w:val="24"/>
        </w:rPr>
        <w:t>取所有有效报价的</w:t>
      </w:r>
      <w:r>
        <w:rPr>
          <w:rFonts w:hint="eastAsia" w:ascii="宋体" w:hAnsi="宋体" w:cs="宋体"/>
          <w:sz w:val="24"/>
          <w:lang w:val="en-US" w:eastAsia="zh-CN"/>
        </w:rPr>
        <w:t>最低价</w:t>
      </w:r>
      <w:r>
        <w:rPr>
          <w:rFonts w:hint="eastAsia" w:ascii="宋体" w:hAnsi="宋体" w:cs="宋体"/>
          <w:sz w:val="24"/>
        </w:rPr>
        <w:t>作为评标基准价;</w:t>
      </w:r>
    </w:p>
    <w:p>
      <w:pPr>
        <w:spacing w:line="360" w:lineRule="auto"/>
        <w:ind w:firstLine="480" w:firstLineChars="200"/>
        <w:rPr>
          <w:rFonts w:hint="eastAsia" w:ascii="宋体" w:hAnsi="宋体" w:cs="宋体"/>
          <w:sz w:val="24"/>
        </w:rPr>
      </w:pPr>
      <w:r>
        <w:rPr>
          <w:rFonts w:hint="eastAsia" w:ascii="宋体" w:hAnsi="宋体" w:cs="宋体"/>
          <w:sz w:val="24"/>
        </w:rPr>
        <w:t>1）有效投标供应商的投标价等于评标基准价时，其商务报价评分值为满分</w:t>
      </w:r>
      <w:r>
        <w:rPr>
          <w:rFonts w:hint="eastAsia" w:ascii="宋体" w:hAnsi="宋体" w:cs="宋体"/>
          <w:sz w:val="24"/>
          <w:lang w:val="en-US" w:eastAsia="zh-CN"/>
        </w:rPr>
        <w:t>20</w:t>
      </w:r>
      <w:r>
        <w:rPr>
          <w:rFonts w:hint="eastAsia" w:ascii="宋体" w:hAnsi="宋体" w:cs="宋体"/>
          <w:sz w:val="24"/>
        </w:rPr>
        <w:t>分；</w:t>
      </w:r>
    </w:p>
    <w:p>
      <w:pPr>
        <w:spacing w:line="360" w:lineRule="auto"/>
        <w:ind w:firstLine="480" w:firstLineChars="200"/>
        <w:rPr>
          <w:rFonts w:hint="eastAsia" w:ascii="宋体" w:hAnsi="宋体" w:cs="宋体"/>
          <w:sz w:val="24"/>
        </w:rPr>
      </w:pPr>
      <w:r>
        <w:rPr>
          <w:rFonts w:hint="eastAsia" w:ascii="宋体" w:hAnsi="宋体" w:cs="宋体"/>
          <w:sz w:val="24"/>
        </w:rPr>
        <w:t>2）其他投标供应商的价格分按以下公式计算：</w:t>
      </w:r>
    </w:p>
    <w:p>
      <w:pPr>
        <w:spacing w:line="360" w:lineRule="auto"/>
        <w:ind w:firstLine="480" w:firstLineChars="200"/>
        <w:rPr>
          <w:rFonts w:hint="eastAsia" w:ascii="宋体" w:hAnsi="宋体" w:cs="宋体"/>
          <w:sz w:val="24"/>
        </w:rPr>
      </w:pPr>
      <w:r>
        <w:rPr>
          <w:rFonts w:hint="eastAsia" w:ascii="宋体" w:hAnsi="宋体" w:cs="宋体"/>
          <w:sz w:val="24"/>
        </w:rPr>
        <w:t>评标价格＝（评标基准价/投标报价）×</w:t>
      </w:r>
      <w:r>
        <w:rPr>
          <w:rFonts w:hint="eastAsia" w:ascii="宋体" w:hAnsi="宋体" w:cs="宋体"/>
          <w:sz w:val="24"/>
          <w:lang w:val="en-US" w:eastAsia="zh-CN"/>
        </w:rPr>
        <w:t>2</w:t>
      </w:r>
      <w:r>
        <w:rPr>
          <w:rFonts w:hint="eastAsia" w:ascii="宋体" w:hAnsi="宋体" w:cs="宋体"/>
          <w:sz w:val="24"/>
        </w:rPr>
        <w:t>0%×100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pPr>
        <w:pStyle w:val="13"/>
        <w:numPr>
          <w:ilvl w:val="0"/>
          <w:numId w:val="0"/>
        </w:numPr>
      </w:pPr>
    </w:p>
    <w:p>
      <w:pPr>
        <w:numPr>
          <w:ilvl w:val="0"/>
          <w:numId w:val="0"/>
        </w:numPr>
        <w:spacing w:line="360" w:lineRule="auto"/>
        <w:jc w:val="both"/>
        <w:rPr>
          <w:rFonts w:asciiTheme="minorEastAsia" w:hAnsiTheme="minorEastAsia" w:eastAsiaTheme="minorEastAsia"/>
          <w:b/>
          <w:sz w:val="36"/>
          <w:szCs w:val="36"/>
        </w:rPr>
      </w:pPr>
    </w:p>
    <w:p>
      <w:pPr>
        <w:pStyle w:val="13"/>
        <w:numPr>
          <w:ilvl w:val="0"/>
          <w:numId w:val="0"/>
        </w:numPr>
        <w:ind w:left="420" w:leftChars="0"/>
      </w:pPr>
    </w:p>
    <w:p>
      <w:pPr>
        <w:pStyle w:val="10"/>
      </w:pPr>
    </w:p>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jc w:val="center"/>
        <w:rPr>
          <w:rFonts w:hint="eastAsia"/>
          <w:b/>
          <w:bCs/>
          <w:sz w:val="52"/>
          <w:szCs w:val="52"/>
        </w:rPr>
      </w:pPr>
      <w:r>
        <w:rPr>
          <w:rFonts w:hint="eastAsia"/>
          <w:b/>
          <w:bCs/>
          <w:sz w:val="52"/>
          <w:szCs w:val="52"/>
        </w:rPr>
        <w:t>台州“飞安行”低空飞行管控服务平台</w:t>
      </w:r>
    </w:p>
    <w:p>
      <w:pPr>
        <w:jc w:val="center"/>
        <w:rPr>
          <w:b/>
          <w:bCs/>
          <w:sz w:val="52"/>
          <w:szCs w:val="52"/>
        </w:rPr>
      </w:pP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widowControl/>
        <w:snapToGrid w:val="0"/>
        <w:spacing w:before="100" w:beforeAutospacing="1" w:after="100" w:afterAutospacing="1" w:line="320" w:lineRule="atLeast"/>
        <w:ind w:firstLine="420" w:firstLineChars="150"/>
        <w:jc w:val="left"/>
        <w:rPr>
          <w:rFonts w:hint="eastAsia" w:ascii="宋体" w:hAnsi="宋体" w:cs="宋体"/>
          <w:kern w:val="0"/>
          <w:sz w:val="28"/>
          <w:szCs w:val="28"/>
          <w:u w:val="single"/>
        </w:rPr>
      </w:pPr>
      <w:r>
        <w:rPr>
          <w:rFonts w:hint="eastAsia" w:ascii="宋体" w:hAnsi="宋体" w:cs="宋体"/>
          <w:kern w:val="0"/>
          <w:sz w:val="28"/>
          <w:szCs w:val="28"/>
        </w:rPr>
        <w:t>项  目 名  称：</w:t>
      </w:r>
      <w:r>
        <w:rPr>
          <w:rFonts w:hint="eastAsia" w:ascii="宋体" w:hAnsi="宋体" w:cs="宋体"/>
          <w:kern w:val="0"/>
          <w:sz w:val="28"/>
          <w:szCs w:val="28"/>
          <w:u w:val="single"/>
        </w:rPr>
        <w:t>台州“飞安行”低空飞行管控服务平台</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lang w:eastAsia="zh-CN"/>
        </w:rPr>
        <w:t>台州循环经济发展有限公司</w:t>
      </w:r>
      <w:r>
        <w:rPr>
          <w:rFonts w:hint="eastAsia" w:ascii="宋体" w:hAnsi="宋体"/>
          <w:sz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14"/>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eastAsia" w:ascii="宋体" w:hAnsi="宋体" w:eastAsia="宋体" w:cs="宋体"/>
          <w:b w:val="0"/>
          <w:bCs w:val="0"/>
          <w:color w:val="000000"/>
          <w:sz w:val="24"/>
          <w:szCs w:val="24"/>
          <w:highlight w:val="none"/>
        </w:rPr>
      </w:pPr>
      <w:bookmarkStart w:id="63" w:name="_Toc251160747"/>
    </w:p>
    <w:bookmarkEnd w:id="63"/>
    <w:p>
      <w:pPr>
        <w:spacing w:line="360" w:lineRule="auto"/>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台州“飞安行”低空飞行管控服务平台</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项目编号：</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甲方（</w:t>
      </w:r>
      <w:r>
        <w:rPr>
          <w:rFonts w:hint="eastAsia" w:ascii="宋体" w:hAnsi="宋体" w:cs="宋体"/>
          <w:b/>
          <w:bCs/>
          <w:color w:val="auto"/>
          <w:sz w:val="24"/>
          <w:highlight w:val="none"/>
          <w:lang w:eastAsia="zh-CN"/>
        </w:rPr>
        <w:t>招标人</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u w:val="single"/>
        </w:rPr>
      </w:pPr>
      <w:r>
        <w:rPr>
          <w:rFonts w:hint="eastAsia" w:ascii="宋体" w:hAnsi="宋体" w:cs="宋体"/>
          <w:b/>
          <w:bCs/>
          <w:color w:val="auto"/>
          <w:sz w:val="24"/>
          <w:highlight w:val="none"/>
        </w:rPr>
        <w:t>乙方（中标供应商）：</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u w:val="single"/>
        </w:rPr>
        <w:t>台州“飞安行”低空飞行管控服务平台</w:t>
      </w:r>
      <w:r>
        <w:rPr>
          <w:rFonts w:hint="eastAsia" w:ascii="宋体" w:hAnsi="宋体" w:cs="宋体"/>
          <w:color w:val="auto"/>
          <w:sz w:val="24"/>
          <w:highlight w:val="none"/>
        </w:rPr>
        <w:t>的招标结果，经双方协商一致，达成以下条款：</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第一条：建设内容</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台州“飞安行”低空飞行管控服务平台</w:t>
      </w:r>
      <w:r>
        <w:rPr>
          <w:rFonts w:hint="eastAsia" w:ascii="宋体" w:hAnsi="宋体" w:cs="宋体"/>
          <w:color w:val="auto"/>
          <w:sz w:val="24"/>
          <w:highlight w:val="none"/>
        </w:rPr>
        <w:t>，包括项目建设、实施、直至终验收合格及售后服务等。建设内容详见附件。</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第二条：合同金额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合同金额为完成</w:t>
      </w:r>
      <w:r>
        <w:rPr>
          <w:rFonts w:hint="eastAsia" w:cs="Times New Roman" w:asciiTheme="minorEastAsia" w:hAnsiTheme="minorEastAsia" w:eastAsiaTheme="minorEastAsia"/>
          <w:bCs/>
          <w:kern w:val="0"/>
          <w:sz w:val="24"/>
          <w:highlight w:val="none"/>
        </w:rPr>
        <w:t>本项目的软件开发实施项目所需的需求调研费</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系统设计、开发、测试、</w:t>
      </w:r>
      <w:r>
        <w:rPr>
          <w:rFonts w:hint="eastAsia" w:cs="Times New Roman" w:asciiTheme="minorEastAsia" w:hAnsiTheme="minorEastAsia" w:eastAsiaTheme="minorEastAsia"/>
          <w:bCs/>
          <w:kern w:val="0"/>
          <w:sz w:val="24"/>
          <w:highlight w:val="none"/>
        </w:rPr>
        <w:t>系统集成（含软、硬件）</w:t>
      </w:r>
      <w:r>
        <w:rPr>
          <w:rFonts w:hint="eastAsia" w:cs="Times New Roman" w:asciiTheme="minorEastAsia" w:hAnsiTheme="minorEastAsia" w:eastAsiaTheme="minorEastAsia"/>
          <w:bCs/>
          <w:kern w:val="0"/>
          <w:sz w:val="24"/>
          <w:highlight w:val="none"/>
          <w:lang w:val="en-US" w:eastAsia="zh-CN"/>
        </w:rPr>
        <w:t>实施、</w:t>
      </w:r>
      <w:r>
        <w:rPr>
          <w:rFonts w:hint="eastAsia" w:cs="Times New Roman" w:asciiTheme="minorEastAsia" w:hAnsiTheme="minorEastAsia" w:eastAsiaTheme="minorEastAsia"/>
          <w:bCs/>
          <w:kern w:val="0"/>
          <w:sz w:val="24"/>
          <w:highlight w:val="none"/>
        </w:rPr>
        <w:t>接口费用</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运行维护、</w:t>
      </w:r>
      <w:r>
        <w:rPr>
          <w:rFonts w:hint="eastAsia" w:cs="Times New Roman" w:asciiTheme="minorEastAsia" w:hAnsiTheme="minorEastAsia" w:eastAsiaTheme="minorEastAsia"/>
          <w:bCs/>
          <w:kern w:val="0"/>
          <w:sz w:val="24"/>
          <w:highlight w:val="none"/>
        </w:rPr>
        <w:t>安全性评估</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配合</w:t>
      </w:r>
      <w:r>
        <w:rPr>
          <w:rFonts w:hint="eastAsia" w:cs="Times New Roman" w:asciiTheme="minorEastAsia" w:hAnsiTheme="minorEastAsia" w:eastAsiaTheme="minorEastAsia"/>
          <w:bCs/>
          <w:kern w:val="0"/>
          <w:sz w:val="24"/>
          <w:highlight w:val="none"/>
        </w:rPr>
        <w:t>密评检测、</w:t>
      </w:r>
      <w:r>
        <w:rPr>
          <w:rFonts w:hint="eastAsia" w:cs="Times New Roman" w:asciiTheme="minorEastAsia" w:hAnsiTheme="minorEastAsia" w:eastAsiaTheme="minorEastAsia"/>
          <w:bCs/>
          <w:kern w:val="0"/>
          <w:sz w:val="24"/>
          <w:highlight w:val="none"/>
          <w:lang w:val="en-US" w:eastAsia="zh-CN"/>
        </w:rPr>
        <w:t>税</w:t>
      </w:r>
      <w:r>
        <w:rPr>
          <w:rFonts w:hint="eastAsia" w:asciiTheme="minorEastAsia" w:hAnsiTheme="minorEastAsia" w:eastAsiaTheme="minorEastAsia"/>
          <w:bCs/>
          <w:kern w:val="0"/>
          <w:sz w:val="24"/>
          <w:highlight w:val="none"/>
          <w:lang w:val="en-US" w:eastAsia="zh-CN"/>
        </w:rPr>
        <w:t>金、验收、培训、辅助工作、验收、保险、税金、质保及售后技术服务等</w:t>
      </w:r>
      <w:r>
        <w:rPr>
          <w:rFonts w:hint="eastAsia" w:ascii="宋体" w:hAnsi="宋体" w:eastAsia="宋体" w:cs="宋体"/>
          <w:color w:val="auto"/>
          <w:sz w:val="24"/>
          <w:szCs w:val="24"/>
          <w:highlight w:val="none"/>
        </w:rPr>
        <w:t>及相关劳务支出等工作所发生的全部费用以及</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企业利润、税金和政策性文件规定及合同包含的所有风险、责任等各项应有费用</w:t>
      </w:r>
      <w:r>
        <w:rPr>
          <w:rFonts w:hint="eastAsia" w:ascii="宋体" w:hAnsi="宋体" w:eastAsia="宋体" w:cs="宋体"/>
          <w:bCs/>
          <w:color w:val="auto"/>
          <w:sz w:val="24"/>
          <w:szCs w:val="24"/>
          <w:highlight w:val="none"/>
          <w:lang w:eastAsia="zh-CN"/>
        </w:rPr>
        <w:t>，即一直到整个系统调试验收合格交付</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使用，</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不再另行支付费用</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第三条：建设工期、验收方式及地点</w:t>
      </w:r>
    </w:p>
    <w:p>
      <w:pPr>
        <w:widowControl/>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1.建设工期：本项目要求合同签订后2周内组织人员进场开工，6个月内完成主要功能开发，</w:t>
      </w:r>
      <w:r>
        <w:rPr>
          <w:rFonts w:hint="eastAsia" w:ascii="宋体" w:hAnsi="宋体" w:eastAsia="宋体" w:cs="宋体"/>
          <w:color w:val="auto"/>
          <w:sz w:val="24"/>
          <w:highlight w:val="none"/>
        </w:rPr>
        <w:t>9个月完成初验并进入试运行。稳定试运行3个月后，由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组织终验。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必须严格按照各模块要求进度完成业务上线。如因</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原因造成不能按期完工，工期相应顺延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硬件交货时间接到甲方通知后15日内完成供货。</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2.验收方式及地点：按甲方指定的方式、地点验收。</w:t>
      </w:r>
    </w:p>
    <w:p>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第四条：</w:t>
      </w:r>
      <w:r>
        <w:rPr>
          <w:rFonts w:hint="eastAsia" w:ascii="宋体" w:hAnsi="宋体" w:cs="宋体"/>
          <w:b/>
          <w:bCs/>
          <w:color w:val="auto"/>
          <w:sz w:val="24"/>
          <w:highlight w:val="none"/>
          <w:lang w:val="en-US" w:eastAsia="zh-CN"/>
        </w:rPr>
        <w:t>维护期、质保期、质保金</w:t>
      </w:r>
    </w:p>
    <w:p>
      <w:pPr>
        <w:pStyle w:val="14"/>
        <w:snapToGrid w:val="0"/>
        <w:spacing w:before="120" w:after="120" w:line="360" w:lineRule="auto"/>
        <w:ind w:firstLine="480" w:firstLineChars="200"/>
        <w:rPr>
          <w:rFonts w:hint="eastAsia"/>
          <w:color w:val="auto"/>
          <w:sz w:val="24"/>
          <w:highlight w:val="none"/>
        </w:rPr>
      </w:pPr>
      <w:r>
        <w:rPr>
          <w:rFonts w:hint="eastAsia" w:hAnsi="宋体"/>
          <w:color w:val="auto"/>
          <w:sz w:val="24"/>
          <w:highlight w:val="none"/>
          <w:lang w:val="en-US" w:eastAsia="zh-CN"/>
        </w:rPr>
        <w:t>软件维护期</w:t>
      </w:r>
      <w:r>
        <w:rPr>
          <w:rFonts w:hint="eastAsia" w:hAnsi="宋体"/>
          <w:color w:val="auto"/>
          <w:sz w:val="24"/>
          <w:highlight w:val="none"/>
        </w:rPr>
        <w:t>：</w:t>
      </w:r>
      <w:r>
        <w:rPr>
          <w:rFonts w:hint="eastAsia"/>
          <w:color w:val="auto"/>
          <w:sz w:val="24"/>
          <w:highlight w:val="none"/>
          <w:u w:val="single"/>
          <w:lang w:val="en-US" w:eastAsia="zh-CN"/>
        </w:rPr>
        <w:t xml:space="preserve">3 </w:t>
      </w:r>
      <w:r>
        <w:rPr>
          <w:rFonts w:hint="eastAsia"/>
          <w:color w:val="auto"/>
          <w:sz w:val="24"/>
          <w:highlight w:val="none"/>
        </w:rPr>
        <w:t>年（自项目验收之日起算）</w:t>
      </w:r>
      <w:r>
        <w:rPr>
          <w:rFonts w:hint="eastAsia"/>
          <w:color w:val="auto"/>
          <w:sz w:val="24"/>
          <w:highlight w:val="none"/>
          <w:lang w:eastAsia="zh-CN"/>
        </w:rPr>
        <w:t>，</w:t>
      </w:r>
      <w:r>
        <w:rPr>
          <w:rFonts w:hint="eastAsia"/>
          <w:color w:val="auto"/>
          <w:sz w:val="24"/>
          <w:highlight w:val="none"/>
          <w:lang w:val="en-US" w:eastAsia="zh-CN"/>
        </w:rPr>
        <w:t>硬件质保期</w:t>
      </w:r>
      <w:r>
        <w:rPr>
          <w:rFonts w:hint="eastAsia"/>
          <w:color w:val="auto"/>
          <w:sz w:val="24"/>
          <w:highlight w:val="none"/>
          <w:u w:val="single"/>
          <w:lang w:val="en-US" w:eastAsia="zh-CN"/>
        </w:rPr>
        <w:t>3</w:t>
      </w:r>
      <w:r>
        <w:rPr>
          <w:rFonts w:hint="eastAsia"/>
          <w:color w:val="auto"/>
          <w:sz w:val="24"/>
          <w:highlight w:val="none"/>
          <w:lang w:val="en-US" w:eastAsia="zh-CN"/>
        </w:rPr>
        <w:t>年</w:t>
      </w:r>
      <w:r>
        <w:rPr>
          <w:rFonts w:hint="eastAsia"/>
          <w:color w:val="auto"/>
          <w:sz w:val="24"/>
          <w:highlight w:val="none"/>
        </w:rPr>
        <w:t>（自项</w:t>
      </w:r>
      <w:r>
        <w:rPr>
          <w:rFonts w:hint="eastAsia"/>
          <w:color w:val="auto"/>
          <w:sz w:val="24"/>
          <w:highlight w:val="none"/>
          <w:lang w:val="en-US" w:eastAsia="zh-CN"/>
        </w:rPr>
        <w:t>交货</w:t>
      </w:r>
      <w:r>
        <w:rPr>
          <w:rFonts w:hint="eastAsia"/>
          <w:color w:val="auto"/>
          <w:sz w:val="24"/>
          <w:highlight w:val="none"/>
        </w:rPr>
        <w:t>之日起算）。</w:t>
      </w:r>
    </w:p>
    <w:p>
      <w:pPr>
        <w:pStyle w:val="15"/>
        <w:ind w:left="0" w:leftChars="0" w:firstLine="480" w:firstLineChars="200"/>
        <w:rPr>
          <w:rFonts w:hint="default" w:ascii="宋体" w:hAnsi="Courier New" w:eastAsia="宋体" w:cstheme="minorBidi"/>
          <w:color w:val="auto"/>
          <w:kern w:val="2"/>
          <w:sz w:val="24"/>
          <w:szCs w:val="24"/>
          <w:highlight w:val="none"/>
          <w:lang w:val="en-US" w:eastAsia="zh-CN" w:bidi="ar-SA"/>
        </w:rPr>
      </w:pPr>
      <w:r>
        <w:rPr>
          <w:rFonts w:hint="eastAsia" w:ascii="宋体" w:hAnsi="Courier New" w:eastAsia="宋体" w:cstheme="minorBidi"/>
          <w:color w:val="auto"/>
          <w:kern w:val="2"/>
          <w:sz w:val="24"/>
          <w:szCs w:val="24"/>
          <w:highlight w:val="none"/>
          <w:lang w:val="en-US" w:eastAsia="zh-CN" w:bidi="ar-SA"/>
        </w:rPr>
        <w:t>质保金：项目合同金额1.5%。（签订合同后15个工作日内完成）</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第五条：技术资料</w:t>
      </w:r>
    </w:p>
    <w:p>
      <w:pPr>
        <w:pStyle w:val="14"/>
        <w:snapToGrid w:val="0"/>
        <w:spacing w:before="120" w:after="12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w:t>
      </w:r>
      <w:r>
        <w:rPr>
          <w:rFonts w:hint="eastAsia" w:hAnsi="宋体"/>
          <w:color w:val="auto"/>
          <w:sz w:val="24"/>
          <w:highlight w:val="none"/>
          <w:lang w:eastAsia="zh-CN"/>
        </w:rPr>
        <w:t>采购文件</w:t>
      </w:r>
      <w:r>
        <w:rPr>
          <w:rFonts w:hAnsi="宋体"/>
          <w:color w:val="auto"/>
          <w:sz w:val="24"/>
          <w:highlight w:val="none"/>
        </w:rPr>
        <w:t>规定的时间向甲方提供</w:t>
      </w:r>
      <w:r>
        <w:rPr>
          <w:rFonts w:hint="eastAsia" w:hAnsi="宋体"/>
          <w:color w:val="auto"/>
          <w:sz w:val="24"/>
          <w:highlight w:val="none"/>
        </w:rPr>
        <w:t>产品、服务及指导</w:t>
      </w:r>
      <w:r>
        <w:rPr>
          <w:rFonts w:hAnsi="宋体"/>
          <w:color w:val="auto"/>
          <w:sz w:val="24"/>
          <w:highlight w:val="none"/>
        </w:rPr>
        <w:t>。</w:t>
      </w:r>
    </w:p>
    <w:p>
      <w:pPr>
        <w:pStyle w:val="14"/>
        <w:snapToGrid w:val="0"/>
        <w:spacing w:before="120" w:after="120" w:line="360" w:lineRule="auto"/>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第六条：知识产权</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乙方应保证所提供的</w:t>
      </w:r>
      <w:r>
        <w:rPr>
          <w:rFonts w:hint="eastAsia" w:hAnsi="宋体"/>
          <w:color w:val="auto"/>
          <w:sz w:val="24"/>
          <w:highlight w:val="none"/>
        </w:rPr>
        <w:t>服务、产品</w:t>
      </w:r>
      <w:r>
        <w:rPr>
          <w:rFonts w:hAnsi="宋体"/>
          <w:color w:val="auto"/>
          <w:sz w:val="24"/>
          <w:highlight w:val="none"/>
        </w:rPr>
        <w:t>或其任何一部分均不会侵犯任何第三方的知识产权。</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2.若侵犯,由乙方赔偿甲方因此遭受的损失（包括但不限于应对及追偿过程中所支付的律师费、差旅费、诉讼费、保全费、鉴定费、评估费等）。</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第七条：履约保证金</w:t>
      </w:r>
    </w:p>
    <w:p>
      <w:pPr>
        <w:pStyle w:val="81"/>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签订合同前</w:t>
      </w:r>
      <w:r>
        <w:rPr>
          <w:rFonts w:hint="eastAsia" w:ascii="宋体" w:hAnsi="宋体" w:eastAsia="宋体" w:cs="宋体"/>
          <w:color w:val="auto"/>
          <w:highlight w:val="none"/>
        </w:rPr>
        <w:t>乙方</w:t>
      </w:r>
      <w:r>
        <w:rPr>
          <w:rFonts w:hint="eastAsia" w:ascii="宋体" w:hAnsi="宋体" w:eastAsia="宋体" w:cs="宋体"/>
          <w:color w:val="auto"/>
          <w:highlight w:val="none"/>
          <w:lang w:val="zh-CN"/>
        </w:rPr>
        <w:t>须向</w:t>
      </w:r>
      <w:r>
        <w:rPr>
          <w:rFonts w:hint="eastAsia" w:ascii="宋体" w:hAnsi="宋体" w:eastAsia="宋体" w:cs="宋体"/>
          <w:color w:val="auto"/>
          <w:highlight w:val="none"/>
        </w:rPr>
        <w:t>甲方</w:t>
      </w:r>
      <w:r>
        <w:rPr>
          <w:rFonts w:hint="eastAsia" w:ascii="宋体" w:hAnsi="宋体" w:eastAsia="宋体" w:cs="宋体"/>
          <w:color w:val="auto"/>
          <w:highlight w:val="none"/>
          <w:lang w:val="zh-CN"/>
        </w:rPr>
        <w:t>提交</w:t>
      </w:r>
      <w:r>
        <w:rPr>
          <w:rFonts w:hint="eastAsia" w:ascii="宋体" w:hAnsi="宋体" w:eastAsia="宋体" w:cs="宋体"/>
          <w:color w:val="auto"/>
          <w:highlight w:val="none"/>
        </w:rPr>
        <w:t>合同金额的</w:t>
      </w:r>
      <w:r>
        <w:rPr>
          <w:rFonts w:hint="eastAsia" w:cs="宋体"/>
          <w:color w:val="auto"/>
          <w:highlight w:val="none"/>
          <w:lang w:val="en-US" w:eastAsia="zh-CN"/>
        </w:rPr>
        <w:t>1</w:t>
      </w:r>
      <w:r>
        <w:rPr>
          <w:rFonts w:hint="eastAsia" w:ascii="宋体" w:hAnsi="宋体" w:eastAsia="宋体" w:cs="宋体"/>
          <w:color w:val="auto"/>
          <w:highlight w:val="none"/>
        </w:rPr>
        <w:t>%作为履约</w:t>
      </w:r>
      <w:r>
        <w:rPr>
          <w:rFonts w:hint="eastAsia" w:ascii="宋体" w:hAnsi="宋体" w:eastAsia="宋体" w:cs="宋体"/>
          <w:color w:val="auto"/>
          <w:highlight w:val="none"/>
          <w:lang w:val="zh-CN"/>
        </w:rPr>
        <w:t>保证金</w:t>
      </w:r>
      <w:r>
        <w:rPr>
          <w:rFonts w:hint="eastAsia" w:ascii="宋体" w:hAnsi="宋体" w:eastAsia="宋体" w:cs="宋体"/>
          <w:color w:val="auto"/>
          <w:highlight w:val="none"/>
        </w:rPr>
        <w:t>（现金、转账或保函形式均可），项目验收合格</w:t>
      </w:r>
      <w:r>
        <w:rPr>
          <w:rFonts w:hint="eastAsia" w:ascii="宋体" w:hAnsi="宋体" w:eastAsia="宋体" w:cs="宋体"/>
          <w:color w:val="auto"/>
          <w:highlight w:val="none"/>
          <w:lang w:val="zh-CN"/>
        </w:rPr>
        <w:t>后7个工作日内退还</w:t>
      </w:r>
      <w:r>
        <w:rPr>
          <w:rFonts w:hint="eastAsia" w:ascii="宋体" w:hAnsi="宋体" w:eastAsia="宋体" w:cs="宋体"/>
          <w:color w:val="auto"/>
          <w:highlight w:val="none"/>
        </w:rPr>
        <w:t>或解除保函</w:t>
      </w:r>
      <w:r>
        <w:rPr>
          <w:rFonts w:hint="eastAsia" w:ascii="宋体" w:hAnsi="宋体" w:eastAsia="宋体" w:cs="宋体"/>
          <w:color w:val="auto"/>
          <w:highlight w:val="none"/>
          <w:lang w:val="zh-CN"/>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第八条：付款方式</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2、项目初验通过后，支付合同金额的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3、项目终验通过后，支付合同金额的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4、剩余合同金额的1.5%</w:t>
      </w:r>
      <w:r>
        <w:rPr>
          <w:rFonts w:hint="eastAsia" w:ascii="宋体" w:hAnsi="宋体" w:cs="宋体"/>
          <w:color w:val="auto"/>
          <w:sz w:val="24"/>
          <w:szCs w:val="24"/>
          <w:highlight w:val="none"/>
          <w:lang w:val="en-US" w:eastAsia="zh-CN"/>
        </w:rPr>
        <w:t>为质量保证金</w:t>
      </w:r>
      <w:r>
        <w:rPr>
          <w:rFonts w:hint="eastAsia" w:ascii="宋体" w:hAnsi="宋体" w:eastAsia="宋体" w:cs="宋体"/>
          <w:color w:val="auto"/>
          <w:sz w:val="24"/>
          <w:szCs w:val="24"/>
          <w:highlight w:val="none"/>
          <w:lang w:val="en-US" w:eastAsia="zh-CN"/>
        </w:rPr>
        <w:t>，项目3年质保期结束后支付。</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以上款项支付期限为资金到位且收到供应商提交的对应金额正式</w:t>
      </w:r>
      <w:r>
        <w:rPr>
          <w:rFonts w:hint="eastAsia" w:ascii="宋体" w:hAnsi="宋体" w:eastAsia="宋体" w:cs="宋体"/>
          <w:color w:val="auto"/>
          <w:sz w:val="24"/>
          <w:szCs w:val="24"/>
          <w:highlight w:val="none"/>
          <w:lang w:val="en-US" w:eastAsia="zh-CN"/>
        </w:rPr>
        <w:t>增值税专用</w:t>
      </w:r>
      <w:r>
        <w:rPr>
          <w:rFonts w:hint="eastAsia" w:ascii="宋体" w:hAnsi="宋体" w:eastAsia="宋体" w:cs="宋体"/>
          <w:color w:val="auto"/>
          <w:sz w:val="24"/>
          <w:szCs w:val="24"/>
          <w:highlight w:val="none"/>
        </w:rPr>
        <w:t>发票后7个工作日内支付。</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第九条：转包或分包</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1.本合同范围的建设服务内容，应由乙方直接供应，不得转让他人供应；</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2.除非得到甲方的书面同意，乙方不得将本合同范围的建设服务全部或部分分包给他人供应；</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第十条：验收</w:t>
      </w:r>
    </w:p>
    <w:p>
      <w:pPr>
        <w:pStyle w:val="14"/>
        <w:snapToGrid w:val="0"/>
        <w:spacing w:before="120" w:after="120" w:line="360" w:lineRule="auto"/>
        <w:ind w:firstLine="480" w:firstLineChars="200"/>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软件：</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1.</w:t>
      </w:r>
      <w:r>
        <w:rPr>
          <w:rFonts w:hint="eastAsia" w:hAnsi="宋体" w:cs="宋体"/>
          <w:b w:val="0"/>
          <w:bCs/>
          <w:color w:val="auto"/>
          <w:sz w:val="24"/>
          <w:highlight w:val="none"/>
          <w:lang w:val="zh-CN"/>
        </w:rPr>
        <w:t>项目初验前，</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应首先对系统进行自测，并将系统自测报告提交</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和监理方审查。</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依本合同约定向</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提交成果及相关文档，并向</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提出初验申请。</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接到</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初验申请后，组织相关单位进行初验，</w:t>
      </w:r>
      <w:r>
        <w:rPr>
          <w:rFonts w:hint="eastAsia" w:hAnsi="宋体" w:cs="宋体"/>
          <w:b w:val="0"/>
          <w:bCs/>
          <w:color w:val="auto"/>
          <w:sz w:val="24"/>
          <w:highlight w:val="none"/>
          <w:lang w:val="en-US" w:eastAsia="zh-CN"/>
        </w:rPr>
        <w:t>初验结果应符合甲方需求、投标承诺及相关的国家标准，</w:t>
      </w:r>
      <w:r>
        <w:rPr>
          <w:rFonts w:hint="eastAsia" w:hAnsi="宋体" w:cs="宋体"/>
          <w:b w:val="0"/>
          <w:bCs/>
          <w:color w:val="auto"/>
          <w:sz w:val="24"/>
          <w:highlight w:val="none"/>
          <w:lang w:val="zh-CN"/>
        </w:rPr>
        <w:t>初验合格后联合签署初验报告</w:t>
      </w:r>
      <w:r>
        <w:rPr>
          <w:rFonts w:hint="eastAsia" w:hAnsi="宋体"/>
          <w:b w:val="0"/>
          <w:bCs/>
          <w:color w:val="auto"/>
          <w:sz w:val="24"/>
          <w:highlight w:val="none"/>
        </w:rPr>
        <w:t>。</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2.</w:t>
      </w:r>
      <w:r>
        <w:rPr>
          <w:rFonts w:hint="eastAsia" w:hAnsi="宋体" w:cs="宋体"/>
          <w:b w:val="0"/>
          <w:bCs/>
          <w:color w:val="auto"/>
          <w:sz w:val="24"/>
          <w:highlight w:val="none"/>
          <w:lang w:val="zh-CN"/>
        </w:rPr>
        <w:t>初验合格后，系统进入试运行，试运行时间为3个月</w:t>
      </w:r>
      <w:r>
        <w:rPr>
          <w:rFonts w:hint="eastAsia" w:hAnsi="宋体"/>
          <w:b w:val="0"/>
          <w:bCs/>
          <w:color w:val="auto"/>
          <w:sz w:val="24"/>
          <w:highlight w:val="none"/>
        </w:rPr>
        <w:t>。</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3.</w:t>
      </w:r>
      <w:r>
        <w:rPr>
          <w:rFonts w:hint="eastAsia" w:hAnsi="宋体" w:cs="宋体"/>
          <w:b w:val="0"/>
          <w:bCs/>
          <w:color w:val="auto"/>
          <w:sz w:val="24"/>
          <w:highlight w:val="none"/>
          <w:lang w:val="zh-CN"/>
        </w:rPr>
        <w:t>系统通过试运行</w:t>
      </w:r>
      <w:r>
        <w:rPr>
          <w:rFonts w:hint="eastAsia" w:hAnsi="宋体" w:cs="宋体"/>
          <w:b w:val="0"/>
          <w:bCs/>
          <w:color w:val="auto"/>
          <w:sz w:val="24"/>
          <w:highlight w:val="none"/>
          <w:lang w:val="en-US" w:eastAsia="zh-CN"/>
        </w:rPr>
        <w:t>并满足甲方需求、投标承诺及相关的国家标准</w:t>
      </w:r>
      <w:r>
        <w:rPr>
          <w:rFonts w:hint="eastAsia" w:hAnsi="宋体" w:cs="宋体"/>
          <w:b w:val="0"/>
          <w:bCs/>
          <w:color w:val="auto"/>
          <w:sz w:val="24"/>
          <w:highlight w:val="none"/>
          <w:lang w:val="zh-CN"/>
        </w:rPr>
        <w:t>后，</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向甲方提出终验申请，甲方组织相关单位进行系统的终验。系统终验通过，进入正式运行阶段。系统终验合格的条件必须至少满足以下要求：已提供了合同要求的全部设备、软件和资料；试运行时性能满足合同</w:t>
      </w:r>
      <w:r>
        <w:rPr>
          <w:rFonts w:hint="eastAsia" w:hAnsi="宋体" w:cs="宋体"/>
          <w:b w:val="0"/>
          <w:bCs/>
          <w:color w:val="auto"/>
          <w:sz w:val="24"/>
          <w:highlight w:val="none"/>
          <w:lang w:val="en-US" w:eastAsia="zh-CN"/>
        </w:rPr>
        <w:t>及甲方</w:t>
      </w:r>
      <w:r>
        <w:rPr>
          <w:rFonts w:hint="eastAsia" w:hAnsi="宋体" w:cs="宋体"/>
          <w:b w:val="0"/>
          <w:bCs/>
          <w:color w:val="auto"/>
          <w:sz w:val="24"/>
          <w:highlight w:val="none"/>
          <w:lang w:val="zh-CN"/>
        </w:rPr>
        <w:t>要求；性能测试和试运行验收时出现的问题已被解决</w:t>
      </w:r>
      <w:r>
        <w:rPr>
          <w:rFonts w:hint="eastAsia" w:hAnsi="宋体" w:cs="宋体"/>
          <w:b w:val="0"/>
          <w:bCs/>
          <w:color w:val="auto"/>
          <w:sz w:val="24"/>
          <w:highlight w:val="none"/>
          <w:lang w:val="en-US" w:eastAsia="zh-CN"/>
        </w:rPr>
        <w:t>；符合国家的相关标准；通过系统测评和等保测评</w:t>
      </w:r>
      <w:r>
        <w:rPr>
          <w:rFonts w:hint="eastAsia" w:hAnsi="宋体"/>
          <w:b w:val="0"/>
          <w:bCs/>
          <w:color w:val="auto"/>
          <w:sz w:val="24"/>
          <w:highlight w:val="none"/>
        </w:rPr>
        <w:t>。</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4</w:t>
      </w:r>
      <w:r>
        <w:rPr>
          <w:rFonts w:hint="eastAsia" w:hAnsi="宋体"/>
          <w:b w:val="0"/>
          <w:bCs/>
          <w:color w:val="auto"/>
          <w:sz w:val="24"/>
          <w:highlight w:val="none"/>
        </w:rPr>
        <w:t>.验收通过标准：</w:t>
      </w:r>
      <w:r>
        <w:rPr>
          <w:rFonts w:hint="eastAsia" w:hAnsi="宋体" w:cs="宋体"/>
          <w:b w:val="0"/>
          <w:bCs/>
          <w:color w:val="auto"/>
          <w:sz w:val="24"/>
          <w:highlight w:val="none"/>
          <w:lang w:val="zh-CN"/>
        </w:rPr>
        <w:t>按照采购文件</w:t>
      </w:r>
      <w:r>
        <w:rPr>
          <w:rFonts w:hint="eastAsia" w:hAnsi="宋体" w:cs="宋体"/>
          <w:b w:val="0"/>
          <w:bCs/>
          <w:color w:val="auto"/>
          <w:sz w:val="24"/>
          <w:highlight w:val="none"/>
          <w:lang w:val="en-US" w:eastAsia="zh-CN"/>
        </w:rPr>
        <w:t>及投标文件</w:t>
      </w:r>
      <w:r>
        <w:rPr>
          <w:rFonts w:hint="eastAsia" w:hAnsi="宋体" w:cs="宋体"/>
          <w:b w:val="0"/>
          <w:bCs/>
          <w:color w:val="auto"/>
          <w:sz w:val="24"/>
          <w:highlight w:val="none"/>
          <w:lang w:val="zh-CN"/>
        </w:rPr>
        <w:t>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招标人认为需要的其他材料。</w:t>
      </w:r>
      <w:r>
        <w:rPr>
          <w:rFonts w:hint="eastAsia" w:hAnsi="宋体"/>
          <w:b w:val="0"/>
          <w:bCs/>
          <w:color w:val="auto"/>
          <w:sz w:val="24"/>
          <w:highlight w:val="none"/>
        </w:rPr>
        <w:t>系统稳定运行，验收文档齐全，出具第三方软件测试报告（要求加盖C</w:t>
      </w:r>
      <w:r>
        <w:rPr>
          <w:rFonts w:hAnsi="宋体"/>
          <w:b w:val="0"/>
          <w:bCs/>
          <w:color w:val="auto"/>
          <w:sz w:val="24"/>
          <w:highlight w:val="none"/>
        </w:rPr>
        <w:t>MA</w:t>
      </w:r>
      <w:r>
        <w:rPr>
          <w:rFonts w:hint="eastAsia" w:hAnsi="宋体"/>
          <w:b w:val="0"/>
          <w:bCs/>
          <w:color w:val="auto"/>
          <w:sz w:val="24"/>
          <w:highlight w:val="none"/>
        </w:rPr>
        <w:t>），通过信息系统安全等级保护</w:t>
      </w:r>
      <w:r>
        <w:rPr>
          <w:rFonts w:hint="eastAsia" w:hAnsi="宋体"/>
          <w:b w:val="0"/>
          <w:bCs/>
          <w:color w:val="auto"/>
          <w:sz w:val="24"/>
          <w:highlight w:val="none"/>
          <w:lang w:val="en-US" w:eastAsia="zh-CN"/>
        </w:rPr>
        <w:t>二</w:t>
      </w:r>
      <w:r>
        <w:rPr>
          <w:rFonts w:hint="eastAsia" w:hAnsi="宋体"/>
          <w:b w:val="0"/>
          <w:bCs/>
          <w:color w:val="auto"/>
          <w:sz w:val="24"/>
          <w:highlight w:val="none"/>
        </w:rPr>
        <w:t>级测评。</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5</w:t>
      </w:r>
      <w:r>
        <w:rPr>
          <w:rFonts w:hint="eastAsia" w:hAnsi="宋体"/>
          <w:b w:val="0"/>
          <w:bCs/>
          <w:color w:val="auto"/>
          <w:sz w:val="24"/>
          <w:highlight w:val="none"/>
        </w:rPr>
        <w:t>.验收时乙方必须在现场，验收完毕后作出验收结果报告。</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6</w:t>
      </w:r>
      <w:r>
        <w:rPr>
          <w:rFonts w:hint="eastAsia" w:hAnsi="宋体"/>
          <w:b w:val="0"/>
          <w:bCs/>
          <w:color w:val="auto"/>
          <w:sz w:val="24"/>
          <w:highlight w:val="none"/>
        </w:rPr>
        <w:t>.验收费用由乙方负责。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硬件：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1、甲方对乙方所交产品依照招标文件的技术需求标准的进行验收。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2、甲方可组织专家对乙方所交产品依照招标文件上的技术规格要求进行现场验收，性能达到招标文件中所规定的技术要求并提供检测报告技术参数、产品合格证及使用说明。验收不合格的不予签收，后果由乙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3、甲方应在调试完毕之日起 30 个工作日内验收完毕，并作出验收结果报告,验收时乙方必须在现场。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eastAsia="宋体"/>
          <w:highlight w:val="none"/>
          <w:lang w:val="en-US" w:eastAsia="zh-CN"/>
        </w:rPr>
      </w:pPr>
      <w:r>
        <w:rPr>
          <w:rFonts w:hint="eastAsia" w:ascii="宋体" w:hAnsi="宋体" w:eastAsia="宋体" w:cstheme="minorBidi"/>
          <w:b w:val="0"/>
          <w:bCs/>
          <w:color w:val="auto"/>
          <w:kern w:val="2"/>
          <w:sz w:val="24"/>
          <w:szCs w:val="24"/>
          <w:highlight w:val="none"/>
          <w:lang w:val="en-US" w:eastAsia="zh-CN" w:bidi="ar-SA"/>
        </w:rPr>
        <w:t>4、验收费用由中标供应商负责。</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第十一条：项目培训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提供系统使用、系统操作和管理维护培训，培训形式包括客户现场培训、课堂培训；</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必须列明相应的培训课程。</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应在投标文件中提供详细的培训计划，包括培训项目、人数、地点、日程、资料、其它等详细内容，为所有被培训人员提供培训用文字资料和讲义等相关用品。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技术培训的内容必须包含软件的日常操作和管理维护，以及基本的故障诊断与排错。</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培训人员必须是公司的资深工程师。</w:t>
      </w:r>
    </w:p>
    <w:p>
      <w:pPr>
        <w:snapToGrid w:val="0"/>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US" w:eastAsia="zh-CN"/>
        </w:rPr>
        <w:t>4.乙方</w:t>
      </w:r>
      <w:r>
        <w:rPr>
          <w:rFonts w:hint="eastAsia" w:ascii="宋体" w:hAnsi="宋体" w:cs="宋体"/>
          <w:color w:val="auto"/>
          <w:sz w:val="24"/>
          <w:highlight w:val="none"/>
          <w:lang w:val="en-GB"/>
        </w:rPr>
        <w:t>提供总计不少于10人日的培训服务。</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确保</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参与本项目后期相关的运维人员都能掌握本次建设平台的日常操作和管理维护，以及基本的故障诊断与排错。</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培训工作必须在合同生效之后系统试运行之前安排。</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所有培训费用（含培训教材费），已包括在投标总价中。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实际培训时间、人数和地点按</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商定的为准。</w:t>
      </w:r>
    </w:p>
    <w:p>
      <w:pPr>
        <w:snapToGrid w:val="0"/>
        <w:spacing w:line="360" w:lineRule="auto"/>
        <w:ind w:firstLine="480" w:firstLineChars="200"/>
        <w:rPr>
          <w:rFonts w:hint="eastAsia" w:hAnsi="宋体"/>
          <w:color w:val="auto"/>
          <w:sz w:val="24"/>
          <w:highlight w:val="none"/>
          <w:lang w:val="en-US" w:eastAsia="zh-CN"/>
        </w:rPr>
      </w:pPr>
      <w:r>
        <w:rPr>
          <w:rFonts w:hint="eastAsia" w:ascii="宋体" w:hAnsi="宋体" w:cs="宋体"/>
          <w:color w:val="auto"/>
          <w:sz w:val="24"/>
          <w:highlight w:val="none"/>
          <w:lang w:val="en-US" w:eastAsia="zh-CN"/>
        </w:rPr>
        <w:t>9.甲方</w:t>
      </w:r>
      <w:r>
        <w:rPr>
          <w:rFonts w:hint="eastAsia" w:ascii="宋体" w:hAnsi="宋体" w:cs="宋体"/>
          <w:color w:val="auto"/>
          <w:sz w:val="24"/>
          <w:highlight w:val="none"/>
        </w:rPr>
        <w:t>委派2人以上人员进行专员培训，全程参与项目开发过程学习。</w:t>
      </w:r>
    </w:p>
    <w:p>
      <w:pPr>
        <w:pStyle w:val="14"/>
        <w:snapToGrid w:val="0"/>
        <w:spacing w:before="120" w:after="120" w:line="360" w:lineRule="auto"/>
        <w:ind w:firstLine="482" w:firstLineChars="200"/>
        <w:rPr>
          <w:rFonts w:hAnsi="宋体" w:cs="宋体"/>
          <w:b/>
          <w:bCs/>
          <w:color w:val="auto"/>
          <w:sz w:val="24"/>
          <w:highlight w:val="none"/>
          <w:lang w:val="en-US" w:eastAsia="zh-CN"/>
        </w:rPr>
      </w:pPr>
      <w:r>
        <w:rPr>
          <w:rFonts w:hint="eastAsia" w:hAnsi="宋体" w:cs="宋体"/>
          <w:b/>
          <w:bCs/>
          <w:color w:val="auto"/>
          <w:sz w:val="24"/>
          <w:highlight w:val="none"/>
        </w:rPr>
        <w:t>第十</w:t>
      </w:r>
      <w:r>
        <w:rPr>
          <w:rFonts w:hint="eastAsia" w:hAnsi="宋体" w:cs="宋体"/>
          <w:b/>
          <w:bCs/>
          <w:color w:val="auto"/>
          <w:sz w:val="24"/>
          <w:highlight w:val="none"/>
          <w:lang w:val="en-US" w:eastAsia="zh-CN"/>
        </w:rPr>
        <w:t>二</w:t>
      </w:r>
      <w:r>
        <w:rPr>
          <w:rFonts w:hint="eastAsia" w:hAnsi="宋体" w:cs="宋体"/>
          <w:b/>
          <w:bCs/>
          <w:color w:val="auto"/>
          <w:sz w:val="24"/>
          <w:highlight w:val="none"/>
        </w:rPr>
        <w:t>条：</w:t>
      </w:r>
      <w:r>
        <w:rPr>
          <w:rFonts w:hint="eastAsia" w:hAnsi="宋体" w:cs="宋体"/>
          <w:b/>
          <w:bCs/>
          <w:color w:val="auto"/>
          <w:sz w:val="24"/>
          <w:highlight w:val="none"/>
          <w:lang w:val="en-US" w:eastAsia="zh-CN"/>
        </w:rPr>
        <w:t>质量保证及售后服务</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应保证对软件系统提供</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年的维护期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对硬件提供3年质保期</w:t>
      </w:r>
      <w:r>
        <w:rPr>
          <w:rFonts w:hint="eastAsia" w:ascii="宋体" w:hAnsi="宋体" w:cs="宋体"/>
          <w:b w:val="0"/>
          <w:bCs w:val="0"/>
          <w:color w:val="auto"/>
          <w:sz w:val="24"/>
          <w:highlight w:val="none"/>
        </w:rPr>
        <w:t>。</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在维护期内由于系统本身质量原因造成的任何故障，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须免费负责优化完善。</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质量保证期自项目最终验收合格之日开始计算；质量保证期内，在接到系统故障通知后，</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必须在15分钟内响应。对于影响平台系统正常运行的严重故障，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人员驻点：本项目自合同签订起提供</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人驻场开发服务并保持人员稳定，在项目终验后至少提供</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人的</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rPr>
        <w:t>年驻场支持服务。驻场人员应和</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工作时间保持同步，并接受</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日常考核，如考核不达标，按以下条款进行处罚：①缺岗时间每1个工作日/人，扣除450元作为违约金；②</w:t>
      </w:r>
      <w:r>
        <w:rPr>
          <w:rFonts w:hint="eastAsia" w:ascii="宋体" w:hAnsi="宋体" w:cs="宋体"/>
          <w:b w:val="0"/>
          <w:bCs w:val="0"/>
          <w:color w:val="auto"/>
          <w:sz w:val="24"/>
          <w:highlight w:val="none"/>
          <w:lang w:val="en-US" w:eastAsia="zh-CN"/>
        </w:rPr>
        <w:t>一年驻场</w:t>
      </w:r>
      <w:r>
        <w:rPr>
          <w:rFonts w:hint="eastAsia" w:ascii="宋体" w:hAnsi="宋体" w:cs="宋体"/>
          <w:b w:val="0"/>
          <w:bCs w:val="0"/>
          <w:color w:val="auto"/>
          <w:sz w:val="24"/>
          <w:highlight w:val="none"/>
        </w:rPr>
        <w:t>期间，因驻场服务人员明显工作履职不到位，导致数据接入、治理、共享服务等任一环节出现重大失误的，每发生一次扣除项目维护费用1000元。</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5</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为保证系统正常、安全地运行，技术支持力量和优良的服务是系统正常、安全运行的保障。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应据此制定系统详细的技术支持与服务方案，包括服务内容、服务方式、服务响应时间、应急措施及组织结构等。</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6</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质量保证期结束后，</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应保证以优惠价格优先对</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进行系统技术支持和维护。</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7</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应提供电话免费咨询服务。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第十三条：违约责任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1.甲方无正当理由拒收成果的，甲方向乙方偿付拒收合同总价的5%违约金。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2.甲方无故逾期验收和办理货款支付手续的,甲方应按逾期付款总额每日万分之五向乙方支付违约金。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逾期完成本项目阶段内容及采购文件要求(甲方函件要求新增或减少的功能点除外）的，乙方应按逾期完成总额每日千分之六向甲方支付违约金，由甲方从合同支付款中扣除；逾期超过约定日期10个工作日不能提交工作成果的，甲方可解除本合同，并不承担任何法律责任，造成的一切损失由乙方承担；乙方因逾期交付或因其他违约行为导致甲方解除合同的，乙方应向甲方支付合同总价5%的违约金，如造成甲方损失超过违约金的，超出部分由乙方继续承担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所交的项目建设内容不符合合同规定及采购文件规定要求的，致使无法满足甲方需求，甲方有权拒收该成果，乙方愿意整改调试但逾期交付的，按乙方逾期交付处理。乙方拒绝整改调试的，甲方可单方面解除合同，并不承担任何法律责任，所造成的一切损失由乙方承担，拒绝支付合同剩余所有款项及没收履约保证金（如仍在履约期内的情况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5.实施阶段或</w:t>
      </w:r>
      <w:r>
        <w:rPr>
          <w:rFonts w:hint="eastAsia" w:ascii="宋体" w:hAnsi="宋体" w:cs="宋体"/>
          <w:color w:val="auto"/>
          <w:sz w:val="24"/>
          <w:highlight w:val="none"/>
          <w:lang w:val="en-US" w:eastAsia="zh-CN"/>
        </w:rPr>
        <w:t>驻场期</w:t>
      </w:r>
      <w:r>
        <w:rPr>
          <w:rFonts w:hint="eastAsia" w:ascii="宋体" w:hAnsi="宋体" w:cs="宋体"/>
          <w:color w:val="auto"/>
          <w:sz w:val="24"/>
          <w:highlight w:val="none"/>
        </w:rPr>
        <w:t>间，如发现无驻场人员在场，每次扣500元。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项目合作期间，如甲方对业务存在疑问，需要乙方进行实地培训，在告知函发出后3天内仍未组织人员到场培训的，每延迟1天扣500元；延迟至第45天，乙方仍未组织人员到场培训的，甲方有权单方面终止合同，并不承担任何法律责任，造成的一切损失由乙方承担，拒绝支付合同剩余所有款项及没收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在项目合作期间，如发生系统问题，乙方应在4小时内解决。解决时间每延迟4小时扣500元；延迟超过3天仍未解决的，甲方有权单方面终止合同，并不承担任何法律责任，造成的一切损失由乙方承担，并拒绝支付剩余所有款项及没收履约保证金（如仍在履约期内的情况下）。</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szCs w:val="32"/>
          <w:highlight w:val="none"/>
        </w:rPr>
        <w:t>8.</w:t>
      </w:r>
      <w:r>
        <w:rPr>
          <w:rFonts w:hint="eastAsia" w:hAnsi="宋体"/>
          <w:color w:val="auto"/>
          <w:sz w:val="24"/>
          <w:highlight w:val="none"/>
          <w:lang w:val="zh-CN"/>
        </w:rPr>
        <w:t>系统保质期内故障</w:t>
      </w:r>
      <w:r>
        <w:rPr>
          <w:rFonts w:hint="eastAsia" w:hAnsi="宋体"/>
          <w:color w:val="auto"/>
          <w:sz w:val="24"/>
          <w:highlight w:val="none"/>
        </w:rPr>
        <w:t>累计持续时间</w:t>
      </w:r>
      <w:r>
        <w:rPr>
          <w:rFonts w:hint="eastAsia" w:hAnsi="宋体"/>
          <w:color w:val="auto"/>
          <w:sz w:val="24"/>
          <w:highlight w:val="none"/>
          <w:lang w:val="zh-CN"/>
        </w:rPr>
        <w:t>不得超过5天，</w:t>
      </w:r>
      <w:r>
        <w:rPr>
          <w:rFonts w:hint="eastAsia" w:ascii="宋体" w:hAnsi="宋体" w:cs="宋体"/>
          <w:color w:val="auto"/>
          <w:sz w:val="24"/>
          <w:highlight w:val="none"/>
          <w:lang w:val="zh-CN"/>
        </w:rPr>
        <w:t>如达不到要求，每超过一天</w:t>
      </w:r>
      <w:r>
        <w:rPr>
          <w:rFonts w:hint="eastAsia" w:ascii="宋体" w:hAnsi="宋体" w:cs="宋体"/>
          <w:color w:val="auto"/>
          <w:sz w:val="24"/>
          <w:highlight w:val="none"/>
        </w:rPr>
        <w:t>扣500元</w:t>
      </w:r>
      <w:r>
        <w:rPr>
          <w:rFonts w:hint="eastAsia" w:ascii="宋体" w:hAnsi="宋体" w:cs="宋体"/>
          <w:color w:val="auto"/>
          <w:sz w:val="24"/>
          <w:highlight w:val="none"/>
          <w:lang w:val="zh-CN"/>
        </w:rPr>
        <w:t>，质保期相应延长10天。保质期内因系统本身缺陷造成各种故障应由</w:t>
      </w:r>
      <w:r>
        <w:rPr>
          <w:rFonts w:hint="eastAsia" w:ascii="宋体" w:hAnsi="宋体" w:cs="宋体"/>
          <w:color w:val="auto"/>
          <w:sz w:val="24"/>
          <w:highlight w:val="none"/>
        </w:rPr>
        <w:t>乙方</w:t>
      </w:r>
      <w:r>
        <w:rPr>
          <w:rFonts w:hint="eastAsia" w:ascii="宋体" w:hAnsi="宋体" w:cs="宋体"/>
          <w:color w:val="auto"/>
          <w:sz w:val="24"/>
          <w:highlight w:val="none"/>
          <w:lang w:val="zh-CN"/>
        </w:rPr>
        <w:t>免费技术服务和维修。</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szCs w:val="32"/>
          <w:highlight w:val="none"/>
        </w:rPr>
        <w:t>乙方提供的系统质</w:t>
      </w:r>
      <w:r>
        <w:rPr>
          <w:rFonts w:hint="eastAsia" w:ascii="宋体" w:hAnsi="宋体" w:cs="宋体"/>
          <w:color w:val="auto"/>
          <w:sz w:val="24"/>
          <w:highlight w:val="none"/>
          <w:lang w:val="zh-CN"/>
        </w:rPr>
        <w:t>量低于国家标准规定的，由国家相关部门依法处理。若高于国家标准但不符采购文件规定要求的，参照上一条约定情形办理。</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.若发生纠纷，由违约方赔偿守约方因纠纷所支付的费用（包括但不限于律师费、差旅费、诉讼费、保全费、鉴定费、评估费等）。</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11.乙方在质保期内无条件承担硬件设备流量卡相关费用。</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12.乙方须接入台州警航无人机指挥管控平台，在平台端实现超视距控制，如未达到，甲方有权解除合同，乙方无条件承担相关造成的损失费用。</w:t>
      </w:r>
    </w:p>
    <w:p>
      <w:pPr>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第十四条：保密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保证对本协议、以及本协议期间知悉的商业机密或专有信息承担保密责任，未经甲方事先书面同意，在本协议履行期间以及本协议履行完毕或因任何原因终止后，乙方均不得向任何第三方进行披露。但非因乙方或其指派人员行为，有关商业机密或专有信息已为公众所知，以及根据中国法律乙方有义务进行披露的情况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乙方保证按照行业公认的业务标准、道德规范和勤勉尽责精神，履行本协议项下的相关义务。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第十五条：不可抗力事件处理</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1.在合同有效期内，任何一方因不可抗力事件导致不能履行合同，则合同履行期可延长，其延长期与不可抗力影响期相同。</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2.不可抗力事件发生后，应立即通知对方，并寄送有关权威机构出具的证明。</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3.不可抗力事件延续120天以上，双方应通过友好协商，确定是否继续履行合同。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第十六条：解决争议的方法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pPr>
        <w:pStyle w:val="14"/>
        <w:adjustRightInd w:val="0"/>
        <w:snapToGrid w:val="0"/>
        <w:spacing w:before="156" w:after="156" w:line="460" w:lineRule="exact"/>
        <w:ind w:right="210" w:rightChars="100"/>
        <w:rPr>
          <w:rStyle w:val="82"/>
          <w:rFonts w:hint="eastAsia" w:ascii="宋体" w:hAnsi="宋体" w:eastAsia="宋体" w:cs="宋体"/>
          <w:b w:val="0"/>
          <w:color w:val="auto"/>
          <w:sz w:val="24"/>
          <w:szCs w:val="24"/>
          <w:highlight w:val="none"/>
        </w:rPr>
      </w:pPr>
      <w:r>
        <w:rPr>
          <w:rFonts w:hint="eastAsia" w:hAnsi="宋体" w:cs="宋体"/>
          <w:b/>
          <w:bCs/>
          <w:color w:val="auto"/>
          <w:sz w:val="24"/>
          <w:highlight w:val="none"/>
        </w:rPr>
        <w:t>第十</w:t>
      </w:r>
      <w:r>
        <w:rPr>
          <w:rFonts w:hint="eastAsia" w:hAnsi="宋体" w:cs="宋体"/>
          <w:b/>
          <w:bCs/>
          <w:color w:val="auto"/>
          <w:sz w:val="24"/>
          <w:highlight w:val="none"/>
          <w:lang w:val="en-US" w:eastAsia="zh-CN"/>
        </w:rPr>
        <w:t>七</w:t>
      </w:r>
      <w:r>
        <w:rPr>
          <w:rFonts w:hint="eastAsia" w:hAnsi="宋体" w:cs="宋体"/>
          <w:b/>
          <w:bCs/>
          <w:color w:val="auto"/>
          <w:sz w:val="24"/>
          <w:highlight w:val="none"/>
        </w:rPr>
        <w:t>条：</w:t>
      </w:r>
      <w:r>
        <w:rPr>
          <w:rStyle w:val="82"/>
          <w:rFonts w:hint="eastAsia" w:ascii="宋体" w:hAnsi="宋体" w:eastAsia="宋体" w:cs="宋体"/>
          <w:b w:val="0"/>
          <w:color w:val="auto"/>
          <w:sz w:val="24"/>
          <w:szCs w:val="24"/>
          <w:highlight w:val="none"/>
        </w:rPr>
        <w:t>产权担保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乙方保证所交付的软件系统的所有权完全属于乙方且无任何抵押、查封等产权瑕疵。</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第十八条：合同生效及其它</w:t>
      </w:r>
      <w:r>
        <w:rPr>
          <w:rFonts w:hint="eastAsia" w:ascii="宋体" w:hAnsi="宋体" w:cs="宋体"/>
          <w:b/>
          <w:bCs/>
          <w:color w:val="auto"/>
          <w:sz w:val="24"/>
          <w:highlight w:val="none"/>
        </w:rPr>
        <w:tab/>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1.合同经双方法定代表人或授权代表签字并加盖单位公章或合同专用章后生效。</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3.本合同一式六份</w:t>
      </w:r>
      <w:r>
        <w:rPr>
          <w:rFonts w:hint="eastAsia" w:ascii="宋体" w:hAnsi="宋体" w:cs="宋体"/>
          <w:color w:val="auto"/>
          <w:sz w:val="24"/>
          <w:highlight w:val="none"/>
          <w:lang w:eastAsia="zh-CN"/>
        </w:rPr>
        <w:t>，</w:t>
      </w:r>
      <w:r>
        <w:rPr>
          <w:rFonts w:hint="eastAsia" w:ascii="宋体" w:hAnsi="宋体" w:cs="宋体"/>
          <w:color w:val="auto"/>
          <w:sz w:val="24"/>
          <w:highlight w:val="none"/>
        </w:rPr>
        <w:t>甲、乙双方各执三份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具有同等法律效力</w:t>
      </w:r>
      <w:r>
        <w:rPr>
          <w:rFonts w:hint="eastAsia" w:ascii="宋体" w:hAnsi="宋体" w:cs="宋体"/>
          <w:color w:val="auto"/>
          <w:sz w:val="24"/>
          <w:highlight w:val="none"/>
        </w:rPr>
        <w:t>。</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4.本项目未尽事宜以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w:t>
      </w:r>
      <w:r>
        <w:rPr>
          <w:rFonts w:hint="eastAsia" w:ascii="宋体" w:hAnsi="宋体" w:cs="宋体"/>
          <w:color w:val="auto"/>
          <w:sz w:val="24"/>
          <w:highlight w:val="none"/>
          <w:lang w:eastAsia="zh-CN"/>
        </w:rPr>
        <w:t>采购响应文件</w:t>
      </w:r>
      <w:r>
        <w:rPr>
          <w:rFonts w:hint="eastAsia" w:ascii="宋体" w:hAnsi="宋体" w:cs="宋体"/>
          <w:color w:val="auto"/>
          <w:sz w:val="24"/>
          <w:highlight w:val="none"/>
        </w:rPr>
        <w:t>及澄清文件等为准，本合同中如有未尽事宜，由双方协商另行解决。</w:t>
      </w:r>
    </w:p>
    <w:tbl>
      <w:tblPr>
        <w:tblStyle w:val="25"/>
        <w:tblpPr w:leftFromText="180" w:rightFromText="180" w:vertAnchor="text" w:horzAnchor="page" w:tblpX="1104" w:tblpY="717"/>
        <w:tblOverlap w:val="never"/>
        <w:tblW w:w="5277" w:type="pct"/>
        <w:tblInd w:w="0" w:type="dxa"/>
        <w:tblLayout w:type="autofit"/>
        <w:tblCellMar>
          <w:top w:w="0" w:type="dxa"/>
          <w:left w:w="108" w:type="dxa"/>
          <w:bottom w:w="0" w:type="dxa"/>
          <w:right w:w="108" w:type="dxa"/>
        </w:tblCellMar>
      </w:tblPr>
      <w:tblGrid>
        <w:gridCol w:w="4906"/>
        <w:gridCol w:w="5015"/>
      </w:tblGrid>
      <w:tr>
        <w:tblPrEx>
          <w:tblCellMar>
            <w:top w:w="0" w:type="dxa"/>
            <w:left w:w="108" w:type="dxa"/>
            <w:bottom w:w="0" w:type="dxa"/>
            <w:right w:w="108" w:type="dxa"/>
          </w:tblCellMar>
        </w:tblPrEx>
        <w:trPr>
          <w:trHeight w:val="558" w:hRule="atLeast"/>
        </w:trPr>
        <w:tc>
          <w:tcPr>
            <w:tcW w:w="2472" w:type="pct"/>
            <w:noWrap/>
            <w:vAlign w:val="top"/>
          </w:tcPr>
          <w:p>
            <w:pPr>
              <w:spacing w:line="360" w:lineRule="auto"/>
              <w:ind w:left="729" w:leftChars="347" w:right="370" w:rightChars="176"/>
              <w:rPr>
                <w:rFonts w:hint="eastAsia" w:ascii="宋体" w:hAnsi="宋体" w:cs="宋体"/>
                <w:color w:val="auto"/>
                <w:sz w:val="24"/>
                <w:highlight w:val="none"/>
              </w:rPr>
            </w:pPr>
            <w:r>
              <w:rPr>
                <w:rFonts w:hint="eastAsia" w:ascii="宋体" w:hAnsi="宋体" w:cs="宋体"/>
                <w:color w:val="auto"/>
                <w:sz w:val="24"/>
                <w:highlight w:val="none"/>
              </w:rPr>
              <w:t>甲 方（盖章）：</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乙 方（盖章）：</w:t>
            </w:r>
          </w:p>
        </w:tc>
      </w:tr>
      <w:tr>
        <w:tblPrEx>
          <w:tblCellMar>
            <w:top w:w="0" w:type="dxa"/>
            <w:left w:w="108" w:type="dxa"/>
            <w:bottom w:w="0" w:type="dxa"/>
            <w:right w:w="108" w:type="dxa"/>
          </w:tblCellMar>
        </w:tblPrEx>
        <w:trPr>
          <w:trHeight w:val="936" w:hRule="atLeast"/>
        </w:trPr>
        <w:tc>
          <w:tcPr>
            <w:tcW w:w="2472" w:type="pct"/>
            <w:noWrap/>
            <w:vAlign w:val="top"/>
          </w:tcPr>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szCs w:val="32"/>
                <w:highlight w:val="none"/>
              </w:rPr>
              <w:t>法定代表人</w:t>
            </w:r>
          </w:p>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szCs w:val="32"/>
                <w:highlight w:val="none"/>
              </w:rPr>
              <w:t>或委托代理人（签章）</w:t>
            </w:r>
            <w:r>
              <w:rPr>
                <w:rFonts w:hint="eastAsia" w:ascii="宋体" w:hAnsi="宋体" w:cs="宋体"/>
                <w:color w:val="auto"/>
                <w:sz w:val="24"/>
                <w:highlight w:val="none"/>
              </w:rPr>
              <w:t>：</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法定代表人</w:t>
            </w:r>
          </w:p>
          <w:p>
            <w:pPr>
              <w:spacing w:line="360" w:lineRule="auto"/>
              <w:ind w:right="487" w:rightChars="232"/>
              <w:rPr>
                <w:rFonts w:hint="eastAsia" w:ascii="宋体" w:hAnsi="宋体" w:cs="宋体"/>
                <w:color w:val="auto"/>
                <w:highlight w:val="none"/>
              </w:rPr>
            </w:pPr>
            <w:r>
              <w:rPr>
                <w:rFonts w:hint="eastAsia" w:ascii="宋体" w:hAnsi="宋体" w:cs="宋体"/>
                <w:color w:val="auto"/>
                <w:sz w:val="24"/>
                <w:highlight w:val="none"/>
              </w:rPr>
              <w:t>或委托代理人（签章）：</w:t>
            </w:r>
          </w:p>
        </w:tc>
      </w:tr>
      <w:tr>
        <w:tblPrEx>
          <w:tblCellMar>
            <w:top w:w="0" w:type="dxa"/>
            <w:left w:w="108" w:type="dxa"/>
            <w:bottom w:w="0" w:type="dxa"/>
            <w:right w:w="108" w:type="dxa"/>
          </w:tblCellMar>
        </w:tblPrEx>
        <w:trPr>
          <w:trHeight w:val="498" w:hRule="atLeast"/>
        </w:trPr>
        <w:tc>
          <w:tcPr>
            <w:tcW w:w="2472" w:type="pct"/>
            <w:noWrap/>
            <w:vAlign w:val="top"/>
          </w:tcPr>
          <w:p>
            <w:pPr>
              <w:spacing w:line="360" w:lineRule="auto"/>
              <w:ind w:left="729" w:leftChars="347"/>
              <w:rPr>
                <w:rFonts w:hint="eastAsia" w:ascii="宋体" w:hAnsi="宋体" w:cs="宋体"/>
                <w:color w:val="auto"/>
                <w:highlight w:val="none"/>
              </w:rPr>
            </w:pPr>
            <w:r>
              <w:rPr>
                <w:rFonts w:hint="eastAsia" w:ascii="宋体" w:hAnsi="宋体" w:cs="宋体"/>
                <w:color w:val="auto"/>
                <w:sz w:val="24"/>
                <w:highlight w:val="none"/>
              </w:rPr>
              <w:t>电 话：</w:t>
            </w:r>
          </w:p>
        </w:tc>
        <w:tc>
          <w:tcPr>
            <w:tcW w:w="2527" w:type="pct"/>
            <w:noWrap/>
            <w:vAlign w:val="top"/>
          </w:tcPr>
          <w:p>
            <w:pPr>
              <w:spacing w:line="360" w:lineRule="auto"/>
              <w:ind w:right="487" w:rightChars="232"/>
              <w:rPr>
                <w:rFonts w:hint="eastAsia" w:ascii="宋体" w:hAnsi="宋体" w:cs="宋体"/>
                <w:color w:val="auto"/>
                <w:highlight w:val="none"/>
              </w:rPr>
            </w:pPr>
            <w:r>
              <w:rPr>
                <w:rFonts w:hint="eastAsia" w:ascii="宋体" w:hAnsi="宋体" w:cs="宋体"/>
                <w:color w:val="auto"/>
                <w:sz w:val="24"/>
                <w:highlight w:val="none"/>
              </w:rPr>
              <w:t>电 话：</w:t>
            </w:r>
          </w:p>
        </w:tc>
      </w:tr>
      <w:tr>
        <w:tblPrEx>
          <w:tblCellMar>
            <w:top w:w="0" w:type="dxa"/>
            <w:left w:w="108" w:type="dxa"/>
            <w:bottom w:w="0" w:type="dxa"/>
            <w:right w:w="108" w:type="dxa"/>
          </w:tblCellMar>
        </w:tblPrEx>
        <w:trPr>
          <w:trHeight w:val="636" w:hRule="atLeast"/>
        </w:trPr>
        <w:tc>
          <w:tcPr>
            <w:tcW w:w="2472" w:type="pct"/>
            <w:noWrap/>
            <w:vAlign w:val="top"/>
          </w:tcPr>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highlight w:val="none"/>
              </w:rPr>
              <w:t>日 期：    年   月    日</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日 期：    年   月    日</w:t>
            </w:r>
          </w:p>
        </w:tc>
      </w:tr>
    </w:tbl>
    <w:p>
      <w:pPr>
        <w:pStyle w:val="5"/>
        <w:numPr>
          <w:ilvl w:val="0"/>
          <w:numId w:val="0"/>
        </w:numPr>
        <w:spacing w:before="0" w:after="0" w:line="360" w:lineRule="auto"/>
        <w:ind w:left="425"/>
        <w:jc w:val="both"/>
        <w:rPr>
          <w:sz w:val="32"/>
          <w:szCs w:val="32"/>
        </w:rPr>
      </w:pPr>
    </w:p>
    <w:p>
      <w:pPr>
        <w:rPr>
          <w:rFonts w:ascii="仿宋" w:hAnsi="仿宋" w:eastAsia="仿宋" w:cs="仿宋"/>
        </w:rPr>
      </w:pPr>
      <w:r>
        <w:rPr>
          <w:rFonts w:hint="eastAsia" w:ascii="仿宋" w:hAnsi="仿宋" w:eastAsia="仿宋" w:cs="仿宋"/>
        </w:rPr>
        <w:t>问</w:t>
      </w:r>
    </w:p>
    <w:p>
      <w:pPr>
        <w:rPr>
          <w:rFonts w:ascii="仿宋" w:hAnsi="仿宋" w:eastAsia="仿宋" w:cs="仿宋"/>
        </w:rPr>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64" w:name="_Toc5481_WPSOffice_Level1"/>
      <w:r>
        <w:rPr>
          <w:rFonts w:hint="eastAsia" w:asciiTheme="minorEastAsia" w:hAnsiTheme="minorEastAsia" w:eastAsiaTheme="minorEastAsia"/>
          <w:b/>
          <w:sz w:val="36"/>
          <w:szCs w:val="36"/>
        </w:rPr>
        <w:t>第六章 投标文件格式</w:t>
      </w:r>
      <w:bookmarkEnd w:id="64"/>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spacing w:before="312" w:beforeLines="100" w:line="360" w:lineRule="auto"/>
        <w:ind w:right="-108"/>
        <w:jc w:val="center"/>
        <w:rPr>
          <w:rFonts w:hint="eastAsia"/>
          <w:sz w:val="44"/>
          <w:szCs w:val="44"/>
        </w:rPr>
      </w:pPr>
      <w:r>
        <w:rPr>
          <w:rFonts w:hint="eastAsia"/>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3"/>
        <w:ind w:firstLine="480"/>
      </w:pPr>
    </w:p>
    <w:p>
      <w:pPr>
        <w:pStyle w:val="8"/>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pPr>
        <w:spacing w:line="360" w:lineRule="auto"/>
        <w:rPr>
          <w:rFonts w:ascii="宋体" w:hAnsi="宋体"/>
          <w:b/>
          <w:sz w:val="28"/>
        </w:rPr>
      </w:pPr>
    </w:p>
    <w:p>
      <w:pPr>
        <w:spacing w:line="360" w:lineRule="auto"/>
        <w:ind w:left="420"/>
        <w:rPr>
          <w:rFonts w:ascii="宋体" w:hAnsi="宋体"/>
          <w:b/>
          <w:sz w:val="28"/>
        </w:rPr>
      </w:pPr>
    </w:p>
    <w:p>
      <w:pPr>
        <w:pStyle w:val="34"/>
        <w:rPr>
          <w:rFonts w:ascii="宋体" w:hAnsi="宋体"/>
          <w:b/>
          <w:sz w:val="28"/>
        </w:rPr>
      </w:pPr>
    </w:p>
    <w:p>
      <w:pPr>
        <w:pStyle w:val="34"/>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5"/>
        <w:numPr>
          <w:ilvl w:val="0"/>
          <w:numId w:val="0"/>
        </w:numPr>
        <w:ind w:left="425"/>
        <w:jc w:val="both"/>
      </w:pPr>
    </w:p>
    <w:p/>
    <w:p>
      <w:pPr>
        <w:pStyle w:val="8"/>
        <w:rPr>
          <w:rFonts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65" w:name="_Toc31708_WPSOffice_Level1"/>
      <w:bookmarkStart w:id="66" w:name="_Toc30723_WPSOffice_Level1"/>
      <w:r>
        <w:rPr>
          <w:rFonts w:hint="eastAsia" w:ascii="宋体" w:hAnsi="宋体"/>
          <w:b/>
          <w:kern w:val="0"/>
          <w:sz w:val="32"/>
          <w:szCs w:val="32"/>
          <w:lang w:val="zh-CN"/>
        </w:rPr>
        <w:t>投标声明书</w:t>
      </w:r>
      <w:bookmarkEnd w:id="65"/>
      <w:bookmarkEnd w:id="66"/>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台州循环经济发展有限公司</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w:t>
      </w:r>
      <w:r>
        <w:rPr>
          <w:rFonts w:hint="eastAsia" w:ascii="宋体" w:hAnsi="宋体" w:cs="宋体"/>
          <w:kern w:val="0"/>
          <w:sz w:val="24"/>
          <w:lang w:val="en-US" w:eastAsia="zh-CN"/>
        </w:rPr>
        <w:t>/</w:t>
      </w:r>
      <w:r>
        <w:rPr>
          <w:rFonts w:hint="eastAsia" w:ascii="Arial" w:hAnsi="Arial" w:cs="Arial"/>
          <w:sz w:val="24"/>
        </w:rPr>
        <w:t>负责人</w:t>
      </w:r>
      <w:r>
        <w:rPr>
          <w:rFonts w:hint="eastAsia" w:ascii="宋体" w:hAnsi="宋体" w:cs="宋体"/>
          <w:kern w:val="0"/>
          <w:sz w:val="24"/>
        </w:rPr>
        <w:t>，我公司自愿参加贵方组织的（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w:t>
      </w:r>
      <w:r>
        <w:rPr>
          <w:rFonts w:hint="eastAsia" w:ascii="宋体" w:hAnsi="宋体" w:cs="宋体"/>
          <w:kern w:val="0"/>
          <w:sz w:val="24"/>
          <w:lang w:eastAsia="zh-CN"/>
        </w:rPr>
        <w:t>招标人</w:t>
      </w:r>
      <w:r>
        <w:rPr>
          <w:rFonts w:hint="eastAsia" w:ascii="宋体" w:hAnsi="宋体" w:cs="宋体"/>
          <w:kern w:val="0"/>
          <w:sz w:val="24"/>
        </w:rPr>
        <w:t>的附属机构；</w:t>
      </w:r>
      <w:r>
        <w:rPr>
          <w:rFonts w:hint="eastAsia" w:ascii="宋体" w:hAnsi="宋体"/>
          <w:sz w:val="24"/>
        </w:rPr>
        <w:t>在获知本项目采购信息后，与</w:t>
      </w:r>
      <w:r>
        <w:rPr>
          <w:rFonts w:hint="eastAsia" w:ascii="宋体" w:hAnsi="宋体"/>
          <w:sz w:val="24"/>
          <w:lang w:eastAsia="zh-CN"/>
        </w:rPr>
        <w:t>招标人</w:t>
      </w:r>
      <w:r>
        <w:rPr>
          <w:rFonts w:hint="eastAsia" w:ascii="宋体" w:hAnsi="宋体"/>
          <w:sz w:val="24"/>
        </w:rPr>
        <w:t>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eastAsia="zh-CN"/>
        </w:rPr>
        <w:t>招标人</w:t>
      </w:r>
      <w:r>
        <w:rPr>
          <w:rFonts w:hint="eastAsia" w:ascii="宋体" w:hAnsi="宋体"/>
          <w:kern w:val="0"/>
          <w:sz w:val="24"/>
          <w:lang w:val="af-ZA"/>
        </w:rPr>
        <w:t>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w:t>
      </w:r>
      <w:r>
        <w:rPr>
          <w:rFonts w:hint="eastAsia" w:ascii="宋体" w:hAnsi="宋体"/>
          <w:kern w:val="0"/>
          <w:sz w:val="24"/>
          <w:lang w:val="af-ZA" w:eastAsia="zh-CN"/>
        </w:rPr>
        <w:t>招标人</w:t>
      </w:r>
      <w:r>
        <w:rPr>
          <w:rFonts w:hint="eastAsia" w:ascii="宋体" w:hAnsi="宋体"/>
          <w:kern w:val="0"/>
          <w:sz w:val="24"/>
          <w:lang w:val="af-ZA"/>
        </w:rPr>
        <w:t>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严格履行合同，不降低合同约定的产品质量和服务，不擅自变更、中止、终止合同，或拒绝履行合同义务。</w:t>
      </w:r>
    </w:p>
    <w:p>
      <w:pPr>
        <w:numPr>
          <w:ilvl w:val="0"/>
          <w:numId w:val="9"/>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法定代表人</w:t>
      </w:r>
      <w:r>
        <w:rPr>
          <w:rFonts w:hint="eastAsia" w:ascii="宋体" w:hAnsi="宋体" w:cs="仿宋_GB2312"/>
          <w:kern w:val="0"/>
          <w:sz w:val="24"/>
          <w:lang w:val="en-US" w:eastAsia="zh-CN"/>
        </w:rPr>
        <w:t>/</w:t>
      </w:r>
      <w:r>
        <w:rPr>
          <w:rFonts w:hint="eastAsia" w:ascii="Arial" w:hAnsi="Arial" w:cs="Arial"/>
          <w:sz w:val="24"/>
        </w:rPr>
        <w:t>负责人</w:t>
      </w:r>
      <w:r>
        <w:rPr>
          <w:rFonts w:hint="eastAsia" w:ascii="宋体" w:hAnsi="宋体" w:cs="仿宋_GB2312"/>
          <w:kern w:val="0"/>
          <w:sz w:val="24"/>
          <w:lang w:val="zh-CN"/>
        </w:rPr>
        <w:t>或授权委托人签字：</w:t>
      </w:r>
    </w:p>
    <w:p>
      <w:pPr>
        <w:adjustRightInd w:val="0"/>
        <w:snapToGrid w:val="0"/>
        <w:spacing w:line="360" w:lineRule="auto"/>
        <w:ind w:firstLine="4838" w:firstLineChars="2016"/>
        <w:rPr>
          <w:rFonts w:hint="eastAsia"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67" w:name="_Toc6870_WPSOffice_Level1"/>
      <w:bookmarkStart w:id="68" w:name="_Toc24373_WPSOffice_Level1"/>
      <w:r>
        <w:rPr>
          <w:b/>
          <w:sz w:val="32"/>
          <w:szCs w:val="32"/>
        </w:rPr>
        <w:t>授权</w:t>
      </w:r>
      <w:r>
        <w:rPr>
          <w:rFonts w:hint="eastAsia"/>
          <w:b/>
          <w:sz w:val="32"/>
          <w:szCs w:val="32"/>
        </w:rPr>
        <w:t>委托</w:t>
      </w:r>
      <w:r>
        <w:rPr>
          <w:b/>
          <w:sz w:val="32"/>
          <w:szCs w:val="32"/>
        </w:rPr>
        <w:t>书</w:t>
      </w:r>
      <w:bookmarkEnd w:id="67"/>
      <w:bookmarkEnd w:id="68"/>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台州循环经济发展有限公司</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签字或盖章：</w:t>
      </w:r>
    </w:p>
    <w:p>
      <w:pPr>
        <w:spacing w:line="360" w:lineRule="auto"/>
        <w:rPr>
          <w:sz w:val="24"/>
        </w:rPr>
      </w:pPr>
      <w:r>
        <w:rPr>
          <w:rFonts w:hint="eastAsia" w:ascii="宋体"/>
          <w:sz w:val="24"/>
        </w:rPr>
        <w:t>投标人全称（公章）：                              日期：</w:t>
      </w: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hint="eastAsia" w:ascii="宋体" w:eastAsia="宋体"/>
                <w:b/>
                <w:sz w:val="24"/>
                <w:lang w:eastAsia="zh-CN"/>
              </w:rPr>
            </w:pPr>
            <w:r>
              <w:rPr>
                <w:rFonts w:hint="eastAsia" w:ascii="宋体"/>
                <w:b/>
                <w:sz w:val="24"/>
              </w:rPr>
              <w:t>法定代表身份证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 xml:space="preserve">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69" w:name="_Toc12331_WPSOffice_Level1"/>
      <w:bookmarkStart w:id="70" w:name="_Toc26389_WPSOffice_Level1"/>
      <w:bookmarkStart w:id="71" w:name="_Toc16825_WPSOffice_Level1"/>
    </w:p>
    <w:bookmarkEnd w:id="69"/>
    <w:bookmarkEnd w:id="70"/>
    <w:bookmarkEnd w:id="71"/>
    <w:p>
      <w:pPr>
        <w:spacing w:before="312" w:beforeLines="100" w:line="360" w:lineRule="auto"/>
        <w:ind w:right="-108"/>
        <w:jc w:val="both"/>
        <w:rPr>
          <w:rFonts w:hint="eastAsia" w:ascii="宋体" w:hAnsi="宋体"/>
          <w:sz w:val="44"/>
          <w:szCs w:val="44"/>
        </w:rPr>
      </w:pPr>
    </w:p>
    <w:p>
      <w:pPr>
        <w:spacing w:before="312" w:beforeLines="100" w:line="360" w:lineRule="auto"/>
        <w:ind w:right="-108"/>
        <w:jc w:val="center"/>
        <w:rPr>
          <w:rFonts w:hint="eastAsia" w:ascii="宋体" w:hAnsi="宋体"/>
          <w:sz w:val="44"/>
          <w:szCs w:val="44"/>
        </w:rPr>
      </w:pPr>
      <w:r>
        <w:rPr>
          <w:rFonts w:hint="eastAsia" w:ascii="宋体" w:hAnsi="宋体"/>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rPr>
          <w:b/>
          <w:bCs/>
          <w:sz w:val="32"/>
          <w:szCs w:val="32"/>
          <w:lang w:val="zh-CN"/>
        </w:rPr>
      </w:pPr>
      <w:bookmarkStart w:id="72" w:name="_Toc11308_WPSOffice_Level1"/>
      <w:bookmarkStart w:id="73" w:name="_Toc5889_WPSOffice_Level1"/>
    </w:p>
    <w:p>
      <w:pPr>
        <w:jc w:val="center"/>
        <w:rPr>
          <w:b/>
          <w:bCs/>
          <w:sz w:val="36"/>
          <w:szCs w:val="36"/>
          <w:lang w:val="zh-CN"/>
        </w:rPr>
      </w:pPr>
    </w:p>
    <w:p>
      <w:pPr>
        <w:jc w:val="center"/>
        <w:rPr>
          <w:b/>
          <w:bCs/>
          <w:sz w:val="36"/>
          <w:szCs w:val="36"/>
        </w:rPr>
      </w:pPr>
      <w:r>
        <w:rPr>
          <w:rFonts w:hint="eastAsia"/>
          <w:b/>
          <w:bCs/>
          <w:sz w:val="36"/>
          <w:szCs w:val="36"/>
        </w:rPr>
        <w:t>技术标目录</w:t>
      </w:r>
      <w:bookmarkEnd w:id="72"/>
      <w:bookmarkEnd w:id="73"/>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w:t>
      </w:r>
      <w:r>
        <w:rPr>
          <w:rFonts w:hint="eastAsia" w:ascii="宋体" w:hAnsi="宋体"/>
          <w:bCs/>
          <w:sz w:val="24"/>
          <w:lang w:val="en-US" w:eastAsia="zh-CN"/>
        </w:rPr>
        <w:t>3</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pPr>
        <w:pStyle w:val="8"/>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pPr>
        <w:pStyle w:val="8"/>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3</w:t>
      </w:r>
    </w:p>
    <w:p>
      <w:pPr>
        <w:pStyle w:val="38"/>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4" w:name="_Toc13307_WPSOffice_Level1"/>
      <w:bookmarkStart w:id="75" w:name="_Toc14261_WPSOffice_Level1"/>
      <w:r>
        <w:rPr>
          <w:rFonts w:hint="eastAsia"/>
          <w:b/>
          <w:sz w:val="32"/>
          <w:szCs w:val="32"/>
        </w:rPr>
        <w:t>投标</w:t>
      </w:r>
      <w:r>
        <w:rPr>
          <w:rFonts w:hint="eastAsia"/>
          <w:b/>
          <w:bCs/>
          <w:sz w:val="32"/>
          <w:szCs w:val="32"/>
        </w:rPr>
        <w:t>人基本情况表</w:t>
      </w:r>
      <w:bookmarkEnd w:id="74"/>
      <w:bookmarkEnd w:id="75"/>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rFonts w:hint="default" w:eastAsia="宋体"/>
                <w:bCs/>
                <w:lang w:val="en-US" w:eastAsia="zh-CN"/>
              </w:rPr>
            </w:pPr>
            <w:r>
              <w:rPr>
                <w:rFonts w:hint="eastAsia"/>
                <w:bCs/>
              </w:rPr>
              <w:t>法人代表</w:t>
            </w:r>
            <w:r>
              <w:rPr>
                <w:rFonts w:hint="eastAsia"/>
                <w:bCs/>
                <w:lang w:val="en-US" w:eastAsia="zh-CN"/>
              </w:rPr>
              <w:t>/负责人</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1</w:t>
            </w:r>
            <w:r>
              <w:rPr>
                <w:rFonts w:hint="eastAsia"/>
                <w:bCs/>
              </w:rPr>
              <w:t>.</w:t>
            </w:r>
          </w:p>
          <w:p>
            <w:pPr>
              <w:pStyle w:val="38"/>
              <w:shd w:val="clear" w:color="auto" w:fill="FFFFFF"/>
              <w:spacing w:before="0" w:beforeAutospacing="0" w:after="0" w:afterAutospacing="0"/>
              <w:jc w:val="center"/>
              <w:rPr>
                <w:bCs/>
              </w:rPr>
            </w:pPr>
            <w:r>
              <w:rPr>
                <w:rFonts w:hint="eastAsia"/>
                <w:bCs/>
              </w:rPr>
              <w:t>企</w:t>
            </w:r>
          </w:p>
          <w:p>
            <w:pPr>
              <w:pStyle w:val="38"/>
              <w:shd w:val="clear" w:color="auto" w:fill="FFFFFF"/>
              <w:spacing w:before="0" w:beforeAutospacing="0" w:after="0" w:afterAutospacing="0"/>
              <w:jc w:val="center"/>
              <w:rPr>
                <w:bCs/>
              </w:rPr>
            </w:pPr>
            <w:r>
              <w:rPr>
                <w:rFonts w:hint="eastAsia"/>
                <w:bCs/>
              </w:rPr>
              <w:t>业</w:t>
            </w:r>
          </w:p>
          <w:p>
            <w:pPr>
              <w:pStyle w:val="38"/>
              <w:shd w:val="clear" w:color="auto" w:fill="FFFFFF"/>
              <w:spacing w:before="0" w:beforeAutospacing="0" w:after="0" w:afterAutospacing="0"/>
              <w:jc w:val="center"/>
              <w:rPr>
                <w:bCs/>
              </w:rPr>
            </w:pPr>
            <w:r>
              <w:rPr>
                <w:rFonts w:hint="eastAsia"/>
                <w:bCs/>
              </w:rPr>
              <w:t>概</w:t>
            </w:r>
          </w:p>
          <w:p>
            <w:pPr>
              <w:pStyle w:val="38"/>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2</w:t>
            </w:r>
            <w:r>
              <w:rPr>
                <w:rFonts w:hint="eastAsia"/>
                <w:bCs/>
              </w:rPr>
              <w:t>．</w:t>
            </w:r>
          </w:p>
          <w:p>
            <w:pPr>
              <w:pStyle w:val="38"/>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8"/>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933" w:type="dxa"/>
            <w:tcMar>
              <w:top w:w="57" w:type="dxa"/>
              <w:left w:w="85" w:type="dxa"/>
              <w:bottom w:w="0" w:type="dxa"/>
              <w:right w:w="85" w:type="dxa"/>
            </w:tcMar>
            <w:vAlign w:val="center"/>
          </w:tcPr>
          <w:p>
            <w:pPr>
              <w:pStyle w:val="38"/>
              <w:spacing w:before="0" w:beforeAutospacing="0" w:after="0" w:afterAutospacing="0"/>
              <w:jc w:val="center"/>
            </w:pPr>
          </w:p>
        </w:tc>
      </w:tr>
    </w:tbl>
    <w:p>
      <w:pPr>
        <w:pStyle w:val="38"/>
        <w:shd w:val="clear" w:color="auto" w:fill="FFFFFF"/>
        <w:spacing w:before="0" w:beforeAutospacing="0" w:after="0" w:afterAutospacing="0" w:line="360" w:lineRule="auto"/>
        <w:rPr>
          <w:b/>
          <w:sz w:val="21"/>
          <w:szCs w:val="21"/>
        </w:rPr>
      </w:pPr>
      <w:r>
        <w:rPr>
          <w:rFonts w:hint="eastAsia"/>
          <w:b/>
          <w:sz w:val="21"/>
          <w:szCs w:val="21"/>
        </w:rPr>
        <w:t>要求：</w:t>
      </w:r>
    </w:p>
    <w:p>
      <w:pPr>
        <w:pStyle w:val="38"/>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bookmarkStart w:id="76" w:name="_Toc12856_WPSOffice_Level1"/>
      <w:bookmarkStart w:id="77" w:name="_Toc26601_WPSOffice_Level1"/>
    </w:p>
    <w:p>
      <w:pPr>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5</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9"/>
        <w:spacing w:line="360" w:lineRule="auto"/>
        <w:ind w:left="424" w:leftChars="202"/>
        <w:rPr>
          <w:rFonts w:ascii="宋体" w:hAnsi="宋体"/>
          <w:szCs w:val="21"/>
        </w:rPr>
      </w:pPr>
      <w:r>
        <w:rPr>
          <w:rFonts w:hint="eastAsia" w:ascii="宋体" w:hAnsi="宋体"/>
          <w:szCs w:val="21"/>
        </w:rPr>
        <w:t>2.附人员证书。</w:t>
      </w:r>
    </w:p>
    <w:p>
      <w:pPr>
        <w:pStyle w:val="39"/>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6</w:t>
      </w:r>
    </w:p>
    <w:p>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pPr>
        <w:adjustRightInd w:val="0"/>
        <w:snapToGrid w:val="0"/>
        <w:ind w:firstLine="1205" w:firstLineChars="375"/>
        <w:jc w:val="center"/>
        <w:rPr>
          <w:rFonts w:ascii="宋体" w:hAnsi="宋体"/>
          <w:b/>
          <w:kern w:val="0"/>
          <w:sz w:val="32"/>
          <w:szCs w:val="32"/>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ascii="宋体" w:hAnsi="宋体"/>
                <w:sz w:val="24"/>
              </w:rPr>
            </w:pPr>
            <w:r>
              <w:rPr>
                <w:rFonts w:hint="eastAsia" w:ascii="宋体" w:hAnsi="宋体"/>
                <w:sz w:val="24"/>
                <w:u w:val="none" w:color="auto"/>
                <w:lang w:val="en-US" w:eastAsia="zh-CN"/>
              </w:rPr>
              <w:t>采购</w:t>
            </w:r>
            <w:r>
              <w:rPr>
                <w:rFonts w:ascii="宋体" w:hAnsi="宋体"/>
                <w:sz w:val="24"/>
                <w:u w:val="none" w:color="auto"/>
              </w:rPr>
              <w:t>文件要</w:t>
            </w:r>
            <w:r>
              <w:rPr>
                <w:rFonts w:ascii="宋体" w:hAnsi="宋体"/>
                <w:sz w:val="24"/>
              </w:rPr>
              <w:t>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4"/>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4"/>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76"/>
    <w:bookmarkEnd w:id="77"/>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1"/>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pStyle w:val="42"/>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2"/>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2"/>
        <w:tabs>
          <w:tab w:val="left" w:pos="1050"/>
        </w:tabs>
        <w:spacing w:line="360" w:lineRule="auto"/>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ind w:left="0" w:leftChars="0" w:firstLine="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sz w:val="52"/>
          <w:szCs w:val="52"/>
        </w:rPr>
      </w:pPr>
      <w:bookmarkStart w:id="80" w:name="_Toc21322_WPSOffice_Level1"/>
      <w:bookmarkStart w:id="81" w:name="_Toc30468_WPSOffice_Level1"/>
      <w:bookmarkStart w:id="82" w:name="_Toc4615_WPSOffice_Level1"/>
    </w:p>
    <w:bookmarkEnd w:id="80"/>
    <w:bookmarkEnd w:id="81"/>
    <w:bookmarkEnd w:id="82"/>
    <w:p>
      <w:pPr>
        <w:jc w:val="center"/>
        <w:rPr>
          <w:sz w:val="44"/>
          <w:szCs w:val="44"/>
        </w:rPr>
      </w:pPr>
    </w:p>
    <w:p>
      <w:pPr>
        <w:spacing w:before="312" w:beforeLines="100" w:line="360" w:lineRule="auto"/>
        <w:ind w:right="-108"/>
        <w:jc w:val="center"/>
        <w:rPr>
          <w:rFonts w:hint="eastAsia"/>
          <w:sz w:val="44"/>
          <w:szCs w:val="44"/>
        </w:rPr>
      </w:pPr>
    </w:p>
    <w:p>
      <w:pPr>
        <w:spacing w:before="312" w:beforeLines="100" w:line="360" w:lineRule="auto"/>
        <w:ind w:right="-108"/>
        <w:jc w:val="center"/>
        <w:rPr>
          <w:rFonts w:hint="eastAsia"/>
          <w:sz w:val="44"/>
          <w:szCs w:val="44"/>
        </w:rPr>
      </w:pPr>
      <w:r>
        <w:rPr>
          <w:rFonts w:hint="eastAsia"/>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rPr>
      </w:pPr>
      <w:bookmarkStart w:id="83" w:name="_Toc14572_WPSOffice_Level1"/>
      <w:bookmarkStart w:id="84" w:name="_Toc3932_WPSOffice_Level1"/>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83"/>
      <w:bookmarkEnd w:id="84"/>
    </w:p>
    <w:p>
      <w:pPr>
        <w:jc w:val="center"/>
        <w:rPr>
          <w:sz w:val="84"/>
          <w:szCs w:val="84"/>
        </w:rPr>
      </w:pPr>
      <w:bookmarkStart w:id="85" w:name="_Toc7562_WPSOffice_Level1"/>
      <w:bookmarkStart w:id="86" w:name="_Toc16973_WPSOffice_Level1"/>
      <w:r>
        <w:rPr>
          <w:rFonts w:hint="eastAsia"/>
          <w:sz w:val="84"/>
          <w:szCs w:val="84"/>
        </w:rPr>
        <w:t>件</w:t>
      </w:r>
      <w:bookmarkEnd w:id="85"/>
      <w:bookmarkEnd w:id="86"/>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7" w:name="_Toc26700_WPSOffice_Level1"/>
      <w:bookmarkStart w:id="88" w:name="_Toc4603_WPSOffice_Level1"/>
      <w:r>
        <w:rPr>
          <w:rFonts w:hint="eastAsia" w:ascii="宋体" w:hAnsi="宋体"/>
          <w:sz w:val="36"/>
          <w:szCs w:val="36"/>
        </w:rPr>
        <w:t>投标人全称（公章）：</w:t>
      </w:r>
      <w:bookmarkEnd w:id="87"/>
      <w:bookmarkEnd w:id="88"/>
    </w:p>
    <w:p>
      <w:pPr>
        <w:spacing w:line="360" w:lineRule="auto"/>
        <w:ind w:right="-108" w:firstLine="720" w:firstLineChars="200"/>
        <w:rPr>
          <w:rFonts w:ascii="宋体" w:hAnsi="宋体"/>
          <w:sz w:val="36"/>
          <w:szCs w:val="36"/>
        </w:rPr>
      </w:pPr>
      <w:bookmarkStart w:id="89" w:name="_Toc32593_WPSOffice_Level1"/>
      <w:bookmarkStart w:id="90" w:name="_Toc1391_WPSOffice_Level1"/>
      <w:r>
        <w:rPr>
          <w:rFonts w:hint="eastAsia" w:ascii="宋体" w:hAnsi="宋体"/>
          <w:sz w:val="36"/>
          <w:szCs w:val="36"/>
        </w:rPr>
        <w:t>地    址：</w:t>
      </w:r>
      <w:bookmarkEnd w:id="89"/>
      <w:bookmarkEnd w:id="90"/>
    </w:p>
    <w:p>
      <w:pPr>
        <w:spacing w:line="360" w:lineRule="auto"/>
        <w:ind w:right="-108" w:firstLine="720" w:firstLineChars="200"/>
        <w:rPr>
          <w:rFonts w:ascii="宋体" w:hAnsi="宋体"/>
          <w:sz w:val="36"/>
          <w:szCs w:val="36"/>
        </w:rPr>
      </w:pPr>
      <w:bookmarkStart w:id="91" w:name="_Toc20938_WPSOffice_Level1"/>
      <w:bookmarkStart w:id="92" w:name="_Toc3791_WPSOffice_Level1"/>
      <w:r>
        <w:rPr>
          <w:rFonts w:hint="eastAsia" w:ascii="宋体" w:hAnsi="宋体"/>
          <w:sz w:val="36"/>
          <w:szCs w:val="36"/>
        </w:rPr>
        <w:t>时    间：</w:t>
      </w:r>
      <w:bookmarkEnd w:id="91"/>
      <w:bookmarkEnd w:id="92"/>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8"/>
        <w:rPr>
          <w:rFonts w:ascii="仿宋_GB2312" w:hAnsi="宋体" w:eastAsia="仿宋_GB2312"/>
          <w:b/>
          <w:sz w:val="36"/>
          <w:szCs w:val="36"/>
        </w:rPr>
      </w:pPr>
    </w:p>
    <w:p>
      <w:pPr>
        <w:spacing w:line="480" w:lineRule="auto"/>
        <w:jc w:val="center"/>
        <w:rPr>
          <w:rFonts w:hint="eastAsia" w:ascii="宋体" w:hAnsi="宋体"/>
          <w:b/>
          <w:bCs/>
          <w:sz w:val="36"/>
          <w:szCs w:val="36"/>
        </w:rPr>
      </w:pPr>
      <w:bookmarkStart w:id="93" w:name="_Toc19972_WPSOffice_Level1"/>
      <w:bookmarkStart w:id="94" w:name="_Toc29537_WPSOffice_Level1"/>
    </w:p>
    <w:p>
      <w:pPr>
        <w:spacing w:line="480" w:lineRule="auto"/>
        <w:jc w:val="center"/>
      </w:pPr>
      <w:r>
        <w:rPr>
          <w:rFonts w:hint="eastAsia" w:ascii="宋体" w:hAnsi="宋体"/>
          <w:b/>
          <w:bCs/>
          <w:sz w:val="36"/>
          <w:szCs w:val="36"/>
        </w:rPr>
        <w:t>商务标目录</w:t>
      </w:r>
      <w:bookmarkEnd w:id="93"/>
      <w:bookmarkEnd w:id="94"/>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hint="eastAsia" w:ascii="宋体" w:hAnsi="宋体" w:cs="宋体"/>
          <w:color w:val="auto"/>
          <w:kern w:val="0"/>
          <w:sz w:val="24"/>
          <w:highlight w:val="none"/>
        </w:rPr>
      </w:pPr>
      <w:bookmarkStart w:id="95" w:name="_Toc6778_WPSOffice_Level1"/>
      <w:bookmarkStart w:id="96" w:name="_Toc29988_WPSOffice_Level1"/>
      <w:r>
        <w:rPr>
          <w:rFonts w:hint="eastAsia" w:ascii="宋体" w:hAnsi="宋体" w:cs="宋体"/>
          <w:color w:val="auto"/>
          <w:kern w:val="0"/>
          <w:sz w:val="24"/>
          <w:highlight w:val="none"/>
        </w:rPr>
        <w:t>（1）开标一览表（附件</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color w:val="auto"/>
          <w:kern w:val="0"/>
          <w:sz w:val="24"/>
          <w:highlight w:val="none"/>
          <w:lang w:val="en-GB"/>
        </w:rPr>
      </w:pPr>
      <w:r>
        <w:rPr>
          <w:rFonts w:hint="eastAsia" w:ascii="宋体" w:hAnsi="宋体" w:cs="宋体"/>
          <w:color w:val="auto"/>
          <w:kern w:val="0"/>
          <w:sz w:val="24"/>
          <w:highlight w:val="none"/>
        </w:rPr>
        <w:t>（2）报价明细表（附件</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（3）针对报价供应商认为其他需要说明的。</w:t>
      </w:r>
    </w:p>
    <w:bookmarkEnd w:id="95"/>
    <w:bookmarkEnd w:id="96"/>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2" w:hanging="2"/>
        <w:jc w:val="center"/>
        <w:rPr>
          <w:rFonts w:ascii="宋体" w:hAnsi="宋体"/>
          <w:b/>
          <w:sz w:val="32"/>
          <w:szCs w:val="32"/>
        </w:rPr>
      </w:pPr>
      <w:bookmarkStart w:id="97" w:name="_Toc16144_WPSOffice_Level1"/>
      <w:bookmarkStart w:id="98" w:name="_Toc30363_WPSOffice_Level1"/>
      <w:r>
        <w:rPr>
          <w:rFonts w:hint="eastAsia" w:ascii="宋体" w:hAnsi="宋体"/>
          <w:b/>
          <w:sz w:val="32"/>
          <w:szCs w:val="32"/>
        </w:rPr>
        <w:t>开标一览表</w:t>
      </w:r>
      <w:bookmarkEnd w:id="97"/>
      <w:bookmarkEnd w:id="98"/>
    </w:p>
    <w:p>
      <w:pPr>
        <w:pStyle w:val="14"/>
        <w:spacing w:line="360" w:lineRule="auto"/>
        <w:ind w:firstLine="482" w:firstLineChars="200"/>
        <w:rPr>
          <w:rFonts w:hAnsi="宋体"/>
          <w:b/>
          <w:sz w:val="24"/>
        </w:rPr>
      </w:pPr>
      <w:r>
        <w:rPr>
          <w:rFonts w:hAnsi="宋体"/>
          <w:b/>
          <w:sz w:val="24"/>
        </w:rPr>
        <w:t>项目编号：</w:t>
      </w:r>
    </w:p>
    <w:p>
      <w:pPr>
        <w:pStyle w:val="47"/>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hint="eastAsia" w:ascii="Arial" w:hAnsi="Arial" w:eastAsia="宋体" w:cs="Arial"/>
          <w:sz w:val="22"/>
          <w:szCs w:val="22"/>
          <w:lang w:eastAsia="zh-CN"/>
        </w:rPr>
      </w:pPr>
      <w:r>
        <w:rPr>
          <w:rFonts w:hint="eastAsia" w:ascii="Arial" w:hAnsi="Arial" w:cs="宋体"/>
          <w:sz w:val="22"/>
          <w:szCs w:val="22"/>
        </w:rPr>
        <w:t>致：</w:t>
      </w:r>
      <w:r>
        <w:rPr>
          <w:rFonts w:hint="eastAsia" w:ascii="Arial" w:hAnsi="Arial" w:cs="宋体"/>
          <w:sz w:val="22"/>
          <w:szCs w:val="22"/>
          <w:lang w:eastAsia="zh-CN"/>
        </w:rPr>
        <w:t>台州循环经济发展有限公司</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rPr>
        <w:t>台州“飞安行”低空飞行管控服务平台</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2"/>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sz w:val="22"/>
          <w:szCs w:val="22"/>
        </w:rPr>
      </w:pPr>
      <w:r>
        <w:rPr>
          <w:rFonts w:ascii="Arial" w:hAnsi="Arial" w:cs="Arial"/>
          <w:sz w:val="22"/>
          <w:szCs w:val="22"/>
        </w:rPr>
        <w:t>2、我们同意按采购文件规定遵守</w:t>
      </w:r>
      <w:r>
        <w:rPr>
          <w:rFonts w:hint="eastAsia" w:ascii="Arial" w:hAnsi="Arial" w:cs="Arial"/>
          <w:sz w:val="22"/>
          <w:szCs w:val="22"/>
          <w:lang w:eastAsia="zh-CN"/>
        </w:rPr>
        <w:t>招标人</w:t>
      </w:r>
      <w:r>
        <w:rPr>
          <w:rFonts w:ascii="Arial" w:hAnsi="Arial" w:cs="Arial"/>
          <w:sz w:val="22"/>
          <w:szCs w:val="22"/>
        </w:rPr>
        <w:t>有关采购的各项规定。</w:t>
      </w:r>
    </w:p>
    <w:p>
      <w:pPr>
        <w:pStyle w:val="12"/>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w:t>
      </w:r>
      <w:r>
        <w:rPr>
          <w:rFonts w:hint="eastAsia" w:ascii="Arial" w:hAnsi="Arial" w:cs="Arial"/>
          <w:sz w:val="22"/>
          <w:szCs w:val="22"/>
          <w:lang w:eastAsia="zh-CN"/>
        </w:rPr>
        <w:t>招标人</w:t>
      </w:r>
      <w:r>
        <w:rPr>
          <w:rFonts w:ascii="Arial" w:hAnsi="Arial" w:cs="Arial"/>
          <w:sz w:val="22"/>
          <w:szCs w:val="22"/>
        </w:rPr>
        <w:t>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both"/>
              <w:textAlignment w:val="bottom"/>
              <w:rPr>
                <w:rFonts w:hint="eastAsia"/>
                <w:lang w:val="en-US" w:eastAsia="zh-CN"/>
              </w:rPr>
            </w:pPr>
            <w:r>
              <w:rPr>
                <w:rFonts w:hint="eastAsia"/>
                <w:lang w:val="en-US" w:eastAsia="zh-CN"/>
              </w:rPr>
              <w:t>软件：</w:t>
            </w:r>
          </w:p>
          <w:p>
            <w:pPr>
              <w:autoSpaceDE w:val="0"/>
              <w:autoSpaceDN w:val="0"/>
              <w:spacing w:line="450" w:lineRule="exact"/>
              <w:jc w:val="both"/>
              <w:textAlignment w:val="bottom"/>
              <w:rPr>
                <w:rFonts w:hint="eastAsia"/>
                <w:lang w:val="en-US" w:eastAsia="zh-CN"/>
              </w:rPr>
            </w:pPr>
            <w:r>
              <w:rPr>
                <w:rFonts w:hint="eastAsia"/>
                <w:lang w:val="en-US" w:eastAsia="zh-CN"/>
              </w:rPr>
              <w:t>硬件：</w:t>
            </w:r>
          </w:p>
          <w:p>
            <w:pPr>
              <w:autoSpaceDE w:val="0"/>
              <w:autoSpaceDN w:val="0"/>
              <w:spacing w:line="450" w:lineRule="exact"/>
              <w:jc w:val="both"/>
              <w:textAlignment w:val="bottom"/>
              <w:rPr>
                <w:rFonts w:hint="default"/>
                <w:lang w:val="en-US" w:eastAsia="zh-CN"/>
              </w:rPr>
            </w:pPr>
            <w:r>
              <w:rPr>
                <w:rFonts w:hint="eastAsia"/>
                <w:lang w:val="en-US" w:eastAsia="zh-CN"/>
              </w:rPr>
              <w:t>总报价：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both"/>
              <w:textAlignment w:val="bottom"/>
              <w:rPr>
                <w:rFonts w:hint="eastAsia"/>
                <w:lang w:val="en-US" w:eastAsia="zh-CN"/>
              </w:rPr>
            </w:pPr>
            <w:r>
              <w:rPr>
                <w:rFonts w:hint="eastAsia"/>
                <w:lang w:val="en-US" w:eastAsia="zh-CN"/>
              </w:rPr>
              <w:t>软件：</w:t>
            </w:r>
          </w:p>
          <w:p>
            <w:pPr>
              <w:autoSpaceDE w:val="0"/>
              <w:autoSpaceDN w:val="0"/>
              <w:spacing w:line="450" w:lineRule="exact"/>
              <w:jc w:val="both"/>
              <w:textAlignment w:val="bottom"/>
              <w:rPr>
                <w:rFonts w:hint="eastAsia"/>
                <w:lang w:val="en-US" w:eastAsia="zh-CN"/>
              </w:rPr>
            </w:pPr>
            <w:r>
              <w:rPr>
                <w:rFonts w:hint="eastAsia"/>
                <w:lang w:val="en-US" w:eastAsia="zh-CN"/>
              </w:rPr>
              <w:t>硬件：</w:t>
            </w:r>
          </w:p>
          <w:p>
            <w:pPr>
              <w:autoSpaceDE w:val="0"/>
              <w:autoSpaceDN w:val="0"/>
              <w:spacing w:line="450" w:lineRule="exact"/>
              <w:jc w:val="both"/>
              <w:textAlignment w:val="bottom"/>
              <w:rPr>
                <w:rFonts w:ascii="宋体" w:hAnsi="宋体"/>
                <w:szCs w:val="21"/>
              </w:rPr>
            </w:pPr>
            <w:r>
              <w:rPr>
                <w:rFonts w:hint="eastAsia" w:ascii="宋体" w:hAnsi="宋体"/>
                <w:szCs w:val="21"/>
                <w:lang w:val="en-US" w:eastAsia="zh-CN"/>
              </w:rPr>
              <w:t>总报价：</w:t>
            </w:r>
          </w:p>
        </w:tc>
      </w:tr>
    </w:tbl>
    <w:p>
      <w:pPr>
        <w:numPr>
          <w:ilvl w:val="0"/>
          <w:numId w:val="0"/>
        </w:numPr>
        <w:spacing w:line="288" w:lineRule="auto"/>
        <w:ind w:firstLine="442" w:firstLineChars="200"/>
        <w:rPr>
          <w:rFonts w:hint="eastAsia" w:ascii="Arial" w:hAnsi="Arial" w:eastAsia="宋体" w:cs="Arial"/>
          <w:b/>
          <w:bCs/>
          <w:kern w:val="2"/>
          <w:sz w:val="22"/>
          <w:szCs w:val="22"/>
          <w:lang w:val="zh-CN" w:eastAsia="zh-CN" w:bidi="ar-SA"/>
        </w:rPr>
      </w:pPr>
      <w:r>
        <w:rPr>
          <w:rFonts w:hint="eastAsia" w:ascii="Arial" w:hAnsi="Arial" w:eastAsia="宋体" w:cs="Arial"/>
          <w:b/>
          <w:bCs/>
          <w:kern w:val="2"/>
          <w:sz w:val="22"/>
          <w:szCs w:val="22"/>
          <w:lang w:val="zh-CN" w:eastAsia="zh-CN" w:bidi="ar-SA"/>
        </w:rPr>
        <w:t>注: 1、报价一经涂改，应在涂改处加盖单位公章或者由法定代表人或授权委托人签字或盖章，否则其投标作无效标处理。</w:t>
      </w:r>
    </w:p>
    <w:p>
      <w:pPr>
        <w:spacing w:line="360" w:lineRule="auto"/>
        <w:ind w:firstLine="442" w:firstLineChars="200"/>
        <w:rPr>
          <w:rFonts w:ascii="宋体" w:hAnsi="宋体"/>
          <w:sz w:val="22"/>
          <w:szCs w:val="22"/>
        </w:rPr>
      </w:pPr>
      <w:r>
        <w:rPr>
          <w:rFonts w:hint="eastAsia" w:ascii="宋体" w:hAnsi="宋体" w:eastAsia="宋体"/>
          <w:b/>
          <w:sz w:val="22"/>
          <w:szCs w:val="22"/>
          <w:lang w:val="en-US" w:eastAsia="zh-CN"/>
        </w:rPr>
        <w:t>2、</w:t>
      </w:r>
      <w:r>
        <w:rPr>
          <w:rFonts w:hint="eastAsia" w:ascii="Arial" w:hAnsi="Arial" w:eastAsia="宋体" w:cs="Arial"/>
          <w:kern w:val="2"/>
          <w:sz w:val="22"/>
          <w:szCs w:val="22"/>
          <w:lang w:val="zh-CN" w:eastAsia="zh-CN" w:bidi="ar-SA"/>
        </w:rPr>
        <w:t>投标总报价为完成本项目的软件开发实施项目所需的需求调研费、系统设计、开发、测试、系统集成（含软、硬件）实施、接口费用、运行维护、安全性评估、</w:t>
      </w:r>
      <w:r>
        <w:rPr>
          <w:rFonts w:hint="eastAsia" w:ascii="Arial" w:hAnsi="Arial" w:cs="Arial"/>
          <w:kern w:val="2"/>
          <w:sz w:val="22"/>
          <w:szCs w:val="22"/>
          <w:lang w:val="en-US" w:eastAsia="zh-CN" w:bidi="ar-SA"/>
        </w:rPr>
        <w:t>配合</w:t>
      </w:r>
      <w:r>
        <w:rPr>
          <w:rFonts w:hint="eastAsia" w:ascii="Arial" w:hAnsi="Arial" w:eastAsia="宋体" w:cs="Arial"/>
          <w:kern w:val="2"/>
          <w:sz w:val="22"/>
          <w:szCs w:val="22"/>
          <w:lang w:val="zh-CN" w:eastAsia="zh-CN" w:bidi="ar-SA"/>
        </w:rPr>
        <w:t>密评检测、税金、验收、培训、辅助工作、验收、保险、税金、质保及售后技术服务等及相关劳务支出等工作所发生的全部费用以及投标供应商企业利润、税金和政策性文件规定及合同包含的所有风险、责任等各项应有费用，即一直到整个系统调试验收合格交付</w:t>
      </w:r>
      <w:r>
        <w:rPr>
          <w:rFonts w:hint="eastAsia" w:ascii="Arial" w:hAnsi="Arial" w:cs="Arial"/>
          <w:kern w:val="2"/>
          <w:sz w:val="22"/>
          <w:szCs w:val="22"/>
          <w:lang w:val="zh-CN" w:eastAsia="zh-CN" w:bidi="ar-SA"/>
        </w:rPr>
        <w:t>招标人</w:t>
      </w:r>
      <w:r>
        <w:rPr>
          <w:rFonts w:hint="eastAsia" w:ascii="Arial" w:hAnsi="Arial" w:eastAsia="宋体" w:cs="Arial"/>
          <w:kern w:val="2"/>
          <w:sz w:val="22"/>
          <w:szCs w:val="22"/>
          <w:lang w:val="zh-CN" w:eastAsia="zh-CN" w:bidi="ar-SA"/>
        </w:rPr>
        <w:t>使用，</w:t>
      </w:r>
      <w:r>
        <w:rPr>
          <w:rFonts w:hint="eastAsia" w:ascii="Arial" w:hAnsi="Arial" w:cs="Arial"/>
          <w:kern w:val="2"/>
          <w:sz w:val="22"/>
          <w:szCs w:val="22"/>
          <w:lang w:val="zh-CN" w:eastAsia="zh-CN" w:bidi="ar-SA"/>
        </w:rPr>
        <w:t>招标人</w:t>
      </w:r>
      <w:r>
        <w:rPr>
          <w:rFonts w:hint="eastAsia" w:ascii="Arial" w:hAnsi="Arial" w:eastAsia="宋体" w:cs="Arial"/>
          <w:kern w:val="2"/>
          <w:sz w:val="22"/>
          <w:szCs w:val="22"/>
          <w:lang w:val="zh-CN" w:eastAsia="zh-CN" w:bidi="ar-SA"/>
        </w:rPr>
        <w:t>不再另行支付费用。</w:t>
      </w: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投标人代表签字：</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rPr>
          <w:rFonts w:hint="eastAsia" w:ascii="宋体" w:hAnsi="宋体" w:cs="宋体"/>
          <w:b/>
          <w:color w:val="auto"/>
          <w:sz w:val="28"/>
          <w:highlight w:val="none"/>
        </w:rPr>
      </w:pPr>
      <w:r>
        <w:rPr>
          <w:rFonts w:hint="eastAsia" w:ascii="宋体" w:hAnsi="宋体"/>
          <w:sz w:val="22"/>
          <w:szCs w:val="22"/>
        </w:rPr>
        <w:t>日        期：</w:t>
      </w:r>
    </w:p>
    <w:p>
      <w:pPr>
        <w:snapToGrid w:val="0"/>
        <w:spacing w:before="156" w:beforeLines="50" w:after="50"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台州“飞安行”低空飞行管控服务平台</w:t>
      </w:r>
    </w:p>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报价明细表</w:t>
      </w:r>
    </w:p>
    <w:p>
      <w:pPr>
        <w:pStyle w:val="20"/>
        <w:rPr>
          <w:rFonts w:hint="eastAsia" w:eastAsia="宋体"/>
          <w:lang w:val="en-US" w:eastAsia="zh-CN"/>
        </w:rPr>
      </w:pPr>
      <w:r>
        <w:rPr>
          <w:rFonts w:hint="eastAsia" w:ascii="宋体" w:hAnsi="宋体" w:cs="宋体"/>
          <w:color w:val="auto"/>
          <w:sz w:val="28"/>
          <w:szCs w:val="28"/>
          <w:highlight w:val="none"/>
          <w:lang w:val="en-US" w:eastAsia="zh-CN"/>
        </w:rPr>
        <w:t>软件</w:t>
      </w:r>
    </w:p>
    <w:tbl>
      <w:tblPr>
        <w:tblStyle w:val="25"/>
        <w:tblW w:w="8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5"/>
        <w:gridCol w:w="3924"/>
        <w:gridCol w:w="1425"/>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子功能模块</w:t>
            </w:r>
          </w:p>
        </w:tc>
        <w:tc>
          <w:tcPr>
            <w:tcW w:w="142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数量</w:t>
            </w:r>
          </w:p>
        </w:tc>
        <w:tc>
          <w:tcPr>
            <w:tcW w:w="1739"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地图底图控制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无人机实时定位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基站实时状态</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基站详情信息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无人机详情信息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坐标二维码</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实时报警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快速出警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图层控制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飞行计划数据汇总</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平台用户数量汇总</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实时飞行动态数据</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飞行分类数据统计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空域分类统计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空域信息统计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黑飞告警数量统计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历史飞行数量统计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其他类型数据查看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气象信息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飞手列表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本地飞手审核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企业列表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本地企业审核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飞行活动报备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飞行活动审核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品牌无人机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自制无人机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停机坪列表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空域绘制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自定义名称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空域列表查看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立体化显示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空域标签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空域删除</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标签筛选</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名称搜索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修改高度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临时空域管制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管制空域报警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违规报警配置</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事件布控</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工单管理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政策发布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内部通告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查看警务工单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新增警务工单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处理结果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一键流转</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导出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筛选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接口预留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报警记录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触发轨迹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一键出警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飞行记录查询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57</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历史轨迹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身份识别设备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侦测反制设备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设备品牌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无人机厂家</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设备型号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64</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账号配置管理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报警区列表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67</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辖区派出所列表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68</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区域列表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69</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值班配比</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部门管理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71</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人员管理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72</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角色管理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操作日志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登录日志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75</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巡检态势</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76</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巡检监控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视频录像</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航线列表查看和管理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航线编辑</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航点管理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任务排班</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任务概览</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机场管理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安全设定</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机场监控视频接入</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远程驾驶舱控制</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指点飞行</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无人机飞行信息显示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人脸抓拍</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人员识别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违章建筑比对识别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烟火识别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垃圾识别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人数统计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车流识别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裸土堆积识别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河道漂浮物检测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热成像人员检测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融合登录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任务申请</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需求填报</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人工审核</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任务沟通</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任务派发</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成果提交</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成果审批</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服务评价</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数据分析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反馈分析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视频回放成果统计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多媒体成果统计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任务数量成果统计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警情数量成果统计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成果统计分析条件查询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部门飞行架次、时长、距离统计分析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飞行任务统计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警情类型统计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飞行统计查询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飞行架次、时长统计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飞行时长分布统计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飞行记录上传</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按部门、人员汇总飞行记录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视频回放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按SN、状态、日期查询视频记录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日历模式视频回放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视频下载</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视频重命名、删除、收藏</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视频播放倍速调节</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视频内容标记</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视频播放时间轴调整</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按名称、文件类型、时间段媒体文件查询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媒体文件自定义归集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按SN、开始结束时间段查询飞行记录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查看飞行记录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飞行记录标签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接警记录配置</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接警记录关键字、记录查询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接警记录同步到任务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按报警类型记录查询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按报警状态、时间记录查询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适飞空域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四类管制空域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立体显示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申报空域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时间轴</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地图底图风格</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空域分类显示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报警信息列表</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实时飞行监测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地图点位</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航线</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视图层级优化</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应急处置</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处置结果</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03"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both"/>
              <w:rPr>
                <w:rFonts w:hint="default" w:ascii="宋体" w:hAnsi="宋体" w:eastAsia="宋体" w:cs="宋体"/>
                <w:color w:val="auto"/>
                <w:sz w:val="24"/>
                <w:szCs w:val="24"/>
                <w:highlight w:val="none"/>
                <w:lang w:val="en-US" w:eastAsia="zh-CN"/>
              </w:rPr>
            </w:pPr>
            <w:r>
              <w:rPr>
                <w:rFonts w:hint="eastAsia" w:ascii="宋体-简" w:hAnsi="宋体-简" w:eastAsia="宋体-简" w:cs="宋体-简"/>
                <w:i w:val="0"/>
                <w:color w:val="000000"/>
                <w:kern w:val="0"/>
                <w:sz w:val="20"/>
                <w:szCs w:val="20"/>
                <w:u w:val="none"/>
                <w:lang w:val="en-US" w:eastAsia="zh-CN" w:bidi="ar"/>
              </w:rPr>
              <w:t>合计=1+2+...+156+157=</w:t>
            </w:r>
            <w:r>
              <w:rPr>
                <w:rFonts w:hint="eastAsia" w:ascii="宋体-简" w:hAnsi="宋体-简" w:eastAsia="宋体-简" w:cs="宋体-简"/>
                <w:i w:val="0"/>
                <w:color w:val="000000"/>
                <w:kern w:val="0"/>
                <w:sz w:val="20"/>
                <w:szCs w:val="20"/>
                <w:u w:val="single"/>
                <w:lang w:val="en-US" w:eastAsia="zh-CN" w:bidi="ar"/>
              </w:rPr>
              <w:t xml:space="preserve">     </w:t>
            </w:r>
            <w:r>
              <w:rPr>
                <w:rFonts w:hint="eastAsia" w:ascii="宋体-简" w:hAnsi="宋体-简" w:eastAsia="宋体-简" w:cs="宋体-简"/>
                <w:i w:val="0"/>
                <w:color w:val="000000"/>
                <w:kern w:val="0"/>
                <w:sz w:val="20"/>
                <w:szCs w:val="20"/>
                <w:u w:val="none"/>
                <w:lang w:val="en-US" w:eastAsia="zh-CN" w:bidi="ar"/>
              </w:rPr>
              <w:t>元（转结至附件12开标一览表）</w:t>
            </w:r>
          </w:p>
        </w:tc>
      </w:tr>
    </w:tbl>
    <w:p>
      <w:pPr>
        <w:pStyle w:val="2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硬件</w:t>
      </w:r>
    </w:p>
    <w:tbl>
      <w:tblPr>
        <w:tblStyle w:val="25"/>
        <w:tblW w:w="8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3"/>
        <w:gridCol w:w="3136"/>
        <w:gridCol w:w="1363"/>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简" w:hAnsi="宋体-简" w:eastAsia="宋体-简" w:cs="宋体-简"/>
                <w:i w:val="0"/>
                <w:color w:val="000000"/>
                <w:sz w:val="20"/>
                <w:szCs w:val="20"/>
                <w:u w:val="none"/>
              </w:rPr>
            </w:pPr>
            <w:r>
              <w:rPr>
                <w:rFonts w:ascii="pingfang sc" w:hAnsi="pingfang sc" w:eastAsia="pingfang sc" w:cs="pingfang sc"/>
                <w:i w:val="0"/>
                <w:color w:val="000000"/>
                <w:kern w:val="0"/>
                <w:sz w:val="19"/>
                <w:szCs w:val="19"/>
                <w:u w:val="none"/>
                <w:lang w:val="en-US" w:eastAsia="zh-CN" w:bidi="ar"/>
              </w:rPr>
              <w:t>序号</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设备名称</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数量(台/套)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单价</w:t>
            </w:r>
            <w:r>
              <w:rPr>
                <w:rFonts w:hint="eastAsia" w:ascii="宋体-简" w:hAnsi="宋体-简" w:eastAsia="宋体-简" w:cs="宋体-简"/>
                <w:i w:val="0"/>
                <w:color w:val="000000"/>
                <w:kern w:val="0"/>
                <w:sz w:val="20"/>
                <w:szCs w:val="20"/>
                <w:u w:val="none"/>
                <w:lang w:val="en-US" w:eastAsia="zh-CN" w:bidi="ar"/>
              </w:rPr>
              <w:t>最高限价</w:t>
            </w:r>
          </w:p>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eastAsia" w:ascii="宋体-简" w:hAnsi="宋体-简" w:eastAsia="宋体-简" w:cs="宋体-简"/>
                <w:i w:val="0"/>
                <w:color w:val="000000"/>
                <w:kern w:val="0"/>
                <w:sz w:val="20"/>
                <w:szCs w:val="20"/>
                <w:u w:val="none"/>
                <w:lang w:val="en-US" w:eastAsia="zh-CN" w:bidi="ar"/>
              </w:rPr>
              <w:t>单价（万元）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手持式特征频谱侦测设备</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2</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反制盾（含侦查功能）</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3</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穿越机</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无人机远程控制盒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2.966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飞行控制摇杆</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6</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流量卡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0.234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8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简" w:hAnsi="宋体-简" w:eastAsia="宋体-简" w:cs="宋体-简"/>
                <w:i w:val="0"/>
                <w:color w:val="000000"/>
                <w:kern w:val="0"/>
                <w:sz w:val="20"/>
                <w:szCs w:val="20"/>
                <w:u w:val="none"/>
                <w:lang w:val="en-US" w:eastAsia="zh-CN" w:bidi="ar"/>
              </w:rPr>
            </w:pPr>
            <w:r>
              <w:rPr>
                <w:rFonts w:hint="eastAsia" w:ascii="宋体-简" w:hAnsi="宋体-简" w:eastAsia="宋体-简" w:cs="宋体-简"/>
                <w:i w:val="0"/>
                <w:color w:val="000000"/>
                <w:kern w:val="0"/>
                <w:sz w:val="20"/>
                <w:szCs w:val="20"/>
                <w:u w:val="none"/>
                <w:lang w:val="en-US" w:eastAsia="zh-CN" w:bidi="ar"/>
              </w:rPr>
              <w:t>合计=1+2+...+5+6=</w:t>
            </w:r>
            <w:r>
              <w:rPr>
                <w:rFonts w:hint="eastAsia" w:ascii="宋体-简" w:hAnsi="宋体-简" w:eastAsia="宋体-简" w:cs="宋体-简"/>
                <w:i w:val="0"/>
                <w:color w:val="000000"/>
                <w:kern w:val="0"/>
                <w:sz w:val="20"/>
                <w:szCs w:val="20"/>
                <w:u w:val="single"/>
                <w:lang w:val="en-US" w:eastAsia="zh-CN" w:bidi="ar"/>
              </w:rPr>
              <w:t xml:space="preserve">         </w:t>
            </w:r>
            <w:r>
              <w:rPr>
                <w:rFonts w:hint="eastAsia" w:ascii="宋体-简" w:hAnsi="宋体-简" w:eastAsia="宋体-简" w:cs="宋体-简"/>
                <w:i w:val="0"/>
                <w:color w:val="000000"/>
                <w:kern w:val="0"/>
                <w:sz w:val="20"/>
                <w:szCs w:val="20"/>
                <w:u w:val="none"/>
                <w:lang w:val="en-US" w:eastAsia="zh-CN" w:bidi="ar"/>
              </w:rPr>
              <w:t>元（转结至附件12开标一览表）</w:t>
            </w:r>
          </w:p>
        </w:tc>
      </w:tr>
    </w:tbl>
    <w:p>
      <w:pPr>
        <w:spacing w:line="360" w:lineRule="auto"/>
        <w:ind w:left="15" w:firstLine="440" w:firstLineChars="200"/>
        <w:rPr>
          <w:rFonts w:hint="eastAsia" w:ascii="宋体" w:hAnsi="宋体" w:cs="宋体"/>
          <w:color w:val="auto"/>
          <w:sz w:val="22"/>
          <w:szCs w:val="18"/>
          <w:highlight w:val="none"/>
        </w:rPr>
      </w:pPr>
    </w:p>
    <w:p>
      <w:pPr>
        <w:spacing w:line="360" w:lineRule="auto"/>
        <w:ind w:left="15" w:firstLine="440" w:firstLineChars="200"/>
        <w:rPr>
          <w:rFonts w:hint="eastAsia" w:ascii="宋体" w:hAnsi="宋体" w:cs="宋体"/>
          <w:color w:val="auto"/>
          <w:sz w:val="22"/>
          <w:szCs w:val="18"/>
          <w:highlight w:val="none"/>
        </w:rPr>
      </w:pPr>
      <w:r>
        <w:rPr>
          <w:rFonts w:hint="eastAsia" w:ascii="宋体" w:hAnsi="宋体" w:cs="宋体"/>
          <w:color w:val="auto"/>
          <w:sz w:val="22"/>
          <w:szCs w:val="18"/>
          <w:highlight w:val="none"/>
        </w:rPr>
        <w:t>1.本表为《开标一览表》的报价明细表，如有缺项、漏项，视为投标报价中已包含相关费用，</w:t>
      </w:r>
      <w:r>
        <w:rPr>
          <w:rFonts w:hint="eastAsia" w:ascii="宋体" w:hAnsi="宋体" w:cs="宋体"/>
          <w:color w:val="auto"/>
          <w:sz w:val="22"/>
          <w:szCs w:val="18"/>
          <w:highlight w:val="none"/>
          <w:lang w:eastAsia="zh-CN"/>
        </w:rPr>
        <w:t>招标人</w:t>
      </w:r>
      <w:r>
        <w:rPr>
          <w:rFonts w:hint="eastAsia" w:ascii="宋体" w:hAnsi="宋体" w:cs="宋体"/>
          <w:color w:val="auto"/>
          <w:sz w:val="22"/>
          <w:szCs w:val="18"/>
          <w:highlight w:val="none"/>
        </w:rPr>
        <w:t>无需另外支付任何费用。</w:t>
      </w:r>
    </w:p>
    <w:p>
      <w:pPr>
        <w:spacing w:line="360" w:lineRule="auto"/>
        <w:ind w:left="15" w:firstLine="440" w:firstLineChars="200"/>
        <w:rPr>
          <w:rFonts w:hint="eastAsia" w:ascii="宋体" w:hAnsi="宋体" w:cs="宋体"/>
          <w:color w:val="auto"/>
          <w:sz w:val="22"/>
          <w:szCs w:val="18"/>
          <w:highlight w:val="none"/>
          <w:lang w:val="zh-CN"/>
        </w:rPr>
      </w:pPr>
      <w:r>
        <w:rPr>
          <w:rFonts w:hint="eastAsia" w:ascii="宋体" w:hAnsi="宋体" w:cs="宋体"/>
          <w:color w:val="auto"/>
          <w:sz w:val="22"/>
          <w:szCs w:val="18"/>
          <w:highlight w:val="none"/>
        </w:rPr>
        <w:t>2.</w:t>
      </w:r>
      <w:r>
        <w:rPr>
          <w:rFonts w:hint="eastAsia" w:ascii="宋体" w:hAnsi="宋体" w:cs="宋体"/>
          <w:color w:val="auto"/>
          <w:sz w:val="22"/>
          <w:szCs w:val="18"/>
          <w:highlight w:val="none"/>
          <w:lang w:val="zh-CN"/>
        </w:rPr>
        <w:t>“报价明细表”中的报价合计应与“开标一览表”中的投标总报价相一致，不一致时，以开标一览表为准。</w:t>
      </w:r>
    </w:p>
    <w:p>
      <w:pPr>
        <w:spacing w:line="360" w:lineRule="auto"/>
        <w:ind w:left="15" w:firstLine="440" w:firstLineChars="200"/>
        <w:rPr>
          <w:rFonts w:hint="eastAsia" w:ascii="宋体" w:hAnsi="宋体" w:cs="宋体"/>
          <w:color w:val="auto"/>
          <w:sz w:val="22"/>
          <w:szCs w:val="18"/>
          <w:highlight w:val="none"/>
          <w:lang w:val="zh-CN"/>
        </w:rPr>
      </w:pPr>
      <w:r>
        <w:rPr>
          <w:rFonts w:hint="eastAsia" w:ascii="宋体" w:hAnsi="宋体" w:cs="宋体"/>
          <w:color w:val="auto"/>
          <w:sz w:val="22"/>
          <w:szCs w:val="18"/>
          <w:highlight w:val="none"/>
        </w:rPr>
        <w:t>3.</w:t>
      </w:r>
      <w:r>
        <w:rPr>
          <w:rFonts w:hint="eastAsia" w:ascii="宋体" w:hAnsi="宋体" w:cs="宋体"/>
          <w:color w:val="auto"/>
          <w:sz w:val="22"/>
          <w:szCs w:val="18"/>
          <w:highlight w:val="none"/>
          <w:lang w:val="zh-CN"/>
        </w:rPr>
        <w:t>投标报价明细表所填内容按</w:t>
      </w:r>
      <w:r>
        <w:rPr>
          <w:rFonts w:hint="eastAsia" w:ascii="宋体" w:hAnsi="宋体" w:cs="宋体"/>
          <w:color w:val="auto"/>
          <w:sz w:val="22"/>
          <w:szCs w:val="18"/>
          <w:highlight w:val="none"/>
        </w:rPr>
        <w:t>采购</w:t>
      </w:r>
      <w:r>
        <w:rPr>
          <w:rFonts w:hint="eastAsia" w:ascii="宋体" w:hAnsi="宋体" w:cs="宋体"/>
          <w:color w:val="auto"/>
          <w:sz w:val="22"/>
          <w:szCs w:val="18"/>
          <w:highlight w:val="none"/>
          <w:lang w:val="zh-CN"/>
        </w:rPr>
        <w:t>文件采购清单要求为准。如有漏报的，视同已包含在投标总价内或已作优惠处理。有重大缺项的将作无效标处理。</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供应商名称（公章）：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投标人代表签字：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p>
    <w:p>
      <w:pPr>
        <w:pStyle w:val="35"/>
        <w:spacing w:line="360" w:lineRule="auto"/>
        <w:ind w:firstLine="0" w:firstLineChars="0"/>
        <w:rPr>
          <w:rFonts w:hint="eastAsia" w:ascii="宋体" w:hAnsi="宋体" w:cs="宋体"/>
          <w:b/>
          <w:bCs/>
          <w:color w:val="auto"/>
          <w:szCs w:val="21"/>
          <w:highlight w:val="none"/>
        </w:rPr>
      </w:pPr>
      <w:r>
        <w:rPr>
          <w:rFonts w:hint="eastAsia" w:ascii="宋体" w:hAnsi="宋体" w:cs="宋体"/>
          <w:color w:val="auto"/>
          <w:sz w:val="24"/>
          <w:highlight w:val="none"/>
        </w:rPr>
        <w:t>日        期：</w:t>
      </w:r>
    </w:p>
    <w:p>
      <w:pPr>
        <w:pStyle w:val="5"/>
        <w:numPr>
          <w:ilvl w:val="0"/>
          <w:numId w:val="0"/>
        </w:numPr>
        <w:ind w:left="425" w:leftChars="0"/>
        <w:jc w:val="both"/>
      </w:pPr>
    </w:p>
    <w:p/>
    <w:p>
      <w:pPr>
        <w:pStyle w:val="20"/>
      </w:pPr>
    </w:p>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snapToGrid w:val="0"/>
        <w:spacing w:before="156" w:beforeLines="50" w:after="50" w:line="360" w:lineRule="auto"/>
        <w:rPr>
          <w:rFonts w:hint="default" w:ascii="宋体" w:hAnsi="宋体" w:cs="宋体"/>
          <w:b/>
          <w:color w:val="auto"/>
          <w:sz w:val="28"/>
          <w:highlight w:val="none"/>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宋体-简">
    <w:altName w:val="宋体"/>
    <w:panose1 w:val="00000000000000000000"/>
    <w:charset w:val="00"/>
    <w:family w:val="auto"/>
    <w:pitch w:val="default"/>
    <w:sig w:usb0="00000000" w:usb1="00000000" w:usb2="00000000" w:usb3="00000000" w:csb0="00000000" w:csb1="0000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NTIzYmQzYTkzZDNjNzAyYjQzNmIwNGQ0MmE2M2I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6609F8"/>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3716B"/>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45DC1"/>
    <w:rsid w:val="06D53145"/>
    <w:rsid w:val="06DC60DB"/>
    <w:rsid w:val="06F44F8B"/>
    <w:rsid w:val="06F84851"/>
    <w:rsid w:val="06FB0045"/>
    <w:rsid w:val="077360FE"/>
    <w:rsid w:val="077B362D"/>
    <w:rsid w:val="07964217"/>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4639E4"/>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A17DDA"/>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01F6A"/>
    <w:rsid w:val="186F483E"/>
    <w:rsid w:val="1870253F"/>
    <w:rsid w:val="188227EF"/>
    <w:rsid w:val="189220EE"/>
    <w:rsid w:val="189E4B47"/>
    <w:rsid w:val="18C05D2F"/>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F37599"/>
    <w:rsid w:val="20027E74"/>
    <w:rsid w:val="20035905"/>
    <w:rsid w:val="20082660"/>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62034"/>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9B6858"/>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6D5394"/>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D80A0A"/>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40220D"/>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4DB3BCF"/>
    <w:rsid w:val="45087E48"/>
    <w:rsid w:val="452905F3"/>
    <w:rsid w:val="4531085A"/>
    <w:rsid w:val="456A35B3"/>
    <w:rsid w:val="459E711B"/>
    <w:rsid w:val="45A45439"/>
    <w:rsid w:val="45B4675B"/>
    <w:rsid w:val="45CA7348"/>
    <w:rsid w:val="45CB72CE"/>
    <w:rsid w:val="461F4864"/>
    <w:rsid w:val="462B6DAB"/>
    <w:rsid w:val="46696311"/>
    <w:rsid w:val="46977D08"/>
    <w:rsid w:val="469B5592"/>
    <w:rsid w:val="46A5400A"/>
    <w:rsid w:val="46B17421"/>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1D092C"/>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21B5B"/>
    <w:rsid w:val="56EA1F97"/>
    <w:rsid w:val="570F0FFB"/>
    <w:rsid w:val="57493809"/>
    <w:rsid w:val="574E065D"/>
    <w:rsid w:val="575B7C13"/>
    <w:rsid w:val="576E7E03"/>
    <w:rsid w:val="576F3950"/>
    <w:rsid w:val="578A5B09"/>
    <w:rsid w:val="579B0E0D"/>
    <w:rsid w:val="57AA49F3"/>
    <w:rsid w:val="57AA5D1A"/>
    <w:rsid w:val="57BE32DB"/>
    <w:rsid w:val="57D631F8"/>
    <w:rsid w:val="58082218"/>
    <w:rsid w:val="581028EA"/>
    <w:rsid w:val="581917B6"/>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51133"/>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543F5C"/>
    <w:rsid w:val="61A25580"/>
    <w:rsid w:val="61AE7556"/>
    <w:rsid w:val="61C55F7F"/>
    <w:rsid w:val="61CA3612"/>
    <w:rsid w:val="61D41854"/>
    <w:rsid w:val="61F46458"/>
    <w:rsid w:val="62282B27"/>
    <w:rsid w:val="623E360E"/>
    <w:rsid w:val="625A6442"/>
    <w:rsid w:val="6275630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903D07"/>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750E25"/>
    <w:rsid w:val="6C98271E"/>
    <w:rsid w:val="6CA06E51"/>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15F55"/>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4ED2DBE"/>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AC62E6"/>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AF1C8C"/>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link w:val="8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link w:val="77"/>
    <w:qFormat/>
    <w:uiPriority w:val="0"/>
    <w:pPr>
      <w:ind w:firstLine="200" w:firstLineChars="200"/>
    </w:pPr>
  </w:style>
  <w:style w:type="paragraph" w:styleId="4">
    <w:name w:val="toc 6"/>
    <w:basedOn w:val="1"/>
    <w:next w:val="1"/>
    <w:unhideWhenUsed/>
    <w:qFormat/>
    <w:uiPriority w:val="39"/>
    <w:pPr>
      <w:ind w:left="2100" w:leftChars="1000"/>
    </w:pPr>
    <w:rPr>
      <w:rFonts w:ascii="Calibri" w:hAnsi="Calibri"/>
    </w:rPr>
  </w:style>
  <w:style w:type="paragraph" w:styleId="8">
    <w:name w:val="Normal Indent"/>
    <w:basedOn w:val="1"/>
    <w:next w:val="1"/>
    <w:qFormat/>
    <w:uiPriority w:val="0"/>
    <w:pPr>
      <w:ind w:firstLine="420"/>
    </w:pPr>
    <w:rPr>
      <w:szCs w:val="20"/>
    </w:r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5"/>
    <w:qFormat/>
    <w:uiPriority w:val="0"/>
    <w:pPr>
      <w:jc w:val="left"/>
    </w:pPr>
  </w:style>
  <w:style w:type="paragraph" w:styleId="12">
    <w:name w:val="Body Text Indent"/>
    <w:basedOn w:val="1"/>
    <w:next w:val="1"/>
    <w:qFormat/>
    <w:uiPriority w:val="0"/>
    <w:pPr>
      <w:spacing w:after="120"/>
      <w:ind w:left="420" w:leftChars="200"/>
    </w:pPr>
  </w:style>
  <w:style w:type="paragraph" w:styleId="13">
    <w:name w:val="List Bullet 2"/>
    <w:basedOn w:val="1"/>
    <w:next w:val="10"/>
    <w:qFormat/>
    <w:uiPriority w:val="0"/>
    <w:pPr>
      <w:numPr>
        <w:ilvl w:val="0"/>
        <w:numId w:val="4"/>
      </w:numPr>
    </w:pPr>
  </w:style>
  <w:style w:type="paragraph" w:styleId="14">
    <w:name w:val="Plain Text"/>
    <w:basedOn w:val="1"/>
    <w:next w:val="15"/>
    <w:link w:val="67"/>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6"/>
    <w:qFormat/>
    <w:uiPriority w:val="0"/>
    <w:rPr>
      <w:b/>
      <w:bCs/>
    </w:rPr>
  </w:style>
  <w:style w:type="paragraph" w:styleId="24">
    <w:name w:val="Body Text First Indent 2"/>
    <w:basedOn w:val="12"/>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签发人"/>
    <w:basedOn w:val="1"/>
    <w:qFormat/>
    <w:uiPriority w:val="0"/>
    <w:rPr>
      <w:rFonts w:eastAsia="楷体"/>
      <w:sz w:val="32"/>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2"/>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7"/>
    <w:qFormat/>
    <w:uiPriority w:val="0"/>
    <w:rPr>
      <w:rFonts w:hint="default" w:ascii="Arial" w:hAnsi="Arial" w:cs="Arial"/>
      <w:color w:val="000000"/>
      <w:sz w:val="20"/>
      <w:szCs w:val="20"/>
      <w:u w:val="none"/>
    </w:rPr>
  </w:style>
  <w:style w:type="character" w:customStyle="1" w:styleId="51">
    <w:name w:val="font01"/>
    <w:basedOn w:val="27"/>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7"/>
    <w:link w:val="16"/>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4"/>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7"/>
    <w:link w:val="11"/>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7"/>
    <w:link w:val="3"/>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7"/>
    <w:semiHidden/>
    <w:unhideWhenUsed/>
    <w:qFormat/>
    <w:uiPriority w:val="99"/>
    <w:rPr>
      <w:color w:val="605E5C"/>
      <w:shd w:val="clear" w:color="auto" w:fill="E1DFDD"/>
    </w:rPr>
  </w:style>
  <w:style w:type="character" w:customStyle="1" w:styleId="80">
    <w:name w:val="font11"/>
    <w:basedOn w:val="27"/>
    <w:qFormat/>
    <w:uiPriority w:val="0"/>
    <w:rPr>
      <w:rFonts w:hint="eastAsia" w:ascii="宋体" w:hAnsi="宋体" w:eastAsia="宋体" w:cs="宋体"/>
      <w:color w:val="000000"/>
      <w:sz w:val="36"/>
      <w:szCs w:val="36"/>
      <w:u w:val="none"/>
    </w:rPr>
  </w:style>
  <w:style w:type="paragraph" w:customStyle="1" w:styleId="8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82">
    <w:name w:val="标题 2 Char"/>
    <w:link w:val="6"/>
    <w:qFormat/>
    <w:uiPriority w:val="0"/>
    <w:rPr>
      <w:rFonts w:ascii="宋体" w:hAnsi="宋体"/>
      <w:b/>
      <w:sz w:val="32"/>
      <w:szCs w:val="28"/>
    </w:rPr>
  </w:style>
  <w:style w:type="paragraph" w:customStyle="1" w:styleId="83">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77</Pages>
  <Words>39186</Words>
  <Characters>41611</Characters>
  <Lines>169</Lines>
  <Paragraphs>47</Paragraphs>
  <TotalTime>0</TotalTime>
  <ScaleCrop>false</ScaleCrop>
  <LinksUpToDate>false</LinksUpToDate>
  <CharactersWithSpaces>42745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2024-07-11T02:44:00Z</cp:lastPrinted>
  <dcterms:modified xsi:type="dcterms:W3CDTF">2024-08-26T07:10:52Z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966437834B104F368F16F2C6BBBDFFA4_13</vt:lpwstr>
  </property>
  <property fmtid="{D5CDD505-2E9C-101B-9397-08002B2CF9AE}" pid="4" name="commondata">
    <vt:lpwstr>eyJoZGlkIjoiZWM5NTczMTg4N2ExZWZmMDU0MmIxMDc2NTJiZjIxOTMifQ==</vt:lpwstr>
  </property>
</Properties>
</file>