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4CC0C">
      <w:pPr>
        <w:jc w:val="center"/>
        <w:rPr>
          <w:rFonts w:hint="eastAsia"/>
          <w:b/>
          <w:bCs/>
          <w:color w:val="auto"/>
          <w:sz w:val="36"/>
          <w:szCs w:val="32"/>
          <w:highlight w:val="none"/>
        </w:rPr>
      </w:pPr>
    </w:p>
    <w:p w14:paraId="2669568F">
      <w:pPr>
        <w:jc w:val="center"/>
        <w:rPr>
          <w:rFonts w:hint="eastAsia"/>
          <w:b/>
          <w:bCs/>
          <w:color w:val="auto"/>
          <w:sz w:val="36"/>
          <w:szCs w:val="32"/>
          <w:highlight w:val="none"/>
        </w:rPr>
      </w:pPr>
    </w:p>
    <w:p w14:paraId="43532C09">
      <w:pPr>
        <w:jc w:val="center"/>
        <w:rPr>
          <w:rFonts w:hint="eastAsia" w:eastAsia="宋体"/>
          <w:b/>
          <w:bCs/>
          <w:color w:val="auto"/>
          <w:sz w:val="36"/>
          <w:szCs w:val="32"/>
          <w:highlight w:val="none"/>
          <w:lang w:eastAsia="zh-CN"/>
        </w:rPr>
      </w:pPr>
      <w:r>
        <w:rPr>
          <w:rFonts w:hint="eastAsia"/>
          <w:b/>
          <w:bCs/>
          <w:color w:val="auto"/>
          <w:sz w:val="36"/>
          <w:szCs w:val="32"/>
          <w:highlight w:val="none"/>
          <w:lang w:eastAsia="zh-CN"/>
        </w:rPr>
        <w:t>台州市开发投资集团有限公司国产化适配项目</w:t>
      </w:r>
    </w:p>
    <w:p w14:paraId="660C94D3">
      <w:pPr>
        <w:pStyle w:val="87"/>
        <w:rPr>
          <w:color w:val="auto"/>
          <w:highlight w:val="none"/>
        </w:rPr>
      </w:pPr>
    </w:p>
    <w:p w14:paraId="1BA7D46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14:paraId="36AAB3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color w:val="auto"/>
          <w:kern w:val="0"/>
          <w:sz w:val="32"/>
          <w:highlight w:val="none"/>
        </w:rPr>
      </w:pPr>
      <w:r>
        <w:rPr>
          <w:rFonts w:hint="eastAsia" w:ascii="宋体" w:hAnsi="宋体" w:cs="Calibri Light"/>
          <w:color w:val="auto"/>
          <w:kern w:val="0"/>
          <w:szCs w:val="28"/>
          <w:highlight w:val="none"/>
        </w:rPr>
        <w:t>采购编号：QBJ2024184</w:t>
      </w:r>
      <w:r>
        <w:rPr>
          <w:rFonts w:ascii="宋体" w:hAnsi="宋体" w:cs="Calibri Light"/>
          <w:color w:val="auto"/>
          <w:kern w:val="0"/>
          <w:szCs w:val="28"/>
          <w:highlight w:val="none"/>
        </w:rPr>
        <w:t xml:space="preserve"> </w:t>
      </w:r>
    </w:p>
    <w:p w14:paraId="3111F621">
      <w:pPr>
        <w:tabs>
          <w:tab w:val="left" w:pos="1260"/>
        </w:tabs>
        <w:spacing w:line="640" w:lineRule="exact"/>
        <w:outlineLvl w:val="0"/>
        <w:rPr>
          <w:rFonts w:hint="eastAsia" w:ascii="宋体" w:hAnsi="宋体"/>
          <w:color w:val="auto"/>
          <w:spacing w:val="20"/>
          <w:kern w:val="21"/>
          <w:sz w:val="30"/>
          <w:szCs w:val="30"/>
          <w:highlight w:val="none"/>
        </w:rPr>
      </w:pPr>
    </w:p>
    <w:p w14:paraId="47F1F5B1">
      <w:pP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采购人：台州市开发投资集团有限公司（盖章）</w:t>
      </w:r>
    </w:p>
    <w:p w14:paraId="7AD18C0F">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 系 人：王女士</w:t>
      </w:r>
    </w:p>
    <w:p w14:paraId="4D25C240">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 xml:space="preserve">联系电话：0576-88503104 </w:t>
      </w:r>
    </w:p>
    <w:p w14:paraId="0D9280D2">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pacing w:val="20"/>
          <w:kern w:val="21"/>
          <w:sz w:val="30"/>
          <w:szCs w:val="30"/>
          <w:highlight w:val="none"/>
          <w:lang w:eastAsia="zh-CN"/>
        </w:rPr>
        <w:t>台州湾新区丰昘建设咨询有限公司</w:t>
      </w:r>
      <w:r>
        <w:rPr>
          <w:rFonts w:hint="eastAsia" w:ascii="宋体" w:hAnsi="宋体"/>
          <w:color w:val="auto"/>
          <w:spacing w:val="20"/>
          <w:kern w:val="21"/>
          <w:sz w:val="30"/>
          <w:szCs w:val="30"/>
          <w:highlight w:val="none"/>
        </w:rPr>
        <w:t>（盖章）</w:t>
      </w:r>
    </w:p>
    <w:p w14:paraId="22AF4179">
      <w:pP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lang w:val="en-US" w:eastAsia="zh-CN"/>
        </w:rPr>
        <w:t>王女士</w:t>
      </w:r>
    </w:p>
    <w:p w14:paraId="6136C7CC">
      <w:pPr>
        <w:tabs>
          <w:tab w:val="left" w:pos="5685"/>
        </w:tabs>
        <w:spacing w:line="640" w:lineRule="exact"/>
        <w:ind w:firstLine="1020" w:firstLineChars="300"/>
        <w:outlineLvl w:val="0"/>
        <w:rPr>
          <w:rFonts w:hint="eastAsia" w:ascii="宋体" w:hAnsi="宋体" w:eastAsia="宋体"/>
          <w:color w:val="auto"/>
          <w:spacing w:val="20"/>
          <w:kern w:val="21"/>
          <w:sz w:val="30"/>
          <w:szCs w:val="30"/>
          <w:highlight w:val="none"/>
          <w:lang w:eastAsia="zh-CN"/>
        </w:rPr>
      </w:pPr>
      <w:r>
        <w:rPr>
          <w:rFonts w:hint="eastAsia" w:ascii="宋体" w:hAnsi="宋体"/>
          <w:color w:val="auto"/>
          <w:spacing w:val="20"/>
          <w:kern w:val="21"/>
          <w:sz w:val="30"/>
          <w:szCs w:val="30"/>
          <w:highlight w:val="none"/>
        </w:rPr>
        <w:t>联系电话：</w:t>
      </w:r>
      <w:r>
        <w:rPr>
          <w:rFonts w:hint="eastAsia" w:ascii="宋体" w:hAnsi="宋体"/>
          <w:color w:val="auto"/>
          <w:spacing w:val="20"/>
          <w:kern w:val="21"/>
          <w:sz w:val="30"/>
          <w:szCs w:val="30"/>
          <w:highlight w:val="none"/>
          <w:lang w:eastAsia="zh-CN"/>
        </w:rPr>
        <w:t>0576-88517650</w:t>
      </w:r>
    </w:p>
    <w:p w14:paraId="1EBA3685">
      <w:pPr>
        <w:spacing w:line="640" w:lineRule="exact"/>
        <w:ind w:firstLine="1020" w:firstLineChars="300"/>
        <w:outlineLvl w:val="0"/>
        <w:rPr>
          <w:rFonts w:hint="eastAsia"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w:t>
      </w:r>
      <w:r>
        <w:rPr>
          <w:rFonts w:hint="eastAsia" w:ascii="宋体" w:hAnsi="宋体"/>
          <w:color w:val="auto"/>
          <w:spacing w:val="20"/>
          <w:kern w:val="21"/>
          <w:sz w:val="30"/>
          <w:szCs w:val="30"/>
          <w:highlight w:val="none"/>
          <w:lang w:val="en-US" w:eastAsia="zh-CN"/>
        </w:rPr>
        <w:t>2024</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09</w:t>
      </w:r>
      <w:r>
        <w:rPr>
          <w:rFonts w:hint="eastAsia" w:ascii="宋体" w:hAnsi="宋体"/>
          <w:color w:val="auto"/>
          <w:spacing w:val="20"/>
          <w:kern w:val="21"/>
          <w:sz w:val="30"/>
          <w:szCs w:val="30"/>
          <w:highlight w:val="none"/>
        </w:rPr>
        <w:t>月</w:t>
      </w:r>
    </w:p>
    <w:p w14:paraId="6FAD9A95">
      <w:pPr>
        <w:jc w:val="center"/>
        <w:rPr>
          <w:rFonts w:hint="eastAsia" w:ascii="宋体" w:hAnsi="宋体" w:cs="宋体"/>
          <w:color w:val="auto"/>
          <w:sz w:val="48"/>
          <w:szCs w:val="56"/>
          <w:highlight w:val="none"/>
        </w:rPr>
      </w:pPr>
      <w:bookmarkStart w:id="0" w:name="_Toc32435_WPSOffice_Type1"/>
      <w:r>
        <w:rPr>
          <w:rFonts w:hint="eastAsia" w:ascii="宋体" w:hAnsi="宋体" w:cs="宋体"/>
          <w:color w:val="auto"/>
          <w:sz w:val="48"/>
          <w:szCs w:val="56"/>
          <w:highlight w:val="none"/>
        </w:rPr>
        <w:t>目录</w:t>
      </w:r>
    </w:p>
    <w:p w14:paraId="2E5CFD75">
      <w:pPr>
        <w:jc w:val="center"/>
        <w:rPr>
          <w:rFonts w:hint="eastAsia" w:ascii="宋体" w:hAnsi="宋体" w:cs="宋体"/>
          <w:color w:val="auto"/>
          <w:sz w:val="48"/>
          <w:szCs w:val="56"/>
          <w:highlight w:val="none"/>
        </w:rPr>
      </w:pPr>
    </w:p>
    <w:p w14:paraId="25C287EC">
      <w:pPr>
        <w:jc w:val="center"/>
        <w:rPr>
          <w:rFonts w:hint="eastAsia" w:ascii="宋体" w:hAnsi="宋体" w:cs="宋体"/>
          <w:color w:val="auto"/>
          <w:sz w:val="48"/>
          <w:szCs w:val="56"/>
          <w:highlight w:val="none"/>
        </w:rPr>
      </w:pPr>
    </w:p>
    <w:p w14:paraId="45A9E3FE">
      <w:pPr>
        <w:pStyle w:val="118"/>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"第一章" </w:instrText>
      </w:r>
      <w:r>
        <w:rPr>
          <w:rFonts w:hint="eastAsia" w:ascii="宋体" w:hAnsi="宋体" w:cs="宋体"/>
          <w:color w:val="auto"/>
          <w:sz w:val="36"/>
          <w:szCs w:val="36"/>
          <w:highlight w:val="none"/>
        </w:rPr>
        <w:fldChar w:fldCharType="separate"/>
      </w:r>
      <w:r>
        <w:rPr>
          <w:rStyle w:val="46"/>
          <w:rFonts w:hint="eastAsia" w:ascii="宋体" w:hAnsi="宋体" w:cs="宋体"/>
          <w:color w:val="auto"/>
          <w:sz w:val="36"/>
          <w:szCs w:val="36"/>
          <w:highlight w:val="none"/>
          <w:u w:val="none"/>
        </w:rPr>
        <w:t>第一章  公开招标采购公告</w:t>
      </w:r>
      <w:r>
        <w:rPr>
          <w:rStyle w:val="46"/>
          <w:rFonts w:hint="eastAsia" w:ascii="宋体" w:hAnsi="宋体" w:cs="宋体"/>
          <w:color w:val="auto"/>
          <w:sz w:val="36"/>
          <w:szCs w:val="36"/>
          <w:highlight w:val="none"/>
          <w:u w:val="none"/>
        </w:rPr>
        <w:tab/>
      </w:r>
      <w:r>
        <w:rPr>
          <w:rStyle w:val="46"/>
          <w:rFonts w:hint="eastAsia" w:ascii="宋体" w:hAnsi="宋体" w:cs="宋体"/>
          <w:color w:val="auto"/>
          <w:sz w:val="36"/>
          <w:szCs w:val="36"/>
          <w:highlight w:val="none"/>
          <w:u w:val="none"/>
        </w:rPr>
        <w:t>3</w:t>
      </w:r>
      <w:r>
        <w:rPr>
          <w:rFonts w:hint="eastAsia" w:ascii="宋体" w:hAnsi="宋体" w:cs="宋体"/>
          <w:color w:val="auto"/>
          <w:sz w:val="36"/>
          <w:szCs w:val="36"/>
          <w:highlight w:val="none"/>
        </w:rPr>
        <w:fldChar w:fldCharType="end"/>
      </w:r>
    </w:p>
    <w:p w14:paraId="00BA7605">
      <w:pPr>
        <w:pStyle w:val="118"/>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"第二章" </w:instrText>
      </w:r>
      <w:r>
        <w:rPr>
          <w:rFonts w:hint="eastAsia" w:ascii="宋体" w:hAnsi="宋体" w:cs="宋体"/>
          <w:color w:val="auto"/>
          <w:sz w:val="36"/>
          <w:szCs w:val="36"/>
          <w:highlight w:val="none"/>
        </w:rPr>
        <w:fldChar w:fldCharType="separate"/>
      </w:r>
      <w:r>
        <w:rPr>
          <w:rStyle w:val="47"/>
          <w:rFonts w:hint="eastAsia" w:ascii="宋体" w:hAnsi="宋体" w:cs="宋体"/>
          <w:color w:val="auto"/>
          <w:sz w:val="36"/>
          <w:szCs w:val="36"/>
          <w:highlight w:val="none"/>
          <w:u w:val="none"/>
        </w:rPr>
        <w:t>第二章  招标需求</w:t>
      </w:r>
      <w:r>
        <w:rPr>
          <w:rStyle w:val="47"/>
          <w:rFonts w:hint="eastAsia" w:ascii="宋体" w:hAnsi="宋体" w:cs="宋体"/>
          <w:color w:val="auto"/>
          <w:sz w:val="36"/>
          <w:szCs w:val="36"/>
          <w:highlight w:val="none"/>
          <w:u w:val="none"/>
        </w:rPr>
        <w:tab/>
      </w:r>
      <w:r>
        <w:rPr>
          <w:rStyle w:val="47"/>
          <w:rFonts w:hint="eastAsia" w:ascii="宋体" w:hAnsi="宋体" w:cs="宋体"/>
          <w:color w:val="auto"/>
          <w:sz w:val="36"/>
          <w:szCs w:val="36"/>
          <w:highlight w:val="none"/>
          <w:u w:val="none"/>
          <w:lang w:val="en-US" w:eastAsia="zh-CN"/>
        </w:rPr>
        <w:t>7</w:t>
      </w:r>
      <w:r>
        <w:rPr>
          <w:rFonts w:hint="eastAsia" w:ascii="宋体" w:hAnsi="宋体" w:cs="宋体"/>
          <w:color w:val="auto"/>
          <w:sz w:val="36"/>
          <w:szCs w:val="36"/>
          <w:highlight w:val="none"/>
        </w:rPr>
        <w:fldChar w:fldCharType="end"/>
      </w:r>
    </w:p>
    <w:p w14:paraId="7FC04152">
      <w:pPr>
        <w:pStyle w:val="118"/>
        <w:tabs>
          <w:tab w:val="right" w:leader="dot" w:pos="9356"/>
        </w:tabs>
        <w:rPr>
          <w:rFonts w:hint="eastAsia" w:ascii="宋体" w:hAnsi="宋体" w:eastAsia="宋体" w:cs="宋体"/>
          <w:color w:val="auto"/>
          <w:sz w:val="36"/>
          <w:szCs w:val="36"/>
          <w:highlight w:val="none"/>
          <w:lang w:val="en-US"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"第三章" </w:instrText>
      </w:r>
      <w:r>
        <w:rPr>
          <w:rFonts w:hint="eastAsia" w:ascii="宋体" w:hAnsi="宋体" w:cs="宋体"/>
          <w:color w:val="auto"/>
          <w:sz w:val="36"/>
          <w:szCs w:val="36"/>
          <w:highlight w:val="none"/>
        </w:rPr>
        <w:fldChar w:fldCharType="separate"/>
      </w:r>
      <w:r>
        <w:rPr>
          <w:rStyle w:val="47"/>
          <w:rFonts w:hint="eastAsia" w:ascii="宋体" w:hAnsi="宋体" w:cs="宋体"/>
          <w:color w:val="auto"/>
          <w:sz w:val="36"/>
          <w:szCs w:val="36"/>
          <w:highlight w:val="none"/>
          <w:u w:val="none"/>
        </w:rPr>
        <w:t>第三章  投标人须知</w:t>
      </w:r>
      <w:r>
        <w:rPr>
          <w:rStyle w:val="47"/>
          <w:rFonts w:hint="eastAsia" w:ascii="宋体" w:hAnsi="宋体" w:cs="宋体"/>
          <w:color w:val="auto"/>
          <w:sz w:val="36"/>
          <w:szCs w:val="36"/>
          <w:highlight w:val="none"/>
          <w:u w:val="none"/>
        </w:rPr>
        <w:tab/>
      </w:r>
      <w:r>
        <w:rPr>
          <w:rStyle w:val="47"/>
          <w:rFonts w:hint="eastAsia" w:ascii="宋体" w:hAnsi="宋体" w:cs="宋体"/>
          <w:color w:val="auto"/>
          <w:sz w:val="36"/>
          <w:szCs w:val="36"/>
          <w:highlight w:val="none"/>
          <w:u w:val="none"/>
          <w:lang w:val="en-US" w:eastAsia="zh-CN"/>
        </w:rPr>
        <w:t>2</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1</w:t>
      </w:r>
    </w:p>
    <w:p w14:paraId="02272BF5">
      <w:pPr>
        <w:pStyle w:val="118"/>
        <w:tabs>
          <w:tab w:val="right" w:leader="dot" w:pos="9356"/>
        </w:tabs>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"第四章" </w:instrText>
      </w:r>
      <w:r>
        <w:rPr>
          <w:rFonts w:hint="eastAsia" w:ascii="宋体" w:hAnsi="宋体" w:cs="宋体"/>
          <w:color w:val="auto"/>
          <w:sz w:val="36"/>
          <w:szCs w:val="36"/>
          <w:highlight w:val="none"/>
        </w:rPr>
        <w:fldChar w:fldCharType="separate"/>
      </w:r>
      <w:r>
        <w:rPr>
          <w:rStyle w:val="46"/>
          <w:rFonts w:hint="eastAsia" w:ascii="宋体" w:hAnsi="宋体" w:cs="宋体"/>
          <w:color w:val="auto"/>
          <w:sz w:val="36"/>
          <w:szCs w:val="36"/>
          <w:highlight w:val="none"/>
          <w:u w:val="none"/>
        </w:rPr>
        <w:t xml:space="preserve">第四章 </w:t>
      </w:r>
      <w:r>
        <w:rPr>
          <w:rStyle w:val="46"/>
          <w:rFonts w:hint="eastAsia" w:ascii="宋体" w:hAnsi="宋体" w:cs="宋体"/>
          <w:color w:val="auto"/>
          <w:sz w:val="36"/>
          <w:szCs w:val="36"/>
          <w:highlight w:val="none"/>
          <w:u w:val="none"/>
          <w:lang w:val="en-US" w:eastAsia="zh-CN"/>
        </w:rPr>
        <w:t xml:space="preserve"> </w:t>
      </w:r>
      <w:r>
        <w:rPr>
          <w:rStyle w:val="46"/>
          <w:rFonts w:hint="eastAsia" w:ascii="宋体" w:hAnsi="宋体" w:cs="宋体"/>
          <w:color w:val="auto"/>
          <w:sz w:val="36"/>
          <w:szCs w:val="36"/>
          <w:highlight w:val="none"/>
          <w:u w:val="none"/>
        </w:rPr>
        <w:t>评标办法及评分标准</w:t>
      </w:r>
      <w:r>
        <w:rPr>
          <w:rStyle w:val="46"/>
          <w:rFonts w:hint="eastAsia" w:ascii="宋体" w:hAnsi="宋体" w:cs="宋体"/>
          <w:color w:val="auto"/>
          <w:sz w:val="36"/>
          <w:szCs w:val="36"/>
          <w:highlight w:val="none"/>
          <w:u w:val="none"/>
        </w:rPr>
        <w:tab/>
      </w:r>
      <w:r>
        <w:rPr>
          <w:rStyle w:val="46"/>
          <w:rFonts w:hint="eastAsia" w:ascii="宋体" w:hAnsi="宋体" w:cs="宋体"/>
          <w:color w:val="auto"/>
          <w:sz w:val="36"/>
          <w:szCs w:val="36"/>
          <w:highlight w:val="none"/>
          <w:u w:val="none"/>
        </w:rPr>
        <w:t>3</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5</w:t>
      </w:r>
    </w:p>
    <w:p w14:paraId="08CE4336">
      <w:pPr>
        <w:pStyle w:val="118"/>
        <w:tabs>
          <w:tab w:val="right" w:leader="dot" w:pos="9356"/>
        </w:tabs>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"第五章" </w:instrText>
      </w:r>
      <w:r>
        <w:rPr>
          <w:rFonts w:hint="eastAsia" w:ascii="宋体" w:hAnsi="宋体" w:cs="宋体"/>
          <w:color w:val="auto"/>
          <w:sz w:val="36"/>
          <w:szCs w:val="36"/>
          <w:highlight w:val="none"/>
        </w:rPr>
        <w:fldChar w:fldCharType="separate"/>
      </w:r>
      <w:r>
        <w:rPr>
          <w:rStyle w:val="47"/>
          <w:rFonts w:hint="eastAsia" w:ascii="宋体" w:hAnsi="宋体" w:cs="宋体"/>
          <w:color w:val="auto"/>
          <w:sz w:val="36"/>
          <w:szCs w:val="36"/>
          <w:highlight w:val="none"/>
          <w:u w:val="none"/>
        </w:rPr>
        <w:t xml:space="preserve">第五章 </w:t>
      </w:r>
      <w:r>
        <w:rPr>
          <w:rStyle w:val="47"/>
          <w:rFonts w:hint="eastAsia" w:ascii="宋体" w:hAnsi="宋体" w:cs="宋体"/>
          <w:color w:val="auto"/>
          <w:sz w:val="36"/>
          <w:szCs w:val="36"/>
          <w:highlight w:val="none"/>
          <w:u w:val="none"/>
          <w:lang w:val="en-US" w:eastAsia="zh-CN"/>
        </w:rPr>
        <w:t xml:space="preserve"> </w:t>
      </w:r>
      <w:r>
        <w:rPr>
          <w:rStyle w:val="47"/>
          <w:rFonts w:hint="eastAsia" w:ascii="宋体" w:hAnsi="宋体" w:cs="宋体"/>
          <w:color w:val="auto"/>
          <w:sz w:val="36"/>
          <w:szCs w:val="36"/>
          <w:highlight w:val="none"/>
          <w:u w:val="none"/>
        </w:rPr>
        <w:t>合同格式（仅参考）</w:t>
      </w:r>
      <w:r>
        <w:rPr>
          <w:rStyle w:val="47"/>
          <w:rFonts w:hint="eastAsia" w:ascii="宋体" w:hAnsi="宋体" w:cs="宋体"/>
          <w:color w:val="auto"/>
          <w:sz w:val="36"/>
          <w:szCs w:val="36"/>
          <w:highlight w:val="none"/>
          <w:u w:val="none"/>
        </w:rPr>
        <w:tab/>
      </w:r>
      <w:r>
        <w:rPr>
          <w:rStyle w:val="47"/>
          <w:rFonts w:hint="eastAsia" w:ascii="宋体" w:hAnsi="宋体" w:cs="宋体"/>
          <w:color w:val="auto"/>
          <w:sz w:val="36"/>
          <w:szCs w:val="36"/>
          <w:highlight w:val="none"/>
          <w:u w:val="none"/>
        </w:rPr>
        <w:t>3</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8</w:t>
      </w:r>
    </w:p>
    <w:p w14:paraId="4E12A9CA">
      <w:pPr>
        <w:pStyle w:val="118"/>
        <w:tabs>
          <w:tab w:val="right" w:leader="dot" w:pos="9356"/>
        </w:tabs>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"第六章" </w:instrText>
      </w:r>
      <w:r>
        <w:rPr>
          <w:rFonts w:hint="eastAsia" w:ascii="宋体" w:hAnsi="宋体" w:cs="宋体"/>
          <w:color w:val="auto"/>
          <w:sz w:val="36"/>
          <w:szCs w:val="36"/>
          <w:highlight w:val="none"/>
        </w:rPr>
        <w:fldChar w:fldCharType="separate"/>
      </w:r>
      <w:r>
        <w:rPr>
          <w:rStyle w:val="46"/>
          <w:rFonts w:hint="eastAsia" w:ascii="宋体" w:hAnsi="宋体" w:cs="宋体"/>
          <w:color w:val="auto"/>
          <w:sz w:val="36"/>
          <w:szCs w:val="36"/>
          <w:highlight w:val="none"/>
          <w:u w:val="none"/>
        </w:rPr>
        <w:t>第六章</w:t>
      </w:r>
      <w:r>
        <w:rPr>
          <w:rStyle w:val="46"/>
          <w:rFonts w:hint="eastAsia" w:ascii="宋体" w:hAnsi="宋体" w:cs="宋体"/>
          <w:color w:val="auto"/>
          <w:sz w:val="36"/>
          <w:szCs w:val="36"/>
          <w:highlight w:val="none"/>
          <w:u w:val="none"/>
          <w:lang w:val="en-US" w:eastAsia="zh-CN"/>
        </w:rPr>
        <w:t xml:space="preserve">  </w:t>
      </w:r>
      <w:r>
        <w:rPr>
          <w:rStyle w:val="46"/>
          <w:rFonts w:hint="eastAsia" w:ascii="宋体" w:hAnsi="宋体" w:cs="宋体"/>
          <w:color w:val="auto"/>
          <w:sz w:val="36"/>
          <w:szCs w:val="36"/>
          <w:highlight w:val="none"/>
          <w:u w:val="none"/>
        </w:rPr>
        <w:t>投标文件格式</w:t>
      </w:r>
      <w:r>
        <w:rPr>
          <w:rStyle w:val="46"/>
          <w:rFonts w:hint="eastAsia" w:ascii="宋体" w:hAnsi="宋体" w:cs="宋体"/>
          <w:color w:val="auto"/>
          <w:sz w:val="36"/>
          <w:szCs w:val="36"/>
          <w:highlight w:val="none"/>
          <w:u w:val="none"/>
        </w:rPr>
        <w:tab/>
      </w:r>
      <w:r>
        <w:rPr>
          <w:rStyle w:val="46"/>
          <w:rFonts w:hint="eastAsia" w:ascii="宋体" w:hAnsi="宋体" w:cs="宋体"/>
          <w:color w:val="auto"/>
          <w:sz w:val="36"/>
          <w:szCs w:val="36"/>
          <w:highlight w:val="none"/>
          <w:u w:val="none"/>
          <w:lang w:val="en-US" w:eastAsia="zh-CN"/>
        </w:rPr>
        <w:t>4</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3</w:t>
      </w:r>
    </w:p>
    <w:bookmarkEnd w:id="0"/>
    <w:p w14:paraId="483FE40A">
      <w:pPr>
        <w:rPr>
          <w:color w:val="auto"/>
          <w:highlight w:val="none"/>
        </w:rPr>
      </w:pPr>
      <w:bookmarkStart w:id="1" w:name="_Toc10354_WPSOffice_Level1"/>
    </w:p>
    <w:p w14:paraId="4749FDC7">
      <w:pPr>
        <w:rPr>
          <w:color w:val="auto"/>
          <w:highlight w:val="none"/>
        </w:rPr>
      </w:pPr>
    </w:p>
    <w:p w14:paraId="31A65275">
      <w:pPr>
        <w:rPr>
          <w:color w:val="auto"/>
          <w:highlight w:val="none"/>
        </w:rPr>
      </w:pPr>
    </w:p>
    <w:p w14:paraId="3B0C9B38">
      <w:pPr>
        <w:rPr>
          <w:color w:val="auto"/>
          <w:highlight w:val="none"/>
        </w:rPr>
      </w:pPr>
    </w:p>
    <w:p w14:paraId="401EFFB7">
      <w:pPr>
        <w:rPr>
          <w:color w:val="auto"/>
          <w:highlight w:val="none"/>
        </w:rPr>
      </w:pPr>
    </w:p>
    <w:p w14:paraId="5283C7A5">
      <w:pPr>
        <w:rPr>
          <w:color w:val="auto"/>
          <w:highlight w:val="none"/>
        </w:rPr>
      </w:pPr>
    </w:p>
    <w:p w14:paraId="06FBAFF4">
      <w:pPr>
        <w:rPr>
          <w:color w:val="auto"/>
          <w:highlight w:val="none"/>
        </w:rPr>
      </w:pPr>
    </w:p>
    <w:p w14:paraId="118572B5">
      <w:pPr>
        <w:rPr>
          <w:color w:val="auto"/>
          <w:highlight w:val="none"/>
        </w:rPr>
      </w:pPr>
    </w:p>
    <w:p w14:paraId="4FF56BD6">
      <w:pPr>
        <w:rPr>
          <w:color w:val="auto"/>
          <w:highlight w:val="none"/>
        </w:rPr>
      </w:pPr>
    </w:p>
    <w:p w14:paraId="1E625632">
      <w:pPr>
        <w:rPr>
          <w:color w:val="auto"/>
          <w:highlight w:val="none"/>
        </w:rPr>
      </w:pPr>
    </w:p>
    <w:p w14:paraId="5B174198">
      <w:pPr>
        <w:rPr>
          <w:color w:val="auto"/>
          <w:highlight w:val="none"/>
        </w:rPr>
      </w:pPr>
    </w:p>
    <w:p w14:paraId="1AA55AB8">
      <w:pPr>
        <w:rPr>
          <w:color w:val="auto"/>
          <w:highlight w:val="none"/>
        </w:rPr>
      </w:pPr>
    </w:p>
    <w:p w14:paraId="3C161017">
      <w:pPr>
        <w:rPr>
          <w:color w:val="auto"/>
          <w:highlight w:val="none"/>
        </w:rPr>
      </w:pPr>
    </w:p>
    <w:p w14:paraId="42EC5C10">
      <w:pPr>
        <w:rPr>
          <w:color w:val="auto"/>
          <w:highlight w:val="none"/>
        </w:rPr>
      </w:pPr>
    </w:p>
    <w:p w14:paraId="309D5FC5">
      <w:pPr>
        <w:rPr>
          <w:color w:val="auto"/>
          <w:highlight w:val="none"/>
        </w:rPr>
      </w:pPr>
    </w:p>
    <w:p w14:paraId="5F90C61D">
      <w:pPr>
        <w:rPr>
          <w:color w:val="auto"/>
          <w:highlight w:val="none"/>
        </w:rPr>
      </w:pPr>
    </w:p>
    <w:p w14:paraId="0DE708E9">
      <w:pPr>
        <w:rPr>
          <w:color w:val="auto"/>
          <w:highlight w:val="none"/>
        </w:rPr>
      </w:pPr>
    </w:p>
    <w:p w14:paraId="309BAAE3">
      <w:pPr>
        <w:rPr>
          <w:color w:val="auto"/>
          <w:highlight w:val="none"/>
        </w:rPr>
      </w:pPr>
    </w:p>
    <w:p w14:paraId="714DBA01">
      <w:pPr>
        <w:rPr>
          <w:color w:val="auto"/>
          <w:highlight w:val="none"/>
        </w:rPr>
      </w:pPr>
    </w:p>
    <w:p w14:paraId="701FBC50">
      <w:pPr>
        <w:rPr>
          <w:color w:val="auto"/>
          <w:highlight w:val="none"/>
        </w:rPr>
      </w:pPr>
    </w:p>
    <w:p w14:paraId="5E72BCA4">
      <w:pPr>
        <w:rPr>
          <w:color w:val="auto"/>
          <w:highlight w:val="none"/>
        </w:rPr>
      </w:pPr>
    </w:p>
    <w:p w14:paraId="6EBF1EC1">
      <w:pPr>
        <w:rPr>
          <w:color w:val="auto"/>
          <w:highlight w:val="none"/>
        </w:rPr>
      </w:pPr>
    </w:p>
    <w:p w14:paraId="62B5BFB3">
      <w:pPr>
        <w:rPr>
          <w:color w:val="auto"/>
          <w:highlight w:val="none"/>
        </w:rPr>
      </w:pPr>
    </w:p>
    <w:p w14:paraId="3D99B19B">
      <w:pPr>
        <w:rPr>
          <w:color w:val="auto"/>
          <w:highlight w:val="none"/>
        </w:rPr>
      </w:pPr>
    </w:p>
    <w:p w14:paraId="7928188D">
      <w:pPr>
        <w:rPr>
          <w:color w:val="auto"/>
          <w:highlight w:val="none"/>
        </w:rPr>
      </w:pPr>
    </w:p>
    <w:p w14:paraId="12D76394">
      <w:pPr>
        <w:rPr>
          <w:color w:val="auto"/>
          <w:highlight w:val="none"/>
        </w:rPr>
      </w:pPr>
    </w:p>
    <w:p w14:paraId="66DCF201">
      <w:pPr>
        <w:rPr>
          <w:color w:val="auto"/>
          <w:highlight w:val="none"/>
        </w:rPr>
      </w:pPr>
    </w:p>
    <w:p w14:paraId="7BF3EE5D">
      <w:pPr>
        <w:rPr>
          <w:color w:val="auto"/>
          <w:highlight w:val="none"/>
        </w:rPr>
      </w:pPr>
    </w:p>
    <w:p w14:paraId="363D00E7">
      <w:pPr>
        <w:rPr>
          <w:color w:val="auto"/>
          <w:highlight w:val="none"/>
        </w:rPr>
      </w:pPr>
    </w:p>
    <w:p w14:paraId="2C8ABA04">
      <w:pPr>
        <w:rPr>
          <w:rFonts w:hint="eastAsia"/>
          <w:color w:val="auto"/>
          <w:highlight w:val="none"/>
        </w:rPr>
      </w:pPr>
    </w:p>
    <w:p w14:paraId="33496C20">
      <w:pPr>
        <w:pStyle w:val="22"/>
        <w:snapToGrid w:val="0"/>
        <w:spacing w:before="120" w:beforeLines="0" w:after="120" w:afterLines="0" w:line="240" w:lineRule="auto"/>
        <w:jc w:val="center"/>
        <w:outlineLvl w:val="0"/>
        <w:rPr>
          <w:rFonts w:hAnsi="宋体" w:cs="宋体"/>
          <w:color w:val="auto"/>
          <w:sz w:val="30"/>
          <w:szCs w:val="30"/>
          <w:highlight w:val="none"/>
        </w:rPr>
      </w:pPr>
      <w:bookmarkStart w:id="2" w:name="第一章"/>
      <w:r>
        <w:rPr>
          <w:rFonts w:hAnsi="宋体" w:cs="宋体"/>
          <w:color w:val="auto"/>
          <w:sz w:val="30"/>
          <w:szCs w:val="30"/>
          <w:highlight w:val="none"/>
        </w:rPr>
        <w:t>第一章  公开招标采购公告</w:t>
      </w:r>
      <w:bookmarkEnd w:id="1"/>
      <w:bookmarkEnd w:id="2"/>
      <w:r>
        <w:rPr>
          <w:color w:val="auto"/>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color w:val="auto"/>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color w:val="auto"/>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color w:val="auto"/>
          <w:highlight w:val="none"/>
        </w:rPr>
        <w:fldChar w:fldCharType="begin"/>
      </w:r>
      <w:r>
        <w:rPr>
          <w:rFonts w:hAnsi="宋体" w:cs="宋体"/>
          <w:color w:val="auto"/>
          <w:sz w:val="30"/>
          <w:szCs w:val="30"/>
          <w:highlight w:val="none"/>
        </w:rPr>
        <w:instrText xml:space="preserve"> XE "</w:instrText>
      </w:r>
      <w:r>
        <w:rPr>
          <w:rFonts w:hAnsi="宋体" w:cs="宋体"/>
          <w:color w:val="auto"/>
          <w:highlight w:val="none"/>
        </w:rPr>
        <w:instrText xml:space="preserve">第一章  公开招标采购公告</w:instrText>
      </w:r>
      <w:r>
        <w:rPr>
          <w:rFonts w:hAnsi="宋体" w:cs="宋体"/>
          <w:color w:val="auto"/>
          <w:sz w:val="30"/>
          <w:szCs w:val="30"/>
          <w:highlight w:val="none"/>
        </w:rPr>
        <w:instrText xml:space="preserve">" </w:instrText>
      </w:r>
      <w:r>
        <w:rPr>
          <w:rFonts w:hAnsi="宋体" w:cs="宋体"/>
          <w:color w:val="auto"/>
          <w:sz w:val="30"/>
          <w:szCs w:val="30"/>
          <w:highlight w:val="none"/>
        </w:rPr>
        <w:fldChar w:fldCharType="end"/>
      </w:r>
    </w:p>
    <w:p w14:paraId="73227D21">
      <w:pPr>
        <w:pStyle w:val="83"/>
        <w:widowControl w:val="0"/>
        <w:spacing w:after="0" w:afterLines="0"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参照《中华人民共和国招标投标法》等规定，受采购人委托，现就</w:t>
      </w:r>
      <w:r>
        <w:rPr>
          <w:rFonts w:hint="eastAsia" w:ascii="宋体" w:hAnsi="宋体" w:cs="宋体"/>
          <w:color w:val="auto"/>
          <w:szCs w:val="24"/>
          <w:highlight w:val="none"/>
          <w:u w:val="single"/>
          <w:lang w:eastAsia="zh-CN"/>
        </w:rPr>
        <w:t>台州市开发投资集团有限公司国产化适配项目</w:t>
      </w:r>
      <w:r>
        <w:rPr>
          <w:rFonts w:hint="eastAsia" w:ascii="宋体" w:hAnsi="宋体" w:cs="宋体"/>
          <w:color w:val="auto"/>
          <w:szCs w:val="24"/>
          <w:highlight w:val="none"/>
        </w:rPr>
        <w:t>进行公开招标采购，欢迎合格供应商前来投标：</w:t>
      </w:r>
    </w:p>
    <w:p w14:paraId="23A754A6">
      <w:pPr>
        <w:pStyle w:val="22"/>
        <w:tabs>
          <w:tab w:val="left" w:pos="1620"/>
        </w:tabs>
        <w:snapToGrid w:val="0"/>
        <w:spacing w:before="0" w:beforeLines="0" w:after="0" w:afterLines="0" w:line="360" w:lineRule="auto"/>
        <w:ind w:firstLine="482" w:firstLineChars="200"/>
        <w:rPr>
          <w:rFonts w:hint="eastAsia" w:ascii="宋体" w:hAnsi="宋体" w:cs="宋体"/>
          <w:color w:val="auto"/>
          <w:sz w:val="24"/>
          <w:szCs w:val="20"/>
          <w:highlight w:val="none"/>
        </w:rPr>
      </w:pPr>
      <w:r>
        <w:rPr>
          <w:rFonts w:hAnsi="宋体" w:cs="宋体"/>
          <w:bCs/>
          <w:color w:val="auto"/>
          <w:highlight w:val="none"/>
        </w:rPr>
        <w:t>一、项目编号：QBJ2024184</w:t>
      </w:r>
    </w:p>
    <w:p w14:paraId="602F8C1C">
      <w:pPr>
        <w:snapToGrid w:val="0"/>
        <w:spacing w:line="360" w:lineRule="auto"/>
        <w:ind w:firstLine="482" w:firstLineChars="200"/>
        <w:rPr>
          <w:rFonts w:hint="eastAsia" w:ascii="宋体" w:hAnsi="宋体" w:cs="宋体"/>
          <w:color w:val="auto"/>
          <w:sz w:val="24"/>
          <w:szCs w:val="20"/>
          <w:highlight w:val="none"/>
        </w:rPr>
      </w:pP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、采购方式：</w:t>
      </w:r>
      <w:r>
        <w:rPr>
          <w:rFonts w:hint="eastAsia" w:ascii="宋体" w:hAnsi="宋体" w:cs="宋体"/>
          <w:color w:val="auto"/>
          <w:sz w:val="24"/>
          <w:highlight w:val="none"/>
        </w:rPr>
        <w:t>公开招标</w:t>
      </w:r>
    </w:p>
    <w:p w14:paraId="6C3C4EA2">
      <w:pPr>
        <w:snapToGrid w:val="0"/>
        <w:spacing w:line="360" w:lineRule="auto"/>
        <w:ind w:firstLine="482" w:firstLineChars="200"/>
        <w:rPr>
          <w:rFonts w:hint="eastAsia" w:ascii="宋体" w:hAnsi="宋体" w:cs="宋体"/>
          <w:b/>
          <w:bCs/>
          <w:color w:val="auto"/>
          <w:sz w:val="24"/>
          <w:szCs w:val="20"/>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hint="eastAsia" w:ascii="宋体" w:hAnsi="宋体" w:cs="宋体"/>
          <w:b/>
          <w:bCs/>
          <w:color w:val="auto"/>
          <w:sz w:val="24"/>
          <w:highlight w:val="none"/>
        </w:rPr>
        <w:t>采购内容及数量</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166"/>
        <w:gridCol w:w="1300"/>
        <w:gridCol w:w="557"/>
        <w:gridCol w:w="557"/>
        <w:gridCol w:w="1146"/>
        <w:gridCol w:w="1362"/>
        <w:gridCol w:w="1174"/>
      </w:tblGrid>
      <w:tr w14:paraId="0675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81" w:type="pct"/>
            <w:vAlign w:val="center"/>
          </w:tcPr>
          <w:p w14:paraId="6923897D">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标段号</w:t>
            </w:r>
          </w:p>
        </w:tc>
        <w:tc>
          <w:tcPr>
            <w:tcW w:w="1210" w:type="pct"/>
            <w:vAlign w:val="center"/>
          </w:tcPr>
          <w:p w14:paraId="79244B38">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项目名称</w:t>
            </w:r>
          </w:p>
        </w:tc>
        <w:tc>
          <w:tcPr>
            <w:tcW w:w="726" w:type="pct"/>
            <w:vAlign w:val="center"/>
          </w:tcPr>
          <w:p w14:paraId="21CB11B5">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规格型号</w:t>
            </w:r>
          </w:p>
        </w:tc>
        <w:tc>
          <w:tcPr>
            <w:tcW w:w="311" w:type="pct"/>
            <w:vAlign w:val="center"/>
          </w:tcPr>
          <w:p w14:paraId="3D62FCF0">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数量</w:t>
            </w:r>
          </w:p>
        </w:tc>
        <w:tc>
          <w:tcPr>
            <w:tcW w:w="311" w:type="pct"/>
            <w:vAlign w:val="center"/>
          </w:tcPr>
          <w:p w14:paraId="776E7DC5">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单位</w:t>
            </w:r>
          </w:p>
        </w:tc>
        <w:tc>
          <w:tcPr>
            <w:tcW w:w="640" w:type="pct"/>
            <w:vAlign w:val="center"/>
          </w:tcPr>
          <w:p w14:paraId="56BC02CC">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预算</w:t>
            </w:r>
          </w:p>
          <w:p w14:paraId="389CE927">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（万元）</w:t>
            </w:r>
          </w:p>
        </w:tc>
        <w:tc>
          <w:tcPr>
            <w:tcW w:w="761" w:type="pct"/>
            <w:vAlign w:val="center"/>
          </w:tcPr>
          <w:p w14:paraId="59A06A23">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工期</w:t>
            </w:r>
          </w:p>
        </w:tc>
        <w:tc>
          <w:tcPr>
            <w:tcW w:w="656" w:type="pct"/>
            <w:vAlign w:val="center"/>
          </w:tcPr>
          <w:p w14:paraId="76223D0A">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交付地点</w:t>
            </w:r>
          </w:p>
        </w:tc>
      </w:tr>
      <w:tr w14:paraId="4AAA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81" w:type="pct"/>
            <w:vAlign w:val="center"/>
          </w:tcPr>
          <w:p w14:paraId="3D0906A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1210" w:type="pct"/>
            <w:vAlign w:val="center"/>
          </w:tcPr>
          <w:p w14:paraId="4DC5A4F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台州市开发投资集团有限公司国产化适配项目</w:t>
            </w:r>
          </w:p>
        </w:tc>
        <w:tc>
          <w:tcPr>
            <w:tcW w:w="726" w:type="pct"/>
            <w:vAlign w:val="center"/>
          </w:tcPr>
          <w:p w14:paraId="7E7C459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详见具体技术需求</w:t>
            </w:r>
          </w:p>
        </w:tc>
        <w:tc>
          <w:tcPr>
            <w:tcW w:w="311" w:type="pct"/>
            <w:vAlign w:val="center"/>
          </w:tcPr>
          <w:p w14:paraId="7A5B48B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311" w:type="pct"/>
            <w:vAlign w:val="center"/>
          </w:tcPr>
          <w:p w14:paraId="4A9A36A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批</w:t>
            </w:r>
          </w:p>
        </w:tc>
        <w:tc>
          <w:tcPr>
            <w:tcW w:w="640" w:type="pct"/>
            <w:vAlign w:val="center"/>
          </w:tcPr>
          <w:p w14:paraId="4EDF7F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82</w:t>
            </w:r>
          </w:p>
        </w:tc>
        <w:tc>
          <w:tcPr>
            <w:tcW w:w="761" w:type="pct"/>
            <w:vAlign w:val="center"/>
          </w:tcPr>
          <w:p w14:paraId="28FC73F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合同签订后</w:t>
            </w:r>
            <w:r>
              <w:rPr>
                <w:rFonts w:hint="default" w:ascii="宋体" w:hAnsi="宋体" w:cs="宋体"/>
                <w:color w:val="auto"/>
                <w:kern w:val="0"/>
                <w:sz w:val="21"/>
                <w:szCs w:val="21"/>
                <w:highlight w:val="none"/>
                <w:lang w:bidi="ar"/>
              </w:rPr>
              <w:t>30</w:t>
            </w:r>
            <w:r>
              <w:rPr>
                <w:rFonts w:hint="eastAsia" w:ascii="宋体" w:hAnsi="宋体" w:cs="宋体"/>
                <w:color w:val="auto"/>
                <w:kern w:val="0"/>
                <w:sz w:val="21"/>
                <w:szCs w:val="21"/>
                <w:highlight w:val="none"/>
                <w:lang w:bidi="ar"/>
              </w:rPr>
              <w:t>天内</w:t>
            </w:r>
          </w:p>
        </w:tc>
        <w:tc>
          <w:tcPr>
            <w:tcW w:w="656" w:type="pct"/>
            <w:vAlign w:val="center"/>
          </w:tcPr>
          <w:p w14:paraId="2BF70FF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采购人指定地点</w:t>
            </w:r>
          </w:p>
        </w:tc>
      </w:tr>
    </w:tbl>
    <w:p w14:paraId="34BFF22C">
      <w:pPr>
        <w:snapToGrid w:val="0"/>
        <w:spacing w:line="360" w:lineRule="auto"/>
        <w:ind w:firstLine="482" w:firstLineChars="200"/>
        <w:rPr>
          <w:rFonts w:hint="eastAsia" w:ascii="宋体" w:hAnsi="宋体" w:cs="宋体"/>
          <w:b/>
          <w:bCs/>
          <w:color w:val="auto"/>
          <w:sz w:val="24"/>
          <w:szCs w:val="20"/>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、合格投标人的资格要求：</w:t>
      </w:r>
    </w:p>
    <w:p w14:paraId="27BF165A">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（一）本项目不接受联合体投标。</w:t>
      </w:r>
    </w:p>
    <w:p w14:paraId="0484A8B3">
      <w:pPr>
        <w:pStyle w:val="16"/>
        <w:spacing w:after="0" w:line="360" w:lineRule="auto"/>
        <w:ind w:firstLine="480" w:firstLineChars="200"/>
        <w:rPr>
          <w:rFonts w:hint="eastAsia"/>
          <w:color w:val="auto"/>
          <w:highlight w:val="none"/>
        </w:rPr>
      </w:pPr>
      <w:r>
        <w:rPr>
          <w:rFonts w:hint="eastAsia" w:ascii="宋体"/>
          <w:color w:val="auto"/>
          <w:sz w:val="24"/>
          <w:highlight w:val="none"/>
        </w:rPr>
        <w:t>（二）投标人特定资格要求：具有</w:t>
      </w:r>
      <w:r>
        <w:rPr>
          <w:rFonts w:hint="eastAsia" w:ascii="宋体" w:hAnsi="Times New Roman" w:eastAsia="宋体" w:cs="Times New Roman"/>
          <w:color w:val="auto"/>
          <w:sz w:val="24"/>
          <w:highlight w:val="none"/>
          <w:lang w:val="en-US" w:eastAsia="zh-CN"/>
        </w:rPr>
        <w:t>设备供货能</w:t>
      </w:r>
      <w:r>
        <w:rPr>
          <w:rFonts w:hint="eastAsia" w:ascii="宋体" w:hAnsi="Times New Roman" w:eastAsia="宋体" w:cs="Times New Roman"/>
          <w:color w:val="auto"/>
          <w:sz w:val="24"/>
          <w:highlight w:val="none"/>
        </w:rPr>
        <w:t>力</w:t>
      </w:r>
      <w:r>
        <w:rPr>
          <w:rFonts w:hint="eastAsia" w:ascii="宋体"/>
          <w:color w:val="auto"/>
          <w:sz w:val="24"/>
          <w:highlight w:val="none"/>
        </w:rPr>
        <w:t>及售后服务能力的所投产品的</w:t>
      </w:r>
      <w:r>
        <w:rPr>
          <w:rFonts w:hint="eastAsia" w:ascii="宋体"/>
          <w:color w:val="auto"/>
          <w:sz w:val="24"/>
          <w:highlight w:val="none"/>
          <w:lang w:val="en-US" w:eastAsia="zh-CN"/>
        </w:rPr>
        <w:t>供应商</w:t>
      </w:r>
      <w:r>
        <w:rPr>
          <w:rFonts w:hint="eastAsia" w:ascii="宋体" w:hAnsi="宋体"/>
          <w:color w:val="auto"/>
          <w:sz w:val="24"/>
          <w:highlight w:val="none"/>
        </w:rPr>
        <w:t>。</w:t>
      </w:r>
    </w:p>
    <w:p w14:paraId="0FA71F01">
      <w:pPr>
        <w:snapToGrid w:val="0"/>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szCs w:val="20"/>
          <w:highlight w:val="none"/>
        </w:rPr>
        <w:t>五、招标文件的获取</w:t>
      </w:r>
    </w:p>
    <w:p w14:paraId="3761B92D">
      <w:pPr>
        <w:snapToGrid w:val="0"/>
        <w:spacing w:line="360" w:lineRule="auto"/>
        <w:ind w:firstLine="480" w:firstLineChars="2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本次招标文件的获取由各投标人自行到台州湾新区小额工程电子交易平台（网址：http://www.tzwztb.com/）下载获取。请各投标人密切关注台州湾新区小额工程电子交易平台或浙江政府采购网对本项目的答疑和澄清，由于投标人未及时了解答疑和澄清造成的后果，招标人、招标代理概不负责。</w:t>
      </w:r>
    </w:p>
    <w:p w14:paraId="07B8652C">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 xml:space="preserve">  六、投标截止时间和地点：</w:t>
      </w:r>
    </w:p>
    <w:p w14:paraId="2ADF26C8">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1.递交截止时间：2024年   月   日09时30分（北京时间）</w:t>
      </w:r>
    </w:p>
    <w:p w14:paraId="0026BF37">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2.电子投标文件的递交：</w:t>
      </w:r>
    </w:p>
    <w:p w14:paraId="670FCC24">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1) 台州湾新区小额工程电子交易平台（网址：http://www.tzwztb.com/）；</w:t>
      </w:r>
    </w:p>
    <w:p w14:paraId="3430E56F">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2) 投标人应提前办好ca锁（办理网址：http://www.tseal.cn/tcloud/common.xhtml?projId=295），绑定平台账户。</w:t>
      </w:r>
    </w:p>
    <w:p w14:paraId="496AA2EE">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3)缴纳保证金（或购买、上传电子保函）后，点击“电子投标文件制作工具”，进入制作页面，签章并加密上传电子投标文件。</w:t>
      </w:r>
    </w:p>
    <w:p w14:paraId="13992A61">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3.电子投标文件未在投标文件递交截止时间前递交至 台州湾新区小额工程电子交易平台将被拒绝，后果由各投标人自行承担。</w:t>
      </w:r>
    </w:p>
    <w:p w14:paraId="6217E06D">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lang w:val="en-US" w:eastAsia="zh-CN"/>
        </w:rPr>
        <w:t>七、</w:t>
      </w:r>
      <w:r>
        <w:rPr>
          <w:rFonts w:hint="eastAsia" w:ascii="宋体" w:hAnsi="宋体" w:cs="宋体"/>
          <w:b/>
          <w:color w:val="auto"/>
          <w:sz w:val="24"/>
          <w:szCs w:val="20"/>
          <w:highlight w:val="none"/>
        </w:rPr>
        <w:t>开标时间：</w:t>
      </w:r>
      <w:r>
        <w:rPr>
          <w:rFonts w:hint="eastAsia" w:ascii="宋体" w:hAnsi="宋体" w:cs="宋体"/>
          <w:b w:val="0"/>
          <w:bCs/>
          <w:color w:val="auto"/>
          <w:sz w:val="24"/>
          <w:szCs w:val="20"/>
          <w:highlight w:val="none"/>
        </w:rPr>
        <w:t>2024年   月   日09时30分（北京时间）。</w:t>
      </w:r>
    </w:p>
    <w:p w14:paraId="04CDD9BC">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八、开标地点：</w:t>
      </w:r>
      <w:r>
        <w:rPr>
          <w:rFonts w:hint="eastAsia" w:ascii="宋体" w:hAnsi="宋体" w:cs="宋体"/>
          <w:b w:val="0"/>
          <w:bCs/>
          <w:color w:val="auto"/>
          <w:sz w:val="24"/>
          <w:szCs w:val="20"/>
          <w:highlight w:val="none"/>
        </w:rPr>
        <w:t>本项目开评标环节实行全流程电子化，投标人可自行登录不见面开标大厅观看。（</w:t>
      </w:r>
      <w:r>
        <w:rPr>
          <w:rFonts w:hint="eastAsia" w:ascii="宋体" w:hAnsi="宋体" w:cs="宋体"/>
          <w:b w:val="0"/>
          <w:bCs/>
          <w:color w:val="auto"/>
          <w:sz w:val="24"/>
          <w:szCs w:val="20"/>
          <w:highlight w:val="none"/>
        </w:rPr>
        <w:fldChar w:fldCharType="begin"/>
      </w:r>
      <w:r>
        <w:rPr>
          <w:rFonts w:hint="eastAsia" w:ascii="宋体" w:hAnsi="宋体" w:cs="宋体"/>
          <w:b w:val="0"/>
          <w:bCs/>
          <w:color w:val="auto"/>
          <w:sz w:val="24"/>
          <w:szCs w:val="20"/>
          <w:highlight w:val="none"/>
        </w:rPr>
        <w:instrText xml:space="preserve"> HYPERLINK "http://www.tzwztb.com/live/" </w:instrText>
      </w:r>
      <w:r>
        <w:rPr>
          <w:rFonts w:hint="eastAsia" w:ascii="宋体" w:hAnsi="宋体" w:cs="宋体"/>
          <w:b w:val="0"/>
          <w:bCs/>
          <w:color w:val="auto"/>
          <w:sz w:val="24"/>
          <w:szCs w:val="20"/>
          <w:highlight w:val="none"/>
        </w:rPr>
        <w:fldChar w:fldCharType="separate"/>
      </w:r>
      <w:r>
        <w:rPr>
          <w:rFonts w:hint="eastAsia" w:ascii="宋体" w:hAnsi="宋体" w:cs="宋体"/>
          <w:b w:val="0"/>
          <w:bCs/>
          <w:color w:val="auto"/>
          <w:sz w:val="24"/>
          <w:szCs w:val="20"/>
          <w:highlight w:val="none"/>
        </w:rPr>
        <w:t>www.tzwztb.com/live/</w:t>
      </w:r>
      <w:r>
        <w:rPr>
          <w:rFonts w:hint="eastAsia" w:ascii="宋体" w:hAnsi="宋体" w:cs="宋体"/>
          <w:b w:val="0"/>
          <w:bCs/>
          <w:color w:val="auto"/>
          <w:sz w:val="24"/>
          <w:szCs w:val="20"/>
          <w:highlight w:val="none"/>
        </w:rPr>
        <w:fldChar w:fldCharType="end"/>
      </w:r>
      <w:r>
        <w:rPr>
          <w:rFonts w:hint="eastAsia" w:ascii="宋体" w:hAnsi="宋体" w:cs="宋体"/>
          <w:b w:val="0"/>
          <w:bCs/>
          <w:color w:val="auto"/>
          <w:sz w:val="24"/>
          <w:szCs w:val="20"/>
          <w:highlight w:val="none"/>
        </w:rPr>
        <w:t xml:space="preserve"> ）</w:t>
      </w:r>
    </w:p>
    <w:p w14:paraId="57BB1A0D">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九、投标保证金：</w:t>
      </w:r>
    </w:p>
    <w:p w14:paraId="6B0BFE1E">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1.投标保证金金额：</w:t>
      </w:r>
      <w:r>
        <w:rPr>
          <w:rFonts w:hint="eastAsia" w:ascii="宋体" w:hAnsi="宋体" w:cs="宋体"/>
          <w:b w:val="0"/>
          <w:bCs/>
          <w:color w:val="auto"/>
          <w:sz w:val="24"/>
          <w:szCs w:val="20"/>
          <w:highlight w:val="none"/>
          <w:lang w:val="en-US" w:eastAsia="zh-CN"/>
        </w:rPr>
        <w:t>1.6</w:t>
      </w:r>
      <w:r>
        <w:rPr>
          <w:rFonts w:hint="eastAsia" w:ascii="宋体" w:hAnsi="宋体" w:cs="宋体"/>
          <w:b w:val="0"/>
          <w:bCs/>
          <w:color w:val="auto"/>
          <w:sz w:val="24"/>
          <w:szCs w:val="20"/>
          <w:highlight w:val="none"/>
        </w:rPr>
        <w:t>万元。（不得超过项目预算价的2%，且最高不得超过50万元）</w:t>
      </w:r>
    </w:p>
    <w:p w14:paraId="4D122EAA">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2.投标保证金缴纳方式：现金转账、银行保函、保险机构保证保险保单、融资担保公司保函。</w:t>
      </w:r>
    </w:p>
    <w:p w14:paraId="378C116F">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（1）现金转账</w:t>
      </w:r>
    </w:p>
    <w:p w14:paraId="130D27E5">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222B4548">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5D2032CB">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（2）银行保函、保险机构保证保险保单、融资担保公司保函（以下合称“工程保函”）</w:t>
      </w:r>
    </w:p>
    <w:p w14:paraId="7AC20775">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①工程保函的受益人：台州循环经济发展有限公司</w:t>
      </w:r>
    </w:p>
    <w:p w14:paraId="199FAC70">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（招标人名称）；</w:t>
      </w:r>
    </w:p>
    <w:p w14:paraId="7A610235">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②工程保函的有效期为1年；</w:t>
      </w:r>
    </w:p>
    <w:p w14:paraId="0FFAC136">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③递交方式：</w:t>
      </w:r>
    </w:p>
    <w:p w14:paraId="4A2550AD">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递交方式一（电子保函系统）：</w:t>
      </w:r>
    </w:p>
    <w:p w14:paraId="068C62A7">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通过台州湾新区小额工程电子交易平台选择“电子保函”递交方式，并按系统流程进行操作、购买电子保函。</w:t>
      </w:r>
    </w:p>
    <w:p w14:paraId="68D8A0F1">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投标电子保函针对具体项目标段的要求“一标段一保函”，每个标段对应相应的订单号，汇款时备注订单号。</w:t>
      </w:r>
    </w:p>
    <w:p w14:paraId="39F78889">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递交方式二（非电子保函系统）：</w:t>
      </w:r>
    </w:p>
    <w:p w14:paraId="591A29DF">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 xml:space="preserve">投标人须在投标截止时间前将工程保函纸质原件、基本账户证明材料复印件（加盖公章）、保费支付的银行回单一并按要求递交。 </w:t>
      </w:r>
    </w:p>
    <w:p w14:paraId="37275336">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递交方式：现场递交。</w:t>
      </w:r>
    </w:p>
    <w:p w14:paraId="115458EF">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提交地点：台州湾新区海虹街道一楼大厅</w:t>
      </w:r>
    </w:p>
    <w:p w14:paraId="00B9C51F">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提交时间：投标截止时间当天09:00-09:30</w:t>
      </w:r>
    </w:p>
    <w:p w14:paraId="065B5531">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接收人：台州市建设咨询有限公司（代理机构）</w:t>
      </w:r>
    </w:p>
    <w:p w14:paraId="31DB97FC">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 xml:space="preserve">接收人联系方式：0576-88517783 </w:t>
      </w:r>
    </w:p>
    <w:p w14:paraId="6EF3E2FD">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注：投标保函文件中必须包含投标企业的信息，包含但不仅限于投标企业名称、保证方式、保证金额、保函获得时间、保证项目名称、保函有效期限、保费标准、费用支付账户（基本账户）等。</w:t>
      </w:r>
    </w:p>
    <w:p w14:paraId="013A6026">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3、注意事项</w:t>
      </w:r>
    </w:p>
    <w:p w14:paraId="54C73309">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①以银行转账形式提交的投标保证金应当从投标人基本账户转出，购买工程保函的费用应当从投标人基本账户支付；</w:t>
      </w:r>
    </w:p>
    <w:p w14:paraId="4825C2A5">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②若有疑问，请咨询技术服务热线：13454667697</w:t>
      </w:r>
    </w:p>
    <w:p w14:paraId="362E81CB">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③以上未按要求提供或提供不清晰的，评标委员会可能做出不利于投标人的评审结果，由此造成的风险由投标人自行承担。</w:t>
      </w:r>
    </w:p>
    <w:p w14:paraId="6C46912B">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4、购买工程电子保函截止时间：投标截止时间前一工作日下午16点之前。</w:t>
      </w:r>
    </w:p>
    <w:p w14:paraId="546A510C">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十、公告、公示媒体：</w:t>
      </w:r>
    </w:p>
    <w:p w14:paraId="0FD6819E">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公告网址：台州湾新区小额工程电子交易平台”（http://www.tzwztb.com）、浙江政府采购网（https://zfcg.czt.zj.gov.cn）。</w:t>
      </w:r>
    </w:p>
    <w:p w14:paraId="6742369F">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十一、联系方式：</w:t>
      </w:r>
    </w:p>
    <w:p w14:paraId="4757321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（一）采购代理机构</w:t>
      </w:r>
    </w:p>
    <w:p w14:paraId="0EDE927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代理机构名称：</w:t>
      </w:r>
      <w:r>
        <w:rPr>
          <w:rFonts w:hint="eastAsia" w:ascii="宋体" w:hAnsi="宋体" w:cs="宋体"/>
          <w:color w:val="auto"/>
          <w:sz w:val="24"/>
          <w:highlight w:val="none"/>
          <w:lang w:eastAsia="zh-CN"/>
        </w:rPr>
        <w:t>台州湾新区丰昘建设咨询有限公司</w:t>
      </w:r>
    </w:p>
    <w:p w14:paraId="743EC1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王女士</w:t>
      </w:r>
      <w:bookmarkStart w:id="38" w:name="_GoBack"/>
      <w:bookmarkEnd w:id="38"/>
    </w:p>
    <w:p w14:paraId="2FFBC0A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0576-88517650</w:t>
      </w:r>
    </w:p>
    <w:p w14:paraId="661025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台州湾新区甲南大道东段9号规划展示馆西面</w:t>
      </w:r>
      <w:r>
        <w:rPr>
          <w:rFonts w:hint="eastAsia" w:ascii="宋体" w:hAnsi="宋体" w:cs="宋体"/>
          <w:color w:val="auto"/>
          <w:sz w:val="24"/>
          <w:highlight w:val="none"/>
        </w:rPr>
        <w:t xml:space="preserve"> </w:t>
      </w:r>
    </w:p>
    <w:p w14:paraId="074D1669">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（二）采购人</w:t>
      </w:r>
    </w:p>
    <w:p w14:paraId="534602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采购人名称：台州市开发投资集团有限公司 </w:t>
      </w:r>
    </w:p>
    <w:p w14:paraId="44E8B5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联系人：王女士</w:t>
      </w:r>
    </w:p>
    <w:p w14:paraId="09AD06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联系电话：0576-88503104  </w:t>
      </w:r>
    </w:p>
    <w:p w14:paraId="53252DDD">
      <w:pPr>
        <w:pStyle w:val="16"/>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采购人地址：浙江省台州市椒江区府中路177号</w:t>
      </w:r>
    </w:p>
    <w:p w14:paraId="6EA5E75A">
      <w:pPr>
        <w:snapToGrid w:val="0"/>
        <w:spacing w:line="360" w:lineRule="auto"/>
        <w:jc w:val="center"/>
        <w:rPr>
          <w:rFonts w:hint="eastAsia" w:ascii="宋体" w:hAnsi="宋体" w:eastAsia="宋体" w:cs="宋体"/>
          <w:color w:val="auto"/>
          <w:sz w:val="24"/>
          <w:szCs w:val="20"/>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台州湾新区丰昘建设咨询有限公司</w:t>
      </w:r>
    </w:p>
    <w:p w14:paraId="3652747B">
      <w:pPr>
        <w:snapToGrid w:val="0"/>
        <w:spacing w:line="360" w:lineRule="auto"/>
        <w:ind w:left="238" w:firstLine="4980" w:firstLineChars="2075"/>
        <w:jc w:val="center"/>
        <w:rPr>
          <w:rFonts w:ascii="宋体" w:hAnsi="宋体" w:cs="宋体"/>
          <w:color w:val="auto"/>
          <w:sz w:val="24"/>
          <w:highlight w:val="none"/>
        </w:rPr>
      </w:pP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p>
    <w:p w14:paraId="4CF8D1F5">
      <w:pPr>
        <w:pStyle w:val="22"/>
        <w:tabs>
          <w:tab w:val="left" w:pos="1620"/>
        </w:tabs>
        <w:snapToGrid w:val="0"/>
        <w:spacing w:before="120" w:beforeLines="0" w:after="120" w:afterLines="0"/>
        <w:jc w:val="center"/>
        <w:rPr>
          <w:rFonts w:hAnsi="宋体" w:cs="宋体"/>
          <w:color w:val="auto"/>
          <w:sz w:val="36"/>
          <w:szCs w:val="36"/>
          <w:highlight w:val="none"/>
        </w:rPr>
        <w:sectPr>
          <w:headerReference r:id="rId8" w:type="first"/>
          <w:footerReference r:id="rId10" w:type="first"/>
          <w:headerReference r:id="rId7" w:type="default"/>
          <w:footerReference r:id="rId9" w:type="default"/>
          <w:pgSz w:w="11906" w:h="16838"/>
          <w:pgMar w:top="1134" w:right="1587" w:bottom="1134" w:left="1587" w:header="851" w:footer="850" w:gutter="0"/>
          <w:cols w:space="720" w:num="1"/>
          <w:titlePg/>
          <w:docGrid w:linePitch="312" w:charSpace="0"/>
        </w:sectPr>
      </w:pPr>
    </w:p>
    <w:p w14:paraId="734B34B0">
      <w:pPr>
        <w:pStyle w:val="22"/>
        <w:numPr>
          <w:ilvl w:val="0"/>
          <w:numId w:val="4"/>
        </w:numPr>
        <w:tabs>
          <w:tab w:val="left" w:pos="1620"/>
        </w:tabs>
        <w:snapToGrid w:val="0"/>
        <w:spacing w:before="120" w:beforeLines="0" w:after="120" w:afterLines="0"/>
        <w:jc w:val="center"/>
        <w:rPr>
          <w:rFonts w:hAnsi="宋体"/>
          <w:color w:val="auto"/>
          <w:sz w:val="36"/>
          <w:szCs w:val="36"/>
          <w:highlight w:val="none"/>
        </w:rPr>
      </w:pPr>
      <w:bookmarkStart w:id="3" w:name="第二章"/>
      <w:bookmarkStart w:id="4" w:name="_Toc18554_WPSOffice_Level1"/>
      <w:r>
        <w:rPr>
          <w:rFonts w:hAnsi="宋体"/>
          <w:color w:val="auto"/>
          <w:sz w:val="36"/>
          <w:szCs w:val="36"/>
          <w:highlight w:val="none"/>
        </w:rPr>
        <w:t xml:space="preserve"> </w:t>
      </w:r>
      <w:r>
        <w:rPr>
          <w:rFonts w:hAnsi="宋体"/>
          <w:bCs/>
          <w:color w:val="auto"/>
          <w:sz w:val="36"/>
          <w:szCs w:val="36"/>
          <w:highlight w:val="none"/>
        </w:rPr>
        <w:t>招</w:t>
      </w:r>
      <w:r>
        <w:rPr>
          <w:rFonts w:hAnsi="宋体"/>
          <w:color w:val="auto"/>
          <w:sz w:val="36"/>
          <w:szCs w:val="36"/>
          <w:highlight w:val="none"/>
        </w:rPr>
        <w:t>标需求</w:t>
      </w:r>
      <w:bookmarkEnd w:id="3"/>
      <w:bookmarkEnd w:id="4"/>
    </w:p>
    <w:p w14:paraId="61A4E875">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14:paraId="76309803">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41"/>
        <w:tblpPr w:leftFromText="180" w:rightFromText="180" w:vertAnchor="text" w:horzAnchor="page" w:tblpX="1805" w:tblpY="45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222"/>
        <w:gridCol w:w="1332"/>
        <w:gridCol w:w="571"/>
        <w:gridCol w:w="571"/>
        <w:gridCol w:w="1174"/>
        <w:gridCol w:w="1396"/>
        <w:gridCol w:w="1204"/>
      </w:tblGrid>
      <w:tr w14:paraId="403F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81" w:type="pct"/>
            <w:vAlign w:val="center"/>
          </w:tcPr>
          <w:p w14:paraId="3F4EFE19">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标段号</w:t>
            </w:r>
          </w:p>
        </w:tc>
        <w:tc>
          <w:tcPr>
            <w:tcW w:w="1211" w:type="pct"/>
            <w:vAlign w:val="center"/>
          </w:tcPr>
          <w:p w14:paraId="536A0013">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项目名称</w:t>
            </w:r>
          </w:p>
        </w:tc>
        <w:tc>
          <w:tcPr>
            <w:tcW w:w="726" w:type="pct"/>
            <w:vAlign w:val="center"/>
          </w:tcPr>
          <w:p w14:paraId="4E775B34">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规格型号</w:t>
            </w:r>
          </w:p>
        </w:tc>
        <w:tc>
          <w:tcPr>
            <w:tcW w:w="311" w:type="pct"/>
            <w:vAlign w:val="center"/>
          </w:tcPr>
          <w:p w14:paraId="16F54218">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数量</w:t>
            </w:r>
          </w:p>
        </w:tc>
        <w:tc>
          <w:tcPr>
            <w:tcW w:w="311" w:type="pct"/>
            <w:vAlign w:val="center"/>
          </w:tcPr>
          <w:p w14:paraId="4B173B38">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单位</w:t>
            </w:r>
          </w:p>
        </w:tc>
        <w:tc>
          <w:tcPr>
            <w:tcW w:w="640" w:type="pct"/>
            <w:vAlign w:val="center"/>
          </w:tcPr>
          <w:p w14:paraId="58A95A60">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预算</w:t>
            </w:r>
          </w:p>
          <w:p w14:paraId="7674E362">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（万元）</w:t>
            </w:r>
          </w:p>
        </w:tc>
        <w:tc>
          <w:tcPr>
            <w:tcW w:w="761" w:type="pct"/>
            <w:vAlign w:val="center"/>
          </w:tcPr>
          <w:p w14:paraId="75CB2FD9">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工期</w:t>
            </w:r>
          </w:p>
        </w:tc>
        <w:tc>
          <w:tcPr>
            <w:tcW w:w="656" w:type="pct"/>
            <w:vAlign w:val="center"/>
          </w:tcPr>
          <w:p w14:paraId="59CB93E1">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交付地点</w:t>
            </w:r>
          </w:p>
        </w:tc>
      </w:tr>
      <w:tr w14:paraId="7CDA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81" w:type="pct"/>
            <w:vAlign w:val="center"/>
          </w:tcPr>
          <w:p w14:paraId="6AE338A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1211" w:type="pct"/>
            <w:vAlign w:val="center"/>
          </w:tcPr>
          <w:p w14:paraId="4DDEED8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台州市开发投资集团有限公司国产化适配项目</w:t>
            </w:r>
          </w:p>
        </w:tc>
        <w:tc>
          <w:tcPr>
            <w:tcW w:w="726" w:type="pct"/>
            <w:vAlign w:val="center"/>
          </w:tcPr>
          <w:p w14:paraId="7C3563A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详见具体技术需求</w:t>
            </w:r>
          </w:p>
        </w:tc>
        <w:tc>
          <w:tcPr>
            <w:tcW w:w="311" w:type="pct"/>
            <w:vAlign w:val="center"/>
          </w:tcPr>
          <w:p w14:paraId="0277129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311" w:type="pct"/>
            <w:vAlign w:val="center"/>
          </w:tcPr>
          <w:p w14:paraId="6179947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批</w:t>
            </w:r>
          </w:p>
        </w:tc>
        <w:tc>
          <w:tcPr>
            <w:tcW w:w="640" w:type="pct"/>
            <w:vAlign w:val="center"/>
          </w:tcPr>
          <w:p w14:paraId="75B178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82</w:t>
            </w:r>
          </w:p>
        </w:tc>
        <w:tc>
          <w:tcPr>
            <w:tcW w:w="761" w:type="pct"/>
            <w:vAlign w:val="center"/>
          </w:tcPr>
          <w:p w14:paraId="73EF33A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合同签订后</w:t>
            </w:r>
            <w:r>
              <w:rPr>
                <w:rFonts w:hint="default" w:ascii="宋体" w:hAnsi="宋体" w:cs="宋体"/>
                <w:color w:val="auto"/>
                <w:kern w:val="0"/>
                <w:sz w:val="21"/>
                <w:szCs w:val="21"/>
                <w:highlight w:val="none"/>
                <w:lang w:bidi="ar"/>
              </w:rPr>
              <w:t>30</w:t>
            </w:r>
            <w:r>
              <w:rPr>
                <w:rFonts w:hint="eastAsia" w:ascii="宋体" w:hAnsi="宋体" w:cs="宋体"/>
                <w:color w:val="auto"/>
                <w:kern w:val="0"/>
                <w:sz w:val="21"/>
                <w:szCs w:val="21"/>
                <w:highlight w:val="none"/>
                <w:lang w:bidi="ar"/>
              </w:rPr>
              <w:t>天内</w:t>
            </w:r>
          </w:p>
        </w:tc>
        <w:tc>
          <w:tcPr>
            <w:tcW w:w="656" w:type="pct"/>
            <w:vAlign w:val="center"/>
          </w:tcPr>
          <w:p w14:paraId="0083986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采购人指定地点</w:t>
            </w:r>
          </w:p>
        </w:tc>
      </w:tr>
    </w:tbl>
    <w:p w14:paraId="63A58F44">
      <w:pPr>
        <w:pStyle w:val="6"/>
        <w:rPr>
          <w:rFonts w:hint="eastAsia" w:ascii="宋体" w:hAnsi="宋体" w:eastAsia="宋体"/>
          <w:color w:val="auto"/>
          <w:highlight w:val="none"/>
        </w:rPr>
      </w:pPr>
      <w:bookmarkStart w:id="5" w:name="_Toc28376_WPSOffice_Level1"/>
      <w:bookmarkStart w:id="6" w:name="第三章"/>
      <w:r>
        <w:rPr>
          <w:rFonts w:hint="eastAsia" w:ascii="宋体" w:hAnsi="宋体" w:eastAsia="宋体"/>
          <w:color w:val="auto"/>
          <w:highlight w:val="none"/>
        </w:rPr>
        <w:t>二、技术需求</w:t>
      </w:r>
    </w:p>
    <w:p w14:paraId="5A127381">
      <w:pPr>
        <w:pStyle w:val="7"/>
        <w:numPr>
          <w:ilvl w:val="0"/>
          <w:numId w:val="5"/>
        </w:numPr>
        <w:ind w:left="0" w:firstLine="0"/>
        <w:rPr>
          <w:rFonts w:hint="eastAsia" w:ascii="宋体" w:hAnsi="宋体"/>
          <w:color w:val="auto"/>
          <w:highlight w:val="none"/>
        </w:rPr>
      </w:pPr>
      <w:r>
        <w:rPr>
          <w:rFonts w:hint="eastAsia" w:ascii="宋体" w:hAnsi="宋体"/>
          <w:color w:val="auto"/>
          <w:highlight w:val="none"/>
        </w:rPr>
        <w:t>项目背景</w:t>
      </w:r>
    </w:p>
    <w:p w14:paraId="2292A4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随着数字经济的迅速发展，信息技术的安全可靠、自主可控问题已上升到国家战略层面。为进一步打造安全可控的信息技术体系，提升自主可控能力，本项目以《国家信息化发展战略纲要》等政策文件为要求，对本单位门户网站、OA办公系统、私有云底座，进行基础软硬件平台的国产化升级改造。</w:t>
      </w:r>
    </w:p>
    <w:p w14:paraId="284136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针对官方网站、OA办公系统软件采用应用程序改造、数据迁移部署，国产化操作系统、数据库系统替换，服务器硬件平台私有化部署，国产化改造等方式完成项目国产化改造工作，确保在国产化环境下官方网站、OA办公系统功能模块应用不受影响。</w:t>
      </w:r>
    </w:p>
    <w:p w14:paraId="55A57E31">
      <w:pPr>
        <w:pStyle w:val="7"/>
        <w:numPr>
          <w:ilvl w:val="0"/>
          <w:numId w:val="5"/>
        </w:numPr>
        <w:ind w:left="0" w:firstLine="0"/>
        <w:rPr>
          <w:rFonts w:hint="eastAsia" w:ascii="宋体" w:hAnsi="宋体"/>
          <w:color w:val="auto"/>
          <w:highlight w:val="none"/>
        </w:rPr>
      </w:pPr>
      <w:r>
        <w:rPr>
          <w:rFonts w:hint="eastAsia" w:ascii="宋体" w:hAnsi="宋体"/>
          <w:color w:val="auto"/>
          <w:highlight w:val="none"/>
        </w:rPr>
        <w:t>建设内容</w:t>
      </w:r>
    </w:p>
    <w:p w14:paraId="78EE36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主要围绕开投集团的门户网站、OA综合办公系统的配套软硬件环境开展信创改造及适配工作，项目建设遵循《网络安全等级保护基本要求》等技术规范，采用成熟先进的国产化软硬件架构，以及符合等保的相关标准，软件层面完成集团门户网站、OA办公系统的国产化改造、功能适配、数据迁移、应用切换、系统培训及上线等，服务器硬件层面将桌面云平台升级为国产化超融合私有云，实现门户网站、OA办公系统与私有云平台一体化国产化改造部署。</w:t>
      </w:r>
    </w:p>
    <w:p w14:paraId="00B62C66">
      <w:pPr>
        <w:pStyle w:val="8"/>
        <w:numPr>
          <w:ilvl w:val="0"/>
          <w:numId w:val="6"/>
        </w:numPr>
        <w:ind w:left="0" w:firstLine="0"/>
        <w:rPr>
          <w:rFonts w:hint="eastAsia" w:ascii="宋体" w:hAnsi="宋体" w:eastAsia="宋体" w:cs="Times New Roman"/>
          <w:color w:val="auto"/>
          <w:highlight w:val="none"/>
        </w:rPr>
      </w:pPr>
      <w:r>
        <w:rPr>
          <w:rFonts w:hint="eastAsia" w:ascii="宋体" w:hAnsi="宋体" w:eastAsia="宋体"/>
          <w:color w:val="auto"/>
          <w:highlight w:val="none"/>
        </w:rPr>
        <w:t>门户网站系统国产化开发服务要求</w:t>
      </w:r>
    </w:p>
    <w:p w14:paraId="117FF8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包含PC端、手机端网站，其中手机端网站可从微信公众号中跳转打开。详细内容包括：</w:t>
      </w:r>
    </w:p>
    <w:p w14:paraId="337A98CB">
      <w:pPr>
        <w:pStyle w:val="124"/>
        <w:numPr>
          <w:ilvl w:val="0"/>
          <w:numId w:val="7"/>
        </w:numPr>
        <w:ind w:firstLineChars="0"/>
        <w:rPr>
          <w:rFonts w:hint="eastAsia" w:ascii="宋体" w:hAnsi="宋体"/>
          <w:color w:val="auto"/>
          <w:sz w:val="24"/>
          <w:szCs w:val="24"/>
          <w:highlight w:val="none"/>
        </w:rPr>
      </w:pPr>
      <w:r>
        <w:rPr>
          <w:rFonts w:hint="eastAsia" w:ascii="宋体" w:hAnsi="宋体"/>
          <w:color w:val="auto"/>
          <w:sz w:val="24"/>
          <w:szCs w:val="24"/>
          <w:highlight w:val="none"/>
        </w:rPr>
        <w:t>前端功能</w:t>
      </w:r>
    </w:p>
    <w:tbl>
      <w:tblPr>
        <w:tblStyle w:val="41"/>
        <w:tblW w:w="8529" w:type="dxa"/>
        <w:tblInd w:w="113" w:type="dxa"/>
        <w:tblLayout w:type="fixed"/>
        <w:tblCellMar>
          <w:top w:w="0" w:type="dxa"/>
          <w:left w:w="108" w:type="dxa"/>
          <w:bottom w:w="0" w:type="dxa"/>
          <w:right w:w="108" w:type="dxa"/>
        </w:tblCellMar>
      </w:tblPr>
      <w:tblGrid>
        <w:gridCol w:w="704"/>
        <w:gridCol w:w="1581"/>
        <w:gridCol w:w="1278"/>
        <w:gridCol w:w="1281"/>
        <w:gridCol w:w="3685"/>
      </w:tblGrid>
      <w:tr w14:paraId="16E38C07">
        <w:tblPrEx>
          <w:tblCellMar>
            <w:top w:w="0" w:type="dxa"/>
            <w:left w:w="108" w:type="dxa"/>
            <w:bottom w:w="0" w:type="dxa"/>
            <w:right w:w="108" w:type="dxa"/>
          </w:tblCellMar>
        </w:tblPrEx>
        <w:trPr>
          <w:trHeight w:val="405" w:hRule="atLeast"/>
        </w:trPr>
        <w:tc>
          <w:tcPr>
            <w:tcW w:w="704" w:type="dxa"/>
            <w:tcBorders>
              <w:top w:val="single" w:color="auto" w:sz="4" w:space="0"/>
              <w:left w:val="single" w:color="auto" w:sz="4" w:space="0"/>
              <w:bottom w:val="single" w:color="auto" w:sz="4" w:space="0"/>
              <w:right w:val="single" w:color="auto" w:sz="4" w:space="0"/>
            </w:tcBorders>
            <w:shd w:val="clear" w:color="auto" w:fill="5B9BD5"/>
            <w:vAlign w:val="center"/>
          </w:tcPr>
          <w:p w14:paraId="5D0516A1">
            <w:pPr>
              <w:keepNext w:val="0"/>
              <w:keepLines w:val="0"/>
              <w:widowControl/>
              <w:suppressLineNumbers w:val="0"/>
              <w:spacing w:before="0" w:beforeAutospacing="0" w:after="0" w:afterAutospacing="0"/>
              <w:ind w:left="0" w:right="0"/>
              <w:jc w:val="center"/>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板块</w:t>
            </w:r>
          </w:p>
        </w:tc>
        <w:tc>
          <w:tcPr>
            <w:tcW w:w="1581" w:type="dxa"/>
            <w:tcBorders>
              <w:top w:val="single" w:color="auto" w:sz="4" w:space="0"/>
              <w:left w:val="nil"/>
              <w:bottom w:val="single" w:color="auto" w:sz="4" w:space="0"/>
              <w:right w:val="single" w:color="auto" w:sz="4" w:space="0"/>
            </w:tcBorders>
            <w:shd w:val="clear" w:color="auto" w:fill="5B9BD5"/>
            <w:vAlign w:val="center"/>
          </w:tcPr>
          <w:p w14:paraId="7E3E35A8">
            <w:pPr>
              <w:keepNext w:val="0"/>
              <w:keepLines w:val="0"/>
              <w:widowControl/>
              <w:suppressLineNumbers w:val="0"/>
              <w:spacing w:before="0" w:beforeAutospacing="0" w:after="0" w:afterAutospacing="0"/>
              <w:ind w:left="0" w:right="0"/>
              <w:jc w:val="center"/>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模块</w:t>
            </w:r>
          </w:p>
        </w:tc>
        <w:tc>
          <w:tcPr>
            <w:tcW w:w="1278" w:type="dxa"/>
            <w:tcBorders>
              <w:top w:val="single" w:color="auto" w:sz="4" w:space="0"/>
              <w:left w:val="nil"/>
              <w:bottom w:val="single" w:color="auto" w:sz="4" w:space="0"/>
              <w:right w:val="single" w:color="auto" w:sz="4" w:space="0"/>
            </w:tcBorders>
            <w:shd w:val="clear" w:color="auto" w:fill="5B9BD5"/>
            <w:noWrap/>
            <w:vAlign w:val="center"/>
          </w:tcPr>
          <w:p w14:paraId="2C9376DB">
            <w:pPr>
              <w:keepNext w:val="0"/>
              <w:keepLines w:val="0"/>
              <w:widowControl/>
              <w:suppressLineNumbers w:val="0"/>
              <w:spacing w:before="0" w:beforeAutospacing="0" w:after="0" w:afterAutospacing="0"/>
              <w:ind w:left="0" w:right="0"/>
              <w:jc w:val="center"/>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子功能</w:t>
            </w:r>
          </w:p>
        </w:tc>
        <w:tc>
          <w:tcPr>
            <w:tcW w:w="1281" w:type="dxa"/>
            <w:tcBorders>
              <w:top w:val="single" w:color="auto" w:sz="4" w:space="0"/>
              <w:left w:val="nil"/>
              <w:bottom w:val="single" w:color="auto" w:sz="4" w:space="0"/>
              <w:right w:val="single" w:color="auto" w:sz="4" w:space="0"/>
            </w:tcBorders>
            <w:shd w:val="clear" w:color="auto" w:fill="5B9BD5"/>
            <w:noWrap/>
            <w:vAlign w:val="center"/>
          </w:tcPr>
          <w:p w14:paraId="73AE3D26">
            <w:pPr>
              <w:keepNext w:val="0"/>
              <w:keepLines w:val="0"/>
              <w:widowControl/>
              <w:suppressLineNumbers w:val="0"/>
              <w:spacing w:before="0" w:beforeAutospacing="0" w:after="0" w:afterAutospacing="0"/>
              <w:ind w:left="0" w:right="0"/>
              <w:jc w:val="center"/>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二级子功能</w:t>
            </w:r>
          </w:p>
        </w:tc>
        <w:tc>
          <w:tcPr>
            <w:tcW w:w="3685" w:type="dxa"/>
            <w:tcBorders>
              <w:top w:val="single" w:color="auto" w:sz="4" w:space="0"/>
              <w:left w:val="nil"/>
              <w:bottom w:val="single" w:color="auto" w:sz="4" w:space="0"/>
              <w:right w:val="single" w:color="auto" w:sz="4" w:space="0"/>
            </w:tcBorders>
            <w:shd w:val="clear" w:color="auto" w:fill="5B9BD5"/>
            <w:vAlign w:val="center"/>
          </w:tcPr>
          <w:p w14:paraId="3DB66AE4">
            <w:pPr>
              <w:keepNext w:val="0"/>
              <w:keepLines w:val="0"/>
              <w:widowControl/>
              <w:suppressLineNumbers w:val="0"/>
              <w:spacing w:before="0" w:beforeAutospacing="0" w:after="0" w:afterAutospacing="0"/>
              <w:ind w:left="0" w:right="0"/>
              <w:jc w:val="center"/>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内容</w:t>
            </w:r>
          </w:p>
        </w:tc>
      </w:tr>
      <w:tr w14:paraId="77E810C4">
        <w:tblPrEx>
          <w:tblCellMar>
            <w:top w:w="0" w:type="dxa"/>
            <w:left w:w="108" w:type="dxa"/>
            <w:bottom w:w="0" w:type="dxa"/>
            <w:right w:w="108" w:type="dxa"/>
          </w:tblCellMar>
        </w:tblPrEx>
        <w:trPr>
          <w:trHeight w:val="402" w:hRule="atLeast"/>
        </w:trPr>
        <w:tc>
          <w:tcPr>
            <w:tcW w:w="704" w:type="dxa"/>
            <w:vMerge w:val="restart"/>
            <w:tcBorders>
              <w:top w:val="nil"/>
              <w:left w:val="single" w:color="auto" w:sz="4" w:space="0"/>
              <w:bottom w:val="single" w:color="auto" w:sz="4" w:space="0"/>
              <w:right w:val="single" w:color="auto" w:sz="4" w:space="0"/>
            </w:tcBorders>
            <w:vAlign w:val="center"/>
          </w:tcPr>
          <w:p w14:paraId="7E219B6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首页</w:t>
            </w:r>
          </w:p>
        </w:tc>
        <w:tc>
          <w:tcPr>
            <w:tcW w:w="1581" w:type="dxa"/>
            <w:tcBorders>
              <w:top w:val="nil"/>
              <w:left w:val="nil"/>
              <w:bottom w:val="single" w:color="auto" w:sz="4" w:space="0"/>
              <w:right w:val="single" w:color="auto" w:sz="4" w:space="0"/>
            </w:tcBorders>
            <w:vAlign w:val="center"/>
          </w:tcPr>
          <w:p w14:paraId="053B566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顶部栏</w:t>
            </w:r>
          </w:p>
        </w:tc>
        <w:tc>
          <w:tcPr>
            <w:tcW w:w="1278" w:type="dxa"/>
            <w:tcBorders>
              <w:top w:val="nil"/>
              <w:left w:val="nil"/>
              <w:bottom w:val="single" w:color="auto" w:sz="4" w:space="0"/>
              <w:right w:val="single" w:color="auto" w:sz="4" w:space="0"/>
            </w:tcBorders>
            <w:noWrap/>
            <w:vAlign w:val="center"/>
          </w:tcPr>
          <w:p w14:paraId="2B17473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企业logo</w:t>
            </w:r>
          </w:p>
        </w:tc>
        <w:tc>
          <w:tcPr>
            <w:tcW w:w="1281" w:type="dxa"/>
            <w:tcBorders>
              <w:top w:val="nil"/>
              <w:left w:val="nil"/>
              <w:bottom w:val="single" w:color="auto" w:sz="4" w:space="0"/>
              <w:right w:val="single" w:color="auto" w:sz="4" w:space="0"/>
            </w:tcBorders>
            <w:noWrap/>
            <w:vAlign w:val="center"/>
          </w:tcPr>
          <w:p w14:paraId="6A23FC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4750515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固定logo图标</w:t>
            </w:r>
          </w:p>
        </w:tc>
      </w:tr>
      <w:tr w14:paraId="5DDC284C">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120D27E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65F86BE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banner栏</w:t>
            </w:r>
          </w:p>
        </w:tc>
        <w:tc>
          <w:tcPr>
            <w:tcW w:w="1278" w:type="dxa"/>
            <w:tcBorders>
              <w:top w:val="nil"/>
              <w:left w:val="nil"/>
              <w:bottom w:val="single" w:color="auto" w:sz="4" w:space="0"/>
              <w:right w:val="single" w:color="auto" w:sz="4" w:space="0"/>
            </w:tcBorders>
            <w:noWrap/>
            <w:vAlign w:val="center"/>
          </w:tcPr>
          <w:p w14:paraId="46953E5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轮播图</w:t>
            </w:r>
          </w:p>
        </w:tc>
        <w:tc>
          <w:tcPr>
            <w:tcW w:w="1281" w:type="dxa"/>
            <w:tcBorders>
              <w:top w:val="nil"/>
              <w:left w:val="nil"/>
              <w:bottom w:val="single" w:color="auto" w:sz="4" w:space="0"/>
              <w:right w:val="single" w:color="auto" w:sz="4" w:space="0"/>
            </w:tcBorders>
            <w:noWrap/>
            <w:vAlign w:val="center"/>
          </w:tcPr>
          <w:p w14:paraId="569856F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B2E55A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轮播显示最新资讯内容，点击可跳转到相关详情页</w:t>
            </w:r>
          </w:p>
        </w:tc>
      </w:tr>
      <w:tr w14:paraId="4CB7D890">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502EC43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000000" w:sz="4" w:space="0"/>
              <w:right w:val="single" w:color="auto" w:sz="4" w:space="0"/>
            </w:tcBorders>
            <w:vAlign w:val="center"/>
          </w:tcPr>
          <w:p w14:paraId="47DEFC6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导航栏</w:t>
            </w:r>
          </w:p>
        </w:tc>
        <w:tc>
          <w:tcPr>
            <w:tcW w:w="1278" w:type="dxa"/>
            <w:tcBorders>
              <w:top w:val="nil"/>
              <w:left w:val="nil"/>
              <w:bottom w:val="single" w:color="auto" w:sz="4" w:space="0"/>
              <w:right w:val="single" w:color="auto" w:sz="4" w:space="0"/>
            </w:tcBorders>
            <w:noWrap/>
            <w:vAlign w:val="center"/>
          </w:tcPr>
          <w:p w14:paraId="6E035F5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子页面导航</w:t>
            </w:r>
          </w:p>
        </w:tc>
        <w:tc>
          <w:tcPr>
            <w:tcW w:w="1281" w:type="dxa"/>
            <w:tcBorders>
              <w:top w:val="nil"/>
              <w:left w:val="nil"/>
              <w:bottom w:val="single" w:color="auto" w:sz="4" w:space="0"/>
              <w:right w:val="single" w:color="auto" w:sz="4" w:space="0"/>
            </w:tcBorders>
            <w:noWrap/>
            <w:vAlign w:val="center"/>
          </w:tcPr>
          <w:p w14:paraId="60151C1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4F8ED8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导航栏目，跳转至各个分栏目</w:t>
            </w:r>
          </w:p>
        </w:tc>
      </w:tr>
      <w:tr w14:paraId="44D088AB">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5EA1414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59BAA18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3AC4067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搜索框</w:t>
            </w:r>
          </w:p>
        </w:tc>
        <w:tc>
          <w:tcPr>
            <w:tcW w:w="1281" w:type="dxa"/>
            <w:tcBorders>
              <w:top w:val="nil"/>
              <w:left w:val="nil"/>
              <w:bottom w:val="single" w:color="auto" w:sz="4" w:space="0"/>
              <w:right w:val="single" w:color="auto" w:sz="4" w:space="0"/>
            </w:tcBorders>
            <w:noWrap/>
            <w:vAlign w:val="center"/>
          </w:tcPr>
          <w:p w14:paraId="7930445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4C83453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支持站内资讯标题搜索</w:t>
            </w:r>
          </w:p>
        </w:tc>
      </w:tr>
      <w:tr w14:paraId="209EF201">
        <w:tblPrEx>
          <w:tblCellMar>
            <w:top w:w="0" w:type="dxa"/>
            <w:left w:w="108" w:type="dxa"/>
            <w:bottom w:w="0" w:type="dxa"/>
            <w:right w:w="108" w:type="dxa"/>
          </w:tblCellMar>
        </w:tblPrEx>
        <w:trPr>
          <w:trHeight w:val="705" w:hRule="atLeast"/>
        </w:trPr>
        <w:tc>
          <w:tcPr>
            <w:tcW w:w="704" w:type="dxa"/>
            <w:vMerge w:val="continue"/>
            <w:tcBorders>
              <w:top w:val="nil"/>
              <w:left w:val="single" w:color="auto" w:sz="4" w:space="0"/>
              <w:bottom w:val="single" w:color="auto" w:sz="4" w:space="0"/>
              <w:right w:val="single" w:color="auto" w:sz="4" w:space="0"/>
            </w:tcBorders>
            <w:vAlign w:val="center"/>
          </w:tcPr>
          <w:p w14:paraId="39DE7D4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000000" w:sz="4" w:space="0"/>
              <w:right w:val="single" w:color="auto" w:sz="4" w:space="0"/>
            </w:tcBorders>
            <w:vAlign w:val="center"/>
          </w:tcPr>
          <w:p w14:paraId="5A775AA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新闻中心</w:t>
            </w:r>
          </w:p>
        </w:tc>
        <w:tc>
          <w:tcPr>
            <w:tcW w:w="1278" w:type="dxa"/>
            <w:tcBorders>
              <w:top w:val="nil"/>
              <w:left w:val="nil"/>
              <w:bottom w:val="single" w:color="auto" w:sz="4" w:space="0"/>
              <w:right w:val="single" w:color="auto" w:sz="4" w:space="0"/>
            </w:tcBorders>
            <w:noWrap/>
            <w:vAlign w:val="center"/>
          </w:tcPr>
          <w:p w14:paraId="47A9C4B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公司新闻</w:t>
            </w:r>
          </w:p>
        </w:tc>
        <w:tc>
          <w:tcPr>
            <w:tcW w:w="1281" w:type="dxa"/>
            <w:tcBorders>
              <w:top w:val="nil"/>
              <w:left w:val="nil"/>
              <w:bottom w:val="single" w:color="auto" w:sz="4" w:space="0"/>
              <w:right w:val="single" w:color="auto" w:sz="4" w:space="0"/>
            </w:tcBorders>
            <w:noWrap/>
            <w:vAlign w:val="center"/>
          </w:tcPr>
          <w:p w14:paraId="1787609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轮播资讯</w:t>
            </w:r>
          </w:p>
        </w:tc>
        <w:tc>
          <w:tcPr>
            <w:tcW w:w="3685" w:type="dxa"/>
            <w:tcBorders>
              <w:top w:val="nil"/>
              <w:left w:val="nil"/>
              <w:bottom w:val="single" w:color="auto" w:sz="4" w:space="0"/>
              <w:right w:val="single" w:color="auto" w:sz="4" w:space="0"/>
            </w:tcBorders>
            <w:vAlign w:val="center"/>
          </w:tcPr>
          <w:p w14:paraId="283E9E9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可轮播展示公司新闻资讯内容，包含标题、图片、截取部分资讯内容。点击详情可跳转至详情页</w:t>
            </w:r>
          </w:p>
        </w:tc>
      </w:tr>
      <w:tr w14:paraId="23D7D7DB">
        <w:tblPrEx>
          <w:tblCellMar>
            <w:top w:w="0" w:type="dxa"/>
            <w:left w:w="108" w:type="dxa"/>
            <w:bottom w:w="0" w:type="dxa"/>
            <w:right w:w="108" w:type="dxa"/>
          </w:tblCellMar>
        </w:tblPrEx>
        <w:trPr>
          <w:trHeight w:val="690" w:hRule="atLeast"/>
        </w:trPr>
        <w:tc>
          <w:tcPr>
            <w:tcW w:w="704" w:type="dxa"/>
            <w:vMerge w:val="continue"/>
            <w:tcBorders>
              <w:top w:val="nil"/>
              <w:left w:val="single" w:color="auto" w:sz="4" w:space="0"/>
              <w:bottom w:val="single" w:color="auto" w:sz="4" w:space="0"/>
              <w:right w:val="single" w:color="auto" w:sz="4" w:space="0"/>
            </w:tcBorders>
            <w:vAlign w:val="center"/>
          </w:tcPr>
          <w:p w14:paraId="5C7A80A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1C72DC7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restart"/>
            <w:tcBorders>
              <w:top w:val="nil"/>
              <w:left w:val="nil"/>
              <w:bottom w:val="single" w:color="000000" w:sz="4" w:space="0"/>
              <w:right w:val="single" w:color="auto" w:sz="4" w:space="0"/>
            </w:tcBorders>
            <w:noWrap/>
            <w:vAlign w:val="center"/>
          </w:tcPr>
          <w:p w14:paraId="677330D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通知公告</w:t>
            </w:r>
          </w:p>
        </w:tc>
        <w:tc>
          <w:tcPr>
            <w:tcW w:w="1281" w:type="dxa"/>
            <w:tcBorders>
              <w:top w:val="nil"/>
              <w:left w:val="nil"/>
              <w:bottom w:val="single" w:color="auto" w:sz="4" w:space="0"/>
              <w:right w:val="single" w:color="auto" w:sz="4" w:space="0"/>
            </w:tcBorders>
            <w:noWrap/>
            <w:vAlign w:val="center"/>
          </w:tcPr>
          <w:p w14:paraId="7A20289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资讯列表</w:t>
            </w:r>
          </w:p>
        </w:tc>
        <w:tc>
          <w:tcPr>
            <w:tcW w:w="3685" w:type="dxa"/>
            <w:tcBorders>
              <w:top w:val="nil"/>
              <w:left w:val="nil"/>
              <w:bottom w:val="single" w:color="auto" w:sz="4" w:space="0"/>
              <w:right w:val="single" w:color="auto" w:sz="4" w:space="0"/>
            </w:tcBorders>
            <w:vAlign w:val="center"/>
          </w:tcPr>
          <w:p w14:paraId="0EB4BF7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展示4条包含资讯标题、发布时间的列表，由新至旧显示</w:t>
            </w:r>
          </w:p>
        </w:tc>
      </w:tr>
      <w:tr w14:paraId="2CE1BB9B">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6E47AC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2FED258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continue"/>
            <w:tcBorders>
              <w:top w:val="nil"/>
              <w:left w:val="nil"/>
              <w:bottom w:val="single" w:color="000000" w:sz="4" w:space="0"/>
              <w:right w:val="single" w:color="auto" w:sz="4" w:space="0"/>
            </w:tcBorders>
            <w:vAlign w:val="center"/>
          </w:tcPr>
          <w:p w14:paraId="63535CD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81" w:type="dxa"/>
            <w:tcBorders>
              <w:top w:val="nil"/>
              <w:left w:val="nil"/>
              <w:bottom w:val="single" w:color="auto" w:sz="4" w:space="0"/>
              <w:right w:val="single" w:color="auto" w:sz="4" w:space="0"/>
            </w:tcBorders>
            <w:noWrap/>
            <w:vAlign w:val="center"/>
          </w:tcPr>
          <w:p w14:paraId="51F6CB3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更多入口</w:t>
            </w:r>
          </w:p>
        </w:tc>
        <w:tc>
          <w:tcPr>
            <w:tcW w:w="3685" w:type="dxa"/>
            <w:tcBorders>
              <w:top w:val="nil"/>
              <w:left w:val="nil"/>
              <w:bottom w:val="single" w:color="auto" w:sz="4" w:space="0"/>
              <w:right w:val="single" w:color="auto" w:sz="4" w:space="0"/>
            </w:tcBorders>
            <w:vAlign w:val="center"/>
          </w:tcPr>
          <w:p w14:paraId="5157437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40B45AEB">
        <w:tblPrEx>
          <w:tblCellMar>
            <w:top w:w="0" w:type="dxa"/>
            <w:left w:w="108" w:type="dxa"/>
            <w:bottom w:w="0" w:type="dxa"/>
            <w:right w:w="108" w:type="dxa"/>
          </w:tblCellMar>
        </w:tblPrEx>
        <w:trPr>
          <w:trHeight w:val="540" w:hRule="atLeast"/>
        </w:trPr>
        <w:tc>
          <w:tcPr>
            <w:tcW w:w="704" w:type="dxa"/>
            <w:vMerge w:val="continue"/>
            <w:tcBorders>
              <w:top w:val="nil"/>
              <w:left w:val="single" w:color="auto" w:sz="4" w:space="0"/>
              <w:bottom w:val="single" w:color="auto" w:sz="4" w:space="0"/>
              <w:right w:val="single" w:color="auto" w:sz="4" w:space="0"/>
            </w:tcBorders>
            <w:vAlign w:val="center"/>
          </w:tcPr>
          <w:p w14:paraId="2F238B7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5513FFB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restart"/>
            <w:tcBorders>
              <w:top w:val="nil"/>
              <w:left w:val="nil"/>
              <w:bottom w:val="single" w:color="000000" w:sz="4" w:space="0"/>
              <w:right w:val="single" w:color="auto" w:sz="4" w:space="0"/>
            </w:tcBorders>
            <w:noWrap/>
            <w:vAlign w:val="center"/>
          </w:tcPr>
          <w:p w14:paraId="0BF699D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行业动态</w:t>
            </w:r>
          </w:p>
        </w:tc>
        <w:tc>
          <w:tcPr>
            <w:tcW w:w="1281" w:type="dxa"/>
            <w:tcBorders>
              <w:top w:val="nil"/>
              <w:left w:val="nil"/>
              <w:bottom w:val="single" w:color="auto" w:sz="4" w:space="0"/>
              <w:right w:val="single" w:color="auto" w:sz="4" w:space="0"/>
            </w:tcBorders>
            <w:noWrap/>
            <w:vAlign w:val="center"/>
          </w:tcPr>
          <w:p w14:paraId="2DD8AE5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资讯列表</w:t>
            </w:r>
          </w:p>
        </w:tc>
        <w:tc>
          <w:tcPr>
            <w:tcW w:w="3685" w:type="dxa"/>
            <w:tcBorders>
              <w:top w:val="nil"/>
              <w:left w:val="nil"/>
              <w:bottom w:val="single" w:color="auto" w:sz="4" w:space="0"/>
              <w:right w:val="single" w:color="auto" w:sz="4" w:space="0"/>
            </w:tcBorders>
            <w:vAlign w:val="center"/>
          </w:tcPr>
          <w:p w14:paraId="70A7E6A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展示4条包含资讯标题、发布时间的列表，由新至旧显示</w:t>
            </w:r>
          </w:p>
        </w:tc>
      </w:tr>
      <w:tr w14:paraId="4203FB5A">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B57A3A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43B0F09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continue"/>
            <w:tcBorders>
              <w:top w:val="nil"/>
              <w:left w:val="nil"/>
              <w:bottom w:val="single" w:color="000000" w:sz="4" w:space="0"/>
              <w:right w:val="single" w:color="auto" w:sz="4" w:space="0"/>
            </w:tcBorders>
            <w:vAlign w:val="center"/>
          </w:tcPr>
          <w:p w14:paraId="28F69AC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81" w:type="dxa"/>
            <w:tcBorders>
              <w:top w:val="nil"/>
              <w:left w:val="nil"/>
              <w:bottom w:val="single" w:color="auto" w:sz="4" w:space="0"/>
              <w:right w:val="single" w:color="auto" w:sz="4" w:space="0"/>
            </w:tcBorders>
            <w:noWrap/>
            <w:vAlign w:val="center"/>
          </w:tcPr>
          <w:p w14:paraId="6A7B992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更多入口</w:t>
            </w:r>
          </w:p>
        </w:tc>
        <w:tc>
          <w:tcPr>
            <w:tcW w:w="3685" w:type="dxa"/>
            <w:tcBorders>
              <w:top w:val="nil"/>
              <w:left w:val="nil"/>
              <w:bottom w:val="single" w:color="auto" w:sz="4" w:space="0"/>
              <w:right w:val="single" w:color="auto" w:sz="4" w:space="0"/>
            </w:tcBorders>
            <w:vAlign w:val="center"/>
          </w:tcPr>
          <w:p w14:paraId="685F33A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7C876366">
        <w:tblPrEx>
          <w:tblCellMar>
            <w:top w:w="0" w:type="dxa"/>
            <w:left w:w="108" w:type="dxa"/>
            <w:bottom w:w="0" w:type="dxa"/>
            <w:right w:w="108" w:type="dxa"/>
          </w:tblCellMar>
        </w:tblPrEx>
        <w:trPr>
          <w:trHeight w:val="645" w:hRule="atLeast"/>
        </w:trPr>
        <w:tc>
          <w:tcPr>
            <w:tcW w:w="704" w:type="dxa"/>
            <w:vMerge w:val="continue"/>
            <w:tcBorders>
              <w:top w:val="nil"/>
              <w:left w:val="single" w:color="auto" w:sz="4" w:space="0"/>
              <w:bottom w:val="single" w:color="auto" w:sz="4" w:space="0"/>
              <w:right w:val="single" w:color="auto" w:sz="4" w:space="0"/>
            </w:tcBorders>
            <w:vAlign w:val="center"/>
          </w:tcPr>
          <w:p w14:paraId="7F85431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32CFA3C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经营体系</w:t>
            </w:r>
          </w:p>
        </w:tc>
        <w:tc>
          <w:tcPr>
            <w:tcW w:w="1278" w:type="dxa"/>
            <w:tcBorders>
              <w:top w:val="nil"/>
              <w:left w:val="nil"/>
              <w:bottom w:val="single" w:color="auto" w:sz="4" w:space="0"/>
              <w:right w:val="single" w:color="auto" w:sz="4" w:space="0"/>
            </w:tcBorders>
            <w:noWrap/>
            <w:vAlign w:val="center"/>
          </w:tcPr>
          <w:p w14:paraId="4D20779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经营内容</w:t>
            </w:r>
          </w:p>
        </w:tc>
        <w:tc>
          <w:tcPr>
            <w:tcW w:w="1281" w:type="dxa"/>
            <w:tcBorders>
              <w:top w:val="nil"/>
              <w:left w:val="nil"/>
              <w:bottom w:val="single" w:color="auto" w:sz="4" w:space="0"/>
              <w:right w:val="single" w:color="auto" w:sz="4" w:space="0"/>
            </w:tcBorders>
            <w:noWrap/>
            <w:vAlign w:val="center"/>
          </w:tcPr>
          <w:p w14:paraId="342A0F8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78EA0BF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显示经营内容名称，点击可跳转至对应的经营内容案例列表页</w:t>
            </w:r>
          </w:p>
        </w:tc>
      </w:tr>
      <w:tr w14:paraId="04BE9DC4">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01265A3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6BDED57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底部栏</w:t>
            </w:r>
          </w:p>
        </w:tc>
        <w:tc>
          <w:tcPr>
            <w:tcW w:w="1278" w:type="dxa"/>
            <w:tcBorders>
              <w:top w:val="nil"/>
              <w:left w:val="nil"/>
              <w:bottom w:val="single" w:color="auto" w:sz="4" w:space="0"/>
              <w:right w:val="single" w:color="auto" w:sz="4" w:space="0"/>
            </w:tcBorders>
            <w:noWrap/>
            <w:vAlign w:val="center"/>
          </w:tcPr>
          <w:p w14:paraId="3A22CD5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备案信息</w:t>
            </w:r>
          </w:p>
        </w:tc>
        <w:tc>
          <w:tcPr>
            <w:tcW w:w="1281" w:type="dxa"/>
            <w:tcBorders>
              <w:top w:val="nil"/>
              <w:left w:val="nil"/>
              <w:bottom w:val="single" w:color="auto" w:sz="4" w:space="0"/>
              <w:right w:val="single" w:color="auto" w:sz="4" w:space="0"/>
            </w:tcBorders>
            <w:noWrap/>
            <w:vAlign w:val="center"/>
          </w:tcPr>
          <w:p w14:paraId="3D71064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74C75E0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790A26A5">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89F183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7D1DC61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7DECDA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联系地址等信息</w:t>
            </w:r>
          </w:p>
        </w:tc>
        <w:tc>
          <w:tcPr>
            <w:tcW w:w="1281" w:type="dxa"/>
            <w:tcBorders>
              <w:top w:val="nil"/>
              <w:left w:val="nil"/>
              <w:bottom w:val="single" w:color="auto" w:sz="4" w:space="0"/>
              <w:right w:val="single" w:color="auto" w:sz="4" w:space="0"/>
            </w:tcBorders>
            <w:noWrap/>
            <w:vAlign w:val="center"/>
          </w:tcPr>
          <w:p w14:paraId="6032369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72E2BFC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724209CF">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6E1A8E8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25AD0EB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52054E8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友情链接</w:t>
            </w:r>
          </w:p>
        </w:tc>
        <w:tc>
          <w:tcPr>
            <w:tcW w:w="1281" w:type="dxa"/>
            <w:tcBorders>
              <w:top w:val="nil"/>
              <w:left w:val="nil"/>
              <w:bottom w:val="single" w:color="auto" w:sz="4" w:space="0"/>
              <w:right w:val="single" w:color="auto" w:sz="4" w:space="0"/>
            </w:tcBorders>
            <w:noWrap/>
            <w:vAlign w:val="center"/>
          </w:tcPr>
          <w:p w14:paraId="57BB278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E28A5E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19C53664">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57C853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2AE4BA4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7309283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技术支持</w:t>
            </w:r>
          </w:p>
        </w:tc>
        <w:tc>
          <w:tcPr>
            <w:tcW w:w="1281" w:type="dxa"/>
            <w:tcBorders>
              <w:top w:val="nil"/>
              <w:left w:val="nil"/>
              <w:bottom w:val="single" w:color="auto" w:sz="4" w:space="0"/>
              <w:right w:val="single" w:color="auto" w:sz="4" w:space="0"/>
            </w:tcBorders>
            <w:noWrap/>
            <w:vAlign w:val="center"/>
          </w:tcPr>
          <w:p w14:paraId="51561A4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949002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0E73A68E">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1BBEE35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nil"/>
              <w:right w:val="single" w:color="auto" w:sz="4" w:space="0"/>
            </w:tcBorders>
            <w:vAlign w:val="center"/>
          </w:tcPr>
          <w:p w14:paraId="0A2180D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页面悬浮模块</w:t>
            </w:r>
          </w:p>
        </w:tc>
        <w:tc>
          <w:tcPr>
            <w:tcW w:w="1278" w:type="dxa"/>
            <w:tcBorders>
              <w:top w:val="nil"/>
              <w:left w:val="nil"/>
              <w:bottom w:val="single" w:color="auto" w:sz="4" w:space="0"/>
              <w:right w:val="single" w:color="auto" w:sz="4" w:space="0"/>
            </w:tcBorders>
            <w:noWrap/>
            <w:vAlign w:val="center"/>
          </w:tcPr>
          <w:p w14:paraId="4932F51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资讯图片</w:t>
            </w:r>
          </w:p>
        </w:tc>
        <w:tc>
          <w:tcPr>
            <w:tcW w:w="1281" w:type="dxa"/>
            <w:tcBorders>
              <w:top w:val="nil"/>
              <w:left w:val="nil"/>
              <w:bottom w:val="single" w:color="auto" w:sz="4" w:space="0"/>
              <w:right w:val="single" w:color="auto" w:sz="4" w:space="0"/>
            </w:tcBorders>
            <w:noWrap/>
            <w:vAlign w:val="center"/>
          </w:tcPr>
          <w:p w14:paraId="5F4E0CF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6D44A8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5099FE86">
        <w:tblPrEx>
          <w:tblCellMar>
            <w:top w:w="0" w:type="dxa"/>
            <w:left w:w="108" w:type="dxa"/>
            <w:bottom w:w="0" w:type="dxa"/>
            <w:right w:w="108" w:type="dxa"/>
          </w:tblCellMar>
        </w:tblPrEx>
        <w:trPr>
          <w:trHeight w:val="402" w:hRule="atLeast"/>
        </w:trPr>
        <w:tc>
          <w:tcPr>
            <w:tcW w:w="704" w:type="dxa"/>
            <w:vMerge w:val="restart"/>
            <w:tcBorders>
              <w:top w:val="nil"/>
              <w:left w:val="single" w:color="auto" w:sz="4" w:space="0"/>
              <w:bottom w:val="single" w:color="auto" w:sz="4" w:space="0"/>
              <w:right w:val="single" w:color="auto" w:sz="4" w:space="0"/>
            </w:tcBorders>
            <w:vAlign w:val="center"/>
          </w:tcPr>
          <w:p w14:paraId="6E809C9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关于开投</w:t>
            </w:r>
          </w:p>
        </w:tc>
        <w:tc>
          <w:tcPr>
            <w:tcW w:w="1581" w:type="dxa"/>
            <w:vMerge w:val="restart"/>
            <w:tcBorders>
              <w:top w:val="single" w:color="auto" w:sz="4" w:space="0"/>
              <w:left w:val="nil"/>
              <w:bottom w:val="single" w:color="000000" w:sz="4" w:space="0"/>
              <w:right w:val="single" w:color="auto" w:sz="4" w:space="0"/>
            </w:tcBorders>
            <w:vAlign w:val="center"/>
          </w:tcPr>
          <w:p w14:paraId="3D454CB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顶部栏</w:t>
            </w:r>
          </w:p>
        </w:tc>
        <w:tc>
          <w:tcPr>
            <w:tcW w:w="1278" w:type="dxa"/>
            <w:tcBorders>
              <w:top w:val="nil"/>
              <w:left w:val="nil"/>
              <w:bottom w:val="single" w:color="auto" w:sz="4" w:space="0"/>
              <w:right w:val="single" w:color="auto" w:sz="4" w:space="0"/>
            </w:tcBorders>
            <w:noWrap/>
            <w:vAlign w:val="center"/>
          </w:tcPr>
          <w:p w14:paraId="4558BF3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背景图</w:t>
            </w:r>
          </w:p>
        </w:tc>
        <w:tc>
          <w:tcPr>
            <w:tcW w:w="1281" w:type="dxa"/>
            <w:tcBorders>
              <w:top w:val="nil"/>
              <w:left w:val="nil"/>
              <w:bottom w:val="single" w:color="auto" w:sz="4" w:space="0"/>
              <w:right w:val="single" w:color="auto" w:sz="4" w:space="0"/>
            </w:tcBorders>
            <w:noWrap/>
            <w:vAlign w:val="center"/>
          </w:tcPr>
          <w:p w14:paraId="044334C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23EE5F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自定义背景图</w:t>
            </w:r>
          </w:p>
        </w:tc>
      </w:tr>
      <w:tr w14:paraId="78E80FA2">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06A2ACE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single" w:color="auto" w:sz="4" w:space="0"/>
              <w:left w:val="nil"/>
              <w:bottom w:val="single" w:color="000000" w:sz="4" w:space="0"/>
              <w:right w:val="single" w:color="auto" w:sz="4" w:space="0"/>
            </w:tcBorders>
            <w:vAlign w:val="center"/>
          </w:tcPr>
          <w:p w14:paraId="7B998A1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7B170A3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快捷跳转</w:t>
            </w:r>
          </w:p>
        </w:tc>
        <w:tc>
          <w:tcPr>
            <w:tcW w:w="1281" w:type="dxa"/>
            <w:tcBorders>
              <w:top w:val="nil"/>
              <w:left w:val="nil"/>
              <w:bottom w:val="single" w:color="auto" w:sz="4" w:space="0"/>
              <w:right w:val="single" w:color="auto" w:sz="4" w:space="0"/>
            </w:tcBorders>
            <w:noWrap/>
            <w:vAlign w:val="center"/>
          </w:tcPr>
          <w:p w14:paraId="4EF6582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81A9A5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快速跳转（链接/锚点）按钮</w:t>
            </w:r>
          </w:p>
        </w:tc>
      </w:tr>
      <w:tr w14:paraId="53A71228">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62AD94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2EC1666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公司简介</w:t>
            </w:r>
          </w:p>
        </w:tc>
        <w:tc>
          <w:tcPr>
            <w:tcW w:w="1278" w:type="dxa"/>
            <w:tcBorders>
              <w:top w:val="nil"/>
              <w:left w:val="nil"/>
              <w:bottom w:val="single" w:color="auto" w:sz="4" w:space="0"/>
              <w:right w:val="single" w:color="auto" w:sz="4" w:space="0"/>
            </w:tcBorders>
            <w:noWrap/>
            <w:vAlign w:val="center"/>
          </w:tcPr>
          <w:p w14:paraId="2FF81D7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77E6997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71CB9A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690A3D9E">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3D1F59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49A4AA0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企业文化</w:t>
            </w:r>
          </w:p>
        </w:tc>
        <w:tc>
          <w:tcPr>
            <w:tcW w:w="1278" w:type="dxa"/>
            <w:tcBorders>
              <w:top w:val="nil"/>
              <w:left w:val="nil"/>
              <w:bottom w:val="single" w:color="auto" w:sz="4" w:space="0"/>
              <w:right w:val="single" w:color="auto" w:sz="4" w:space="0"/>
            </w:tcBorders>
            <w:noWrap/>
            <w:vAlign w:val="center"/>
          </w:tcPr>
          <w:p w14:paraId="35C946E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79404D0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D1A732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47FC00B4">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0A6066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74C497B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组织架构</w:t>
            </w:r>
          </w:p>
        </w:tc>
        <w:tc>
          <w:tcPr>
            <w:tcW w:w="1278" w:type="dxa"/>
            <w:tcBorders>
              <w:top w:val="nil"/>
              <w:left w:val="nil"/>
              <w:bottom w:val="single" w:color="auto" w:sz="4" w:space="0"/>
              <w:right w:val="single" w:color="auto" w:sz="4" w:space="0"/>
            </w:tcBorders>
            <w:noWrap/>
            <w:vAlign w:val="center"/>
          </w:tcPr>
          <w:p w14:paraId="090EDE2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42F3424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089FC4C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6A5B4D70">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9F8E34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5BCB723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荣誉资质</w:t>
            </w:r>
          </w:p>
        </w:tc>
        <w:tc>
          <w:tcPr>
            <w:tcW w:w="1278" w:type="dxa"/>
            <w:tcBorders>
              <w:top w:val="nil"/>
              <w:left w:val="nil"/>
              <w:bottom w:val="single" w:color="auto" w:sz="4" w:space="0"/>
              <w:right w:val="single" w:color="auto" w:sz="4" w:space="0"/>
            </w:tcBorders>
            <w:noWrap/>
            <w:vAlign w:val="center"/>
          </w:tcPr>
          <w:p w14:paraId="12A722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1EEB6A2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EA358E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轮播显示荣誉资质图片</w:t>
            </w:r>
          </w:p>
        </w:tc>
      </w:tr>
      <w:tr w14:paraId="11606875">
        <w:tblPrEx>
          <w:tblCellMar>
            <w:top w:w="0" w:type="dxa"/>
            <w:left w:w="108" w:type="dxa"/>
            <w:bottom w:w="0" w:type="dxa"/>
            <w:right w:w="108" w:type="dxa"/>
          </w:tblCellMar>
        </w:tblPrEx>
        <w:trPr>
          <w:trHeight w:val="585" w:hRule="atLeast"/>
        </w:trPr>
        <w:tc>
          <w:tcPr>
            <w:tcW w:w="704" w:type="dxa"/>
            <w:vMerge w:val="restart"/>
            <w:tcBorders>
              <w:top w:val="nil"/>
              <w:left w:val="single" w:color="auto" w:sz="4" w:space="0"/>
              <w:bottom w:val="single" w:color="auto" w:sz="4" w:space="0"/>
              <w:right w:val="single" w:color="auto" w:sz="4" w:space="0"/>
            </w:tcBorders>
            <w:vAlign w:val="center"/>
          </w:tcPr>
          <w:p w14:paraId="554243A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经营体系</w:t>
            </w:r>
          </w:p>
        </w:tc>
        <w:tc>
          <w:tcPr>
            <w:tcW w:w="1581" w:type="dxa"/>
            <w:tcBorders>
              <w:top w:val="nil"/>
              <w:left w:val="nil"/>
              <w:bottom w:val="single" w:color="auto" w:sz="4" w:space="0"/>
              <w:right w:val="single" w:color="auto" w:sz="4" w:space="0"/>
            </w:tcBorders>
            <w:vAlign w:val="center"/>
          </w:tcPr>
          <w:p w14:paraId="3ABAF78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经营类目入口</w:t>
            </w:r>
          </w:p>
        </w:tc>
        <w:tc>
          <w:tcPr>
            <w:tcW w:w="1278" w:type="dxa"/>
            <w:tcBorders>
              <w:top w:val="nil"/>
              <w:left w:val="nil"/>
              <w:bottom w:val="single" w:color="auto" w:sz="4" w:space="0"/>
              <w:right w:val="single" w:color="auto" w:sz="4" w:space="0"/>
            </w:tcBorders>
            <w:noWrap/>
            <w:vAlign w:val="center"/>
          </w:tcPr>
          <w:p w14:paraId="3D79D80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4B1666C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9011FA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点击可进入该类目案例列表，类目包含园区管理、房产开发、市政园林、物业管理、房屋租赁。</w:t>
            </w:r>
          </w:p>
        </w:tc>
      </w:tr>
      <w:tr w14:paraId="3C1A32E4">
        <w:tblPrEx>
          <w:tblCellMar>
            <w:top w:w="0" w:type="dxa"/>
            <w:left w:w="108" w:type="dxa"/>
            <w:bottom w:w="0" w:type="dxa"/>
            <w:right w:w="108" w:type="dxa"/>
          </w:tblCellMar>
        </w:tblPrEx>
        <w:trPr>
          <w:trHeight w:val="645" w:hRule="atLeast"/>
        </w:trPr>
        <w:tc>
          <w:tcPr>
            <w:tcW w:w="704" w:type="dxa"/>
            <w:vMerge w:val="continue"/>
            <w:tcBorders>
              <w:top w:val="nil"/>
              <w:left w:val="single" w:color="auto" w:sz="4" w:space="0"/>
              <w:bottom w:val="single" w:color="auto" w:sz="4" w:space="0"/>
              <w:right w:val="single" w:color="auto" w:sz="4" w:space="0"/>
            </w:tcBorders>
            <w:vAlign w:val="center"/>
          </w:tcPr>
          <w:p w14:paraId="2E7B4BE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4FEAA74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案例列表</w:t>
            </w:r>
          </w:p>
        </w:tc>
        <w:tc>
          <w:tcPr>
            <w:tcW w:w="1278" w:type="dxa"/>
            <w:tcBorders>
              <w:top w:val="nil"/>
              <w:left w:val="nil"/>
              <w:bottom w:val="single" w:color="auto" w:sz="4" w:space="0"/>
              <w:right w:val="single" w:color="auto" w:sz="4" w:space="0"/>
            </w:tcBorders>
            <w:noWrap/>
            <w:vAlign w:val="center"/>
          </w:tcPr>
          <w:p w14:paraId="00B6513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图片列表</w:t>
            </w:r>
          </w:p>
        </w:tc>
        <w:tc>
          <w:tcPr>
            <w:tcW w:w="1281" w:type="dxa"/>
            <w:tcBorders>
              <w:top w:val="nil"/>
              <w:left w:val="nil"/>
              <w:bottom w:val="single" w:color="auto" w:sz="4" w:space="0"/>
              <w:right w:val="single" w:color="auto" w:sz="4" w:space="0"/>
            </w:tcBorders>
            <w:noWrap/>
            <w:vAlign w:val="center"/>
          </w:tcPr>
          <w:p w14:paraId="6CE9BA5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50A9221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列表显示案例列表，包含封面图和标题，每页显示6条数据</w:t>
            </w:r>
          </w:p>
        </w:tc>
      </w:tr>
      <w:tr w14:paraId="105F14BD">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2DFD9D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000000" w:sz="4" w:space="0"/>
              <w:right w:val="single" w:color="auto" w:sz="4" w:space="0"/>
            </w:tcBorders>
            <w:vAlign w:val="center"/>
          </w:tcPr>
          <w:p w14:paraId="4016218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案例详情</w:t>
            </w:r>
          </w:p>
        </w:tc>
        <w:tc>
          <w:tcPr>
            <w:tcW w:w="1278" w:type="dxa"/>
            <w:tcBorders>
              <w:top w:val="nil"/>
              <w:left w:val="nil"/>
              <w:bottom w:val="single" w:color="auto" w:sz="4" w:space="0"/>
              <w:right w:val="single" w:color="auto" w:sz="4" w:space="0"/>
            </w:tcBorders>
            <w:noWrap/>
            <w:vAlign w:val="center"/>
          </w:tcPr>
          <w:p w14:paraId="387115F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详情页</w:t>
            </w:r>
          </w:p>
        </w:tc>
        <w:tc>
          <w:tcPr>
            <w:tcW w:w="1281" w:type="dxa"/>
            <w:tcBorders>
              <w:top w:val="nil"/>
              <w:left w:val="nil"/>
              <w:bottom w:val="single" w:color="auto" w:sz="4" w:space="0"/>
              <w:right w:val="single" w:color="auto" w:sz="4" w:space="0"/>
            </w:tcBorders>
            <w:noWrap/>
            <w:vAlign w:val="center"/>
          </w:tcPr>
          <w:p w14:paraId="311DFA9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433E753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图文详情页</w:t>
            </w:r>
          </w:p>
        </w:tc>
      </w:tr>
      <w:tr w14:paraId="7CF5A040">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4057863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2339161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605F7FC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上下篇幅按钮</w:t>
            </w:r>
          </w:p>
        </w:tc>
        <w:tc>
          <w:tcPr>
            <w:tcW w:w="1281" w:type="dxa"/>
            <w:tcBorders>
              <w:top w:val="nil"/>
              <w:left w:val="nil"/>
              <w:bottom w:val="single" w:color="auto" w:sz="4" w:space="0"/>
              <w:right w:val="single" w:color="auto" w:sz="4" w:space="0"/>
            </w:tcBorders>
            <w:noWrap/>
            <w:vAlign w:val="center"/>
          </w:tcPr>
          <w:p w14:paraId="0B2307F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0DB703F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快捷上下翻转案例</w:t>
            </w:r>
          </w:p>
        </w:tc>
      </w:tr>
      <w:tr w14:paraId="7532EF85">
        <w:tblPrEx>
          <w:tblCellMar>
            <w:top w:w="0" w:type="dxa"/>
            <w:left w:w="108" w:type="dxa"/>
            <w:bottom w:w="0" w:type="dxa"/>
            <w:right w:w="108" w:type="dxa"/>
          </w:tblCellMar>
        </w:tblPrEx>
        <w:trPr>
          <w:trHeight w:val="402" w:hRule="atLeast"/>
        </w:trPr>
        <w:tc>
          <w:tcPr>
            <w:tcW w:w="704" w:type="dxa"/>
            <w:vMerge w:val="restart"/>
            <w:tcBorders>
              <w:top w:val="nil"/>
              <w:left w:val="single" w:color="auto" w:sz="4" w:space="0"/>
              <w:bottom w:val="single" w:color="auto" w:sz="4" w:space="0"/>
              <w:right w:val="single" w:color="auto" w:sz="4" w:space="0"/>
            </w:tcBorders>
            <w:vAlign w:val="center"/>
          </w:tcPr>
          <w:p w14:paraId="5A0AB96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新闻动态</w:t>
            </w:r>
          </w:p>
        </w:tc>
        <w:tc>
          <w:tcPr>
            <w:tcW w:w="1581" w:type="dxa"/>
            <w:vMerge w:val="restart"/>
            <w:tcBorders>
              <w:top w:val="nil"/>
              <w:left w:val="nil"/>
              <w:bottom w:val="single" w:color="auto" w:sz="4" w:space="0"/>
              <w:right w:val="single" w:color="auto" w:sz="4" w:space="0"/>
            </w:tcBorders>
            <w:vAlign w:val="center"/>
          </w:tcPr>
          <w:p w14:paraId="171DB75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顶部栏</w:t>
            </w:r>
          </w:p>
        </w:tc>
        <w:tc>
          <w:tcPr>
            <w:tcW w:w="1278" w:type="dxa"/>
            <w:tcBorders>
              <w:top w:val="nil"/>
              <w:left w:val="nil"/>
              <w:bottom w:val="single" w:color="auto" w:sz="4" w:space="0"/>
              <w:right w:val="single" w:color="auto" w:sz="4" w:space="0"/>
            </w:tcBorders>
            <w:noWrap/>
            <w:vAlign w:val="center"/>
          </w:tcPr>
          <w:p w14:paraId="335FC27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背景图</w:t>
            </w:r>
          </w:p>
        </w:tc>
        <w:tc>
          <w:tcPr>
            <w:tcW w:w="1281" w:type="dxa"/>
            <w:tcBorders>
              <w:top w:val="nil"/>
              <w:left w:val="nil"/>
              <w:bottom w:val="single" w:color="auto" w:sz="4" w:space="0"/>
              <w:right w:val="single" w:color="auto" w:sz="4" w:space="0"/>
            </w:tcBorders>
            <w:noWrap/>
            <w:vAlign w:val="center"/>
          </w:tcPr>
          <w:p w14:paraId="0104C14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0D23BC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自定义背景图</w:t>
            </w:r>
          </w:p>
        </w:tc>
      </w:tr>
      <w:tr w14:paraId="1C5DC566">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1070921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365FF0D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10B1170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快捷跳转</w:t>
            </w:r>
          </w:p>
        </w:tc>
        <w:tc>
          <w:tcPr>
            <w:tcW w:w="1281" w:type="dxa"/>
            <w:tcBorders>
              <w:top w:val="nil"/>
              <w:left w:val="nil"/>
              <w:bottom w:val="single" w:color="auto" w:sz="4" w:space="0"/>
              <w:right w:val="single" w:color="auto" w:sz="4" w:space="0"/>
            </w:tcBorders>
            <w:noWrap/>
            <w:vAlign w:val="center"/>
          </w:tcPr>
          <w:p w14:paraId="1854BEF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9176D6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快速切换新闻动态显示内容列表</w:t>
            </w:r>
          </w:p>
        </w:tc>
      </w:tr>
      <w:tr w14:paraId="6F130110">
        <w:tblPrEx>
          <w:tblCellMar>
            <w:top w:w="0" w:type="dxa"/>
            <w:left w:w="108" w:type="dxa"/>
            <w:bottom w:w="0" w:type="dxa"/>
            <w:right w:w="108" w:type="dxa"/>
          </w:tblCellMar>
        </w:tblPrEx>
        <w:trPr>
          <w:trHeight w:val="555" w:hRule="atLeast"/>
        </w:trPr>
        <w:tc>
          <w:tcPr>
            <w:tcW w:w="704" w:type="dxa"/>
            <w:vMerge w:val="continue"/>
            <w:tcBorders>
              <w:top w:val="nil"/>
              <w:left w:val="single" w:color="auto" w:sz="4" w:space="0"/>
              <w:bottom w:val="single" w:color="auto" w:sz="4" w:space="0"/>
              <w:right w:val="single" w:color="auto" w:sz="4" w:space="0"/>
            </w:tcBorders>
            <w:vAlign w:val="center"/>
          </w:tcPr>
          <w:p w14:paraId="7D0479E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2F04BCA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公司新闻</w:t>
            </w:r>
          </w:p>
        </w:tc>
        <w:tc>
          <w:tcPr>
            <w:tcW w:w="1278" w:type="dxa"/>
            <w:tcBorders>
              <w:top w:val="nil"/>
              <w:left w:val="nil"/>
              <w:bottom w:val="single" w:color="auto" w:sz="4" w:space="0"/>
              <w:right w:val="single" w:color="auto" w:sz="4" w:space="0"/>
            </w:tcBorders>
            <w:noWrap/>
            <w:vAlign w:val="center"/>
          </w:tcPr>
          <w:p w14:paraId="122990B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置顶新闻</w:t>
            </w:r>
          </w:p>
        </w:tc>
        <w:tc>
          <w:tcPr>
            <w:tcW w:w="1281" w:type="dxa"/>
            <w:tcBorders>
              <w:top w:val="nil"/>
              <w:left w:val="nil"/>
              <w:bottom w:val="single" w:color="auto" w:sz="4" w:space="0"/>
              <w:right w:val="single" w:color="auto" w:sz="4" w:space="0"/>
            </w:tcBorders>
            <w:noWrap/>
            <w:vAlign w:val="center"/>
          </w:tcPr>
          <w:p w14:paraId="0E4ABF5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55D92C4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独立一行展示置顶新闻，包含图片和标题，最多展示4条。</w:t>
            </w:r>
          </w:p>
        </w:tc>
      </w:tr>
      <w:tr w14:paraId="1B5D1FD6">
        <w:tblPrEx>
          <w:tblCellMar>
            <w:top w:w="0" w:type="dxa"/>
            <w:left w:w="108" w:type="dxa"/>
            <w:bottom w:w="0" w:type="dxa"/>
            <w:right w:w="108" w:type="dxa"/>
          </w:tblCellMar>
        </w:tblPrEx>
        <w:trPr>
          <w:trHeight w:val="645" w:hRule="atLeast"/>
        </w:trPr>
        <w:tc>
          <w:tcPr>
            <w:tcW w:w="704" w:type="dxa"/>
            <w:vMerge w:val="continue"/>
            <w:tcBorders>
              <w:top w:val="nil"/>
              <w:left w:val="single" w:color="auto" w:sz="4" w:space="0"/>
              <w:bottom w:val="single" w:color="auto" w:sz="4" w:space="0"/>
              <w:right w:val="single" w:color="auto" w:sz="4" w:space="0"/>
            </w:tcBorders>
            <w:vAlign w:val="center"/>
          </w:tcPr>
          <w:p w14:paraId="6E74D4C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741297D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68AE435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新闻列表</w:t>
            </w:r>
          </w:p>
        </w:tc>
        <w:tc>
          <w:tcPr>
            <w:tcW w:w="1281" w:type="dxa"/>
            <w:tcBorders>
              <w:top w:val="nil"/>
              <w:left w:val="nil"/>
              <w:bottom w:val="single" w:color="auto" w:sz="4" w:space="0"/>
              <w:right w:val="single" w:color="auto" w:sz="4" w:space="0"/>
            </w:tcBorders>
            <w:noWrap/>
            <w:vAlign w:val="center"/>
          </w:tcPr>
          <w:p w14:paraId="2E06260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2A2E6D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列表显示公司新闻列表，包含标题，每页显示8条数据</w:t>
            </w:r>
          </w:p>
        </w:tc>
      </w:tr>
      <w:tr w14:paraId="4E8CD5A4">
        <w:tblPrEx>
          <w:tblCellMar>
            <w:top w:w="0" w:type="dxa"/>
            <w:left w:w="108" w:type="dxa"/>
            <w:bottom w:w="0" w:type="dxa"/>
            <w:right w:w="108" w:type="dxa"/>
          </w:tblCellMar>
        </w:tblPrEx>
        <w:trPr>
          <w:trHeight w:val="555" w:hRule="atLeast"/>
        </w:trPr>
        <w:tc>
          <w:tcPr>
            <w:tcW w:w="704" w:type="dxa"/>
            <w:vMerge w:val="continue"/>
            <w:tcBorders>
              <w:top w:val="nil"/>
              <w:left w:val="single" w:color="auto" w:sz="4" w:space="0"/>
              <w:bottom w:val="single" w:color="auto" w:sz="4" w:space="0"/>
              <w:right w:val="single" w:color="auto" w:sz="4" w:space="0"/>
            </w:tcBorders>
            <w:vAlign w:val="center"/>
          </w:tcPr>
          <w:p w14:paraId="2166035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09E6D2A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通知公告</w:t>
            </w:r>
          </w:p>
        </w:tc>
        <w:tc>
          <w:tcPr>
            <w:tcW w:w="1278" w:type="dxa"/>
            <w:tcBorders>
              <w:top w:val="nil"/>
              <w:left w:val="nil"/>
              <w:bottom w:val="single" w:color="auto" w:sz="4" w:space="0"/>
              <w:right w:val="single" w:color="auto" w:sz="4" w:space="0"/>
            </w:tcBorders>
            <w:noWrap/>
            <w:vAlign w:val="center"/>
          </w:tcPr>
          <w:p w14:paraId="547183C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公告列表</w:t>
            </w:r>
          </w:p>
        </w:tc>
        <w:tc>
          <w:tcPr>
            <w:tcW w:w="1281" w:type="dxa"/>
            <w:tcBorders>
              <w:top w:val="nil"/>
              <w:left w:val="nil"/>
              <w:bottom w:val="single" w:color="auto" w:sz="4" w:space="0"/>
              <w:right w:val="single" w:color="auto" w:sz="4" w:space="0"/>
            </w:tcBorders>
            <w:noWrap/>
            <w:vAlign w:val="center"/>
          </w:tcPr>
          <w:p w14:paraId="1A8765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5DD2F55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列表显示通知公告列表，包含标题，每页显示8条数据</w:t>
            </w:r>
          </w:p>
        </w:tc>
      </w:tr>
      <w:tr w14:paraId="1AB64197">
        <w:tblPrEx>
          <w:tblCellMar>
            <w:top w:w="0" w:type="dxa"/>
            <w:left w:w="108" w:type="dxa"/>
            <w:bottom w:w="0" w:type="dxa"/>
            <w:right w:w="108" w:type="dxa"/>
          </w:tblCellMar>
        </w:tblPrEx>
        <w:trPr>
          <w:trHeight w:val="630" w:hRule="atLeast"/>
        </w:trPr>
        <w:tc>
          <w:tcPr>
            <w:tcW w:w="704" w:type="dxa"/>
            <w:vMerge w:val="continue"/>
            <w:tcBorders>
              <w:top w:val="nil"/>
              <w:left w:val="single" w:color="auto" w:sz="4" w:space="0"/>
              <w:bottom w:val="single" w:color="auto" w:sz="4" w:space="0"/>
              <w:right w:val="single" w:color="auto" w:sz="4" w:space="0"/>
            </w:tcBorders>
            <w:vAlign w:val="center"/>
          </w:tcPr>
          <w:p w14:paraId="1B6F800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3F686EC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行业动态</w:t>
            </w:r>
          </w:p>
        </w:tc>
        <w:tc>
          <w:tcPr>
            <w:tcW w:w="1278" w:type="dxa"/>
            <w:tcBorders>
              <w:top w:val="nil"/>
              <w:left w:val="nil"/>
              <w:bottom w:val="single" w:color="auto" w:sz="4" w:space="0"/>
              <w:right w:val="single" w:color="auto" w:sz="4" w:space="0"/>
            </w:tcBorders>
            <w:noWrap/>
            <w:vAlign w:val="center"/>
          </w:tcPr>
          <w:p w14:paraId="17E889C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动态列表</w:t>
            </w:r>
          </w:p>
        </w:tc>
        <w:tc>
          <w:tcPr>
            <w:tcW w:w="1281" w:type="dxa"/>
            <w:tcBorders>
              <w:top w:val="nil"/>
              <w:left w:val="nil"/>
              <w:bottom w:val="single" w:color="auto" w:sz="4" w:space="0"/>
              <w:right w:val="single" w:color="auto" w:sz="4" w:space="0"/>
            </w:tcBorders>
            <w:noWrap/>
            <w:vAlign w:val="center"/>
          </w:tcPr>
          <w:p w14:paraId="5E74B2B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58F753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列表显示行业动态列表，包含标题，每页显示8条数据</w:t>
            </w:r>
          </w:p>
        </w:tc>
      </w:tr>
      <w:tr w14:paraId="4DB68C59">
        <w:tblPrEx>
          <w:tblCellMar>
            <w:top w:w="0" w:type="dxa"/>
            <w:left w:w="108" w:type="dxa"/>
            <w:bottom w:w="0" w:type="dxa"/>
            <w:right w:w="108" w:type="dxa"/>
          </w:tblCellMar>
        </w:tblPrEx>
        <w:trPr>
          <w:trHeight w:val="402" w:hRule="atLeast"/>
        </w:trPr>
        <w:tc>
          <w:tcPr>
            <w:tcW w:w="704" w:type="dxa"/>
            <w:vMerge w:val="restart"/>
            <w:tcBorders>
              <w:top w:val="nil"/>
              <w:left w:val="single" w:color="auto" w:sz="4" w:space="0"/>
              <w:bottom w:val="single" w:color="auto" w:sz="4" w:space="0"/>
              <w:right w:val="single" w:color="auto" w:sz="4" w:space="0"/>
            </w:tcBorders>
            <w:vAlign w:val="center"/>
          </w:tcPr>
          <w:p w14:paraId="789A3EC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党建园地</w:t>
            </w:r>
          </w:p>
        </w:tc>
        <w:tc>
          <w:tcPr>
            <w:tcW w:w="1581" w:type="dxa"/>
            <w:tcBorders>
              <w:top w:val="nil"/>
              <w:left w:val="nil"/>
              <w:bottom w:val="single" w:color="auto" w:sz="4" w:space="0"/>
              <w:right w:val="single" w:color="auto" w:sz="4" w:space="0"/>
            </w:tcBorders>
            <w:vAlign w:val="center"/>
          </w:tcPr>
          <w:p w14:paraId="357E156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背景图</w:t>
            </w:r>
          </w:p>
        </w:tc>
        <w:tc>
          <w:tcPr>
            <w:tcW w:w="1278" w:type="dxa"/>
            <w:tcBorders>
              <w:top w:val="nil"/>
              <w:left w:val="nil"/>
              <w:bottom w:val="single" w:color="auto" w:sz="4" w:space="0"/>
              <w:right w:val="single" w:color="auto" w:sz="4" w:space="0"/>
            </w:tcBorders>
            <w:noWrap/>
            <w:vAlign w:val="center"/>
          </w:tcPr>
          <w:p w14:paraId="7ACE52D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0769A32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B10E9F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自定义背景图</w:t>
            </w:r>
          </w:p>
        </w:tc>
      </w:tr>
      <w:tr w14:paraId="12D5EE0F">
        <w:tblPrEx>
          <w:tblCellMar>
            <w:top w:w="0" w:type="dxa"/>
            <w:left w:w="108" w:type="dxa"/>
            <w:bottom w:w="0" w:type="dxa"/>
            <w:right w:w="108" w:type="dxa"/>
          </w:tblCellMar>
        </w:tblPrEx>
        <w:trPr>
          <w:trHeight w:val="600" w:hRule="atLeast"/>
        </w:trPr>
        <w:tc>
          <w:tcPr>
            <w:tcW w:w="704" w:type="dxa"/>
            <w:vMerge w:val="continue"/>
            <w:tcBorders>
              <w:top w:val="nil"/>
              <w:left w:val="single" w:color="auto" w:sz="4" w:space="0"/>
              <w:bottom w:val="single" w:color="auto" w:sz="4" w:space="0"/>
              <w:right w:val="single" w:color="auto" w:sz="4" w:space="0"/>
            </w:tcBorders>
            <w:vAlign w:val="center"/>
          </w:tcPr>
          <w:p w14:paraId="5CB365E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6FABEA5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党建动态</w:t>
            </w:r>
          </w:p>
        </w:tc>
        <w:tc>
          <w:tcPr>
            <w:tcW w:w="1278" w:type="dxa"/>
            <w:tcBorders>
              <w:top w:val="nil"/>
              <w:left w:val="nil"/>
              <w:bottom w:val="single" w:color="auto" w:sz="4" w:space="0"/>
              <w:right w:val="single" w:color="auto" w:sz="4" w:space="0"/>
            </w:tcBorders>
            <w:noWrap/>
            <w:vAlign w:val="center"/>
          </w:tcPr>
          <w:p w14:paraId="02E5CDC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w:t>
            </w:r>
          </w:p>
        </w:tc>
        <w:tc>
          <w:tcPr>
            <w:tcW w:w="1281" w:type="dxa"/>
            <w:tcBorders>
              <w:top w:val="nil"/>
              <w:left w:val="nil"/>
              <w:bottom w:val="single" w:color="auto" w:sz="4" w:space="0"/>
              <w:right w:val="single" w:color="auto" w:sz="4" w:space="0"/>
            </w:tcBorders>
            <w:noWrap/>
            <w:vAlign w:val="center"/>
          </w:tcPr>
          <w:p w14:paraId="4A4D58A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543DDA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列表显示文章标题，包含标题，创建时间，每页显示8条数据</w:t>
            </w:r>
          </w:p>
        </w:tc>
      </w:tr>
      <w:tr w14:paraId="47CC709F">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74AA0E3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48BEFC8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52FF235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详情页</w:t>
            </w:r>
          </w:p>
        </w:tc>
        <w:tc>
          <w:tcPr>
            <w:tcW w:w="1281" w:type="dxa"/>
            <w:tcBorders>
              <w:top w:val="nil"/>
              <w:left w:val="nil"/>
              <w:bottom w:val="single" w:color="auto" w:sz="4" w:space="0"/>
              <w:right w:val="single" w:color="auto" w:sz="4" w:space="0"/>
            </w:tcBorders>
            <w:noWrap/>
            <w:vAlign w:val="center"/>
          </w:tcPr>
          <w:p w14:paraId="7A6F1C6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7FB63FA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悬浮弹窗显示文章详情页</w:t>
            </w:r>
          </w:p>
        </w:tc>
      </w:tr>
      <w:tr w14:paraId="63C48277">
        <w:tblPrEx>
          <w:tblCellMar>
            <w:top w:w="0" w:type="dxa"/>
            <w:left w:w="108" w:type="dxa"/>
            <w:bottom w:w="0" w:type="dxa"/>
            <w:right w:w="108" w:type="dxa"/>
          </w:tblCellMar>
        </w:tblPrEx>
        <w:trPr>
          <w:trHeight w:val="675" w:hRule="atLeast"/>
        </w:trPr>
        <w:tc>
          <w:tcPr>
            <w:tcW w:w="704" w:type="dxa"/>
            <w:vMerge w:val="continue"/>
            <w:tcBorders>
              <w:top w:val="nil"/>
              <w:left w:val="single" w:color="auto" w:sz="4" w:space="0"/>
              <w:bottom w:val="single" w:color="auto" w:sz="4" w:space="0"/>
              <w:right w:val="single" w:color="auto" w:sz="4" w:space="0"/>
            </w:tcBorders>
            <w:vAlign w:val="center"/>
          </w:tcPr>
          <w:p w14:paraId="76E1A2D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2360863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工会园地</w:t>
            </w:r>
          </w:p>
        </w:tc>
        <w:tc>
          <w:tcPr>
            <w:tcW w:w="1278" w:type="dxa"/>
            <w:tcBorders>
              <w:top w:val="nil"/>
              <w:left w:val="nil"/>
              <w:bottom w:val="single" w:color="auto" w:sz="4" w:space="0"/>
              <w:right w:val="single" w:color="auto" w:sz="4" w:space="0"/>
            </w:tcBorders>
            <w:noWrap/>
            <w:vAlign w:val="center"/>
          </w:tcPr>
          <w:p w14:paraId="560CAF6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w:t>
            </w:r>
          </w:p>
        </w:tc>
        <w:tc>
          <w:tcPr>
            <w:tcW w:w="1281" w:type="dxa"/>
            <w:tcBorders>
              <w:top w:val="nil"/>
              <w:left w:val="nil"/>
              <w:bottom w:val="single" w:color="auto" w:sz="4" w:space="0"/>
              <w:right w:val="single" w:color="auto" w:sz="4" w:space="0"/>
            </w:tcBorders>
            <w:noWrap/>
            <w:vAlign w:val="center"/>
          </w:tcPr>
          <w:p w14:paraId="4348A2D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03A915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列表显示文章标题，包含标题，创建时间，每页显示9条数据</w:t>
            </w:r>
          </w:p>
        </w:tc>
      </w:tr>
      <w:tr w14:paraId="4BBFA482">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2291F3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0677958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5A20618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详情页</w:t>
            </w:r>
          </w:p>
        </w:tc>
        <w:tc>
          <w:tcPr>
            <w:tcW w:w="1281" w:type="dxa"/>
            <w:tcBorders>
              <w:top w:val="nil"/>
              <w:left w:val="nil"/>
              <w:bottom w:val="single" w:color="auto" w:sz="4" w:space="0"/>
              <w:right w:val="single" w:color="auto" w:sz="4" w:space="0"/>
            </w:tcBorders>
            <w:noWrap/>
            <w:vAlign w:val="center"/>
          </w:tcPr>
          <w:p w14:paraId="1C2ACF0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A1456B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悬浮弹窗显示文章详情页</w:t>
            </w:r>
          </w:p>
        </w:tc>
      </w:tr>
      <w:tr w14:paraId="1DCEC9B7">
        <w:tblPrEx>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14:paraId="5F319E8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3D57C5E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清廉开投</w:t>
            </w:r>
          </w:p>
        </w:tc>
        <w:tc>
          <w:tcPr>
            <w:tcW w:w="1278" w:type="dxa"/>
            <w:tcBorders>
              <w:top w:val="nil"/>
              <w:left w:val="nil"/>
              <w:bottom w:val="single" w:color="auto" w:sz="4" w:space="0"/>
              <w:right w:val="single" w:color="auto" w:sz="4" w:space="0"/>
            </w:tcBorders>
            <w:noWrap/>
            <w:vAlign w:val="center"/>
          </w:tcPr>
          <w:p w14:paraId="074FE7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w:t>
            </w:r>
          </w:p>
        </w:tc>
        <w:tc>
          <w:tcPr>
            <w:tcW w:w="1281" w:type="dxa"/>
            <w:tcBorders>
              <w:top w:val="nil"/>
              <w:left w:val="nil"/>
              <w:bottom w:val="single" w:color="auto" w:sz="4" w:space="0"/>
              <w:right w:val="single" w:color="auto" w:sz="4" w:space="0"/>
            </w:tcBorders>
            <w:noWrap/>
            <w:vAlign w:val="center"/>
          </w:tcPr>
          <w:p w14:paraId="55F58B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738C3EF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列表显示文章标题，包含标题，创建时间，每页显示10条数据</w:t>
            </w:r>
          </w:p>
        </w:tc>
      </w:tr>
      <w:tr w14:paraId="7BEEA2FF">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1480A3D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1944F40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1CF17F0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详情页</w:t>
            </w:r>
          </w:p>
        </w:tc>
        <w:tc>
          <w:tcPr>
            <w:tcW w:w="1281" w:type="dxa"/>
            <w:tcBorders>
              <w:top w:val="nil"/>
              <w:left w:val="nil"/>
              <w:bottom w:val="single" w:color="auto" w:sz="4" w:space="0"/>
              <w:right w:val="single" w:color="auto" w:sz="4" w:space="0"/>
            </w:tcBorders>
            <w:noWrap/>
            <w:vAlign w:val="center"/>
          </w:tcPr>
          <w:p w14:paraId="7C4651C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4F9AB3C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悬浮弹窗显示文章详情页</w:t>
            </w:r>
          </w:p>
        </w:tc>
      </w:tr>
      <w:tr w14:paraId="2E9F3E95">
        <w:tblPrEx>
          <w:tblCellMar>
            <w:top w:w="0" w:type="dxa"/>
            <w:left w:w="108" w:type="dxa"/>
            <w:bottom w:w="0" w:type="dxa"/>
            <w:right w:w="108" w:type="dxa"/>
          </w:tblCellMar>
        </w:tblPrEx>
        <w:trPr>
          <w:trHeight w:val="402" w:hRule="atLeast"/>
        </w:trPr>
        <w:tc>
          <w:tcPr>
            <w:tcW w:w="704" w:type="dxa"/>
            <w:vMerge w:val="restart"/>
            <w:tcBorders>
              <w:top w:val="nil"/>
              <w:left w:val="single" w:color="auto" w:sz="4" w:space="0"/>
              <w:bottom w:val="single" w:color="auto" w:sz="4" w:space="0"/>
              <w:right w:val="single" w:color="auto" w:sz="4" w:space="0"/>
            </w:tcBorders>
            <w:vAlign w:val="center"/>
          </w:tcPr>
          <w:p w14:paraId="73BD49D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联系我们</w:t>
            </w:r>
          </w:p>
        </w:tc>
        <w:tc>
          <w:tcPr>
            <w:tcW w:w="1581" w:type="dxa"/>
            <w:tcBorders>
              <w:top w:val="nil"/>
              <w:left w:val="nil"/>
              <w:bottom w:val="single" w:color="auto" w:sz="4" w:space="0"/>
              <w:right w:val="single" w:color="auto" w:sz="4" w:space="0"/>
            </w:tcBorders>
            <w:vAlign w:val="center"/>
          </w:tcPr>
          <w:p w14:paraId="4B3535F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背景图</w:t>
            </w:r>
          </w:p>
        </w:tc>
        <w:tc>
          <w:tcPr>
            <w:tcW w:w="1278" w:type="dxa"/>
            <w:tcBorders>
              <w:top w:val="nil"/>
              <w:left w:val="nil"/>
              <w:bottom w:val="single" w:color="auto" w:sz="4" w:space="0"/>
              <w:right w:val="single" w:color="auto" w:sz="4" w:space="0"/>
            </w:tcBorders>
            <w:noWrap/>
            <w:vAlign w:val="center"/>
          </w:tcPr>
          <w:p w14:paraId="0781D67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12D2E75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2B6EC51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自定义背景图</w:t>
            </w:r>
          </w:p>
        </w:tc>
      </w:tr>
      <w:tr w14:paraId="086C7A96">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26F542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6CBFA4B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1278" w:type="dxa"/>
            <w:tcBorders>
              <w:top w:val="nil"/>
              <w:left w:val="nil"/>
              <w:bottom w:val="single" w:color="auto" w:sz="4" w:space="0"/>
              <w:right w:val="single" w:color="auto" w:sz="4" w:space="0"/>
            </w:tcBorders>
            <w:noWrap/>
            <w:vAlign w:val="center"/>
          </w:tcPr>
          <w:p w14:paraId="10E741D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78BCD7B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05C236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显示联系信息，包含电话、地址、邮箱地址信息</w:t>
            </w:r>
          </w:p>
        </w:tc>
      </w:tr>
      <w:tr w14:paraId="0575BD14">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022AEF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190F5F9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地图定位位置</w:t>
            </w:r>
          </w:p>
        </w:tc>
        <w:tc>
          <w:tcPr>
            <w:tcW w:w="1278" w:type="dxa"/>
            <w:tcBorders>
              <w:top w:val="nil"/>
              <w:left w:val="nil"/>
              <w:bottom w:val="single" w:color="auto" w:sz="4" w:space="0"/>
              <w:right w:val="single" w:color="auto" w:sz="4" w:space="0"/>
            </w:tcBorders>
            <w:noWrap/>
            <w:vAlign w:val="center"/>
          </w:tcPr>
          <w:p w14:paraId="6FB6266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5001297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A02E30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通过地图的方式展示集团所在位置</w:t>
            </w:r>
          </w:p>
        </w:tc>
      </w:tr>
      <w:tr w14:paraId="0A8454DD">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0B9288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2CAD07D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留言反馈</w:t>
            </w:r>
          </w:p>
        </w:tc>
        <w:tc>
          <w:tcPr>
            <w:tcW w:w="1278" w:type="dxa"/>
            <w:tcBorders>
              <w:top w:val="nil"/>
              <w:left w:val="nil"/>
              <w:bottom w:val="single" w:color="auto" w:sz="4" w:space="0"/>
              <w:right w:val="single" w:color="auto" w:sz="4" w:space="0"/>
            </w:tcBorders>
            <w:noWrap/>
            <w:vAlign w:val="center"/>
          </w:tcPr>
          <w:p w14:paraId="2C5F328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留言反馈登记表单</w:t>
            </w:r>
          </w:p>
        </w:tc>
        <w:tc>
          <w:tcPr>
            <w:tcW w:w="1281" w:type="dxa"/>
            <w:tcBorders>
              <w:top w:val="nil"/>
              <w:left w:val="nil"/>
              <w:bottom w:val="single" w:color="auto" w:sz="4" w:space="0"/>
              <w:right w:val="single" w:color="auto" w:sz="4" w:space="0"/>
            </w:tcBorders>
            <w:noWrap/>
            <w:vAlign w:val="center"/>
          </w:tcPr>
          <w:p w14:paraId="7326770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032E5A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支持人机交互登记内容反馈给平台</w:t>
            </w:r>
          </w:p>
        </w:tc>
      </w:tr>
      <w:tr w14:paraId="55DF16D1">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BA90AC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612A62A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人才招聘</w:t>
            </w:r>
          </w:p>
        </w:tc>
        <w:tc>
          <w:tcPr>
            <w:tcW w:w="1278" w:type="dxa"/>
            <w:tcBorders>
              <w:top w:val="nil"/>
              <w:left w:val="nil"/>
              <w:bottom w:val="single" w:color="auto" w:sz="4" w:space="0"/>
              <w:right w:val="single" w:color="auto" w:sz="4" w:space="0"/>
            </w:tcBorders>
            <w:noWrap/>
            <w:vAlign w:val="bottom"/>
          </w:tcPr>
          <w:p w14:paraId="2495CBE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招聘列表</w:t>
            </w:r>
          </w:p>
        </w:tc>
        <w:tc>
          <w:tcPr>
            <w:tcW w:w="1281" w:type="dxa"/>
            <w:tcBorders>
              <w:top w:val="nil"/>
              <w:left w:val="nil"/>
              <w:bottom w:val="single" w:color="auto" w:sz="4" w:space="0"/>
              <w:right w:val="single" w:color="auto" w:sz="4" w:space="0"/>
            </w:tcBorders>
            <w:noWrap/>
            <w:vAlign w:val="bottom"/>
          </w:tcPr>
          <w:p w14:paraId="55512D5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0F0B994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列表显示招聘资讯信息，包含标题和时间</w:t>
            </w:r>
          </w:p>
        </w:tc>
      </w:tr>
      <w:tr w14:paraId="1843743D">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778CBD1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264AA40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restart"/>
            <w:tcBorders>
              <w:top w:val="nil"/>
              <w:left w:val="nil"/>
              <w:bottom w:val="single" w:color="auto" w:sz="4" w:space="0"/>
              <w:right w:val="single" w:color="auto" w:sz="4" w:space="0"/>
            </w:tcBorders>
            <w:noWrap/>
            <w:vAlign w:val="center"/>
          </w:tcPr>
          <w:p w14:paraId="462BB16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招聘详情</w:t>
            </w:r>
          </w:p>
        </w:tc>
        <w:tc>
          <w:tcPr>
            <w:tcW w:w="1281" w:type="dxa"/>
            <w:tcBorders>
              <w:top w:val="nil"/>
              <w:left w:val="nil"/>
              <w:bottom w:val="single" w:color="auto" w:sz="4" w:space="0"/>
              <w:right w:val="single" w:color="auto" w:sz="4" w:space="0"/>
            </w:tcBorders>
            <w:noWrap/>
            <w:vAlign w:val="center"/>
          </w:tcPr>
          <w:p w14:paraId="3457839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详情页</w:t>
            </w:r>
          </w:p>
        </w:tc>
        <w:tc>
          <w:tcPr>
            <w:tcW w:w="3685" w:type="dxa"/>
            <w:tcBorders>
              <w:top w:val="nil"/>
              <w:left w:val="nil"/>
              <w:bottom w:val="single" w:color="auto" w:sz="4" w:space="0"/>
              <w:right w:val="single" w:color="auto" w:sz="4" w:space="0"/>
            </w:tcBorders>
            <w:vAlign w:val="center"/>
          </w:tcPr>
          <w:p w14:paraId="198696D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招聘详情页</w:t>
            </w:r>
          </w:p>
        </w:tc>
      </w:tr>
      <w:tr w14:paraId="08F9061D">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1542F60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2CB5224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continue"/>
            <w:tcBorders>
              <w:top w:val="nil"/>
              <w:left w:val="nil"/>
              <w:bottom w:val="single" w:color="auto" w:sz="4" w:space="0"/>
              <w:right w:val="single" w:color="auto" w:sz="4" w:space="0"/>
            </w:tcBorders>
            <w:vAlign w:val="center"/>
          </w:tcPr>
          <w:p w14:paraId="0C8630F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81" w:type="dxa"/>
            <w:tcBorders>
              <w:top w:val="nil"/>
              <w:left w:val="nil"/>
              <w:bottom w:val="single" w:color="auto" w:sz="4" w:space="0"/>
              <w:right w:val="single" w:color="auto" w:sz="4" w:space="0"/>
            </w:tcBorders>
            <w:noWrap/>
            <w:vAlign w:val="center"/>
          </w:tcPr>
          <w:p w14:paraId="1C2C824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上下篇幅按钮</w:t>
            </w:r>
          </w:p>
        </w:tc>
        <w:tc>
          <w:tcPr>
            <w:tcW w:w="3685" w:type="dxa"/>
            <w:tcBorders>
              <w:top w:val="nil"/>
              <w:left w:val="nil"/>
              <w:bottom w:val="single" w:color="auto" w:sz="4" w:space="0"/>
              <w:right w:val="single" w:color="auto" w:sz="4" w:space="0"/>
            </w:tcBorders>
            <w:vAlign w:val="center"/>
          </w:tcPr>
          <w:p w14:paraId="7493484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快捷上下翻转招聘资讯详情</w:t>
            </w:r>
          </w:p>
        </w:tc>
      </w:tr>
    </w:tbl>
    <w:p w14:paraId="41717D8D">
      <w:pPr>
        <w:pStyle w:val="124"/>
        <w:numPr>
          <w:ilvl w:val="0"/>
          <w:numId w:val="7"/>
        </w:numPr>
        <w:ind w:firstLineChars="0"/>
        <w:rPr>
          <w:rFonts w:hint="eastAsia" w:ascii="宋体" w:hAnsi="宋体"/>
          <w:color w:val="auto"/>
          <w:sz w:val="28"/>
          <w:szCs w:val="28"/>
          <w:highlight w:val="none"/>
        </w:rPr>
      </w:pPr>
      <w:r>
        <w:rPr>
          <w:rFonts w:hint="eastAsia" w:ascii="宋体" w:hAnsi="宋体"/>
          <w:color w:val="auto"/>
          <w:sz w:val="28"/>
          <w:szCs w:val="28"/>
          <w:highlight w:val="none"/>
        </w:rPr>
        <w:t>后端功能</w:t>
      </w:r>
    </w:p>
    <w:tbl>
      <w:tblPr>
        <w:tblStyle w:val="41"/>
        <w:tblW w:w="8217" w:type="dxa"/>
        <w:tblInd w:w="113" w:type="dxa"/>
        <w:tblLayout w:type="autofit"/>
        <w:tblCellMar>
          <w:top w:w="0" w:type="dxa"/>
          <w:left w:w="108" w:type="dxa"/>
          <w:bottom w:w="0" w:type="dxa"/>
          <w:right w:w="108" w:type="dxa"/>
        </w:tblCellMar>
      </w:tblPr>
      <w:tblGrid>
        <w:gridCol w:w="1581"/>
        <w:gridCol w:w="1581"/>
        <w:gridCol w:w="5055"/>
      </w:tblGrid>
      <w:tr w14:paraId="5E306D68">
        <w:tblPrEx>
          <w:tblCellMar>
            <w:top w:w="0" w:type="dxa"/>
            <w:left w:w="108" w:type="dxa"/>
            <w:bottom w:w="0" w:type="dxa"/>
            <w:right w:w="108" w:type="dxa"/>
          </w:tblCellMar>
        </w:tblPrEx>
        <w:trPr>
          <w:trHeight w:val="405" w:hRule="atLeast"/>
        </w:trPr>
        <w:tc>
          <w:tcPr>
            <w:tcW w:w="1581" w:type="dxa"/>
            <w:tcBorders>
              <w:top w:val="single" w:color="auto" w:sz="4" w:space="0"/>
              <w:left w:val="single" w:color="auto" w:sz="4" w:space="0"/>
              <w:bottom w:val="single" w:color="auto" w:sz="4" w:space="0"/>
              <w:right w:val="single" w:color="auto" w:sz="4" w:space="0"/>
            </w:tcBorders>
            <w:shd w:val="clear" w:color="auto" w:fill="5B9BD5"/>
          </w:tcPr>
          <w:p w14:paraId="3444CCD0">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功能大类</w:t>
            </w:r>
          </w:p>
        </w:tc>
        <w:tc>
          <w:tcPr>
            <w:tcW w:w="1581" w:type="dxa"/>
            <w:tcBorders>
              <w:top w:val="single" w:color="auto" w:sz="4" w:space="0"/>
              <w:left w:val="nil"/>
              <w:bottom w:val="single" w:color="auto" w:sz="4" w:space="0"/>
              <w:right w:val="single" w:color="auto" w:sz="4" w:space="0"/>
            </w:tcBorders>
            <w:shd w:val="clear" w:color="auto" w:fill="5B9BD5"/>
            <w:vAlign w:val="center"/>
          </w:tcPr>
          <w:p w14:paraId="681A7BD4">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功能小类</w:t>
            </w:r>
          </w:p>
        </w:tc>
        <w:tc>
          <w:tcPr>
            <w:tcW w:w="5055" w:type="dxa"/>
            <w:tcBorders>
              <w:top w:val="single" w:color="auto" w:sz="4" w:space="0"/>
              <w:left w:val="nil"/>
              <w:bottom w:val="single" w:color="auto" w:sz="4" w:space="0"/>
              <w:right w:val="single" w:color="auto" w:sz="4" w:space="0"/>
            </w:tcBorders>
            <w:shd w:val="clear" w:color="auto" w:fill="5B9BD5"/>
            <w:vAlign w:val="center"/>
          </w:tcPr>
          <w:p w14:paraId="5CE401E5">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功能简要说明</w:t>
            </w:r>
          </w:p>
        </w:tc>
      </w:tr>
      <w:tr w14:paraId="56A7ED32">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5A2B4D7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首页</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413AFE9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访问趋势</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71F4A95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可统计某个期间网站各栏目访问趋势</w:t>
            </w:r>
          </w:p>
        </w:tc>
      </w:tr>
      <w:tr w14:paraId="0FD8D9E1">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7AD7333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7BBFD71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快捷访问</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3BE66EA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快捷访问入口，可快捷访问各管理功能</w:t>
            </w:r>
          </w:p>
        </w:tc>
      </w:tr>
      <w:tr w14:paraId="7331B2BB">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1EC55EB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08A78E9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数据统计</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646DDFD3">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可统计各栏目、内容、资源等数据</w:t>
            </w:r>
          </w:p>
        </w:tc>
      </w:tr>
      <w:tr w14:paraId="3F7E1D15">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51B64F0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内容管理</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6AF6EE3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站点管理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3C26604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管理网站站点信息，可以创建和编辑PC站点和移动端等站点信息，可配置域名和访问目录，支持站点预览查看，可进行网站首页发布、全站一键发布上线。</w:t>
            </w:r>
          </w:p>
        </w:tc>
      </w:tr>
      <w:tr w14:paraId="2C031B78">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3EC14AF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752BD7B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栏目管理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72EC27B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管理网站各栏目信息，可创建和编辑网站各导航栏目，支持搜索引擎SEO关键词设置，可调整导航栏目的显示顺序，支持栏目内容生成静态页面，可进行网站导航栏目点击后的效果预览，可对栏目进行上、下线操作，栏目下线后网站前端将不再显示该板块内容。</w:t>
            </w:r>
          </w:p>
        </w:tc>
      </w:tr>
      <w:tr w14:paraId="6ECA472A">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5E3F648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1CFD480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内容管理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2C4040B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栏目下的内容信息进行管理，可创建文章、图片、音频、视频等内容，可通过复制功能进行内容快速创建。支持内容发布、下线等操作，发布后内容才会在网站前端显示，可对内容进行下线操作，下线后该内容将不再网站前端显示。</w:t>
            </w:r>
          </w:p>
        </w:tc>
      </w:tr>
      <w:tr w14:paraId="48E47AD0">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5C41013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2C33921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资源/文件管理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74D4D1A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可对网站使用的图片、文档、视频、音频等文件进行统一管理，可对资源进行新增、删除、修改。</w:t>
            </w:r>
          </w:p>
        </w:tc>
      </w:tr>
      <w:tr w14:paraId="2319E989">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0ED6ACF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互动运营</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2CC84BA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友链管理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18F7D5E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可对网站底部的友情链接进行统一管理，可增加、删除、编辑链接信息。</w:t>
            </w:r>
          </w:p>
        </w:tc>
      </w:tr>
      <w:tr w14:paraId="6499FD2A">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4228890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1C8E591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广告宣传</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5764DD9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可添加轮播图等广告信息，并关联到网站栏目中，支持轮播图链接跳转。并可进行上、下线操作。</w:t>
            </w:r>
          </w:p>
        </w:tc>
      </w:tr>
      <w:tr w14:paraId="51648708">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6E39E9B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2C3EAB7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自定义表单</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3AAC16B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可自定义表单，包括表单名称、字段、字段类型、控制类型（文本框 、单选框、多选框、下拉框、日期控件、图片、富文本编辑等）、校验规则（手机号、邮箱、数字、日期、不能为空、正规表达式），自定义表单可应用于网站栏目内容，如：建议反馈、问卷收集等。</w:t>
            </w:r>
          </w:p>
        </w:tc>
      </w:tr>
      <w:tr w14:paraId="0AE4A61A">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692447B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统计分析</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1C26931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浏览量PV</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66D59C0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可按栏目统计，内容总浏览量</w:t>
            </w:r>
          </w:p>
        </w:tc>
      </w:tr>
      <w:tr w14:paraId="4CE0C862">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146B3CF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78001A7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访客数UV</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7A836AC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可按栏目统计，总共多少用户访问过</w:t>
            </w:r>
          </w:p>
        </w:tc>
      </w:tr>
      <w:tr w14:paraId="65B50C08">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46852F9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2398FE0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IP数</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1BEF96A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可按栏目统计，不同IP访问数量</w:t>
            </w:r>
          </w:p>
        </w:tc>
      </w:tr>
      <w:tr w14:paraId="0A690E49">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66D9D36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5D90D31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平均访问时长</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21C4BDC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可按按天、按周、按月、按期间，统计网站各栏目访问趋势。</w:t>
            </w:r>
          </w:p>
        </w:tc>
      </w:tr>
      <w:tr w14:paraId="6625C620">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2F08D0C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系统管理</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3DEBFF4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部门管理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67C678C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可管理集团各部门信息</w:t>
            </w:r>
          </w:p>
        </w:tc>
      </w:tr>
      <w:tr w14:paraId="3C29934F">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2BA4AE0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49B8174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人员管理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69B21E9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可管理集团各部门人员信息</w:t>
            </w:r>
          </w:p>
        </w:tc>
      </w:tr>
      <w:tr w14:paraId="19BB36B5">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0BCB140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17D9DBE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生日短信管理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42963A9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可根据集团各部门人员生日进行短信发送，并记录短信发送记录</w:t>
            </w:r>
          </w:p>
        </w:tc>
      </w:tr>
      <w:tr w14:paraId="6F98F4D3">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6DAE12C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22BFA2A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角色管理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261B054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各管理各类角色操作菜单和功能权限</w:t>
            </w:r>
          </w:p>
        </w:tc>
      </w:tr>
      <w:tr w14:paraId="6E675661">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7547A45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51EB346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菜单管理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7C68CF6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后台管理菜单管理和编辑维护</w:t>
            </w:r>
          </w:p>
        </w:tc>
      </w:tr>
      <w:tr w14:paraId="7E366CA5">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6F19A6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系统监控</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7B7B32E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在线用户</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6DAA69D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可统计当前后台管理在线用户信息</w:t>
            </w:r>
          </w:p>
        </w:tc>
      </w:tr>
      <w:tr w14:paraId="05E53C6C">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4EF4B68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31FAFD2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服务监控</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47259E4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可视化方式监控服务器CPU、内存、磁盘空间、应用软件版本及安装路径等信息</w:t>
            </w:r>
          </w:p>
        </w:tc>
      </w:tr>
      <w:tr w14:paraId="45C64DF5">
        <w:tblPrEx>
          <w:tblCellMar>
            <w:top w:w="0" w:type="dxa"/>
            <w:left w:w="108" w:type="dxa"/>
            <w:bottom w:w="0" w:type="dxa"/>
            <w:right w:w="108" w:type="dxa"/>
          </w:tblCellMar>
        </w:tblPrEx>
        <w:trPr>
          <w:trHeight w:val="405" w:hRule="atLeast"/>
        </w:trPr>
        <w:tc>
          <w:tcPr>
            <w:tcW w:w="1581" w:type="dxa"/>
            <w:tcBorders>
              <w:top w:val="nil"/>
              <w:left w:val="single" w:color="auto" w:sz="4" w:space="0"/>
              <w:bottom w:val="single" w:color="auto" w:sz="4" w:space="0"/>
              <w:right w:val="single" w:color="auto" w:sz="4" w:space="0"/>
            </w:tcBorders>
            <w:shd w:val="clear" w:color="auto" w:fill="FFFFFF"/>
          </w:tcPr>
          <w:p w14:paraId="53CE539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5643D45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日志管理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440963A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可管理后台用户的登录日志、操作日志进行统一记录和管理，便于操作溯源。</w:t>
            </w:r>
          </w:p>
        </w:tc>
      </w:tr>
    </w:tbl>
    <w:p w14:paraId="61EED753">
      <w:pPr>
        <w:pStyle w:val="124"/>
        <w:ind w:left="440" w:firstLine="0" w:firstLineChars="0"/>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2E8B1B60">
      <w:pPr>
        <w:pStyle w:val="8"/>
        <w:numPr>
          <w:ilvl w:val="0"/>
          <w:numId w:val="6"/>
        </w:numPr>
        <w:ind w:left="0" w:firstLine="0"/>
        <w:rPr>
          <w:rFonts w:hint="eastAsia" w:ascii="宋体" w:hAnsi="宋体" w:eastAsia="宋体"/>
          <w:color w:val="auto"/>
          <w:highlight w:val="none"/>
        </w:rPr>
      </w:pPr>
      <w:r>
        <w:rPr>
          <w:rFonts w:hint="eastAsia" w:ascii="宋体" w:hAnsi="宋体" w:eastAsia="宋体"/>
          <w:color w:val="auto"/>
          <w:highlight w:val="none"/>
        </w:rPr>
        <w:t>OA系统国产化适配迁移服务要求</w:t>
      </w:r>
    </w:p>
    <w:p w14:paraId="714168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针对现有的O</w:t>
      </w:r>
      <w:r>
        <w:rPr>
          <w:rFonts w:ascii="宋体" w:hAnsi="宋体" w:cs="宋体"/>
          <w:color w:val="auto"/>
          <w:sz w:val="24"/>
          <w:highlight w:val="none"/>
        </w:rPr>
        <w:t>A</w:t>
      </w:r>
      <w:r>
        <w:rPr>
          <w:rFonts w:hint="eastAsia" w:ascii="宋体" w:hAnsi="宋体" w:cs="宋体"/>
          <w:color w:val="auto"/>
          <w:sz w:val="24"/>
          <w:highlight w:val="none"/>
        </w:rPr>
        <w:t>系统进行软件功能国产化适配、数据迁移、技术服务支持等，包含软件授权。详细内容包括：</w:t>
      </w:r>
    </w:p>
    <w:p w14:paraId="5F8D99F6">
      <w:pPr>
        <w:pStyle w:val="124"/>
        <w:numPr>
          <w:ilvl w:val="0"/>
          <w:numId w:val="8"/>
        </w:numPr>
        <w:ind w:firstLineChars="0"/>
        <w:rPr>
          <w:rFonts w:hint="eastAsia" w:ascii="宋体" w:hAnsi="宋体"/>
          <w:color w:val="auto"/>
          <w:sz w:val="28"/>
          <w:szCs w:val="28"/>
          <w:highlight w:val="none"/>
        </w:rPr>
      </w:pPr>
      <w:r>
        <w:rPr>
          <w:rFonts w:hint="eastAsia" w:ascii="宋体" w:hAnsi="宋体"/>
          <w:color w:val="auto"/>
          <w:sz w:val="28"/>
          <w:szCs w:val="28"/>
          <w:highlight w:val="none"/>
        </w:rPr>
        <w:t>前端功能</w:t>
      </w:r>
    </w:p>
    <w:tbl>
      <w:tblPr>
        <w:tblStyle w:val="41"/>
        <w:tblW w:w="528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7"/>
        <w:gridCol w:w="1711"/>
        <w:gridCol w:w="6725"/>
      </w:tblGrid>
      <w:tr w14:paraId="4515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52" w:type="pct"/>
            <w:tcBorders>
              <w:top w:val="single" w:color="auto" w:sz="4" w:space="0"/>
              <w:left w:val="single" w:color="auto" w:sz="4" w:space="0"/>
              <w:bottom w:val="single" w:color="auto" w:sz="4" w:space="0"/>
              <w:right w:val="single" w:color="auto" w:sz="4" w:space="0"/>
            </w:tcBorders>
            <w:shd w:val="clear" w:color="auto" w:fill="4F81BD"/>
            <w:noWrap/>
            <w:vAlign w:val="center"/>
          </w:tcPr>
          <w:p w14:paraId="679B9EA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sz w:val="24"/>
                <w:highlight w:val="none"/>
              </w:rPr>
            </w:pPr>
            <w:r>
              <w:rPr>
                <w:rFonts w:hint="eastAsia" w:ascii="宋体" w:hAnsi="宋体" w:cs="Calibri"/>
                <w:color w:val="auto"/>
                <w:kern w:val="0"/>
                <w:sz w:val="24"/>
                <w:highlight w:val="none"/>
              </w:rPr>
              <w:t>功能大类</w:t>
            </w:r>
          </w:p>
        </w:tc>
        <w:tc>
          <w:tcPr>
            <w:tcW w:w="902" w:type="pct"/>
            <w:tcBorders>
              <w:top w:val="single" w:color="auto" w:sz="4" w:space="0"/>
              <w:left w:val="nil"/>
              <w:bottom w:val="single" w:color="auto" w:sz="4" w:space="0"/>
              <w:right w:val="single" w:color="auto" w:sz="4" w:space="0"/>
            </w:tcBorders>
            <w:shd w:val="clear" w:color="auto" w:fill="4F81BD"/>
            <w:noWrap/>
            <w:vAlign w:val="center"/>
          </w:tcPr>
          <w:p w14:paraId="4125BD5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sz w:val="24"/>
                <w:highlight w:val="none"/>
              </w:rPr>
            </w:pPr>
            <w:r>
              <w:rPr>
                <w:rFonts w:hint="eastAsia" w:ascii="宋体" w:hAnsi="宋体" w:cs="Calibri"/>
                <w:color w:val="auto"/>
                <w:kern w:val="0"/>
                <w:sz w:val="24"/>
                <w:highlight w:val="none"/>
              </w:rPr>
              <w:t>功能小类</w:t>
            </w:r>
          </w:p>
        </w:tc>
        <w:tc>
          <w:tcPr>
            <w:tcW w:w="3547" w:type="pct"/>
            <w:tcBorders>
              <w:top w:val="single" w:color="auto" w:sz="4" w:space="0"/>
              <w:left w:val="nil"/>
              <w:bottom w:val="single" w:color="auto" w:sz="4" w:space="0"/>
              <w:right w:val="single" w:color="auto" w:sz="4" w:space="0"/>
            </w:tcBorders>
            <w:shd w:val="clear" w:color="auto" w:fill="4F81BD"/>
            <w:noWrap/>
            <w:vAlign w:val="center"/>
          </w:tcPr>
          <w:p w14:paraId="605EB9F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sz w:val="24"/>
                <w:highlight w:val="none"/>
              </w:rPr>
            </w:pPr>
            <w:r>
              <w:rPr>
                <w:rFonts w:hint="eastAsia" w:ascii="宋体" w:hAnsi="宋体" w:cs="Calibri"/>
                <w:color w:val="auto"/>
                <w:kern w:val="0"/>
                <w:sz w:val="24"/>
                <w:highlight w:val="none"/>
              </w:rPr>
              <w:t>功能简要说明</w:t>
            </w:r>
          </w:p>
        </w:tc>
      </w:tr>
      <w:tr w14:paraId="5077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25764619">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门户</w:t>
            </w:r>
          </w:p>
        </w:tc>
        <w:tc>
          <w:tcPr>
            <w:tcW w:w="902" w:type="pct"/>
            <w:tcBorders>
              <w:top w:val="single" w:color="auto" w:sz="4" w:space="0"/>
              <w:left w:val="nil"/>
              <w:bottom w:val="single" w:color="auto" w:sz="4" w:space="0"/>
              <w:right w:val="single" w:color="auto" w:sz="4" w:space="0"/>
            </w:tcBorders>
            <w:vAlign w:val="center"/>
          </w:tcPr>
          <w:p w14:paraId="46945FF0">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登录</w:t>
            </w:r>
          </w:p>
        </w:tc>
        <w:tc>
          <w:tcPr>
            <w:tcW w:w="3547" w:type="pct"/>
            <w:tcBorders>
              <w:top w:val="single" w:color="auto" w:sz="4" w:space="0"/>
              <w:left w:val="nil"/>
              <w:bottom w:val="single" w:color="auto" w:sz="4" w:space="0"/>
              <w:right w:val="single" w:color="auto" w:sz="4" w:space="0"/>
            </w:tcBorders>
            <w:vAlign w:val="center"/>
          </w:tcPr>
          <w:p w14:paraId="476A247C">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用户登录系统页面支持第三方软硬件验证，二维码登录。</w:t>
            </w:r>
          </w:p>
        </w:tc>
      </w:tr>
      <w:tr w14:paraId="6A2D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6C0BD8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0320BF1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登录页面</w:t>
            </w:r>
          </w:p>
        </w:tc>
        <w:tc>
          <w:tcPr>
            <w:tcW w:w="3547" w:type="pct"/>
            <w:tcBorders>
              <w:top w:val="single" w:color="auto" w:sz="4" w:space="0"/>
              <w:left w:val="nil"/>
              <w:bottom w:val="single" w:color="auto" w:sz="4" w:space="0"/>
              <w:right w:val="single" w:color="auto" w:sz="4" w:space="0"/>
            </w:tcBorders>
            <w:vAlign w:val="center"/>
          </w:tcPr>
          <w:p w14:paraId="535193D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登录页面可自定义切换背景图片，支持视频背景。</w:t>
            </w:r>
          </w:p>
        </w:tc>
      </w:tr>
      <w:tr w14:paraId="031A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E2489EE">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C1BCE6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登录后门户</w:t>
            </w:r>
          </w:p>
        </w:tc>
        <w:tc>
          <w:tcPr>
            <w:tcW w:w="3547" w:type="pct"/>
            <w:tcBorders>
              <w:top w:val="single" w:color="auto" w:sz="4" w:space="0"/>
              <w:left w:val="nil"/>
              <w:bottom w:val="single" w:color="auto" w:sz="4" w:space="0"/>
              <w:right w:val="single" w:color="auto" w:sz="4" w:space="0"/>
            </w:tcBorders>
            <w:vAlign w:val="center"/>
          </w:tcPr>
          <w:p w14:paraId="79157A0D">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登录后门户由元素组成，可自动刷新，也可以指定元素刷新。</w:t>
            </w:r>
          </w:p>
        </w:tc>
      </w:tr>
      <w:tr w14:paraId="498D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1ADEA370">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w:t>
            </w:r>
          </w:p>
        </w:tc>
        <w:tc>
          <w:tcPr>
            <w:tcW w:w="902" w:type="pct"/>
            <w:tcBorders>
              <w:top w:val="single" w:color="auto" w:sz="4" w:space="0"/>
              <w:left w:val="nil"/>
              <w:bottom w:val="single" w:color="auto" w:sz="4" w:space="0"/>
              <w:right w:val="single" w:color="auto" w:sz="4" w:space="0"/>
            </w:tcBorders>
            <w:vAlign w:val="center"/>
          </w:tcPr>
          <w:p w14:paraId="171E9410">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新建流程</w:t>
            </w:r>
          </w:p>
        </w:tc>
        <w:tc>
          <w:tcPr>
            <w:tcW w:w="3547" w:type="pct"/>
            <w:tcBorders>
              <w:top w:val="single" w:color="auto" w:sz="4" w:space="0"/>
              <w:left w:val="nil"/>
              <w:bottom w:val="single" w:color="auto" w:sz="4" w:space="0"/>
              <w:right w:val="single" w:color="auto" w:sz="4" w:space="0"/>
            </w:tcBorders>
            <w:vAlign w:val="center"/>
          </w:tcPr>
          <w:p w14:paraId="015A9D5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可新建流程可以根据流程类型、首字母排序，可新建流程可以收藏，收藏后单独在收藏页面显示。</w:t>
            </w:r>
          </w:p>
        </w:tc>
      </w:tr>
      <w:tr w14:paraId="17B4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281D87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2B8B4043">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待办事宜</w:t>
            </w:r>
          </w:p>
        </w:tc>
        <w:tc>
          <w:tcPr>
            <w:tcW w:w="3547" w:type="pct"/>
            <w:tcBorders>
              <w:top w:val="single" w:color="auto" w:sz="4" w:space="0"/>
              <w:left w:val="nil"/>
              <w:bottom w:val="single" w:color="auto" w:sz="4" w:space="0"/>
              <w:right w:val="single" w:color="auto" w:sz="4" w:space="0"/>
            </w:tcBorders>
            <w:vAlign w:val="center"/>
          </w:tcPr>
          <w:p w14:paraId="487FD97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用户所有收到的待处理流程都在此菜单下，可以根据需要处理，待阅，抄送，超时，督办，退回，关注等分类进行查看。</w:t>
            </w:r>
          </w:p>
        </w:tc>
      </w:tr>
      <w:tr w14:paraId="44EE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4B16A9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F7C1F2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已办事宜</w:t>
            </w:r>
          </w:p>
        </w:tc>
        <w:tc>
          <w:tcPr>
            <w:tcW w:w="3547" w:type="pct"/>
            <w:tcBorders>
              <w:top w:val="single" w:color="auto" w:sz="4" w:space="0"/>
              <w:left w:val="nil"/>
              <w:bottom w:val="single" w:color="auto" w:sz="4" w:space="0"/>
              <w:right w:val="single" w:color="auto" w:sz="4" w:space="0"/>
            </w:tcBorders>
            <w:vAlign w:val="center"/>
          </w:tcPr>
          <w:p w14:paraId="5F4CDB4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用户所有发起和处理的流程都可在此菜单下查阅，可以根据未归档、已归档、待回复、未读、反馈和关注进行分类查阅，支持模糊搜索和高级搜索。</w:t>
            </w:r>
          </w:p>
        </w:tc>
      </w:tr>
      <w:tr w14:paraId="7128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161D93C">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0A1D917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流程督办</w:t>
            </w:r>
          </w:p>
        </w:tc>
        <w:tc>
          <w:tcPr>
            <w:tcW w:w="3547" w:type="pct"/>
            <w:tcBorders>
              <w:top w:val="single" w:color="auto" w:sz="4" w:space="0"/>
              <w:left w:val="nil"/>
              <w:bottom w:val="single" w:color="auto" w:sz="4" w:space="0"/>
              <w:right w:val="single" w:color="auto" w:sz="4" w:space="0"/>
            </w:tcBorders>
            <w:vAlign w:val="center"/>
          </w:tcPr>
          <w:p w14:paraId="4E33784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赋权督办的用户在这里可以督办未归档流程，可以使用短信、邮件方式进行催办。</w:t>
            </w:r>
          </w:p>
        </w:tc>
      </w:tr>
      <w:tr w14:paraId="1943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59EBE4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ECBF20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我的请求</w:t>
            </w:r>
          </w:p>
        </w:tc>
        <w:tc>
          <w:tcPr>
            <w:tcW w:w="3547" w:type="pct"/>
            <w:tcBorders>
              <w:top w:val="single" w:color="auto" w:sz="4" w:space="0"/>
              <w:left w:val="nil"/>
              <w:bottom w:val="single" w:color="auto" w:sz="4" w:space="0"/>
              <w:right w:val="single" w:color="auto" w:sz="4" w:space="0"/>
            </w:tcBorders>
            <w:vAlign w:val="center"/>
          </w:tcPr>
          <w:p w14:paraId="2B258C74">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在这里可以查看当前操作者所有申请的流程，包括归档和未归档流程。</w:t>
            </w:r>
          </w:p>
        </w:tc>
      </w:tr>
      <w:tr w14:paraId="31A2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01199AE">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26C9CAF3">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流程代理</w:t>
            </w:r>
          </w:p>
        </w:tc>
        <w:tc>
          <w:tcPr>
            <w:tcW w:w="3547" w:type="pct"/>
            <w:tcBorders>
              <w:top w:val="single" w:color="auto" w:sz="4" w:space="0"/>
              <w:left w:val="nil"/>
              <w:bottom w:val="single" w:color="auto" w:sz="4" w:space="0"/>
              <w:right w:val="single" w:color="auto" w:sz="4" w:space="0"/>
            </w:tcBorders>
            <w:vAlign w:val="center"/>
          </w:tcPr>
          <w:p w14:paraId="6C655F50">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当员工出差、休假，无法处理流程后，可以通过代理设置将流程代理给其他用户处理，代理关系可以通过时间条件、表单字段条件等控制代理关系的有效时间和范围。</w:t>
            </w:r>
          </w:p>
        </w:tc>
      </w:tr>
      <w:tr w14:paraId="4B17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244208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D30B6C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关注事宜</w:t>
            </w:r>
          </w:p>
        </w:tc>
        <w:tc>
          <w:tcPr>
            <w:tcW w:w="3547" w:type="pct"/>
            <w:tcBorders>
              <w:top w:val="single" w:color="auto" w:sz="4" w:space="0"/>
              <w:left w:val="nil"/>
              <w:bottom w:val="single" w:color="auto" w:sz="4" w:space="0"/>
              <w:right w:val="single" w:color="auto" w:sz="4" w:space="0"/>
            </w:tcBorders>
            <w:vAlign w:val="center"/>
          </w:tcPr>
          <w:p w14:paraId="435A60B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当某条流程或某个类型的流程需要特别关注并跟踪流程审批过程时，用户可以将流程打上关注标签，根据关注点不同所以关注标签可以不一致。</w:t>
            </w:r>
          </w:p>
        </w:tc>
      </w:tr>
      <w:tr w14:paraId="467E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D6D8C96">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2713976">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查询流程</w:t>
            </w:r>
          </w:p>
        </w:tc>
        <w:tc>
          <w:tcPr>
            <w:tcW w:w="3547" w:type="pct"/>
            <w:tcBorders>
              <w:top w:val="single" w:color="auto" w:sz="4" w:space="0"/>
              <w:left w:val="nil"/>
              <w:bottom w:val="single" w:color="auto" w:sz="4" w:space="0"/>
              <w:right w:val="single" w:color="auto" w:sz="4" w:space="0"/>
            </w:tcBorders>
            <w:vAlign w:val="center"/>
          </w:tcPr>
          <w:p w14:paraId="36A957BD">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通过流程标题、创建人、日期等系统信息字段可以查询流程。</w:t>
            </w:r>
          </w:p>
        </w:tc>
      </w:tr>
      <w:tr w14:paraId="477D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336F188">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4AFDF37">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流转模板</w:t>
            </w:r>
          </w:p>
        </w:tc>
        <w:tc>
          <w:tcPr>
            <w:tcW w:w="3547" w:type="pct"/>
            <w:tcBorders>
              <w:top w:val="single" w:color="auto" w:sz="4" w:space="0"/>
              <w:left w:val="nil"/>
              <w:bottom w:val="single" w:color="auto" w:sz="4" w:space="0"/>
              <w:right w:val="single" w:color="auto" w:sz="4" w:space="0"/>
            </w:tcBorders>
            <w:vAlign w:val="center"/>
          </w:tcPr>
          <w:p w14:paraId="10F7721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维护自由流程的流转模板，下次再发起自由流程后可以通过流转模板快速创建自由流程的流转过程。</w:t>
            </w:r>
          </w:p>
        </w:tc>
      </w:tr>
      <w:tr w14:paraId="77E3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6F3582E">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2FA6699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批量打印</w:t>
            </w:r>
          </w:p>
        </w:tc>
        <w:tc>
          <w:tcPr>
            <w:tcW w:w="3547" w:type="pct"/>
            <w:tcBorders>
              <w:top w:val="single" w:color="auto" w:sz="4" w:space="0"/>
              <w:left w:val="nil"/>
              <w:bottom w:val="single" w:color="auto" w:sz="4" w:space="0"/>
              <w:right w:val="single" w:color="auto" w:sz="4" w:space="0"/>
            </w:tcBorders>
            <w:vAlign w:val="center"/>
          </w:tcPr>
          <w:p w14:paraId="6A2ED30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可以批量打印流程，通过标记可以区分流程是否已打印。</w:t>
            </w:r>
          </w:p>
        </w:tc>
      </w:tr>
      <w:tr w14:paraId="0CBF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1AF6806">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02DC34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流程监控</w:t>
            </w:r>
          </w:p>
        </w:tc>
        <w:tc>
          <w:tcPr>
            <w:tcW w:w="3547" w:type="pct"/>
            <w:tcBorders>
              <w:top w:val="single" w:color="auto" w:sz="4" w:space="0"/>
              <w:left w:val="nil"/>
              <w:bottom w:val="single" w:color="auto" w:sz="4" w:space="0"/>
              <w:right w:val="single" w:color="auto" w:sz="4" w:space="0"/>
            </w:tcBorders>
            <w:vAlign w:val="center"/>
          </w:tcPr>
          <w:p w14:paraId="4996EEA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赋予监控权限的用户可以在这里监控流程，可以对流程进行删除、干预流程流转、强制收回、强制归档和暂停撤销流程等操作。</w:t>
            </w:r>
          </w:p>
        </w:tc>
      </w:tr>
      <w:tr w14:paraId="45B8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404954D">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EF3667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流程存为文档</w:t>
            </w:r>
          </w:p>
        </w:tc>
        <w:tc>
          <w:tcPr>
            <w:tcW w:w="3547" w:type="pct"/>
            <w:tcBorders>
              <w:top w:val="single" w:color="auto" w:sz="4" w:space="0"/>
              <w:left w:val="nil"/>
              <w:bottom w:val="single" w:color="auto" w:sz="4" w:space="0"/>
              <w:right w:val="single" w:color="auto" w:sz="4" w:space="0"/>
            </w:tcBorders>
            <w:vAlign w:val="center"/>
          </w:tcPr>
          <w:p w14:paraId="7FD177A6">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手动将流程表单内容和签字意见存为html、pdf文档。</w:t>
            </w:r>
          </w:p>
        </w:tc>
      </w:tr>
      <w:tr w14:paraId="1F5A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B4EF93E">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C8E3CB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报表分析</w:t>
            </w:r>
          </w:p>
        </w:tc>
        <w:tc>
          <w:tcPr>
            <w:tcW w:w="3547" w:type="pct"/>
            <w:tcBorders>
              <w:top w:val="single" w:color="auto" w:sz="4" w:space="0"/>
              <w:left w:val="nil"/>
              <w:bottom w:val="single" w:color="auto" w:sz="4" w:space="0"/>
              <w:right w:val="single" w:color="auto" w:sz="4" w:space="0"/>
            </w:tcBorders>
            <w:vAlign w:val="center"/>
          </w:tcPr>
          <w:p w14:paraId="7895ECA9">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用户可以自己创建流程分析报表，通过表单数据统计并分析流程流转内容。</w:t>
            </w:r>
          </w:p>
        </w:tc>
      </w:tr>
      <w:tr w14:paraId="0618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BF5F46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22DDB4D">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流程回收站</w:t>
            </w:r>
          </w:p>
        </w:tc>
        <w:tc>
          <w:tcPr>
            <w:tcW w:w="3547" w:type="pct"/>
            <w:tcBorders>
              <w:top w:val="single" w:color="auto" w:sz="4" w:space="0"/>
              <w:left w:val="nil"/>
              <w:bottom w:val="single" w:color="auto" w:sz="4" w:space="0"/>
              <w:right w:val="single" w:color="auto" w:sz="4" w:space="0"/>
            </w:tcBorders>
            <w:vAlign w:val="center"/>
          </w:tcPr>
          <w:p w14:paraId="3DE475D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已删除的流程都在回收站中，可以恢复已删除的流程。</w:t>
            </w:r>
          </w:p>
        </w:tc>
      </w:tr>
      <w:tr w14:paraId="77AE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2198A25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知识</w:t>
            </w:r>
          </w:p>
        </w:tc>
        <w:tc>
          <w:tcPr>
            <w:tcW w:w="902" w:type="pct"/>
            <w:tcBorders>
              <w:top w:val="single" w:color="auto" w:sz="4" w:space="0"/>
              <w:left w:val="nil"/>
              <w:bottom w:val="single" w:color="auto" w:sz="4" w:space="0"/>
              <w:right w:val="single" w:color="auto" w:sz="4" w:space="0"/>
            </w:tcBorders>
            <w:vAlign w:val="center"/>
          </w:tcPr>
          <w:p w14:paraId="3AB2DC5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查阅文档</w:t>
            </w:r>
          </w:p>
        </w:tc>
        <w:tc>
          <w:tcPr>
            <w:tcW w:w="3547" w:type="pct"/>
            <w:tcBorders>
              <w:top w:val="single" w:color="auto" w:sz="4" w:space="0"/>
              <w:left w:val="nil"/>
              <w:bottom w:val="single" w:color="auto" w:sz="4" w:space="0"/>
              <w:right w:val="single" w:color="auto" w:sz="4" w:space="0"/>
            </w:tcBorders>
            <w:vAlign w:val="center"/>
          </w:tcPr>
          <w:p w14:paraId="03DEE00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通过文档相关字段可以搜索文档。</w:t>
            </w:r>
          </w:p>
        </w:tc>
      </w:tr>
      <w:tr w14:paraId="5EC9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F8A66CD">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53A4486">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知识中心</w:t>
            </w:r>
          </w:p>
        </w:tc>
        <w:tc>
          <w:tcPr>
            <w:tcW w:w="3547" w:type="pct"/>
            <w:tcBorders>
              <w:top w:val="single" w:color="auto" w:sz="4" w:space="0"/>
              <w:left w:val="nil"/>
              <w:bottom w:val="single" w:color="auto" w:sz="4" w:space="0"/>
              <w:right w:val="single" w:color="auto" w:sz="4" w:space="0"/>
            </w:tcBorders>
            <w:vAlign w:val="center"/>
          </w:tcPr>
          <w:p w14:paraId="71E2E0A9">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知识中心是用户使用文档的入口，通过对平时用户的操作、所处岗位，周边的人员及系统中的应用数据进行动态智能分析，主动向用户推荐相关知识。用户可以在知识中心中根据不同维护获取数据外，还可以获取与个人相关的知识贡献等数据信息。</w:t>
            </w:r>
          </w:p>
        </w:tc>
      </w:tr>
      <w:tr w14:paraId="11B3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16C1AF1">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0A63F2A7">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新建文档</w:t>
            </w:r>
          </w:p>
        </w:tc>
        <w:tc>
          <w:tcPr>
            <w:tcW w:w="3547" w:type="pct"/>
            <w:tcBorders>
              <w:top w:val="single" w:color="auto" w:sz="4" w:space="0"/>
              <w:left w:val="nil"/>
              <w:bottom w:val="single" w:color="auto" w:sz="4" w:space="0"/>
              <w:right w:val="single" w:color="auto" w:sz="4" w:space="0"/>
            </w:tcBorders>
            <w:vAlign w:val="center"/>
          </w:tcPr>
          <w:p w14:paraId="60ECEBE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有权限的用户可以在指定目录创建文档。</w:t>
            </w:r>
          </w:p>
        </w:tc>
      </w:tr>
      <w:tr w14:paraId="108B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A2C5270">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4CBBBA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虚拟目录</w:t>
            </w:r>
          </w:p>
        </w:tc>
        <w:tc>
          <w:tcPr>
            <w:tcW w:w="3547" w:type="pct"/>
            <w:tcBorders>
              <w:top w:val="single" w:color="auto" w:sz="4" w:space="0"/>
              <w:left w:val="nil"/>
              <w:bottom w:val="single" w:color="auto" w:sz="4" w:space="0"/>
              <w:right w:val="single" w:color="auto" w:sz="4" w:space="0"/>
            </w:tcBorders>
            <w:vAlign w:val="center"/>
          </w:tcPr>
          <w:p w14:paraId="562E33B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除了正常的文档目录之外，系统中还有一个虚拟目录的功能，此功能是提供给客户对文档进行另外一种维度来查看文档，比如与客户有关的文档有很多，存放在不同的目录下，那么我就可以在虚拟目录中设置一个以客户名称为目录的虚拟目录，这样我要查找与这个客户有关的文档的时候，只要到这个虚拟目录中查找就可以了。</w:t>
            </w:r>
          </w:p>
        </w:tc>
      </w:tr>
      <w:tr w14:paraId="6785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C5A65A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DFF0EF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文档订阅</w:t>
            </w:r>
          </w:p>
        </w:tc>
        <w:tc>
          <w:tcPr>
            <w:tcW w:w="3547" w:type="pct"/>
            <w:tcBorders>
              <w:top w:val="single" w:color="auto" w:sz="4" w:space="0"/>
              <w:left w:val="nil"/>
              <w:bottom w:val="single" w:color="auto" w:sz="4" w:space="0"/>
              <w:right w:val="single" w:color="auto" w:sz="4" w:space="0"/>
            </w:tcBorders>
            <w:vAlign w:val="center"/>
          </w:tcPr>
          <w:p w14:paraId="4D9DF8C2">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对于没有权限查看的文档，可以通过文档订阅的方式临时获得查看权限，权限控制由文档所有者决定。</w:t>
            </w:r>
          </w:p>
        </w:tc>
      </w:tr>
      <w:tr w14:paraId="601E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BE92EC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36EC28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批量共享</w:t>
            </w:r>
          </w:p>
        </w:tc>
        <w:tc>
          <w:tcPr>
            <w:tcW w:w="3547" w:type="pct"/>
            <w:tcBorders>
              <w:top w:val="single" w:color="auto" w:sz="4" w:space="0"/>
              <w:left w:val="nil"/>
              <w:bottom w:val="single" w:color="auto" w:sz="4" w:space="0"/>
              <w:right w:val="single" w:color="auto" w:sz="4" w:space="0"/>
            </w:tcBorders>
            <w:vAlign w:val="center"/>
          </w:tcPr>
          <w:p w14:paraId="2EE6CDD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可以批量将自己的文档共享给其他用户。</w:t>
            </w:r>
          </w:p>
        </w:tc>
      </w:tr>
      <w:tr w14:paraId="5686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CB6D379">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72CA999">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移动复制</w:t>
            </w:r>
          </w:p>
        </w:tc>
        <w:tc>
          <w:tcPr>
            <w:tcW w:w="3547" w:type="pct"/>
            <w:tcBorders>
              <w:top w:val="single" w:color="auto" w:sz="4" w:space="0"/>
              <w:left w:val="nil"/>
              <w:bottom w:val="single" w:color="auto" w:sz="4" w:space="0"/>
              <w:right w:val="single" w:color="auto" w:sz="4" w:space="0"/>
            </w:tcBorders>
            <w:vAlign w:val="center"/>
          </w:tcPr>
          <w:p w14:paraId="44202E1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拥有权限的用户可以通过移动复制的功能，将文档在不同的目录之间进行复制或移动的操作，调整文档所属的目录。</w:t>
            </w:r>
          </w:p>
        </w:tc>
      </w:tr>
      <w:tr w14:paraId="73EE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08EBBDB">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31E0F6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文档监控</w:t>
            </w:r>
          </w:p>
        </w:tc>
        <w:tc>
          <w:tcPr>
            <w:tcW w:w="3547" w:type="pct"/>
            <w:tcBorders>
              <w:top w:val="single" w:color="auto" w:sz="4" w:space="0"/>
              <w:left w:val="nil"/>
              <w:bottom w:val="single" w:color="auto" w:sz="4" w:space="0"/>
              <w:right w:val="single" w:color="auto" w:sz="4" w:space="0"/>
            </w:tcBorders>
            <w:vAlign w:val="center"/>
          </w:tcPr>
          <w:p w14:paraId="1305C986">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拥有权限的用户可以对文档进行监控操作，包括删除、发布、归档、失效、作废、重新打开归档、重新打开作废、签入等操作。</w:t>
            </w:r>
          </w:p>
        </w:tc>
      </w:tr>
      <w:tr w14:paraId="7560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BAC33D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CACFD66">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我的云盘</w:t>
            </w:r>
          </w:p>
        </w:tc>
        <w:tc>
          <w:tcPr>
            <w:tcW w:w="3547" w:type="pct"/>
            <w:tcBorders>
              <w:top w:val="single" w:color="auto" w:sz="4" w:space="0"/>
              <w:left w:val="nil"/>
              <w:bottom w:val="single" w:color="auto" w:sz="4" w:space="0"/>
              <w:right w:val="single" w:color="auto" w:sz="4" w:space="0"/>
            </w:tcBorders>
            <w:vAlign w:val="center"/>
          </w:tcPr>
          <w:p w14:paraId="0D8FCCB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属于个人的文档云存储器，可以自定义存储目录、文档，并分享这些存储的内容或发布到系统中。</w:t>
            </w:r>
          </w:p>
        </w:tc>
      </w:tr>
      <w:tr w14:paraId="7CF1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0179A72">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03CB78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文档回收站</w:t>
            </w:r>
          </w:p>
        </w:tc>
        <w:tc>
          <w:tcPr>
            <w:tcW w:w="3547" w:type="pct"/>
            <w:tcBorders>
              <w:top w:val="single" w:color="auto" w:sz="4" w:space="0"/>
              <w:left w:val="nil"/>
              <w:bottom w:val="single" w:color="auto" w:sz="4" w:space="0"/>
              <w:right w:val="single" w:color="auto" w:sz="4" w:space="0"/>
            </w:tcBorders>
            <w:vAlign w:val="center"/>
          </w:tcPr>
          <w:p w14:paraId="16B7E14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开启回收站功能后，删除的文档首先存储到回收站中，回收站中可以恢复删除的文档。</w:t>
            </w:r>
          </w:p>
        </w:tc>
      </w:tr>
      <w:tr w14:paraId="65A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06CE26A9">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人事</w:t>
            </w:r>
          </w:p>
        </w:tc>
        <w:tc>
          <w:tcPr>
            <w:tcW w:w="902" w:type="pct"/>
            <w:tcBorders>
              <w:top w:val="single" w:color="auto" w:sz="4" w:space="0"/>
              <w:left w:val="nil"/>
              <w:bottom w:val="single" w:color="auto" w:sz="4" w:space="0"/>
              <w:right w:val="single" w:color="auto" w:sz="4" w:space="0"/>
            </w:tcBorders>
            <w:vAlign w:val="center"/>
          </w:tcPr>
          <w:p w14:paraId="724C2FE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通讯录</w:t>
            </w:r>
          </w:p>
        </w:tc>
        <w:tc>
          <w:tcPr>
            <w:tcW w:w="3547" w:type="pct"/>
            <w:tcBorders>
              <w:top w:val="single" w:color="auto" w:sz="4" w:space="0"/>
              <w:left w:val="nil"/>
              <w:bottom w:val="single" w:color="auto" w:sz="4" w:space="0"/>
              <w:right w:val="single" w:color="auto" w:sz="4" w:space="0"/>
            </w:tcBorders>
            <w:vAlign w:val="center"/>
          </w:tcPr>
          <w:p w14:paraId="423569D2">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通过通讯录可以查看系统中所有注册人员，可以通过条件进行搜索人员。</w:t>
            </w:r>
          </w:p>
        </w:tc>
      </w:tr>
      <w:tr w14:paraId="252C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7C31DB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C104C7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新建人员</w:t>
            </w:r>
          </w:p>
        </w:tc>
        <w:tc>
          <w:tcPr>
            <w:tcW w:w="3547" w:type="pct"/>
            <w:tcBorders>
              <w:top w:val="single" w:color="auto" w:sz="4" w:space="0"/>
              <w:left w:val="nil"/>
              <w:bottom w:val="single" w:color="auto" w:sz="4" w:space="0"/>
              <w:right w:val="single" w:color="auto" w:sz="4" w:space="0"/>
            </w:tcBorders>
            <w:vAlign w:val="center"/>
          </w:tcPr>
          <w:p w14:paraId="4BB9267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拥有人员管理权限的用户可以在这里单个录入人员。</w:t>
            </w:r>
          </w:p>
        </w:tc>
      </w:tr>
      <w:tr w14:paraId="0D64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C128EA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F066798">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我的卡片</w:t>
            </w:r>
          </w:p>
        </w:tc>
        <w:tc>
          <w:tcPr>
            <w:tcW w:w="3547" w:type="pct"/>
            <w:tcBorders>
              <w:top w:val="single" w:color="auto" w:sz="4" w:space="0"/>
              <w:left w:val="nil"/>
              <w:bottom w:val="single" w:color="auto" w:sz="4" w:space="0"/>
              <w:right w:val="single" w:color="auto" w:sz="4" w:space="0"/>
            </w:tcBorders>
            <w:vAlign w:val="center"/>
          </w:tcPr>
          <w:p w14:paraId="5AD3DB74">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查看个人卡片信息，除基本信息、个人信息和工作信息外，还包含了系统中资产、考勤、考核、培训等相关信息。</w:t>
            </w:r>
          </w:p>
        </w:tc>
      </w:tr>
      <w:tr w14:paraId="3569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50DC171">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C6DE1A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我的下属</w:t>
            </w:r>
          </w:p>
        </w:tc>
        <w:tc>
          <w:tcPr>
            <w:tcW w:w="3547" w:type="pct"/>
            <w:tcBorders>
              <w:top w:val="single" w:color="auto" w:sz="4" w:space="0"/>
              <w:left w:val="nil"/>
              <w:bottom w:val="single" w:color="auto" w:sz="4" w:space="0"/>
              <w:right w:val="single" w:color="auto" w:sz="4" w:space="0"/>
            </w:tcBorders>
            <w:vAlign w:val="center"/>
          </w:tcPr>
          <w:p w14:paraId="3B75E63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查看用户直接下级信息，日程、待办流程、文档、项目、资产等信息。</w:t>
            </w:r>
          </w:p>
        </w:tc>
      </w:tr>
      <w:tr w14:paraId="0852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E8BBEB1">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DEF1A3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我的工资</w:t>
            </w:r>
          </w:p>
        </w:tc>
        <w:tc>
          <w:tcPr>
            <w:tcW w:w="3547" w:type="pct"/>
            <w:tcBorders>
              <w:top w:val="single" w:color="auto" w:sz="4" w:space="0"/>
              <w:left w:val="nil"/>
              <w:bottom w:val="single" w:color="auto" w:sz="4" w:space="0"/>
              <w:right w:val="single" w:color="auto" w:sz="4" w:space="0"/>
            </w:tcBorders>
            <w:vAlign w:val="center"/>
          </w:tcPr>
          <w:p w14:paraId="54939E1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查看用户的薪酬工资信息，包括当月的工资单和历史工资单，支持二次密码验证。</w:t>
            </w:r>
          </w:p>
        </w:tc>
      </w:tr>
      <w:tr w14:paraId="4D2C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AEB179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58A74A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奖惩考核</w:t>
            </w:r>
          </w:p>
        </w:tc>
        <w:tc>
          <w:tcPr>
            <w:tcW w:w="3547" w:type="pct"/>
            <w:tcBorders>
              <w:top w:val="single" w:color="auto" w:sz="4" w:space="0"/>
              <w:left w:val="nil"/>
              <w:bottom w:val="single" w:color="auto" w:sz="4" w:space="0"/>
              <w:right w:val="single" w:color="auto" w:sz="4" w:space="0"/>
            </w:tcBorders>
            <w:vAlign w:val="center"/>
          </w:tcPr>
          <w:p w14:paraId="00E72A5C">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查看用户的奖惩信息和考核结果。</w:t>
            </w:r>
          </w:p>
        </w:tc>
      </w:tr>
      <w:tr w14:paraId="71B6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0DC63D9">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D16CAA3">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在线人员</w:t>
            </w:r>
          </w:p>
        </w:tc>
        <w:tc>
          <w:tcPr>
            <w:tcW w:w="3547" w:type="pct"/>
            <w:tcBorders>
              <w:top w:val="single" w:color="auto" w:sz="4" w:space="0"/>
              <w:left w:val="nil"/>
              <w:bottom w:val="single" w:color="auto" w:sz="4" w:space="0"/>
              <w:right w:val="single" w:color="auto" w:sz="4" w:space="0"/>
            </w:tcBorders>
            <w:vAlign w:val="center"/>
          </w:tcPr>
          <w:p w14:paraId="2C7EBC2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查看当前PC在线的人员。</w:t>
            </w:r>
          </w:p>
        </w:tc>
      </w:tr>
      <w:tr w14:paraId="1FAD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D0874B6">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5DDF84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密码设置</w:t>
            </w:r>
          </w:p>
        </w:tc>
        <w:tc>
          <w:tcPr>
            <w:tcW w:w="3547" w:type="pct"/>
            <w:tcBorders>
              <w:top w:val="single" w:color="auto" w:sz="4" w:space="0"/>
              <w:left w:val="nil"/>
              <w:bottom w:val="single" w:color="auto" w:sz="4" w:space="0"/>
              <w:right w:val="single" w:color="auto" w:sz="4" w:space="0"/>
            </w:tcBorders>
            <w:vAlign w:val="center"/>
          </w:tcPr>
          <w:p w14:paraId="4C6F0A84">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维护个人登录密码，二次验证密码和密保信息。</w:t>
            </w:r>
          </w:p>
        </w:tc>
      </w:tr>
      <w:tr w14:paraId="3BA5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3B10FFD">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D3EF32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人员生日</w:t>
            </w:r>
          </w:p>
        </w:tc>
        <w:tc>
          <w:tcPr>
            <w:tcW w:w="3547" w:type="pct"/>
            <w:tcBorders>
              <w:top w:val="single" w:color="auto" w:sz="4" w:space="0"/>
              <w:left w:val="nil"/>
              <w:bottom w:val="single" w:color="auto" w:sz="4" w:space="0"/>
              <w:right w:val="single" w:color="auto" w:sz="4" w:space="0"/>
            </w:tcBorders>
            <w:vAlign w:val="center"/>
          </w:tcPr>
          <w:p w14:paraId="4FCF621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拥有权限的用户可以在这里查看当月生日的员工列表。</w:t>
            </w:r>
          </w:p>
        </w:tc>
      </w:tr>
      <w:tr w14:paraId="3251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467480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9D07028">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人事管理</w:t>
            </w:r>
          </w:p>
        </w:tc>
        <w:tc>
          <w:tcPr>
            <w:tcW w:w="3547" w:type="pct"/>
            <w:tcBorders>
              <w:top w:val="single" w:color="auto" w:sz="4" w:space="0"/>
              <w:left w:val="nil"/>
              <w:bottom w:val="single" w:color="auto" w:sz="4" w:space="0"/>
              <w:right w:val="single" w:color="auto" w:sz="4" w:space="0"/>
            </w:tcBorders>
            <w:vAlign w:val="center"/>
          </w:tcPr>
          <w:p w14:paraId="146101E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管理员工生日、入职提醒规则，控制调整人员状态。</w:t>
            </w:r>
          </w:p>
        </w:tc>
      </w:tr>
      <w:tr w14:paraId="7C41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AF02433">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28C06C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签章管理</w:t>
            </w:r>
          </w:p>
        </w:tc>
        <w:tc>
          <w:tcPr>
            <w:tcW w:w="3547" w:type="pct"/>
            <w:tcBorders>
              <w:top w:val="single" w:color="auto" w:sz="4" w:space="0"/>
              <w:left w:val="nil"/>
              <w:bottom w:val="single" w:color="auto" w:sz="4" w:space="0"/>
              <w:right w:val="single" w:color="auto" w:sz="4" w:space="0"/>
            </w:tcBorders>
            <w:vAlign w:val="center"/>
          </w:tcPr>
          <w:p w14:paraId="199978F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可以上传员工个人签章和公司签章，设置的签章可以在流程或文档中引用。</w:t>
            </w:r>
          </w:p>
        </w:tc>
      </w:tr>
      <w:tr w14:paraId="538E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3448E530">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w:t>
            </w:r>
          </w:p>
        </w:tc>
        <w:tc>
          <w:tcPr>
            <w:tcW w:w="902" w:type="pct"/>
            <w:tcBorders>
              <w:top w:val="single" w:color="auto" w:sz="4" w:space="0"/>
              <w:left w:val="nil"/>
              <w:bottom w:val="single" w:color="auto" w:sz="4" w:space="0"/>
              <w:right w:val="single" w:color="auto" w:sz="4" w:space="0"/>
            </w:tcBorders>
            <w:vAlign w:val="center"/>
          </w:tcPr>
          <w:p w14:paraId="74FB7FD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会议日历</w:t>
            </w:r>
          </w:p>
        </w:tc>
        <w:tc>
          <w:tcPr>
            <w:tcW w:w="3547" w:type="pct"/>
            <w:tcBorders>
              <w:top w:val="single" w:color="auto" w:sz="4" w:space="0"/>
              <w:left w:val="nil"/>
              <w:bottom w:val="single" w:color="auto" w:sz="4" w:space="0"/>
              <w:right w:val="single" w:color="auto" w:sz="4" w:space="0"/>
            </w:tcBorders>
            <w:vAlign w:val="center"/>
          </w:tcPr>
          <w:p w14:paraId="1E801672">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以日历方式显示会议情况，可以按会议状态显示或者按人员组织来显示会议信息。</w:t>
            </w:r>
          </w:p>
        </w:tc>
      </w:tr>
      <w:tr w14:paraId="6E1C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0391BA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1537D6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会议室使用情况</w:t>
            </w:r>
          </w:p>
        </w:tc>
        <w:tc>
          <w:tcPr>
            <w:tcW w:w="3547" w:type="pct"/>
            <w:tcBorders>
              <w:top w:val="single" w:color="auto" w:sz="4" w:space="0"/>
              <w:left w:val="nil"/>
              <w:bottom w:val="single" w:color="auto" w:sz="4" w:space="0"/>
              <w:right w:val="single" w:color="auto" w:sz="4" w:space="0"/>
            </w:tcBorders>
            <w:vAlign w:val="center"/>
          </w:tcPr>
          <w:p w14:paraId="1749569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按会议室显示列表的方式显示所有会议，方便用户申请会议室，对于无权限的会议会提示无权限，可以按日、周、月的时间周期方式显示各个会议室的使用情况。</w:t>
            </w:r>
          </w:p>
        </w:tc>
      </w:tr>
      <w:tr w14:paraId="3A6E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996AD9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DEDB60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查询会议</w:t>
            </w:r>
          </w:p>
        </w:tc>
        <w:tc>
          <w:tcPr>
            <w:tcW w:w="3547" w:type="pct"/>
            <w:tcBorders>
              <w:top w:val="single" w:color="auto" w:sz="4" w:space="0"/>
              <w:left w:val="nil"/>
              <w:bottom w:val="single" w:color="auto" w:sz="4" w:space="0"/>
              <w:right w:val="single" w:color="auto" w:sz="4" w:space="0"/>
            </w:tcBorders>
            <w:vAlign w:val="center"/>
          </w:tcPr>
          <w:p w14:paraId="5C00AC4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通过会议相关字段条件查询会议。</w:t>
            </w:r>
          </w:p>
        </w:tc>
      </w:tr>
      <w:tr w14:paraId="3812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0C1E63D">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FC805C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会议任务</w:t>
            </w:r>
          </w:p>
        </w:tc>
        <w:tc>
          <w:tcPr>
            <w:tcW w:w="3547" w:type="pct"/>
            <w:tcBorders>
              <w:top w:val="single" w:color="auto" w:sz="4" w:space="0"/>
              <w:left w:val="nil"/>
              <w:bottom w:val="single" w:color="auto" w:sz="4" w:space="0"/>
              <w:right w:val="single" w:color="auto" w:sz="4" w:space="0"/>
            </w:tcBorders>
            <w:vAlign w:val="center"/>
          </w:tcPr>
          <w:p w14:paraId="712DD6CF">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会议任务来自会议决议，在这里可以需要执行的所有会议任务情况。</w:t>
            </w:r>
          </w:p>
        </w:tc>
      </w:tr>
      <w:tr w14:paraId="5B78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80229E2">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DA93E86">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会议报表</w:t>
            </w:r>
          </w:p>
        </w:tc>
        <w:tc>
          <w:tcPr>
            <w:tcW w:w="3547" w:type="pct"/>
            <w:tcBorders>
              <w:top w:val="single" w:color="auto" w:sz="4" w:space="0"/>
              <w:left w:val="nil"/>
              <w:bottom w:val="single" w:color="auto" w:sz="4" w:space="0"/>
              <w:right w:val="single" w:color="auto" w:sz="4" w:space="0"/>
            </w:tcBorders>
            <w:vAlign w:val="center"/>
          </w:tcPr>
          <w:p w14:paraId="7C3DC1E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统计会议缺席、决议和任务统计数据。</w:t>
            </w:r>
          </w:p>
        </w:tc>
      </w:tr>
      <w:tr w14:paraId="400B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087C77E">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2AAD6EB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周期会议</w:t>
            </w:r>
          </w:p>
        </w:tc>
        <w:tc>
          <w:tcPr>
            <w:tcW w:w="3547" w:type="pct"/>
            <w:tcBorders>
              <w:top w:val="single" w:color="auto" w:sz="4" w:space="0"/>
              <w:left w:val="nil"/>
              <w:bottom w:val="single" w:color="auto" w:sz="4" w:space="0"/>
              <w:right w:val="single" w:color="auto" w:sz="4" w:space="0"/>
            </w:tcBorders>
            <w:vAlign w:val="center"/>
          </w:tcPr>
          <w:p w14:paraId="3D45947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创建周期会议，根据指定的周期自动生成会议并指定相关参会人员。</w:t>
            </w:r>
          </w:p>
        </w:tc>
      </w:tr>
      <w:tr w14:paraId="099D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86EEDF9">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2A82AB83">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会议监控</w:t>
            </w:r>
          </w:p>
        </w:tc>
        <w:tc>
          <w:tcPr>
            <w:tcW w:w="3547" w:type="pct"/>
            <w:tcBorders>
              <w:top w:val="single" w:color="auto" w:sz="4" w:space="0"/>
              <w:left w:val="nil"/>
              <w:bottom w:val="single" w:color="auto" w:sz="4" w:space="0"/>
              <w:right w:val="single" w:color="auto" w:sz="4" w:space="0"/>
            </w:tcBorders>
            <w:vAlign w:val="center"/>
          </w:tcPr>
          <w:p w14:paraId="1C48C98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赋予权限的用户可以监控所有会议，包括删除、取消、结束和变更会议等操作，会议列表可导出相关记录。</w:t>
            </w:r>
          </w:p>
        </w:tc>
      </w:tr>
      <w:tr w14:paraId="7370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CD55AC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805B75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基础设置</w:t>
            </w:r>
          </w:p>
        </w:tc>
        <w:tc>
          <w:tcPr>
            <w:tcW w:w="3547" w:type="pct"/>
            <w:tcBorders>
              <w:top w:val="single" w:color="auto" w:sz="4" w:space="0"/>
              <w:left w:val="nil"/>
              <w:bottom w:val="single" w:color="auto" w:sz="4" w:space="0"/>
              <w:right w:val="single" w:color="auto" w:sz="4" w:space="0"/>
            </w:tcBorders>
            <w:vAlign w:val="center"/>
          </w:tcPr>
          <w:p w14:paraId="3428FE1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维护公司的会议室，召开的类型和会议需要的服务，通过会议室和会议类型控制会议发起人的范围，支持分权管理，各个分公司可以制定不同的会议。</w:t>
            </w:r>
            <w:r>
              <w:rPr>
                <w:rFonts w:hint="eastAsia" w:ascii="宋体" w:hAnsi="宋体" w:cs="Calibri"/>
                <w:color w:val="auto"/>
                <w:kern w:val="0"/>
                <w:sz w:val="24"/>
                <w:highlight w:val="none"/>
              </w:rPr>
              <w:br w:type="textWrapping"/>
            </w:r>
            <w:r>
              <w:rPr>
                <w:rFonts w:hint="eastAsia" w:ascii="宋体" w:hAnsi="宋体" w:cs="Calibri"/>
                <w:color w:val="auto"/>
                <w:kern w:val="0"/>
                <w:sz w:val="24"/>
                <w:highlight w:val="none"/>
              </w:rPr>
              <w:t>会议室支持排座。</w:t>
            </w:r>
          </w:p>
        </w:tc>
      </w:tr>
      <w:tr w14:paraId="022B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5AD5BB9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w:t>
            </w:r>
          </w:p>
        </w:tc>
        <w:tc>
          <w:tcPr>
            <w:tcW w:w="902" w:type="pct"/>
            <w:tcBorders>
              <w:top w:val="single" w:color="auto" w:sz="4" w:space="0"/>
              <w:left w:val="nil"/>
              <w:bottom w:val="single" w:color="auto" w:sz="4" w:space="0"/>
              <w:right w:val="single" w:color="auto" w:sz="4" w:space="0"/>
            </w:tcBorders>
            <w:vAlign w:val="center"/>
          </w:tcPr>
          <w:p w14:paraId="61C8BEF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我的日程</w:t>
            </w:r>
          </w:p>
        </w:tc>
        <w:tc>
          <w:tcPr>
            <w:tcW w:w="3547" w:type="pct"/>
            <w:tcBorders>
              <w:top w:val="single" w:color="auto" w:sz="4" w:space="0"/>
              <w:left w:val="nil"/>
              <w:bottom w:val="single" w:color="auto" w:sz="4" w:space="0"/>
              <w:right w:val="single" w:color="auto" w:sz="4" w:space="0"/>
            </w:tcBorders>
            <w:vAlign w:val="center"/>
          </w:tcPr>
          <w:p w14:paraId="0BFD57F6">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查看个人工作日程安排，可以将日程进行共享。</w:t>
            </w:r>
          </w:p>
        </w:tc>
      </w:tr>
      <w:tr w14:paraId="2300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53BF415">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61F7B6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所有日程</w:t>
            </w:r>
          </w:p>
        </w:tc>
        <w:tc>
          <w:tcPr>
            <w:tcW w:w="3547" w:type="pct"/>
            <w:tcBorders>
              <w:top w:val="single" w:color="auto" w:sz="4" w:space="0"/>
              <w:left w:val="nil"/>
              <w:bottom w:val="single" w:color="auto" w:sz="4" w:space="0"/>
              <w:right w:val="single" w:color="auto" w:sz="4" w:space="0"/>
            </w:tcBorders>
            <w:vAlign w:val="center"/>
          </w:tcPr>
          <w:p w14:paraId="20519C7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查看所有可查看日程，包括自己的日程和其他用户共享可以查看的日程。</w:t>
            </w:r>
          </w:p>
        </w:tc>
      </w:tr>
      <w:tr w14:paraId="4900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EB69353">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2DE1ED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日程一览表</w:t>
            </w:r>
          </w:p>
        </w:tc>
        <w:tc>
          <w:tcPr>
            <w:tcW w:w="3547" w:type="pct"/>
            <w:tcBorders>
              <w:top w:val="single" w:color="auto" w:sz="4" w:space="0"/>
              <w:left w:val="nil"/>
              <w:bottom w:val="single" w:color="auto" w:sz="4" w:space="0"/>
              <w:right w:val="single" w:color="auto" w:sz="4" w:space="0"/>
            </w:tcBorders>
            <w:vAlign w:val="center"/>
          </w:tcPr>
          <w:p w14:paraId="5FD2C7F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以列表方式查看所有日程，支持日程导入和导出，可以根据日程类型、时间、组织范围等条件进行过滤。</w:t>
            </w:r>
          </w:p>
        </w:tc>
      </w:tr>
      <w:tr w14:paraId="31F1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620709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994BED8">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工作交流</w:t>
            </w:r>
          </w:p>
        </w:tc>
        <w:tc>
          <w:tcPr>
            <w:tcW w:w="3547" w:type="pct"/>
            <w:tcBorders>
              <w:top w:val="single" w:color="auto" w:sz="4" w:space="0"/>
              <w:left w:val="nil"/>
              <w:bottom w:val="single" w:color="auto" w:sz="4" w:space="0"/>
              <w:right w:val="single" w:color="auto" w:sz="4" w:space="0"/>
            </w:tcBorders>
            <w:vAlign w:val="center"/>
          </w:tcPr>
          <w:p w14:paraId="3DB2256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显示在日程中参与的交流信息。</w:t>
            </w:r>
          </w:p>
        </w:tc>
      </w:tr>
      <w:tr w14:paraId="0029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591A3C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B434BA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周期日程</w:t>
            </w:r>
          </w:p>
        </w:tc>
        <w:tc>
          <w:tcPr>
            <w:tcW w:w="3547" w:type="pct"/>
            <w:tcBorders>
              <w:top w:val="single" w:color="auto" w:sz="4" w:space="0"/>
              <w:left w:val="nil"/>
              <w:bottom w:val="single" w:color="auto" w:sz="4" w:space="0"/>
              <w:right w:val="single" w:color="auto" w:sz="4" w:space="0"/>
            </w:tcBorders>
            <w:vAlign w:val="center"/>
          </w:tcPr>
          <w:p w14:paraId="1630167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创建周期日程，会根据周期自动生成日程。</w:t>
            </w:r>
          </w:p>
        </w:tc>
      </w:tr>
      <w:tr w14:paraId="5728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280E41B">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E9EAB6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一周日程安排</w:t>
            </w:r>
          </w:p>
        </w:tc>
        <w:tc>
          <w:tcPr>
            <w:tcW w:w="3547" w:type="pct"/>
            <w:tcBorders>
              <w:top w:val="single" w:color="auto" w:sz="4" w:space="0"/>
              <w:left w:val="nil"/>
              <w:bottom w:val="single" w:color="auto" w:sz="4" w:space="0"/>
              <w:right w:val="single" w:color="auto" w:sz="4" w:space="0"/>
            </w:tcBorders>
            <w:vAlign w:val="center"/>
          </w:tcPr>
          <w:p w14:paraId="422A3BF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可以将指定人员的日程安排共享给指定范围内的用户，方便用户查看指定人员日程。</w:t>
            </w:r>
          </w:p>
        </w:tc>
      </w:tr>
      <w:tr w14:paraId="6517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5A0EDFC">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A60D9D6">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日程共享</w:t>
            </w:r>
          </w:p>
        </w:tc>
        <w:tc>
          <w:tcPr>
            <w:tcW w:w="3547" w:type="pct"/>
            <w:tcBorders>
              <w:top w:val="single" w:color="auto" w:sz="4" w:space="0"/>
              <w:left w:val="nil"/>
              <w:bottom w:val="single" w:color="auto" w:sz="4" w:space="0"/>
              <w:right w:val="single" w:color="auto" w:sz="4" w:space="0"/>
            </w:tcBorders>
            <w:vAlign w:val="center"/>
          </w:tcPr>
          <w:p w14:paraId="26ABEB0C">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可以将自己的日程共享给其他用户。</w:t>
            </w:r>
          </w:p>
        </w:tc>
      </w:tr>
      <w:tr w14:paraId="2B92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F472342">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3892B8E">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查询日程</w:t>
            </w:r>
          </w:p>
        </w:tc>
        <w:tc>
          <w:tcPr>
            <w:tcW w:w="3547" w:type="pct"/>
            <w:tcBorders>
              <w:top w:val="single" w:color="auto" w:sz="4" w:space="0"/>
              <w:left w:val="nil"/>
              <w:bottom w:val="single" w:color="auto" w:sz="4" w:space="0"/>
              <w:right w:val="single" w:color="auto" w:sz="4" w:space="0"/>
            </w:tcBorders>
            <w:vAlign w:val="center"/>
          </w:tcPr>
          <w:p w14:paraId="3364FE4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根据条件查询所有可查看的日程。</w:t>
            </w:r>
          </w:p>
        </w:tc>
      </w:tr>
      <w:tr w14:paraId="00A8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5D1B6C3">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319B23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日程监控</w:t>
            </w:r>
          </w:p>
        </w:tc>
        <w:tc>
          <w:tcPr>
            <w:tcW w:w="3547" w:type="pct"/>
            <w:tcBorders>
              <w:top w:val="single" w:color="auto" w:sz="4" w:space="0"/>
              <w:left w:val="nil"/>
              <w:bottom w:val="single" w:color="auto" w:sz="4" w:space="0"/>
              <w:right w:val="single" w:color="auto" w:sz="4" w:space="0"/>
            </w:tcBorders>
            <w:vAlign w:val="center"/>
          </w:tcPr>
          <w:p w14:paraId="3A1DF3E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赋予条件的用户监控日程，可以删除、强制完成和导出日程功能。</w:t>
            </w:r>
          </w:p>
        </w:tc>
      </w:tr>
      <w:tr w14:paraId="6256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35F392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FB2BB3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日程类型</w:t>
            </w:r>
          </w:p>
        </w:tc>
        <w:tc>
          <w:tcPr>
            <w:tcW w:w="3547" w:type="pct"/>
            <w:tcBorders>
              <w:top w:val="single" w:color="auto" w:sz="4" w:space="0"/>
              <w:left w:val="nil"/>
              <w:bottom w:val="single" w:color="auto" w:sz="4" w:space="0"/>
              <w:right w:val="single" w:color="auto" w:sz="4" w:space="0"/>
            </w:tcBorders>
            <w:vAlign w:val="center"/>
          </w:tcPr>
          <w:p w14:paraId="30266706">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管理日程分类，包含了系统类型和自定义分类。</w:t>
            </w:r>
          </w:p>
        </w:tc>
      </w:tr>
      <w:tr w14:paraId="4EA8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C0D265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878E710">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接收人范围</w:t>
            </w:r>
          </w:p>
        </w:tc>
        <w:tc>
          <w:tcPr>
            <w:tcW w:w="3547" w:type="pct"/>
            <w:tcBorders>
              <w:top w:val="single" w:color="auto" w:sz="4" w:space="0"/>
              <w:left w:val="nil"/>
              <w:bottom w:val="single" w:color="auto" w:sz="4" w:space="0"/>
              <w:right w:val="single" w:color="auto" w:sz="4" w:space="0"/>
            </w:tcBorders>
            <w:vAlign w:val="center"/>
          </w:tcPr>
          <w:p w14:paraId="204D960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控制用户之间互相可创建日程的范围。</w:t>
            </w:r>
          </w:p>
        </w:tc>
      </w:tr>
      <w:tr w14:paraId="7013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BF142B6">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2C67A3D">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日程共享</w:t>
            </w:r>
          </w:p>
        </w:tc>
        <w:tc>
          <w:tcPr>
            <w:tcW w:w="3547" w:type="pct"/>
            <w:tcBorders>
              <w:top w:val="single" w:color="auto" w:sz="4" w:space="0"/>
              <w:left w:val="nil"/>
              <w:bottom w:val="single" w:color="auto" w:sz="4" w:space="0"/>
              <w:right w:val="single" w:color="auto" w:sz="4" w:space="0"/>
            </w:tcBorders>
            <w:vAlign w:val="center"/>
          </w:tcPr>
          <w:p w14:paraId="767C939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添加默认共享，确保部分用户可以查看指定对象的日程。</w:t>
            </w:r>
          </w:p>
        </w:tc>
      </w:tr>
      <w:tr w14:paraId="6EDF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6DC5032">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788C64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应用设置</w:t>
            </w:r>
          </w:p>
        </w:tc>
        <w:tc>
          <w:tcPr>
            <w:tcW w:w="3547" w:type="pct"/>
            <w:tcBorders>
              <w:top w:val="single" w:color="auto" w:sz="4" w:space="0"/>
              <w:left w:val="nil"/>
              <w:bottom w:val="single" w:color="auto" w:sz="4" w:space="0"/>
              <w:right w:val="single" w:color="auto" w:sz="4" w:space="0"/>
            </w:tcBorders>
            <w:vAlign w:val="center"/>
          </w:tcPr>
          <w:p w14:paraId="2CDCA67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设定日程有关的时间规则、附加信息规则等内容。</w:t>
            </w:r>
          </w:p>
        </w:tc>
      </w:tr>
      <w:tr w14:paraId="3683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1FF6F6D9">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邮件</w:t>
            </w:r>
          </w:p>
        </w:tc>
        <w:tc>
          <w:tcPr>
            <w:tcW w:w="902" w:type="pct"/>
            <w:tcBorders>
              <w:top w:val="single" w:color="auto" w:sz="4" w:space="0"/>
              <w:left w:val="nil"/>
              <w:bottom w:val="single" w:color="auto" w:sz="4" w:space="0"/>
              <w:right w:val="single" w:color="auto" w:sz="4" w:space="0"/>
            </w:tcBorders>
            <w:vAlign w:val="center"/>
          </w:tcPr>
          <w:p w14:paraId="48AE597E">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收发邮件</w:t>
            </w:r>
          </w:p>
        </w:tc>
        <w:tc>
          <w:tcPr>
            <w:tcW w:w="3547" w:type="pct"/>
            <w:tcBorders>
              <w:top w:val="single" w:color="auto" w:sz="4" w:space="0"/>
              <w:left w:val="nil"/>
              <w:bottom w:val="single" w:color="auto" w:sz="4" w:space="0"/>
              <w:right w:val="single" w:color="auto" w:sz="4" w:space="0"/>
            </w:tcBorders>
            <w:vAlign w:val="center"/>
          </w:tcPr>
          <w:p w14:paraId="6761CCC4">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可以收发内外部邮箱的邮件。</w:t>
            </w:r>
          </w:p>
        </w:tc>
      </w:tr>
      <w:tr w14:paraId="3EDF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0A0748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A3A0BB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邮箱管理</w:t>
            </w:r>
          </w:p>
        </w:tc>
        <w:tc>
          <w:tcPr>
            <w:tcW w:w="3547" w:type="pct"/>
            <w:tcBorders>
              <w:top w:val="single" w:color="auto" w:sz="4" w:space="0"/>
              <w:left w:val="nil"/>
              <w:bottom w:val="single" w:color="auto" w:sz="4" w:space="0"/>
              <w:right w:val="single" w:color="auto" w:sz="4" w:space="0"/>
            </w:tcBorders>
            <w:vAlign w:val="center"/>
          </w:tcPr>
          <w:p w14:paraId="2DC630D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通过收件箱、发件箱、草稿箱、待办事宜等分类管理收发的邮件。</w:t>
            </w:r>
          </w:p>
        </w:tc>
      </w:tr>
      <w:tr w14:paraId="77AC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44A43C9">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8D121D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联系人管理</w:t>
            </w:r>
          </w:p>
        </w:tc>
        <w:tc>
          <w:tcPr>
            <w:tcW w:w="3547" w:type="pct"/>
            <w:tcBorders>
              <w:top w:val="single" w:color="auto" w:sz="4" w:space="0"/>
              <w:left w:val="nil"/>
              <w:bottom w:val="single" w:color="auto" w:sz="4" w:space="0"/>
              <w:right w:val="single" w:color="auto" w:sz="4" w:space="0"/>
            </w:tcBorders>
            <w:vAlign w:val="center"/>
          </w:tcPr>
          <w:p w14:paraId="4BED431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管理外部邮箱的联系人。</w:t>
            </w:r>
          </w:p>
        </w:tc>
      </w:tr>
      <w:tr w14:paraId="191B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148E118">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3F3BC3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邮箱设置</w:t>
            </w:r>
          </w:p>
        </w:tc>
        <w:tc>
          <w:tcPr>
            <w:tcW w:w="3547" w:type="pct"/>
            <w:tcBorders>
              <w:top w:val="single" w:color="auto" w:sz="4" w:space="0"/>
              <w:left w:val="nil"/>
              <w:bottom w:val="single" w:color="auto" w:sz="4" w:space="0"/>
              <w:right w:val="single" w:color="auto" w:sz="4" w:space="0"/>
            </w:tcBorders>
            <w:vAlign w:val="center"/>
          </w:tcPr>
          <w:p w14:paraId="4858218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管理外部邮箱的地址参数，可以添加多个外部邮箱，设的邮箱模板、签名、回复、黑名单等邮箱辅助信息。</w:t>
            </w:r>
          </w:p>
        </w:tc>
      </w:tr>
      <w:tr w14:paraId="41FB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661A9BD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w:t>
            </w:r>
          </w:p>
        </w:tc>
        <w:tc>
          <w:tcPr>
            <w:tcW w:w="902" w:type="pct"/>
            <w:tcBorders>
              <w:top w:val="single" w:color="auto" w:sz="4" w:space="0"/>
              <w:left w:val="nil"/>
              <w:bottom w:val="single" w:color="auto" w:sz="4" w:space="0"/>
              <w:right w:val="single" w:color="auto" w:sz="4" w:space="0"/>
            </w:tcBorders>
            <w:vAlign w:val="center"/>
          </w:tcPr>
          <w:p w14:paraId="1C42963D">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车辆使用情况</w:t>
            </w:r>
          </w:p>
        </w:tc>
        <w:tc>
          <w:tcPr>
            <w:tcW w:w="3547" w:type="pct"/>
            <w:tcBorders>
              <w:top w:val="single" w:color="auto" w:sz="4" w:space="0"/>
              <w:left w:val="nil"/>
              <w:bottom w:val="single" w:color="auto" w:sz="4" w:space="0"/>
              <w:right w:val="single" w:color="auto" w:sz="4" w:space="0"/>
            </w:tcBorders>
            <w:vAlign w:val="center"/>
          </w:tcPr>
          <w:p w14:paraId="71897E7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以列表方式查看车辆使用情况，可以申请使用车辆，通过日期范围可以根据日、周、月来查看。</w:t>
            </w:r>
          </w:p>
        </w:tc>
      </w:tr>
      <w:tr w14:paraId="423C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FC5FEF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EB1BB1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车辆申请审批</w:t>
            </w:r>
          </w:p>
        </w:tc>
        <w:tc>
          <w:tcPr>
            <w:tcW w:w="3547" w:type="pct"/>
            <w:tcBorders>
              <w:top w:val="single" w:color="auto" w:sz="4" w:space="0"/>
              <w:left w:val="nil"/>
              <w:bottom w:val="single" w:color="auto" w:sz="4" w:space="0"/>
              <w:right w:val="single" w:color="auto" w:sz="4" w:space="0"/>
            </w:tcBorders>
            <w:vAlign w:val="center"/>
          </w:tcPr>
          <w:p w14:paraId="316D04DD">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审批所有需要使用的车辆。</w:t>
            </w:r>
          </w:p>
        </w:tc>
      </w:tr>
      <w:tr w14:paraId="7E60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FC64DD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E21542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车辆查询</w:t>
            </w:r>
          </w:p>
        </w:tc>
        <w:tc>
          <w:tcPr>
            <w:tcW w:w="3547" w:type="pct"/>
            <w:tcBorders>
              <w:top w:val="single" w:color="auto" w:sz="4" w:space="0"/>
              <w:left w:val="nil"/>
              <w:bottom w:val="single" w:color="auto" w:sz="4" w:space="0"/>
              <w:right w:val="single" w:color="auto" w:sz="4" w:space="0"/>
            </w:tcBorders>
            <w:vAlign w:val="center"/>
          </w:tcPr>
          <w:p w14:paraId="326C91E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显示所有可查看的车辆，通过车牌、车辆类型、司机等信息搜索车辆。</w:t>
            </w:r>
          </w:p>
        </w:tc>
      </w:tr>
      <w:tr w14:paraId="08F0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B50261D">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9DD421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车辆信息维护</w:t>
            </w:r>
          </w:p>
        </w:tc>
        <w:tc>
          <w:tcPr>
            <w:tcW w:w="3547" w:type="pct"/>
            <w:tcBorders>
              <w:top w:val="single" w:color="auto" w:sz="4" w:space="0"/>
              <w:left w:val="nil"/>
              <w:bottom w:val="single" w:color="auto" w:sz="4" w:space="0"/>
              <w:right w:val="single" w:color="auto" w:sz="4" w:space="0"/>
            </w:tcBorders>
            <w:vAlign w:val="center"/>
          </w:tcPr>
          <w:p w14:paraId="7BDC804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维护车辆，设置车辆共享范围，对于不需要的车辆可以封存。</w:t>
            </w:r>
          </w:p>
        </w:tc>
      </w:tr>
      <w:tr w14:paraId="2535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52D0463">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0A2E7E6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应用设置</w:t>
            </w:r>
          </w:p>
        </w:tc>
        <w:tc>
          <w:tcPr>
            <w:tcW w:w="3547" w:type="pct"/>
            <w:tcBorders>
              <w:top w:val="single" w:color="auto" w:sz="4" w:space="0"/>
              <w:left w:val="nil"/>
              <w:bottom w:val="single" w:color="auto" w:sz="4" w:space="0"/>
              <w:right w:val="single" w:color="auto" w:sz="4" w:space="0"/>
            </w:tcBorders>
            <w:vAlign w:val="center"/>
          </w:tcPr>
          <w:p w14:paraId="3F7A2992">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定义车辆冲突规则、使用情况显示和共享范围控制。</w:t>
            </w:r>
          </w:p>
        </w:tc>
      </w:tr>
      <w:tr w14:paraId="3A1A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B228D2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E42614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车辆类型</w:t>
            </w:r>
          </w:p>
        </w:tc>
        <w:tc>
          <w:tcPr>
            <w:tcW w:w="3547" w:type="pct"/>
            <w:tcBorders>
              <w:top w:val="single" w:color="auto" w:sz="4" w:space="0"/>
              <w:left w:val="nil"/>
              <w:bottom w:val="single" w:color="auto" w:sz="4" w:space="0"/>
              <w:right w:val="single" w:color="auto" w:sz="4" w:space="0"/>
            </w:tcBorders>
            <w:vAlign w:val="center"/>
          </w:tcPr>
          <w:p w14:paraId="3818E4F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定义车辆类型。</w:t>
            </w:r>
          </w:p>
        </w:tc>
      </w:tr>
      <w:tr w14:paraId="510D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F5FC662">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560E05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用车流程</w:t>
            </w:r>
          </w:p>
        </w:tc>
        <w:tc>
          <w:tcPr>
            <w:tcW w:w="3547" w:type="pct"/>
            <w:tcBorders>
              <w:top w:val="single" w:color="auto" w:sz="4" w:space="0"/>
              <w:left w:val="nil"/>
              <w:bottom w:val="single" w:color="auto" w:sz="4" w:space="0"/>
              <w:right w:val="single" w:color="auto" w:sz="4" w:space="0"/>
            </w:tcBorders>
            <w:vAlign w:val="center"/>
          </w:tcPr>
          <w:p w14:paraId="16DB31D8">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定义用车审批流程。</w:t>
            </w:r>
          </w:p>
        </w:tc>
      </w:tr>
      <w:tr w14:paraId="398D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552" w:type="pct"/>
            <w:vMerge w:val="restart"/>
            <w:tcBorders>
              <w:top w:val="nil"/>
              <w:left w:val="single" w:color="auto" w:sz="4" w:space="0"/>
              <w:bottom w:val="single" w:color="auto" w:sz="4" w:space="0"/>
              <w:right w:val="single" w:color="auto" w:sz="4" w:space="0"/>
            </w:tcBorders>
            <w:vAlign w:val="center"/>
          </w:tcPr>
          <w:p w14:paraId="0EC5E34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公文</w:t>
            </w:r>
          </w:p>
        </w:tc>
        <w:tc>
          <w:tcPr>
            <w:tcW w:w="902" w:type="pct"/>
            <w:tcBorders>
              <w:top w:val="single" w:color="auto" w:sz="4" w:space="0"/>
              <w:left w:val="nil"/>
              <w:bottom w:val="single" w:color="auto" w:sz="4" w:space="0"/>
              <w:right w:val="single" w:color="auto" w:sz="4" w:space="0"/>
            </w:tcBorders>
            <w:vAlign w:val="center"/>
          </w:tcPr>
          <w:p w14:paraId="1386DCAD">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公文流程</w:t>
            </w:r>
          </w:p>
        </w:tc>
        <w:tc>
          <w:tcPr>
            <w:tcW w:w="3547" w:type="pct"/>
            <w:tcBorders>
              <w:top w:val="single" w:color="auto" w:sz="4" w:space="0"/>
              <w:left w:val="nil"/>
              <w:bottom w:val="single" w:color="auto" w:sz="4" w:space="0"/>
              <w:right w:val="single" w:color="auto" w:sz="4" w:space="0"/>
            </w:tcBorders>
            <w:vAlign w:val="center"/>
          </w:tcPr>
          <w:p w14:paraId="1547157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 xml:space="preserve">处理公文流程，根据公文类型分为发文、收文和签报，支持批量提交功能， </w:t>
            </w:r>
          </w:p>
        </w:tc>
      </w:tr>
      <w:tr w14:paraId="2C6C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7667E1C">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C0F96B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公文库</w:t>
            </w:r>
          </w:p>
        </w:tc>
        <w:tc>
          <w:tcPr>
            <w:tcW w:w="3547" w:type="pct"/>
            <w:tcBorders>
              <w:top w:val="single" w:color="auto" w:sz="4" w:space="0"/>
              <w:left w:val="nil"/>
              <w:bottom w:val="single" w:color="auto" w:sz="4" w:space="0"/>
              <w:right w:val="single" w:color="auto" w:sz="4" w:space="0"/>
            </w:tcBorders>
            <w:vAlign w:val="center"/>
          </w:tcPr>
          <w:p w14:paraId="0E6F6AE8">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公文管理库，所有的发文、收文和签报在此库中都可以查到，支持按标题、公文种类、发文字号、成文日期、阅读状态等参数搜索公文。</w:t>
            </w:r>
          </w:p>
        </w:tc>
      </w:tr>
      <w:tr w14:paraId="60A8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E40BF9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AD671F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发文台账</w:t>
            </w:r>
          </w:p>
        </w:tc>
        <w:tc>
          <w:tcPr>
            <w:tcW w:w="3547" w:type="pct"/>
            <w:tcBorders>
              <w:top w:val="single" w:color="auto" w:sz="4" w:space="0"/>
              <w:left w:val="nil"/>
              <w:bottom w:val="single" w:color="auto" w:sz="4" w:space="0"/>
              <w:right w:val="single" w:color="auto" w:sz="4" w:space="0"/>
            </w:tcBorders>
            <w:vAlign w:val="center"/>
          </w:tcPr>
          <w:p w14:paraId="24C7F85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显示发文类型公文审批过程信息，支持按标题、公文种类、发文字号、成文日期、阅读状态等参数搜索公文流程。</w:t>
            </w:r>
          </w:p>
        </w:tc>
      </w:tr>
      <w:tr w14:paraId="4F7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8E5CAC1">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8477B7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公文规范</w:t>
            </w:r>
          </w:p>
        </w:tc>
        <w:tc>
          <w:tcPr>
            <w:tcW w:w="3547" w:type="pct"/>
            <w:tcBorders>
              <w:top w:val="single" w:color="auto" w:sz="4" w:space="0"/>
              <w:left w:val="nil"/>
              <w:bottom w:val="single" w:color="auto" w:sz="4" w:space="0"/>
              <w:right w:val="single" w:color="auto" w:sz="4" w:space="0"/>
            </w:tcBorders>
            <w:vAlign w:val="center"/>
          </w:tcPr>
          <w:p w14:paraId="12ACBA56">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定义公文有关的字号、密级、种类、紧急程度、主题、机构代字、收发文单位、过程、公共组等参数内容。</w:t>
            </w:r>
          </w:p>
        </w:tc>
      </w:tr>
      <w:tr w14:paraId="3B8B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6AF4BC9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报表</w:t>
            </w:r>
          </w:p>
        </w:tc>
        <w:tc>
          <w:tcPr>
            <w:tcW w:w="902" w:type="pct"/>
            <w:tcBorders>
              <w:top w:val="single" w:color="auto" w:sz="4" w:space="0"/>
              <w:left w:val="nil"/>
              <w:bottom w:val="single" w:color="auto" w:sz="4" w:space="0"/>
              <w:right w:val="single" w:color="auto" w:sz="4" w:space="0"/>
            </w:tcBorders>
            <w:vAlign w:val="center"/>
          </w:tcPr>
          <w:p w14:paraId="4541500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流程报表</w:t>
            </w:r>
          </w:p>
        </w:tc>
        <w:tc>
          <w:tcPr>
            <w:tcW w:w="3547" w:type="pct"/>
            <w:tcBorders>
              <w:top w:val="single" w:color="auto" w:sz="4" w:space="0"/>
              <w:left w:val="nil"/>
              <w:bottom w:val="single" w:color="auto" w:sz="4" w:space="0"/>
              <w:right w:val="single" w:color="auto" w:sz="4" w:space="0"/>
            </w:tcBorders>
            <w:vAlign w:val="center"/>
          </w:tcPr>
          <w:p w14:paraId="15951F2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统计流程效率，包括流转效率，处理效率，超时统计等信息，管理类可自定义流程数据报表。</w:t>
            </w:r>
          </w:p>
        </w:tc>
      </w:tr>
      <w:tr w14:paraId="7AC3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B1E3C80">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0EECC288">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知识报表</w:t>
            </w:r>
          </w:p>
        </w:tc>
        <w:tc>
          <w:tcPr>
            <w:tcW w:w="3547" w:type="pct"/>
            <w:tcBorders>
              <w:top w:val="single" w:color="auto" w:sz="4" w:space="0"/>
              <w:left w:val="nil"/>
              <w:bottom w:val="single" w:color="auto" w:sz="4" w:space="0"/>
              <w:right w:val="single" w:color="auto" w:sz="4" w:space="0"/>
            </w:tcBorders>
            <w:vAlign w:val="center"/>
          </w:tcPr>
          <w:p w14:paraId="6F5654DC">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根据创建人、部门、分部、目录、阅读情况等维度统计系统中的文档数量。</w:t>
            </w:r>
          </w:p>
        </w:tc>
      </w:tr>
      <w:tr w14:paraId="6B97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99D8655">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869800E">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人事报表</w:t>
            </w:r>
          </w:p>
        </w:tc>
        <w:tc>
          <w:tcPr>
            <w:tcW w:w="3547" w:type="pct"/>
            <w:tcBorders>
              <w:top w:val="single" w:color="auto" w:sz="4" w:space="0"/>
              <w:left w:val="nil"/>
              <w:bottom w:val="single" w:color="auto" w:sz="4" w:space="0"/>
              <w:right w:val="single" w:color="auto" w:sz="4" w:space="0"/>
            </w:tcBorders>
            <w:vAlign w:val="center"/>
          </w:tcPr>
          <w:p w14:paraId="316A8B1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根据人员信息、合同、人员状态、变更情况、招聘和工资等维度统计</w:t>
            </w:r>
          </w:p>
        </w:tc>
      </w:tr>
      <w:tr w14:paraId="70BB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567B84C">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720F71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会议报表</w:t>
            </w:r>
          </w:p>
        </w:tc>
        <w:tc>
          <w:tcPr>
            <w:tcW w:w="3547" w:type="pct"/>
            <w:tcBorders>
              <w:top w:val="single" w:color="auto" w:sz="4" w:space="0"/>
              <w:left w:val="nil"/>
              <w:bottom w:val="single" w:color="auto" w:sz="4" w:space="0"/>
              <w:right w:val="single" w:color="auto" w:sz="4" w:space="0"/>
            </w:tcBorders>
            <w:vAlign w:val="center"/>
          </w:tcPr>
          <w:p w14:paraId="50F63B1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根据会议室和时间维度统计会议情况。</w:t>
            </w:r>
          </w:p>
        </w:tc>
      </w:tr>
    </w:tbl>
    <w:p w14:paraId="5844085E">
      <w:pPr>
        <w:pStyle w:val="124"/>
        <w:ind w:firstLineChars="0"/>
        <w:rPr>
          <w:rFonts w:hint="eastAsia" w:ascii="宋体" w:hAnsi="宋体"/>
          <w:color w:val="auto"/>
          <w:sz w:val="28"/>
          <w:szCs w:val="28"/>
          <w:highlight w:val="none"/>
        </w:rPr>
      </w:pPr>
    </w:p>
    <w:p w14:paraId="01D3F080">
      <w:pPr>
        <w:pStyle w:val="124"/>
        <w:numPr>
          <w:ilvl w:val="0"/>
          <w:numId w:val="8"/>
        </w:numPr>
        <w:ind w:firstLineChars="0"/>
        <w:rPr>
          <w:rFonts w:hint="eastAsia" w:ascii="宋体" w:hAnsi="宋体"/>
          <w:color w:val="auto"/>
          <w:sz w:val="28"/>
          <w:szCs w:val="28"/>
          <w:highlight w:val="none"/>
        </w:rPr>
      </w:pPr>
      <w:r>
        <w:rPr>
          <w:rFonts w:hint="eastAsia" w:ascii="宋体" w:hAnsi="宋体"/>
          <w:color w:val="auto"/>
          <w:sz w:val="28"/>
          <w:szCs w:val="28"/>
          <w:highlight w:val="none"/>
        </w:rPr>
        <w:t>后端功能</w:t>
      </w:r>
    </w:p>
    <w:tbl>
      <w:tblPr>
        <w:tblStyle w:val="41"/>
        <w:tblW w:w="877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246"/>
        <w:gridCol w:w="6237"/>
      </w:tblGrid>
      <w:tr w14:paraId="7636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548DD4"/>
            <w:vAlign w:val="center"/>
          </w:tcPr>
          <w:p w14:paraId="23DB63C7">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功能大类</w:t>
            </w:r>
          </w:p>
        </w:tc>
        <w:tc>
          <w:tcPr>
            <w:tcW w:w="1246" w:type="dxa"/>
            <w:tcBorders>
              <w:top w:val="single" w:color="auto" w:sz="4" w:space="0"/>
              <w:left w:val="single" w:color="auto" w:sz="4" w:space="0"/>
              <w:bottom w:val="single" w:color="auto" w:sz="4" w:space="0"/>
              <w:right w:val="single" w:color="auto" w:sz="4" w:space="0"/>
            </w:tcBorders>
            <w:shd w:val="clear" w:color="auto" w:fill="548DD4"/>
            <w:vAlign w:val="center"/>
          </w:tcPr>
          <w:p w14:paraId="0FEE2694">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功能小类</w:t>
            </w:r>
          </w:p>
        </w:tc>
        <w:tc>
          <w:tcPr>
            <w:tcW w:w="6237" w:type="dxa"/>
            <w:tcBorders>
              <w:top w:val="single" w:color="auto" w:sz="4" w:space="0"/>
              <w:left w:val="single" w:color="auto" w:sz="4" w:space="0"/>
              <w:bottom w:val="single" w:color="auto" w:sz="4" w:space="0"/>
              <w:right w:val="single" w:color="auto" w:sz="4" w:space="0"/>
            </w:tcBorders>
            <w:shd w:val="clear" w:color="auto" w:fill="548DD4"/>
            <w:vAlign w:val="center"/>
          </w:tcPr>
          <w:p w14:paraId="6B344D86">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简要说明</w:t>
            </w:r>
          </w:p>
        </w:tc>
      </w:tr>
      <w:tr w14:paraId="1F4F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vMerge w:val="restart"/>
            <w:tcBorders>
              <w:top w:val="nil"/>
              <w:left w:val="single" w:color="auto" w:sz="4" w:space="0"/>
              <w:bottom w:val="single" w:color="auto" w:sz="4" w:space="0"/>
              <w:right w:val="single" w:color="auto" w:sz="4" w:space="0"/>
            </w:tcBorders>
            <w:vAlign w:val="center"/>
          </w:tcPr>
          <w:p w14:paraId="2177EAD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组织权限引擎</w:t>
            </w:r>
          </w:p>
        </w:tc>
        <w:tc>
          <w:tcPr>
            <w:tcW w:w="1246" w:type="dxa"/>
            <w:tcBorders>
              <w:top w:val="single" w:color="auto" w:sz="4" w:space="0"/>
              <w:left w:val="single" w:color="auto" w:sz="4" w:space="0"/>
              <w:bottom w:val="single" w:color="auto" w:sz="4" w:space="0"/>
              <w:right w:val="single" w:color="auto" w:sz="4" w:space="0"/>
            </w:tcBorders>
            <w:vAlign w:val="center"/>
          </w:tcPr>
          <w:p w14:paraId="2E934F1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基础设置</w:t>
            </w:r>
          </w:p>
        </w:tc>
        <w:tc>
          <w:tcPr>
            <w:tcW w:w="6237" w:type="dxa"/>
            <w:tcBorders>
              <w:top w:val="single" w:color="auto" w:sz="4" w:space="0"/>
              <w:left w:val="single" w:color="auto" w:sz="4" w:space="0"/>
              <w:bottom w:val="single" w:color="auto" w:sz="4" w:space="0"/>
              <w:right w:val="single" w:color="auto" w:sz="4" w:space="0"/>
            </w:tcBorders>
            <w:vAlign w:val="center"/>
          </w:tcPr>
          <w:p w14:paraId="05BFDCD0">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包含行政区域、办公地点、职务岗位、职称、学历、用工性质等人事管理基本信息维护。</w:t>
            </w:r>
          </w:p>
        </w:tc>
      </w:tr>
      <w:tr w14:paraId="0B86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0" w:type="auto"/>
            <w:vMerge w:val="continue"/>
            <w:tcBorders>
              <w:top w:val="nil"/>
              <w:left w:val="single" w:color="auto" w:sz="4" w:space="0"/>
              <w:bottom w:val="single" w:color="auto" w:sz="4" w:space="0"/>
              <w:right w:val="single" w:color="auto" w:sz="4" w:space="0"/>
            </w:tcBorders>
            <w:vAlign w:val="center"/>
          </w:tcPr>
          <w:p w14:paraId="2B93409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24A73C0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自定义设置</w:t>
            </w:r>
          </w:p>
        </w:tc>
        <w:tc>
          <w:tcPr>
            <w:tcW w:w="6237" w:type="dxa"/>
            <w:tcBorders>
              <w:top w:val="single" w:color="auto" w:sz="4" w:space="0"/>
              <w:left w:val="single" w:color="auto" w:sz="4" w:space="0"/>
              <w:bottom w:val="single" w:color="auto" w:sz="4" w:space="0"/>
              <w:right w:val="single" w:color="auto" w:sz="4" w:space="0"/>
            </w:tcBorders>
            <w:vAlign w:val="center"/>
          </w:tcPr>
          <w:p w14:paraId="70D70001">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自定义添加维护组织、人事卡片字段显示、编辑属性，维护浏览框、组织浏览框显示方式。</w:t>
            </w:r>
          </w:p>
        </w:tc>
      </w:tr>
      <w:tr w14:paraId="06B7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14:paraId="7C0C9E2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5CA6B6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组织结构</w:t>
            </w:r>
          </w:p>
        </w:tc>
        <w:tc>
          <w:tcPr>
            <w:tcW w:w="6237" w:type="dxa"/>
            <w:tcBorders>
              <w:top w:val="single" w:color="auto" w:sz="4" w:space="0"/>
              <w:left w:val="single" w:color="auto" w:sz="4" w:space="0"/>
              <w:bottom w:val="single" w:color="auto" w:sz="4" w:space="0"/>
              <w:right w:val="single" w:color="auto" w:sz="4" w:space="0"/>
            </w:tcBorders>
            <w:vAlign w:val="center"/>
          </w:tcPr>
          <w:p w14:paraId="04BF4712">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维护行政组织结构和人员，虚拟组织机构，共享群组等功能，组织人员信息可以批量调整维护。</w:t>
            </w:r>
          </w:p>
        </w:tc>
      </w:tr>
      <w:tr w14:paraId="71E1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2BC9A7A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0FBC40A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账户中心</w:t>
            </w:r>
          </w:p>
        </w:tc>
        <w:tc>
          <w:tcPr>
            <w:tcW w:w="6237" w:type="dxa"/>
            <w:tcBorders>
              <w:top w:val="single" w:color="auto" w:sz="4" w:space="0"/>
              <w:left w:val="single" w:color="auto" w:sz="4" w:space="0"/>
              <w:bottom w:val="single" w:color="auto" w:sz="4" w:space="0"/>
              <w:right w:val="single" w:color="auto" w:sz="4" w:space="0"/>
            </w:tcBorders>
            <w:vAlign w:val="center"/>
          </w:tcPr>
          <w:p w14:paraId="653B9D2C">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维护设置密码策略、登录方式和网段策略，可以添加第三方校验方式，用户个人隐私策略。</w:t>
            </w:r>
          </w:p>
        </w:tc>
      </w:tr>
      <w:tr w14:paraId="270C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1E8EA5F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2856E5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权限管理</w:t>
            </w:r>
          </w:p>
        </w:tc>
        <w:tc>
          <w:tcPr>
            <w:tcW w:w="6237" w:type="dxa"/>
            <w:tcBorders>
              <w:top w:val="single" w:color="auto" w:sz="4" w:space="0"/>
              <w:left w:val="single" w:color="auto" w:sz="4" w:space="0"/>
              <w:bottom w:val="single" w:color="auto" w:sz="4" w:space="0"/>
              <w:right w:val="single" w:color="auto" w:sz="4" w:space="0"/>
            </w:tcBorders>
            <w:vAlign w:val="center"/>
          </w:tcPr>
          <w:p w14:paraId="49E5FABB">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可以设置管理员并赋予相应权限，支持分权管理和控制前端组织结构查阅范围。</w:t>
            </w:r>
          </w:p>
        </w:tc>
      </w:tr>
      <w:tr w14:paraId="17FC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331350C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619D9F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矩阵管理</w:t>
            </w:r>
          </w:p>
        </w:tc>
        <w:tc>
          <w:tcPr>
            <w:tcW w:w="6237" w:type="dxa"/>
            <w:tcBorders>
              <w:top w:val="single" w:color="auto" w:sz="4" w:space="0"/>
              <w:left w:val="single" w:color="auto" w:sz="4" w:space="0"/>
              <w:bottom w:val="single" w:color="auto" w:sz="4" w:space="0"/>
              <w:right w:val="single" w:color="auto" w:sz="4" w:space="0"/>
            </w:tcBorders>
            <w:vAlign w:val="center"/>
          </w:tcPr>
          <w:p w14:paraId="2A7FD194">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维护系统矩阵和自定义矩阵，矩阵可作为流程节点操作者。</w:t>
            </w:r>
          </w:p>
        </w:tc>
      </w:tr>
      <w:tr w14:paraId="456C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restart"/>
            <w:tcBorders>
              <w:top w:val="nil"/>
              <w:left w:val="single" w:color="auto" w:sz="4" w:space="0"/>
              <w:bottom w:val="single" w:color="auto" w:sz="4" w:space="0"/>
              <w:right w:val="single" w:color="auto" w:sz="4" w:space="0"/>
            </w:tcBorders>
            <w:noWrap/>
            <w:vAlign w:val="center"/>
          </w:tcPr>
          <w:p w14:paraId="3013218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流程引擎</w:t>
            </w:r>
          </w:p>
        </w:tc>
        <w:tc>
          <w:tcPr>
            <w:tcW w:w="1246" w:type="dxa"/>
            <w:tcBorders>
              <w:top w:val="single" w:color="auto" w:sz="4" w:space="0"/>
              <w:left w:val="single" w:color="auto" w:sz="4" w:space="0"/>
              <w:bottom w:val="single" w:color="auto" w:sz="4" w:space="0"/>
              <w:right w:val="single" w:color="auto" w:sz="4" w:space="0"/>
            </w:tcBorders>
            <w:vAlign w:val="center"/>
          </w:tcPr>
          <w:p w14:paraId="7B2CEFB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表单管理</w:t>
            </w:r>
          </w:p>
        </w:tc>
        <w:tc>
          <w:tcPr>
            <w:tcW w:w="6237" w:type="dxa"/>
            <w:tcBorders>
              <w:top w:val="single" w:color="auto" w:sz="4" w:space="0"/>
              <w:left w:val="single" w:color="auto" w:sz="4" w:space="0"/>
              <w:bottom w:val="single" w:color="auto" w:sz="4" w:space="0"/>
              <w:right w:val="single" w:color="auto" w:sz="4" w:space="0"/>
            </w:tcBorders>
            <w:vAlign w:val="center"/>
          </w:tcPr>
          <w:p w14:paraId="31C6DE89">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维护工作流表单相关的字段，包括了系统表单和自定义表单，流程表单需要的公共选择框和函数库。</w:t>
            </w:r>
          </w:p>
        </w:tc>
      </w:tr>
      <w:tr w14:paraId="6683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tcBorders>
              <w:top w:val="nil"/>
              <w:left w:val="single" w:color="auto" w:sz="4" w:space="0"/>
              <w:bottom w:val="single" w:color="auto" w:sz="4" w:space="0"/>
              <w:right w:val="single" w:color="auto" w:sz="4" w:space="0"/>
            </w:tcBorders>
            <w:vAlign w:val="center"/>
          </w:tcPr>
          <w:p w14:paraId="5745EBB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667A2EF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路径设置</w:t>
            </w:r>
          </w:p>
        </w:tc>
        <w:tc>
          <w:tcPr>
            <w:tcW w:w="6237" w:type="dxa"/>
            <w:tcBorders>
              <w:top w:val="single" w:color="auto" w:sz="4" w:space="0"/>
              <w:left w:val="single" w:color="auto" w:sz="4" w:space="0"/>
              <w:bottom w:val="single" w:color="auto" w:sz="4" w:space="0"/>
              <w:right w:val="single" w:color="auto" w:sz="4" w:space="0"/>
            </w:tcBorders>
            <w:vAlign w:val="center"/>
          </w:tcPr>
          <w:p w14:paraId="7CF864F5">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工作流核心维护功能，包括流程类型、节点、操作者、表单样式、流转路径等内容，流程高级设置可以增加公文、主子流程、流程编号、字段联动、流程转文档、流程转日程等功能。</w:t>
            </w:r>
          </w:p>
        </w:tc>
      </w:tr>
      <w:tr w14:paraId="0391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05DBA29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882C97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报表设置</w:t>
            </w:r>
          </w:p>
        </w:tc>
        <w:tc>
          <w:tcPr>
            <w:tcW w:w="6237" w:type="dxa"/>
            <w:tcBorders>
              <w:top w:val="single" w:color="auto" w:sz="4" w:space="0"/>
              <w:left w:val="single" w:color="auto" w:sz="4" w:space="0"/>
              <w:bottom w:val="single" w:color="auto" w:sz="4" w:space="0"/>
              <w:right w:val="single" w:color="auto" w:sz="4" w:space="0"/>
            </w:tcBorders>
            <w:vAlign w:val="center"/>
          </w:tcPr>
          <w:p w14:paraId="105C803E">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可以设置自定义报表和报表分析赋权，流程效率报表共享。</w:t>
            </w:r>
          </w:p>
        </w:tc>
      </w:tr>
      <w:tr w14:paraId="66FD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6B23433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422BBF5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自定义查询</w:t>
            </w:r>
          </w:p>
        </w:tc>
        <w:tc>
          <w:tcPr>
            <w:tcW w:w="6237" w:type="dxa"/>
            <w:tcBorders>
              <w:top w:val="single" w:color="auto" w:sz="4" w:space="0"/>
              <w:left w:val="single" w:color="auto" w:sz="4" w:space="0"/>
              <w:bottom w:val="single" w:color="auto" w:sz="4" w:space="0"/>
              <w:right w:val="single" w:color="auto" w:sz="4" w:space="0"/>
            </w:tcBorders>
            <w:vAlign w:val="center"/>
          </w:tcPr>
          <w:p w14:paraId="36BEE30D">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设置流程自定义查询规则。</w:t>
            </w:r>
          </w:p>
        </w:tc>
      </w:tr>
      <w:tr w14:paraId="1A99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695DB41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0716797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监控管理</w:t>
            </w:r>
          </w:p>
        </w:tc>
        <w:tc>
          <w:tcPr>
            <w:tcW w:w="6237" w:type="dxa"/>
            <w:tcBorders>
              <w:top w:val="single" w:color="auto" w:sz="4" w:space="0"/>
              <w:left w:val="single" w:color="auto" w:sz="4" w:space="0"/>
              <w:bottom w:val="single" w:color="auto" w:sz="4" w:space="0"/>
              <w:right w:val="single" w:color="auto" w:sz="4" w:space="0"/>
            </w:tcBorders>
            <w:vAlign w:val="center"/>
          </w:tcPr>
          <w:p w14:paraId="164FF26B">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设置流程监控分类和监控人。</w:t>
            </w:r>
          </w:p>
        </w:tc>
      </w:tr>
      <w:tr w14:paraId="39AF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restart"/>
            <w:tcBorders>
              <w:top w:val="nil"/>
              <w:left w:val="single" w:color="auto" w:sz="4" w:space="0"/>
              <w:bottom w:val="single" w:color="auto" w:sz="4" w:space="0"/>
              <w:right w:val="single" w:color="auto" w:sz="4" w:space="0"/>
            </w:tcBorders>
            <w:noWrap/>
            <w:vAlign w:val="center"/>
          </w:tcPr>
          <w:p w14:paraId="5B0334D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门户引擎</w:t>
            </w:r>
          </w:p>
        </w:tc>
        <w:tc>
          <w:tcPr>
            <w:tcW w:w="1246" w:type="dxa"/>
            <w:tcBorders>
              <w:top w:val="single" w:color="auto" w:sz="4" w:space="0"/>
              <w:left w:val="single" w:color="auto" w:sz="4" w:space="0"/>
              <w:bottom w:val="single" w:color="auto" w:sz="4" w:space="0"/>
              <w:right w:val="single" w:color="auto" w:sz="4" w:space="0"/>
            </w:tcBorders>
            <w:vAlign w:val="center"/>
          </w:tcPr>
          <w:p w14:paraId="72AF466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门户维护</w:t>
            </w:r>
          </w:p>
        </w:tc>
        <w:tc>
          <w:tcPr>
            <w:tcW w:w="6237" w:type="dxa"/>
            <w:tcBorders>
              <w:top w:val="single" w:color="auto" w:sz="4" w:space="0"/>
              <w:left w:val="single" w:color="auto" w:sz="4" w:space="0"/>
              <w:bottom w:val="single" w:color="auto" w:sz="4" w:space="0"/>
              <w:right w:val="single" w:color="auto" w:sz="4" w:space="0"/>
            </w:tcBorders>
            <w:vAlign w:val="center"/>
          </w:tcPr>
          <w:p w14:paraId="16AFCBE7">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维护登录前和登录后系统门户样式的维护，可以导入导出这些门户样式，门户上快捷搜索和插件可以自定义维护。</w:t>
            </w:r>
          </w:p>
        </w:tc>
      </w:tr>
      <w:tr w14:paraId="11D0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554D469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D1D0AC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门户主题</w:t>
            </w:r>
          </w:p>
        </w:tc>
        <w:tc>
          <w:tcPr>
            <w:tcW w:w="6237" w:type="dxa"/>
            <w:tcBorders>
              <w:top w:val="single" w:color="auto" w:sz="4" w:space="0"/>
              <w:left w:val="single" w:color="auto" w:sz="4" w:space="0"/>
              <w:bottom w:val="single" w:color="auto" w:sz="4" w:space="0"/>
              <w:right w:val="single" w:color="auto" w:sz="4" w:space="0"/>
            </w:tcBorders>
            <w:vAlign w:val="center"/>
          </w:tcPr>
          <w:p w14:paraId="0A7CB476">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维护门户主题相关的颜色配置。</w:t>
            </w:r>
          </w:p>
        </w:tc>
      </w:tr>
      <w:tr w14:paraId="5FF5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14:paraId="580FAC7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9E74E6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门户菜单</w:t>
            </w:r>
          </w:p>
        </w:tc>
        <w:tc>
          <w:tcPr>
            <w:tcW w:w="6237" w:type="dxa"/>
            <w:tcBorders>
              <w:top w:val="single" w:color="auto" w:sz="4" w:space="0"/>
              <w:left w:val="single" w:color="auto" w:sz="4" w:space="0"/>
              <w:bottom w:val="single" w:color="auto" w:sz="4" w:space="0"/>
              <w:right w:val="single" w:color="auto" w:sz="4" w:space="0"/>
            </w:tcBorders>
            <w:vAlign w:val="center"/>
          </w:tcPr>
          <w:p w14:paraId="474B9C04">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维护系统前后端菜单和自定义菜单的显示、访问权限，可以额外定义工具栏菜单和个人通用菜单。</w:t>
            </w:r>
          </w:p>
        </w:tc>
      </w:tr>
      <w:tr w14:paraId="787D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03DA975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404C13E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门户页面</w:t>
            </w:r>
          </w:p>
        </w:tc>
        <w:tc>
          <w:tcPr>
            <w:tcW w:w="6237" w:type="dxa"/>
            <w:tcBorders>
              <w:top w:val="single" w:color="auto" w:sz="4" w:space="0"/>
              <w:left w:val="single" w:color="auto" w:sz="4" w:space="0"/>
              <w:bottom w:val="single" w:color="auto" w:sz="4" w:space="0"/>
              <w:right w:val="single" w:color="auto" w:sz="4" w:space="0"/>
            </w:tcBorders>
            <w:vAlign w:val="center"/>
          </w:tcPr>
          <w:p w14:paraId="75A7E7A5">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设置门户的页面的组成元素和布局。</w:t>
            </w:r>
          </w:p>
        </w:tc>
      </w:tr>
      <w:tr w14:paraId="72FA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0" w:type="auto"/>
            <w:vMerge w:val="continue"/>
            <w:tcBorders>
              <w:top w:val="nil"/>
              <w:left w:val="single" w:color="auto" w:sz="4" w:space="0"/>
              <w:bottom w:val="single" w:color="auto" w:sz="4" w:space="0"/>
              <w:right w:val="single" w:color="auto" w:sz="4" w:space="0"/>
            </w:tcBorders>
            <w:vAlign w:val="center"/>
          </w:tcPr>
          <w:p w14:paraId="33C5AC3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481B237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门户元素</w:t>
            </w:r>
          </w:p>
        </w:tc>
        <w:tc>
          <w:tcPr>
            <w:tcW w:w="6237" w:type="dxa"/>
            <w:tcBorders>
              <w:top w:val="single" w:color="auto" w:sz="4" w:space="0"/>
              <w:left w:val="single" w:color="auto" w:sz="4" w:space="0"/>
              <w:bottom w:val="single" w:color="auto" w:sz="4" w:space="0"/>
              <w:right w:val="single" w:color="auto" w:sz="4" w:space="0"/>
            </w:tcBorders>
            <w:vAlign w:val="center"/>
          </w:tcPr>
          <w:p w14:paraId="6A52B2D4">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元素可以从其它模块获取数据并显示在门户上，门户元素维护可以设置元素样式。</w:t>
            </w:r>
          </w:p>
        </w:tc>
      </w:tr>
      <w:tr w14:paraId="1033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5ECBAA4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19FA131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素材库</w:t>
            </w:r>
          </w:p>
        </w:tc>
        <w:tc>
          <w:tcPr>
            <w:tcW w:w="6237" w:type="dxa"/>
            <w:tcBorders>
              <w:top w:val="single" w:color="auto" w:sz="4" w:space="0"/>
              <w:left w:val="single" w:color="auto" w:sz="4" w:space="0"/>
              <w:bottom w:val="single" w:color="auto" w:sz="4" w:space="0"/>
              <w:right w:val="single" w:color="auto" w:sz="4" w:space="0"/>
            </w:tcBorders>
            <w:vAlign w:val="center"/>
          </w:tcPr>
          <w:p w14:paraId="3C5074E5">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维护门户主题、门户元素设置时需要用到的图片、视频等要素。</w:t>
            </w:r>
          </w:p>
        </w:tc>
      </w:tr>
      <w:tr w14:paraId="5866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restart"/>
            <w:tcBorders>
              <w:top w:val="nil"/>
              <w:left w:val="single" w:color="auto" w:sz="4" w:space="0"/>
              <w:bottom w:val="single" w:color="auto" w:sz="4" w:space="0"/>
              <w:right w:val="single" w:color="auto" w:sz="4" w:space="0"/>
            </w:tcBorders>
            <w:noWrap/>
            <w:vAlign w:val="center"/>
          </w:tcPr>
          <w:p w14:paraId="7EA5F8B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内容引擎</w:t>
            </w:r>
          </w:p>
        </w:tc>
        <w:tc>
          <w:tcPr>
            <w:tcW w:w="1246" w:type="dxa"/>
            <w:tcBorders>
              <w:top w:val="single" w:color="auto" w:sz="4" w:space="0"/>
              <w:left w:val="single" w:color="auto" w:sz="4" w:space="0"/>
              <w:bottom w:val="single" w:color="auto" w:sz="4" w:space="0"/>
              <w:right w:val="single" w:color="auto" w:sz="4" w:space="0"/>
            </w:tcBorders>
            <w:vAlign w:val="center"/>
          </w:tcPr>
          <w:p w14:paraId="169069B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目录设置</w:t>
            </w:r>
          </w:p>
        </w:tc>
        <w:tc>
          <w:tcPr>
            <w:tcW w:w="6237" w:type="dxa"/>
            <w:tcBorders>
              <w:top w:val="single" w:color="auto" w:sz="4" w:space="0"/>
              <w:left w:val="single" w:color="auto" w:sz="4" w:space="0"/>
              <w:bottom w:val="single" w:color="auto" w:sz="4" w:space="0"/>
              <w:right w:val="single" w:color="auto" w:sz="4" w:space="0"/>
            </w:tcBorders>
            <w:vAlign w:val="center"/>
          </w:tcPr>
          <w:p w14:paraId="2364F9D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目录管理存入系统中的文档、附件如何存放，可以赋权用户管理权限，创建文档权限，查阅文档权限，可以定义哪些目录需要审批，哪些需要版本管理、编号管理，目录可以直接绑定显示或编辑模板。</w:t>
            </w:r>
          </w:p>
        </w:tc>
      </w:tr>
      <w:tr w14:paraId="2E98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3A8C12F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6165797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文档模板</w:t>
            </w:r>
          </w:p>
        </w:tc>
        <w:tc>
          <w:tcPr>
            <w:tcW w:w="6237" w:type="dxa"/>
            <w:tcBorders>
              <w:top w:val="single" w:color="auto" w:sz="4" w:space="0"/>
              <w:left w:val="single" w:color="auto" w:sz="4" w:space="0"/>
              <w:bottom w:val="single" w:color="auto" w:sz="4" w:space="0"/>
              <w:right w:val="single" w:color="auto" w:sz="4" w:space="0"/>
            </w:tcBorders>
            <w:vAlign w:val="center"/>
          </w:tcPr>
          <w:p w14:paraId="649EE12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添加维护显示和编辑模板，模板支持html模板、word模板、Excel模板和WPS模板。</w:t>
            </w:r>
          </w:p>
        </w:tc>
      </w:tr>
      <w:tr w14:paraId="0290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14:paraId="744960E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385D8DD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批量操作</w:t>
            </w:r>
          </w:p>
        </w:tc>
        <w:tc>
          <w:tcPr>
            <w:tcW w:w="6237" w:type="dxa"/>
            <w:tcBorders>
              <w:top w:val="single" w:color="auto" w:sz="4" w:space="0"/>
              <w:left w:val="single" w:color="auto" w:sz="4" w:space="0"/>
              <w:bottom w:val="single" w:color="auto" w:sz="4" w:space="0"/>
              <w:right w:val="single" w:color="auto" w:sz="4" w:space="0"/>
            </w:tcBorders>
            <w:vAlign w:val="center"/>
          </w:tcPr>
          <w:p w14:paraId="26C516E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可以批量上传文件，修正已有文档的共享范围，管理回收站中被删除的文档。</w:t>
            </w:r>
          </w:p>
        </w:tc>
      </w:tr>
      <w:tr w14:paraId="191C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3EA0E88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097AC61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集成管理</w:t>
            </w:r>
          </w:p>
        </w:tc>
        <w:tc>
          <w:tcPr>
            <w:tcW w:w="6237" w:type="dxa"/>
            <w:tcBorders>
              <w:top w:val="single" w:color="auto" w:sz="4" w:space="0"/>
              <w:left w:val="single" w:color="auto" w:sz="4" w:space="0"/>
              <w:bottom w:val="single" w:color="auto" w:sz="4" w:space="0"/>
              <w:right w:val="single" w:color="auto" w:sz="4" w:space="0"/>
            </w:tcBorders>
            <w:vAlign w:val="center"/>
          </w:tcPr>
          <w:p w14:paraId="10B44AD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显示目前知识模块集成的第三方软件。</w:t>
            </w:r>
          </w:p>
        </w:tc>
      </w:tr>
      <w:tr w14:paraId="4152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restart"/>
            <w:tcBorders>
              <w:top w:val="nil"/>
              <w:left w:val="single" w:color="auto" w:sz="4" w:space="0"/>
              <w:bottom w:val="single" w:color="auto" w:sz="4" w:space="0"/>
              <w:right w:val="single" w:color="auto" w:sz="4" w:space="0"/>
            </w:tcBorders>
            <w:noWrap/>
            <w:vAlign w:val="center"/>
          </w:tcPr>
          <w:p w14:paraId="4587A3E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消息引擎</w:t>
            </w:r>
          </w:p>
        </w:tc>
        <w:tc>
          <w:tcPr>
            <w:tcW w:w="1246" w:type="dxa"/>
            <w:tcBorders>
              <w:top w:val="single" w:color="auto" w:sz="4" w:space="0"/>
              <w:left w:val="single" w:color="auto" w:sz="4" w:space="0"/>
              <w:bottom w:val="single" w:color="auto" w:sz="4" w:space="0"/>
              <w:right w:val="single" w:color="auto" w:sz="4" w:space="0"/>
            </w:tcBorders>
            <w:vAlign w:val="center"/>
          </w:tcPr>
          <w:p w14:paraId="1BA0DD9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消息中心配置</w:t>
            </w:r>
          </w:p>
        </w:tc>
        <w:tc>
          <w:tcPr>
            <w:tcW w:w="6237" w:type="dxa"/>
            <w:tcBorders>
              <w:top w:val="single" w:color="auto" w:sz="4" w:space="0"/>
              <w:left w:val="single" w:color="auto" w:sz="4" w:space="0"/>
              <w:bottom w:val="single" w:color="auto" w:sz="4" w:space="0"/>
              <w:right w:val="single" w:color="auto" w:sz="4" w:space="0"/>
            </w:tcBorders>
            <w:vAlign w:val="center"/>
          </w:tcPr>
          <w:p w14:paraId="4C50B8F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设定消息提醒相关规则，如弹框规则、对外推送骨子额、消息清理规则、EM集成规则等。</w:t>
            </w:r>
          </w:p>
        </w:tc>
      </w:tr>
      <w:tr w14:paraId="0015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14:paraId="36F2D0E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1D087F8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消息类型</w:t>
            </w:r>
          </w:p>
        </w:tc>
        <w:tc>
          <w:tcPr>
            <w:tcW w:w="6237" w:type="dxa"/>
            <w:tcBorders>
              <w:top w:val="single" w:color="auto" w:sz="4" w:space="0"/>
              <w:left w:val="single" w:color="auto" w:sz="4" w:space="0"/>
              <w:bottom w:val="single" w:color="auto" w:sz="4" w:space="0"/>
              <w:right w:val="single" w:color="auto" w:sz="4" w:space="0"/>
            </w:tcBorders>
            <w:vAlign w:val="center"/>
          </w:tcPr>
          <w:p w14:paraId="628A85D3">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维护系统中的消息类型、可自定义来源、分组和状态标签，管理消息类型是否启用，与EM集成状态。</w:t>
            </w:r>
          </w:p>
        </w:tc>
      </w:tr>
      <w:tr w14:paraId="0F6E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511DBDE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384091C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消息订阅</w:t>
            </w:r>
          </w:p>
        </w:tc>
        <w:tc>
          <w:tcPr>
            <w:tcW w:w="6237" w:type="dxa"/>
            <w:tcBorders>
              <w:top w:val="single" w:color="auto" w:sz="4" w:space="0"/>
              <w:left w:val="single" w:color="auto" w:sz="4" w:space="0"/>
              <w:bottom w:val="single" w:color="auto" w:sz="4" w:space="0"/>
              <w:right w:val="single" w:color="auto" w:sz="4" w:space="0"/>
            </w:tcBorders>
            <w:vAlign w:val="center"/>
          </w:tcPr>
          <w:p w14:paraId="1661334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维护第三方消息平台集成参数。</w:t>
            </w:r>
          </w:p>
        </w:tc>
      </w:tr>
      <w:tr w14:paraId="7BAB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3C86E5A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58942A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消息推送</w:t>
            </w:r>
          </w:p>
        </w:tc>
        <w:tc>
          <w:tcPr>
            <w:tcW w:w="6237" w:type="dxa"/>
            <w:tcBorders>
              <w:top w:val="single" w:color="auto" w:sz="4" w:space="0"/>
              <w:left w:val="single" w:color="auto" w:sz="4" w:space="0"/>
              <w:bottom w:val="single" w:color="auto" w:sz="4" w:space="0"/>
              <w:right w:val="single" w:color="auto" w:sz="4" w:space="0"/>
            </w:tcBorders>
            <w:vAlign w:val="center"/>
          </w:tcPr>
          <w:p w14:paraId="264A0D9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消息推送日志记录。</w:t>
            </w:r>
          </w:p>
        </w:tc>
      </w:tr>
      <w:tr w14:paraId="202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342093D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E4B755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广播类型</w:t>
            </w:r>
          </w:p>
        </w:tc>
        <w:tc>
          <w:tcPr>
            <w:tcW w:w="6237" w:type="dxa"/>
            <w:tcBorders>
              <w:top w:val="single" w:color="auto" w:sz="4" w:space="0"/>
              <w:left w:val="single" w:color="auto" w:sz="4" w:space="0"/>
              <w:bottom w:val="single" w:color="auto" w:sz="4" w:space="0"/>
              <w:right w:val="single" w:color="auto" w:sz="4" w:space="0"/>
            </w:tcBorders>
            <w:vAlign w:val="center"/>
          </w:tcPr>
          <w:p w14:paraId="5877D9E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设定广播名称、广播员、发送范围等信息。</w:t>
            </w:r>
          </w:p>
        </w:tc>
      </w:tr>
      <w:tr w14:paraId="629F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restart"/>
            <w:tcBorders>
              <w:top w:val="nil"/>
              <w:left w:val="single" w:color="auto" w:sz="4" w:space="0"/>
              <w:bottom w:val="single" w:color="auto" w:sz="4" w:space="0"/>
              <w:right w:val="single" w:color="auto" w:sz="4" w:space="0"/>
            </w:tcBorders>
            <w:noWrap/>
            <w:vAlign w:val="center"/>
          </w:tcPr>
          <w:p w14:paraId="72A5827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建模引擎</w:t>
            </w:r>
          </w:p>
        </w:tc>
        <w:tc>
          <w:tcPr>
            <w:tcW w:w="1246" w:type="dxa"/>
            <w:tcBorders>
              <w:top w:val="single" w:color="auto" w:sz="4" w:space="0"/>
              <w:left w:val="single" w:color="auto" w:sz="4" w:space="0"/>
              <w:bottom w:val="single" w:color="auto" w:sz="4" w:space="0"/>
              <w:right w:val="single" w:color="auto" w:sz="4" w:space="0"/>
            </w:tcBorders>
            <w:vAlign w:val="center"/>
          </w:tcPr>
          <w:p w14:paraId="1B32344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模块</w:t>
            </w:r>
          </w:p>
        </w:tc>
        <w:tc>
          <w:tcPr>
            <w:tcW w:w="6237" w:type="dxa"/>
            <w:tcBorders>
              <w:top w:val="single" w:color="auto" w:sz="4" w:space="0"/>
              <w:left w:val="single" w:color="auto" w:sz="4" w:space="0"/>
              <w:bottom w:val="single" w:color="auto" w:sz="4" w:space="0"/>
              <w:right w:val="single" w:color="auto" w:sz="4" w:space="0"/>
            </w:tcBorders>
            <w:vAlign w:val="center"/>
          </w:tcPr>
          <w:p w14:paraId="0D90D31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设定功能模块，包括模块权限、属性联动、字段联动、数据审批、导入控制、条码、编码等功能维护。</w:t>
            </w:r>
          </w:p>
        </w:tc>
      </w:tr>
      <w:tr w14:paraId="7FA1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2EE6005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18BA0D4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表单</w:t>
            </w:r>
          </w:p>
        </w:tc>
        <w:tc>
          <w:tcPr>
            <w:tcW w:w="6237" w:type="dxa"/>
            <w:tcBorders>
              <w:top w:val="single" w:color="auto" w:sz="4" w:space="0"/>
              <w:left w:val="single" w:color="auto" w:sz="4" w:space="0"/>
              <w:bottom w:val="single" w:color="auto" w:sz="4" w:space="0"/>
              <w:right w:val="single" w:color="auto" w:sz="4" w:space="0"/>
            </w:tcBorders>
            <w:vAlign w:val="center"/>
          </w:tcPr>
          <w:p w14:paraId="5E7B39B3">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设定模块所使用的表单字段，支持字段日志、导入控制。</w:t>
            </w:r>
          </w:p>
        </w:tc>
      </w:tr>
      <w:tr w14:paraId="46E5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0" w:type="auto"/>
            <w:vMerge w:val="continue"/>
            <w:tcBorders>
              <w:top w:val="nil"/>
              <w:left w:val="single" w:color="auto" w:sz="4" w:space="0"/>
              <w:bottom w:val="single" w:color="auto" w:sz="4" w:space="0"/>
              <w:right w:val="single" w:color="auto" w:sz="4" w:space="0"/>
            </w:tcBorders>
            <w:vAlign w:val="center"/>
          </w:tcPr>
          <w:p w14:paraId="3B68C3E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4E5D01C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查询</w:t>
            </w:r>
          </w:p>
        </w:tc>
        <w:tc>
          <w:tcPr>
            <w:tcW w:w="6237" w:type="dxa"/>
            <w:tcBorders>
              <w:top w:val="single" w:color="auto" w:sz="4" w:space="0"/>
              <w:left w:val="single" w:color="auto" w:sz="4" w:space="0"/>
              <w:bottom w:val="single" w:color="auto" w:sz="4" w:space="0"/>
              <w:right w:val="single" w:color="auto" w:sz="4" w:space="0"/>
            </w:tcBorders>
            <w:vAlign w:val="center"/>
          </w:tcPr>
          <w:p w14:paraId="56F3DC1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设定查询页面的查询条件、批量操作，查询页显示字段，查询字段排序等内容，可根据查询页面生成菜单。</w:t>
            </w:r>
          </w:p>
        </w:tc>
      </w:tr>
      <w:tr w14:paraId="56F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14:paraId="35B6199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05ACB1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浏览框</w:t>
            </w:r>
          </w:p>
        </w:tc>
        <w:tc>
          <w:tcPr>
            <w:tcW w:w="6237" w:type="dxa"/>
            <w:tcBorders>
              <w:top w:val="single" w:color="auto" w:sz="4" w:space="0"/>
              <w:left w:val="single" w:color="auto" w:sz="4" w:space="0"/>
              <w:bottom w:val="single" w:color="auto" w:sz="4" w:space="0"/>
              <w:right w:val="single" w:color="auto" w:sz="4" w:space="0"/>
            </w:tcBorders>
            <w:vAlign w:val="center"/>
          </w:tcPr>
          <w:p w14:paraId="6D99935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自定义浏览框，根据设置的字段内容和查询条件，在流程中可以根据自定义浏览框浏览指定的内容。</w:t>
            </w:r>
          </w:p>
        </w:tc>
      </w:tr>
      <w:tr w14:paraId="04DA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054528A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2562167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树</w:t>
            </w:r>
          </w:p>
        </w:tc>
        <w:tc>
          <w:tcPr>
            <w:tcW w:w="6237" w:type="dxa"/>
            <w:tcBorders>
              <w:top w:val="single" w:color="auto" w:sz="4" w:space="0"/>
              <w:left w:val="single" w:color="auto" w:sz="4" w:space="0"/>
              <w:bottom w:val="single" w:color="auto" w:sz="4" w:space="0"/>
              <w:right w:val="single" w:color="auto" w:sz="4" w:space="0"/>
            </w:tcBorders>
            <w:vAlign w:val="center"/>
          </w:tcPr>
          <w:p w14:paraId="3505B7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用树型显示浏览框或者左侧导航树。</w:t>
            </w:r>
          </w:p>
        </w:tc>
      </w:tr>
      <w:tr w14:paraId="52B8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1CFFEE8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6D141B1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提醒</w:t>
            </w:r>
          </w:p>
        </w:tc>
        <w:tc>
          <w:tcPr>
            <w:tcW w:w="6237" w:type="dxa"/>
            <w:tcBorders>
              <w:top w:val="single" w:color="auto" w:sz="4" w:space="0"/>
              <w:left w:val="single" w:color="auto" w:sz="4" w:space="0"/>
              <w:bottom w:val="single" w:color="auto" w:sz="4" w:space="0"/>
              <w:right w:val="single" w:color="auto" w:sz="4" w:space="0"/>
            </w:tcBorders>
            <w:vAlign w:val="center"/>
          </w:tcPr>
          <w:p w14:paraId="45AFCEA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设定建模模块的提醒规则。</w:t>
            </w:r>
          </w:p>
        </w:tc>
      </w:tr>
      <w:tr w14:paraId="17A6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14:paraId="72F4268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3F921B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资源面板</w:t>
            </w:r>
          </w:p>
        </w:tc>
        <w:tc>
          <w:tcPr>
            <w:tcW w:w="6237" w:type="dxa"/>
            <w:tcBorders>
              <w:top w:val="single" w:color="auto" w:sz="4" w:space="0"/>
              <w:left w:val="single" w:color="auto" w:sz="4" w:space="0"/>
              <w:bottom w:val="single" w:color="auto" w:sz="4" w:space="0"/>
              <w:right w:val="single" w:color="auto" w:sz="4" w:space="0"/>
            </w:tcBorders>
            <w:vAlign w:val="center"/>
          </w:tcPr>
          <w:p w14:paraId="373ABC8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表单建模中实际表单和虚拟表单的数据可以通过动态配置在资源面板上展示。</w:t>
            </w:r>
          </w:p>
        </w:tc>
      </w:tr>
      <w:tr w14:paraId="5D85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0" w:type="auto"/>
            <w:vMerge w:val="continue"/>
            <w:tcBorders>
              <w:top w:val="nil"/>
              <w:left w:val="single" w:color="auto" w:sz="4" w:space="0"/>
              <w:bottom w:val="single" w:color="auto" w:sz="4" w:space="0"/>
              <w:right w:val="single" w:color="auto" w:sz="4" w:space="0"/>
            </w:tcBorders>
            <w:vAlign w:val="center"/>
          </w:tcPr>
          <w:p w14:paraId="37BDEA2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38B9891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看板</w:t>
            </w:r>
          </w:p>
        </w:tc>
        <w:tc>
          <w:tcPr>
            <w:tcW w:w="6237" w:type="dxa"/>
            <w:tcBorders>
              <w:top w:val="single" w:color="auto" w:sz="4" w:space="0"/>
              <w:left w:val="single" w:color="auto" w:sz="4" w:space="0"/>
              <w:bottom w:val="single" w:color="auto" w:sz="4" w:space="0"/>
              <w:right w:val="single" w:color="auto" w:sz="4" w:space="0"/>
            </w:tcBorders>
            <w:vAlign w:val="center"/>
          </w:tcPr>
          <w:p w14:paraId="0760C84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可通过看板视图展示数据（如：A模块的某个字段创建了浏览框，B模块引用该浏览框（即：数据关联字段），引用B模块的查询列表搭建了看板，通过预览，可以查看数据关联字段为某个具体值时的所有数据）。</w:t>
            </w:r>
          </w:p>
        </w:tc>
      </w:tr>
      <w:tr w14:paraId="2A76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34E18D9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vMerge w:val="restart"/>
            <w:tcBorders>
              <w:top w:val="nil"/>
              <w:left w:val="single" w:color="auto" w:sz="4" w:space="0"/>
              <w:bottom w:val="single" w:color="auto" w:sz="4" w:space="0"/>
              <w:right w:val="single" w:color="auto" w:sz="4" w:space="0"/>
            </w:tcBorders>
            <w:vAlign w:val="center"/>
          </w:tcPr>
          <w:p w14:paraId="4CEE9FD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思维导图</w:t>
            </w:r>
          </w:p>
        </w:tc>
        <w:tc>
          <w:tcPr>
            <w:tcW w:w="6237" w:type="dxa"/>
            <w:tcBorders>
              <w:top w:val="single" w:color="auto" w:sz="4" w:space="0"/>
              <w:left w:val="single" w:color="auto" w:sz="4" w:space="0"/>
              <w:bottom w:val="single" w:color="auto" w:sz="4" w:space="0"/>
              <w:right w:val="single" w:color="auto" w:sz="4" w:space="0"/>
            </w:tcBorders>
            <w:vAlign w:val="center"/>
          </w:tcPr>
          <w:p w14:paraId="7CA6793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表单建模思维导图功能，现增加功能如下：</w:t>
            </w:r>
          </w:p>
        </w:tc>
      </w:tr>
      <w:tr w14:paraId="611C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641FE45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14:paraId="35A5C67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14:paraId="1AF713B3">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1、支持设置多分支节点；</w:t>
            </w:r>
          </w:p>
        </w:tc>
      </w:tr>
      <w:tr w14:paraId="50E8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3402DEC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14:paraId="1CC279F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14:paraId="0C7E8B5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2、子节点的样式支持自定义；</w:t>
            </w:r>
          </w:p>
        </w:tc>
      </w:tr>
      <w:tr w14:paraId="385F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735F331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14:paraId="1F13584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14:paraId="0CEF000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3、节点设置链接地址。</w:t>
            </w:r>
          </w:p>
        </w:tc>
      </w:tr>
      <w:tr w14:paraId="7B23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7A5A841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26EF4BD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甘特图</w:t>
            </w:r>
          </w:p>
        </w:tc>
        <w:tc>
          <w:tcPr>
            <w:tcW w:w="6237" w:type="dxa"/>
            <w:tcBorders>
              <w:top w:val="single" w:color="auto" w:sz="4" w:space="0"/>
              <w:left w:val="single" w:color="auto" w:sz="4" w:space="0"/>
              <w:bottom w:val="single" w:color="auto" w:sz="4" w:space="0"/>
              <w:right w:val="single" w:color="auto" w:sz="4" w:space="0"/>
            </w:tcBorders>
            <w:vAlign w:val="center"/>
          </w:tcPr>
          <w:p w14:paraId="4D4AE56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实际表单的数据可以通过动态配置在甘特图中展示。</w:t>
            </w:r>
          </w:p>
        </w:tc>
      </w:tr>
      <w:tr w14:paraId="2422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nil"/>
              <w:left w:val="single" w:color="auto" w:sz="4" w:space="0"/>
              <w:bottom w:val="single" w:color="auto" w:sz="4" w:space="0"/>
              <w:right w:val="single" w:color="auto" w:sz="4" w:space="0"/>
            </w:tcBorders>
            <w:vAlign w:val="center"/>
          </w:tcPr>
          <w:p w14:paraId="3770DA9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45A0EA8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导入导出</w:t>
            </w:r>
          </w:p>
        </w:tc>
        <w:tc>
          <w:tcPr>
            <w:tcW w:w="6237" w:type="dxa"/>
            <w:tcBorders>
              <w:top w:val="single" w:color="auto" w:sz="4" w:space="0"/>
              <w:left w:val="single" w:color="auto" w:sz="4" w:space="0"/>
              <w:bottom w:val="single" w:color="auto" w:sz="4" w:space="0"/>
              <w:right w:val="single" w:color="auto" w:sz="4" w:space="0"/>
            </w:tcBorders>
            <w:vAlign w:val="center"/>
          </w:tcPr>
          <w:p w14:paraId="4E313BF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导入导出建模模块。</w:t>
            </w:r>
          </w:p>
        </w:tc>
      </w:tr>
      <w:tr w14:paraId="08EE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restart"/>
            <w:tcBorders>
              <w:top w:val="nil"/>
              <w:left w:val="single" w:color="auto" w:sz="4" w:space="0"/>
              <w:bottom w:val="single" w:color="auto" w:sz="4" w:space="0"/>
              <w:right w:val="single" w:color="auto" w:sz="4" w:space="0"/>
            </w:tcBorders>
            <w:noWrap/>
            <w:vAlign w:val="center"/>
          </w:tcPr>
          <w:p w14:paraId="15F39C1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建模中心</w:t>
            </w:r>
          </w:p>
        </w:tc>
        <w:tc>
          <w:tcPr>
            <w:tcW w:w="1246" w:type="dxa"/>
            <w:tcBorders>
              <w:top w:val="single" w:color="auto" w:sz="4" w:space="0"/>
              <w:left w:val="single" w:color="auto" w:sz="4" w:space="0"/>
              <w:bottom w:val="single" w:color="auto" w:sz="4" w:space="0"/>
              <w:right w:val="single" w:color="auto" w:sz="4" w:space="0"/>
            </w:tcBorders>
            <w:vAlign w:val="center"/>
          </w:tcPr>
          <w:p w14:paraId="156F93F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系统日志</w:t>
            </w:r>
          </w:p>
        </w:tc>
        <w:tc>
          <w:tcPr>
            <w:tcW w:w="6237" w:type="dxa"/>
            <w:tcBorders>
              <w:top w:val="single" w:color="auto" w:sz="4" w:space="0"/>
              <w:left w:val="single" w:color="auto" w:sz="4" w:space="0"/>
              <w:bottom w:val="single" w:color="auto" w:sz="4" w:space="0"/>
              <w:right w:val="single" w:color="auto" w:sz="4" w:space="0"/>
            </w:tcBorders>
            <w:vAlign w:val="center"/>
          </w:tcPr>
          <w:p w14:paraId="61B4DBE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统计人员登录日志，在线人数分析。</w:t>
            </w:r>
          </w:p>
        </w:tc>
      </w:tr>
      <w:tr w14:paraId="14B5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nil"/>
              <w:left w:val="single" w:color="auto" w:sz="4" w:space="0"/>
              <w:bottom w:val="single" w:color="auto" w:sz="4" w:space="0"/>
              <w:right w:val="single" w:color="auto" w:sz="4" w:space="0"/>
            </w:tcBorders>
            <w:vAlign w:val="center"/>
          </w:tcPr>
          <w:p w14:paraId="076A508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169D199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内容日志</w:t>
            </w:r>
          </w:p>
        </w:tc>
        <w:tc>
          <w:tcPr>
            <w:tcW w:w="6237" w:type="dxa"/>
            <w:tcBorders>
              <w:top w:val="single" w:color="auto" w:sz="4" w:space="0"/>
              <w:left w:val="single" w:color="auto" w:sz="4" w:space="0"/>
              <w:bottom w:val="single" w:color="auto" w:sz="4" w:space="0"/>
              <w:right w:val="single" w:color="auto" w:sz="4" w:space="0"/>
            </w:tcBorders>
            <w:vAlign w:val="center"/>
          </w:tcPr>
          <w:p w14:paraId="624DE06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统计文档下载、阅读和修改记录。</w:t>
            </w:r>
          </w:p>
        </w:tc>
      </w:tr>
      <w:tr w14:paraId="1138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nil"/>
              <w:left w:val="single" w:color="auto" w:sz="4" w:space="0"/>
              <w:bottom w:val="single" w:color="auto" w:sz="4" w:space="0"/>
              <w:right w:val="single" w:color="auto" w:sz="4" w:space="0"/>
            </w:tcBorders>
            <w:vAlign w:val="center"/>
          </w:tcPr>
          <w:p w14:paraId="2113D0E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0E600D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流程日志</w:t>
            </w:r>
          </w:p>
        </w:tc>
        <w:tc>
          <w:tcPr>
            <w:tcW w:w="6237" w:type="dxa"/>
            <w:tcBorders>
              <w:top w:val="single" w:color="auto" w:sz="4" w:space="0"/>
              <w:left w:val="single" w:color="auto" w:sz="4" w:space="0"/>
              <w:bottom w:val="single" w:color="auto" w:sz="4" w:space="0"/>
              <w:right w:val="single" w:color="auto" w:sz="4" w:space="0"/>
            </w:tcBorders>
            <w:vAlign w:val="center"/>
          </w:tcPr>
          <w:p w14:paraId="1A09156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统计流程自动流转、读取、处理和删除记录。</w:t>
            </w:r>
          </w:p>
        </w:tc>
      </w:tr>
      <w:tr w14:paraId="631B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nil"/>
              <w:left w:val="single" w:color="auto" w:sz="4" w:space="0"/>
              <w:bottom w:val="single" w:color="auto" w:sz="4" w:space="0"/>
              <w:right w:val="single" w:color="auto" w:sz="4" w:space="0"/>
            </w:tcBorders>
            <w:vAlign w:val="center"/>
          </w:tcPr>
          <w:p w14:paraId="03B17B2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E2ACD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客户日志</w:t>
            </w:r>
          </w:p>
        </w:tc>
        <w:tc>
          <w:tcPr>
            <w:tcW w:w="6237" w:type="dxa"/>
            <w:tcBorders>
              <w:top w:val="single" w:color="auto" w:sz="4" w:space="0"/>
              <w:left w:val="single" w:color="auto" w:sz="4" w:space="0"/>
              <w:bottom w:val="single" w:color="auto" w:sz="4" w:space="0"/>
              <w:right w:val="single" w:color="auto" w:sz="4" w:space="0"/>
            </w:tcBorders>
            <w:vAlign w:val="center"/>
          </w:tcPr>
          <w:p w14:paraId="2C965F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统计客户导入、读取和修改记录。</w:t>
            </w:r>
          </w:p>
        </w:tc>
      </w:tr>
      <w:tr w14:paraId="2722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nil"/>
              <w:left w:val="single" w:color="auto" w:sz="4" w:space="0"/>
              <w:bottom w:val="single" w:color="auto" w:sz="4" w:space="0"/>
              <w:right w:val="single" w:color="auto" w:sz="4" w:space="0"/>
            </w:tcBorders>
            <w:vAlign w:val="center"/>
          </w:tcPr>
          <w:p w14:paraId="19F2956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24C7580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项目日志</w:t>
            </w:r>
          </w:p>
        </w:tc>
        <w:tc>
          <w:tcPr>
            <w:tcW w:w="6237" w:type="dxa"/>
            <w:tcBorders>
              <w:top w:val="single" w:color="auto" w:sz="4" w:space="0"/>
              <w:left w:val="single" w:color="auto" w:sz="4" w:space="0"/>
              <w:bottom w:val="single" w:color="auto" w:sz="4" w:space="0"/>
              <w:right w:val="single" w:color="auto" w:sz="4" w:space="0"/>
            </w:tcBorders>
            <w:vAlign w:val="center"/>
          </w:tcPr>
          <w:p w14:paraId="0F2CD6A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统计项目读取和修改记录。</w:t>
            </w:r>
          </w:p>
        </w:tc>
      </w:tr>
    </w:tbl>
    <w:p w14:paraId="31E8C14B">
      <w:pPr>
        <w:pStyle w:val="124"/>
        <w:ind w:left="440" w:firstLine="0" w:firstLineChars="0"/>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58C4F4D5">
      <w:pPr>
        <w:pStyle w:val="8"/>
        <w:numPr>
          <w:ilvl w:val="0"/>
          <w:numId w:val="6"/>
        </w:numPr>
        <w:ind w:left="0" w:firstLine="0"/>
        <w:rPr>
          <w:rFonts w:hint="eastAsia" w:ascii="宋体" w:hAnsi="宋体" w:eastAsia="宋体"/>
          <w:color w:val="auto"/>
          <w:highlight w:val="none"/>
        </w:rPr>
      </w:pPr>
      <w:r>
        <w:rPr>
          <w:rFonts w:hint="eastAsia" w:ascii="宋体" w:hAnsi="宋体" w:eastAsia="宋体"/>
          <w:color w:val="auto"/>
          <w:highlight w:val="none"/>
        </w:rPr>
        <w:t>国产化私有云扩容及安全资源池建设</w:t>
      </w:r>
    </w:p>
    <w:p w14:paraId="6B001D83">
      <w:pPr>
        <w:pStyle w:val="124"/>
        <w:numPr>
          <w:ilvl w:val="0"/>
          <w:numId w:val="9"/>
        </w:numPr>
        <w:ind w:firstLineChars="0"/>
        <w:rPr>
          <w:rFonts w:hint="eastAsia" w:ascii="宋体" w:hAnsi="宋体"/>
          <w:color w:val="auto"/>
          <w:sz w:val="28"/>
          <w:szCs w:val="28"/>
          <w:highlight w:val="none"/>
        </w:rPr>
      </w:pPr>
      <w:r>
        <w:rPr>
          <w:rFonts w:hint="eastAsia" w:ascii="宋体" w:hAnsi="宋体"/>
          <w:color w:val="auto"/>
          <w:sz w:val="28"/>
          <w:szCs w:val="28"/>
          <w:highlight w:val="none"/>
        </w:rPr>
        <w:t>云计算资源池扩容</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8022"/>
      </w:tblGrid>
      <w:tr w14:paraId="44BE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8" w:type="pct"/>
            <w:noWrap/>
            <w:vAlign w:val="center"/>
          </w:tcPr>
          <w:p w14:paraId="18810E86">
            <w:pPr>
              <w:keepNext w:val="0"/>
              <w:keepLines w:val="0"/>
              <w:widowControl/>
              <w:suppressLineNumbers w:val="0"/>
              <w:spacing w:before="0" w:beforeAutospacing="0" w:after="0" w:afterAutospacing="0"/>
              <w:ind w:left="0" w:right="0"/>
              <w:jc w:val="center"/>
              <w:textAlignment w:val="center"/>
              <w:rPr>
                <w:rFonts w:hint="default" w:ascii="宋体" w:hAnsi="宋体" w:cs="Calibri"/>
                <w:b/>
                <w:bCs/>
                <w:color w:val="auto"/>
                <w:sz w:val="21"/>
                <w:szCs w:val="21"/>
                <w:highlight w:val="none"/>
              </w:rPr>
            </w:pPr>
            <w:r>
              <w:rPr>
                <w:rFonts w:hint="eastAsia" w:ascii="宋体" w:hAnsi="宋体" w:cs="Calibri"/>
                <w:b/>
                <w:bCs/>
                <w:color w:val="auto"/>
                <w:sz w:val="21"/>
                <w:szCs w:val="21"/>
                <w:highlight w:val="none"/>
              </w:rPr>
              <w:t>功能项</w:t>
            </w:r>
          </w:p>
        </w:tc>
        <w:tc>
          <w:tcPr>
            <w:tcW w:w="4372" w:type="pct"/>
            <w:vAlign w:val="center"/>
          </w:tcPr>
          <w:p w14:paraId="1C92B30F">
            <w:pPr>
              <w:keepNext w:val="0"/>
              <w:keepLines w:val="0"/>
              <w:widowControl/>
              <w:suppressLineNumbers w:val="0"/>
              <w:spacing w:before="0" w:beforeAutospacing="0" w:after="0" w:afterAutospacing="0"/>
              <w:ind w:left="0" w:right="0"/>
              <w:jc w:val="center"/>
              <w:textAlignment w:val="center"/>
              <w:rPr>
                <w:rFonts w:hint="default" w:ascii="宋体" w:hAnsi="宋体" w:cs="Calibri"/>
                <w:b/>
                <w:bCs/>
                <w:color w:val="auto"/>
                <w:sz w:val="21"/>
                <w:szCs w:val="21"/>
                <w:highlight w:val="none"/>
              </w:rPr>
            </w:pPr>
            <w:r>
              <w:rPr>
                <w:rFonts w:hint="eastAsia" w:ascii="宋体" w:hAnsi="宋体" w:cs="Calibri"/>
                <w:b/>
                <w:bCs/>
                <w:color w:val="auto"/>
                <w:sz w:val="21"/>
                <w:szCs w:val="21"/>
                <w:highlight w:val="none"/>
              </w:rPr>
              <w:t>技术参数要求</w:t>
            </w:r>
          </w:p>
        </w:tc>
      </w:tr>
      <w:tr w14:paraId="6037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28" w:type="pct"/>
            <w:vMerge w:val="restart"/>
            <w:vAlign w:val="center"/>
          </w:tcPr>
          <w:p w14:paraId="2844181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▲硬件要求</w:t>
            </w:r>
          </w:p>
        </w:tc>
        <w:tc>
          <w:tcPr>
            <w:tcW w:w="4372" w:type="pct"/>
            <w:vAlign w:val="center"/>
          </w:tcPr>
          <w:p w14:paraId="44ED76E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本次对现有的云计算资源池扩容</w:t>
            </w:r>
            <w:r>
              <w:rPr>
                <w:rFonts w:hint="default" w:ascii="宋体" w:hAnsi="宋体" w:cs="宋体"/>
                <w:color w:val="auto"/>
                <w:kern w:val="0"/>
                <w:sz w:val="24"/>
                <w:highlight w:val="none"/>
              </w:rPr>
              <w:t>1</w:t>
            </w:r>
            <w:r>
              <w:rPr>
                <w:rFonts w:hint="eastAsia" w:ascii="宋体" w:hAnsi="宋体" w:cs="宋体"/>
                <w:color w:val="auto"/>
                <w:kern w:val="0"/>
                <w:sz w:val="24"/>
                <w:highlight w:val="none"/>
              </w:rPr>
              <w:t>套计算节点及扩容后资源池的正版CPU的计算虚拟化授权，网络虚拟化授权、存储虚拟化授权，确保扩容后虚拟机迁移不中断。</w:t>
            </w:r>
          </w:p>
        </w:tc>
      </w:tr>
      <w:tr w14:paraId="677D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28" w:type="pct"/>
            <w:vMerge w:val="continue"/>
            <w:vAlign w:val="center"/>
          </w:tcPr>
          <w:p w14:paraId="7BAD49D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p>
        </w:tc>
        <w:tc>
          <w:tcPr>
            <w:tcW w:w="4372" w:type="pct"/>
            <w:vAlign w:val="center"/>
          </w:tcPr>
          <w:p w14:paraId="41E85BB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计算节点硬件参数： CPU≥2颗hygon 5390 2.9GHz（16C），内存≥10*32GB DDR4 3200，系统盘≥2*240GB SATA，缓存盘≥2*1.92T-SSD，数据盘≥：4*4T，标配盘位数≥12，电源：白金，冗余电源，接口不低于4千兆电口+2万兆光口。</w:t>
            </w:r>
          </w:p>
        </w:tc>
      </w:tr>
      <w:tr w14:paraId="6BE9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8" w:type="pct"/>
            <w:vMerge w:val="restart"/>
            <w:vAlign w:val="center"/>
          </w:tcPr>
          <w:p w14:paraId="08E41F4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计算虚拟化功能要求</w:t>
            </w:r>
          </w:p>
        </w:tc>
        <w:tc>
          <w:tcPr>
            <w:tcW w:w="4372" w:type="pct"/>
            <w:vAlign w:val="center"/>
          </w:tcPr>
          <w:p w14:paraId="29B6B80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要求需定期对平台进行健康检测提前发现平台问题，避免平台故障导致业务受影响，但人工巡检效率低，需要平台支持集群环境一键健康检测提升效率，可以选择检测对象，包括系统运行状态检测（系统服务检测、配置文件检测、系统分区检测、存储空间检测）、系统配置检测（网口配置检测）、硬件健康检测（CPU检测、内存检测、网卡检测、硬盘基本功能检测）</w:t>
            </w:r>
          </w:p>
        </w:tc>
      </w:tr>
      <w:tr w14:paraId="3C59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8" w:type="pct"/>
            <w:vMerge w:val="continue"/>
            <w:vAlign w:val="center"/>
          </w:tcPr>
          <w:p w14:paraId="361442F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3DD9AF4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为保证升级过程中客户业务的连续性，支持云平台在线升级，同时为保证升级时间与步骤可控，升级过程中支持对升级节点进行编排、暂停（需提供产品功能截图）</w:t>
            </w:r>
          </w:p>
        </w:tc>
      </w:tr>
      <w:tr w14:paraId="2BB4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8" w:type="pct"/>
            <w:vMerge w:val="continue"/>
            <w:vAlign w:val="center"/>
          </w:tcPr>
          <w:p w14:paraId="0F6E87F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0C57EE7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虚拟机迁移支持指定网口迁移、限制迁移速度、启用压缩传输，同时虚拟机迁移过程中如因数据写入量过大迁移不完，可支持强制切换操作。</w:t>
            </w:r>
          </w:p>
        </w:tc>
      </w:tr>
      <w:tr w14:paraId="2E18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28" w:type="pct"/>
            <w:vMerge w:val="continue"/>
            <w:vAlign w:val="center"/>
          </w:tcPr>
          <w:p w14:paraId="621F52D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3252F10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需要支持平台与UPS电源联动，可在市电断电时通过UPS临时供应电量，当UPS电量过低时，按照虚拟机优先级先将不重要的虚拟机进行软关机</w:t>
            </w:r>
          </w:p>
        </w:tc>
      </w:tr>
      <w:tr w14:paraId="0788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8" w:type="pct"/>
            <w:vMerge w:val="restart"/>
            <w:vAlign w:val="center"/>
          </w:tcPr>
          <w:p w14:paraId="0B3F68C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网络虚拟化功能要求</w:t>
            </w:r>
          </w:p>
        </w:tc>
        <w:tc>
          <w:tcPr>
            <w:tcW w:w="4372" w:type="pct"/>
            <w:vAlign w:val="center"/>
          </w:tcPr>
          <w:p w14:paraId="23C43AF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为了提升我单位运维人员部署效率，需要能够在图形化管理平台上，通过托、拉、拽方式完成虚拟网络拓扑创建，能够通过同一界面中的功能按键，实现虚拟网络连接、开启和关闭等操作。（需提供产品功能截图)</w:t>
            </w:r>
          </w:p>
        </w:tc>
      </w:tr>
      <w:tr w14:paraId="599D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8" w:type="pct"/>
            <w:vMerge w:val="continue"/>
            <w:vAlign w:val="center"/>
          </w:tcPr>
          <w:p w14:paraId="6C95909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589BFC9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为了提升排障效率，获取可靠的网络连通性信息，要求支持跳转连通性探测页面，可以设置探测对象信息，包括网口、对象类型、IP地址，可以点击开始探测按钮查看探测页面信息，可以在网络连通性探测页面查看网络探测是否成功</w:t>
            </w:r>
          </w:p>
        </w:tc>
      </w:tr>
      <w:tr w14:paraId="0EB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pct"/>
            <w:vMerge w:val="continue"/>
            <w:vAlign w:val="center"/>
          </w:tcPr>
          <w:p w14:paraId="02D648E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66E69B6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通常业务虚拟机出现网络问题，运维人员需要逐个排查效率较低，为方便运维人员根据虚机间流量情况跟踪排障，方便快速定位问题，及时优化调整安全策略，超融合需提供网络可视化功能，在图形化界面观察到所有虚拟机的流量走向与访问关系，包括源对象、源IP、目标对象、目的IP、访问次数、服务类型等信息。</w:t>
            </w:r>
          </w:p>
        </w:tc>
      </w:tr>
      <w:tr w14:paraId="6D3F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28" w:type="pct"/>
            <w:vMerge w:val="restart"/>
            <w:vAlign w:val="center"/>
          </w:tcPr>
          <w:p w14:paraId="10771B6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存储虚拟化功能要求</w:t>
            </w:r>
          </w:p>
        </w:tc>
        <w:tc>
          <w:tcPr>
            <w:tcW w:w="4372" w:type="pct"/>
            <w:vAlign w:val="center"/>
          </w:tcPr>
          <w:p w14:paraId="783B4F2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硬件故障对平台影响较大，也会影响数据安全，为保障业务在硬件故障后尽快恢复冗余数据保障，支持数据重建优先级调整，可以查看数据重建信息，包括重建的对象名称、类型、数据量和优先级等信息，支持对不同对象的重建优先级进行调整，保证重要的业务优先恢复</w:t>
            </w:r>
          </w:p>
        </w:tc>
      </w:tr>
      <w:tr w14:paraId="0871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8" w:type="pct"/>
            <w:vMerge w:val="continue"/>
            <w:vAlign w:val="center"/>
          </w:tcPr>
          <w:p w14:paraId="4A15D56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1EAB0C99">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支持快照功能。快照类型支持存储快照、磁盘快照。支持静默快照功能。（需提供产品功能截图证明）</w:t>
            </w:r>
          </w:p>
        </w:tc>
      </w:tr>
      <w:tr w14:paraId="4190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28" w:type="pct"/>
            <w:vMerge w:val="continue"/>
            <w:vAlign w:val="center"/>
          </w:tcPr>
          <w:p w14:paraId="533EEAE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2A706D46">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为保障业务在硬件故障情况下的性能稳定性，需要平台支持数据重建，为避免数据重建过程中IO抢占导致对业务的性能造成影响，同时要求对数据重建速度进行智能限速</w:t>
            </w:r>
          </w:p>
        </w:tc>
      </w:tr>
      <w:tr w14:paraId="57D8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8" w:type="pct"/>
            <w:vMerge w:val="continue"/>
            <w:vAlign w:val="center"/>
          </w:tcPr>
          <w:p w14:paraId="2448E42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0BDAB13A">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支持多种硬盘状态检测监控及告警，包括“正常”状态、“告警”状态、“严重告警”状态，不同状态的硬盘在UI上呈现不同的特征或告警，让用户能够区分处理。（需提供产品功能截图） </w:t>
            </w:r>
          </w:p>
        </w:tc>
      </w:tr>
      <w:tr w14:paraId="6953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pct"/>
            <w:vMerge w:val="restart"/>
            <w:vAlign w:val="center"/>
          </w:tcPr>
          <w:p w14:paraId="792A119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云管理平台功能要求</w:t>
            </w:r>
          </w:p>
        </w:tc>
        <w:tc>
          <w:tcPr>
            <w:tcW w:w="4372" w:type="pct"/>
            <w:vAlign w:val="center"/>
          </w:tcPr>
          <w:p w14:paraId="33F8E6C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▲为方便运维管理，扩容的计算节点需能够与原有云计算资源池组成一个集群并统一管理</w:t>
            </w:r>
            <w:r>
              <w:rPr>
                <w:rFonts w:hint="default" w:ascii="宋体" w:hAnsi="宋体" w:cs="宋体"/>
                <w:color w:val="auto"/>
                <w:kern w:val="0"/>
                <w:sz w:val="24"/>
                <w:highlight w:val="none"/>
              </w:rPr>
              <w:t>（在接到采购人书面通知后</w:t>
            </w:r>
            <w:r>
              <w:rPr>
                <w:rFonts w:hint="eastAsia" w:ascii="宋体" w:hAnsi="宋体" w:cs="宋体"/>
                <w:color w:val="auto"/>
                <w:kern w:val="0"/>
                <w:sz w:val="24"/>
                <w:highlight w:val="none"/>
              </w:rPr>
              <w:t>7</w:t>
            </w:r>
            <w:r>
              <w:rPr>
                <w:rFonts w:hint="default" w:ascii="宋体" w:hAnsi="宋体" w:cs="宋体"/>
                <w:color w:val="auto"/>
                <w:kern w:val="0"/>
                <w:sz w:val="24"/>
                <w:highlight w:val="none"/>
              </w:rPr>
              <w:t>天内进行产品兼容性与接入测试，测试结果不通过或不满足的，成交供应商须自愿放弃中标资格并向采购人出具弃标函。成交供应商未向采购人出具弃标函的，不影响采购活动的进行，采购人可以按照评审报告推荐的成交候选人名单排序，确定下一候选人为成交供应商，也可以重新开展政府采购活动。）</w:t>
            </w:r>
          </w:p>
        </w:tc>
      </w:tr>
      <w:tr w14:paraId="08BB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pct"/>
            <w:vMerge w:val="continue"/>
            <w:vAlign w:val="center"/>
          </w:tcPr>
          <w:p w14:paraId="7794A72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4923C6B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支持在云平台按租户/子账户层级结构创建自定义属性，创建属性后，用户可以将属性关联给虚拟机，并指定属性关联的值，方便用户对资产进行归类和标记（需提供产品功能截图）</w:t>
            </w:r>
          </w:p>
        </w:tc>
      </w:tr>
      <w:tr w14:paraId="04C1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28" w:type="pct"/>
            <w:vMerge w:val="continue"/>
            <w:vAlign w:val="center"/>
          </w:tcPr>
          <w:p w14:paraId="6D18B1C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5A9CF66D">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w:t>
            </w:r>
          </w:p>
        </w:tc>
      </w:tr>
      <w:tr w14:paraId="7ABF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pct"/>
            <w:vMerge w:val="continue"/>
            <w:vAlign w:val="center"/>
          </w:tcPr>
          <w:p w14:paraId="21348FD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55123B2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★提供标准的OpenStack API（为满足集成或者二次开发的需求中标后合同签订时需提供API文档）</w:t>
            </w:r>
          </w:p>
        </w:tc>
      </w:tr>
      <w:tr w14:paraId="7AE3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28" w:type="pct"/>
            <w:vMerge w:val="continue"/>
            <w:vAlign w:val="center"/>
          </w:tcPr>
          <w:p w14:paraId="507B112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45A3402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支持上传或利用现有云主机创建镜像，可对镜像进行管理、关联资源池等操作，可通过镜像实现一键快速创建云主机、安全组件、数据库等高级服务组件；支持将镜像分发至不同版本的资源池，当数据中心存在多个版本资源池时，无需手动多次上传。</w:t>
            </w:r>
          </w:p>
        </w:tc>
      </w:tr>
      <w:tr w14:paraId="137C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28" w:type="pct"/>
            <w:vAlign w:val="center"/>
          </w:tcPr>
          <w:p w14:paraId="237D431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资质要求</w:t>
            </w:r>
          </w:p>
        </w:tc>
        <w:tc>
          <w:tcPr>
            <w:tcW w:w="4372" w:type="pct"/>
            <w:vAlign w:val="center"/>
          </w:tcPr>
          <w:p w14:paraId="2980CA8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★为保障企业云安全能力的成熟度与技术程度，云平台厂商需通过CS-CMMI5云安全能力成熟度集成认证</w:t>
            </w:r>
          </w:p>
        </w:tc>
      </w:tr>
      <w:tr w14:paraId="2E41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28" w:type="pct"/>
            <w:vAlign w:val="center"/>
          </w:tcPr>
          <w:p w14:paraId="3AD30C2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质量保证与售后服务</w:t>
            </w:r>
          </w:p>
        </w:tc>
        <w:tc>
          <w:tcPr>
            <w:tcW w:w="4372" w:type="pct"/>
            <w:vAlign w:val="center"/>
          </w:tcPr>
          <w:p w14:paraId="7F9D42F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提供原厂上门初始安装服务；提供三年免费软硬件原厂技术支持与售后服务；保证完整原厂包装不开封。中标后合同签订时提供原厂售后服务承诺函和满足上述参数的权威机构检验报告及产品官网链接说明。</w:t>
            </w:r>
          </w:p>
        </w:tc>
      </w:tr>
    </w:tbl>
    <w:p w14:paraId="144C9C38">
      <w:pPr>
        <w:pStyle w:val="124"/>
        <w:numPr>
          <w:ilvl w:val="0"/>
          <w:numId w:val="9"/>
        </w:numPr>
        <w:ind w:firstLineChars="0"/>
        <w:rPr>
          <w:rFonts w:ascii="宋体" w:hAnsi="宋体"/>
          <w:color w:val="auto"/>
          <w:sz w:val="28"/>
          <w:szCs w:val="28"/>
          <w:highlight w:val="none"/>
        </w:rPr>
      </w:pPr>
      <w:r>
        <w:rPr>
          <w:rFonts w:hint="eastAsia" w:ascii="宋体" w:hAnsi="宋体"/>
          <w:color w:val="auto"/>
          <w:sz w:val="28"/>
          <w:szCs w:val="28"/>
          <w:highlight w:val="none"/>
        </w:rPr>
        <w:t>云安全资源池</w:t>
      </w:r>
    </w:p>
    <w:tbl>
      <w:tblPr>
        <w:tblStyle w:val="41"/>
        <w:tblW w:w="5000" w:type="pct"/>
        <w:tblInd w:w="0" w:type="dxa"/>
        <w:tblLayout w:type="autofit"/>
        <w:tblCellMar>
          <w:top w:w="15" w:type="dxa"/>
          <w:left w:w="15" w:type="dxa"/>
          <w:bottom w:w="15" w:type="dxa"/>
          <w:right w:w="15" w:type="dxa"/>
        </w:tblCellMar>
      </w:tblPr>
      <w:tblGrid>
        <w:gridCol w:w="1348"/>
        <w:gridCol w:w="7640"/>
      </w:tblGrid>
      <w:tr w14:paraId="67EF5425">
        <w:tblPrEx>
          <w:tblCellMar>
            <w:top w:w="15" w:type="dxa"/>
            <w:left w:w="15" w:type="dxa"/>
            <w:bottom w:w="15" w:type="dxa"/>
            <w:right w:w="15" w:type="dxa"/>
          </w:tblCellMar>
        </w:tblPrEx>
        <w:trPr>
          <w:trHeight w:val="285" w:hRule="atLeast"/>
        </w:trPr>
        <w:tc>
          <w:tcPr>
            <w:tcW w:w="750" w:type="pct"/>
            <w:tcBorders>
              <w:top w:val="single" w:color="000000" w:sz="4" w:space="0"/>
              <w:left w:val="single" w:color="000000" w:sz="4" w:space="0"/>
              <w:bottom w:val="single" w:color="000000" w:sz="4" w:space="0"/>
              <w:right w:val="single" w:color="000000" w:sz="4" w:space="0"/>
            </w:tcBorders>
            <w:vAlign w:val="center"/>
          </w:tcPr>
          <w:p w14:paraId="7DCF0910">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1"/>
                <w:szCs w:val="21"/>
                <w:highlight w:val="none"/>
              </w:rPr>
            </w:pPr>
            <w:r>
              <w:rPr>
                <w:rFonts w:hint="eastAsia" w:ascii="宋体" w:hAnsi="宋体" w:cs="Calibri"/>
                <w:b/>
                <w:bCs/>
                <w:color w:val="auto"/>
                <w:sz w:val="21"/>
                <w:szCs w:val="21"/>
                <w:highlight w:val="none"/>
              </w:rPr>
              <w:t>功能项</w:t>
            </w:r>
          </w:p>
        </w:tc>
        <w:tc>
          <w:tcPr>
            <w:tcW w:w="4250" w:type="pct"/>
            <w:tcBorders>
              <w:top w:val="single" w:color="000000" w:sz="4" w:space="0"/>
              <w:left w:val="single" w:color="000000" w:sz="4" w:space="0"/>
              <w:bottom w:val="single" w:color="000000" w:sz="4" w:space="0"/>
              <w:right w:val="single" w:color="000000" w:sz="4" w:space="0"/>
            </w:tcBorders>
            <w:vAlign w:val="center"/>
          </w:tcPr>
          <w:p w14:paraId="400503DB">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1"/>
                <w:szCs w:val="21"/>
                <w:highlight w:val="none"/>
              </w:rPr>
            </w:pPr>
            <w:r>
              <w:rPr>
                <w:rFonts w:hint="eastAsia" w:ascii="宋体" w:hAnsi="宋体" w:cs="Calibri"/>
                <w:b/>
                <w:bCs/>
                <w:color w:val="auto"/>
                <w:sz w:val="21"/>
                <w:szCs w:val="21"/>
                <w:highlight w:val="none"/>
              </w:rPr>
              <w:t>技术参数要求</w:t>
            </w:r>
          </w:p>
        </w:tc>
      </w:tr>
      <w:tr w14:paraId="7725FF97">
        <w:tblPrEx>
          <w:tblCellMar>
            <w:top w:w="15" w:type="dxa"/>
            <w:left w:w="15" w:type="dxa"/>
            <w:bottom w:w="15" w:type="dxa"/>
            <w:right w:w="15" w:type="dxa"/>
          </w:tblCellMar>
        </w:tblPrEx>
        <w:trPr>
          <w:trHeight w:val="90" w:hRule="atLeast"/>
        </w:trPr>
        <w:tc>
          <w:tcPr>
            <w:tcW w:w="750" w:type="pct"/>
            <w:vMerge w:val="restart"/>
            <w:tcBorders>
              <w:top w:val="single" w:color="000000" w:sz="4" w:space="0"/>
              <w:left w:val="single" w:color="000000" w:sz="4" w:space="0"/>
              <w:right w:val="single" w:color="000000" w:sz="4" w:space="0"/>
            </w:tcBorders>
            <w:vAlign w:val="center"/>
          </w:tcPr>
          <w:p w14:paraId="61B6E7B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组件规格</w:t>
            </w:r>
          </w:p>
        </w:tc>
        <w:tc>
          <w:tcPr>
            <w:tcW w:w="4250" w:type="pct"/>
            <w:tcBorders>
              <w:top w:val="single" w:color="000000" w:sz="4" w:space="0"/>
              <w:left w:val="single" w:color="000000" w:sz="4" w:space="0"/>
              <w:bottom w:val="single" w:color="000000" w:sz="4" w:space="0"/>
              <w:right w:val="single" w:color="000000" w:sz="4" w:space="0"/>
            </w:tcBorders>
            <w:vAlign w:val="center"/>
          </w:tcPr>
          <w:p w14:paraId="044ED1E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云安全资源池平台必须能够提供虚拟下一代防火墙、虚拟数据库审计、虚拟运维安全管理、虚拟日志审计等独立的安全组件，还能够集成第三方生态产品以扩充平台安全能力。</w:t>
            </w:r>
          </w:p>
        </w:tc>
      </w:tr>
      <w:tr w14:paraId="125CE79E">
        <w:tblPrEx>
          <w:tblCellMar>
            <w:top w:w="15" w:type="dxa"/>
            <w:left w:w="15" w:type="dxa"/>
            <w:bottom w:w="15" w:type="dxa"/>
            <w:right w:w="15" w:type="dxa"/>
          </w:tblCellMar>
        </w:tblPrEx>
        <w:trPr>
          <w:trHeight w:val="90" w:hRule="atLeast"/>
        </w:trPr>
        <w:tc>
          <w:tcPr>
            <w:tcW w:w="750" w:type="pct"/>
            <w:vMerge w:val="continue"/>
            <w:tcBorders>
              <w:left w:val="single" w:color="000000" w:sz="4" w:space="0"/>
              <w:bottom w:val="single" w:color="000000" w:sz="4" w:space="0"/>
              <w:right w:val="single" w:color="000000" w:sz="4" w:space="0"/>
            </w:tcBorders>
            <w:vAlign w:val="center"/>
          </w:tcPr>
          <w:p w14:paraId="5ED47E0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1EBD950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★支持在系统界面上以滑尺方式动态分配安全组件的性能规格，同时支持已分配组件规格的动态变更和授权回收，回收后的授权可以分配给其他用户和其他类型的安全组件使用。</w:t>
            </w:r>
          </w:p>
        </w:tc>
      </w:tr>
      <w:tr w14:paraId="6A89D96B">
        <w:tblPrEx>
          <w:tblCellMar>
            <w:top w:w="15" w:type="dxa"/>
            <w:left w:w="15" w:type="dxa"/>
            <w:bottom w:w="15" w:type="dxa"/>
            <w:right w:w="15" w:type="dxa"/>
          </w:tblCellMar>
        </w:tblPrEx>
        <w:trPr>
          <w:trHeight w:val="660" w:hRule="atLeast"/>
        </w:trPr>
        <w:tc>
          <w:tcPr>
            <w:tcW w:w="750" w:type="pct"/>
            <w:tcBorders>
              <w:top w:val="single" w:color="000000" w:sz="4" w:space="0"/>
              <w:left w:val="single" w:color="000000" w:sz="4" w:space="0"/>
              <w:right w:val="single" w:color="000000" w:sz="4" w:space="0"/>
            </w:tcBorders>
            <w:vAlign w:val="center"/>
          </w:tcPr>
          <w:p w14:paraId="2D8EEF2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★平台兼容性</w:t>
            </w:r>
          </w:p>
        </w:tc>
        <w:tc>
          <w:tcPr>
            <w:tcW w:w="4250" w:type="pct"/>
            <w:tcBorders>
              <w:top w:val="single" w:color="000000" w:sz="4" w:space="0"/>
              <w:left w:val="single" w:color="000000" w:sz="4" w:space="0"/>
              <w:bottom w:val="single" w:color="000000" w:sz="4" w:space="0"/>
              <w:right w:val="single" w:color="000000" w:sz="4" w:space="0"/>
            </w:tcBorders>
            <w:vAlign w:val="center"/>
          </w:tcPr>
          <w:p w14:paraId="2B42B82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安全组件平台和云计算资源池（计算虚拟化、存储虚拟化、网络虚拟化）应为同一厂商品牌提供，以保障平台的扩展性和兼容性。</w:t>
            </w:r>
          </w:p>
        </w:tc>
      </w:tr>
      <w:tr w14:paraId="2C727F3F">
        <w:tblPrEx>
          <w:tblCellMar>
            <w:top w:w="15" w:type="dxa"/>
            <w:left w:w="15" w:type="dxa"/>
            <w:bottom w:w="15" w:type="dxa"/>
            <w:right w:w="15" w:type="dxa"/>
          </w:tblCellMar>
        </w:tblPrEx>
        <w:trPr>
          <w:trHeight w:val="826" w:hRule="atLeast"/>
        </w:trPr>
        <w:tc>
          <w:tcPr>
            <w:tcW w:w="750" w:type="pct"/>
            <w:tcBorders>
              <w:top w:val="single" w:color="000000" w:sz="4" w:space="0"/>
              <w:left w:val="single" w:color="000000" w:sz="4" w:space="0"/>
              <w:right w:val="single" w:color="000000" w:sz="4" w:space="0"/>
            </w:tcBorders>
            <w:vAlign w:val="center"/>
          </w:tcPr>
          <w:p w14:paraId="5A81160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系统管理</w:t>
            </w:r>
          </w:p>
        </w:tc>
        <w:tc>
          <w:tcPr>
            <w:tcW w:w="4250" w:type="pct"/>
            <w:tcBorders>
              <w:top w:val="single" w:color="000000" w:sz="4" w:space="0"/>
              <w:left w:val="single" w:color="000000" w:sz="4" w:space="0"/>
              <w:bottom w:val="single" w:color="000000" w:sz="4" w:space="0"/>
              <w:right w:val="single" w:color="000000" w:sz="4" w:space="0"/>
            </w:tcBorders>
            <w:vAlign w:val="center"/>
          </w:tcPr>
          <w:p w14:paraId="0802E72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支持将第三方安全产品快速导入和发布到安全资源池应用市场，导入后的第三方应用可以按需分配给不同租户使用，并与内置应用在一个安全服务链里进行编排</w:t>
            </w:r>
          </w:p>
        </w:tc>
      </w:tr>
      <w:tr w14:paraId="5C85D904">
        <w:tblPrEx>
          <w:tblCellMar>
            <w:top w:w="15" w:type="dxa"/>
            <w:left w:w="15" w:type="dxa"/>
            <w:bottom w:w="15" w:type="dxa"/>
            <w:right w:w="15" w:type="dxa"/>
          </w:tblCellMar>
        </w:tblPrEx>
        <w:trPr>
          <w:trHeight w:val="398" w:hRule="atLeast"/>
        </w:trPr>
        <w:tc>
          <w:tcPr>
            <w:tcW w:w="750" w:type="pct"/>
            <w:vMerge w:val="restart"/>
            <w:tcBorders>
              <w:top w:val="single" w:color="000000" w:sz="4" w:space="0"/>
              <w:left w:val="single" w:color="000000" w:sz="4" w:space="0"/>
              <w:right w:val="single" w:color="000000" w:sz="4" w:space="0"/>
            </w:tcBorders>
            <w:vAlign w:val="center"/>
          </w:tcPr>
          <w:p w14:paraId="207D470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虚拟化下一代防火墙</w:t>
            </w:r>
          </w:p>
        </w:tc>
        <w:tc>
          <w:tcPr>
            <w:tcW w:w="4250" w:type="pct"/>
            <w:tcBorders>
              <w:top w:val="single" w:color="000000" w:sz="4" w:space="0"/>
              <w:left w:val="single" w:color="000000" w:sz="4" w:space="0"/>
              <w:bottom w:val="single" w:color="000000" w:sz="4" w:space="0"/>
              <w:right w:val="single" w:color="000000" w:sz="4" w:space="0"/>
            </w:tcBorders>
            <w:vAlign w:val="center"/>
          </w:tcPr>
          <w:p w14:paraId="526705E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w:t>
            </w:r>
            <w:r>
              <w:rPr>
                <w:rFonts w:hint="eastAsia" w:ascii="宋体" w:hAnsi="宋体" w:cs="宋体"/>
                <w:color w:val="auto"/>
                <w:kern w:val="0"/>
                <w:sz w:val="24"/>
                <w:highlight w:val="none"/>
              </w:rPr>
              <w:t>本次提供</w:t>
            </w:r>
            <w:r>
              <w:rPr>
                <w:rFonts w:hint="default" w:ascii="宋体" w:hAnsi="宋体" w:cs="宋体"/>
                <w:color w:val="auto"/>
                <w:kern w:val="0"/>
                <w:sz w:val="24"/>
                <w:highlight w:val="none"/>
              </w:rPr>
              <w:t>1</w:t>
            </w:r>
            <w:r>
              <w:rPr>
                <w:rFonts w:hint="eastAsia" w:ascii="宋体" w:hAnsi="宋体" w:cs="宋体"/>
                <w:color w:val="auto"/>
                <w:kern w:val="0"/>
                <w:sz w:val="24"/>
                <w:highlight w:val="none"/>
              </w:rPr>
              <w:t>套虚拟化下一代防火墙，性能要求：支持带宽性能≥</w:t>
            </w:r>
            <w:r>
              <w:rPr>
                <w:rFonts w:hint="default" w:ascii="宋体" w:hAnsi="宋体" w:cs="宋体"/>
                <w:color w:val="auto"/>
                <w:kern w:val="0"/>
                <w:sz w:val="24"/>
                <w:highlight w:val="none"/>
              </w:rPr>
              <w:t>1</w:t>
            </w:r>
            <w:r>
              <w:rPr>
                <w:rFonts w:hint="eastAsia" w:ascii="宋体" w:hAnsi="宋体" w:cs="宋体"/>
                <w:color w:val="auto"/>
                <w:kern w:val="0"/>
                <w:sz w:val="24"/>
                <w:highlight w:val="none"/>
              </w:rPr>
              <w:t>00M，新建会话≥</w:t>
            </w:r>
            <w:r>
              <w:rPr>
                <w:rFonts w:hint="default" w:ascii="宋体" w:hAnsi="宋体" w:cs="宋体"/>
                <w:color w:val="auto"/>
                <w:kern w:val="0"/>
                <w:sz w:val="24"/>
                <w:highlight w:val="none"/>
              </w:rPr>
              <w:t>1</w:t>
            </w:r>
            <w:r>
              <w:rPr>
                <w:rFonts w:hint="eastAsia" w:ascii="宋体" w:hAnsi="宋体" w:cs="宋体"/>
                <w:color w:val="auto"/>
                <w:kern w:val="0"/>
                <w:sz w:val="24"/>
                <w:highlight w:val="none"/>
              </w:rPr>
              <w:t>0000，并发会话数≥</w:t>
            </w:r>
            <w:r>
              <w:rPr>
                <w:rFonts w:hint="default" w:ascii="宋体" w:hAnsi="宋体" w:cs="宋体"/>
                <w:color w:val="auto"/>
                <w:kern w:val="0"/>
                <w:sz w:val="24"/>
                <w:highlight w:val="none"/>
              </w:rPr>
              <w:t>5</w:t>
            </w:r>
            <w:r>
              <w:rPr>
                <w:rFonts w:hint="eastAsia" w:ascii="宋体" w:hAnsi="宋体" w:cs="宋体"/>
                <w:color w:val="auto"/>
                <w:kern w:val="0"/>
                <w:sz w:val="24"/>
                <w:highlight w:val="none"/>
              </w:rPr>
              <w:t>00000，为保障一体化安全效果，本次所购防火墙需支持与现有态势感知平台联动，将防火墙产品产生的安全日志等数据上报至传到安全态势感知平台做关联分析，以及接收安全态势感知平台的联动指令，对危险IP实现联动封锁。（中标后签订合同前由产品厂商提供盖章证明函或提供所投产品进行联动功能测试）。</w:t>
            </w:r>
          </w:p>
        </w:tc>
      </w:tr>
      <w:tr w14:paraId="3E6BD8D2">
        <w:tblPrEx>
          <w:tblCellMar>
            <w:top w:w="15" w:type="dxa"/>
            <w:left w:w="15" w:type="dxa"/>
            <w:bottom w:w="15" w:type="dxa"/>
            <w:right w:w="15" w:type="dxa"/>
          </w:tblCellMar>
        </w:tblPrEx>
        <w:trPr>
          <w:trHeight w:val="648" w:hRule="atLeast"/>
        </w:trPr>
        <w:tc>
          <w:tcPr>
            <w:tcW w:w="750" w:type="pct"/>
            <w:vMerge w:val="continue"/>
            <w:tcBorders>
              <w:left w:val="single" w:color="000000" w:sz="4" w:space="0"/>
              <w:right w:val="single" w:color="000000" w:sz="4" w:space="0"/>
            </w:tcBorders>
            <w:vAlign w:val="center"/>
          </w:tcPr>
          <w:p w14:paraId="061A64B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2C9C557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★产品内置超过4000种WEB应用攻击特征，支持对跨站脚本（XSS）攻击、SQL注入、文件包含攻击、信息泄露攻击、WEBSHELL、网站扫描、网页木马等攻击类型进行防护。（需提供产品功能截图证明）</w:t>
            </w:r>
          </w:p>
        </w:tc>
      </w:tr>
      <w:tr w14:paraId="43FCAFE9">
        <w:tblPrEx>
          <w:tblCellMar>
            <w:top w:w="15" w:type="dxa"/>
            <w:left w:w="15" w:type="dxa"/>
            <w:bottom w:w="15" w:type="dxa"/>
            <w:right w:w="15" w:type="dxa"/>
          </w:tblCellMar>
        </w:tblPrEx>
        <w:trPr>
          <w:trHeight w:val="648" w:hRule="atLeast"/>
        </w:trPr>
        <w:tc>
          <w:tcPr>
            <w:tcW w:w="750" w:type="pct"/>
            <w:vMerge w:val="continue"/>
            <w:tcBorders>
              <w:left w:val="single" w:color="000000" w:sz="4" w:space="0"/>
              <w:right w:val="single" w:color="000000" w:sz="4" w:space="0"/>
            </w:tcBorders>
            <w:vAlign w:val="center"/>
          </w:tcPr>
          <w:p w14:paraId="3DC16A9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7CCD9B0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支持三权分立功能，根据用户权限分为安全管理员、审计员、系统管理员三种角色；</w:t>
            </w:r>
          </w:p>
        </w:tc>
      </w:tr>
      <w:tr w14:paraId="451FEC58">
        <w:tblPrEx>
          <w:tblCellMar>
            <w:top w:w="15" w:type="dxa"/>
            <w:left w:w="15" w:type="dxa"/>
            <w:bottom w:w="15" w:type="dxa"/>
            <w:right w:w="15" w:type="dxa"/>
          </w:tblCellMar>
        </w:tblPrEx>
        <w:trPr>
          <w:trHeight w:val="648" w:hRule="atLeast"/>
        </w:trPr>
        <w:tc>
          <w:tcPr>
            <w:tcW w:w="750" w:type="pct"/>
            <w:vMerge w:val="continue"/>
            <w:tcBorders>
              <w:left w:val="single" w:color="000000" w:sz="4" w:space="0"/>
              <w:right w:val="single" w:color="000000" w:sz="4" w:space="0"/>
            </w:tcBorders>
            <w:vAlign w:val="center"/>
          </w:tcPr>
          <w:p w14:paraId="214BA35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27B1D43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支持产品支持对ICMP、UDP、DNS、SYN等协议进行DDOS防护，支持IP地址扫描和端口扫描攻击防护。</w:t>
            </w:r>
          </w:p>
        </w:tc>
      </w:tr>
      <w:tr w14:paraId="16DC957B">
        <w:tblPrEx>
          <w:tblCellMar>
            <w:top w:w="15" w:type="dxa"/>
            <w:left w:w="15" w:type="dxa"/>
            <w:bottom w:w="15" w:type="dxa"/>
            <w:right w:w="15" w:type="dxa"/>
          </w:tblCellMar>
        </w:tblPrEx>
        <w:trPr>
          <w:trHeight w:val="648" w:hRule="atLeast"/>
        </w:trPr>
        <w:tc>
          <w:tcPr>
            <w:tcW w:w="750" w:type="pct"/>
            <w:vMerge w:val="continue"/>
            <w:tcBorders>
              <w:left w:val="single" w:color="000000" w:sz="4" w:space="0"/>
              <w:bottom w:val="single" w:color="000000" w:sz="4" w:space="0"/>
              <w:right w:val="single" w:color="000000" w:sz="4" w:space="0"/>
            </w:tcBorders>
            <w:vAlign w:val="center"/>
          </w:tcPr>
          <w:p w14:paraId="2400847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3BC51AB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产品支持对压缩病毒文件进行检测和拦截，压缩层数支持15层及以上。（需提供产品功能截图证明）</w:t>
            </w:r>
          </w:p>
        </w:tc>
      </w:tr>
      <w:tr w14:paraId="49986EAC">
        <w:tblPrEx>
          <w:tblCellMar>
            <w:top w:w="15" w:type="dxa"/>
            <w:left w:w="15" w:type="dxa"/>
            <w:bottom w:w="15" w:type="dxa"/>
            <w:right w:w="15" w:type="dxa"/>
          </w:tblCellMar>
        </w:tblPrEx>
        <w:trPr>
          <w:trHeight w:val="648" w:hRule="atLeast"/>
        </w:trPr>
        <w:tc>
          <w:tcPr>
            <w:tcW w:w="750" w:type="pct"/>
            <w:vMerge w:val="restart"/>
            <w:tcBorders>
              <w:top w:val="single" w:color="000000" w:sz="4" w:space="0"/>
              <w:left w:val="single" w:color="000000" w:sz="4" w:space="0"/>
              <w:right w:val="single" w:color="000000" w:sz="4" w:space="0"/>
            </w:tcBorders>
            <w:vAlign w:val="center"/>
          </w:tcPr>
          <w:p w14:paraId="27AFE00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虚拟化数据库审计</w:t>
            </w:r>
          </w:p>
        </w:tc>
        <w:tc>
          <w:tcPr>
            <w:tcW w:w="4250" w:type="pct"/>
            <w:tcBorders>
              <w:top w:val="single" w:color="000000" w:sz="4" w:space="0"/>
              <w:left w:val="single" w:color="000000" w:sz="4" w:space="0"/>
              <w:bottom w:val="single" w:color="000000" w:sz="4" w:space="0"/>
              <w:right w:val="single" w:color="000000" w:sz="4" w:space="0"/>
            </w:tcBorders>
            <w:vAlign w:val="center"/>
          </w:tcPr>
          <w:p w14:paraId="5F4064D0">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kern w:val="0"/>
                <w:sz w:val="24"/>
                <w:highlight w:val="none"/>
              </w:rPr>
            </w:pPr>
            <w:r>
              <w:rPr>
                <w:rFonts w:hint="default" w:ascii="宋体" w:hAnsi="宋体" w:cs="宋体"/>
                <w:color w:val="auto"/>
                <w:kern w:val="0"/>
                <w:sz w:val="24"/>
                <w:highlight w:val="none"/>
              </w:rPr>
              <w:t>▲</w:t>
            </w:r>
            <w:r>
              <w:rPr>
                <w:rFonts w:hint="eastAsia" w:ascii="宋体" w:hAnsi="宋体" w:cs="宋体"/>
                <w:color w:val="auto"/>
                <w:kern w:val="0"/>
                <w:sz w:val="24"/>
                <w:highlight w:val="none"/>
              </w:rPr>
              <w:t>本次提供1套虚拟化数据库审计，性能要求：日志存储≥10亿条/天，内存≥8G，数据库流量（单向）：300Mb/s</w:t>
            </w:r>
          </w:p>
        </w:tc>
      </w:tr>
      <w:tr w14:paraId="00CF6E26">
        <w:tblPrEx>
          <w:tblCellMar>
            <w:top w:w="15" w:type="dxa"/>
            <w:left w:w="15" w:type="dxa"/>
            <w:bottom w:w="15" w:type="dxa"/>
            <w:right w:w="15" w:type="dxa"/>
          </w:tblCellMar>
        </w:tblPrEx>
        <w:trPr>
          <w:trHeight w:val="789" w:hRule="atLeast"/>
        </w:trPr>
        <w:tc>
          <w:tcPr>
            <w:tcW w:w="750" w:type="pct"/>
            <w:vMerge w:val="continue"/>
            <w:tcBorders>
              <w:left w:val="single" w:color="000000" w:sz="4" w:space="0"/>
              <w:right w:val="single" w:color="000000" w:sz="4" w:space="0"/>
            </w:tcBorders>
            <w:vAlign w:val="center"/>
          </w:tcPr>
          <w:p w14:paraId="097D680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575DE134">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支持白名单审计，系统使用审计白名单将非关注的内容进行过滤，不进行记录，降低了存储空间和无用信息的堆砌</w:t>
            </w:r>
          </w:p>
        </w:tc>
      </w:tr>
      <w:tr w14:paraId="0D9904BD">
        <w:tblPrEx>
          <w:tblCellMar>
            <w:top w:w="15" w:type="dxa"/>
            <w:left w:w="15" w:type="dxa"/>
            <w:bottom w:w="15" w:type="dxa"/>
            <w:right w:w="15" w:type="dxa"/>
          </w:tblCellMar>
        </w:tblPrEx>
        <w:trPr>
          <w:trHeight w:val="567" w:hRule="atLeast"/>
        </w:trPr>
        <w:tc>
          <w:tcPr>
            <w:tcW w:w="750" w:type="pct"/>
            <w:vMerge w:val="continue"/>
            <w:tcBorders>
              <w:left w:val="single" w:color="000000" w:sz="4" w:space="0"/>
              <w:bottom w:val="single" w:color="000000" w:sz="4" w:space="0"/>
              <w:right w:val="single" w:color="000000" w:sz="4" w:space="0"/>
            </w:tcBorders>
            <w:vAlign w:val="center"/>
          </w:tcPr>
          <w:p w14:paraId="1978B77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68752FF1">
            <w:pPr>
              <w:keepNext w:val="0"/>
              <w:keepLines w:val="0"/>
              <w:suppressLineNumbers w:val="0"/>
              <w:snapToGrid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精细化日志秒级查询</w:t>
            </w:r>
          </w:p>
          <w:p w14:paraId="31AADA1F">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通过SQL串模式抽取保障磁盘IO的读写性能；分离式存储SQL语句保障数据审计速度快（需提供产品功能截图证shu明）</w:t>
            </w:r>
          </w:p>
        </w:tc>
      </w:tr>
      <w:tr w14:paraId="1C9867F9">
        <w:tblPrEx>
          <w:tblCellMar>
            <w:top w:w="15" w:type="dxa"/>
            <w:left w:w="15" w:type="dxa"/>
            <w:bottom w:w="15" w:type="dxa"/>
            <w:right w:w="15" w:type="dxa"/>
          </w:tblCellMar>
        </w:tblPrEx>
        <w:trPr>
          <w:trHeight w:val="90" w:hRule="atLeast"/>
        </w:trPr>
        <w:tc>
          <w:tcPr>
            <w:tcW w:w="750" w:type="pct"/>
            <w:vMerge w:val="restart"/>
            <w:tcBorders>
              <w:top w:val="single" w:color="000000" w:sz="4" w:space="0"/>
              <w:left w:val="single" w:color="000000" w:sz="4" w:space="0"/>
              <w:right w:val="single" w:color="000000" w:sz="4" w:space="0"/>
            </w:tcBorders>
            <w:vAlign w:val="center"/>
          </w:tcPr>
          <w:p w14:paraId="2B35B1F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虚拟化堡垒机</w:t>
            </w:r>
          </w:p>
        </w:tc>
        <w:tc>
          <w:tcPr>
            <w:tcW w:w="4250" w:type="pct"/>
            <w:tcBorders>
              <w:top w:val="single" w:color="000000" w:sz="4" w:space="0"/>
              <w:left w:val="single" w:color="000000" w:sz="4" w:space="0"/>
              <w:bottom w:val="single" w:color="000000" w:sz="4" w:space="0"/>
              <w:right w:val="single" w:color="000000" w:sz="4" w:space="0"/>
            </w:tcBorders>
            <w:vAlign w:val="center"/>
          </w:tcPr>
          <w:p w14:paraId="73F5C65E">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本次提供1套虚拟化堡垒机，授权要求:包含资产授权数量(个)≥</w:t>
            </w:r>
            <w:r>
              <w:rPr>
                <w:rFonts w:hint="default" w:ascii="宋体" w:hAnsi="宋体" w:cs="宋体"/>
                <w:color w:val="auto"/>
                <w:kern w:val="0"/>
                <w:sz w:val="24"/>
                <w:highlight w:val="none"/>
              </w:rPr>
              <w:t>1</w:t>
            </w:r>
            <w:r>
              <w:rPr>
                <w:rFonts w:hint="eastAsia" w:ascii="宋体" w:hAnsi="宋体" w:cs="宋体"/>
                <w:color w:val="auto"/>
                <w:kern w:val="0"/>
                <w:sz w:val="24"/>
                <w:highlight w:val="none"/>
              </w:rPr>
              <w:t>0</w:t>
            </w:r>
          </w:p>
        </w:tc>
      </w:tr>
      <w:tr w14:paraId="39E6F315">
        <w:tblPrEx>
          <w:tblCellMar>
            <w:top w:w="15" w:type="dxa"/>
            <w:left w:w="15" w:type="dxa"/>
            <w:bottom w:w="15" w:type="dxa"/>
            <w:right w:w="15" w:type="dxa"/>
          </w:tblCellMar>
        </w:tblPrEx>
        <w:trPr>
          <w:trHeight w:val="648" w:hRule="atLeast"/>
        </w:trPr>
        <w:tc>
          <w:tcPr>
            <w:tcW w:w="750" w:type="pct"/>
            <w:vMerge w:val="continue"/>
            <w:tcBorders>
              <w:left w:val="single" w:color="000000" w:sz="4" w:space="0"/>
              <w:right w:val="single" w:color="000000" w:sz="4" w:space="0"/>
            </w:tcBorders>
            <w:vAlign w:val="center"/>
          </w:tcPr>
          <w:p w14:paraId="2E4E3A7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12AA35BB">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★支持通过动作流配置提供广泛的应用接入支持，无论被接入的资源如何设计登录动作，通过动作流配置都可以实现单点登陆和审计接入。（需提供相关功能截图证明）</w:t>
            </w:r>
          </w:p>
        </w:tc>
      </w:tr>
      <w:tr w14:paraId="45664CF6">
        <w:tblPrEx>
          <w:tblCellMar>
            <w:top w:w="15" w:type="dxa"/>
            <w:left w:w="15" w:type="dxa"/>
            <w:bottom w:w="15" w:type="dxa"/>
            <w:right w:w="15" w:type="dxa"/>
          </w:tblCellMar>
        </w:tblPrEx>
        <w:trPr>
          <w:trHeight w:val="648" w:hRule="atLeast"/>
        </w:trPr>
        <w:tc>
          <w:tcPr>
            <w:tcW w:w="750" w:type="pct"/>
            <w:vMerge w:val="continue"/>
            <w:tcBorders>
              <w:left w:val="single" w:color="000000" w:sz="4" w:space="0"/>
              <w:right w:val="single" w:color="000000" w:sz="4" w:space="0"/>
            </w:tcBorders>
            <w:vAlign w:val="center"/>
          </w:tcPr>
          <w:p w14:paraId="1A67DB6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4C0D130A">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支持批量导入、导出资源信息；支持手动添加、删除、编辑、查询资源，支持变更默认运维端口</w:t>
            </w:r>
          </w:p>
        </w:tc>
      </w:tr>
      <w:tr w14:paraId="5BF5EFA3">
        <w:tblPrEx>
          <w:tblCellMar>
            <w:top w:w="15" w:type="dxa"/>
            <w:left w:w="15" w:type="dxa"/>
            <w:bottom w:w="15" w:type="dxa"/>
            <w:right w:w="15" w:type="dxa"/>
          </w:tblCellMar>
        </w:tblPrEx>
        <w:trPr>
          <w:trHeight w:val="648" w:hRule="atLeast"/>
        </w:trPr>
        <w:tc>
          <w:tcPr>
            <w:tcW w:w="750" w:type="pct"/>
            <w:vMerge w:val="continue"/>
            <w:tcBorders>
              <w:left w:val="single" w:color="000000" w:sz="4" w:space="0"/>
              <w:bottom w:val="single" w:color="000000" w:sz="4" w:space="0"/>
              <w:right w:val="single" w:color="000000" w:sz="4" w:space="0"/>
            </w:tcBorders>
            <w:vAlign w:val="center"/>
          </w:tcPr>
          <w:p w14:paraId="6DFA6FD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7B3995D5">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支持在授权基础上自定义访问审批流程，可设置一级或多级审批人，每级审批可指定通过投票数，需逐级审批通过才可最终发起运维操作。</w:t>
            </w:r>
          </w:p>
        </w:tc>
      </w:tr>
      <w:tr w14:paraId="7383A6DD">
        <w:tblPrEx>
          <w:tblCellMar>
            <w:top w:w="15" w:type="dxa"/>
            <w:left w:w="15" w:type="dxa"/>
            <w:bottom w:w="15" w:type="dxa"/>
            <w:right w:w="15" w:type="dxa"/>
          </w:tblCellMar>
        </w:tblPrEx>
        <w:trPr>
          <w:trHeight w:val="440" w:hRule="atLeast"/>
        </w:trPr>
        <w:tc>
          <w:tcPr>
            <w:tcW w:w="750" w:type="pct"/>
            <w:vMerge w:val="restart"/>
            <w:tcBorders>
              <w:top w:val="single" w:color="000000" w:sz="4" w:space="0"/>
              <w:left w:val="single" w:color="000000" w:sz="4" w:space="0"/>
              <w:right w:val="single" w:color="000000" w:sz="4" w:space="0"/>
            </w:tcBorders>
            <w:vAlign w:val="center"/>
          </w:tcPr>
          <w:p w14:paraId="05516A9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虚拟化日志审计</w:t>
            </w:r>
          </w:p>
        </w:tc>
        <w:tc>
          <w:tcPr>
            <w:tcW w:w="4250" w:type="pct"/>
            <w:tcBorders>
              <w:top w:val="single" w:color="000000" w:sz="4" w:space="0"/>
              <w:left w:val="single" w:color="000000" w:sz="4" w:space="0"/>
              <w:bottom w:val="single" w:color="000000" w:sz="4" w:space="0"/>
              <w:right w:val="single" w:color="000000" w:sz="4" w:space="0"/>
            </w:tcBorders>
            <w:vAlign w:val="center"/>
          </w:tcPr>
          <w:p w14:paraId="2203812F">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本次提供1套虚拟化日志审计，授权要求：包含资产授权数量(个)≥</w:t>
            </w:r>
            <w:r>
              <w:rPr>
                <w:rFonts w:hint="default" w:ascii="宋体" w:hAnsi="宋体" w:cs="宋体"/>
                <w:color w:val="auto"/>
                <w:kern w:val="0"/>
                <w:sz w:val="24"/>
                <w:highlight w:val="none"/>
              </w:rPr>
              <w:t>2</w:t>
            </w:r>
            <w:r>
              <w:rPr>
                <w:rFonts w:hint="eastAsia" w:ascii="宋体" w:hAnsi="宋体" w:cs="宋体"/>
                <w:color w:val="auto"/>
                <w:kern w:val="0"/>
                <w:sz w:val="24"/>
                <w:highlight w:val="none"/>
              </w:rPr>
              <w:t>0</w:t>
            </w:r>
          </w:p>
        </w:tc>
      </w:tr>
      <w:tr w14:paraId="16CFAAD3">
        <w:tblPrEx>
          <w:tblCellMar>
            <w:top w:w="15" w:type="dxa"/>
            <w:left w:w="15" w:type="dxa"/>
            <w:bottom w:w="15" w:type="dxa"/>
            <w:right w:w="15" w:type="dxa"/>
          </w:tblCellMar>
        </w:tblPrEx>
        <w:trPr>
          <w:trHeight w:val="214" w:hRule="atLeast"/>
        </w:trPr>
        <w:tc>
          <w:tcPr>
            <w:tcW w:w="750" w:type="pct"/>
            <w:vMerge w:val="continue"/>
            <w:tcBorders>
              <w:left w:val="single" w:color="000000" w:sz="4" w:space="0"/>
              <w:right w:val="single" w:color="000000" w:sz="4" w:space="0"/>
            </w:tcBorders>
            <w:vAlign w:val="center"/>
          </w:tcPr>
          <w:p w14:paraId="68B2970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50E1F312">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★支持接入TLS加密方式的日志，支持对日志传输状态、最近同步时间进行监控，可统计每个日志源的今日传输量和传输总量。（需提供相关功能截图证明）</w:t>
            </w:r>
          </w:p>
        </w:tc>
      </w:tr>
      <w:tr w14:paraId="4A6F24F7">
        <w:tblPrEx>
          <w:tblCellMar>
            <w:top w:w="15" w:type="dxa"/>
            <w:left w:w="15" w:type="dxa"/>
            <w:bottom w:w="15" w:type="dxa"/>
            <w:right w:w="15" w:type="dxa"/>
          </w:tblCellMar>
        </w:tblPrEx>
        <w:trPr>
          <w:trHeight w:val="135" w:hRule="atLeast"/>
        </w:trPr>
        <w:tc>
          <w:tcPr>
            <w:tcW w:w="750" w:type="pct"/>
            <w:vMerge w:val="continue"/>
            <w:tcBorders>
              <w:left w:val="single" w:color="000000" w:sz="4" w:space="0"/>
              <w:bottom w:val="single" w:color="auto" w:sz="4" w:space="0"/>
              <w:right w:val="single" w:color="000000" w:sz="4" w:space="0"/>
            </w:tcBorders>
            <w:vAlign w:val="center"/>
          </w:tcPr>
          <w:p w14:paraId="3D54215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auto" w:sz="4" w:space="0"/>
              <w:right w:val="single" w:color="000000" w:sz="4" w:space="0"/>
            </w:tcBorders>
            <w:vAlign w:val="center"/>
          </w:tcPr>
          <w:p w14:paraId="0188961F">
            <w:pPr>
              <w:keepNext w:val="0"/>
              <w:keepLines w:val="0"/>
              <w:suppressLineNumbers w:val="0"/>
              <w:autoSpaceDE w:val="0"/>
              <w:autoSpaceDN w:val="0"/>
              <w:adjustRightInd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支持单条事件进行展开，显示事件详细信息和事件原始信息，支持事件详情中任意字段作为查询条件无限制进行二次检索分析。</w:t>
            </w:r>
          </w:p>
        </w:tc>
      </w:tr>
      <w:tr w14:paraId="244CBB53">
        <w:tblPrEx>
          <w:tblCellMar>
            <w:top w:w="15" w:type="dxa"/>
            <w:left w:w="15" w:type="dxa"/>
            <w:bottom w:w="15" w:type="dxa"/>
            <w:right w:w="15" w:type="dxa"/>
          </w:tblCellMar>
        </w:tblPrEx>
        <w:trPr>
          <w:trHeight w:val="135" w:hRule="atLeast"/>
        </w:trPr>
        <w:tc>
          <w:tcPr>
            <w:tcW w:w="750" w:type="pct"/>
            <w:vMerge w:val="restart"/>
            <w:tcBorders>
              <w:left w:val="single" w:color="000000" w:sz="4" w:space="0"/>
              <w:right w:val="single" w:color="000000" w:sz="4" w:space="0"/>
            </w:tcBorders>
            <w:vAlign w:val="center"/>
          </w:tcPr>
          <w:p w14:paraId="3985397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终端安全管理系统</w:t>
            </w:r>
          </w:p>
        </w:tc>
        <w:tc>
          <w:tcPr>
            <w:tcW w:w="4250" w:type="pct"/>
            <w:tcBorders>
              <w:top w:val="single" w:color="000000" w:sz="4" w:space="0"/>
              <w:left w:val="single" w:color="000000" w:sz="4" w:space="0"/>
              <w:bottom w:val="single" w:color="auto" w:sz="4" w:space="0"/>
              <w:right w:val="single" w:color="000000" w:sz="4" w:space="0"/>
            </w:tcBorders>
            <w:vAlign w:val="center"/>
          </w:tcPr>
          <w:p w14:paraId="04C7EFC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本次提供1套终端安全管理系统软件和不低于3套服务器端点安全软件</w:t>
            </w:r>
          </w:p>
        </w:tc>
      </w:tr>
      <w:tr w14:paraId="76A860E9">
        <w:tblPrEx>
          <w:tblCellMar>
            <w:top w:w="15" w:type="dxa"/>
            <w:left w:w="15" w:type="dxa"/>
            <w:bottom w:w="15" w:type="dxa"/>
            <w:right w:w="15" w:type="dxa"/>
          </w:tblCellMar>
        </w:tblPrEx>
        <w:trPr>
          <w:trHeight w:val="751" w:hRule="atLeast"/>
        </w:trPr>
        <w:tc>
          <w:tcPr>
            <w:tcW w:w="750" w:type="pct"/>
            <w:vMerge w:val="continue"/>
            <w:tcBorders>
              <w:left w:val="single" w:color="000000" w:sz="4" w:space="0"/>
              <w:right w:val="single" w:color="000000" w:sz="4" w:space="0"/>
            </w:tcBorders>
            <w:vAlign w:val="center"/>
          </w:tcPr>
          <w:p w14:paraId="417A3BA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auto" w:sz="4" w:space="0"/>
              <w:right w:val="single" w:color="000000" w:sz="4" w:space="0"/>
            </w:tcBorders>
            <w:vAlign w:val="center"/>
          </w:tcPr>
          <w:p w14:paraId="6BE085A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通过智能识别终端环境情况（低配硬件、老旧设备、虚拟化等）和当前终端资源占用，在闲时实时监控和病毒扫描场景，都可智能调整客户端的资源占用（CPU、IO等），为业务让出资源，不卡业务，对业务零摩擦。</w:t>
            </w:r>
          </w:p>
        </w:tc>
      </w:tr>
      <w:tr w14:paraId="22A8F91B">
        <w:tblPrEx>
          <w:tblCellMar>
            <w:top w:w="15" w:type="dxa"/>
            <w:left w:w="15" w:type="dxa"/>
            <w:bottom w:w="15" w:type="dxa"/>
            <w:right w:w="15" w:type="dxa"/>
          </w:tblCellMar>
        </w:tblPrEx>
        <w:trPr>
          <w:trHeight w:val="570" w:hRule="atLeast"/>
        </w:trPr>
        <w:tc>
          <w:tcPr>
            <w:tcW w:w="750" w:type="pct"/>
            <w:vMerge w:val="continue"/>
            <w:tcBorders>
              <w:left w:val="single" w:color="000000" w:sz="4" w:space="0"/>
              <w:right w:val="single" w:color="000000" w:sz="4" w:space="0"/>
            </w:tcBorders>
            <w:vAlign w:val="center"/>
          </w:tcPr>
          <w:p w14:paraId="2D121EE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auto" w:sz="4" w:space="0"/>
              <w:right w:val="single" w:color="000000" w:sz="4" w:space="0"/>
            </w:tcBorders>
            <w:vAlign w:val="center"/>
          </w:tcPr>
          <w:p w14:paraId="49C8B26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流量线详情支持展示该流量线对应的控制策略；图形化显示服务器间流量关系，包括访问详情、流量趋势等；支持图形化显示业务系统、服务器及流量详情</w:t>
            </w:r>
          </w:p>
        </w:tc>
      </w:tr>
      <w:tr w14:paraId="2B02AE1A">
        <w:tblPrEx>
          <w:tblCellMar>
            <w:top w:w="15" w:type="dxa"/>
            <w:left w:w="15" w:type="dxa"/>
            <w:bottom w:w="15" w:type="dxa"/>
            <w:right w:w="15" w:type="dxa"/>
          </w:tblCellMar>
        </w:tblPrEx>
        <w:trPr>
          <w:trHeight w:val="135" w:hRule="atLeast"/>
        </w:trPr>
        <w:tc>
          <w:tcPr>
            <w:tcW w:w="750" w:type="pct"/>
            <w:vMerge w:val="continue"/>
            <w:tcBorders>
              <w:left w:val="single" w:color="000000" w:sz="4" w:space="0"/>
              <w:bottom w:val="single" w:color="auto" w:sz="4" w:space="0"/>
              <w:right w:val="single" w:color="000000" w:sz="4" w:space="0"/>
            </w:tcBorders>
            <w:vAlign w:val="center"/>
          </w:tcPr>
          <w:p w14:paraId="1A11131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auto" w:sz="4" w:space="0"/>
              <w:right w:val="single" w:color="000000" w:sz="4" w:space="0"/>
            </w:tcBorders>
            <w:vAlign w:val="center"/>
          </w:tcPr>
          <w:p w14:paraId="38F80A2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★提供勒索病毒整体防护体系入口，直观展示最近七天勒索病毒防护效果，包括已处置的勒索病毒数量、已阻止的勒索病毒行为次数、已阻止的未知进程操作次数、已阻止的暴力破解攻击次数</w:t>
            </w:r>
          </w:p>
        </w:tc>
      </w:tr>
      <w:tr w14:paraId="1C0F0C38">
        <w:tblPrEx>
          <w:tblCellMar>
            <w:top w:w="15" w:type="dxa"/>
            <w:left w:w="15" w:type="dxa"/>
            <w:bottom w:w="15" w:type="dxa"/>
            <w:right w:w="15" w:type="dxa"/>
          </w:tblCellMar>
        </w:tblPrEx>
        <w:trPr>
          <w:trHeight w:val="997" w:hRule="atLeast"/>
        </w:trPr>
        <w:tc>
          <w:tcPr>
            <w:tcW w:w="750" w:type="pct"/>
            <w:tcBorders>
              <w:top w:val="single" w:color="auto" w:sz="4" w:space="0"/>
              <w:left w:val="single" w:color="auto" w:sz="4" w:space="0"/>
              <w:bottom w:val="single" w:color="auto" w:sz="4" w:space="0"/>
              <w:right w:val="single" w:color="auto" w:sz="4" w:space="0"/>
            </w:tcBorders>
            <w:vAlign w:val="center"/>
          </w:tcPr>
          <w:p w14:paraId="02BF3ED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质量保证与售后服务</w:t>
            </w:r>
          </w:p>
        </w:tc>
        <w:tc>
          <w:tcPr>
            <w:tcW w:w="4250" w:type="pct"/>
            <w:tcBorders>
              <w:top w:val="single" w:color="auto" w:sz="4" w:space="0"/>
              <w:left w:val="single" w:color="auto" w:sz="4" w:space="0"/>
              <w:bottom w:val="single" w:color="auto" w:sz="4" w:space="0"/>
              <w:right w:val="single" w:color="auto" w:sz="4" w:space="0"/>
            </w:tcBorders>
            <w:vAlign w:val="center"/>
          </w:tcPr>
          <w:p w14:paraId="72AD0FE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提供原厂上门初始安装服务；提供三年免费软硬件原厂技术支持与售后服务；保证完整原厂包装不开封。中标后合同签订时提供原厂售后服务承诺函和满足上述参数的权威机构检验报告及产品官网链接说明。</w:t>
            </w:r>
          </w:p>
        </w:tc>
      </w:tr>
    </w:tbl>
    <w:p w14:paraId="6E398658">
      <w:pPr>
        <w:pStyle w:val="8"/>
        <w:numPr>
          <w:ilvl w:val="0"/>
          <w:numId w:val="6"/>
        </w:numPr>
        <w:ind w:left="0" w:firstLine="0"/>
        <w:rPr>
          <w:rFonts w:ascii="宋体" w:hAnsi="宋体" w:eastAsia="宋体"/>
          <w:color w:val="auto"/>
          <w:highlight w:val="none"/>
        </w:rPr>
      </w:pPr>
      <w:r>
        <w:rPr>
          <w:rFonts w:hint="eastAsia" w:ascii="宋体" w:hAnsi="宋体" w:eastAsia="宋体"/>
          <w:color w:val="auto"/>
          <w:highlight w:val="none"/>
        </w:rPr>
        <w:t>基础软件及等保服务</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1253"/>
        <w:gridCol w:w="4947"/>
      </w:tblGrid>
      <w:tr w14:paraId="47FA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14:paraId="680D6C84">
            <w:pPr>
              <w:keepNext w:val="0"/>
              <w:keepLines w:val="0"/>
              <w:widowControl/>
              <w:suppressLineNumbers w:val="0"/>
              <w:spacing w:before="0" w:beforeAutospacing="0" w:after="0" w:afterAutospacing="0"/>
              <w:ind w:left="0" w:right="0"/>
              <w:jc w:val="center"/>
              <w:rPr>
                <w:rFonts w:hint="eastAsia" w:ascii="宋体" w:hAnsi="宋体" w:cs="Calibri"/>
                <w:b/>
                <w:bCs/>
                <w:color w:val="auto"/>
                <w:sz w:val="21"/>
                <w:szCs w:val="21"/>
                <w:highlight w:val="none"/>
              </w:rPr>
            </w:pPr>
            <w:r>
              <w:rPr>
                <w:rFonts w:hint="eastAsia" w:ascii="宋体" w:hAnsi="宋体" w:cs="Calibri"/>
                <w:b/>
                <w:bCs/>
                <w:color w:val="auto"/>
                <w:sz w:val="21"/>
                <w:szCs w:val="21"/>
                <w:highlight w:val="none"/>
              </w:rPr>
              <w:t>名称</w:t>
            </w:r>
          </w:p>
        </w:tc>
        <w:tc>
          <w:tcPr>
            <w:tcW w:w="683" w:type="pct"/>
            <w:tcBorders>
              <w:top w:val="single" w:color="auto" w:sz="4" w:space="0"/>
              <w:left w:val="single" w:color="auto" w:sz="4" w:space="0"/>
              <w:bottom w:val="single" w:color="auto" w:sz="4" w:space="0"/>
              <w:right w:val="single" w:color="auto" w:sz="4" w:space="0"/>
            </w:tcBorders>
            <w:vAlign w:val="center"/>
          </w:tcPr>
          <w:p w14:paraId="2C7168C0">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w:t>
            </w:r>
          </w:p>
        </w:tc>
        <w:tc>
          <w:tcPr>
            <w:tcW w:w="2696" w:type="pct"/>
            <w:tcBorders>
              <w:top w:val="single" w:color="auto" w:sz="4" w:space="0"/>
              <w:left w:val="single" w:color="auto" w:sz="4" w:space="0"/>
              <w:bottom w:val="single" w:color="auto" w:sz="4" w:space="0"/>
              <w:right w:val="single" w:color="auto" w:sz="4" w:space="0"/>
            </w:tcBorders>
            <w:vAlign w:val="center"/>
          </w:tcPr>
          <w:p w14:paraId="10E07EB8">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1"/>
                <w:szCs w:val="21"/>
                <w:highlight w:val="none"/>
              </w:rPr>
            </w:pPr>
            <w:r>
              <w:rPr>
                <w:rFonts w:hint="eastAsia" w:ascii="宋体" w:hAnsi="宋体" w:cs="Calibri"/>
                <w:b/>
                <w:bCs/>
                <w:color w:val="auto"/>
                <w:sz w:val="21"/>
                <w:szCs w:val="21"/>
                <w:highlight w:val="none"/>
              </w:rPr>
              <w:t>技术参数要求</w:t>
            </w:r>
          </w:p>
        </w:tc>
      </w:tr>
      <w:tr w14:paraId="478F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21" w:type="pct"/>
            <w:vAlign w:val="center"/>
          </w:tcPr>
          <w:p w14:paraId="40E3833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国产化服务器操作系统</w:t>
            </w:r>
          </w:p>
        </w:tc>
        <w:tc>
          <w:tcPr>
            <w:tcW w:w="683" w:type="pct"/>
            <w:vAlign w:val="center"/>
          </w:tcPr>
          <w:p w14:paraId="0326F98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default" w:ascii="宋体" w:hAnsi="宋体" w:cs="宋体"/>
                <w:color w:val="auto"/>
                <w:kern w:val="0"/>
                <w:sz w:val="24"/>
                <w:highlight w:val="none"/>
              </w:rPr>
              <w:t>3</w:t>
            </w:r>
            <w:r>
              <w:rPr>
                <w:rFonts w:hint="eastAsia" w:ascii="宋体" w:hAnsi="宋体" w:cs="宋体"/>
                <w:color w:val="auto"/>
                <w:kern w:val="0"/>
                <w:sz w:val="24"/>
                <w:highlight w:val="none"/>
              </w:rPr>
              <w:t>套</w:t>
            </w:r>
          </w:p>
        </w:tc>
        <w:tc>
          <w:tcPr>
            <w:tcW w:w="2696" w:type="pct"/>
            <w:vAlign w:val="center"/>
          </w:tcPr>
          <w:p w14:paraId="6AE2C0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正版统信UOS服务器操作系统，需最终授权用户为本项目采购单位。</w:t>
            </w:r>
          </w:p>
        </w:tc>
      </w:tr>
      <w:tr w14:paraId="5D05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21" w:type="pct"/>
            <w:vAlign w:val="center"/>
          </w:tcPr>
          <w:p w14:paraId="1059627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国产化数据库</w:t>
            </w:r>
          </w:p>
        </w:tc>
        <w:tc>
          <w:tcPr>
            <w:tcW w:w="683" w:type="pct"/>
            <w:vAlign w:val="center"/>
          </w:tcPr>
          <w:p w14:paraId="093A71B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default" w:ascii="宋体" w:hAnsi="宋体" w:cs="宋体"/>
                <w:color w:val="auto"/>
                <w:kern w:val="0"/>
                <w:sz w:val="24"/>
                <w:highlight w:val="none"/>
              </w:rPr>
              <w:t>1</w:t>
            </w:r>
            <w:r>
              <w:rPr>
                <w:rFonts w:hint="eastAsia" w:ascii="宋体" w:hAnsi="宋体" w:cs="宋体"/>
                <w:color w:val="auto"/>
                <w:kern w:val="0"/>
                <w:sz w:val="24"/>
                <w:highlight w:val="none"/>
              </w:rPr>
              <w:t>套</w:t>
            </w:r>
          </w:p>
        </w:tc>
        <w:tc>
          <w:tcPr>
            <w:tcW w:w="2696" w:type="pct"/>
            <w:vAlign w:val="center"/>
          </w:tcPr>
          <w:p w14:paraId="0D38D09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正版达梦数据库，需最终授权用户为本项目采购单位。</w:t>
            </w:r>
          </w:p>
        </w:tc>
      </w:tr>
      <w:tr w14:paraId="7012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21" w:type="pct"/>
            <w:vAlign w:val="center"/>
          </w:tcPr>
          <w:p w14:paraId="6E6D51C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等保测评服务</w:t>
            </w:r>
          </w:p>
        </w:tc>
        <w:tc>
          <w:tcPr>
            <w:tcW w:w="683" w:type="pct"/>
            <w:vAlign w:val="center"/>
          </w:tcPr>
          <w:p w14:paraId="24C8A10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r>
              <w:rPr>
                <w:rFonts w:hint="eastAsia" w:ascii="宋体" w:hAnsi="宋体" w:cs="宋体"/>
                <w:color w:val="auto"/>
                <w:kern w:val="0"/>
                <w:sz w:val="24"/>
                <w:highlight w:val="none"/>
              </w:rPr>
              <w:t>个</w:t>
            </w:r>
          </w:p>
        </w:tc>
        <w:tc>
          <w:tcPr>
            <w:tcW w:w="2696" w:type="pct"/>
            <w:vAlign w:val="center"/>
          </w:tcPr>
          <w:p w14:paraId="6758C24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针对本次建设的两个系统开展信息安全等级保护测评（二级）</w:t>
            </w:r>
          </w:p>
        </w:tc>
      </w:tr>
    </w:tbl>
    <w:p w14:paraId="05045C1A">
      <w:pPr>
        <w:pStyle w:val="6"/>
        <w:rPr>
          <w:rFonts w:ascii="宋体" w:hAnsi="宋体" w:eastAsia="宋体"/>
          <w:color w:val="auto"/>
          <w:highlight w:val="none"/>
        </w:rPr>
      </w:pPr>
      <w:r>
        <w:rPr>
          <w:rFonts w:hint="eastAsia" w:ascii="宋体" w:hAnsi="宋体" w:eastAsia="宋体"/>
          <w:color w:val="auto"/>
          <w:highlight w:val="none"/>
        </w:rPr>
        <w:t>三、商务需求</w:t>
      </w:r>
    </w:p>
    <w:p w14:paraId="4E39FA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b/>
          <w:bCs/>
          <w:color w:val="auto"/>
          <w:kern w:val="0"/>
          <w:sz w:val="24"/>
          <w:highlight w:val="none"/>
        </w:rPr>
        <w:t>质保期：</w:t>
      </w:r>
      <w:r>
        <w:rPr>
          <w:rFonts w:hint="eastAsia" w:ascii="宋体" w:hAnsi="宋体" w:eastAsia="宋体" w:cs="宋体"/>
          <w:color w:val="auto"/>
          <w:kern w:val="0"/>
          <w:sz w:val="24"/>
          <w:highlight w:val="none"/>
        </w:rPr>
        <w:t>3年，自项目验收之日起算。</w:t>
      </w:r>
    </w:p>
    <w:p w14:paraId="1469396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b/>
          <w:bCs/>
          <w:color w:val="auto"/>
          <w:kern w:val="0"/>
          <w:sz w:val="24"/>
          <w:highlight w:val="none"/>
        </w:rPr>
        <w:t>交货时间及地点：</w:t>
      </w:r>
      <w:r>
        <w:rPr>
          <w:rFonts w:hint="eastAsia" w:ascii="宋体" w:hAnsi="宋体" w:eastAsia="宋体" w:cs="宋体"/>
          <w:color w:val="auto"/>
          <w:kern w:val="0"/>
          <w:sz w:val="24"/>
          <w:highlight w:val="none"/>
        </w:rPr>
        <w:t>同前面“招标项目一览表”内所填的相关内容。</w:t>
      </w:r>
    </w:p>
    <w:p w14:paraId="3CB2E6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b/>
          <w:bCs/>
          <w:color w:val="auto"/>
          <w:kern w:val="0"/>
          <w:sz w:val="24"/>
          <w:highlight w:val="none"/>
        </w:rPr>
        <w:t>付款条件：</w:t>
      </w:r>
      <w:r>
        <w:rPr>
          <w:rFonts w:hint="eastAsia" w:ascii="宋体" w:hAnsi="宋体" w:eastAsia="宋体" w:cs="宋体"/>
          <w:color w:val="auto"/>
          <w:kern w:val="0"/>
          <w:sz w:val="24"/>
          <w:highlight w:val="none"/>
        </w:rPr>
        <w:t>合同签订后，</w:t>
      </w:r>
      <w:r>
        <w:rPr>
          <w:rFonts w:hint="eastAsia" w:ascii="宋体" w:hAnsi="宋体" w:eastAsia="宋体" w:cs="宋体"/>
          <w:color w:val="auto"/>
          <w:kern w:val="0"/>
          <w:sz w:val="24"/>
          <w:highlight w:val="none"/>
          <w:lang w:val="en-US" w:eastAsia="zh-CN"/>
        </w:rPr>
        <w:t>招标人</w:t>
      </w:r>
      <w:r>
        <w:rPr>
          <w:rFonts w:hint="eastAsia" w:ascii="宋体" w:hAnsi="宋体" w:eastAsia="宋体" w:cs="宋体"/>
          <w:color w:val="auto"/>
          <w:kern w:val="0"/>
          <w:sz w:val="24"/>
          <w:highlight w:val="none"/>
        </w:rPr>
        <w:t>向</w:t>
      </w:r>
      <w:r>
        <w:rPr>
          <w:rFonts w:hint="eastAsia" w:ascii="宋体" w:hAnsi="宋体" w:eastAsia="宋体" w:cs="宋体"/>
          <w:color w:val="auto"/>
          <w:kern w:val="0"/>
          <w:sz w:val="24"/>
          <w:highlight w:val="none"/>
          <w:lang w:val="en-US" w:eastAsia="zh-CN"/>
        </w:rPr>
        <w:t>中标投标人</w:t>
      </w:r>
      <w:r>
        <w:rPr>
          <w:rFonts w:hint="eastAsia" w:ascii="宋体" w:hAnsi="宋体" w:eastAsia="宋体" w:cs="宋体"/>
          <w:color w:val="auto"/>
          <w:kern w:val="0"/>
          <w:sz w:val="24"/>
          <w:highlight w:val="none"/>
        </w:rPr>
        <w:t>支付50%的合同款项作为预付款；</w:t>
      </w:r>
      <w:r>
        <w:rPr>
          <w:rFonts w:hint="eastAsia" w:ascii="宋体" w:hAnsi="宋体" w:eastAsia="宋体" w:cs="宋体"/>
          <w:color w:val="auto"/>
          <w:kern w:val="0"/>
          <w:sz w:val="24"/>
          <w:highlight w:val="none"/>
          <w:lang w:val="en-US" w:eastAsia="zh-CN"/>
        </w:rPr>
        <w:t>中标投标人</w:t>
      </w:r>
      <w:r>
        <w:rPr>
          <w:rFonts w:hint="eastAsia" w:ascii="宋体" w:hAnsi="宋体" w:eastAsia="宋体" w:cs="宋体"/>
          <w:color w:val="auto"/>
          <w:kern w:val="0"/>
          <w:sz w:val="24"/>
          <w:highlight w:val="none"/>
        </w:rPr>
        <w:t>系统开发及设备安装调试完成并验收合格后，在</w:t>
      </w:r>
      <w:r>
        <w:rPr>
          <w:rFonts w:hint="eastAsia" w:ascii="宋体" w:hAnsi="宋体" w:eastAsia="宋体" w:cs="宋体"/>
          <w:color w:val="auto"/>
          <w:kern w:val="0"/>
          <w:sz w:val="24"/>
          <w:highlight w:val="none"/>
          <w:lang w:val="en-US" w:eastAsia="zh-CN"/>
        </w:rPr>
        <w:t>中标投标人</w:t>
      </w:r>
      <w:r>
        <w:rPr>
          <w:rFonts w:hint="eastAsia" w:ascii="宋体" w:hAnsi="宋体" w:eastAsia="宋体" w:cs="宋体"/>
          <w:color w:val="auto"/>
          <w:kern w:val="0"/>
          <w:sz w:val="24"/>
          <w:highlight w:val="none"/>
        </w:rPr>
        <w:t>票证齐全，且符合</w:t>
      </w:r>
      <w:r>
        <w:rPr>
          <w:rFonts w:hint="eastAsia" w:ascii="宋体" w:hAnsi="宋体" w:eastAsia="宋体" w:cs="宋体"/>
          <w:color w:val="auto"/>
          <w:kern w:val="0"/>
          <w:sz w:val="24"/>
          <w:highlight w:val="none"/>
          <w:lang w:val="en-US" w:eastAsia="zh-CN"/>
        </w:rPr>
        <w:t>招标人</w:t>
      </w:r>
      <w:r>
        <w:rPr>
          <w:rFonts w:hint="eastAsia" w:ascii="宋体" w:hAnsi="宋体" w:eastAsia="宋体" w:cs="宋体"/>
          <w:color w:val="auto"/>
          <w:kern w:val="0"/>
          <w:sz w:val="24"/>
          <w:highlight w:val="none"/>
        </w:rPr>
        <w:t>付款流程的前提下，</w:t>
      </w:r>
      <w:r>
        <w:rPr>
          <w:rFonts w:hint="eastAsia" w:ascii="宋体" w:hAnsi="宋体" w:eastAsia="宋体" w:cs="宋体"/>
          <w:color w:val="auto"/>
          <w:kern w:val="0"/>
          <w:sz w:val="24"/>
          <w:highlight w:val="none"/>
          <w:lang w:val="en-US" w:eastAsia="zh-CN"/>
        </w:rPr>
        <w:t>招标人</w:t>
      </w:r>
      <w:r>
        <w:rPr>
          <w:rFonts w:hint="eastAsia" w:ascii="宋体" w:hAnsi="宋体" w:eastAsia="宋体" w:cs="宋体"/>
          <w:color w:val="auto"/>
          <w:kern w:val="0"/>
          <w:sz w:val="24"/>
          <w:highlight w:val="none"/>
        </w:rPr>
        <w:t>一次性付清剩余款项。否则</w:t>
      </w:r>
      <w:r>
        <w:rPr>
          <w:rFonts w:hint="eastAsia" w:ascii="宋体" w:hAnsi="宋体" w:eastAsia="宋体" w:cs="宋体"/>
          <w:color w:val="auto"/>
          <w:kern w:val="0"/>
          <w:sz w:val="24"/>
          <w:highlight w:val="none"/>
          <w:lang w:val="en-US" w:eastAsia="zh-CN"/>
        </w:rPr>
        <w:t>招标人</w:t>
      </w:r>
      <w:r>
        <w:rPr>
          <w:rFonts w:hint="eastAsia" w:ascii="宋体" w:hAnsi="宋体" w:eastAsia="宋体" w:cs="宋体"/>
          <w:color w:val="auto"/>
          <w:kern w:val="0"/>
          <w:sz w:val="24"/>
          <w:highlight w:val="none"/>
        </w:rPr>
        <w:t>有权拒绝付款，不视为违约。</w:t>
      </w:r>
    </w:p>
    <w:p w14:paraId="3A4F1F11">
      <w:pPr>
        <w:spacing w:line="360" w:lineRule="auto"/>
        <w:ind w:firstLine="480" w:firstLineChars="200"/>
        <w:rPr>
          <w:rFonts w:ascii="宋体" w:hAnsi="宋体"/>
          <w:color w:val="auto"/>
          <w:sz w:val="21"/>
          <w:szCs w:val="21"/>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b/>
          <w:bCs/>
          <w:color w:val="auto"/>
          <w:kern w:val="0"/>
          <w:sz w:val="24"/>
          <w:highlight w:val="none"/>
        </w:rPr>
        <w:t>相关要求：</w:t>
      </w:r>
      <w:r>
        <w:rPr>
          <w:rFonts w:hint="eastAsia" w:ascii="宋体" w:hAnsi="宋体" w:eastAsia="宋体" w:cs="宋体"/>
          <w:color w:val="auto"/>
          <w:kern w:val="0"/>
          <w:sz w:val="24"/>
          <w:highlight w:val="none"/>
        </w:rPr>
        <w:t>▲本项目属交钥匙工程，中标人不得以任何理由增加费用。项目实施过程中可能涉及的所有财务成本已经包含投标总报价之中，对标书中未体现，但又是所必须的组件，都包含在本次报价中。同时，中标方需对项目建设期间的安全责任问题及第三方责任赔偿负责，投标的报价为包含实现本项目的所有功能及安全保障工作所需费用，所有价格均采用人民币报价，其应包括（但不限于）施工设备、劳务、现场恢复、管理、材料、系统集成、安装调试、软件开发、试运行、质保、保险、利润、税金、培训费、措施费、人身意外伤害保险费、备品备件费用等。在招标确定中标人后。采购人有权要求投标产品进行为期两周的功能性测试，中标人需在公示期内提供相关样机设备进行上述功能要求的逐一测试验证，全部通过后才能执行合同流程，若测试中发现投标方提供的产品的功能、性能及配置与投标文件中技术偏离表所承诺的不符有虚假应标行为的将予按政府采购法规定做出相应处理并保留对该厂商追究相关责任的权利。</w:t>
      </w:r>
    </w:p>
    <w:p w14:paraId="2C6FDE4F">
      <w:pPr>
        <w:spacing w:line="360" w:lineRule="auto"/>
        <w:rPr>
          <w:rFonts w:ascii="宋体" w:hAnsi="宋体" w:cs="宋体"/>
          <w:b/>
          <w:bCs/>
          <w:color w:val="auto"/>
          <w:sz w:val="24"/>
          <w:highlight w:val="none"/>
        </w:rPr>
      </w:pPr>
    </w:p>
    <w:p w14:paraId="50D84EEB">
      <w:pPr>
        <w:snapToGrid w:val="0"/>
        <w:spacing w:before="156" w:beforeLines="50" w:after="156" w:afterLines="50"/>
        <w:jc w:val="both"/>
        <w:rPr>
          <w:rFonts w:ascii="宋体" w:hAnsi="宋体"/>
          <w:color w:val="auto"/>
          <w:sz w:val="30"/>
          <w:szCs w:val="30"/>
          <w:highlight w:val="none"/>
        </w:rPr>
      </w:pPr>
    </w:p>
    <w:p w14:paraId="5257B813">
      <w:pPr>
        <w:snapToGrid w:val="0"/>
        <w:spacing w:before="156" w:beforeLines="50" w:after="156" w:afterLines="50"/>
        <w:jc w:val="both"/>
        <w:rPr>
          <w:rFonts w:ascii="宋体" w:hAnsi="宋体"/>
          <w:color w:val="auto"/>
          <w:sz w:val="30"/>
          <w:szCs w:val="30"/>
          <w:highlight w:val="none"/>
        </w:rPr>
      </w:pPr>
    </w:p>
    <w:p w14:paraId="5EC0F86F">
      <w:pPr>
        <w:snapToGrid w:val="0"/>
        <w:spacing w:before="156" w:beforeLines="50" w:after="156" w:afterLines="50"/>
        <w:jc w:val="both"/>
        <w:rPr>
          <w:rFonts w:ascii="宋体" w:hAnsi="宋体"/>
          <w:color w:val="auto"/>
          <w:sz w:val="30"/>
          <w:szCs w:val="30"/>
          <w:highlight w:val="none"/>
        </w:rPr>
      </w:pPr>
    </w:p>
    <w:p w14:paraId="34BAF0B6">
      <w:pPr>
        <w:snapToGrid w:val="0"/>
        <w:spacing w:before="156" w:beforeLines="50" w:after="156" w:afterLines="50"/>
        <w:jc w:val="both"/>
        <w:rPr>
          <w:rFonts w:ascii="宋体" w:hAnsi="宋体"/>
          <w:color w:val="auto"/>
          <w:sz w:val="30"/>
          <w:szCs w:val="30"/>
          <w:highlight w:val="none"/>
        </w:rPr>
      </w:pPr>
    </w:p>
    <w:p w14:paraId="791F52B4">
      <w:pPr>
        <w:snapToGrid w:val="0"/>
        <w:spacing w:before="156" w:beforeLines="50" w:after="156" w:afterLines="50"/>
        <w:jc w:val="both"/>
        <w:rPr>
          <w:rFonts w:ascii="宋体" w:hAnsi="宋体"/>
          <w:color w:val="auto"/>
          <w:sz w:val="30"/>
          <w:szCs w:val="30"/>
          <w:highlight w:val="none"/>
        </w:rPr>
      </w:pPr>
    </w:p>
    <w:p w14:paraId="2F1C268B">
      <w:pPr>
        <w:snapToGrid w:val="0"/>
        <w:spacing w:before="156" w:beforeLines="50" w:after="156" w:afterLines="50"/>
        <w:jc w:val="both"/>
        <w:rPr>
          <w:rFonts w:ascii="宋体" w:hAnsi="宋体"/>
          <w:color w:val="auto"/>
          <w:sz w:val="30"/>
          <w:szCs w:val="30"/>
          <w:highlight w:val="none"/>
        </w:rPr>
      </w:pPr>
    </w:p>
    <w:p w14:paraId="384C8C37">
      <w:pPr>
        <w:snapToGrid w:val="0"/>
        <w:spacing w:before="156" w:beforeLines="50" w:after="156" w:afterLines="50"/>
        <w:jc w:val="both"/>
        <w:rPr>
          <w:rFonts w:ascii="宋体" w:hAnsi="宋体"/>
          <w:color w:val="auto"/>
          <w:sz w:val="30"/>
          <w:szCs w:val="30"/>
          <w:highlight w:val="none"/>
        </w:rPr>
      </w:pPr>
    </w:p>
    <w:p w14:paraId="7E34E72B">
      <w:pPr>
        <w:snapToGrid w:val="0"/>
        <w:spacing w:before="156" w:beforeLines="50" w:after="156" w:afterLines="50"/>
        <w:jc w:val="center"/>
        <w:rPr>
          <w:rFonts w:ascii="宋体" w:hAnsi="宋体"/>
          <w:color w:val="auto"/>
          <w:sz w:val="30"/>
          <w:szCs w:val="30"/>
          <w:highlight w:val="none"/>
        </w:rPr>
      </w:pPr>
      <w:r>
        <w:rPr>
          <w:rFonts w:ascii="宋体" w:hAnsi="宋体"/>
          <w:color w:val="auto"/>
          <w:sz w:val="30"/>
          <w:szCs w:val="30"/>
          <w:highlight w:val="none"/>
        </w:rPr>
        <w:t>第三章  投标人须知</w:t>
      </w:r>
      <w:bookmarkEnd w:id="5"/>
    </w:p>
    <w:bookmarkEnd w:id="6"/>
    <w:p w14:paraId="543CD06F">
      <w:pPr>
        <w:snapToGrid w:val="0"/>
        <w:spacing w:before="156" w:beforeLines="50" w:after="156" w:afterLines="50"/>
        <w:ind w:left="238"/>
        <w:jc w:val="center"/>
        <w:outlineLvl w:val="1"/>
        <w:rPr>
          <w:rFonts w:ascii="宋体" w:hAnsi="宋体"/>
          <w:b/>
          <w:color w:val="auto"/>
          <w:szCs w:val="28"/>
          <w:highlight w:val="none"/>
        </w:rPr>
      </w:pPr>
      <w:r>
        <w:rPr>
          <w:rFonts w:hint="eastAsia" w:ascii="宋体" w:hAnsi="宋体"/>
          <w:b/>
          <w:color w:val="auto"/>
          <w:szCs w:val="28"/>
          <w:highlight w:val="none"/>
        </w:rPr>
        <w:t>前 附 表</w:t>
      </w:r>
    </w:p>
    <w:tbl>
      <w:tblPr>
        <w:tblStyle w:val="41"/>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24E0E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00E5290">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A16D62D">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内容要求</w:t>
            </w:r>
          </w:p>
        </w:tc>
      </w:tr>
      <w:tr w14:paraId="47C62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98E0DDE">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D3483CE">
            <w:pPr>
              <w:keepNext w:val="0"/>
              <w:keepLines w:val="0"/>
              <w:suppressLineNumbers w:val="0"/>
              <w:snapToGrid w:val="0"/>
              <w:spacing w:before="0" w:beforeAutospacing="0" w:after="0" w:afterAutospacing="0"/>
              <w:ind w:left="1050" w:right="0" w:hanging="1050" w:hangingChars="500"/>
              <w:rPr>
                <w:rFonts w:hint="eastAsia" w:ascii="宋体" w:hAnsi="宋体"/>
                <w:color w:val="auto"/>
                <w:sz w:val="21"/>
                <w:szCs w:val="21"/>
                <w:highlight w:val="none"/>
              </w:rPr>
            </w:pP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台州市开发投资集团有限公司国产化适配项目</w:t>
            </w:r>
          </w:p>
        </w:tc>
      </w:tr>
      <w:tr w14:paraId="05DF6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C2017B9">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6E16A50">
            <w:pPr>
              <w:keepNext w:val="0"/>
              <w:keepLines w:val="0"/>
              <w:suppressLineNumbers w:val="0"/>
              <w:snapToGrid w:val="0"/>
              <w:spacing w:before="0" w:beforeAutospacing="0" w:after="0" w:afterAutospacing="0"/>
              <w:ind w:left="0" w:right="0"/>
              <w:rPr>
                <w:rFonts w:hint="eastAsia" w:ascii="宋体" w:hAnsi="宋体"/>
                <w:color w:val="auto"/>
                <w:sz w:val="21"/>
                <w:szCs w:val="21"/>
                <w:highlight w:val="none"/>
              </w:rPr>
            </w:pPr>
            <w:r>
              <w:rPr>
                <w:rFonts w:hint="eastAsia" w:ascii="宋体" w:hAnsi="宋体"/>
                <w:color w:val="auto"/>
                <w:sz w:val="21"/>
                <w:szCs w:val="21"/>
                <w:highlight w:val="none"/>
              </w:rPr>
              <w:t>采购内容及数量：详见第二章“招标需求”</w:t>
            </w:r>
          </w:p>
          <w:p w14:paraId="33511F15">
            <w:pPr>
              <w:keepNext w:val="0"/>
              <w:keepLines w:val="0"/>
              <w:suppressLineNumbers w:val="0"/>
              <w:snapToGrid w:val="0"/>
              <w:spacing w:before="0" w:beforeAutospacing="0" w:after="0" w:afterAutospacing="0"/>
              <w:ind w:left="0" w:right="0"/>
              <w:rPr>
                <w:rFonts w:hint="eastAsia" w:ascii="宋体" w:hAnsi="宋体"/>
                <w:color w:val="auto"/>
                <w:sz w:val="21"/>
                <w:szCs w:val="21"/>
                <w:highlight w:val="none"/>
              </w:rPr>
            </w:pPr>
            <w:r>
              <w:rPr>
                <w:rFonts w:hint="eastAsia" w:ascii="宋体" w:hAnsi="宋体"/>
                <w:color w:val="auto"/>
                <w:sz w:val="21"/>
                <w:szCs w:val="21"/>
                <w:highlight w:val="none"/>
              </w:rPr>
              <w:t>采购单位：</w:t>
            </w:r>
            <w:r>
              <w:rPr>
                <w:rFonts w:hint="eastAsia" w:ascii="宋体" w:hAnsi="宋体"/>
                <w:color w:val="auto"/>
                <w:sz w:val="21"/>
                <w:szCs w:val="21"/>
                <w:highlight w:val="none"/>
                <w:lang w:eastAsia="zh-CN"/>
              </w:rPr>
              <w:t>台州市开发投资集团有限公司</w:t>
            </w:r>
          </w:p>
        </w:tc>
      </w:tr>
      <w:tr w14:paraId="6FD6F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AC75A34">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4E7E6A2">
            <w:pPr>
              <w:keepNext w:val="0"/>
              <w:keepLines w:val="0"/>
              <w:suppressLineNumbers w:val="0"/>
              <w:snapToGrid w:val="0"/>
              <w:spacing w:before="0" w:beforeAutospacing="0" w:after="0" w:afterAutospacing="0"/>
              <w:ind w:left="0" w:right="0"/>
              <w:rPr>
                <w:rFonts w:hint="default" w:ascii="宋体" w:hAnsi="宋体"/>
                <w:color w:val="auto"/>
                <w:sz w:val="21"/>
                <w:szCs w:val="21"/>
                <w:highlight w:val="none"/>
              </w:rPr>
            </w:pPr>
            <w:r>
              <w:rPr>
                <w:rFonts w:hint="eastAsia" w:ascii="宋体" w:hAnsi="宋体"/>
                <w:color w:val="auto"/>
                <w:sz w:val="21"/>
                <w:szCs w:val="21"/>
                <w:highlight w:val="none"/>
              </w:rPr>
              <w:t>投标报价及费用：</w:t>
            </w:r>
            <w:r>
              <w:rPr>
                <w:rFonts w:hint="default" w:ascii="宋体" w:hAnsi="宋体"/>
                <w:color w:val="auto"/>
                <w:sz w:val="21"/>
                <w:szCs w:val="21"/>
                <w:highlight w:val="none"/>
              </w:rPr>
              <w:t>1</w:t>
            </w:r>
            <w:r>
              <w:rPr>
                <w:rFonts w:hint="eastAsia" w:ascii="宋体" w:hAnsi="宋体"/>
                <w:color w:val="auto"/>
                <w:sz w:val="21"/>
                <w:szCs w:val="21"/>
                <w:highlight w:val="none"/>
              </w:rPr>
              <w:t>、本项目投标应以人民币报价；</w:t>
            </w:r>
            <w:r>
              <w:rPr>
                <w:rFonts w:hint="default" w:ascii="宋体" w:hAnsi="宋体"/>
                <w:color w:val="auto"/>
                <w:sz w:val="21"/>
                <w:szCs w:val="21"/>
                <w:highlight w:val="none"/>
              </w:rPr>
              <w:t>2</w:t>
            </w:r>
            <w:r>
              <w:rPr>
                <w:rFonts w:hint="eastAsia" w:ascii="宋体" w:hAnsi="宋体"/>
                <w:color w:val="auto"/>
                <w:sz w:val="21"/>
                <w:szCs w:val="21"/>
                <w:highlight w:val="none"/>
              </w:rPr>
              <w:t>、不论投标结果如何，投标人均应自行承担所有与投标有关的全部费用。3、本项目招标代理服务费</w:t>
            </w:r>
            <w:r>
              <w:rPr>
                <w:rFonts w:hint="eastAsia" w:ascii="宋体" w:hAnsi="宋体"/>
                <w:color w:val="auto"/>
                <w:sz w:val="21"/>
                <w:szCs w:val="21"/>
                <w:highlight w:val="none"/>
                <w:lang w:val="en-US" w:eastAsia="zh-CN"/>
              </w:rPr>
              <w:t>6000</w:t>
            </w:r>
            <w:r>
              <w:rPr>
                <w:rFonts w:hint="eastAsia" w:ascii="宋体" w:hAnsi="宋体"/>
                <w:color w:val="auto"/>
                <w:sz w:val="21"/>
                <w:szCs w:val="21"/>
                <w:highlight w:val="none"/>
              </w:rPr>
              <w:t>元由中标人在领取中标通知书前支付。</w:t>
            </w:r>
          </w:p>
        </w:tc>
      </w:tr>
      <w:tr w14:paraId="57209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29DBBBF">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09B742A">
            <w:pPr>
              <w:keepNext w:val="0"/>
              <w:keepLines w:val="0"/>
              <w:suppressLineNumbers w:val="0"/>
              <w:snapToGrid w:val="0"/>
              <w:spacing w:before="0" w:beforeAutospacing="0" w:after="0" w:afterAutospacing="0"/>
              <w:ind w:left="0" w:right="0"/>
              <w:rPr>
                <w:rFonts w:hint="eastAsia" w:ascii="宋体" w:hAnsi="宋体"/>
                <w:color w:val="auto"/>
                <w:sz w:val="21"/>
                <w:szCs w:val="21"/>
                <w:highlight w:val="none"/>
              </w:rPr>
            </w:pPr>
            <w:r>
              <w:rPr>
                <w:rFonts w:hint="eastAsia" w:ascii="宋体" w:hAnsi="宋体"/>
                <w:color w:val="auto"/>
                <w:sz w:val="21"/>
                <w:szCs w:val="21"/>
                <w:highlight w:val="none"/>
              </w:rPr>
              <w:t>投标保证金：</w:t>
            </w:r>
            <w:r>
              <w:rPr>
                <w:rFonts w:hint="eastAsia" w:ascii="宋体" w:hAnsi="宋体"/>
                <w:color w:val="auto"/>
                <w:sz w:val="21"/>
                <w:szCs w:val="21"/>
                <w:highlight w:val="none"/>
                <w:u w:val="single"/>
                <w:lang w:val="en-US" w:eastAsia="zh-CN"/>
              </w:rPr>
              <w:t>1.6</w:t>
            </w:r>
            <w:r>
              <w:rPr>
                <w:rFonts w:hint="eastAsia" w:ascii="宋体" w:hAnsi="宋体"/>
                <w:color w:val="auto"/>
                <w:sz w:val="21"/>
                <w:szCs w:val="21"/>
                <w:highlight w:val="none"/>
              </w:rPr>
              <w:t>万元，应按《招标采购公告》第九条规定交纳。</w:t>
            </w:r>
          </w:p>
          <w:p w14:paraId="7C5D3A10">
            <w:pPr>
              <w:keepNext w:val="0"/>
              <w:keepLines w:val="0"/>
              <w:suppressLineNumbers w:val="0"/>
              <w:snapToGrid w:val="0"/>
              <w:spacing w:before="0" w:beforeAutospacing="0" w:after="0" w:afterAutospacing="0"/>
              <w:ind w:left="0" w:right="0"/>
              <w:rPr>
                <w:rFonts w:hint="default" w:ascii="宋体" w:hAnsi="宋体"/>
                <w:color w:val="auto"/>
                <w:sz w:val="21"/>
                <w:szCs w:val="21"/>
                <w:highlight w:val="none"/>
              </w:rPr>
            </w:pPr>
            <w:r>
              <w:rPr>
                <w:rFonts w:hint="eastAsia" w:ascii="宋体" w:hAnsi="宋体"/>
                <w:color w:val="auto"/>
                <w:sz w:val="21"/>
                <w:szCs w:val="21"/>
                <w:highlight w:val="none"/>
              </w:rPr>
              <w:t>投标保证金缴纳方式：银行转帐、银行保函、保险机构保证保险保单、融资担保公司保函。</w:t>
            </w:r>
          </w:p>
        </w:tc>
      </w:tr>
      <w:tr w14:paraId="0B26A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887405D">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8774DEC">
            <w:pPr>
              <w:keepNext w:val="0"/>
              <w:keepLines w:val="0"/>
              <w:suppressLineNumbers w:val="0"/>
              <w:snapToGrid w:val="0"/>
              <w:spacing w:before="0" w:beforeAutospacing="0" w:after="0" w:afterAutospacing="0"/>
              <w:ind w:left="0" w:right="0"/>
              <w:rPr>
                <w:rFonts w:hint="eastAsia" w:ascii="宋体" w:hAnsi="宋体"/>
                <w:color w:val="auto"/>
                <w:sz w:val="21"/>
                <w:szCs w:val="21"/>
                <w:highlight w:val="none"/>
              </w:rPr>
            </w:pPr>
            <w:r>
              <w:rPr>
                <w:rFonts w:hint="eastAsia" w:ascii="宋体" w:hAnsi="宋体"/>
                <w:color w:val="auto"/>
                <w:sz w:val="21"/>
                <w:szCs w:val="21"/>
                <w:highlight w:val="none"/>
              </w:rPr>
              <w:t>现场踏勘：无</w:t>
            </w:r>
          </w:p>
        </w:tc>
      </w:tr>
      <w:tr w14:paraId="2DA5F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4C16BF3">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BAD55CE">
            <w:pPr>
              <w:keepNext w:val="0"/>
              <w:keepLines w:val="0"/>
              <w:suppressLineNumbers w:val="0"/>
              <w:snapToGrid w:val="0"/>
              <w:spacing w:before="0" w:beforeAutospacing="0" w:after="0" w:afterAutospacing="0"/>
              <w:ind w:left="0" w:right="0"/>
              <w:rPr>
                <w:rFonts w:hint="default" w:ascii="宋体" w:hAnsi="宋体"/>
                <w:color w:val="auto"/>
                <w:sz w:val="21"/>
                <w:szCs w:val="21"/>
                <w:highlight w:val="none"/>
              </w:rPr>
            </w:pPr>
            <w:r>
              <w:rPr>
                <w:rFonts w:hint="eastAsia" w:ascii="宋体" w:hAnsi="宋体"/>
                <w:color w:val="auto"/>
                <w:sz w:val="21"/>
                <w:szCs w:val="21"/>
                <w:highlight w:val="none"/>
              </w:rPr>
              <w:t>演示时间及地点（如有）：无</w:t>
            </w:r>
          </w:p>
        </w:tc>
      </w:tr>
      <w:tr w14:paraId="4B01E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158B3F89">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B576FED">
            <w:pPr>
              <w:keepNext w:val="0"/>
              <w:keepLines w:val="0"/>
              <w:suppressLineNumbers w:val="0"/>
              <w:snapToGrid w:val="0"/>
              <w:spacing w:before="0" w:beforeAutospacing="0" w:after="0" w:afterAutospacing="0" w:line="320" w:lineRule="exact"/>
              <w:ind w:left="0" w:right="0"/>
              <w:rPr>
                <w:rFonts w:hint="default" w:ascii="宋体" w:hAnsi="宋体"/>
                <w:color w:val="auto"/>
                <w:sz w:val="21"/>
                <w:szCs w:val="21"/>
                <w:highlight w:val="none"/>
              </w:rPr>
            </w:pPr>
            <w:r>
              <w:rPr>
                <w:rFonts w:hint="eastAsia" w:ascii="宋体" w:hAnsi="宋体"/>
                <w:color w:val="auto"/>
                <w:sz w:val="21"/>
                <w:szCs w:val="21"/>
                <w:highlight w:val="none"/>
              </w:rPr>
              <w:t>答疑与澄清：投标人如认为招标文件表述不清晰、存在歧视性、排他性或者其他违法内容的，必须在投标截止时间5日前以书面形式要求招标采购单位作出解释、澄清或者向招标采购单位提出书面质疑；招标采购单位的回复将以公告形式送达所有潜在的投标人。</w:t>
            </w:r>
          </w:p>
        </w:tc>
      </w:tr>
      <w:tr w14:paraId="306BE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221DA74">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EE21D99">
            <w:pPr>
              <w:pStyle w:val="16"/>
              <w:keepNext w:val="0"/>
              <w:keepLines w:val="0"/>
              <w:suppressLineNumbers w:val="0"/>
              <w:spacing w:before="0" w:beforeAutospacing="0" w:afterAutospacing="0"/>
              <w:ind w:left="0" w:right="0"/>
              <w:rPr>
                <w:rFonts w:hint="default" w:ascii="宋体" w:hAnsi="宋体"/>
                <w:color w:val="auto"/>
                <w:sz w:val="21"/>
                <w:szCs w:val="21"/>
                <w:highlight w:val="none"/>
              </w:rPr>
            </w:pPr>
            <w:r>
              <w:rPr>
                <w:rFonts w:hint="eastAsia" w:ascii="宋体" w:hAnsi="宋体"/>
                <w:color w:val="auto"/>
                <w:sz w:val="21"/>
                <w:szCs w:val="21"/>
                <w:highlight w:val="none"/>
              </w:rPr>
              <w:t>投标文件组成：资信技术标、商务标。</w:t>
            </w:r>
            <w:r>
              <w:rPr>
                <w:rFonts w:hint="eastAsia" w:ascii="宋体" w:hAnsi="宋体"/>
                <w:b/>
                <w:bCs/>
                <w:color w:val="auto"/>
                <w:sz w:val="21"/>
                <w:szCs w:val="21"/>
                <w:highlight w:val="none"/>
              </w:rPr>
              <w:t>（电子文件应签章齐全，办理CA证书的投标人可采用单位电子公章代替单位公章，法定代表人电子章代替法定代表人签字，在投标文件编制工具中签章）；</w:t>
            </w:r>
          </w:p>
        </w:tc>
      </w:tr>
      <w:tr w14:paraId="7C15F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0D5B00D1">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B467938">
            <w:pPr>
              <w:keepNext w:val="0"/>
              <w:keepLines w:val="0"/>
              <w:suppressLineNumbers w:val="0"/>
              <w:snapToGrid w:val="0"/>
              <w:spacing w:before="0" w:beforeAutospacing="0" w:after="0" w:afterAutospacing="0"/>
              <w:ind w:left="0" w:right="0"/>
              <w:jc w:val="left"/>
              <w:rPr>
                <w:rFonts w:hint="default" w:ascii="宋体" w:hAnsi="宋体"/>
                <w:color w:val="auto"/>
                <w:sz w:val="21"/>
                <w:szCs w:val="21"/>
                <w:highlight w:val="none"/>
              </w:rPr>
            </w:pPr>
            <w:r>
              <w:rPr>
                <w:rFonts w:hint="eastAsia" w:ascii="宋体" w:hAnsi="宋体"/>
                <w:color w:val="auto"/>
                <w:sz w:val="21"/>
                <w:szCs w:val="21"/>
                <w:highlight w:val="none"/>
              </w:rPr>
              <w:t>投标截止时间及地点：</w:t>
            </w:r>
            <w:r>
              <w:rPr>
                <w:rFonts w:hint="eastAsia" w:ascii="宋体" w:hAnsi="宋体" w:cs="Arial"/>
                <w:color w:val="auto"/>
                <w:sz w:val="21"/>
                <w:szCs w:val="21"/>
                <w:highlight w:val="none"/>
                <w:u w:val="single"/>
              </w:rPr>
              <w:t>见招标公告；</w:t>
            </w:r>
          </w:p>
        </w:tc>
      </w:tr>
      <w:tr w14:paraId="02D33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1A22568F">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2ECA605">
            <w:pPr>
              <w:keepNext w:val="0"/>
              <w:keepLines w:val="0"/>
              <w:suppressLineNumbers w:val="0"/>
              <w:snapToGrid w:val="0"/>
              <w:spacing w:before="0" w:beforeAutospacing="0" w:after="0" w:afterAutospacing="0"/>
              <w:ind w:left="0" w:right="0"/>
              <w:jc w:val="left"/>
              <w:rPr>
                <w:rFonts w:hint="default" w:ascii="宋体" w:hAnsi="宋体"/>
                <w:color w:val="auto"/>
                <w:sz w:val="21"/>
                <w:szCs w:val="21"/>
                <w:highlight w:val="none"/>
              </w:rPr>
            </w:pPr>
            <w:r>
              <w:rPr>
                <w:rFonts w:hint="eastAsia" w:ascii="宋体" w:hAnsi="宋体"/>
                <w:color w:val="auto"/>
                <w:sz w:val="21"/>
                <w:szCs w:val="21"/>
                <w:highlight w:val="none"/>
              </w:rPr>
              <w:t>开标时间及地点：</w:t>
            </w:r>
            <w:r>
              <w:rPr>
                <w:rFonts w:hint="eastAsia" w:ascii="宋体" w:hAnsi="宋体" w:cs="Arial"/>
                <w:color w:val="auto"/>
                <w:sz w:val="21"/>
                <w:szCs w:val="21"/>
                <w:highlight w:val="none"/>
                <w:u w:val="single"/>
              </w:rPr>
              <w:t>见招标公告；</w:t>
            </w:r>
            <w:r>
              <w:rPr>
                <w:rFonts w:hint="default" w:ascii="宋体" w:hAnsi="宋体"/>
                <w:color w:val="auto"/>
                <w:sz w:val="21"/>
                <w:szCs w:val="21"/>
                <w:highlight w:val="none"/>
              </w:rPr>
              <w:t xml:space="preserve"> </w:t>
            </w:r>
          </w:p>
        </w:tc>
      </w:tr>
      <w:tr w14:paraId="78463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04DD1CDC">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A83B49F">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评标办法及评分标准：详见本招标文件第四章《评标办法及评分标准》</w:t>
            </w:r>
          </w:p>
        </w:tc>
      </w:tr>
      <w:tr w14:paraId="067DB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1DF65FE7">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83EFBB0">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olor w:val="auto"/>
                <w:sz w:val="21"/>
                <w:szCs w:val="21"/>
                <w:highlight w:val="none"/>
              </w:rPr>
            </w:pPr>
            <w:r>
              <w:rPr>
                <w:rFonts w:hint="eastAsia" w:ascii="宋体" w:hAnsi="宋体"/>
                <w:color w:val="auto"/>
                <w:sz w:val="21"/>
                <w:szCs w:val="21"/>
                <w:highlight w:val="none"/>
              </w:rPr>
              <w:t>结果公示：台州湾新区小额工程电子交易平台（网址：http://www.tzwztb.com/）和浙江省政府采购网(https://zfcg.czt.zj.gov.cn/)。</w:t>
            </w:r>
          </w:p>
        </w:tc>
      </w:tr>
      <w:tr w14:paraId="1522E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63EE581">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05723FC">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投标保证金退还：除招标文件规定不予退还保证金的情形外，未中标人的投标保证金在中标通知书发出后5个工作日内退还，中标人的投标保证金在合同签订后5个工作日内退还。</w:t>
            </w:r>
          </w:p>
        </w:tc>
      </w:tr>
      <w:tr w14:paraId="47ED9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F535D8B">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59CA42A">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签订合同时间：中标通知书发出后30日内。</w:t>
            </w:r>
          </w:p>
        </w:tc>
      </w:tr>
      <w:tr w14:paraId="084C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CC60787">
            <w:pPr>
              <w:keepNext w:val="0"/>
              <w:keepLines w:val="0"/>
              <w:suppressLineNumbers w:val="0"/>
              <w:snapToGrid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66EE2A0">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采购资金来源：自筹</w:t>
            </w:r>
          </w:p>
        </w:tc>
      </w:tr>
      <w:tr w14:paraId="12BA2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6"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19783E58">
            <w:pPr>
              <w:keepNext w:val="0"/>
              <w:keepLines w:val="0"/>
              <w:suppressLineNumbers w:val="0"/>
              <w:snapToGrid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0114678">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olor w:val="auto"/>
                <w:sz w:val="21"/>
                <w:szCs w:val="21"/>
                <w:highlight w:val="none"/>
              </w:rPr>
            </w:pPr>
            <w:r>
              <w:rPr>
                <w:rFonts w:hint="eastAsia" w:ascii="宋体" w:hAnsi="宋体"/>
                <w:color w:val="auto"/>
                <w:sz w:val="21"/>
                <w:szCs w:val="21"/>
                <w:highlight w:val="none"/>
              </w:rPr>
              <w:t>投标文件递交要求：1、投标人无需到开标现场，电子投标文件上传至台州湾新区小额工程电子交易平台。如遇有问题的请联系蔡先生，13454667697；王女士，13757680207。</w:t>
            </w:r>
          </w:p>
          <w:p w14:paraId="21929073">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olor w:val="auto"/>
                <w:sz w:val="21"/>
                <w:szCs w:val="21"/>
                <w:highlight w:val="none"/>
              </w:rPr>
            </w:pPr>
            <w:r>
              <w:rPr>
                <w:rFonts w:hint="eastAsia" w:ascii="宋体" w:hAnsi="宋体"/>
                <w:color w:val="auto"/>
                <w:sz w:val="21"/>
                <w:szCs w:val="21"/>
                <w:highlight w:val="none"/>
              </w:rPr>
              <w:t>2、电子投标文件上传步骤：</w:t>
            </w:r>
          </w:p>
          <w:p w14:paraId="12FFBD67">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olor w:val="auto"/>
                <w:sz w:val="21"/>
                <w:szCs w:val="21"/>
                <w:highlight w:val="none"/>
              </w:rPr>
            </w:pPr>
            <w:r>
              <w:rPr>
                <w:rFonts w:hint="eastAsia" w:ascii="宋体" w:hAnsi="宋体"/>
                <w:color w:val="auto"/>
                <w:sz w:val="21"/>
                <w:szCs w:val="21"/>
                <w:highlight w:val="none"/>
              </w:rPr>
              <w:t>1) 台州湾新区小额工程电子交易平台（网址：http://www.tzwztb.com/）；</w:t>
            </w:r>
          </w:p>
          <w:p w14:paraId="1D0E47A2">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olor w:val="auto"/>
                <w:sz w:val="21"/>
                <w:szCs w:val="21"/>
                <w:highlight w:val="none"/>
              </w:rPr>
            </w:pPr>
            <w:r>
              <w:rPr>
                <w:rFonts w:hint="eastAsia" w:ascii="宋体" w:hAnsi="宋体"/>
                <w:color w:val="auto"/>
                <w:sz w:val="21"/>
                <w:szCs w:val="21"/>
                <w:highlight w:val="none"/>
              </w:rPr>
              <w:t>2) 投标人应提前办好ca锁（办理网址：http://www.tseal.cn/tcloud/common.xhtml?projId=295），绑定平台账户。</w:t>
            </w:r>
          </w:p>
          <w:p w14:paraId="79FA5374">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olor w:val="auto"/>
                <w:sz w:val="21"/>
                <w:szCs w:val="21"/>
                <w:highlight w:val="none"/>
              </w:rPr>
            </w:pPr>
            <w:r>
              <w:rPr>
                <w:rFonts w:hint="eastAsia" w:ascii="宋体" w:hAnsi="宋体"/>
                <w:color w:val="auto"/>
                <w:sz w:val="21"/>
                <w:szCs w:val="21"/>
                <w:highlight w:val="none"/>
              </w:rPr>
              <w:t>3)缴纳保证金（或购买、上传电子保函）后，点击“电子投标文件制作工具”，进入制作页面，签章并加密上传电子投标文件。</w:t>
            </w:r>
          </w:p>
        </w:tc>
      </w:tr>
      <w:tr w14:paraId="7E869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0FC65BD">
            <w:pPr>
              <w:keepNext w:val="0"/>
              <w:keepLines w:val="0"/>
              <w:suppressLineNumbers w:val="0"/>
              <w:snapToGrid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0A66B85">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投标文件有效期：90天</w:t>
            </w:r>
          </w:p>
        </w:tc>
      </w:tr>
      <w:tr w14:paraId="2268A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F6B0D6E">
            <w:pPr>
              <w:keepNext w:val="0"/>
              <w:keepLines w:val="0"/>
              <w:suppressLineNumbers w:val="0"/>
              <w:snapToGrid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b/>
                <w:bCs/>
                <w:color w:val="auto"/>
                <w:sz w:val="21"/>
                <w:szCs w:val="21"/>
                <w:highlight w:val="none"/>
              </w:rPr>
              <w:t>1</w:t>
            </w:r>
            <w:r>
              <w:rPr>
                <w:rFonts w:hint="eastAsia" w:ascii="宋体" w:hAnsi="宋体"/>
                <w:b/>
                <w:bCs/>
                <w:color w:val="auto"/>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2825950">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b/>
                <w:bCs/>
                <w:color w:val="auto"/>
                <w:sz w:val="21"/>
                <w:szCs w:val="21"/>
                <w:highlight w:val="none"/>
              </w:rPr>
            </w:pPr>
            <w:r>
              <w:rPr>
                <w:rFonts w:hint="eastAsia" w:ascii="宋体" w:hAnsi="宋体"/>
                <w:b/>
                <w:bCs/>
                <w:color w:val="auto"/>
                <w:sz w:val="21"/>
                <w:szCs w:val="21"/>
                <w:highlight w:val="none"/>
              </w:rPr>
              <w:t>本项目开资信技术标，资信技术标评审结束后再开商务标。</w:t>
            </w:r>
          </w:p>
        </w:tc>
      </w:tr>
      <w:tr w14:paraId="53BA7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76B7C60">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46C3F85">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解释：本招标文件的解释权属于招标采购单位。</w:t>
            </w:r>
          </w:p>
        </w:tc>
      </w:tr>
      <w:tr w14:paraId="42231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35188A4">
            <w:pPr>
              <w:keepNext w:val="0"/>
              <w:keepLines w:val="0"/>
              <w:suppressLineNumbers w:val="0"/>
              <w:snapToGrid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60AD204">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olor w:val="auto"/>
                <w:sz w:val="21"/>
                <w:szCs w:val="21"/>
                <w:highlight w:val="none"/>
              </w:rPr>
            </w:pPr>
            <w:r>
              <w:rPr>
                <w:rFonts w:hint="eastAsia" w:ascii="宋体" w:hAnsi="宋体"/>
                <w:color w:val="auto"/>
                <w:sz w:val="21"/>
                <w:szCs w:val="21"/>
                <w:highlight w:val="none"/>
              </w:rPr>
              <w:t>投标费用：不论投标结果如何，投标人均应自行承担所有与投标有关的全部费用。</w:t>
            </w:r>
          </w:p>
        </w:tc>
      </w:tr>
    </w:tbl>
    <w:p w14:paraId="4BA59302">
      <w:pPr>
        <w:pStyle w:val="22"/>
        <w:snapToGrid w:val="0"/>
        <w:spacing w:before="120" w:beforeLines="0" w:after="120" w:afterLines="0" w:line="240" w:lineRule="auto"/>
        <w:rPr>
          <w:rFonts w:hAnsi="宋体" w:cs="宋体"/>
          <w:b w:val="0"/>
          <w:color w:val="auto"/>
          <w:highlight w:val="none"/>
        </w:rPr>
      </w:pPr>
      <w:r>
        <w:rPr>
          <w:rFonts w:hAnsi="宋体"/>
          <w:b w:val="0"/>
          <w:color w:val="auto"/>
          <w:sz w:val="30"/>
          <w:szCs w:val="30"/>
          <w:highlight w:val="none"/>
        </w:rPr>
        <w:br w:type="page"/>
      </w:r>
      <w:bookmarkStart w:id="7" w:name="_Toc22477_WPSOffice_Level1"/>
      <w:bookmarkStart w:id="8" w:name="第四章"/>
      <w:r>
        <w:rPr>
          <w:rFonts w:hAnsi="宋体" w:cs="宋体"/>
          <w:b/>
          <w:bCs/>
          <w:color w:val="auto"/>
          <w:sz w:val="30"/>
          <w:szCs w:val="30"/>
          <w:highlight w:val="none"/>
        </w:rPr>
        <w:t>一、总  则</w:t>
      </w:r>
    </w:p>
    <w:p w14:paraId="735B646E">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（一） 适用范围</w:t>
      </w:r>
    </w:p>
    <w:p w14:paraId="008AD5B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0773B8CF">
      <w:pPr>
        <w:snapToGrid w:val="0"/>
        <w:spacing w:before="120" w:beforeLines="50" w:line="360" w:lineRule="auto"/>
        <w:ind w:firstLine="354" w:firstLineChars="147"/>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（二）定义</w:t>
      </w:r>
    </w:p>
    <w:p w14:paraId="40539A0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1.招标人系指组织本次招标的代理机构（“招标人”）和招标人。</w:t>
      </w:r>
    </w:p>
    <w:p w14:paraId="0F2152F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425D450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3.“产品”系指供方按招标文件规定，须向招标人提供的一切设备、保险、税金、备品备件、工具、手册及其它有关技术资料和材料。</w:t>
      </w:r>
    </w:p>
    <w:p w14:paraId="7CCAC8D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4.“服务”系指</w:t>
      </w:r>
      <w:r>
        <w:rPr>
          <w:rFonts w:hint="eastAsia" w:ascii="宋体" w:hAnsi="宋体" w:cs="宋体"/>
          <w:bCs/>
          <w:color w:val="auto"/>
          <w:kern w:val="0"/>
          <w:sz w:val="24"/>
          <w:highlight w:val="none"/>
        </w:rPr>
        <w:t>除货物和工程以外的采购对象，包括各类专业服务、信息网络开发服务、金融保险服务、运输服务，以及维修与维护服务等。</w:t>
      </w:r>
    </w:p>
    <w:p w14:paraId="51B36BF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5.“项目”系指投标人按招标文件规定向招标人提供的产品和服务。</w:t>
      </w:r>
    </w:p>
    <w:p w14:paraId="1797A09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6.“书面形式”包括信函、传真、电报等。</w:t>
      </w:r>
    </w:p>
    <w:p w14:paraId="1115854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7.“▲”系指实质性要求条款。</w:t>
      </w:r>
    </w:p>
    <w:p w14:paraId="6796D466">
      <w:pPr>
        <w:snapToGrid w:val="0"/>
        <w:spacing w:before="120" w:beforeLines="50"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（三）招标方式</w:t>
      </w:r>
    </w:p>
    <w:p w14:paraId="4A50D4F7">
      <w:pPr>
        <w:snapToGrid w:val="0"/>
        <w:spacing w:before="120" w:beforeLines="50" w:line="360" w:lineRule="auto"/>
        <w:ind w:firstLine="470" w:firstLineChars="196"/>
        <w:jc w:val="left"/>
        <w:outlineLvl w:val="1"/>
        <w:rPr>
          <w:rFonts w:hint="eastAsia" w:ascii="宋体" w:hAnsi="宋体" w:cs="宋体"/>
          <w:color w:val="auto"/>
          <w:sz w:val="24"/>
          <w:highlight w:val="none"/>
        </w:rPr>
      </w:pPr>
      <w:r>
        <w:rPr>
          <w:rFonts w:ascii="宋体" w:hAnsi="宋体"/>
          <w:color w:val="auto"/>
          <w:sz w:val="24"/>
          <w:highlight w:val="none"/>
        </w:rPr>
        <w:t>本次招标采用公开招标方式进行。</w:t>
      </w:r>
    </w:p>
    <w:p w14:paraId="7C56F9DA">
      <w:pPr>
        <w:snapToGrid w:val="0"/>
        <w:spacing w:before="120" w:beforeLines="50"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（四）投标委托</w:t>
      </w:r>
    </w:p>
    <w:p w14:paraId="0C706A56">
      <w:pPr>
        <w:pStyle w:val="17"/>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投标人代表须提供有效身份证件。如投标人代表不是法定代表人，须有法定代表人出具的授权委托书。</w:t>
      </w:r>
    </w:p>
    <w:p w14:paraId="68529933">
      <w:pPr>
        <w:snapToGrid w:val="0"/>
        <w:spacing w:before="120" w:beforeLines="50"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（五）投标费用</w:t>
      </w:r>
      <w:r>
        <w:rPr>
          <w:rFonts w:hint="eastAsia" w:ascii="宋体" w:hAnsi="宋体" w:cs="宋体"/>
          <w:b/>
          <w:color w:val="auto"/>
          <w:sz w:val="24"/>
          <w:highlight w:val="none"/>
          <w:lang w:bidi="ar"/>
        </w:rPr>
        <w:t>及结算</w:t>
      </w:r>
    </w:p>
    <w:p w14:paraId="33668DCF">
      <w:pPr>
        <w:snapToGrid w:val="0"/>
        <w:spacing w:line="400" w:lineRule="exact"/>
        <w:ind w:firstLine="480" w:firstLineChars="200"/>
        <w:jc w:val="left"/>
        <w:rPr>
          <w:rFonts w:hint="eastAsia" w:ascii="宋体" w:hAnsi="宋体" w:cs="宋体"/>
          <w:color w:val="auto"/>
          <w:sz w:val="24"/>
          <w:highlight w:val="none"/>
          <w:lang w:bidi="ar"/>
        </w:rPr>
      </w:pPr>
      <w:r>
        <w:rPr>
          <w:rFonts w:hint="eastAsia" w:ascii="宋体" w:hAnsi="宋体"/>
          <w:color w:val="auto"/>
          <w:sz w:val="24"/>
          <w:highlight w:val="none"/>
        </w:rPr>
        <w:t>不论投标结果如何，投标人均应自行承担所有与投标有关的全部费用（招标文件有相关规定除外）。</w:t>
      </w:r>
    </w:p>
    <w:p w14:paraId="45CFBC32">
      <w:pPr>
        <w:snapToGrid w:val="0"/>
        <w:spacing w:before="120" w:beforeLines="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（六）联合体投标</w:t>
      </w:r>
    </w:p>
    <w:p w14:paraId="6645B1EB">
      <w:pPr>
        <w:snapToGrid w:val="0"/>
        <w:spacing w:line="360" w:lineRule="exact"/>
        <w:ind w:firstLine="480" w:firstLineChars="200"/>
        <w:jc w:val="left"/>
        <w:rPr>
          <w:rFonts w:ascii="宋体" w:hAnsi="宋体" w:cs="宋体"/>
          <w:color w:val="auto"/>
          <w:sz w:val="24"/>
          <w:highlight w:val="none"/>
        </w:rPr>
      </w:pPr>
      <w:r>
        <w:rPr>
          <w:rFonts w:hint="eastAsia" w:ascii="宋体" w:hAnsi="宋体" w:cs="Arial"/>
          <w:color w:val="auto"/>
          <w:sz w:val="24"/>
          <w:highlight w:val="none"/>
        </w:rPr>
        <w:t>本项目不接受联合体投标</w:t>
      </w:r>
      <w:r>
        <w:rPr>
          <w:rFonts w:hint="eastAsia" w:ascii="宋体" w:hAnsi="宋体"/>
          <w:color w:val="auto"/>
          <w:sz w:val="24"/>
          <w:highlight w:val="none"/>
        </w:rPr>
        <w:t>。</w:t>
      </w:r>
    </w:p>
    <w:p w14:paraId="7969E984">
      <w:pPr>
        <w:snapToGrid w:val="0"/>
        <w:spacing w:before="120" w:beforeLines="50"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1E09E0A9">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本项目不允许转包。</w:t>
      </w:r>
    </w:p>
    <w:p w14:paraId="3F623F05">
      <w:pPr>
        <w:snapToGrid w:val="0"/>
        <w:spacing w:before="120" w:beforeLines="50"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（八）特别说明：</w:t>
      </w:r>
    </w:p>
    <w:p w14:paraId="1E8ACEE5">
      <w:pPr>
        <w:pStyle w:val="112"/>
        <w:snapToGrid w:val="0"/>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1、投标人投标所使用的资格、信誉、荣誉、业绩与企业认证必须为本法人所拥有。投标人投标所使用的采购项目实施人员必须为本法人员工（或必须为本法人或控股公司正式员工）。</w:t>
      </w:r>
    </w:p>
    <w:p w14:paraId="18E55FE8">
      <w:pPr>
        <w:pStyle w:val="112"/>
        <w:snapToGrid w:val="0"/>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2、投标人应仔细阅读招标文件的所有内容，按照招标文件的要求提交投标文件，并对所提供的全部资料的真实性承担法律责任。</w:t>
      </w:r>
    </w:p>
    <w:p w14:paraId="0F3B1824">
      <w:pPr>
        <w:pStyle w:val="112"/>
        <w:snapToGrid w:val="0"/>
        <w:spacing w:line="360" w:lineRule="auto"/>
        <w:ind w:firstLineChars="0"/>
        <w:rPr>
          <w:rFonts w:hint="eastAsia" w:ascii="宋体" w:hAnsi="宋体" w:cs="宋体"/>
          <w:color w:val="auto"/>
          <w:sz w:val="24"/>
          <w:szCs w:val="24"/>
          <w:highlight w:val="none"/>
        </w:rPr>
      </w:pPr>
      <w:r>
        <w:rPr>
          <w:rFonts w:hint="eastAsia" w:ascii="宋体" w:hAnsi="宋体" w:cs="宋体"/>
          <w:b/>
          <w:bCs/>
          <w:color w:val="auto"/>
          <w:sz w:val="24"/>
          <w:szCs w:val="24"/>
          <w:highlight w:val="none"/>
        </w:rPr>
        <w:t>（九）质疑和投诉</w:t>
      </w:r>
    </w:p>
    <w:p w14:paraId="1EDF4E12">
      <w:pPr>
        <w:pStyle w:val="112"/>
        <w:snapToGrid w:val="0"/>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采购人、采购代理机构提出（附相关有效证明材料），采购人、采购代理机构应给予答复。投标人对答复不服或认为采购代理机构有违反有关规定及其他弄虚作假情形的，可在接到答复之日起3日内向招标监管机构书面申请核查，并提交相关材料。</w:t>
      </w:r>
    </w:p>
    <w:p w14:paraId="5C837DCE">
      <w:pPr>
        <w:pStyle w:val="112"/>
        <w:snapToGrid w:val="0"/>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ECD8352">
      <w:pPr>
        <w:pStyle w:val="22"/>
        <w:snapToGrid w:val="0"/>
        <w:spacing w:before="120" w:beforeLines="0" w:after="120" w:afterLines="0" w:line="240" w:lineRule="auto"/>
        <w:rPr>
          <w:rFonts w:ascii="宋体" w:hAnsi="宋体" w:eastAsia="宋体" w:cs="宋体"/>
          <w:b/>
          <w:bCs/>
          <w:color w:val="auto"/>
          <w:sz w:val="30"/>
          <w:szCs w:val="30"/>
          <w:highlight w:val="none"/>
        </w:rPr>
      </w:pPr>
      <w:r>
        <w:rPr>
          <w:rFonts w:ascii="宋体" w:hAnsi="宋体" w:eastAsia="宋体" w:cs="宋体"/>
          <w:b/>
          <w:bCs/>
          <w:color w:val="auto"/>
          <w:sz w:val="30"/>
          <w:szCs w:val="30"/>
          <w:highlight w:val="none"/>
        </w:rPr>
        <w:t>二、招标文件</w:t>
      </w:r>
    </w:p>
    <w:p w14:paraId="7671AA24">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（一）招标文件的构成。本招标文件由以下部份组成：</w:t>
      </w:r>
    </w:p>
    <w:p w14:paraId="14868CD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1.招标公告</w:t>
      </w:r>
    </w:p>
    <w:p w14:paraId="1080187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2.招标需求</w:t>
      </w:r>
    </w:p>
    <w:p w14:paraId="7B8EB13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3.投标人须知</w:t>
      </w:r>
    </w:p>
    <w:p w14:paraId="020F4A4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4.评标办法及标准</w:t>
      </w:r>
    </w:p>
    <w:p w14:paraId="0A9279E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5合同主要条款</w:t>
      </w:r>
    </w:p>
    <w:p w14:paraId="5C03DDA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6.投标文件格式</w:t>
      </w:r>
    </w:p>
    <w:p w14:paraId="58F292B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48618246">
      <w:pPr>
        <w:snapToGrid w:val="0"/>
        <w:spacing w:before="120" w:beforeLines="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（二）投标人的风险</w:t>
      </w:r>
    </w:p>
    <w:p w14:paraId="0887FDB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47AE6CA0">
      <w:pPr>
        <w:pStyle w:val="9"/>
        <w:widowControl w:val="0"/>
        <w:tabs>
          <w:tab w:val="clear" w:pos="454"/>
          <w:tab w:val="clear" w:pos="900"/>
        </w:tabs>
        <w:snapToGrid w:val="0"/>
        <w:spacing w:before="120" w:beforeLines="50" w:after="120" w:line="360" w:lineRule="auto"/>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 xml:space="preserve">（三）招标文件的澄清与修改 </w:t>
      </w:r>
    </w:p>
    <w:p w14:paraId="44367A8A">
      <w:pPr>
        <w:pStyle w:val="22"/>
        <w:snapToGrid w:val="0"/>
        <w:spacing w:before="120" w:after="0" w:afterLines="0" w:afterAutospacing="0" w:line="360" w:lineRule="auto"/>
        <w:ind w:firstLine="480" w:firstLineChars="200"/>
        <w:rPr>
          <w:rFonts w:hAnsi="宋体" w:cs="宋体"/>
          <w:b w:val="0"/>
          <w:bCs/>
          <w:color w:val="auto"/>
          <w:highlight w:val="none"/>
        </w:rPr>
      </w:pPr>
      <w:r>
        <w:rPr>
          <w:rFonts w:hint="eastAsia" w:hAnsi="宋体" w:cs="宋体"/>
          <w:b w:val="0"/>
          <w:bCs/>
          <w:color w:val="auto"/>
          <w:highlight w:val="none"/>
        </w:rPr>
        <w:t>1.投标人应认真阅读本招标文件，发现其中有误或有不合理要求的，投标人必须在投标截止时间5日前以书面形式要求招标采购单位澄清。招标单位对应当自收到异议之日起3日内作出答复；招标单位对已发出的招标文件进行必要澄清、答复、修改或补充的，采购代理机构应当在招标文件要求提交投标文件截止时间5日前，在指定的信息发布媒体（台州湾新区小额工程电子交易平台（网址：http://www.tzwztb.com/）和浙江省政府采购网(https://zfcg.czt.zj.gov.cn/)）上发布更正公告，招标人、采购代理机构的任何工作人员对投标人所作的任何口头解释、介绍、答复，只能供投标人参考，对招标人无任何约束力。</w:t>
      </w:r>
    </w:p>
    <w:p w14:paraId="22141333">
      <w:pPr>
        <w:pStyle w:val="22"/>
        <w:snapToGrid w:val="0"/>
        <w:spacing w:before="0" w:beforeLines="0" w:beforeAutospacing="0" w:after="0" w:afterLines="0" w:afterAutospacing="0" w:line="360" w:lineRule="auto"/>
        <w:ind w:firstLine="480" w:firstLineChars="200"/>
        <w:rPr>
          <w:rFonts w:hint="eastAsia" w:hAnsi="宋体" w:cs="宋体"/>
          <w:b w:val="0"/>
          <w:bCs/>
          <w:color w:val="auto"/>
          <w:highlight w:val="none"/>
        </w:rPr>
      </w:pPr>
      <w:r>
        <w:rPr>
          <w:rFonts w:hint="eastAsia" w:hAnsi="宋体" w:cs="宋体"/>
          <w:b w:val="0"/>
          <w:bCs/>
          <w:color w:val="auto"/>
          <w:highlight w:val="none"/>
        </w:rPr>
        <w:t>2.招标文件澄清、答复、修改、补充的内容为招标文件的组成部分。当招标文件与招标文件的答复、澄清、修改、补充通知就同一内容的表述不一致时，以最后发出的书面文件为准。</w:t>
      </w:r>
    </w:p>
    <w:p w14:paraId="6B8E7A9F">
      <w:pPr>
        <w:pStyle w:val="22"/>
        <w:snapToGrid w:val="0"/>
        <w:spacing w:before="0" w:beforeLines="0" w:beforeAutospacing="0" w:after="120" w:line="360" w:lineRule="auto"/>
        <w:ind w:firstLine="480" w:firstLineChars="200"/>
        <w:rPr>
          <w:rFonts w:hAnsi="宋体" w:cs="宋体"/>
          <w:color w:val="auto"/>
          <w:highlight w:val="none"/>
        </w:rPr>
      </w:pPr>
      <w:r>
        <w:rPr>
          <w:rFonts w:hint="eastAsia" w:hAnsi="宋体" w:cs="宋体"/>
          <w:b w:val="0"/>
          <w:bCs/>
          <w:color w:val="auto"/>
          <w:highlight w:val="none"/>
        </w:rPr>
        <w:t>3.招标文件的澄清、答复、修改或补充都应该通过采购代理机构以法定形式发布，采购人非通过本机构，不得擅自澄清、答复、修改或补充招标文件。</w:t>
      </w:r>
    </w:p>
    <w:p w14:paraId="68897D93">
      <w:pPr>
        <w:pStyle w:val="22"/>
        <w:snapToGrid w:val="0"/>
        <w:spacing w:before="120" w:beforeLines="0" w:after="120" w:afterLines="0" w:line="360" w:lineRule="auto"/>
        <w:rPr>
          <w:rFonts w:hAnsi="宋体" w:cs="宋体"/>
          <w:b/>
          <w:bCs/>
          <w:color w:val="auto"/>
          <w:sz w:val="30"/>
          <w:szCs w:val="30"/>
          <w:highlight w:val="none"/>
        </w:rPr>
      </w:pPr>
      <w:r>
        <w:rPr>
          <w:rFonts w:hAnsi="宋体" w:cs="宋体"/>
          <w:b/>
          <w:bCs/>
          <w:color w:val="auto"/>
          <w:sz w:val="30"/>
          <w:szCs w:val="30"/>
          <w:highlight w:val="none"/>
        </w:rPr>
        <w:t>三、投标文件的编制</w:t>
      </w:r>
    </w:p>
    <w:p w14:paraId="0B3A368B">
      <w:pPr>
        <w:snapToGrid w:val="0"/>
        <w:spacing w:line="360" w:lineRule="exact"/>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ab/>
      </w:r>
      <w:r>
        <w:rPr>
          <w:rFonts w:hint="eastAsia" w:ascii="宋体" w:hAnsi="宋体"/>
          <w:b/>
          <w:color w:val="auto"/>
          <w:sz w:val="24"/>
          <w:highlight w:val="none"/>
        </w:rPr>
        <w:t>投标文件的要求</w:t>
      </w:r>
    </w:p>
    <w:p w14:paraId="75F0F9A8">
      <w:pPr>
        <w:snapToGrid w:val="0"/>
        <w:spacing w:line="360" w:lineRule="exact"/>
        <w:ind w:firstLine="470" w:firstLineChars="196"/>
        <w:jc w:val="left"/>
        <w:outlineLvl w:val="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、投标人应仔细阅读招标文件的所有内容，按照要求详细编制投标文件，并保证投标文件的正确性和真实性。</w:t>
      </w:r>
    </w:p>
    <w:p w14:paraId="577461EE">
      <w:pPr>
        <w:snapToGrid w:val="0"/>
        <w:spacing w:line="360" w:lineRule="exact"/>
        <w:ind w:firstLine="470" w:firstLineChars="196"/>
        <w:jc w:val="left"/>
        <w:outlineLvl w:val="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、不按招标文件的要求提供的投标文件将被拒绝。</w:t>
      </w:r>
    </w:p>
    <w:p w14:paraId="36AF4A9F">
      <w:pPr>
        <w:snapToGrid w:val="0"/>
        <w:spacing w:line="360" w:lineRule="exact"/>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（二）投标文件的组成</w:t>
      </w:r>
    </w:p>
    <w:p w14:paraId="635D00BF">
      <w:pPr>
        <w:snapToGrid w:val="0"/>
        <w:spacing w:line="360" w:lineRule="exact"/>
        <w:ind w:firstLine="472" w:firstLineChars="196"/>
        <w:jc w:val="left"/>
        <w:outlineLvl w:val="0"/>
        <w:rPr>
          <w:rFonts w:hint="eastAsia" w:ascii="宋体" w:hAnsi="宋体" w:cs="宋体"/>
          <w:b/>
          <w:color w:val="auto"/>
          <w:sz w:val="24"/>
          <w:highlight w:val="none"/>
        </w:rPr>
      </w:pPr>
      <w:r>
        <w:rPr>
          <w:rFonts w:hint="eastAsia" w:ascii="宋体" w:hAnsi="宋体"/>
          <w:b/>
          <w:color w:val="auto"/>
          <w:sz w:val="24"/>
          <w:highlight w:val="none"/>
        </w:rPr>
        <w:t>投标人接到招标文件后，按照采购人的要求提供：资信技术标、商务标。</w:t>
      </w:r>
    </w:p>
    <w:p w14:paraId="63C52986">
      <w:pPr>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资信</w:t>
      </w:r>
      <w:r>
        <w:rPr>
          <w:rFonts w:hint="eastAsia" w:ascii="宋体" w:hAnsi="宋体" w:cs="宋体"/>
          <w:bCs/>
          <w:color w:val="auto"/>
          <w:kern w:val="0"/>
          <w:sz w:val="24"/>
          <w:highlight w:val="none"/>
        </w:rPr>
        <w:t>技术标</w:t>
      </w:r>
    </w:p>
    <w:p w14:paraId="291B8A84">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（1）诚信投标承诺书（格式见附件）；</w:t>
      </w:r>
    </w:p>
    <w:p w14:paraId="066D4EE0">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（2）营业执照副本影印件；</w:t>
      </w:r>
    </w:p>
    <w:p w14:paraId="6AC0C1BE">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（3）类似项目业绩一览表（如有）；</w:t>
      </w:r>
    </w:p>
    <w:p w14:paraId="238795F1">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（4）售后服务网点情况表（格式见附件）；</w:t>
      </w:r>
    </w:p>
    <w:p w14:paraId="231FFEEA">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（5）技术需求响应表（格式见附件）；</w:t>
      </w:r>
    </w:p>
    <w:p w14:paraId="161DF489">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（6）法定代表人授权委托书</w:t>
      </w:r>
      <w:r>
        <w:rPr>
          <w:rFonts w:hint="eastAsia" w:ascii="宋体" w:hAnsi="宋体" w:cs="宋体"/>
          <w:bCs/>
          <w:color w:val="auto"/>
          <w:sz w:val="24"/>
          <w:highlight w:val="none"/>
          <w:lang w:val="en-US" w:eastAsia="zh-CN" w:bidi="ar"/>
        </w:rPr>
        <w:t>或</w:t>
      </w:r>
      <w:r>
        <w:rPr>
          <w:rFonts w:hint="eastAsia" w:ascii="宋体" w:hAnsi="宋体" w:cs="宋体"/>
          <w:bCs/>
          <w:color w:val="auto"/>
          <w:sz w:val="24"/>
          <w:highlight w:val="none"/>
          <w:lang w:bidi="ar"/>
        </w:rPr>
        <w:t>法定代表人身份证明（格式见附件）；</w:t>
      </w:r>
    </w:p>
    <w:p w14:paraId="24C6A7B1">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（7）对应评标办法应提供的材料和投标人认为应提供的其他证明文件的影印件（如有）。</w:t>
      </w:r>
    </w:p>
    <w:p w14:paraId="15E3FA1A">
      <w:pPr>
        <w:snapToGrid w:val="0"/>
        <w:spacing w:line="360" w:lineRule="auto"/>
        <w:ind w:firstLine="470" w:firstLineChars="196"/>
        <w:jc w:val="left"/>
        <w:outlineLvl w:val="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kern w:val="0"/>
          <w:sz w:val="24"/>
          <w:highlight w:val="none"/>
        </w:rPr>
        <w:t>商务标</w:t>
      </w:r>
    </w:p>
    <w:p w14:paraId="2D4D2D14">
      <w:pPr>
        <w:autoSpaceDE w:val="0"/>
        <w:autoSpaceDN w:val="0"/>
        <w:adjustRightInd w:val="0"/>
        <w:spacing w:line="360" w:lineRule="auto"/>
        <w:ind w:left="48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w:t>
      </w:r>
      <w:r>
        <w:rPr>
          <w:rFonts w:hint="eastAsia" w:ascii="宋体" w:hAnsi="宋体" w:cs="宋体"/>
          <w:bCs/>
          <w:color w:val="auto"/>
          <w:sz w:val="24"/>
          <w:highlight w:val="none"/>
          <w:lang w:val="en-US" w:eastAsia="zh-CN" w:bidi="ar"/>
        </w:rPr>
        <w:t>开标一览表</w:t>
      </w:r>
      <w:r>
        <w:rPr>
          <w:rFonts w:hint="eastAsia" w:ascii="宋体" w:hAnsi="宋体" w:cs="宋体"/>
          <w:bCs/>
          <w:color w:val="auto"/>
          <w:sz w:val="24"/>
          <w:highlight w:val="none"/>
          <w:lang w:bidi="ar"/>
        </w:rPr>
        <w:t>（格式见附件）。</w:t>
      </w:r>
    </w:p>
    <w:p w14:paraId="03F953EC">
      <w:pPr>
        <w:autoSpaceDE w:val="0"/>
        <w:autoSpaceDN w:val="0"/>
        <w:adjustRightInd w:val="0"/>
        <w:spacing w:line="360" w:lineRule="auto"/>
        <w:ind w:left="480"/>
        <w:rPr>
          <w:rFonts w:hint="eastAsia" w:ascii="宋体" w:hAnsi="宋体" w:cs="宋体"/>
          <w:color w:val="auto"/>
          <w:kern w:val="0"/>
          <w:sz w:val="24"/>
          <w:highlight w:val="none"/>
        </w:rPr>
      </w:pPr>
      <w:r>
        <w:rPr>
          <w:rFonts w:hint="eastAsia" w:ascii="宋体" w:hAnsi="宋体" w:cs="宋体"/>
          <w:bCs/>
          <w:color w:val="auto"/>
          <w:sz w:val="24"/>
          <w:highlight w:val="none"/>
          <w:lang w:bidi="ar"/>
        </w:rPr>
        <w:t>注：以上内容均需在台州湾新区小额工程电子交易平台投标工具（在线网页版）中对应处自行上传后生成，添加的内容须为清晰的电子文档，同时加盖公司电子公章。</w:t>
      </w:r>
    </w:p>
    <w:p w14:paraId="19B09FE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（三）投标文件的语言及计量</w:t>
      </w:r>
    </w:p>
    <w:p w14:paraId="092E94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14:paraId="48184E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72C4442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（四）投标报价</w:t>
      </w:r>
    </w:p>
    <w:p w14:paraId="410BE1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33F16BAF">
      <w:pPr>
        <w:pStyle w:val="10"/>
        <w:spacing w:line="360" w:lineRule="auto"/>
        <w:ind w:firstLine="480" w:firstLineChars="200"/>
        <w:rPr>
          <w:rFonts w:ascii="宋体" w:hAnsi="宋体" w:eastAsia="宋体"/>
          <w:bCs/>
          <w:color w:val="auto"/>
          <w:kern w:val="0"/>
          <w:sz w:val="24"/>
          <w:highlight w:val="none"/>
        </w:rPr>
      </w:pPr>
      <w:r>
        <w:rPr>
          <w:rFonts w:hint="eastAsia" w:ascii="宋体" w:hAnsi="宋体" w:cs="宋体"/>
          <w:color w:val="auto"/>
          <w:sz w:val="24"/>
          <w:highlight w:val="none"/>
        </w:rPr>
        <w:t>▲2.投标报价是履行合同的最终价格，</w:t>
      </w:r>
      <w:r>
        <w:rPr>
          <w:rFonts w:hint="eastAsia" w:ascii="宋体" w:hAnsi="宋体" w:eastAsia="宋体"/>
          <w:bCs/>
          <w:color w:val="auto"/>
          <w:kern w:val="0"/>
          <w:sz w:val="24"/>
          <w:highlight w:val="none"/>
        </w:rPr>
        <w:t>本次投标的报价为包含实现本项目的所有功能及安全保障工作所需费用，所有价格均采用人民币报价，其应包括（但不限于）施工设备、劳务、现场恢复、管理、材料、系统集成、安装调试、软件开发、试运行、质保、保险、利润、税金、培训费、措施费、人身意外伤害保险费、备品备件费用等。各投标人应根据招标人提供的技术资料以及本项目实际情况和自身的综合实力，竞报投标报价。总报价以人民币元计。知识产权等由投标人在投标报价时综合考虑，以后不作任何调整。</w:t>
      </w:r>
    </w:p>
    <w:p w14:paraId="285348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66D6DAC7">
      <w:pPr>
        <w:pStyle w:val="9"/>
        <w:widowControl w:val="0"/>
        <w:tabs>
          <w:tab w:val="clear" w:pos="454"/>
          <w:tab w:val="clear" w:pos="900"/>
        </w:tabs>
        <w:snapToGrid w:val="0"/>
        <w:spacing w:before="120" w:beforeLines="50" w:after="0" w:afterLines="0" w:afterAutospacing="0" w:line="360" w:lineRule="auto"/>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（五）投标文件的有效期</w:t>
      </w:r>
    </w:p>
    <w:p w14:paraId="2ACFFB7F">
      <w:pPr>
        <w:spacing w:before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▲1.自投标截止日起 90天投标文件应保持有效。中标人投标文件有效期延长至合同有效期。有效期不足的投标文件将被拒绝。</w:t>
      </w:r>
    </w:p>
    <w:p w14:paraId="4A13B8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700BBF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3.投标人可拒绝接受延期要求而不会导致投标保证金不被退回。同意延长有效期的投标人需要相应延长投标保证金的有效期，但不能修改投标文件内容。 </w:t>
      </w:r>
    </w:p>
    <w:p w14:paraId="547ADC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p w14:paraId="1B18B27A">
      <w:pPr>
        <w:pStyle w:val="9"/>
        <w:widowControl w:val="0"/>
        <w:tabs>
          <w:tab w:val="clear" w:pos="454"/>
          <w:tab w:val="clear" w:pos="900"/>
        </w:tabs>
        <w:snapToGrid w:val="0"/>
        <w:spacing w:after="0" w:afterLines="0" w:line="360" w:lineRule="auto"/>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（六）投标保证金</w:t>
      </w:r>
    </w:p>
    <w:p w14:paraId="6DA02B85">
      <w:pPr>
        <w:snapToGrid w:val="0"/>
        <w:spacing w:line="360" w:lineRule="exact"/>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投标人须</w:t>
      </w:r>
      <w:r>
        <w:rPr>
          <w:rFonts w:hint="eastAsia" w:ascii="宋体" w:hAnsi="宋体"/>
          <w:color w:val="auto"/>
          <w:sz w:val="24"/>
          <w:highlight w:val="none"/>
        </w:rPr>
        <w:t>按规定</w:t>
      </w:r>
      <w:r>
        <w:rPr>
          <w:rFonts w:ascii="宋体" w:hAnsi="宋体"/>
          <w:color w:val="auto"/>
          <w:sz w:val="24"/>
          <w:highlight w:val="none"/>
        </w:rPr>
        <w:t>提交投标保证金。否则，其投标将被拒绝。</w:t>
      </w:r>
    </w:p>
    <w:p w14:paraId="70078F74">
      <w:pPr>
        <w:snapToGrid w:val="0"/>
        <w:spacing w:line="360" w:lineRule="exact"/>
        <w:ind w:firstLine="480" w:firstLineChars="200"/>
        <w:jc w:val="left"/>
        <w:rPr>
          <w:rFonts w:hint="eastAsia"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保证金形式：</w:t>
      </w:r>
      <w:r>
        <w:rPr>
          <w:rFonts w:hint="eastAsia" w:ascii="宋体" w:hAnsi="宋体"/>
          <w:color w:val="auto"/>
          <w:sz w:val="24"/>
          <w:highlight w:val="none"/>
        </w:rPr>
        <w:t>银行转帐、</w:t>
      </w:r>
      <w:r>
        <w:rPr>
          <w:rFonts w:hint="eastAsia" w:ascii="宋体" w:hAnsi="宋体" w:cs="Arial"/>
          <w:bCs/>
          <w:color w:val="auto"/>
          <w:sz w:val="24"/>
          <w:highlight w:val="none"/>
        </w:rPr>
        <w:t>银行保函、保险机构保证保险保单、融</w:t>
      </w:r>
      <w:r>
        <w:rPr>
          <w:rFonts w:hint="eastAsia" w:ascii="宋体" w:hAnsi="宋体"/>
          <w:color w:val="auto"/>
          <w:sz w:val="24"/>
          <w:highlight w:val="none"/>
        </w:rPr>
        <w:t>资担保公司保函</w:t>
      </w:r>
      <w:r>
        <w:rPr>
          <w:rFonts w:hint="eastAsia" w:ascii="宋体" w:hAnsi="宋体"/>
          <w:color w:val="auto"/>
          <w:sz w:val="24"/>
          <w:highlight w:val="none"/>
          <w:u w:val="single"/>
        </w:rPr>
        <w:t>。</w:t>
      </w:r>
    </w:p>
    <w:p w14:paraId="106F5BCA">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未中标人</w:t>
      </w:r>
      <w:r>
        <w:rPr>
          <w:rFonts w:hint="eastAsia" w:ascii="宋体" w:hAnsi="宋体"/>
          <w:color w:val="auto"/>
          <w:sz w:val="24"/>
          <w:highlight w:val="none"/>
        </w:rPr>
        <w:t>的投标</w:t>
      </w:r>
      <w:r>
        <w:rPr>
          <w:rFonts w:ascii="宋体" w:hAnsi="宋体"/>
          <w:color w:val="auto"/>
          <w:sz w:val="24"/>
          <w:highlight w:val="none"/>
        </w:rPr>
        <w:t>保证金在</w:t>
      </w:r>
      <w:r>
        <w:rPr>
          <w:rFonts w:hint="eastAsia" w:ascii="宋体" w:hAnsi="宋体"/>
          <w:color w:val="auto"/>
          <w:sz w:val="24"/>
          <w:highlight w:val="none"/>
        </w:rPr>
        <w:t>中标通知书发出后5个工作日内退还</w:t>
      </w:r>
      <w:r>
        <w:rPr>
          <w:rFonts w:ascii="宋体" w:hAnsi="宋体"/>
          <w:color w:val="auto"/>
          <w:sz w:val="24"/>
          <w:highlight w:val="none"/>
        </w:rPr>
        <w:t>。</w:t>
      </w:r>
    </w:p>
    <w:p w14:paraId="531CC4B5">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中标人应在中标通知书发出</w:t>
      </w:r>
      <w:r>
        <w:rPr>
          <w:rFonts w:hint="eastAsia" w:ascii="宋体" w:hAnsi="宋体"/>
          <w:color w:val="auto"/>
          <w:sz w:val="24"/>
          <w:highlight w:val="none"/>
        </w:rPr>
        <w:t>后</w:t>
      </w:r>
      <w:r>
        <w:rPr>
          <w:rFonts w:ascii="宋体" w:hAnsi="宋体"/>
          <w:color w:val="auto"/>
          <w:sz w:val="24"/>
          <w:highlight w:val="none"/>
          <w:u w:val="single"/>
        </w:rPr>
        <w:t xml:space="preserve"> </w:t>
      </w:r>
      <w:r>
        <w:rPr>
          <w:rFonts w:hint="eastAsia" w:ascii="宋体" w:hAnsi="宋体"/>
          <w:color w:val="auto"/>
          <w:sz w:val="24"/>
          <w:highlight w:val="none"/>
          <w:u w:val="single"/>
        </w:rPr>
        <w:t>30</w:t>
      </w:r>
      <w:r>
        <w:rPr>
          <w:rFonts w:hint="eastAsia" w:ascii="宋体" w:hAnsi="宋体"/>
          <w:color w:val="auto"/>
          <w:sz w:val="24"/>
          <w:highlight w:val="none"/>
        </w:rPr>
        <w:t>日内与采购人签订合同</w:t>
      </w:r>
      <w:r>
        <w:rPr>
          <w:rFonts w:ascii="宋体" w:hAnsi="宋体"/>
          <w:color w:val="auto"/>
          <w:sz w:val="24"/>
          <w:highlight w:val="none"/>
        </w:rPr>
        <w:t>，中标人的投标保证金在合同签订后5</w:t>
      </w:r>
      <w:r>
        <w:rPr>
          <w:rFonts w:hint="eastAsia" w:ascii="宋体" w:hAnsi="宋体"/>
          <w:color w:val="auto"/>
          <w:sz w:val="24"/>
          <w:highlight w:val="none"/>
        </w:rPr>
        <w:t>个工作日</w:t>
      </w:r>
      <w:r>
        <w:rPr>
          <w:rFonts w:ascii="宋体" w:hAnsi="宋体"/>
          <w:color w:val="auto"/>
          <w:sz w:val="24"/>
          <w:highlight w:val="none"/>
        </w:rPr>
        <w:t>内退还。</w:t>
      </w:r>
    </w:p>
    <w:p w14:paraId="0C8F9BA0">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4.投标人有下列情形之一的，投标保证金将不予退还：</w:t>
      </w:r>
    </w:p>
    <w:p w14:paraId="176E451B">
      <w:pPr>
        <w:snapToGrid w:val="0"/>
        <w:spacing w:line="36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投标人在投标有效期内撤回投标文件的；</w:t>
      </w:r>
    </w:p>
    <w:p w14:paraId="52F96937">
      <w:pPr>
        <w:snapToGrid w:val="0"/>
        <w:spacing w:line="360" w:lineRule="exact"/>
        <w:ind w:firstLine="470" w:firstLineChars="196"/>
        <w:jc w:val="left"/>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未按规定提交履约</w:t>
      </w:r>
      <w:r>
        <w:rPr>
          <w:rFonts w:ascii="宋体" w:hAnsi="宋体"/>
          <w:bCs/>
          <w:color w:val="auto"/>
          <w:sz w:val="24"/>
          <w:highlight w:val="none"/>
        </w:rPr>
        <w:t>保证金或</w:t>
      </w:r>
      <w:r>
        <w:rPr>
          <w:rFonts w:hint="eastAsia" w:ascii="宋体" w:hAnsi="宋体"/>
          <w:bCs/>
          <w:color w:val="auto"/>
          <w:sz w:val="24"/>
          <w:highlight w:val="none"/>
        </w:rPr>
        <w:t>履约保函的；</w:t>
      </w:r>
    </w:p>
    <w:p w14:paraId="3DAD6E72">
      <w:pPr>
        <w:snapToGrid w:val="0"/>
        <w:spacing w:line="360" w:lineRule="exact"/>
        <w:ind w:firstLine="470" w:firstLineChars="196"/>
        <w:jc w:val="left"/>
        <w:rPr>
          <w:rFonts w:ascii="宋体" w:hAnsi="宋体"/>
          <w:bCs/>
          <w:color w:val="auto"/>
          <w:sz w:val="24"/>
          <w:highlight w:val="none"/>
        </w:rPr>
      </w:pPr>
      <w:r>
        <w:rPr>
          <w:rFonts w:ascii="宋体" w:hAnsi="宋体"/>
          <w:bCs/>
          <w:color w:val="auto"/>
          <w:sz w:val="24"/>
          <w:highlight w:val="none"/>
        </w:rPr>
        <w:t>（3）投标人在投标过程中弄虚作假，提供虚假材料</w:t>
      </w:r>
      <w:r>
        <w:rPr>
          <w:rFonts w:hint="eastAsia" w:ascii="宋体" w:hAnsi="宋体"/>
          <w:bCs/>
          <w:color w:val="auto"/>
          <w:sz w:val="24"/>
          <w:highlight w:val="none"/>
        </w:rPr>
        <w:t>的</w:t>
      </w:r>
      <w:r>
        <w:rPr>
          <w:rFonts w:ascii="宋体" w:hAnsi="宋体"/>
          <w:bCs/>
          <w:color w:val="auto"/>
          <w:sz w:val="24"/>
          <w:highlight w:val="none"/>
        </w:rPr>
        <w:t>；</w:t>
      </w:r>
    </w:p>
    <w:p w14:paraId="7C5921DC">
      <w:pPr>
        <w:snapToGrid w:val="0"/>
        <w:spacing w:line="360" w:lineRule="exact"/>
        <w:ind w:firstLine="470" w:firstLineChars="196"/>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中标人无正当理由不与采购人签订合同的；</w:t>
      </w:r>
    </w:p>
    <w:p w14:paraId="470EC246">
      <w:pPr>
        <w:snapToGrid w:val="0"/>
        <w:spacing w:line="36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将中标项目转让给他人或者在投标文件中未说明且未经招标采购单位同意，将中标项目分包给他人的；</w:t>
      </w:r>
    </w:p>
    <w:p w14:paraId="48BEB79E">
      <w:pPr>
        <w:snapToGrid w:val="0"/>
        <w:spacing w:line="36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（6）拒绝履行合同义务的；</w:t>
      </w:r>
    </w:p>
    <w:p w14:paraId="11AAFD2A">
      <w:pPr>
        <w:snapToGrid w:val="0"/>
        <w:spacing w:line="36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（7）有《关于印发&lt;台州市工程建设投标保函管理规定&gt;的通知》（台公管办〔2022〕2号）第十一条规定情形的</w:t>
      </w:r>
    </w:p>
    <w:p w14:paraId="738B0582">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 xml:space="preserve">1）投标截止时间后，投标人撤销投标文件的； </w:t>
      </w:r>
    </w:p>
    <w:p w14:paraId="21BC0F77">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 xml:space="preserve">2）投标人放弃中标候选人或中标资格的（包括中标人无正当理由不与招标人订立合同；在签订合同时向招标人提出附加条件；不按照招标文件要求提交履约担保）； </w:t>
      </w:r>
    </w:p>
    <w:p w14:paraId="3AE2B769">
      <w:pPr>
        <w:snapToGrid w:val="0"/>
        <w:spacing w:line="360" w:lineRule="auto"/>
        <w:ind w:firstLine="470" w:firstLineChars="196"/>
        <w:rPr>
          <w:rFonts w:hint="eastAsia"/>
          <w:color w:val="auto"/>
          <w:highlight w:val="none"/>
        </w:rPr>
      </w:pPr>
      <w:r>
        <w:rPr>
          <w:rFonts w:hint="eastAsia" w:ascii="宋体" w:hAnsi="宋体"/>
          <w:color w:val="auto"/>
          <w:sz w:val="24"/>
          <w:highlight w:val="none"/>
        </w:rPr>
        <w:t xml:space="preserve">3）投标人存在串通投标或弄虚作假违法行为的（包括但不限于同一项目不同投标人的电子投标文件的文件制作机器 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14:paraId="151B203C">
      <w:pPr>
        <w:snapToGrid w:val="0"/>
        <w:spacing w:line="36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（8）其他严重扰乱招投标程序的；</w:t>
      </w:r>
    </w:p>
    <w:p w14:paraId="22907A11">
      <w:pPr>
        <w:snapToGrid w:val="0"/>
        <w:spacing w:before="120" w:beforeLines="50" w:line="360" w:lineRule="auto"/>
        <w:ind w:firstLine="472" w:firstLineChars="196"/>
        <w:jc w:val="left"/>
        <w:outlineLvl w:val="0"/>
        <w:rPr>
          <w:rFonts w:hint="eastAsia" w:ascii="宋体" w:hAnsi="宋体" w:cs="宋体"/>
          <w:b/>
          <w:color w:val="auto"/>
          <w:sz w:val="24"/>
          <w:highlight w:val="none"/>
        </w:rPr>
      </w:pPr>
      <w:r>
        <w:rPr>
          <w:rFonts w:hint="eastAsia" w:ascii="宋体" w:hAnsi="宋体" w:cs="宋体"/>
          <w:b/>
          <w:color w:val="auto"/>
          <w:sz w:val="24"/>
          <w:highlight w:val="none"/>
        </w:rPr>
        <w:t>（七）投标文件的签署和份数</w:t>
      </w:r>
    </w:p>
    <w:p w14:paraId="23C8B4A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投标人按本招标文件规定的要求使用电子投标文件，投标文件内容不完整、编排混乱导致投标文件被误读、漏读或者查找不到相关内容的，是投标人的责任。</w:t>
      </w:r>
    </w:p>
    <w:p w14:paraId="244816A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2.投标文件须由投标人在规定位置盖章并由法定代表人或法定代表人的授权委托人签署或盖章，投标人应写全称。</w:t>
      </w:r>
      <w:r>
        <w:rPr>
          <w:rFonts w:hint="eastAsia" w:ascii="宋体" w:hAnsi="宋体" w:eastAsia="宋体"/>
          <w:bCs/>
          <w:color w:val="auto"/>
          <w:kern w:val="0"/>
          <w:sz w:val="24"/>
          <w:highlight w:val="none"/>
        </w:rPr>
        <w:t>（本项目如允许联合体投标且供应商是联合体的，联合体牵头单位应盖章，并签署联合体牵头单位法定代表人或经其正式授权的代表的全名）</w:t>
      </w:r>
    </w:p>
    <w:p w14:paraId="5592588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3.投标文件不得涂改，若有修改错漏处，须加盖单位公章或者法定代表人或授权委托人签字或盖章。投标文件因字迹潦草或表达不清所引起的后果由投标人负责。</w:t>
      </w:r>
    </w:p>
    <w:p w14:paraId="66377433">
      <w:pPr>
        <w:snapToGrid w:val="0"/>
        <w:spacing w:before="120" w:beforeLines="50" w:line="360" w:lineRule="auto"/>
        <w:ind w:firstLine="472" w:firstLineChars="196"/>
        <w:jc w:val="left"/>
        <w:outlineLvl w:val="0"/>
        <w:rPr>
          <w:rFonts w:hint="eastAsia" w:ascii="宋体" w:hAnsi="宋体" w:cs="宋体"/>
          <w:b/>
          <w:color w:val="auto"/>
          <w:sz w:val="24"/>
          <w:highlight w:val="none"/>
        </w:rPr>
      </w:pPr>
      <w:r>
        <w:rPr>
          <w:rFonts w:hint="eastAsia" w:ascii="宋体" w:hAnsi="宋体" w:cs="宋体"/>
          <w:b/>
          <w:color w:val="auto"/>
          <w:sz w:val="24"/>
          <w:highlight w:val="none"/>
        </w:rPr>
        <w:t>（八）投标文件的包装、递交、修改和撤回</w:t>
      </w:r>
    </w:p>
    <w:p w14:paraId="5194282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1.本工程采用电子投标，无需纸质投标文件；</w:t>
      </w:r>
    </w:p>
    <w:p w14:paraId="69EB8FA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2.投标人应在投标截止时间前上传投标文件。逾期上传的或者未上传指定系统的，视为投标文件未送达。</w:t>
      </w:r>
    </w:p>
    <w:p w14:paraId="45E1E34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3.在规定的投标截止时间前，投标人可以修改或撤回已递交的电子投标文件；修改好后重新上传加密电子投标文件。 </w:t>
      </w:r>
    </w:p>
    <w:p w14:paraId="7A5AB9A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4.在投标截止时间至投标有效期满之前，投标人不得撤回其投标文件，否则其投标担保将被没收。</w:t>
      </w:r>
    </w:p>
    <w:p w14:paraId="6A97E0E5">
      <w:pPr>
        <w:snapToGrid w:val="0"/>
        <w:spacing w:before="120" w:beforeLines="50" w:line="360" w:lineRule="auto"/>
        <w:ind w:firstLine="241" w:firstLineChars="100"/>
        <w:outlineLvl w:val="2"/>
        <w:rPr>
          <w:rFonts w:hint="eastAsia" w:ascii="宋体" w:hAnsi="宋体" w:cs="宋体"/>
          <w:b/>
          <w:color w:val="auto"/>
          <w:sz w:val="24"/>
          <w:highlight w:val="none"/>
        </w:rPr>
      </w:pPr>
      <w:r>
        <w:rPr>
          <w:rFonts w:hint="eastAsia" w:ascii="宋体" w:hAnsi="宋体" w:cs="宋体"/>
          <w:b/>
          <w:color w:val="auto"/>
          <w:sz w:val="24"/>
          <w:highlight w:val="none"/>
        </w:rPr>
        <w:t>（九）投标无效的情形</w:t>
      </w:r>
    </w:p>
    <w:p w14:paraId="72E7BEF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64E2C52">
      <w:pPr>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1.在符合性审查和商务评审时，如发现下列情形之一的，投标文件将被视为无效：</w:t>
      </w:r>
    </w:p>
    <w:p w14:paraId="7C3B89A5">
      <w:pPr>
        <w:snapToGrid w:val="0"/>
        <w:spacing w:line="360" w:lineRule="exact"/>
        <w:ind w:firstLine="470" w:firstLineChars="196"/>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未按照招标文件的规定提交投标保证金的；</w:t>
      </w:r>
    </w:p>
    <w:p w14:paraId="2FDBCEA2">
      <w:pPr>
        <w:snapToGrid w:val="0"/>
        <w:spacing w:line="360" w:lineRule="exact"/>
        <w:ind w:firstLine="470" w:firstLineChars="196"/>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不具备招标文件中规定的资格要求的或</w:t>
      </w:r>
      <w:r>
        <w:rPr>
          <w:rFonts w:ascii="宋体" w:hAnsi="宋体"/>
          <w:color w:val="auto"/>
          <w:sz w:val="24"/>
          <w:highlight w:val="none"/>
        </w:rPr>
        <w:t>资格证明文件不全的</w:t>
      </w:r>
      <w:r>
        <w:rPr>
          <w:rFonts w:hint="eastAsia" w:ascii="宋体" w:hAnsi="宋体"/>
          <w:color w:val="auto"/>
          <w:sz w:val="24"/>
          <w:highlight w:val="none"/>
        </w:rPr>
        <w:t>；</w:t>
      </w:r>
    </w:p>
    <w:p w14:paraId="1B80AF11">
      <w:pPr>
        <w:snapToGrid w:val="0"/>
        <w:spacing w:line="360" w:lineRule="exact"/>
        <w:ind w:firstLine="470" w:firstLineChars="196"/>
        <w:rPr>
          <w:rFonts w:ascii="宋体" w:hAnsi="宋体"/>
          <w:color w:val="auto"/>
          <w:sz w:val="24"/>
          <w:highlight w:val="none"/>
        </w:rPr>
      </w:pPr>
      <w:r>
        <w:rPr>
          <w:rFonts w:hint="eastAsia" w:ascii="宋体" w:hAnsi="宋体"/>
          <w:color w:val="auto"/>
          <w:sz w:val="24"/>
          <w:highlight w:val="none"/>
        </w:rPr>
        <w:t>（3）投标文件未按招标文件要求签署、盖章的；</w:t>
      </w:r>
    </w:p>
    <w:p w14:paraId="6CDE1CE1">
      <w:pPr>
        <w:snapToGrid w:val="0"/>
        <w:spacing w:line="360" w:lineRule="exact"/>
        <w:ind w:firstLine="470" w:firstLineChars="196"/>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投标代表人未能出具身份证明或与法定代表人授权委托人身份不符的；</w:t>
      </w:r>
      <w:r>
        <w:rPr>
          <w:rFonts w:ascii="宋体" w:hAnsi="宋体"/>
          <w:color w:val="auto"/>
          <w:sz w:val="24"/>
          <w:highlight w:val="none"/>
        </w:rPr>
        <w:t xml:space="preserve"> </w:t>
      </w:r>
    </w:p>
    <w:p w14:paraId="60C59EF1">
      <w:pPr>
        <w:snapToGrid w:val="0"/>
        <w:spacing w:line="360" w:lineRule="exact"/>
        <w:ind w:firstLine="470" w:firstLineChars="196"/>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）投标文件</w:t>
      </w:r>
      <w:r>
        <w:rPr>
          <w:rFonts w:hint="eastAsia" w:ascii="宋体" w:hAnsi="宋体"/>
          <w:color w:val="auto"/>
          <w:sz w:val="24"/>
          <w:highlight w:val="none"/>
        </w:rPr>
        <w:t>组成不符合招标文件要求的</w:t>
      </w:r>
      <w:r>
        <w:rPr>
          <w:rFonts w:ascii="宋体" w:hAnsi="宋体"/>
          <w:color w:val="auto"/>
          <w:sz w:val="24"/>
          <w:highlight w:val="none"/>
        </w:rPr>
        <w:t>；</w:t>
      </w:r>
    </w:p>
    <w:p w14:paraId="0CD87D8B">
      <w:pPr>
        <w:snapToGrid w:val="0"/>
        <w:spacing w:line="360" w:lineRule="exact"/>
        <w:ind w:firstLine="470" w:firstLineChars="196"/>
        <w:rPr>
          <w:rFonts w:ascii="宋体" w:hAnsi="宋体"/>
          <w:color w:val="auto"/>
          <w:sz w:val="24"/>
          <w:highlight w:val="none"/>
        </w:rPr>
      </w:pPr>
      <w:r>
        <w:rPr>
          <w:rFonts w:hint="eastAsia" w:ascii="宋体" w:hAnsi="宋体"/>
          <w:color w:val="auto"/>
          <w:sz w:val="24"/>
          <w:highlight w:val="none"/>
        </w:rPr>
        <w:t>（6）投标文件份数不符合招标文件要求的；</w:t>
      </w:r>
    </w:p>
    <w:p w14:paraId="2C777AE3">
      <w:pPr>
        <w:snapToGrid w:val="0"/>
        <w:spacing w:line="360" w:lineRule="exact"/>
        <w:ind w:firstLine="470" w:firstLineChars="196"/>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）投标文件的实质性内容未使用中文表述、意思表述不明确、前后矛盾或者使用计量单位不符合招标文件要求的（经评标委员会认定</w:t>
      </w:r>
      <w:r>
        <w:rPr>
          <w:rFonts w:hint="eastAsia" w:ascii="宋体" w:hAnsi="宋体"/>
          <w:color w:val="auto"/>
          <w:sz w:val="24"/>
          <w:highlight w:val="none"/>
        </w:rPr>
        <w:t>并</w:t>
      </w:r>
      <w:r>
        <w:rPr>
          <w:rFonts w:ascii="宋体" w:hAnsi="宋体"/>
          <w:color w:val="auto"/>
          <w:sz w:val="24"/>
          <w:highlight w:val="none"/>
        </w:rPr>
        <w:t>允许其当场更正的笔误除外）</w:t>
      </w:r>
      <w:r>
        <w:rPr>
          <w:rFonts w:hint="eastAsia" w:ascii="宋体" w:hAnsi="宋体"/>
          <w:color w:val="auto"/>
          <w:sz w:val="24"/>
          <w:highlight w:val="none"/>
        </w:rPr>
        <w:t>；</w:t>
      </w:r>
    </w:p>
    <w:p w14:paraId="2C904D0F">
      <w:pPr>
        <w:snapToGrid w:val="0"/>
        <w:spacing w:line="360" w:lineRule="exact"/>
        <w:ind w:firstLine="470" w:firstLineChars="196"/>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）投标有效期、</w:t>
      </w:r>
      <w:r>
        <w:rPr>
          <w:rFonts w:hint="eastAsia" w:ascii="宋体" w:hAnsi="宋体"/>
          <w:color w:val="auto"/>
          <w:sz w:val="24"/>
          <w:highlight w:val="none"/>
        </w:rPr>
        <w:t>服务</w:t>
      </w:r>
      <w:r>
        <w:rPr>
          <w:rFonts w:ascii="宋体" w:hAnsi="宋体"/>
          <w:color w:val="auto"/>
          <w:sz w:val="24"/>
          <w:highlight w:val="none"/>
        </w:rPr>
        <w:t>时间等商务条款不能满足招标文件要求的；</w:t>
      </w:r>
    </w:p>
    <w:p w14:paraId="316FE1C8">
      <w:pPr>
        <w:snapToGrid w:val="0"/>
        <w:spacing w:line="360" w:lineRule="exact"/>
        <w:ind w:firstLine="470" w:firstLineChars="196"/>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9</w:t>
      </w:r>
      <w:r>
        <w:rPr>
          <w:rFonts w:ascii="宋体" w:hAnsi="宋体"/>
          <w:color w:val="auto"/>
          <w:sz w:val="24"/>
          <w:highlight w:val="none"/>
        </w:rPr>
        <w:t>）</w:t>
      </w:r>
      <w:r>
        <w:rPr>
          <w:rFonts w:hint="eastAsia" w:ascii="宋体" w:hAnsi="宋体"/>
          <w:color w:val="auto"/>
          <w:sz w:val="24"/>
          <w:highlight w:val="none"/>
        </w:rPr>
        <w:t>未实质性</w:t>
      </w:r>
      <w:r>
        <w:rPr>
          <w:rFonts w:ascii="宋体" w:hAnsi="宋体"/>
          <w:color w:val="auto"/>
          <w:sz w:val="24"/>
          <w:highlight w:val="none"/>
        </w:rPr>
        <w:t>响应招标文件要求或者投标文件有招标方不能接受的附加条件的；</w:t>
      </w:r>
    </w:p>
    <w:p w14:paraId="30B7396E">
      <w:pPr>
        <w:snapToGrid w:val="0"/>
        <w:spacing w:line="360" w:lineRule="exact"/>
        <w:ind w:left="407" w:leftChars="142" w:hanging="9" w:hangingChars="4"/>
        <w:rPr>
          <w:rFonts w:hint="eastAsia" w:ascii="宋体" w:hAnsi="宋体"/>
          <w:color w:val="auto"/>
          <w:sz w:val="24"/>
          <w:highlight w:val="none"/>
        </w:rPr>
      </w:pPr>
      <w:r>
        <w:rPr>
          <w:rFonts w:hint="eastAsia" w:ascii="宋体" w:hAnsi="宋体"/>
          <w:color w:val="auto"/>
          <w:sz w:val="24"/>
          <w:highlight w:val="none"/>
        </w:rPr>
        <w:t>（10）两家或两家以上投标单位上传投标文件的ip地址（或工程清单锁地址）相同，视为串标行为，取消评标资格；</w:t>
      </w:r>
    </w:p>
    <w:p w14:paraId="05834CC6">
      <w:pPr>
        <w:snapToGrid w:val="0"/>
        <w:spacing w:line="360" w:lineRule="exact"/>
        <w:ind w:firstLine="470" w:firstLineChars="196"/>
        <w:rPr>
          <w:rFonts w:hint="eastAsia" w:ascii="宋体" w:hAnsi="宋体" w:cs="宋体"/>
          <w:color w:val="auto"/>
          <w:sz w:val="24"/>
          <w:highlight w:val="none"/>
        </w:rPr>
      </w:pPr>
      <w:r>
        <w:rPr>
          <w:rFonts w:hint="eastAsia" w:ascii="宋体" w:hAnsi="宋体"/>
          <w:color w:val="auto"/>
          <w:sz w:val="24"/>
          <w:highlight w:val="none"/>
        </w:rPr>
        <w:t>（11）法律法规或规章规定属无效标情形的；</w:t>
      </w:r>
    </w:p>
    <w:p w14:paraId="25F22CFA">
      <w:pPr>
        <w:pStyle w:val="17"/>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2.在商务标评审时，如发现下列情形之一的，投标文件将被视为无效：</w:t>
      </w:r>
    </w:p>
    <w:p w14:paraId="53208937">
      <w:pPr>
        <w:pStyle w:val="17"/>
        <w:snapToGrid w:val="0"/>
        <w:spacing w:line="360" w:lineRule="auto"/>
        <w:ind w:firstLine="470" w:firstLineChars="196"/>
        <w:rPr>
          <w:rFonts w:hint="eastAsia" w:ascii="宋体" w:hAnsi="宋体" w:cs="宋体"/>
          <w:b w:val="0"/>
          <w:bCs/>
          <w:color w:val="auto"/>
          <w:sz w:val="24"/>
          <w:highlight w:val="none"/>
        </w:rPr>
      </w:pPr>
      <w:r>
        <w:rPr>
          <w:rFonts w:hint="eastAsia" w:ascii="宋体" w:hAnsi="宋体" w:cs="宋体"/>
          <w:b w:val="0"/>
          <w:bCs/>
          <w:color w:val="auto"/>
          <w:sz w:val="24"/>
          <w:highlight w:val="none"/>
        </w:rPr>
        <w:t>（1）未采用人民币报价或者未按照招标文件标明的币种报价的；</w:t>
      </w:r>
    </w:p>
    <w:p w14:paraId="7B8930DA">
      <w:pPr>
        <w:pStyle w:val="17"/>
        <w:snapToGrid w:val="0"/>
        <w:spacing w:line="360" w:lineRule="auto"/>
        <w:ind w:firstLine="470" w:firstLineChars="196"/>
        <w:rPr>
          <w:rFonts w:hint="eastAsia" w:ascii="宋体" w:hAnsi="宋体" w:cs="宋体"/>
          <w:b w:val="0"/>
          <w:bCs/>
          <w:color w:val="auto"/>
          <w:sz w:val="24"/>
          <w:highlight w:val="none"/>
        </w:rPr>
      </w:pPr>
      <w:r>
        <w:rPr>
          <w:rFonts w:hint="eastAsia" w:ascii="宋体" w:hAnsi="宋体" w:cs="宋体"/>
          <w:b w:val="0"/>
          <w:bCs/>
          <w:color w:val="auto"/>
          <w:sz w:val="24"/>
          <w:highlight w:val="none"/>
        </w:rPr>
        <w:t>（2）投标报价具有选择性，或者开标价格与投标文件承诺的优惠（折扣）价格不一致的；</w:t>
      </w:r>
    </w:p>
    <w:p w14:paraId="5E1CF967">
      <w:pPr>
        <w:pStyle w:val="17"/>
        <w:snapToGrid w:val="0"/>
        <w:spacing w:line="360" w:lineRule="auto"/>
        <w:ind w:firstLine="470" w:firstLineChars="196"/>
        <w:rPr>
          <w:rFonts w:hint="eastAsia" w:ascii="宋体" w:hAnsi="宋体" w:cs="宋体"/>
          <w:b w:val="0"/>
          <w:bCs/>
          <w:color w:val="auto"/>
          <w:sz w:val="24"/>
          <w:highlight w:val="none"/>
        </w:rPr>
      </w:pPr>
      <w:r>
        <w:rPr>
          <w:rFonts w:hint="eastAsia" w:ascii="宋体" w:hAnsi="宋体" w:cs="宋体"/>
          <w:b w:val="0"/>
          <w:bCs/>
          <w:color w:val="auto"/>
          <w:sz w:val="24"/>
          <w:highlight w:val="none"/>
        </w:rPr>
        <w:t>（3）投标报价不得超过单价最高限价或总价最高限价，超过单价最高限价或总价最高限价的报价为无效标。</w:t>
      </w:r>
    </w:p>
    <w:p w14:paraId="23D3B13F">
      <w:pPr>
        <w:pStyle w:val="17"/>
        <w:snapToGrid w:val="0"/>
        <w:spacing w:line="360" w:lineRule="auto"/>
        <w:ind w:firstLine="470" w:firstLineChars="196"/>
        <w:rPr>
          <w:rFonts w:hint="eastAsia" w:ascii="宋体" w:hAnsi="宋体" w:cs="宋体"/>
          <w:b w:val="0"/>
          <w:bCs/>
          <w:color w:val="auto"/>
          <w:sz w:val="24"/>
          <w:highlight w:val="none"/>
        </w:rPr>
      </w:pPr>
      <w:r>
        <w:rPr>
          <w:rFonts w:hint="eastAsia" w:ascii="宋体" w:hAnsi="宋体" w:cs="宋体"/>
          <w:b w:val="0"/>
          <w:bCs/>
          <w:color w:val="auto"/>
          <w:sz w:val="24"/>
          <w:highlight w:val="none"/>
        </w:rPr>
        <w:t>（4）评标委员会认为投标人的报价明显低于其他通过符合性审查投标人的报价，有可能影响产品质量或者不能诚信履约的，应当要求其在评标程序中给予的合理时间内提供书面说明，必要时提交相关证明材料;投标人不能证明其报价合理性的，评标委员会应当将其作为无效投标处理。</w:t>
      </w:r>
    </w:p>
    <w:p w14:paraId="324A9682">
      <w:pPr>
        <w:pStyle w:val="17"/>
        <w:snapToGrid w:val="0"/>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.被拒绝的报价文件为无效。</w:t>
      </w:r>
    </w:p>
    <w:p w14:paraId="47C372CE">
      <w:pPr>
        <w:pStyle w:val="22"/>
        <w:snapToGrid w:val="0"/>
        <w:spacing w:before="0" w:beforeLines="0" w:after="0" w:afterLines="0" w:line="360" w:lineRule="auto"/>
        <w:rPr>
          <w:rFonts w:hAnsi="宋体" w:cs="宋体"/>
          <w:b/>
          <w:bCs/>
          <w:color w:val="auto"/>
          <w:sz w:val="30"/>
          <w:szCs w:val="30"/>
          <w:highlight w:val="none"/>
        </w:rPr>
      </w:pPr>
      <w:r>
        <w:rPr>
          <w:rFonts w:hAnsi="宋体" w:cs="宋体"/>
          <w:b/>
          <w:bCs/>
          <w:color w:val="auto"/>
          <w:sz w:val="30"/>
          <w:szCs w:val="30"/>
          <w:highlight w:val="none"/>
        </w:rPr>
        <w:t>四、开标</w:t>
      </w:r>
    </w:p>
    <w:p w14:paraId="11E0FFD2">
      <w:pPr>
        <w:pStyle w:val="22"/>
        <w:snapToGrid w:val="0"/>
        <w:spacing w:before="0" w:beforeLines="0" w:after="0" w:afterLines="0" w:line="360" w:lineRule="auto"/>
        <w:ind w:firstLine="470" w:firstLineChars="196"/>
        <w:rPr>
          <w:rFonts w:hAnsi="宋体" w:cs="宋体"/>
          <w:b w:val="0"/>
          <w:color w:val="auto"/>
          <w:highlight w:val="none"/>
        </w:rPr>
      </w:pPr>
      <w:r>
        <w:rPr>
          <w:rFonts w:hAnsi="宋体" w:cs="宋体"/>
          <w:b w:val="0"/>
          <w:color w:val="auto"/>
          <w:highlight w:val="none"/>
        </w:rPr>
        <w:t>（一）开标</w:t>
      </w:r>
    </w:p>
    <w:p w14:paraId="1EE6A0E3">
      <w:pPr>
        <w:pStyle w:val="36"/>
        <w:widowControl w:val="0"/>
        <w:snapToGrid w:val="0"/>
        <w:spacing w:before="120" w:beforeLines="50" w:beforeAutospacing="0" w:after="0" w:afterAutospacing="0" w:line="360" w:lineRule="auto"/>
        <w:ind w:firstLine="480" w:firstLineChars="200"/>
        <w:jc w:val="both"/>
        <w:rPr>
          <w:rFonts w:cs="宋体"/>
          <w:bCs/>
          <w:color w:val="auto"/>
          <w:highlight w:val="none"/>
        </w:rPr>
      </w:pPr>
      <w:r>
        <w:rPr>
          <w:rFonts w:cs="宋体"/>
          <w:color w:val="auto"/>
          <w:highlight w:val="none"/>
        </w:rPr>
        <w:t>投标人代表一律不参加现场开标，通过在线直播参与监督开标过程。直播网络地址：</w:t>
      </w:r>
      <w:r>
        <w:rPr>
          <w:rFonts w:cs="宋体"/>
          <w:color w:val="auto"/>
          <w:highlight w:val="none"/>
        </w:rPr>
        <w:fldChar w:fldCharType="begin"/>
      </w:r>
      <w:r>
        <w:rPr>
          <w:rFonts w:cs="宋体"/>
          <w:color w:val="auto"/>
          <w:highlight w:val="none"/>
        </w:rPr>
        <w:instrText xml:space="preserve"> HYPERLINK "http://www.tzwztb.com/live/" </w:instrText>
      </w:r>
      <w:r>
        <w:rPr>
          <w:rFonts w:cs="宋体"/>
          <w:color w:val="auto"/>
          <w:highlight w:val="none"/>
        </w:rPr>
        <w:fldChar w:fldCharType="separate"/>
      </w:r>
      <w:r>
        <w:rPr>
          <w:rStyle w:val="47"/>
          <w:rFonts w:cs="宋体"/>
          <w:color w:val="auto"/>
          <w:highlight w:val="none"/>
        </w:rPr>
        <w:t>http://www.tzwztb.com/live/</w:t>
      </w:r>
      <w:r>
        <w:rPr>
          <w:rFonts w:cs="宋体"/>
          <w:color w:val="auto"/>
          <w:highlight w:val="none"/>
        </w:rPr>
        <w:fldChar w:fldCharType="end"/>
      </w:r>
      <w:r>
        <w:rPr>
          <w:rFonts w:cs="宋体"/>
          <w:color w:val="auto"/>
          <w:highlight w:val="none"/>
        </w:rPr>
        <w:t xml:space="preserve"> 。</w:t>
      </w:r>
    </w:p>
    <w:p w14:paraId="45A4B2C1">
      <w:pPr>
        <w:pStyle w:val="22"/>
        <w:snapToGrid w:val="0"/>
        <w:spacing w:before="120" w:after="120" w:line="360" w:lineRule="auto"/>
        <w:ind w:firstLine="480" w:firstLineChars="200"/>
        <w:rPr>
          <w:rFonts w:hAnsi="宋体" w:cs="宋体"/>
          <w:b w:val="0"/>
          <w:color w:val="auto"/>
          <w:highlight w:val="none"/>
        </w:rPr>
      </w:pPr>
      <w:r>
        <w:rPr>
          <w:rFonts w:hAnsi="宋体" w:cs="宋体"/>
          <w:b w:val="0"/>
          <w:color w:val="auto"/>
          <w:highlight w:val="none"/>
        </w:rPr>
        <w:t>（二） 开标程序：</w:t>
      </w:r>
    </w:p>
    <w:p w14:paraId="0452A7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1、开标由招标代理机构工作人员主持。</w:t>
      </w:r>
    </w:p>
    <w:p w14:paraId="010229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2、投标人可进行在线沟通。</w:t>
      </w:r>
    </w:p>
    <w:p w14:paraId="6ABDD8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3、评标委员会依法对</w:t>
      </w:r>
      <w:r>
        <w:rPr>
          <w:rFonts w:hint="eastAsia" w:ascii="宋体" w:hAnsi="宋体" w:cs="宋体"/>
          <w:color w:val="auto"/>
          <w:sz w:val="24"/>
          <w:highlight w:val="none"/>
          <w:lang w:val="en-US" w:eastAsia="zh-CN"/>
        </w:rPr>
        <w:t>资格</w:t>
      </w:r>
      <w:r>
        <w:rPr>
          <w:rFonts w:hint="eastAsia" w:ascii="宋体" w:hAnsi="宋体" w:cs="宋体"/>
          <w:color w:val="auto"/>
          <w:sz w:val="24"/>
          <w:highlight w:val="none"/>
        </w:rPr>
        <w:t>进行审查。</w:t>
      </w:r>
    </w:p>
    <w:p w14:paraId="0B6CC8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资信技术标审查</w:t>
      </w:r>
      <w:r>
        <w:rPr>
          <w:rFonts w:hint="eastAsia" w:ascii="宋体" w:hAnsi="宋体" w:cs="宋体"/>
          <w:color w:val="auto"/>
          <w:sz w:val="24"/>
          <w:highlight w:val="none"/>
        </w:rPr>
        <w:t>完成后，主持人宣告</w:t>
      </w:r>
      <w:r>
        <w:rPr>
          <w:rFonts w:hint="eastAsia" w:ascii="宋体" w:hAnsi="宋体" w:cs="宋体"/>
          <w:color w:val="auto"/>
          <w:sz w:val="24"/>
          <w:highlight w:val="none"/>
          <w:lang w:val="en-US" w:eastAsia="zh-CN"/>
        </w:rPr>
        <w:t>资信技术标</w:t>
      </w:r>
      <w:r>
        <w:rPr>
          <w:rFonts w:hint="eastAsia" w:ascii="宋体" w:hAnsi="宋体" w:cs="宋体"/>
          <w:color w:val="auto"/>
          <w:sz w:val="24"/>
          <w:highlight w:val="none"/>
        </w:rPr>
        <w:t>评审无效投标人名称及理由，公布经</w:t>
      </w:r>
      <w:r>
        <w:rPr>
          <w:rFonts w:hint="eastAsia" w:ascii="宋体" w:hAnsi="宋体" w:cs="宋体"/>
          <w:color w:val="auto"/>
          <w:sz w:val="24"/>
          <w:highlight w:val="none"/>
          <w:lang w:val="en-US" w:eastAsia="zh-CN"/>
        </w:rPr>
        <w:t>资信技术标</w:t>
      </w:r>
      <w:r>
        <w:rPr>
          <w:rFonts w:hint="eastAsia" w:ascii="宋体" w:hAnsi="宋体" w:cs="宋体"/>
          <w:color w:val="auto"/>
          <w:sz w:val="24"/>
          <w:highlight w:val="none"/>
        </w:rPr>
        <w:t>评审符合</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需求的投标人名单以及</w:t>
      </w:r>
      <w:r>
        <w:rPr>
          <w:rFonts w:hint="eastAsia" w:ascii="宋体" w:hAnsi="宋体" w:cs="宋体"/>
          <w:color w:val="auto"/>
          <w:sz w:val="24"/>
          <w:highlight w:val="none"/>
          <w:lang w:val="en-US" w:eastAsia="zh-CN"/>
        </w:rPr>
        <w:t>资信技术标</w:t>
      </w:r>
      <w:r>
        <w:rPr>
          <w:rFonts w:hint="eastAsia" w:ascii="宋体" w:hAnsi="宋体" w:cs="宋体"/>
          <w:color w:val="auto"/>
          <w:sz w:val="24"/>
          <w:highlight w:val="none"/>
        </w:rPr>
        <w:t>得分情况。</w:t>
      </w:r>
    </w:p>
    <w:p w14:paraId="3564DE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、开启各投标人</w:t>
      </w:r>
      <w:r>
        <w:rPr>
          <w:rFonts w:hint="eastAsia" w:ascii="宋体" w:hAnsi="宋体" w:cs="宋体"/>
          <w:color w:val="auto"/>
          <w:sz w:val="24"/>
          <w:highlight w:val="none"/>
          <w:lang w:val="en-US" w:eastAsia="zh-CN"/>
        </w:rPr>
        <w:t>商务标报价</w:t>
      </w:r>
      <w:r>
        <w:rPr>
          <w:rFonts w:hint="eastAsia" w:ascii="宋体" w:hAnsi="宋体" w:cs="宋体"/>
          <w:color w:val="auto"/>
          <w:sz w:val="24"/>
          <w:highlight w:val="none"/>
        </w:rPr>
        <w:t>。</w:t>
      </w:r>
    </w:p>
    <w:p w14:paraId="12F5DA53">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、由评标委员会对投标人</w:t>
      </w:r>
      <w:r>
        <w:rPr>
          <w:rFonts w:hint="eastAsia" w:ascii="宋体" w:hAnsi="宋体" w:cs="宋体"/>
          <w:color w:val="auto"/>
          <w:sz w:val="24"/>
          <w:highlight w:val="none"/>
          <w:lang w:val="en-US" w:eastAsia="zh-CN"/>
        </w:rPr>
        <w:t>商务标报价</w:t>
      </w:r>
      <w:r>
        <w:rPr>
          <w:rFonts w:hint="eastAsia" w:ascii="宋体" w:hAnsi="宋体" w:cs="宋体"/>
          <w:color w:val="auto"/>
          <w:sz w:val="24"/>
          <w:highlight w:val="none"/>
        </w:rPr>
        <w:t>的合理性、准确性等进行审查核实。</w:t>
      </w:r>
    </w:p>
    <w:p w14:paraId="318B652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、评标结束后，主持人公布</w:t>
      </w:r>
      <w:r>
        <w:rPr>
          <w:rFonts w:hint="eastAsia" w:ascii="宋体" w:hAnsi="宋体" w:cs="宋体"/>
          <w:color w:val="auto"/>
          <w:sz w:val="24"/>
          <w:highlight w:val="none"/>
          <w:lang w:val="en-US" w:eastAsia="zh-CN"/>
        </w:rPr>
        <w:t>商务标</w:t>
      </w:r>
      <w:r>
        <w:rPr>
          <w:rFonts w:hint="eastAsia" w:ascii="宋体" w:hAnsi="宋体" w:cs="宋体"/>
          <w:color w:val="auto"/>
          <w:sz w:val="24"/>
          <w:highlight w:val="none"/>
        </w:rPr>
        <w:t>得分、综合得分以及推荐中标候选人排序名单。</w:t>
      </w:r>
    </w:p>
    <w:p w14:paraId="1D57E36E">
      <w:pPr>
        <w:snapToGrid w:val="0"/>
        <w:spacing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、开标会议结束。</w:t>
      </w:r>
    </w:p>
    <w:p w14:paraId="480F0C4F">
      <w:pPr>
        <w:pStyle w:val="22"/>
        <w:spacing w:before="0" w:beforeLines="0" w:beforeAutospacing="0" w:after="120" w:line="360" w:lineRule="auto"/>
        <w:ind w:left="0" w:leftChars="0" w:firstLine="480" w:firstLineChars="200"/>
        <w:rPr>
          <w:rFonts w:hAnsi="宋体" w:cs="宋体"/>
          <w:b w:val="0"/>
          <w:bCs/>
          <w:color w:val="auto"/>
          <w:highlight w:val="none"/>
        </w:rPr>
      </w:pPr>
      <w:r>
        <w:rPr>
          <w:rFonts w:hint="eastAsia" w:hAnsi="宋体" w:cs="宋体"/>
          <w:b w:val="0"/>
          <w:bCs/>
          <w:color w:val="auto"/>
          <w:highlight w:val="none"/>
          <w:lang w:val="en-US" w:eastAsia="zh-CN"/>
        </w:rPr>
        <w:t>9</w:t>
      </w:r>
      <w:r>
        <w:rPr>
          <w:rFonts w:hAnsi="宋体" w:cs="宋体"/>
          <w:b w:val="0"/>
          <w:bCs/>
          <w:color w:val="auto"/>
          <w:highlight w:val="none"/>
        </w:rPr>
        <w:t>、其他注意事项：</w:t>
      </w:r>
    </w:p>
    <w:p w14:paraId="22D2B817">
      <w:pPr>
        <w:pStyle w:val="22"/>
        <w:spacing w:before="120" w:after="120" w:line="360" w:lineRule="auto"/>
        <w:ind w:firstLine="540" w:firstLineChars="225"/>
        <w:rPr>
          <w:rFonts w:hAnsi="宋体" w:cs="宋体"/>
          <w:b w:val="0"/>
          <w:bCs/>
          <w:color w:val="auto"/>
          <w:highlight w:val="none"/>
        </w:rPr>
      </w:pPr>
      <w:r>
        <w:rPr>
          <w:rFonts w:hAnsi="宋体" w:cs="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1AEF4F8B">
      <w:pPr>
        <w:pStyle w:val="22"/>
        <w:spacing w:before="120" w:after="120" w:line="360" w:lineRule="auto"/>
        <w:ind w:firstLine="540" w:firstLineChars="225"/>
        <w:rPr>
          <w:rFonts w:hAnsi="宋体" w:cs="宋体"/>
          <w:b w:val="0"/>
          <w:bCs/>
          <w:color w:val="auto"/>
          <w:highlight w:val="none"/>
        </w:rPr>
      </w:pPr>
      <w:r>
        <w:rPr>
          <w:rFonts w:hAnsi="宋体" w:cs="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06104970">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ACEF396">
      <w:pPr>
        <w:autoSpaceDE w:val="0"/>
        <w:autoSpaceDN w:val="0"/>
        <w:adjustRightInd w:val="0"/>
        <w:spacing w:line="360" w:lineRule="auto"/>
        <w:ind w:right="-14"/>
        <w:jc w:val="left"/>
        <w:rPr>
          <w:rFonts w:hint="eastAsia" w:ascii="宋体" w:hAnsi="宋体" w:cs="宋体"/>
          <w:b/>
          <w:color w:val="auto"/>
          <w:sz w:val="24"/>
          <w:highlight w:val="none"/>
        </w:rPr>
      </w:pPr>
    </w:p>
    <w:p w14:paraId="2C5A6C02">
      <w:pPr>
        <w:autoSpaceDE w:val="0"/>
        <w:autoSpaceDN w:val="0"/>
        <w:adjustRightInd w:val="0"/>
        <w:spacing w:line="360" w:lineRule="auto"/>
        <w:ind w:right="-14"/>
        <w:jc w:val="left"/>
        <w:rPr>
          <w:rFonts w:hint="eastAsia" w:ascii="宋体" w:hAnsi="宋体" w:cs="宋体"/>
          <w:b/>
          <w:color w:val="auto"/>
          <w:sz w:val="24"/>
          <w:highlight w:val="none"/>
        </w:rPr>
      </w:pPr>
      <w:r>
        <w:rPr>
          <w:rFonts w:hint="eastAsia" w:ascii="宋体" w:hAnsi="宋体" w:cs="宋体"/>
          <w:b/>
          <w:color w:val="auto"/>
          <w:sz w:val="24"/>
          <w:highlight w:val="none"/>
        </w:rPr>
        <w:t>重要事项说明：</w:t>
      </w:r>
    </w:p>
    <w:p w14:paraId="6148A411">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（1）开标项目的时间均以国家授时中心发布的时间为准。</w:t>
      </w:r>
    </w:p>
    <w:p w14:paraId="4D92A24D">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（2）若投标人已申请多把CA锁，请注意使用差别。因ca锁使用错误引发的问题，由投标人自己负责。</w:t>
      </w:r>
    </w:p>
    <w:p w14:paraId="1B4A55D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bCs/>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14:paraId="2E37820F">
      <w:pPr>
        <w:pStyle w:val="22"/>
        <w:snapToGrid w:val="0"/>
        <w:spacing w:before="120" w:beforeLines="0" w:after="120" w:afterLines="0" w:line="360" w:lineRule="auto"/>
        <w:rPr>
          <w:rFonts w:hAnsi="宋体" w:cs="宋体"/>
          <w:b/>
          <w:bCs/>
          <w:color w:val="auto"/>
          <w:sz w:val="30"/>
          <w:szCs w:val="30"/>
          <w:highlight w:val="none"/>
        </w:rPr>
      </w:pPr>
      <w:r>
        <w:rPr>
          <w:rFonts w:hAnsi="宋体" w:cs="宋体"/>
          <w:b/>
          <w:bCs/>
          <w:color w:val="auto"/>
          <w:sz w:val="30"/>
          <w:szCs w:val="30"/>
          <w:highlight w:val="none"/>
        </w:rPr>
        <w:t>五、评标</w:t>
      </w:r>
    </w:p>
    <w:p w14:paraId="0167584B">
      <w:pPr>
        <w:pStyle w:val="22"/>
        <w:snapToGrid w:val="0"/>
        <w:spacing w:before="120" w:after="0" w:afterLines="0" w:afterAutospacing="0" w:line="360" w:lineRule="auto"/>
        <w:ind w:left="874" w:leftChars="128" w:hanging="516" w:hangingChars="215"/>
        <w:rPr>
          <w:rFonts w:hAnsi="宋体" w:cs="宋体"/>
          <w:b w:val="0"/>
          <w:color w:val="auto"/>
          <w:highlight w:val="none"/>
        </w:rPr>
      </w:pPr>
      <w:r>
        <w:rPr>
          <w:rFonts w:hAnsi="宋体" w:cs="宋体"/>
          <w:b w:val="0"/>
          <w:color w:val="auto"/>
          <w:highlight w:val="none"/>
        </w:rPr>
        <w:t>（一）组建评标委员会</w:t>
      </w:r>
    </w:p>
    <w:p w14:paraId="5FC2C741">
      <w:pPr>
        <w:pStyle w:val="36"/>
        <w:widowControl w:val="0"/>
        <w:snapToGrid w:val="0"/>
        <w:spacing w:before="0" w:beforeLines="0" w:beforeAutospacing="0" w:after="0" w:afterLines="0" w:afterAutospacing="0" w:line="360" w:lineRule="auto"/>
        <w:ind w:firstLine="480" w:firstLineChars="200"/>
        <w:jc w:val="both"/>
        <w:rPr>
          <w:rFonts w:cs="宋体"/>
          <w:color w:val="auto"/>
          <w:highlight w:val="none"/>
        </w:rPr>
      </w:pPr>
      <w:r>
        <w:rPr>
          <w:rFonts w:cs="宋体"/>
          <w:color w:val="auto"/>
          <w:highlight w:val="none"/>
        </w:rPr>
        <w:t>评标由招标人依法组建的评标委员会负责。</w:t>
      </w:r>
    </w:p>
    <w:p w14:paraId="3261CEF6">
      <w:pPr>
        <w:pStyle w:val="22"/>
        <w:snapToGrid w:val="0"/>
        <w:spacing w:before="87" w:beforeLines="27" w:beforeAutospacing="0" w:after="87" w:afterLines="27" w:afterAutospacing="0" w:line="360" w:lineRule="auto"/>
        <w:ind w:left="877" w:leftChars="129" w:hanging="516" w:hangingChars="215"/>
        <w:rPr>
          <w:rFonts w:hAnsi="宋体" w:cs="宋体"/>
          <w:b w:val="0"/>
          <w:color w:val="auto"/>
          <w:highlight w:val="none"/>
        </w:rPr>
      </w:pPr>
      <w:r>
        <w:rPr>
          <w:rFonts w:hAnsi="宋体" w:cs="宋体"/>
          <w:b w:val="0"/>
          <w:color w:val="auto"/>
          <w:highlight w:val="none"/>
        </w:rPr>
        <w:t>（二）评标的方式</w:t>
      </w:r>
    </w:p>
    <w:p w14:paraId="07E79593">
      <w:pPr>
        <w:pStyle w:val="22"/>
        <w:snapToGrid w:val="0"/>
        <w:spacing w:before="0" w:beforeLines="0" w:beforeAutospacing="0" w:after="120" w:line="360" w:lineRule="auto"/>
        <w:ind w:left="879" w:leftChars="228" w:hanging="241" w:hangingChars="100"/>
        <w:rPr>
          <w:rFonts w:hAnsi="宋体" w:cs="宋体"/>
          <w:color w:val="auto"/>
          <w:highlight w:val="none"/>
        </w:rPr>
      </w:pPr>
      <w:r>
        <w:rPr>
          <w:rFonts w:hAnsi="宋体" w:cs="宋体"/>
          <w:color w:val="auto"/>
          <w:highlight w:val="none"/>
        </w:rPr>
        <w:t>本项目采用不公开方式评标，评标的依据为招标文件和投标文件。</w:t>
      </w:r>
    </w:p>
    <w:p w14:paraId="009A9AC7">
      <w:pPr>
        <w:pStyle w:val="22"/>
        <w:snapToGrid w:val="0"/>
        <w:spacing w:before="120" w:after="120" w:line="360" w:lineRule="auto"/>
        <w:ind w:left="877" w:leftChars="129" w:hanging="516" w:hangingChars="215"/>
        <w:rPr>
          <w:rFonts w:hAnsi="宋体" w:cs="宋体"/>
          <w:b w:val="0"/>
          <w:color w:val="auto"/>
          <w:highlight w:val="none"/>
        </w:rPr>
      </w:pPr>
      <w:r>
        <w:rPr>
          <w:rFonts w:hAnsi="宋体" w:cs="宋体"/>
          <w:b w:val="0"/>
          <w:color w:val="auto"/>
          <w:highlight w:val="none"/>
        </w:rPr>
        <w:t>（三）</w:t>
      </w:r>
      <w:r>
        <w:rPr>
          <w:rFonts w:hAnsi="宋体" w:cs="宋体"/>
          <w:b w:val="0"/>
          <w:bCs/>
          <w:color w:val="auto"/>
          <w:highlight w:val="none"/>
        </w:rPr>
        <w:t>评标程序</w:t>
      </w:r>
    </w:p>
    <w:p w14:paraId="06952D14">
      <w:pPr>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1.形式审查</w:t>
      </w:r>
    </w:p>
    <w:p w14:paraId="2B5DFCD5">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b w:val="0"/>
          <w:bCs/>
          <w:color w:val="auto"/>
          <w:sz w:val="24"/>
          <w:highlight w:val="none"/>
        </w:rPr>
        <w:t>采购人代表和代理机构工作人员协助评标委员会对投标人的资格和投标文件的完整性、合法性等进行审查。</w:t>
      </w:r>
    </w:p>
    <w:p w14:paraId="683D662F">
      <w:pPr>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2.实质审查与比较</w:t>
      </w:r>
    </w:p>
    <w:p w14:paraId="406FB94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26F707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34C650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）评标委员会完成评标后,评委对各部分得分汇总,计算出本项目最终得分。评标委员会按评标原则推荐中标候选人同时起草评标报告。</w:t>
      </w:r>
    </w:p>
    <w:p w14:paraId="1A4F8C50">
      <w:pPr>
        <w:snapToGrid w:val="0"/>
        <w:spacing w:line="360" w:lineRule="auto"/>
        <w:ind w:firstLine="359" w:firstLineChars="149"/>
        <w:rPr>
          <w:rFonts w:hint="eastAsia" w:ascii="宋体" w:hAnsi="宋体" w:cs="宋体"/>
          <w:b/>
          <w:color w:val="auto"/>
          <w:sz w:val="24"/>
          <w:highlight w:val="none"/>
        </w:rPr>
      </w:pPr>
      <w:r>
        <w:rPr>
          <w:rFonts w:hint="eastAsia" w:ascii="宋体" w:hAnsi="宋体" w:cs="宋体"/>
          <w:b/>
          <w:color w:val="auto"/>
          <w:sz w:val="24"/>
          <w:highlight w:val="none"/>
        </w:rPr>
        <w:t>（四）澄清问题的形式</w:t>
      </w:r>
    </w:p>
    <w:p w14:paraId="7DCA2A49">
      <w:pPr>
        <w:snapToGrid w:val="0"/>
        <w:spacing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C3DE690">
      <w:pPr>
        <w:pStyle w:val="22"/>
        <w:snapToGrid w:val="0"/>
        <w:spacing w:before="0" w:beforeLines="0" w:beforeAutospacing="0" w:after="0" w:afterLines="0" w:afterAutospacing="0" w:line="360" w:lineRule="auto"/>
        <w:ind w:left="877" w:leftChars="129" w:hanging="516" w:hangingChars="214"/>
        <w:rPr>
          <w:rFonts w:hAnsi="宋体" w:cs="宋体"/>
          <w:b/>
          <w:bCs/>
          <w:color w:val="auto"/>
          <w:highlight w:val="none"/>
        </w:rPr>
      </w:pPr>
      <w:r>
        <w:rPr>
          <w:rFonts w:hAnsi="宋体" w:cs="宋体"/>
          <w:b/>
          <w:bCs/>
          <w:color w:val="auto"/>
          <w:highlight w:val="none"/>
        </w:rPr>
        <w:t>（五）错误修正</w:t>
      </w:r>
    </w:p>
    <w:p w14:paraId="5955BCDF">
      <w:pPr>
        <w:pStyle w:val="36"/>
        <w:spacing w:before="0" w:beforeLines="0" w:beforeAutospacing="0" w:after="0" w:afterAutospacing="0" w:line="360" w:lineRule="auto"/>
        <w:ind w:firstLine="480" w:firstLineChars="200"/>
        <w:jc w:val="both"/>
        <w:rPr>
          <w:rFonts w:cs="宋体"/>
          <w:color w:val="auto"/>
          <w:highlight w:val="none"/>
        </w:rPr>
      </w:pPr>
      <w:r>
        <w:rPr>
          <w:rFonts w:cs="宋体"/>
          <w:color w:val="auto"/>
          <w:highlight w:val="none"/>
        </w:rPr>
        <w:t>投标文件报价出现前后不一致的，除招标文件另有规定外，按照下列规定修正：</w:t>
      </w:r>
    </w:p>
    <w:p w14:paraId="1F3CC817">
      <w:pPr>
        <w:pStyle w:val="36"/>
        <w:spacing w:before="0" w:beforeAutospacing="0" w:after="0" w:afterAutospacing="0" w:line="360" w:lineRule="auto"/>
        <w:jc w:val="both"/>
        <w:rPr>
          <w:rFonts w:cs="宋体"/>
          <w:color w:val="auto"/>
          <w:highlight w:val="none"/>
        </w:rPr>
      </w:pPr>
      <w:r>
        <w:rPr>
          <w:rFonts w:cs="宋体"/>
          <w:color w:val="auto"/>
          <w:highlight w:val="none"/>
        </w:rPr>
        <w:t>　　</w:t>
      </w:r>
      <w:r>
        <w:rPr>
          <w:rFonts w:hint="eastAsia" w:cs="宋体"/>
          <w:color w:val="auto"/>
          <w:highlight w:val="none"/>
          <w:lang w:val="en-US" w:eastAsia="zh-CN"/>
        </w:rPr>
        <w:t>1、</w:t>
      </w:r>
      <w:r>
        <w:rPr>
          <w:rFonts w:hint="eastAsia" w:cs="宋体"/>
          <w:color w:val="auto"/>
          <w:highlight w:val="none"/>
        </w:rPr>
        <w:t>台州湾新区小额工程电子交易平台”上开启的投标报价与电子投标文件中投标承诺书内容不一致的，以电子投标文件中投标承诺书为准；</w:t>
      </w:r>
    </w:p>
    <w:p w14:paraId="6C2ED960">
      <w:pPr>
        <w:pStyle w:val="36"/>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lang w:val="en-US" w:eastAsia="zh-CN"/>
        </w:rPr>
        <w:t>2</w:t>
      </w:r>
      <w:r>
        <w:rPr>
          <w:rFonts w:cs="宋体"/>
          <w:color w:val="auto"/>
          <w:highlight w:val="none"/>
        </w:rPr>
        <w:t>、投标文件中</w:t>
      </w:r>
      <w:r>
        <w:rPr>
          <w:rFonts w:hint="eastAsia" w:cs="宋体"/>
          <w:color w:val="auto"/>
          <w:highlight w:val="none"/>
          <w:lang w:val="en-US" w:eastAsia="zh-CN"/>
        </w:rPr>
        <w:t>投标承诺书</w:t>
      </w:r>
      <w:r>
        <w:rPr>
          <w:rFonts w:cs="宋体"/>
          <w:color w:val="auto"/>
          <w:highlight w:val="none"/>
        </w:rPr>
        <w:t>内容与投标文件中相应内容不一致的，以</w:t>
      </w:r>
      <w:r>
        <w:rPr>
          <w:rFonts w:hint="eastAsia" w:cs="宋体"/>
          <w:color w:val="auto"/>
          <w:highlight w:val="none"/>
          <w:lang w:val="en-US" w:eastAsia="zh-CN"/>
        </w:rPr>
        <w:t>投标承诺书</w:t>
      </w:r>
      <w:r>
        <w:rPr>
          <w:rFonts w:cs="宋体"/>
          <w:color w:val="auto"/>
          <w:highlight w:val="none"/>
        </w:rPr>
        <w:t>为准；</w:t>
      </w:r>
    </w:p>
    <w:p w14:paraId="3C6E1110">
      <w:pPr>
        <w:pStyle w:val="36"/>
        <w:spacing w:before="0" w:beforeAutospacing="0" w:after="0" w:afterAutospacing="0" w:line="360" w:lineRule="auto"/>
        <w:jc w:val="both"/>
        <w:rPr>
          <w:rFonts w:cs="宋体"/>
          <w:color w:val="auto"/>
          <w:highlight w:val="none"/>
        </w:rPr>
      </w:pPr>
      <w:r>
        <w:rPr>
          <w:rFonts w:cs="宋体"/>
          <w:color w:val="auto"/>
          <w:highlight w:val="none"/>
        </w:rPr>
        <w:t>　　</w:t>
      </w:r>
      <w:r>
        <w:rPr>
          <w:rFonts w:hint="eastAsia" w:cs="宋体"/>
          <w:color w:val="auto"/>
          <w:highlight w:val="none"/>
          <w:lang w:val="en-US" w:eastAsia="zh-CN"/>
        </w:rPr>
        <w:t>3</w:t>
      </w:r>
      <w:r>
        <w:rPr>
          <w:rFonts w:cs="宋体"/>
          <w:color w:val="auto"/>
          <w:highlight w:val="none"/>
        </w:rPr>
        <w:t>、大写金额和小写金额不一致的，以大写金额为准；</w:t>
      </w:r>
    </w:p>
    <w:p w14:paraId="1D0D0196">
      <w:pPr>
        <w:pStyle w:val="36"/>
        <w:spacing w:before="0" w:beforeAutospacing="0" w:after="0" w:afterAutospacing="0" w:line="360" w:lineRule="auto"/>
        <w:jc w:val="both"/>
        <w:rPr>
          <w:rFonts w:cs="宋体"/>
          <w:color w:val="auto"/>
          <w:highlight w:val="none"/>
        </w:rPr>
      </w:pPr>
      <w:r>
        <w:rPr>
          <w:rFonts w:cs="宋体"/>
          <w:color w:val="auto"/>
          <w:highlight w:val="none"/>
        </w:rPr>
        <w:t>　　</w:t>
      </w:r>
      <w:r>
        <w:rPr>
          <w:rFonts w:hint="eastAsia" w:cs="宋体"/>
          <w:color w:val="auto"/>
          <w:highlight w:val="none"/>
          <w:lang w:val="en-US" w:eastAsia="zh-CN"/>
        </w:rPr>
        <w:t>4</w:t>
      </w:r>
      <w:r>
        <w:rPr>
          <w:rFonts w:cs="宋体"/>
          <w:color w:val="auto"/>
          <w:highlight w:val="none"/>
        </w:rPr>
        <w:t>、单价金额小数点或者百分比有明显错位的，以</w:t>
      </w:r>
      <w:r>
        <w:rPr>
          <w:rFonts w:hint="eastAsia" w:cs="宋体"/>
          <w:color w:val="auto"/>
          <w:highlight w:val="none"/>
          <w:lang w:val="en-US" w:eastAsia="zh-CN"/>
        </w:rPr>
        <w:t>投标承诺书</w:t>
      </w:r>
      <w:r>
        <w:rPr>
          <w:rFonts w:cs="宋体"/>
          <w:color w:val="auto"/>
          <w:highlight w:val="none"/>
        </w:rPr>
        <w:t>的总价为准，并修改单价；</w:t>
      </w:r>
    </w:p>
    <w:p w14:paraId="60C82ACF">
      <w:pPr>
        <w:pStyle w:val="36"/>
        <w:spacing w:before="0" w:beforeAutospacing="0" w:after="0" w:afterAutospacing="0" w:line="360" w:lineRule="auto"/>
        <w:jc w:val="both"/>
        <w:rPr>
          <w:rFonts w:cs="宋体"/>
          <w:color w:val="auto"/>
          <w:highlight w:val="none"/>
        </w:rPr>
      </w:pPr>
      <w:r>
        <w:rPr>
          <w:rFonts w:cs="宋体"/>
          <w:color w:val="auto"/>
          <w:highlight w:val="none"/>
        </w:rPr>
        <w:t>　　</w:t>
      </w:r>
      <w:r>
        <w:rPr>
          <w:rFonts w:hint="eastAsia" w:cs="宋体"/>
          <w:color w:val="auto"/>
          <w:highlight w:val="none"/>
          <w:lang w:val="en-US" w:eastAsia="zh-CN"/>
        </w:rPr>
        <w:t>5</w:t>
      </w:r>
      <w:r>
        <w:rPr>
          <w:rFonts w:cs="宋体"/>
          <w:color w:val="auto"/>
          <w:highlight w:val="none"/>
        </w:rPr>
        <w:t>、总价金额与按单价汇总金额不一致的，以单价金额计算结果为准。</w:t>
      </w:r>
    </w:p>
    <w:p w14:paraId="58FD10AF">
      <w:pPr>
        <w:pStyle w:val="36"/>
        <w:spacing w:before="0" w:beforeAutospacing="0" w:after="0" w:afterAutospacing="0" w:line="360" w:lineRule="auto"/>
        <w:jc w:val="both"/>
        <w:rPr>
          <w:rFonts w:cs="宋体"/>
          <w:color w:val="auto"/>
          <w:highlight w:val="none"/>
        </w:rPr>
      </w:pPr>
      <w:r>
        <w:rPr>
          <w:rFonts w:cs="宋体"/>
          <w:color w:val="auto"/>
          <w:highlight w:val="none"/>
        </w:rPr>
        <w:t>　　同时出现两种以上不一致的，按照前款规定的顺序修正。修正应当采用书面形式，并加盖公章或者由法定代表人或其授权的代表签字</w:t>
      </w:r>
      <w:r>
        <w:rPr>
          <w:rFonts w:hint="eastAsia" w:cs="宋体"/>
          <w:color w:val="auto"/>
          <w:highlight w:val="none"/>
          <w:lang w:val="en-US" w:eastAsia="zh-CN"/>
        </w:rPr>
        <w:t>确认</w:t>
      </w:r>
      <w:r>
        <w:rPr>
          <w:rFonts w:cs="宋体"/>
          <w:color w:val="auto"/>
          <w:highlight w:val="none"/>
        </w:rPr>
        <w:t>。修正后的报价经投标人确认后产生约束力，投标人不确认的，其投标无效。</w:t>
      </w:r>
    </w:p>
    <w:p w14:paraId="4926CAB5">
      <w:pPr>
        <w:autoSpaceDE w:val="0"/>
        <w:autoSpaceDN w:val="0"/>
        <w:adjustRightInd w:val="0"/>
        <w:spacing w:line="360" w:lineRule="auto"/>
        <w:ind w:firstLine="359" w:firstLineChars="149"/>
        <w:rPr>
          <w:rFonts w:hint="eastAsia" w:ascii="宋体" w:hAnsi="宋体" w:cs="宋体"/>
          <w:b/>
          <w:color w:val="auto"/>
          <w:kern w:val="0"/>
          <w:sz w:val="24"/>
          <w:highlight w:val="none"/>
        </w:rPr>
      </w:pPr>
      <w:r>
        <w:rPr>
          <w:rFonts w:hint="eastAsia" w:ascii="宋体" w:hAnsi="宋体" w:cs="宋体"/>
          <w:b/>
          <w:color w:val="auto"/>
          <w:kern w:val="0"/>
          <w:sz w:val="24"/>
          <w:highlight w:val="none"/>
        </w:rPr>
        <w:t>（六）有下列情况之一的，本次招标作为废标处理，除招标任务取消外，由招标人重新组织招标：</w:t>
      </w:r>
    </w:p>
    <w:p w14:paraId="45A8E4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1、符合专业条件的投标人或者对招标文件作实质响应的投标人不足三家，评标委员会认定投标明显缺乏竞争的；</w:t>
      </w:r>
    </w:p>
    <w:p w14:paraId="26DD9BF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2、出现影响招标公正的违法、违规行为的；</w:t>
      </w:r>
    </w:p>
    <w:p w14:paraId="5C9923F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3、投标人的报价均超过了报价上限，招标人不能支付的；</w:t>
      </w:r>
    </w:p>
    <w:p w14:paraId="4C7B8366">
      <w:pPr>
        <w:snapToGrid w:val="0"/>
        <w:spacing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4、因重大变故，采购任务取消的。</w:t>
      </w:r>
    </w:p>
    <w:p w14:paraId="001826D1">
      <w:pPr>
        <w:pStyle w:val="22"/>
        <w:tabs>
          <w:tab w:val="left" w:pos="630"/>
        </w:tabs>
        <w:snapToGrid w:val="0"/>
        <w:spacing w:before="159" w:beforeLines="50" w:beforeAutospacing="0" w:after="0" w:afterLines="0" w:afterAutospacing="0" w:line="360" w:lineRule="auto"/>
        <w:ind w:firstLine="359" w:firstLineChars="149"/>
        <w:rPr>
          <w:rFonts w:hAnsi="宋体" w:cs="宋体"/>
          <w:b/>
          <w:bCs/>
          <w:color w:val="auto"/>
          <w:highlight w:val="none"/>
        </w:rPr>
      </w:pPr>
      <w:r>
        <w:rPr>
          <w:rFonts w:hAnsi="宋体" w:cs="宋体"/>
          <w:b/>
          <w:bCs/>
          <w:color w:val="auto"/>
          <w:highlight w:val="none"/>
        </w:rPr>
        <w:t>（七）评标原则和评标办法</w:t>
      </w:r>
    </w:p>
    <w:p w14:paraId="5ADC0819">
      <w:pPr>
        <w:pStyle w:val="22"/>
        <w:snapToGrid w:val="0"/>
        <w:spacing w:before="0" w:beforeLines="0" w:beforeAutospacing="0" w:after="120" w:line="360" w:lineRule="auto"/>
        <w:ind w:firstLine="480" w:firstLineChars="200"/>
        <w:rPr>
          <w:rFonts w:hAnsi="宋体" w:cs="宋体"/>
          <w:b w:val="0"/>
          <w:bCs/>
          <w:color w:val="auto"/>
          <w:highlight w:val="none"/>
        </w:rPr>
      </w:pPr>
      <w:r>
        <w:rPr>
          <w:rFonts w:hAnsi="宋体" w:cs="宋体"/>
          <w:b w:val="0"/>
          <w:bCs/>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6F24B09">
      <w:pPr>
        <w:pStyle w:val="22"/>
        <w:snapToGrid w:val="0"/>
        <w:spacing w:before="120" w:after="0" w:afterLines="0" w:afterAutospacing="0" w:line="360" w:lineRule="auto"/>
        <w:ind w:firstLine="480" w:firstLineChars="200"/>
        <w:rPr>
          <w:rFonts w:hAnsi="宋体" w:cs="宋体"/>
          <w:color w:val="auto"/>
          <w:highlight w:val="none"/>
        </w:rPr>
      </w:pPr>
      <w:r>
        <w:rPr>
          <w:rFonts w:hAnsi="宋体" w:cs="宋体"/>
          <w:b w:val="0"/>
          <w:bCs/>
          <w:color w:val="auto"/>
          <w:highlight w:val="none"/>
        </w:rPr>
        <w:t>2、评标办法。具体评标内容及评分标准等详见《第四章：评标办法及评分标准》。</w:t>
      </w:r>
    </w:p>
    <w:p w14:paraId="3138D60E">
      <w:pPr>
        <w:pStyle w:val="22"/>
        <w:snapToGrid w:val="0"/>
        <w:spacing w:before="102" w:beforeLines="32" w:beforeAutospacing="0" w:after="0" w:afterLines="0" w:afterAutospacing="0" w:line="360" w:lineRule="auto"/>
        <w:ind w:firstLine="359" w:firstLineChars="149"/>
        <w:rPr>
          <w:rFonts w:hAnsi="宋体" w:cs="宋体"/>
          <w:b/>
          <w:bCs/>
          <w:color w:val="auto"/>
          <w:highlight w:val="none"/>
        </w:rPr>
      </w:pPr>
      <w:r>
        <w:rPr>
          <w:rFonts w:hAnsi="宋体" w:cs="宋体"/>
          <w:b/>
          <w:bCs/>
          <w:color w:val="auto"/>
          <w:highlight w:val="none"/>
        </w:rPr>
        <w:t>（八）评标过程的监控</w:t>
      </w:r>
    </w:p>
    <w:p w14:paraId="7834C7EB">
      <w:pPr>
        <w:pStyle w:val="36"/>
        <w:spacing w:before="0" w:beforeLines="0" w:beforeAutospacing="0" w:after="0" w:afterAutospacing="0" w:line="360" w:lineRule="auto"/>
        <w:ind w:firstLine="480" w:firstLineChars="200"/>
        <w:jc w:val="both"/>
        <w:rPr>
          <w:rFonts w:cs="宋体"/>
          <w:color w:val="auto"/>
          <w:highlight w:val="none"/>
        </w:rPr>
      </w:pPr>
      <w:r>
        <w:rPr>
          <w:rFonts w:cs="宋体"/>
          <w:color w:val="auto"/>
          <w:highlight w:val="none"/>
        </w:rPr>
        <w:t>本项目评标过程实行全程录音、录像监控，投标人在评标过程中所进行的试图影响评标结果的不公正活动，可能导致其投标被拒绝。</w:t>
      </w:r>
    </w:p>
    <w:p w14:paraId="66B3DF2E">
      <w:pPr>
        <w:pStyle w:val="22"/>
        <w:snapToGrid w:val="0"/>
        <w:spacing w:before="120" w:beforeLines="0" w:after="0" w:afterLines="0" w:afterAutospacing="0" w:line="360" w:lineRule="auto"/>
        <w:ind w:left="0" w:leftChars="0" w:firstLine="0" w:firstLineChars="0"/>
        <w:rPr>
          <w:rFonts w:hAnsi="宋体" w:cs="宋体"/>
          <w:b/>
          <w:bCs/>
          <w:color w:val="auto"/>
          <w:sz w:val="30"/>
          <w:szCs w:val="30"/>
          <w:highlight w:val="none"/>
        </w:rPr>
      </w:pPr>
      <w:r>
        <w:rPr>
          <w:rFonts w:hAnsi="宋体" w:cs="宋体"/>
          <w:b/>
          <w:bCs/>
          <w:color w:val="auto"/>
          <w:sz w:val="30"/>
          <w:szCs w:val="30"/>
          <w:highlight w:val="none"/>
        </w:rPr>
        <w:t>六、</w:t>
      </w:r>
      <w:bookmarkStart w:id="9" w:name="_Toc155342567"/>
      <w:bookmarkStart w:id="10" w:name="_Toc169487814"/>
      <w:r>
        <w:rPr>
          <w:rFonts w:hAnsi="宋体" w:cs="宋体"/>
          <w:b/>
          <w:bCs/>
          <w:color w:val="auto"/>
          <w:sz w:val="30"/>
          <w:szCs w:val="30"/>
          <w:highlight w:val="none"/>
        </w:rPr>
        <w:t>中标候选人公示</w:t>
      </w:r>
      <w:bookmarkEnd w:id="9"/>
      <w:bookmarkEnd w:id="10"/>
    </w:p>
    <w:p w14:paraId="3DDAA019">
      <w:pPr>
        <w:spacing w:line="400" w:lineRule="exact"/>
        <w:ind w:firstLine="480" w:firstLineChars="200"/>
        <w:rPr>
          <w:rFonts w:hint="eastAsia" w:ascii="宋体" w:hAnsi="宋体" w:cs="宋体"/>
          <w:color w:val="auto"/>
          <w:kern w:val="0"/>
          <w:sz w:val="24"/>
          <w:highlight w:val="none"/>
        </w:rPr>
      </w:pPr>
      <w:bookmarkStart w:id="11" w:name="_Toc237769281"/>
      <w:bookmarkStart w:id="12" w:name="_Toc288556274"/>
      <w:bookmarkStart w:id="13" w:name="_Toc372899849"/>
      <w:bookmarkStart w:id="14" w:name="_Toc237768817"/>
      <w:bookmarkStart w:id="15" w:name="_Toc282596287"/>
      <w:bookmarkStart w:id="16" w:name="_Toc394573920"/>
      <w:bookmarkStart w:id="17" w:name="_Toc283886232"/>
      <w:bookmarkStart w:id="18" w:name="_Toc372899726"/>
      <w:bookmarkStart w:id="19" w:name="_Toc321925409"/>
      <w:bookmarkStart w:id="20" w:name="_Toc4450"/>
      <w:bookmarkStart w:id="21" w:name="_Toc283976523"/>
      <w:r>
        <w:rPr>
          <w:rFonts w:hint="eastAsia" w:ascii="宋体" w:hAnsi="宋体" w:cs="宋体"/>
          <w:color w:val="auto"/>
          <w:kern w:val="0"/>
          <w:sz w:val="24"/>
          <w:highlight w:val="none"/>
        </w:rPr>
        <w:t>1、 招标人应当将评标委员会推荐的中标候选人在交易平台（发布招标公告的媒体上）进行公示，公示期不得少于3日（最后一日为工作日）。</w:t>
      </w:r>
    </w:p>
    <w:p w14:paraId="3CAE69D4">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2、属于《中华人民共和国招标投标法实施条例》第二十二条、第四十四条、第五十四条规定事项投诉的 ，应当向招标人（招标代理机构）提出（附相关有效证明材料），招标人（招标代理机构）应给予答复。投标人对答复不服或认为招标人（招标代理机构）有违反有关规定及其他弄虚作假情形的，可在接到答复之日起 3 日内向招标监管机构申请核查，并提交相关材料。</w:t>
      </w:r>
    </w:p>
    <w:p w14:paraId="0EF00422">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3、中标候选人有以下情形之一的，其资格无效：</w:t>
      </w:r>
    </w:p>
    <w:p w14:paraId="0DB74962">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（1）投标资格不符合第一章第五项投标人的资格要求规定的；</w:t>
      </w:r>
    </w:p>
    <w:p w14:paraId="7D08EBFD">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（2）投标人提供虚假材料骗取投标资格的；</w:t>
      </w:r>
    </w:p>
    <w:p w14:paraId="0011A2CD">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（3）按第四章“评标办法及评分标准”规定应作无效标处理的；</w:t>
      </w:r>
    </w:p>
    <w:p w14:paraId="29E07F52">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（4）法律法规规定作无效标处理的其它情形。</w:t>
      </w:r>
    </w:p>
    <w:p w14:paraId="54993253">
      <w:pPr>
        <w:pStyle w:val="22"/>
        <w:snapToGrid w:val="0"/>
        <w:spacing w:before="62" w:beforeLines="0" w:beforeAutospacing="0" w:after="0" w:afterLines="0" w:afterAutospacing="0" w:line="360" w:lineRule="auto"/>
        <w:ind w:left="0" w:leftChars="0" w:firstLine="0" w:firstLineChars="0"/>
        <w:rPr>
          <w:rFonts w:hAnsi="宋体" w:cs="宋体"/>
          <w:b/>
          <w:bCs/>
          <w:color w:val="auto"/>
          <w:sz w:val="30"/>
          <w:szCs w:val="30"/>
          <w:highlight w:val="none"/>
        </w:rPr>
      </w:pPr>
      <w:r>
        <w:rPr>
          <w:rFonts w:hAnsi="宋体" w:cs="宋体"/>
          <w:b/>
          <w:bCs/>
          <w:color w:val="auto"/>
          <w:sz w:val="30"/>
          <w:szCs w:val="30"/>
          <w:highlight w:val="none"/>
        </w:rPr>
        <w:t>七、中标通知书</w:t>
      </w:r>
      <w:bookmarkEnd w:id="11"/>
      <w:bookmarkEnd w:id="12"/>
      <w:bookmarkEnd w:id="13"/>
      <w:bookmarkEnd w:id="14"/>
      <w:bookmarkEnd w:id="15"/>
      <w:bookmarkEnd w:id="16"/>
      <w:bookmarkEnd w:id="17"/>
      <w:bookmarkEnd w:id="18"/>
      <w:bookmarkEnd w:id="19"/>
      <w:bookmarkEnd w:id="20"/>
      <w:bookmarkEnd w:id="21"/>
    </w:p>
    <w:p w14:paraId="5D52DED5">
      <w:pPr>
        <w:pStyle w:val="16"/>
        <w:tabs>
          <w:tab w:val="left" w:pos="574"/>
        </w:tabs>
        <w:spacing w:beforeAutospacing="0" w:after="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1、招标人应当确定第一中标候选人为中标人。如涉及第二中标候选人和其他投标人资格无效的，评标结果不作调整。</w:t>
      </w:r>
    </w:p>
    <w:p w14:paraId="6EAE44FA">
      <w:pPr>
        <w:pStyle w:val="16"/>
        <w:tabs>
          <w:tab w:val="left" w:pos="574"/>
        </w:tabs>
        <w:spacing w:after="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第一中标候选人放弃中标，或者因不可抗力提出不能履行合同，或者因违反本章第六条第3项规定造成其资格无效的，招标人应当确定第二中标候选人为中标人。如涉及其他投标人资格无效的，评标结果不作调整。如第二中标候选人存在上述同样情形的，本次招标失败，重新组织招标。</w:t>
      </w:r>
    </w:p>
    <w:p w14:paraId="41CF90AA">
      <w:pPr>
        <w:pStyle w:val="16"/>
        <w:tabs>
          <w:tab w:val="left" w:pos="574"/>
        </w:tabs>
        <w:spacing w:after="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3、中标人确定后，招标人应当向中标人发出《中标通知书》。</w:t>
      </w:r>
    </w:p>
    <w:p w14:paraId="6A696C1E">
      <w:pPr>
        <w:pStyle w:val="16"/>
        <w:tabs>
          <w:tab w:val="left" w:pos="574"/>
        </w:tabs>
        <w:spacing w:after="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4、《中标通知书》对招标人和中标人具有法律约束力。《中标通知书》发出后，如中标人因违反法律法规规定而中标无效的，应承担相应的法律责任，本次招标失败，应重新组织招标。</w:t>
      </w:r>
    </w:p>
    <w:p w14:paraId="43022FB5">
      <w:pPr>
        <w:pStyle w:val="22"/>
        <w:snapToGrid w:val="0"/>
        <w:spacing w:before="120" w:beforeLines="0" w:after="0" w:afterLines="0" w:afterAutospacing="0" w:line="360" w:lineRule="auto"/>
        <w:ind w:left="0" w:leftChars="0" w:firstLine="0" w:firstLineChars="0"/>
        <w:rPr>
          <w:rFonts w:hAnsi="宋体" w:cs="宋体"/>
          <w:b/>
          <w:bCs/>
          <w:color w:val="auto"/>
          <w:sz w:val="30"/>
          <w:szCs w:val="30"/>
          <w:highlight w:val="none"/>
        </w:rPr>
      </w:pPr>
      <w:r>
        <w:rPr>
          <w:rFonts w:hAnsi="宋体" w:cs="宋体"/>
          <w:b/>
          <w:bCs/>
          <w:color w:val="auto"/>
          <w:sz w:val="30"/>
          <w:szCs w:val="30"/>
          <w:highlight w:val="none"/>
        </w:rPr>
        <w:t>八、合同授予</w:t>
      </w:r>
    </w:p>
    <w:p w14:paraId="5A18C301">
      <w:pPr>
        <w:spacing w:beforeAutospacing="0"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bidi="ar"/>
        </w:rPr>
        <w:t>（一）签订合同</w:t>
      </w:r>
    </w:p>
    <w:p w14:paraId="4AF42148">
      <w:pPr>
        <w:pStyle w:val="36"/>
        <w:spacing w:before="0" w:beforeAutospacing="0" w:after="0" w:afterAutospacing="0" w:line="360" w:lineRule="auto"/>
        <w:ind w:firstLine="600" w:firstLineChars="250"/>
        <w:jc w:val="both"/>
        <w:rPr>
          <w:rFonts w:cs="宋体"/>
          <w:color w:val="auto"/>
          <w:highlight w:val="none"/>
        </w:rPr>
      </w:pPr>
      <w:r>
        <w:rPr>
          <w:rFonts w:cs="宋体"/>
          <w:color w:val="auto"/>
          <w:highlight w:val="none"/>
        </w:rPr>
        <w:t>1、招标人应当自中标通知书发出之日起30日内，按照招标文件和中标人投标文件的规定，与中标人签订书面合同。所签订的合同不得对招标文件确定的事项和中标人投标文件作实质性修改。</w:t>
      </w:r>
    </w:p>
    <w:p w14:paraId="20BF3B15">
      <w:pPr>
        <w:pStyle w:val="36"/>
        <w:spacing w:before="0" w:beforeAutospacing="0" w:after="0" w:afterAutospacing="0" w:line="360" w:lineRule="auto"/>
        <w:ind w:firstLine="600" w:firstLineChars="250"/>
        <w:jc w:val="both"/>
        <w:rPr>
          <w:rFonts w:cs="宋体"/>
          <w:color w:val="auto"/>
          <w:highlight w:val="none"/>
        </w:rPr>
      </w:pPr>
      <w:r>
        <w:rPr>
          <w:rFonts w:cs="宋体"/>
          <w:color w:val="auto"/>
          <w:highlight w:val="none"/>
        </w:rPr>
        <w:t>2、招标人不得向中标人提出任何不合理的要求作为签订合同的条件。</w:t>
      </w:r>
    </w:p>
    <w:p w14:paraId="3CBAE292">
      <w:pPr>
        <w:pStyle w:val="36"/>
        <w:spacing w:before="0" w:beforeAutospacing="0" w:after="0" w:afterAutospacing="0" w:line="360" w:lineRule="auto"/>
        <w:ind w:firstLine="600" w:firstLineChars="250"/>
        <w:jc w:val="both"/>
        <w:rPr>
          <w:rFonts w:cs="宋体"/>
          <w:color w:val="auto"/>
          <w:highlight w:val="none"/>
        </w:rPr>
      </w:pPr>
      <w:r>
        <w:rPr>
          <w:rFonts w:cs="宋体"/>
          <w:color w:val="auto"/>
          <w:highlight w:val="none"/>
        </w:rPr>
        <w:t>3、中标人无故拖延、拒签合同的,投标保证金将不予退回并取消中标资格。</w:t>
      </w:r>
    </w:p>
    <w:p w14:paraId="7E6F1450">
      <w:pPr>
        <w:pStyle w:val="36"/>
        <w:spacing w:before="0" w:beforeAutospacing="0" w:after="0" w:afterAutospacing="0" w:line="360" w:lineRule="auto"/>
        <w:ind w:firstLine="600" w:firstLineChars="250"/>
        <w:jc w:val="both"/>
        <w:rPr>
          <w:rFonts w:cs="宋体"/>
          <w:color w:val="auto"/>
          <w:highlight w:val="none"/>
        </w:rPr>
      </w:pPr>
      <w:r>
        <w:rPr>
          <w:rFonts w:cs="宋体"/>
          <w:color w:val="auto"/>
          <w:highlight w:val="none"/>
        </w:rPr>
        <w:t>4、中标人拒绝与招标人签订合同的，招标人可以按照评审报告推荐的中标候选人名单排序，确定下一候选人为中标人，也可以重新开展招标活动。</w:t>
      </w:r>
    </w:p>
    <w:p w14:paraId="134A4058">
      <w:pPr>
        <w:pStyle w:val="36"/>
        <w:spacing w:before="0" w:beforeAutospacing="0" w:after="0" w:afterAutospacing="0" w:line="360" w:lineRule="auto"/>
        <w:ind w:firstLine="600" w:firstLineChars="250"/>
        <w:jc w:val="both"/>
        <w:rPr>
          <w:rFonts w:cs="宋体"/>
          <w:color w:val="auto"/>
          <w:highlight w:val="none"/>
        </w:rPr>
        <w:sectPr>
          <w:headerReference r:id="rId11" w:type="default"/>
          <w:pgSz w:w="11907" w:h="16840"/>
          <w:pgMar w:top="1417" w:right="1418" w:bottom="1417" w:left="1531" w:header="851" w:footer="992" w:gutter="0"/>
          <w:cols w:space="720" w:num="1"/>
          <w:docGrid w:type="lines" w:linePitch="312" w:charSpace="0"/>
        </w:sectPr>
      </w:pPr>
      <w:r>
        <w:rPr>
          <w:rFonts w:cs="宋体"/>
          <w:color w:val="auto"/>
          <w:highlight w:val="none"/>
        </w:rPr>
        <w:t>5、询问或者质疑事项可能影响中标结果的，招标人应当暂停签订合同，已经签订合同的，应当中止履行合同。</w:t>
      </w:r>
    </w:p>
    <w:p w14:paraId="79CC0E18">
      <w:pPr>
        <w:pStyle w:val="36"/>
        <w:spacing w:before="0" w:beforeAutospacing="0" w:after="0" w:afterAutospacing="0" w:line="360" w:lineRule="auto"/>
        <w:ind w:firstLine="600" w:firstLineChars="250"/>
        <w:jc w:val="both"/>
        <w:rPr>
          <w:rFonts w:cs="宋体"/>
          <w:color w:val="auto"/>
          <w:highlight w:val="none"/>
        </w:rPr>
      </w:pPr>
    </w:p>
    <w:bookmarkEnd w:id="7"/>
    <w:bookmarkEnd w:id="8"/>
    <w:p w14:paraId="072DC8EF">
      <w:pPr>
        <w:pStyle w:val="22"/>
        <w:numPr>
          <w:ilvl w:val="0"/>
          <w:numId w:val="10"/>
        </w:numPr>
        <w:snapToGrid w:val="0"/>
        <w:spacing w:before="120" w:beforeLines="0" w:after="120" w:afterLines="0" w:line="240" w:lineRule="auto"/>
        <w:ind w:left="440" w:hanging="440"/>
        <w:jc w:val="center"/>
        <w:rPr>
          <w:rFonts w:hAnsi="宋体"/>
          <w:b w:val="0"/>
          <w:color w:val="auto"/>
          <w:sz w:val="30"/>
          <w:szCs w:val="30"/>
          <w:highlight w:val="none"/>
        </w:rPr>
      </w:pPr>
      <w:bookmarkStart w:id="22" w:name="_Toc517158299"/>
      <w:bookmarkStart w:id="23" w:name="第五章"/>
      <w:bookmarkStart w:id="24" w:name="_Toc31340_WPSOffice_Level1"/>
      <w:r>
        <w:rPr>
          <w:rFonts w:hAnsi="宋体"/>
          <w:b w:val="0"/>
          <w:color w:val="auto"/>
          <w:sz w:val="30"/>
          <w:szCs w:val="30"/>
          <w:highlight w:val="none"/>
        </w:rPr>
        <w:t>评标办法及评分标准</w:t>
      </w:r>
    </w:p>
    <w:p w14:paraId="767F95F5">
      <w:pPr>
        <w:spacing w:before="156" w:beforeLines="50" w:after="156" w:afterLines="50" w:line="440" w:lineRule="exact"/>
        <w:ind w:firstLine="420"/>
        <w:rPr>
          <w:rFonts w:hint="eastAsia" w:ascii="宋体" w:hAnsi="宋体" w:cs="宋体"/>
          <w:color w:val="auto"/>
          <w:sz w:val="24"/>
          <w:highlight w:val="none"/>
        </w:rPr>
      </w:pPr>
      <w:r>
        <w:rPr>
          <w:rFonts w:hint="eastAsia" w:ascii="宋体" w:hAnsi="宋体" w:cs="宋体"/>
          <w:color w:val="auto"/>
          <w:sz w:val="24"/>
          <w:highlight w:val="none"/>
          <w:lang w:bidi="ar"/>
        </w:rPr>
        <w:t>为公正、公平、科学地选择中标人，参照《中华人民共和国政府采购法》等有关法律法规的规定，并结合本项目的实际，制定本办法。</w:t>
      </w:r>
    </w:p>
    <w:p w14:paraId="526A74EC">
      <w:pPr>
        <w:spacing w:before="156" w:beforeLines="50" w:after="156" w:afterLines="50" w:line="440" w:lineRule="exact"/>
        <w:ind w:firstLine="420"/>
        <w:rPr>
          <w:rFonts w:hint="eastAsia" w:ascii="宋体" w:hAnsi="宋体" w:cs="宋体"/>
          <w:bCs/>
          <w:color w:val="auto"/>
          <w:sz w:val="24"/>
          <w:szCs w:val="48"/>
          <w:highlight w:val="none"/>
        </w:rPr>
      </w:pPr>
      <w:r>
        <w:rPr>
          <w:rFonts w:hint="eastAsia" w:ascii="宋体" w:hAnsi="宋体" w:cs="宋体"/>
          <w:color w:val="auto"/>
          <w:sz w:val="24"/>
          <w:highlight w:val="none"/>
          <w:lang w:bidi="ar"/>
        </w:rPr>
        <w:t>本办法适用于</w:t>
      </w:r>
      <w:r>
        <w:rPr>
          <w:rFonts w:hint="eastAsia" w:ascii="宋体" w:hAnsi="宋体" w:cs="宋体"/>
          <w:b/>
          <w:color w:val="auto"/>
          <w:sz w:val="24"/>
          <w:highlight w:val="none"/>
          <w:lang w:bidi="ar"/>
        </w:rPr>
        <w:t>本项目</w:t>
      </w:r>
      <w:r>
        <w:rPr>
          <w:rFonts w:hint="eastAsia" w:ascii="宋体" w:hAnsi="宋体" w:cs="宋体"/>
          <w:bCs/>
          <w:color w:val="auto"/>
          <w:sz w:val="24"/>
          <w:szCs w:val="48"/>
          <w:highlight w:val="none"/>
          <w:lang w:bidi="ar"/>
        </w:rPr>
        <w:t>的评标。</w:t>
      </w:r>
    </w:p>
    <w:p w14:paraId="3C4541B9">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一、总则</w:t>
      </w:r>
    </w:p>
    <w:p w14:paraId="3CB1ED70">
      <w:pPr>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lang w:bidi="ar"/>
        </w:rPr>
        <w:t>本次评标采用综合评分法，总分为100分，其中商务标30分、资信技术标70分两部分。合格投标人的评标得分为各项目汇总得分，</w:t>
      </w:r>
      <w:r>
        <w:rPr>
          <w:rFonts w:hint="eastAsia" w:ascii="宋体" w:hAnsi="宋体" w:cs="宋体"/>
          <w:bCs/>
          <w:color w:val="auto"/>
          <w:sz w:val="24"/>
          <w:highlight w:val="none"/>
          <w:lang w:bidi="ar"/>
        </w:rPr>
        <w:t>中标候选资格按评标得分由高到低顺序排列，得分相同的，按投标报价由低到高顺序排列；得分且投标报价相同的，由采购人抽签确定。排名第一的的投标人为中标候选人,排名第二的投标人为候补中标候选人。评分过程中采用四舍五入法，并保留小数2位。</w:t>
      </w:r>
    </w:p>
    <w:p w14:paraId="127128A3">
      <w:pPr>
        <w:spacing w:line="360" w:lineRule="auto"/>
        <w:ind w:firstLine="482" w:firstLineChars="200"/>
        <w:rPr>
          <w:rFonts w:hint="eastAsia" w:ascii="宋体" w:hAnsi="宋体"/>
          <w:b/>
          <w:color w:val="auto"/>
          <w:sz w:val="24"/>
          <w:highlight w:val="none"/>
          <w:lang w:bidi="ar"/>
        </w:rPr>
      </w:pPr>
      <w:r>
        <w:rPr>
          <w:rFonts w:hint="eastAsia" w:ascii="宋体" w:hAnsi="宋体"/>
          <w:b/>
          <w:color w:val="auto"/>
          <w:sz w:val="24"/>
          <w:highlight w:val="none"/>
          <w:lang w:bidi="ar"/>
        </w:rPr>
        <w:t>（一）资格审查</w:t>
      </w:r>
    </w:p>
    <w:p w14:paraId="77827234">
      <w:pPr>
        <w:spacing w:line="360" w:lineRule="auto"/>
        <w:ind w:firstLine="480" w:firstLineChars="200"/>
        <w:rPr>
          <w:rFonts w:hint="eastAsia" w:ascii="宋体" w:hAnsi="宋体"/>
          <w:b/>
          <w:color w:val="auto"/>
          <w:sz w:val="24"/>
          <w:highlight w:val="none"/>
          <w:lang w:bidi="ar"/>
        </w:rPr>
      </w:pPr>
      <w:r>
        <w:rPr>
          <w:rFonts w:ascii="宋体" w:hAnsi="宋体"/>
          <w:color w:val="auto"/>
          <w:sz w:val="24"/>
          <w:highlight w:val="none"/>
        </w:rPr>
        <w:t>评标委员会按照招标文件载明的资格</w:t>
      </w:r>
      <w:r>
        <w:rPr>
          <w:rFonts w:hint="eastAsia" w:ascii="宋体" w:hAnsi="宋体"/>
          <w:color w:val="auto"/>
          <w:sz w:val="24"/>
          <w:highlight w:val="none"/>
        </w:rPr>
        <w:t>审查</w:t>
      </w:r>
      <w:r>
        <w:rPr>
          <w:rFonts w:ascii="宋体" w:hAnsi="宋体"/>
          <w:color w:val="auto"/>
          <w:sz w:val="24"/>
          <w:highlight w:val="none"/>
        </w:rPr>
        <w:t>条款，对投标人</w:t>
      </w:r>
      <w:r>
        <w:rPr>
          <w:rFonts w:hint="eastAsia" w:ascii="宋体" w:hAnsi="宋体"/>
          <w:color w:val="auto"/>
          <w:sz w:val="24"/>
          <w:highlight w:val="none"/>
        </w:rPr>
        <w:t>资格</w:t>
      </w:r>
      <w:r>
        <w:rPr>
          <w:rFonts w:ascii="宋体" w:hAnsi="宋体"/>
          <w:color w:val="auto"/>
          <w:sz w:val="24"/>
          <w:highlight w:val="none"/>
        </w:rPr>
        <w:t>等进行审查，凡不符合资格</w:t>
      </w:r>
      <w:r>
        <w:rPr>
          <w:rFonts w:hint="eastAsia" w:ascii="宋体" w:hAnsi="宋体"/>
          <w:color w:val="auto"/>
          <w:sz w:val="24"/>
          <w:highlight w:val="none"/>
        </w:rPr>
        <w:t>审查</w:t>
      </w:r>
      <w:r>
        <w:rPr>
          <w:rFonts w:ascii="宋体" w:hAnsi="宋体"/>
          <w:color w:val="auto"/>
          <w:sz w:val="24"/>
          <w:highlight w:val="none"/>
        </w:rPr>
        <w:t>要求的，以无效标处理，不再进入下一阶段评审。</w:t>
      </w:r>
    </w:p>
    <w:p w14:paraId="2E853867">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bidi="ar"/>
        </w:rPr>
        <w:t>（二）资信技术标</w:t>
      </w:r>
      <w:r>
        <w:rPr>
          <w:rFonts w:hint="eastAsia" w:ascii="宋体" w:hAnsi="宋体"/>
          <w:b/>
          <w:color w:val="auto"/>
          <w:sz w:val="24"/>
          <w:highlight w:val="none"/>
        </w:rPr>
        <w:t>评审（70分）</w:t>
      </w:r>
    </w:p>
    <w:p w14:paraId="1255486B">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评标委员会对通过符合性审查的投标人的投标文件充分审核后，进行综合评定独立打分。</w:t>
      </w:r>
    </w:p>
    <w:tbl>
      <w:tblPr>
        <w:tblStyle w:val="4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77"/>
        <w:gridCol w:w="6632"/>
        <w:gridCol w:w="709"/>
      </w:tblGrid>
      <w:tr w14:paraId="0679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D8D8D8"/>
            <w:vAlign w:val="center"/>
          </w:tcPr>
          <w:p w14:paraId="29D89539">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509"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14:paraId="0E9959AB">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c>
          <w:tcPr>
            <w:tcW w:w="709" w:type="dxa"/>
            <w:tcBorders>
              <w:top w:val="single" w:color="auto" w:sz="4" w:space="0"/>
              <w:left w:val="single" w:color="auto" w:sz="4" w:space="0"/>
              <w:bottom w:val="single" w:color="auto" w:sz="4" w:space="0"/>
              <w:right w:val="single" w:color="auto" w:sz="4" w:space="0"/>
            </w:tcBorders>
            <w:shd w:val="clear" w:color="auto" w:fill="D8D8D8"/>
            <w:vAlign w:val="center"/>
          </w:tcPr>
          <w:p w14:paraId="6A23EF08">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65BE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38" w:type="dxa"/>
            <w:vMerge w:val="restart"/>
            <w:tcBorders>
              <w:top w:val="single" w:color="auto" w:sz="4" w:space="0"/>
              <w:left w:val="single" w:color="auto" w:sz="4" w:space="0"/>
              <w:right w:val="single" w:color="auto" w:sz="4" w:space="0"/>
            </w:tcBorders>
            <w:vAlign w:val="center"/>
          </w:tcPr>
          <w:p w14:paraId="4A1D078A">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877" w:type="dxa"/>
            <w:vMerge w:val="restart"/>
            <w:tcBorders>
              <w:top w:val="single" w:color="auto" w:sz="4" w:space="0"/>
              <w:left w:val="single" w:color="auto" w:sz="4" w:space="0"/>
              <w:right w:val="single" w:color="auto" w:sz="4" w:space="0"/>
            </w:tcBorders>
            <w:vAlign w:val="center"/>
          </w:tcPr>
          <w:p w14:paraId="19278338">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w:t>
            </w:r>
          </w:p>
        </w:tc>
        <w:tc>
          <w:tcPr>
            <w:tcW w:w="6632" w:type="dxa"/>
            <w:tcBorders>
              <w:top w:val="single" w:color="auto" w:sz="4" w:space="0"/>
              <w:left w:val="single" w:color="auto" w:sz="4" w:space="0"/>
              <w:right w:val="single" w:color="auto" w:sz="4" w:space="0"/>
            </w:tcBorders>
            <w:vAlign w:val="center"/>
          </w:tcPr>
          <w:p w14:paraId="7C0B245F">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根据投标人对采购项目现状和招标方案需求的理解、提供的项目建设思路、建设方案、施工方案、服务方案、迁移方案进行评审：</w:t>
            </w:r>
          </w:p>
          <w:p w14:paraId="65AE5797">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（1）对项目的理解分析贴合实际情况的得</w:t>
            </w:r>
            <w:r>
              <w:rPr>
                <w:rFonts w:hint="default" w:ascii="宋体" w:hAnsi="宋体" w:eastAsia="宋体" w:cs="宋体"/>
                <w:color w:val="auto"/>
                <w:sz w:val="21"/>
                <w:szCs w:val="21"/>
                <w:highlight w:val="none"/>
              </w:rPr>
              <w:t>10</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8</w:t>
            </w:r>
            <w:r>
              <w:rPr>
                <w:rFonts w:hint="eastAsia" w:ascii="宋体" w:hAnsi="宋体" w:eastAsia="宋体" w:cs="宋体"/>
                <w:color w:val="auto"/>
                <w:sz w:val="21"/>
                <w:szCs w:val="21"/>
                <w:highlight w:val="none"/>
              </w:rPr>
              <w:t>分；</w:t>
            </w:r>
          </w:p>
          <w:p w14:paraId="61B3E43A">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（2）对项目的理解分析，缺乏实际情况的应对的得</w:t>
            </w:r>
            <w:r>
              <w:rPr>
                <w:rFonts w:hint="default" w:ascii="宋体" w:hAnsi="宋体" w:eastAsia="宋体" w:cs="宋体"/>
                <w:color w:val="auto"/>
                <w:sz w:val="21"/>
                <w:szCs w:val="21"/>
                <w:highlight w:val="none"/>
              </w:rPr>
              <w:t>7</w:t>
            </w:r>
            <w:r>
              <w:rPr>
                <w:rFonts w:hint="eastAsia" w:ascii="宋体" w:hAnsi="宋体" w:eastAsia="宋体" w:cs="宋体"/>
                <w:color w:val="auto"/>
                <w:sz w:val="21"/>
                <w:szCs w:val="21"/>
                <w:highlight w:val="none"/>
              </w:rPr>
              <w:t>.9-</w:t>
            </w:r>
            <w:r>
              <w:rPr>
                <w:rFonts w:hint="default" w:ascii="宋体" w:hAnsi="宋体" w:eastAsia="宋体" w:cs="宋体"/>
                <w:color w:val="auto"/>
                <w:sz w:val="21"/>
                <w:szCs w:val="21"/>
                <w:highlight w:val="none"/>
              </w:rPr>
              <w:t>4</w:t>
            </w:r>
            <w:r>
              <w:rPr>
                <w:rFonts w:hint="eastAsia" w:ascii="宋体" w:hAnsi="宋体" w:eastAsia="宋体" w:cs="宋体"/>
                <w:color w:val="auto"/>
                <w:sz w:val="21"/>
                <w:szCs w:val="21"/>
                <w:highlight w:val="none"/>
              </w:rPr>
              <w:t>分；</w:t>
            </w:r>
          </w:p>
          <w:p w14:paraId="51ACD2D7">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（3）对项目的理解内容单一，分析不到位的得</w:t>
            </w:r>
            <w:r>
              <w:rPr>
                <w:rFonts w:hint="default" w:ascii="宋体" w:hAnsi="宋体" w:eastAsia="宋体" w:cs="宋体"/>
                <w:color w:val="auto"/>
                <w:sz w:val="21"/>
                <w:szCs w:val="21"/>
                <w:highlight w:val="none"/>
              </w:rPr>
              <w:t>3</w:t>
            </w:r>
            <w:r>
              <w:rPr>
                <w:rFonts w:hint="eastAsia" w:ascii="宋体" w:hAnsi="宋体" w:eastAsia="宋体" w:cs="宋体"/>
                <w:color w:val="auto"/>
                <w:sz w:val="21"/>
                <w:szCs w:val="21"/>
                <w:highlight w:val="none"/>
              </w:rPr>
              <w:t>.9-0分。</w:t>
            </w:r>
          </w:p>
        </w:tc>
        <w:tc>
          <w:tcPr>
            <w:tcW w:w="709" w:type="dxa"/>
            <w:tcBorders>
              <w:top w:val="single" w:color="auto" w:sz="4" w:space="0"/>
              <w:left w:val="single" w:color="auto" w:sz="4" w:space="0"/>
              <w:bottom w:val="single" w:color="auto" w:sz="4" w:space="0"/>
              <w:right w:val="single" w:color="auto" w:sz="4" w:space="0"/>
            </w:tcBorders>
            <w:vAlign w:val="center"/>
          </w:tcPr>
          <w:p w14:paraId="6C2EC7B1">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10</w:t>
            </w:r>
            <w:r>
              <w:rPr>
                <w:rFonts w:hint="eastAsia" w:ascii="宋体" w:hAnsi="宋体" w:cs="宋体"/>
                <w:color w:val="auto"/>
                <w:kern w:val="0"/>
                <w:sz w:val="21"/>
                <w:szCs w:val="21"/>
                <w:highlight w:val="none"/>
              </w:rPr>
              <w:t>分</w:t>
            </w:r>
          </w:p>
        </w:tc>
      </w:tr>
      <w:tr w14:paraId="0952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38" w:type="dxa"/>
            <w:vMerge w:val="continue"/>
            <w:tcBorders>
              <w:left w:val="single" w:color="auto" w:sz="4" w:space="0"/>
              <w:right w:val="single" w:color="auto" w:sz="4" w:space="0"/>
            </w:tcBorders>
            <w:vAlign w:val="center"/>
          </w:tcPr>
          <w:p w14:paraId="34072835">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p>
        </w:tc>
        <w:tc>
          <w:tcPr>
            <w:tcW w:w="877" w:type="dxa"/>
            <w:vMerge w:val="continue"/>
            <w:tcBorders>
              <w:left w:val="single" w:color="auto" w:sz="4" w:space="0"/>
              <w:right w:val="single" w:color="auto" w:sz="4" w:space="0"/>
            </w:tcBorders>
            <w:vAlign w:val="center"/>
          </w:tcPr>
          <w:p w14:paraId="54C8CD4D">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6632" w:type="dxa"/>
            <w:tcBorders>
              <w:top w:val="single" w:color="auto" w:sz="4" w:space="0"/>
              <w:left w:val="single" w:color="auto" w:sz="4" w:space="0"/>
              <w:right w:val="single" w:color="auto" w:sz="4" w:space="0"/>
            </w:tcBorders>
            <w:vAlign w:val="center"/>
          </w:tcPr>
          <w:p w14:paraId="78C8FCF7">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根据投标人对采购产品与现有产品的可扩展性方案、高可用性方案及设备兼容性方案进行评审：</w:t>
            </w:r>
          </w:p>
          <w:p w14:paraId="32C97C8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（1）方案可扩展性、可用性、兼容性强的得</w:t>
            </w:r>
            <w:r>
              <w:rPr>
                <w:rFonts w:hint="default" w:ascii="宋体" w:hAnsi="宋体" w:eastAsia="宋体" w:cs="宋体"/>
                <w:color w:val="auto"/>
                <w:sz w:val="21"/>
                <w:szCs w:val="21"/>
                <w:highlight w:val="none"/>
              </w:rPr>
              <w:t>4.1-6</w:t>
            </w:r>
            <w:r>
              <w:rPr>
                <w:rFonts w:hint="eastAsia" w:ascii="宋体" w:hAnsi="宋体" w:eastAsia="宋体" w:cs="宋体"/>
                <w:color w:val="auto"/>
                <w:sz w:val="21"/>
                <w:szCs w:val="21"/>
                <w:highlight w:val="none"/>
              </w:rPr>
              <w:t>分；</w:t>
            </w:r>
          </w:p>
          <w:p w14:paraId="1743A44E">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（2）方案可扩展性、可用性、兼容性一般的得</w:t>
            </w:r>
            <w:r>
              <w:rPr>
                <w:rFonts w:hint="default" w:ascii="宋体" w:hAnsi="宋体" w:eastAsia="宋体" w:cs="宋体"/>
                <w:color w:val="auto"/>
                <w:sz w:val="21"/>
                <w:szCs w:val="21"/>
                <w:highlight w:val="none"/>
              </w:rPr>
              <w:t>4-2.1</w:t>
            </w:r>
            <w:r>
              <w:rPr>
                <w:rFonts w:hint="eastAsia" w:ascii="宋体" w:hAnsi="宋体" w:eastAsia="宋体" w:cs="宋体"/>
                <w:color w:val="auto"/>
                <w:sz w:val="21"/>
                <w:szCs w:val="21"/>
                <w:highlight w:val="none"/>
              </w:rPr>
              <w:t>分；</w:t>
            </w:r>
          </w:p>
          <w:p w14:paraId="1D82062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（3）方案可扩展性、可用性、兼容性差的得</w:t>
            </w:r>
            <w:r>
              <w:rPr>
                <w:rFonts w:hint="default" w:ascii="宋体" w:hAnsi="宋体" w:eastAsia="宋体" w:cs="宋体"/>
                <w:color w:val="auto"/>
                <w:sz w:val="21"/>
                <w:szCs w:val="21"/>
                <w:highlight w:val="none"/>
              </w:rPr>
              <w:t>2-0</w:t>
            </w:r>
            <w:r>
              <w:rPr>
                <w:rFonts w:hint="eastAsia" w:ascii="宋体" w:hAnsi="宋体" w:eastAsia="宋体" w:cs="宋体"/>
                <w:color w:val="auto"/>
                <w:sz w:val="21"/>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28FCE6B8">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6</w:t>
            </w:r>
            <w:r>
              <w:rPr>
                <w:rFonts w:hint="eastAsia" w:ascii="宋体" w:hAnsi="宋体" w:cs="宋体"/>
                <w:color w:val="auto"/>
                <w:kern w:val="0"/>
                <w:sz w:val="21"/>
                <w:szCs w:val="21"/>
                <w:highlight w:val="none"/>
              </w:rPr>
              <w:t>分</w:t>
            </w:r>
          </w:p>
        </w:tc>
      </w:tr>
      <w:tr w14:paraId="6D43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38" w:type="dxa"/>
            <w:tcBorders>
              <w:top w:val="single" w:color="auto" w:sz="4" w:space="0"/>
              <w:left w:val="single" w:color="auto" w:sz="4" w:space="0"/>
              <w:right w:val="single" w:color="auto" w:sz="4" w:space="0"/>
            </w:tcBorders>
            <w:vAlign w:val="center"/>
          </w:tcPr>
          <w:p w14:paraId="7A49D17C">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877" w:type="dxa"/>
            <w:tcBorders>
              <w:top w:val="single" w:color="auto" w:sz="4" w:space="0"/>
              <w:left w:val="single" w:color="auto" w:sz="4" w:space="0"/>
              <w:right w:val="single" w:color="auto" w:sz="4" w:space="0"/>
            </w:tcBorders>
            <w:vAlign w:val="center"/>
          </w:tcPr>
          <w:p w14:paraId="2E5E5A24">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性能指标</w:t>
            </w:r>
          </w:p>
        </w:tc>
        <w:tc>
          <w:tcPr>
            <w:tcW w:w="6632" w:type="dxa"/>
            <w:tcBorders>
              <w:top w:val="single" w:color="auto" w:sz="4" w:space="0"/>
              <w:left w:val="single" w:color="auto" w:sz="4" w:space="0"/>
              <w:bottom w:val="single" w:color="auto" w:sz="4" w:space="0"/>
              <w:right w:val="single" w:color="auto" w:sz="4" w:space="0"/>
            </w:tcBorders>
            <w:vAlign w:val="center"/>
          </w:tcPr>
          <w:p w14:paraId="5836E4D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对投标产品的性能指标及技术参数满足程度进行评分：全部满足要求的得满分，满分20分。“★”项每负偏离一项扣2分，普通项每负偏离一项扣1分。</w:t>
            </w:r>
          </w:p>
        </w:tc>
        <w:tc>
          <w:tcPr>
            <w:tcW w:w="709" w:type="dxa"/>
            <w:tcBorders>
              <w:top w:val="single" w:color="auto" w:sz="4" w:space="0"/>
              <w:left w:val="single" w:color="auto" w:sz="4" w:space="0"/>
              <w:right w:val="single" w:color="auto" w:sz="4" w:space="0"/>
            </w:tcBorders>
            <w:vAlign w:val="center"/>
          </w:tcPr>
          <w:p w14:paraId="3ED383E9">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20</w:t>
            </w:r>
            <w:r>
              <w:rPr>
                <w:rFonts w:hint="eastAsia" w:ascii="宋体" w:hAnsi="宋体" w:cs="宋体"/>
                <w:color w:val="auto"/>
                <w:sz w:val="21"/>
                <w:szCs w:val="21"/>
                <w:highlight w:val="none"/>
              </w:rPr>
              <w:t>分</w:t>
            </w:r>
          </w:p>
        </w:tc>
      </w:tr>
      <w:tr w14:paraId="5472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8" w:type="dxa"/>
            <w:vMerge w:val="restart"/>
            <w:tcBorders>
              <w:top w:val="single" w:color="auto" w:sz="4" w:space="0"/>
              <w:left w:val="single" w:color="auto" w:sz="4" w:space="0"/>
              <w:right w:val="single" w:color="auto" w:sz="4" w:space="0"/>
            </w:tcBorders>
            <w:vAlign w:val="center"/>
          </w:tcPr>
          <w:p w14:paraId="792E6555">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877" w:type="dxa"/>
            <w:vMerge w:val="restart"/>
            <w:tcBorders>
              <w:top w:val="single" w:color="auto" w:sz="4" w:space="0"/>
              <w:left w:val="single" w:color="auto" w:sz="4" w:space="0"/>
              <w:right w:val="single" w:color="auto" w:sz="4" w:space="0"/>
            </w:tcBorders>
            <w:vAlign w:val="center"/>
          </w:tcPr>
          <w:p w14:paraId="5F723D67">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企业实力及业绩</w:t>
            </w:r>
          </w:p>
        </w:tc>
        <w:tc>
          <w:tcPr>
            <w:tcW w:w="6632" w:type="dxa"/>
            <w:tcBorders>
              <w:top w:val="single" w:color="auto" w:sz="4" w:space="0"/>
              <w:left w:val="single" w:color="auto" w:sz="4" w:space="0"/>
              <w:right w:val="single" w:color="auto" w:sz="4" w:space="0"/>
            </w:tcBorders>
            <w:vAlign w:val="center"/>
          </w:tcPr>
          <w:p w14:paraId="1BB892A1">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投标人具有ITSS信息技术服务运行维护资质证书、C</w:t>
            </w:r>
            <w:r>
              <w:rPr>
                <w:rFonts w:hint="default" w:ascii="宋体" w:hAnsi="宋体" w:eastAsia="宋体" w:cs="宋体"/>
                <w:color w:val="auto"/>
                <w:kern w:val="2"/>
                <w:sz w:val="21"/>
                <w:szCs w:val="21"/>
                <w:highlight w:val="none"/>
              </w:rPr>
              <w:t>CRC</w:t>
            </w:r>
            <w:r>
              <w:rPr>
                <w:rFonts w:hint="eastAsia" w:ascii="宋体" w:hAnsi="宋体" w:eastAsia="宋体" w:cs="宋体"/>
                <w:color w:val="auto"/>
                <w:kern w:val="2"/>
                <w:sz w:val="21"/>
                <w:szCs w:val="21"/>
                <w:highlight w:val="none"/>
              </w:rPr>
              <w:t>信息安全服务资质，C</w:t>
            </w:r>
            <w:r>
              <w:rPr>
                <w:rFonts w:hint="default" w:ascii="宋体" w:hAnsi="宋体" w:eastAsia="宋体" w:cs="宋体"/>
                <w:color w:val="auto"/>
                <w:kern w:val="2"/>
                <w:sz w:val="21"/>
                <w:szCs w:val="21"/>
                <w:highlight w:val="none"/>
              </w:rPr>
              <w:t>S</w:t>
            </w:r>
            <w:r>
              <w:rPr>
                <w:rFonts w:hint="eastAsia" w:ascii="宋体" w:hAnsi="宋体" w:eastAsia="宋体" w:cs="宋体"/>
                <w:color w:val="auto"/>
                <w:kern w:val="2"/>
                <w:sz w:val="21"/>
                <w:szCs w:val="21"/>
                <w:highlight w:val="none"/>
              </w:rPr>
              <w:t>系统集成企业能力标准资质证书的每个资质证书得1分，最高</w:t>
            </w:r>
            <w:r>
              <w:rPr>
                <w:rFonts w:hint="default"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rPr>
              <w:t>分；</w:t>
            </w:r>
          </w:p>
          <w:p w14:paraId="0AC233A6">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通过质量管理体系认证、环境管理体系认证、职业健康安全管理体系认证、信息安全管理体系认证、信息技术服务管理体系认证每个认证得1分，最高</w:t>
            </w:r>
            <w:r>
              <w:rPr>
                <w:rFonts w:hint="default"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rPr>
              <w:t>分；</w:t>
            </w:r>
          </w:p>
          <w:p w14:paraId="5D826B7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（需提供证书影印件，否则不得分）</w:t>
            </w:r>
          </w:p>
        </w:tc>
        <w:tc>
          <w:tcPr>
            <w:tcW w:w="709" w:type="dxa"/>
            <w:tcBorders>
              <w:top w:val="single" w:color="auto" w:sz="4" w:space="0"/>
              <w:left w:val="single" w:color="auto" w:sz="4" w:space="0"/>
              <w:bottom w:val="single" w:color="auto" w:sz="4" w:space="0"/>
              <w:right w:val="single" w:color="auto" w:sz="4" w:space="0"/>
            </w:tcBorders>
            <w:vAlign w:val="center"/>
          </w:tcPr>
          <w:p w14:paraId="019B144E">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Calibri"/>
                <w:color w:val="auto"/>
                <w:sz w:val="21"/>
                <w:szCs w:val="21"/>
                <w:highlight w:val="none"/>
              </w:rPr>
              <w:t>8</w:t>
            </w:r>
            <w:r>
              <w:rPr>
                <w:rFonts w:hint="eastAsia" w:ascii="宋体" w:hAnsi="宋体" w:cs="宋体"/>
                <w:color w:val="auto"/>
                <w:sz w:val="21"/>
                <w:szCs w:val="21"/>
                <w:highlight w:val="none"/>
              </w:rPr>
              <w:t>分</w:t>
            </w:r>
          </w:p>
        </w:tc>
      </w:tr>
      <w:tr w14:paraId="00C6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8" w:type="dxa"/>
            <w:vMerge w:val="continue"/>
            <w:tcBorders>
              <w:left w:val="single" w:color="auto" w:sz="4" w:space="0"/>
              <w:bottom w:val="single" w:color="auto" w:sz="4" w:space="0"/>
              <w:right w:val="single" w:color="auto" w:sz="4" w:space="0"/>
            </w:tcBorders>
            <w:vAlign w:val="center"/>
          </w:tcPr>
          <w:p w14:paraId="7056AA34">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p>
        </w:tc>
        <w:tc>
          <w:tcPr>
            <w:tcW w:w="877" w:type="dxa"/>
            <w:vMerge w:val="continue"/>
            <w:tcBorders>
              <w:left w:val="single" w:color="auto" w:sz="4" w:space="0"/>
              <w:bottom w:val="single" w:color="auto" w:sz="4" w:space="0"/>
              <w:right w:val="single" w:color="auto" w:sz="4" w:space="0"/>
            </w:tcBorders>
            <w:vAlign w:val="center"/>
          </w:tcPr>
          <w:p w14:paraId="638249AF">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6632" w:type="dxa"/>
            <w:tcBorders>
              <w:top w:val="single" w:color="auto" w:sz="4" w:space="0"/>
              <w:left w:val="single" w:color="auto" w:sz="4" w:space="0"/>
              <w:bottom w:val="single" w:color="auto" w:sz="4" w:space="0"/>
              <w:right w:val="single" w:color="auto" w:sz="4" w:space="0"/>
            </w:tcBorders>
            <w:vAlign w:val="center"/>
          </w:tcPr>
          <w:p w14:paraId="12C348F9">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投标供应商20</w:t>
            </w:r>
            <w:r>
              <w:rPr>
                <w:rFonts w:hint="default" w:ascii="宋体" w:hAnsi="宋体" w:eastAsia="宋体" w:cs="宋体"/>
                <w:color w:val="auto"/>
                <w:sz w:val="21"/>
                <w:szCs w:val="21"/>
                <w:highlight w:val="none"/>
              </w:rPr>
              <w:t>20</w:t>
            </w:r>
            <w:r>
              <w:rPr>
                <w:rFonts w:hint="eastAsia" w:ascii="宋体" w:hAnsi="宋体" w:eastAsia="宋体" w:cs="宋体"/>
                <w:color w:val="auto"/>
                <w:sz w:val="21"/>
                <w:szCs w:val="21"/>
                <w:highlight w:val="none"/>
              </w:rPr>
              <w:t>年1月1日至今（已合同签订时间为准）同类项目业绩，每提供一个得1分，最多得3分。</w:t>
            </w:r>
          </w:p>
          <w:p w14:paraId="12A0251A">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注：正在履约或已完成的业绩，提供合同复印件或相应发票复印件，未同时提供不得分。</w:t>
            </w:r>
          </w:p>
        </w:tc>
        <w:tc>
          <w:tcPr>
            <w:tcW w:w="709" w:type="dxa"/>
            <w:tcBorders>
              <w:top w:val="single" w:color="auto" w:sz="4" w:space="0"/>
              <w:left w:val="single" w:color="auto" w:sz="4" w:space="0"/>
              <w:bottom w:val="single" w:color="auto" w:sz="4" w:space="0"/>
              <w:right w:val="single" w:color="auto" w:sz="4" w:space="0"/>
            </w:tcBorders>
            <w:vAlign w:val="center"/>
          </w:tcPr>
          <w:p w14:paraId="59AA5B24">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3</w:t>
            </w:r>
            <w:r>
              <w:rPr>
                <w:rFonts w:hint="eastAsia" w:ascii="宋体" w:hAnsi="宋体" w:cs="宋体"/>
                <w:color w:val="auto"/>
                <w:sz w:val="21"/>
                <w:szCs w:val="21"/>
                <w:highlight w:val="none"/>
              </w:rPr>
              <w:t>分</w:t>
            </w:r>
          </w:p>
        </w:tc>
      </w:tr>
      <w:tr w14:paraId="5F6E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38" w:type="dxa"/>
            <w:vMerge w:val="restart"/>
            <w:tcBorders>
              <w:top w:val="single" w:color="auto" w:sz="4" w:space="0"/>
              <w:left w:val="single" w:color="auto" w:sz="4" w:space="0"/>
              <w:right w:val="single" w:color="auto" w:sz="4" w:space="0"/>
            </w:tcBorders>
            <w:vAlign w:val="center"/>
          </w:tcPr>
          <w:p w14:paraId="5E7B31F5">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4</w:t>
            </w:r>
          </w:p>
        </w:tc>
        <w:tc>
          <w:tcPr>
            <w:tcW w:w="877" w:type="dxa"/>
            <w:vMerge w:val="restart"/>
            <w:tcBorders>
              <w:top w:val="single" w:color="auto" w:sz="4" w:space="0"/>
              <w:left w:val="single" w:color="auto" w:sz="4" w:space="0"/>
              <w:right w:val="single" w:color="auto" w:sz="4" w:space="0"/>
            </w:tcBorders>
            <w:vAlign w:val="center"/>
          </w:tcPr>
          <w:p w14:paraId="0570CAE1">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团队人员配备</w:t>
            </w:r>
          </w:p>
        </w:tc>
        <w:tc>
          <w:tcPr>
            <w:tcW w:w="6632" w:type="dxa"/>
            <w:tcBorders>
              <w:top w:val="single" w:color="auto" w:sz="4" w:space="0"/>
              <w:left w:val="single" w:color="auto" w:sz="4" w:space="0"/>
              <w:bottom w:val="single" w:color="auto" w:sz="4" w:space="0"/>
              <w:right w:val="single" w:color="auto" w:sz="4" w:space="0"/>
            </w:tcBorders>
            <w:vAlign w:val="center"/>
          </w:tcPr>
          <w:p w14:paraId="6AFCF452">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拟派入本项目的项目负责人具有信息系统项目管理师、高级项目经理、信息安全工程师、CISAW信息安全保障人员认证证书的每个得1分，最高得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14:paraId="5EA42B0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提供近3个月的社保证明及相应证书复印件，未同时提供不计入评审。</w:t>
            </w:r>
          </w:p>
        </w:tc>
        <w:tc>
          <w:tcPr>
            <w:tcW w:w="709" w:type="dxa"/>
            <w:tcBorders>
              <w:top w:val="single" w:color="auto" w:sz="4" w:space="0"/>
              <w:left w:val="single" w:color="auto" w:sz="4" w:space="0"/>
              <w:bottom w:val="single" w:color="auto" w:sz="4" w:space="0"/>
              <w:right w:val="single" w:color="auto" w:sz="4" w:space="0"/>
            </w:tcBorders>
            <w:vAlign w:val="center"/>
          </w:tcPr>
          <w:p w14:paraId="1DB7894E">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r>
      <w:tr w14:paraId="3405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8" w:type="dxa"/>
            <w:vMerge w:val="continue"/>
            <w:tcBorders>
              <w:left w:val="single" w:color="auto" w:sz="4" w:space="0"/>
              <w:right w:val="single" w:color="auto" w:sz="4" w:space="0"/>
            </w:tcBorders>
            <w:vAlign w:val="center"/>
          </w:tcPr>
          <w:p w14:paraId="7A6613AC">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p>
        </w:tc>
        <w:tc>
          <w:tcPr>
            <w:tcW w:w="877" w:type="dxa"/>
            <w:vMerge w:val="continue"/>
            <w:tcBorders>
              <w:left w:val="single" w:color="auto" w:sz="4" w:space="0"/>
              <w:right w:val="single" w:color="auto" w:sz="4" w:space="0"/>
            </w:tcBorders>
            <w:vAlign w:val="center"/>
          </w:tcPr>
          <w:p w14:paraId="50913CF2">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6632" w:type="dxa"/>
            <w:tcBorders>
              <w:top w:val="single" w:color="auto" w:sz="4" w:space="0"/>
              <w:left w:val="single" w:color="auto" w:sz="4" w:space="0"/>
              <w:bottom w:val="single" w:color="auto" w:sz="4" w:space="0"/>
              <w:right w:val="single" w:color="auto" w:sz="4" w:space="0"/>
            </w:tcBorders>
            <w:vAlign w:val="center"/>
          </w:tcPr>
          <w:p w14:paraId="720D84D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拟派入本项目的技术负责人具有具有信息系统项目管理师、CISP国家注册信息安全工程师、CISAW信息安全保障人员、网络工程师证书的每个得1分，最高得</w:t>
            </w:r>
            <w:r>
              <w:rPr>
                <w:rFonts w:hint="default"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rPr>
              <w:t>分；</w:t>
            </w:r>
          </w:p>
          <w:p w14:paraId="5AB9D107">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提供近3个月的社保证明及相应证书复印件，未同时提供不计入评审。</w:t>
            </w:r>
          </w:p>
        </w:tc>
        <w:tc>
          <w:tcPr>
            <w:tcW w:w="709" w:type="dxa"/>
            <w:tcBorders>
              <w:top w:val="single" w:color="auto" w:sz="4" w:space="0"/>
              <w:left w:val="single" w:color="auto" w:sz="4" w:space="0"/>
              <w:bottom w:val="single" w:color="auto" w:sz="4" w:space="0"/>
              <w:right w:val="single" w:color="auto" w:sz="4" w:space="0"/>
            </w:tcBorders>
            <w:vAlign w:val="center"/>
          </w:tcPr>
          <w:p w14:paraId="6ECA5520">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宋体"/>
                <w:color w:val="auto"/>
                <w:sz w:val="21"/>
                <w:szCs w:val="21"/>
                <w:highlight w:val="none"/>
              </w:rPr>
              <w:t>4</w:t>
            </w:r>
            <w:r>
              <w:rPr>
                <w:rFonts w:hint="eastAsia" w:ascii="宋体" w:hAnsi="宋体" w:cs="宋体"/>
                <w:color w:val="auto"/>
                <w:sz w:val="21"/>
                <w:szCs w:val="21"/>
                <w:highlight w:val="none"/>
              </w:rPr>
              <w:t>分</w:t>
            </w:r>
          </w:p>
        </w:tc>
      </w:tr>
      <w:tr w14:paraId="6865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538" w:type="dxa"/>
            <w:vMerge w:val="continue"/>
            <w:tcBorders>
              <w:left w:val="single" w:color="auto" w:sz="4" w:space="0"/>
              <w:bottom w:val="single" w:color="auto" w:sz="4" w:space="0"/>
              <w:right w:val="single" w:color="auto" w:sz="4" w:space="0"/>
            </w:tcBorders>
            <w:vAlign w:val="center"/>
          </w:tcPr>
          <w:p w14:paraId="206D4205">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p>
        </w:tc>
        <w:tc>
          <w:tcPr>
            <w:tcW w:w="877" w:type="dxa"/>
            <w:vMerge w:val="continue"/>
            <w:tcBorders>
              <w:left w:val="single" w:color="auto" w:sz="4" w:space="0"/>
              <w:bottom w:val="single" w:color="auto" w:sz="4" w:space="0"/>
              <w:right w:val="single" w:color="auto" w:sz="4" w:space="0"/>
            </w:tcBorders>
            <w:vAlign w:val="center"/>
          </w:tcPr>
          <w:p w14:paraId="02F7B475">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6632" w:type="dxa"/>
            <w:tcBorders>
              <w:top w:val="single" w:color="auto" w:sz="4" w:space="0"/>
              <w:left w:val="single" w:color="auto" w:sz="4" w:space="0"/>
              <w:bottom w:val="single" w:color="auto" w:sz="4" w:space="0"/>
              <w:right w:val="single" w:color="auto" w:sz="4" w:space="0"/>
            </w:tcBorders>
            <w:vAlign w:val="center"/>
          </w:tcPr>
          <w:p w14:paraId="6BECFCB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拟派入本项目的实施团队成员具备信息安全系统、云计算、数据库、网络系统、国产信创系统类、所投产品厂家认证工程师的每类证书得1分，最高</w:t>
            </w:r>
            <w:r>
              <w:rPr>
                <w:rFonts w:hint="default" w:ascii="宋体" w:hAnsi="宋体" w:eastAsia="宋体" w:cs="宋体"/>
                <w:color w:val="auto"/>
                <w:kern w:val="2"/>
                <w:sz w:val="21"/>
                <w:szCs w:val="21"/>
                <w:highlight w:val="none"/>
              </w:rPr>
              <w:t>6</w:t>
            </w:r>
            <w:r>
              <w:rPr>
                <w:rFonts w:hint="eastAsia" w:ascii="宋体" w:hAnsi="宋体" w:eastAsia="宋体" w:cs="宋体"/>
                <w:color w:val="auto"/>
                <w:kern w:val="2"/>
                <w:sz w:val="21"/>
                <w:szCs w:val="21"/>
                <w:highlight w:val="none"/>
              </w:rPr>
              <w:t>分；提供近3个月其中1个月的社保证明及相应证书复印件，未同时提供不计入评审。</w:t>
            </w:r>
          </w:p>
        </w:tc>
        <w:tc>
          <w:tcPr>
            <w:tcW w:w="709" w:type="dxa"/>
            <w:tcBorders>
              <w:top w:val="single" w:color="auto" w:sz="4" w:space="0"/>
              <w:left w:val="single" w:color="auto" w:sz="4" w:space="0"/>
              <w:bottom w:val="single" w:color="auto" w:sz="4" w:space="0"/>
              <w:right w:val="single" w:color="auto" w:sz="4" w:space="0"/>
            </w:tcBorders>
            <w:vAlign w:val="center"/>
          </w:tcPr>
          <w:p w14:paraId="29441983">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宋体"/>
                <w:color w:val="auto"/>
                <w:sz w:val="21"/>
                <w:szCs w:val="21"/>
                <w:highlight w:val="none"/>
              </w:rPr>
              <w:t>6</w:t>
            </w:r>
            <w:r>
              <w:rPr>
                <w:rFonts w:hint="eastAsia" w:ascii="宋体" w:hAnsi="宋体" w:cs="宋体"/>
                <w:color w:val="auto"/>
                <w:sz w:val="21"/>
                <w:szCs w:val="21"/>
                <w:highlight w:val="none"/>
              </w:rPr>
              <w:t>分</w:t>
            </w:r>
          </w:p>
        </w:tc>
      </w:tr>
      <w:tr w14:paraId="05BF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538" w:type="dxa"/>
            <w:tcBorders>
              <w:top w:val="single" w:color="auto" w:sz="4" w:space="0"/>
              <w:left w:val="single" w:color="auto" w:sz="4" w:space="0"/>
              <w:right w:val="single" w:color="auto" w:sz="4" w:space="0"/>
            </w:tcBorders>
            <w:vAlign w:val="center"/>
          </w:tcPr>
          <w:p w14:paraId="03C48789">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5</w:t>
            </w:r>
          </w:p>
        </w:tc>
        <w:tc>
          <w:tcPr>
            <w:tcW w:w="877" w:type="dxa"/>
            <w:tcBorders>
              <w:top w:val="single" w:color="auto" w:sz="4" w:space="0"/>
              <w:left w:val="single" w:color="auto" w:sz="4" w:space="0"/>
              <w:right w:val="single" w:color="auto" w:sz="4" w:space="0"/>
            </w:tcBorders>
            <w:vAlign w:val="center"/>
          </w:tcPr>
          <w:p w14:paraId="29D321F1">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6632" w:type="dxa"/>
            <w:tcBorders>
              <w:top w:val="single" w:color="auto" w:sz="4" w:space="0"/>
              <w:left w:val="single" w:color="auto" w:sz="4" w:space="0"/>
              <w:right w:val="single" w:color="auto" w:sz="4" w:space="0"/>
            </w:tcBorders>
            <w:vAlign w:val="center"/>
          </w:tcPr>
          <w:p w14:paraId="2F33526F">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根据投标人的售后服务方案（包括本地服务网点情况、售后服务人员数量、服务时效等）进行评审：</w:t>
            </w:r>
          </w:p>
          <w:p w14:paraId="7CF9AE02">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（1）针对本项目，服务方案措施明确，能在接到采购人通知1小时内响应，人员配备充足，备品备件较多的得6-4分；</w:t>
            </w:r>
          </w:p>
          <w:p w14:paraId="60BD63E1">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（2）针对本项目服务方案措施比较明确，在3小时内响应，人员配置一般，备品备件较多的得3.9-2分；  </w:t>
            </w:r>
          </w:p>
          <w:p w14:paraId="0772619D">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（3）投标人服务承诺片面，响应时间4小时内响应，无具体的服务人员，备品备件数量少的得1.9-0分。 </w:t>
            </w:r>
          </w:p>
          <w:p w14:paraId="1074B231">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注：服务网点需提供营业执照/办公用房租赁证明复印件，售后服务人员需提供连续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个月在应答人单位的社保局开具的社保证明、认证证书的扫描件或复印件.</w:t>
            </w:r>
          </w:p>
        </w:tc>
        <w:tc>
          <w:tcPr>
            <w:tcW w:w="709" w:type="dxa"/>
            <w:tcBorders>
              <w:top w:val="single" w:color="auto" w:sz="4" w:space="0"/>
              <w:left w:val="single" w:color="auto" w:sz="4" w:space="0"/>
              <w:bottom w:val="single" w:color="auto" w:sz="4" w:space="0"/>
              <w:right w:val="single" w:color="auto" w:sz="4" w:space="0"/>
            </w:tcBorders>
            <w:vAlign w:val="center"/>
          </w:tcPr>
          <w:p w14:paraId="68B9A788">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6</w:t>
            </w:r>
            <w:r>
              <w:rPr>
                <w:rFonts w:hint="eastAsia" w:ascii="宋体" w:hAnsi="宋体" w:cs="宋体"/>
                <w:color w:val="auto"/>
                <w:sz w:val="21"/>
                <w:szCs w:val="21"/>
                <w:highlight w:val="none"/>
              </w:rPr>
              <w:t>分</w:t>
            </w:r>
          </w:p>
        </w:tc>
      </w:tr>
      <w:tr w14:paraId="4634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14:paraId="637BACCD">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6</w:t>
            </w:r>
          </w:p>
        </w:tc>
        <w:tc>
          <w:tcPr>
            <w:tcW w:w="877" w:type="dxa"/>
            <w:tcBorders>
              <w:top w:val="single" w:color="auto" w:sz="4" w:space="0"/>
              <w:left w:val="single" w:color="auto" w:sz="4" w:space="0"/>
              <w:bottom w:val="single" w:color="auto" w:sz="4" w:space="0"/>
              <w:right w:val="single" w:color="auto" w:sz="4" w:space="0"/>
            </w:tcBorders>
            <w:vAlign w:val="center"/>
          </w:tcPr>
          <w:p w14:paraId="0D1BA442">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w:t>
            </w:r>
          </w:p>
        </w:tc>
        <w:tc>
          <w:tcPr>
            <w:tcW w:w="6632" w:type="dxa"/>
            <w:tcBorders>
              <w:top w:val="single" w:color="auto" w:sz="4" w:space="0"/>
              <w:left w:val="single" w:color="auto" w:sz="4" w:space="0"/>
              <w:bottom w:val="single" w:color="auto" w:sz="4" w:space="0"/>
              <w:right w:val="single" w:color="auto" w:sz="4" w:space="0"/>
            </w:tcBorders>
            <w:vAlign w:val="center"/>
          </w:tcPr>
          <w:p w14:paraId="6B47B248">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根据供应商针对本项目制定的培训方案（对用户故障的响应速度、处理、定期巡检和培训内容、培训人数及资历等情况）的合理性、科学性、可行性等情况进行评审：</w:t>
            </w:r>
          </w:p>
          <w:p w14:paraId="722AD87D">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（1）方案考虑周全、可操作性强得</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分，</w:t>
            </w:r>
          </w:p>
          <w:p w14:paraId="5612A5D2">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（2）可操作性一般得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1C00517">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（3）方案考虑不够周全、可操作性较差得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.9-0分。</w:t>
            </w:r>
          </w:p>
        </w:tc>
        <w:tc>
          <w:tcPr>
            <w:tcW w:w="709" w:type="dxa"/>
            <w:tcBorders>
              <w:top w:val="single" w:color="auto" w:sz="4" w:space="0"/>
              <w:left w:val="single" w:color="auto" w:sz="4" w:space="0"/>
              <w:right w:val="single" w:color="auto" w:sz="4" w:space="0"/>
            </w:tcBorders>
            <w:vAlign w:val="center"/>
          </w:tcPr>
          <w:p w14:paraId="6BE7EDAD">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lang w:val="en-US" w:eastAsia="zh-CN"/>
              </w:rPr>
              <w:t>4</w:t>
            </w:r>
            <w:r>
              <w:rPr>
                <w:rFonts w:hint="eastAsia" w:ascii="宋体" w:hAnsi="宋体" w:cs="宋体"/>
                <w:color w:val="auto"/>
                <w:sz w:val="21"/>
                <w:szCs w:val="21"/>
                <w:highlight w:val="none"/>
              </w:rPr>
              <w:t>分</w:t>
            </w:r>
          </w:p>
        </w:tc>
      </w:tr>
    </w:tbl>
    <w:p w14:paraId="352FCB24">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lang w:bidi="ar"/>
        </w:rPr>
        <w:t>资信技术标</w:t>
      </w:r>
      <w:r>
        <w:rPr>
          <w:rFonts w:hint="eastAsia" w:ascii="宋体" w:hAnsi="宋体"/>
          <w:b/>
          <w:color w:val="auto"/>
          <w:sz w:val="24"/>
          <w:highlight w:val="none"/>
        </w:rPr>
        <w:t>分值共70分。由评标委员会成员统一打分。</w:t>
      </w:r>
    </w:p>
    <w:p w14:paraId="243E45C3">
      <w:pPr>
        <w:spacing w:line="360" w:lineRule="auto"/>
        <w:ind w:firstLine="482" w:firstLineChars="200"/>
        <w:rPr>
          <w:rFonts w:hint="eastAsia" w:ascii="宋体" w:hAnsi="宋体"/>
          <w:b/>
          <w:color w:val="auto"/>
          <w:sz w:val="24"/>
          <w:highlight w:val="none"/>
          <w:lang w:bidi="ar"/>
        </w:rPr>
      </w:pPr>
      <w:bookmarkStart w:id="25" w:name="EB217c00f118724f6bb5745c5cec252819"/>
      <w:r>
        <w:rPr>
          <w:rFonts w:hint="eastAsia" w:ascii="宋体" w:hAnsi="宋体"/>
          <w:b/>
          <w:color w:val="auto"/>
          <w:sz w:val="24"/>
          <w:highlight w:val="none"/>
          <w:lang w:bidi="ar"/>
        </w:rPr>
        <w:t>（三）商务标评定分值为30分。（以下除注明外，计算结果小数点后保留2位，第3位四舍五入）。</w:t>
      </w:r>
    </w:p>
    <w:p w14:paraId="144F7218">
      <w:pPr>
        <w:pStyle w:val="7"/>
        <w:spacing w:before="0" w:after="0" w:line="360" w:lineRule="auto"/>
        <w:ind w:firstLine="241" w:firstLineChars="100"/>
        <w:rPr>
          <w:rFonts w:hint="eastAsia" w:ascii="宋体" w:hAnsi="宋体"/>
          <w:color w:val="auto"/>
          <w:sz w:val="24"/>
          <w:szCs w:val="22"/>
          <w:highlight w:val="none"/>
        </w:rPr>
      </w:pPr>
      <w:r>
        <w:rPr>
          <w:rFonts w:hint="eastAsia" w:ascii="宋体" w:hAnsi="宋体"/>
          <w:color w:val="auto"/>
          <w:sz w:val="24"/>
          <w:szCs w:val="22"/>
          <w:highlight w:val="none"/>
        </w:rPr>
        <w:t>本项目采购人设有报价上限，上限价为</w:t>
      </w:r>
      <w:r>
        <w:rPr>
          <w:rFonts w:ascii="宋体" w:hAnsi="宋体"/>
          <w:color w:val="auto"/>
          <w:sz w:val="24"/>
          <w:szCs w:val="22"/>
          <w:highlight w:val="none"/>
          <w:u w:val="single"/>
        </w:rPr>
        <w:t>8</w:t>
      </w:r>
      <w:r>
        <w:rPr>
          <w:rFonts w:hint="eastAsia" w:ascii="宋体" w:hAnsi="宋体"/>
          <w:color w:val="auto"/>
          <w:sz w:val="24"/>
          <w:szCs w:val="22"/>
          <w:highlight w:val="none"/>
          <w:u w:val="single"/>
          <w:lang w:val="en-US" w:eastAsia="zh-CN"/>
        </w:rPr>
        <w:t>2</w:t>
      </w:r>
      <w:r>
        <w:rPr>
          <w:rFonts w:hint="eastAsia" w:ascii="宋体" w:hAnsi="宋体"/>
          <w:color w:val="auto"/>
          <w:sz w:val="24"/>
          <w:szCs w:val="22"/>
          <w:highlight w:val="none"/>
          <w:u w:val="single"/>
        </w:rPr>
        <w:t>0000</w:t>
      </w:r>
      <w:r>
        <w:rPr>
          <w:rFonts w:hint="eastAsia" w:ascii="宋体" w:hAnsi="宋体"/>
          <w:color w:val="auto"/>
          <w:sz w:val="24"/>
          <w:szCs w:val="22"/>
          <w:highlight w:val="none"/>
        </w:rPr>
        <w:t>元，投标报价高于上限价的，作无效标处理。当所有投标人的投标报价均高于上限价的，本项目重新招标。</w:t>
      </w:r>
    </w:p>
    <w:p w14:paraId="60DFDEA2">
      <w:pPr>
        <w:spacing w:line="360" w:lineRule="auto"/>
        <w:ind w:firstLine="470" w:firstLineChars="196"/>
        <w:rPr>
          <w:rFonts w:ascii="宋体" w:hAnsi="宋体"/>
          <w:bCs/>
          <w:color w:val="auto"/>
          <w:sz w:val="24"/>
          <w:szCs w:val="22"/>
          <w:highlight w:val="none"/>
        </w:rPr>
      </w:pPr>
      <w:r>
        <w:rPr>
          <w:rFonts w:hint="eastAsia" w:ascii="宋体" w:hAnsi="宋体"/>
          <w:bCs/>
          <w:color w:val="auto"/>
          <w:sz w:val="24"/>
          <w:szCs w:val="2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E5D42A">
      <w:pPr>
        <w:spacing w:line="360" w:lineRule="auto"/>
        <w:ind w:firstLine="480"/>
        <w:rPr>
          <w:rFonts w:ascii="宋体" w:hAnsi="宋体" w:cs="宋体"/>
          <w:color w:val="auto"/>
          <w:sz w:val="24"/>
          <w:szCs w:val="22"/>
          <w:highlight w:val="none"/>
        </w:rPr>
      </w:pPr>
      <w:r>
        <w:rPr>
          <w:rFonts w:hint="eastAsia" w:ascii="宋体" w:hAnsi="宋体" w:cs="宋体"/>
          <w:color w:val="auto"/>
          <w:sz w:val="24"/>
          <w:szCs w:val="22"/>
          <w:highlight w:val="none"/>
        </w:rPr>
        <w:t>价格分采用低价优先法计算，以最低有效报价作为评标基准价，其价格分为30分。其他投标人的价格分统一按照下列公式计算：</w:t>
      </w:r>
    </w:p>
    <w:p w14:paraId="6E84B289">
      <w:pPr>
        <w:spacing w:line="360" w:lineRule="auto"/>
        <w:ind w:firstLine="470" w:firstLineChars="196"/>
        <w:rPr>
          <w:rFonts w:ascii="宋体" w:hAnsi="宋体"/>
          <w:b/>
          <w:bCs/>
          <w:i/>
          <w:color w:val="auto"/>
          <w:sz w:val="24"/>
          <w:szCs w:val="22"/>
          <w:highlight w:val="none"/>
        </w:rPr>
      </w:pPr>
      <w:r>
        <w:rPr>
          <w:rFonts w:hint="eastAsia" w:ascii="宋体" w:hAnsi="宋体" w:cs="宋体"/>
          <w:color w:val="auto"/>
          <w:sz w:val="24"/>
          <w:szCs w:val="22"/>
          <w:highlight w:val="none"/>
        </w:rPr>
        <w:t>商务标得分=(评标基准价／投标报价)×30</w:t>
      </w:r>
    </w:p>
    <w:p w14:paraId="0C74E269">
      <w:pPr>
        <w:spacing w:line="360" w:lineRule="auto"/>
        <w:ind w:left="420"/>
        <w:rPr>
          <w:rFonts w:ascii="宋体" w:hAnsi="宋体"/>
          <w:b/>
          <w:bCs/>
          <w:color w:val="auto"/>
          <w:sz w:val="24"/>
          <w:highlight w:val="none"/>
        </w:rPr>
      </w:pPr>
      <w:r>
        <w:rPr>
          <w:rFonts w:hint="eastAsia" w:ascii="宋体" w:hAnsi="宋体"/>
          <w:b/>
          <w:bCs/>
          <w:color w:val="auto"/>
          <w:sz w:val="24"/>
          <w:highlight w:val="none"/>
        </w:rPr>
        <w:t>（4）总得分的统计及中标候选人的确定。</w:t>
      </w:r>
    </w:p>
    <w:p w14:paraId="54B35A68">
      <w:pPr>
        <w:spacing w:line="360" w:lineRule="auto"/>
        <w:ind w:left="420"/>
        <w:rPr>
          <w:rFonts w:ascii="宋体" w:hAnsi="宋体"/>
          <w:bCs/>
          <w:color w:val="auto"/>
          <w:sz w:val="24"/>
          <w:highlight w:val="none"/>
        </w:rPr>
      </w:pPr>
      <w:r>
        <w:rPr>
          <w:rFonts w:hint="eastAsia" w:ascii="宋体" w:hAnsi="宋体"/>
          <w:b/>
          <w:color w:val="auto"/>
          <w:sz w:val="24"/>
          <w:highlight w:val="none"/>
        </w:rPr>
        <w:t>评标总得分的确定：</w:t>
      </w:r>
    </w:p>
    <w:p w14:paraId="277E65EA">
      <w:pPr>
        <w:spacing w:line="360" w:lineRule="auto"/>
        <w:ind w:left="420"/>
        <w:rPr>
          <w:rFonts w:ascii="宋体" w:hAnsi="宋体"/>
          <w:bCs/>
          <w:color w:val="auto"/>
          <w:sz w:val="24"/>
          <w:highlight w:val="none"/>
        </w:rPr>
      </w:pPr>
      <w:r>
        <w:rPr>
          <w:rFonts w:hint="eastAsia" w:ascii="宋体" w:hAnsi="宋体"/>
          <w:bCs/>
          <w:color w:val="auto"/>
          <w:sz w:val="24"/>
          <w:highlight w:val="none"/>
        </w:rPr>
        <w:t>投标人的总得分＝资信技术标得分＋商务标得分。</w:t>
      </w:r>
    </w:p>
    <w:p w14:paraId="523F949E">
      <w:pPr>
        <w:spacing w:line="360" w:lineRule="auto"/>
        <w:ind w:left="420"/>
        <w:rPr>
          <w:rFonts w:ascii="宋体" w:hAnsi="宋体"/>
          <w:b/>
          <w:color w:val="auto"/>
          <w:sz w:val="24"/>
          <w:highlight w:val="none"/>
        </w:rPr>
      </w:pPr>
      <w:r>
        <w:rPr>
          <w:rFonts w:hint="eastAsia" w:ascii="宋体" w:hAnsi="宋体"/>
          <w:b/>
          <w:color w:val="auto"/>
          <w:sz w:val="24"/>
          <w:highlight w:val="none"/>
        </w:rPr>
        <w:t>中标候选人的确定：</w:t>
      </w:r>
    </w:p>
    <w:p w14:paraId="72D3DACB">
      <w:pPr>
        <w:adjustRightInd w:val="0"/>
        <w:spacing w:line="360" w:lineRule="auto"/>
        <w:ind w:firstLine="720" w:firstLineChars="300"/>
        <w:rPr>
          <w:rFonts w:ascii="宋体" w:hAnsi="宋体"/>
          <w:color w:val="auto"/>
          <w:sz w:val="32"/>
          <w:highlight w:val="none"/>
        </w:rPr>
      </w:pPr>
      <w:r>
        <w:rPr>
          <w:rFonts w:hint="eastAsia" w:ascii="宋体" w:hAnsi="宋体"/>
          <w:bCs/>
          <w:color w:val="auto"/>
          <w:sz w:val="24"/>
          <w:highlight w:val="none"/>
        </w:rPr>
        <w:t>中标候选人的排名次序按投标人总得分从高到低顺序排列，即总得分最高者为第一中标候选人，次高的为第二中标候选人。若出现总得分相同时，按资信技术文件得分由高到低顺序排列；若以上均相同的，则抽签确定。</w:t>
      </w:r>
    </w:p>
    <w:bookmarkEnd w:id="25"/>
    <w:p w14:paraId="6A95128D">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（四）评审要求</w:t>
      </w:r>
    </w:p>
    <w:p w14:paraId="00A7D0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hAnsi="宋体"/>
          <w:bCs/>
          <w:color w:val="auto"/>
          <w:sz w:val="24"/>
          <w:highlight w:val="none"/>
          <w:lang w:val="zh-CN"/>
        </w:rPr>
        <w:t>客观</w:t>
      </w:r>
      <w:r>
        <w:rPr>
          <w:rFonts w:hint="eastAsia" w:ascii="宋体" w:hAnsi="宋体"/>
          <w:bCs/>
          <w:color w:val="auto"/>
          <w:sz w:val="24"/>
          <w:highlight w:val="none"/>
        </w:rPr>
        <w:t>评分项的分值</w:t>
      </w:r>
      <w:r>
        <w:rPr>
          <w:rFonts w:hint="eastAsia" w:ascii="宋体" w:hAnsi="宋体"/>
          <w:bCs/>
          <w:color w:val="auto"/>
          <w:sz w:val="24"/>
          <w:highlight w:val="none"/>
          <w:lang w:val="zh-CN"/>
        </w:rPr>
        <w:t>应当一致。</w:t>
      </w:r>
    </w:p>
    <w:p w14:paraId="6AD084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（2）对于投标文件中含义不明确、同类问题表述不一致或者有明显文字和计算错误的内容，评标委员会应当要求投标人作出必要的澄清、说明或者补正。</w:t>
      </w:r>
    </w:p>
    <w:p w14:paraId="43FEE9FC">
      <w:pPr>
        <w:pStyle w:val="36"/>
        <w:widowControl w:val="0"/>
        <w:spacing w:before="0" w:beforeAutospacing="0" w:after="0" w:afterAutospacing="0" w:line="360" w:lineRule="auto"/>
        <w:ind w:firstLine="480" w:firstLineChars="200"/>
        <w:jc w:val="both"/>
        <w:rPr>
          <w:bCs/>
          <w:color w:val="auto"/>
          <w:highlight w:val="none"/>
        </w:rPr>
      </w:pPr>
      <w:r>
        <w:rPr>
          <w:rFonts w:hint="eastAsia" w:ascii="宋体" w:hAnsi="宋体" w:cs="宋体"/>
          <w:color w:val="auto"/>
          <w:sz w:val="24"/>
          <w:highlight w:val="none"/>
        </w:rPr>
        <w:t>（3）投标人的澄清、说明或者补正采用书面形式，并加盖公章或者由法定代表人或授权代表签字，且不得超出投标文件的范围或者改变投标文件的实质性内容。</w:t>
      </w:r>
    </w:p>
    <w:p w14:paraId="1CA9D755">
      <w:pPr>
        <w:pStyle w:val="29"/>
        <w:spacing w:line="360" w:lineRule="auto"/>
        <w:rPr>
          <w:rFonts w:ascii="黑体" w:eastAsia="黑体"/>
          <w:b/>
          <w:color w:val="auto"/>
          <w:sz w:val="32"/>
          <w:szCs w:val="32"/>
          <w:highlight w:val="none"/>
        </w:rPr>
      </w:pPr>
      <w:r>
        <w:rPr>
          <w:color w:val="auto"/>
          <w:highlight w:val="none"/>
        </w:rPr>
        <w:br w:type="page"/>
      </w:r>
      <w:bookmarkEnd w:id="22"/>
      <w:bookmarkEnd w:id="23"/>
      <w:bookmarkEnd w:id="24"/>
    </w:p>
    <w:p w14:paraId="1292B818">
      <w:pPr>
        <w:pStyle w:val="29"/>
        <w:spacing w:line="360" w:lineRule="auto"/>
        <w:rPr>
          <w:rFonts w:ascii="黑体" w:eastAsia="黑体"/>
          <w:b/>
          <w:color w:val="auto"/>
          <w:sz w:val="32"/>
          <w:szCs w:val="32"/>
          <w:highlight w:val="none"/>
        </w:rPr>
      </w:pPr>
      <w:bookmarkStart w:id="26" w:name="_Toc251160747"/>
      <w:r>
        <w:rPr>
          <w:rFonts w:hint="eastAsia" w:ascii="黑体" w:eastAsia="黑体"/>
          <w:b/>
          <w:color w:val="auto"/>
          <w:sz w:val="32"/>
          <w:szCs w:val="32"/>
          <w:highlight w:val="none"/>
        </w:rPr>
        <w:t>第五章 合同格式（仅参考）</w:t>
      </w:r>
    </w:p>
    <w:p w14:paraId="44B1DC6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采购人：</w:t>
      </w:r>
      <w:r>
        <w:rPr>
          <w:rFonts w:hint="eastAsia" w:ascii="宋体" w:hAnsi="宋体" w:cs="宋体"/>
          <w:bCs/>
          <w:color w:val="auto"/>
          <w:sz w:val="24"/>
          <w:highlight w:val="none"/>
          <w:u w:val="single"/>
        </w:rPr>
        <w:t xml:space="preserve"> 台州市开发投资集团有限公司 </w:t>
      </w:r>
      <w:r>
        <w:rPr>
          <w:rFonts w:hint="eastAsia" w:ascii="宋体" w:hAnsi="宋体" w:cs="宋体"/>
          <w:bCs/>
          <w:color w:val="auto"/>
          <w:sz w:val="24"/>
          <w:highlight w:val="none"/>
        </w:rPr>
        <w:t>（以下简称甲方）</w:t>
      </w:r>
    </w:p>
    <w:p w14:paraId="56215AA6">
      <w:pPr>
        <w:pStyle w:val="22"/>
        <w:snapToGrid w:val="0"/>
        <w:spacing w:before="0" w:beforeLines="0" w:after="0" w:afterLines="0" w:line="360" w:lineRule="auto"/>
        <w:ind w:firstLine="480" w:firstLineChars="200"/>
        <w:rPr>
          <w:rFonts w:hAnsi="宋体" w:cs="宋体"/>
          <w:b w:val="0"/>
          <w:color w:val="auto"/>
          <w:highlight w:val="none"/>
        </w:rPr>
      </w:pPr>
      <w:r>
        <w:rPr>
          <w:rFonts w:hAnsi="宋体" w:cs="宋体"/>
          <w:b w:val="0"/>
          <w:color w:val="auto"/>
          <w:highlight w:val="none"/>
        </w:rPr>
        <w:t>投标人：</w:t>
      </w:r>
      <w:r>
        <w:rPr>
          <w:rFonts w:hAnsi="宋体" w:cs="宋体"/>
          <w:b w:val="0"/>
          <w:color w:val="auto"/>
          <w:highlight w:val="none"/>
          <w:u w:val="single"/>
        </w:rPr>
        <w:t xml:space="preserve">                    </w:t>
      </w:r>
      <w:r>
        <w:rPr>
          <w:rFonts w:hAnsi="宋体" w:cs="宋体"/>
          <w:b w:val="0"/>
          <w:color w:val="auto"/>
          <w:highlight w:val="none"/>
        </w:rPr>
        <w:t>（以下简称乙方）</w:t>
      </w:r>
    </w:p>
    <w:p w14:paraId="0EB70F20">
      <w:pPr>
        <w:pStyle w:val="22"/>
        <w:snapToGrid w:val="0"/>
        <w:spacing w:before="0" w:beforeLines="0" w:after="0" w:afterLines="0" w:line="360" w:lineRule="auto"/>
        <w:ind w:firstLine="480" w:firstLineChars="200"/>
        <w:rPr>
          <w:rFonts w:hAnsi="宋体" w:cs="宋体"/>
          <w:b w:val="0"/>
          <w:color w:val="auto"/>
          <w:highlight w:val="none"/>
        </w:rPr>
      </w:pPr>
      <w:r>
        <w:rPr>
          <w:rFonts w:hAnsi="宋体" w:cs="宋体"/>
          <w:b w:val="0"/>
          <w:color w:val="auto"/>
          <w:highlight w:val="none"/>
        </w:rPr>
        <w:t>依照《中华人民共和国民法典》和相关法律、法规及</w:t>
      </w:r>
      <w:r>
        <w:rPr>
          <w:rFonts w:hint="eastAsia" w:hAnsi="宋体" w:cs="宋体"/>
          <w:b w:val="0"/>
          <w:color w:val="auto"/>
          <w:highlight w:val="none"/>
          <w:lang w:eastAsia="zh-CN"/>
        </w:rPr>
        <w:t>台州市开发投资集团有限公司国产化适配项目</w:t>
      </w:r>
      <w:r>
        <w:rPr>
          <w:rFonts w:hAnsi="宋体" w:cs="宋体"/>
          <w:b w:val="0"/>
          <w:color w:val="auto"/>
          <w:highlight w:val="none"/>
        </w:rPr>
        <w:t>公开采购的结果，在自愿、平等、协商一致的基础上，订立本合同。</w:t>
      </w:r>
    </w:p>
    <w:p w14:paraId="63BCFAE2">
      <w:pPr>
        <w:widowControl/>
        <w:shd w:val="clear" w:color="auto" w:fill="FFFFFF"/>
        <w:spacing w:line="360" w:lineRule="auto"/>
        <w:jc w:val="left"/>
        <w:rPr>
          <w:rFonts w:ascii="宋体" w:hAnsi="宋体" w:cs="Arial"/>
          <w:b/>
          <w:color w:val="auto"/>
          <w:kern w:val="0"/>
          <w:sz w:val="24"/>
          <w:highlight w:val="none"/>
        </w:rPr>
      </w:pPr>
      <w:r>
        <w:rPr>
          <w:rFonts w:hint="eastAsia" w:ascii="宋体" w:hAnsi="宋体"/>
          <w:b/>
          <w:color w:val="auto"/>
          <w:sz w:val="24"/>
          <w:highlight w:val="none"/>
        </w:rPr>
        <w:t>一</w:t>
      </w:r>
      <w:r>
        <w:rPr>
          <w:rFonts w:ascii="宋体" w:hAnsi="宋体"/>
          <w:b/>
          <w:color w:val="auto"/>
          <w:sz w:val="24"/>
          <w:highlight w:val="none"/>
        </w:rPr>
        <w:t>、</w:t>
      </w:r>
      <w:r>
        <w:rPr>
          <w:rFonts w:ascii="宋体" w:hAnsi="宋体" w:cs="Arial"/>
          <w:b/>
          <w:color w:val="auto"/>
          <w:kern w:val="0"/>
          <w:sz w:val="24"/>
          <w:highlight w:val="none"/>
        </w:rPr>
        <w:t>合同内容及服务标准</w:t>
      </w:r>
    </w:p>
    <w:tbl>
      <w:tblPr>
        <w:tblStyle w:val="41"/>
        <w:tblpPr w:leftFromText="180" w:rightFromText="180" w:vertAnchor="text" w:horzAnchor="page" w:tblpX="1805" w:tblpY="456"/>
        <w:tblOverlap w:val="never"/>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537"/>
        <w:gridCol w:w="649"/>
        <w:gridCol w:w="649"/>
        <w:gridCol w:w="1339"/>
        <w:gridCol w:w="1591"/>
        <w:gridCol w:w="1375"/>
      </w:tblGrid>
      <w:tr w14:paraId="336F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44" w:type="pct"/>
            <w:vAlign w:val="center"/>
          </w:tcPr>
          <w:p w14:paraId="5CD4C1FB">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val="en-US" w:eastAsia="zh-CN"/>
              </w:rPr>
              <w:t>序号</w:t>
            </w:r>
          </w:p>
        </w:tc>
        <w:tc>
          <w:tcPr>
            <w:tcW w:w="1419" w:type="pct"/>
            <w:vAlign w:val="center"/>
          </w:tcPr>
          <w:p w14:paraId="3576D8F3">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项目名称</w:t>
            </w:r>
          </w:p>
        </w:tc>
        <w:tc>
          <w:tcPr>
            <w:tcW w:w="363" w:type="pct"/>
            <w:vAlign w:val="center"/>
          </w:tcPr>
          <w:p w14:paraId="015B95FB">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数量</w:t>
            </w:r>
          </w:p>
        </w:tc>
        <w:tc>
          <w:tcPr>
            <w:tcW w:w="363" w:type="pct"/>
            <w:vAlign w:val="center"/>
          </w:tcPr>
          <w:p w14:paraId="0A2917AC">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单位</w:t>
            </w:r>
          </w:p>
        </w:tc>
        <w:tc>
          <w:tcPr>
            <w:tcW w:w="749" w:type="pct"/>
            <w:vAlign w:val="center"/>
          </w:tcPr>
          <w:p w14:paraId="3E69AE00">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b/>
                <w:bCs/>
                <w:color w:val="auto"/>
                <w:sz w:val="24"/>
                <w:highlight w:val="none"/>
              </w:rPr>
              <w:t>合同金额</w:t>
            </w:r>
          </w:p>
        </w:tc>
        <w:tc>
          <w:tcPr>
            <w:tcW w:w="890" w:type="pct"/>
            <w:vAlign w:val="center"/>
          </w:tcPr>
          <w:p w14:paraId="34002C68">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sz w:val="21"/>
                <w:szCs w:val="21"/>
                <w:highlight w:val="none"/>
              </w:rPr>
              <w:t>服务期</w:t>
            </w:r>
          </w:p>
        </w:tc>
        <w:tc>
          <w:tcPr>
            <w:tcW w:w="769" w:type="pct"/>
            <w:vAlign w:val="center"/>
          </w:tcPr>
          <w:p w14:paraId="4B5F8DFD">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sz w:val="21"/>
                <w:szCs w:val="21"/>
                <w:highlight w:val="none"/>
              </w:rPr>
              <w:t>地点</w:t>
            </w:r>
          </w:p>
        </w:tc>
      </w:tr>
      <w:tr w14:paraId="33AD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44" w:type="pct"/>
            <w:vAlign w:val="center"/>
          </w:tcPr>
          <w:p w14:paraId="48179AD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1419" w:type="pct"/>
            <w:vAlign w:val="center"/>
          </w:tcPr>
          <w:p w14:paraId="21A126E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台州市开发投资集团有限公司国产化适配项目</w:t>
            </w:r>
          </w:p>
        </w:tc>
        <w:tc>
          <w:tcPr>
            <w:tcW w:w="363" w:type="pct"/>
            <w:vAlign w:val="center"/>
          </w:tcPr>
          <w:p w14:paraId="2447996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363" w:type="pct"/>
            <w:vAlign w:val="center"/>
          </w:tcPr>
          <w:p w14:paraId="70068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套</w:t>
            </w:r>
          </w:p>
        </w:tc>
        <w:tc>
          <w:tcPr>
            <w:tcW w:w="1339" w:type="dxa"/>
            <w:vAlign w:val="center"/>
          </w:tcPr>
          <w:p w14:paraId="0D3EA8F6">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bidi="ar"/>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w:t>
            </w:r>
          </w:p>
        </w:tc>
        <w:tc>
          <w:tcPr>
            <w:tcW w:w="1591" w:type="dxa"/>
            <w:vAlign w:val="center"/>
          </w:tcPr>
          <w:p w14:paraId="07322787">
            <w:pPr>
              <w:pStyle w:val="115"/>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highlight w:val="none"/>
                <w:lang w:bidi="ar"/>
              </w:rPr>
            </w:pPr>
            <w:r>
              <w:rPr>
                <w:rFonts w:hint="eastAsia" w:ascii="宋体" w:hAnsi="宋体" w:eastAsia="宋体"/>
                <w:color w:val="auto"/>
                <w:sz w:val="24"/>
                <w:highlight w:val="none"/>
              </w:rPr>
              <w:t>详见招标需求</w:t>
            </w:r>
          </w:p>
        </w:tc>
        <w:tc>
          <w:tcPr>
            <w:tcW w:w="1375" w:type="dxa"/>
            <w:vAlign w:val="center"/>
          </w:tcPr>
          <w:p w14:paraId="63B141F4">
            <w:pPr>
              <w:pStyle w:val="115"/>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highlight w:val="none"/>
                <w:lang w:bidi="ar"/>
              </w:rPr>
            </w:pPr>
            <w:r>
              <w:rPr>
                <w:rFonts w:hint="eastAsia" w:ascii="宋体" w:hAnsi="宋体" w:eastAsia="宋体"/>
                <w:color w:val="auto"/>
                <w:sz w:val="24"/>
                <w:highlight w:val="none"/>
              </w:rPr>
              <w:t>采购人指定地点</w:t>
            </w:r>
          </w:p>
        </w:tc>
      </w:tr>
    </w:tbl>
    <w:p w14:paraId="237CA5BC">
      <w:pPr>
        <w:pStyle w:val="22"/>
        <w:snapToGrid w:val="0"/>
        <w:spacing w:before="0" w:beforeLines="0" w:after="0" w:afterLines="0" w:line="360" w:lineRule="auto"/>
        <w:rPr>
          <w:rFonts w:hAnsi="宋体"/>
          <w:color w:val="auto"/>
          <w:highlight w:val="none"/>
        </w:rPr>
      </w:pPr>
    </w:p>
    <w:p w14:paraId="60321525">
      <w:pPr>
        <w:pStyle w:val="22"/>
        <w:snapToGrid w:val="0"/>
        <w:spacing w:before="0" w:beforeLines="0" w:after="0" w:afterLines="0" w:line="360" w:lineRule="auto"/>
        <w:rPr>
          <w:rFonts w:hAnsi="宋体"/>
          <w:color w:val="auto"/>
          <w:highlight w:val="none"/>
        </w:rPr>
      </w:pPr>
      <w:r>
        <w:rPr>
          <w:rFonts w:hAnsi="宋体"/>
          <w:color w:val="auto"/>
          <w:highlight w:val="none"/>
        </w:rPr>
        <w:t>二、合同金额</w:t>
      </w:r>
    </w:p>
    <w:p w14:paraId="55C0E6A9">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本合同金额为（大写）：________________元（￥_______________元）人民币。</w:t>
      </w:r>
    </w:p>
    <w:p w14:paraId="15990CDF">
      <w:pPr>
        <w:pStyle w:val="22"/>
        <w:snapToGrid w:val="0"/>
        <w:spacing w:before="0" w:beforeLines="0" w:after="0" w:afterLines="0" w:line="360" w:lineRule="auto"/>
        <w:rPr>
          <w:rFonts w:hAnsi="宋体"/>
          <w:color w:val="auto"/>
          <w:highlight w:val="none"/>
        </w:rPr>
      </w:pPr>
      <w:r>
        <w:rPr>
          <w:rFonts w:hAnsi="宋体" w:cs="Arial"/>
          <w:color w:val="auto"/>
          <w:kern w:val="0"/>
          <w:highlight w:val="none"/>
        </w:rPr>
        <w:t>三、</w:t>
      </w:r>
      <w:r>
        <w:rPr>
          <w:rFonts w:hAnsi="宋体"/>
          <w:color w:val="auto"/>
          <w:highlight w:val="none"/>
        </w:rPr>
        <w:t>技术资料</w:t>
      </w:r>
    </w:p>
    <w:p w14:paraId="34D1B203">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1.乙方应按招标文件规定的时间向甲方提供有关技术资料。</w:t>
      </w:r>
    </w:p>
    <w:p w14:paraId="423B576A">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2.没有甲方事先书面同意，乙方不得将由甲方提供的有关合同或任何合同条文、规格、计划、资料提供给与履行本合同无关的任何其他人。即使向履行本合同有关的人员提供，也应注意保密并限于履行合同的必需范围。</w:t>
      </w:r>
    </w:p>
    <w:p w14:paraId="6453E6A9">
      <w:pPr>
        <w:pStyle w:val="22"/>
        <w:snapToGrid w:val="0"/>
        <w:spacing w:before="0" w:beforeLines="0" w:after="0" w:afterLines="0" w:line="360" w:lineRule="auto"/>
        <w:rPr>
          <w:rFonts w:hAnsi="宋体"/>
          <w:color w:val="auto"/>
          <w:highlight w:val="none"/>
        </w:rPr>
      </w:pPr>
      <w:r>
        <w:rPr>
          <w:rFonts w:hAnsi="宋体"/>
          <w:color w:val="auto"/>
          <w:highlight w:val="none"/>
        </w:rPr>
        <w:t>四、知识产权</w:t>
      </w:r>
    </w:p>
    <w:p w14:paraId="10210AB5">
      <w:pPr>
        <w:pStyle w:val="22"/>
        <w:snapToGrid w:val="0"/>
        <w:spacing w:before="0" w:beforeLines="0" w:after="0" w:afterLines="0" w:line="360" w:lineRule="auto"/>
        <w:ind w:firstLine="482" w:firstLineChars="200"/>
        <w:rPr>
          <w:rFonts w:hAnsi="宋体"/>
          <w:bCs/>
          <w:color w:val="auto"/>
          <w:highlight w:val="none"/>
        </w:rPr>
      </w:pPr>
      <w:r>
        <w:rPr>
          <w:rFonts w:hAnsi="宋体"/>
          <w:color w:val="auto"/>
          <w:highlight w:val="none"/>
        </w:rPr>
        <w:t>乙方应保证提供服务过程中不会侵犯任何第三方的知识产权、财产权和名誉权，否则乙方应承担由此产生的一切后果，甲方不承担任何责任。</w:t>
      </w:r>
    </w:p>
    <w:p w14:paraId="057ABCD1">
      <w:pPr>
        <w:pStyle w:val="22"/>
        <w:snapToGrid w:val="0"/>
        <w:spacing w:before="0" w:beforeLines="0" w:after="0" w:afterLines="0" w:line="360" w:lineRule="auto"/>
        <w:ind w:left="410" w:hanging="410" w:hangingChars="170"/>
        <w:rPr>
          <w:rFonts w:hAnsi="宋体"/>
          <w:color w:val="auto"/>
          <w:highlight w:val="none"/>
        </w:rPr>
      </w:pPr>
      <w:r>
        <w:rPr>
          <w:rFonts w:hAnsi="宋体"/>
          <w:color w:val="auto"/>
          <w:highlight w:val="none"/>
        </w:rPr>
        <w:t>五、履约保证金</w:t>
      </w:r>
    </w:p>
    <w:p w14:paraId="22EFFD1D">
      <w:pPr>
        <w:tabs>
          <w:tab w:val="left" w:pos="1418"/>
        </w:tabs>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本项目无履约保证金。</w:t>
      </w:r>
    </w:p>
    <w:p w14:paraId="22EEF76A">
      <w:pPr>
        <w:snapToGrid w:val="0"/>
        <w:spacing w:line="360" w:lineRule="auto"/>
        <w:rPr>
          <w:rFonts w:ascii="宋体" w:hAnsi="宋体"/>
          <w:b/>
          <w:color w:val="auto"/>
          <w:sz w:val="24"/>
          <w:highlight w:val="none"/>
        </w:rPr>
      </w:pPr>
      <w:r>
        <w:rPr>
          <w:rFonts w:hint="eastAsia" w:ascii="宋体" w:hAnsi="宋体"/>
          <w:b/>
          <w:color w:val="auto"/>
          <w:sz w:val="24"/>
          <w:highlight w:val="none"/>
        </w:rPr>
        <w:t>六、转包或分包</w:t>
      </w:r>
    </w:p>
    <w:p w14:paraId="66C6D3A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4ED2A10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7510444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.如有转让和未经甲方同意的分包行为，甲方有权解除合同，并追究乙方的违约责任。</w:t>
      </w:r>
    </w:p>
    <w:p w14:paraId="1F5D47C9">
      <w:pPr>
        <w:pStyle w:val="22"/>
        <w:snapToGrid w:val="0"/>
        <w:spacing w:before="0" w:beforeLines="0" w:after="0" w:afterLines="0" w:line="360" w:lineRule="auto"/>
        <w:rPr>
          <w:rFonts w:hint="default" w:hAnsi="宋体"/>
          <w:color w:val="auto"/>
          <w:highlight w:val="none"/>
        </w:rPr>
      </w:pPr>
      <w:r>
        <w:rPr>
          <w:rFonts w:hAnsi="宋体"/>
          <w:color w:val="auto"/>
          <w:highlight w:val="none"/>
        </w:rPr>
        <w:t xml:space="preserve">七、服务质量保证期    </w:t>
      </w:r>
    </w:p>
    <w:p w14:paraId="14CD468B">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 保证期</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rFonts w:hAnsi="宋体"/>
          <w:color w:val="auto"/>
          <w:highlight w:val="none"/>
        </w:rPr>
        <w:t>年。（自验收合格之日起计）</w:t>
      </w:r>
    </w:p>
    <w:p w14:paraId="553751D8">
      <w:pPr>
        <w:pStyle w:val="22"/>
        <w:snapToGrid w:val="0"/>
        <w:spacing w:before="0" w:beforeLines="0" w:after="0" w:afterLines="0" w:line="360" w:lineRule="auto"/>
        <w:rPr>
          <w:rFonts w:hAnsi="宋体"/>
          <w:color w:val="auto"/>
          <w:highlight w:val="none"/>
        </w:rPr>
      </w:pPr>
      <w:r>
        <w:rPr>
          <w:rFonts w:hAnsi="宋体"/>
          <w:color w:val="auto"/>
          <w:highlight w:val="none"/>
        </w:rPr>
        <w:t>八、合同履行时间及履行地点</w:t>
      </w:r>
    </w:p>
    <w:p w14:paraId="0637E0A3">
      <w:pPr>
        <w:pStyle w:val="22"/>
        <w:snapToGrid w:val="0"/>
        <w:spacing w:before="0" w:beforeLines="0" w:after="0" w:afterLines="0" w:line="360" w:lineRule="auto"/>
        <w:ind w:firstLine="482" w:firstLineChars="200"/>
        <w:rPr>
          <w:rFonts w:hAnsi="宋体"/>
          <w:bCs/>
          <w:color w:val="auto"/>
          <w:highlight w:val="none"/>
        </w:rPr>
      </w:pPr>
      <w:r>
        <w:rPr>
          <w:rFonts w:hAnsi="宋体"/>
          <w:bCs/>
          <w:color w:val="auto"/>
          <w:highlight w:val="none"/>
        </w:rPr>
        <w:t xml:space="preserve">1. </w:t>
      </w:r>
      <w:r>
        <w:rPr>
          <w:rFonts w:hAnsi="宋体"/>
          <w:color w:val="auto"/>
          <w:highlight w:val="none"/>
        </w:rPr>
        <w:t>履行时间</w:t>
      </w:r>
      <w:r>
        <w:rPr>
          <w:rFonts w:hAnsi="宋体"/>
          <w:bCs/>
          <w:color w:val="auto"/>
          <w:highlight w:val="none"/>
        </w:rPr>
        <w:t>：</w:t>
      </w:r>
      <w:r>
        <w:rPr>
          <w:rFonts w:hint="eastAsia" w:hAnsi="宋体"/>
          <w:bCs/>
          <w:color w:val="auto"/>
          <w:highlight w:val="none"/>
        </w:rPr>
        <w:t>合同签订后</w:t>
      </w:r>
      <w:r>
        <w:rPr>
          <w:rFonts w:hAnsi="宋体"/>
          <w:bCs/>
          <w:color w:val="auto"/>
          <w:highlight w:val="none"/>
        </w:rPr>
        <w:t>30</w:t>
      </w:r>
      <w:r>
        <w:rPr>
          <w:rFonts w:hint="eastAsia" w:hAnsi="宋体"/>
          <w:bCs/>
          <w:color w:val="auto"/>
          <w:highlight w:val="none"/>
        </w:rPr>
        <w:t>天内</w:t>
      </w:r>
    </w:p>
    <w:p w14:paraId="4E7857DA">
      <w:pPr>
        <w:pStyle w:val="22"/>
        <w:snapToGrid w:val="0"/>
        <w:spacing w:before="0" w:beforeLines="0" w:after="0" w:afterLines="0" w:line="360" w:lineRule="auto"/>
        <w:ind w:firstLine="482" w:firstLineChars="200"/>
        <w:rPr>
          <w:rFonts w:hAnsi="宋体"/>
          <w:color w:val="auto"/>
          <w:highlight w:val="none"/>
        </w:rPr>
      </w:pPr>
      <w:r>
        <w:rPr>
          <w:rFonts w:hAnsi="宋体"/>
          <w:bCs/>
          <w:color w:val="auto"/>
          <w:highlight w:val="none"/>
        </w:rPr>
        <w:t xml:space="preserve">2. </w:t>
      </w:r>
      <w:r>
        <w:rPr>
          <w:rFonts w:hAnsi="宋体"/>
          <w:color w:val="auto"/>
          <w:highlight w:val="none"/>
        </w:rPr>
        <w:t>履行地点</w:t>
      </w:r>
      <w:r>
        <w:rPr>
          <w:rFonts w:hAnsi="宋体"/>
          <w:bCs/>
          <w:color w:val="auto"/>
          <w:highlight w:val="none"/>
        </w:rPr>
        <w:t>：甲方指定地点</w:t>
      </w:r>
    </w:p>
    <w:p w14:paraId="03C61D9D">
      <w:pPr>
        <w:pStyle w:val="22"/>
        <w:snapToGrid w:val="0"/>
        <w:spacing w:before="0" w:beforeLines="0" w:after="0" w:afterLines="0" w:afterAutospacing="0" w:line="360" w:lineRule="auto"/>
        <w:rPr>
          <w:rFonts w:hAnsi="宋体"/>
          <w:color w:val="auto"/>
          <w:highlight w:val="none"/>
        </w:rPr>
      </w:pPr>
      <w:r>
        <w:rPr>
          <w:rFonts w:hint="eastAsia" w:hAnsi="宋体"/>
          <w:color w:val="auto"/>
          <w:highlight w:val="none"/>
          <w:lang w:val="en-US" w:eastAsia="zh-CN"/>
        </w:rPr>
        <w:t>九</w:t>
      </w:r>
      <w:r>
        <w:rPr>
          <w:rFonts w:hAnsi="宋体"/>
          <w:color w:val="auto"/>
          <w:highlight w:val="none"/>
        </w:rPr>
        <w:t>、款项支付</w:t>
      </w:r>
    </w:p>
    <w:p w14:paraId="641D1E41">
      <w:pPr>
        <w:widowControl/>
        <w:spacing w:beforeAutospacing="0" w:after="156" w:afterLines="50" w:line="44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合同签订后，甲方向乙方支付50%的合同款项作为预付款；乙方系统开发及设备安装调试完成并验收合格后，在乙方票证齐全，且符合甲方付款流程的前提下，甲方一次性付清剩余款项。否则甲方有权拒绝付款，不视为违约。</w:t>
      </w:r>
    </w:p>
    <w:p w14:paraId="1919FD06">
      <w:pPr>
        <w:snapToGrid w:val="0"/>
        <w:spacing w:line="360" w:lineRule="auto"/>
        <w:rPr>
          <w:rFonts w:ascii="宋体" w:hAnsi="宋体"/>
          <w:b/>
          <w:color w:val="auto"/>
          <w:sz w:val="24"/>
          <w:highlight w:val="none"/>
        </w:rPr>
      </w:pPr>
      <w:r>
        <w:rPr>
          <w:rFonts w:hint="eastAsia" w:ascii="宋体" w:hAnsi="宋体"/>
          <w:b/>
          <w:color w:val="auto"/>
          <w:sz w:val="24"/>
          <w:highlight w:val="none"/>
        </w:rPr>
        <w:t>十、税费</w:t>
      </w:r>
    </w:p>
    <w:p w14:paraId="6D78A56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本合同履行中相关的一切税费均由</w:t>
      </w:r>
      <w:r>
        <w:rPr>
          <w:rFonts w:ascii="宋体" w:hAnsi="宋体"/>
          <w:color w:val="auto"/>
          <w:sz w:val="24"/>
          <w:highlight w:val="none"/>
        </w:rPr>
        <w:t>乙</w:t>
      </w:r>
      <w:r>
        <w:rPr>
          <w:rFonts w:hint="eastAsia" w:ascii="宋体" w:hAnsi="宋体"/>
          <w:color w:val="auto"/>
          <w:sz w:val="24"/>
          <w:highlight w:val="none"/>
        </w:rPr>
        <w:t>方负担。</w:t>
      </w:r>
    </w:p>
    <w:p w14:paraId="6C25E6BF">
      <w:pPr>
        <w:pStyle w:val="22"/>
        <w:snapToGrid w:val="0"/>
        <w:spacing w:before="0" w:beforeLines="0" w:after="0" w:afterLines="0" w:line="360" w:lineRule="auto"/>
        <w:ind w:left="412" w:hanging="412" w:hangingChars="171"/>
        <w:rPr>
          <w:rFonts w:hAnsi="宋体"/>
          <w:color w:val="auto"/>
          <w:highlight w:val="none"/>
        </w:rPr>
      </w:pPr>
      <w:r>
        <w:rPr>
          <w:rFonts w:hAnsi="宋体"/>
          <w:color w:val="auto"/>
          <w:highlight w:val="none"/>
        </w:rPr>
        <w:t>十</w:t>
      </w:r>
      <w:r>
        <w:rPr>
          <w:rFonts w:hint="eastAsia" w:hAnsi="宋体"/>
          <w:color w:val="auto"/>
          <w:highlight w:val="none"/>
          <w:lang w:val="en-US" w:eastAsia="zh-CN"/>
        </w:rPr>
        <w:t>一</w:t>
      </w:r>
      <w:r>
        <w:rPr>
          <w:rFonts w:hAnsi="宋体"/>
          <w:color w:val="auto"/>
          <w:highlight w:val="none"/>
        </w:rPr>
        <w:t>、质量保证及后续服务</w:t>
      </w:r>
    </w:p>
    <w:p w14:paraId="4B7D6604">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1．乙方应按招标文件规定向甲方提供服务。</w:t>
      </w:r>
    </w:p>
    <w:p w14:paraId="5295A4DE">
      <w:pPr>
        <w:pStyle w:val="22"/>
        <w:snapToGrid w:val="0"/>
        <w:spacing w:before="0" w:beforeLines="0" w:after="0" w:afterLines="0" w:line="360" w:lineRule="auto"/>
        <w:ind w:firstLine="482" w:firstLineChars="200"/>
        <w:rPr>
          <w:rFonts w:hint="default" w:hAnsi="宋体"/>
          <w:color w:val="auto"/>
          <w:highlight w:val="none"/>
        </w:rPr>
      </w:pPr>
      <w:r>
        <w:rPr>
          <w:rFonts w:hAnsi="宋体"/>
          <w:color w:val="auto"/>
          <w:highlight w:val="none"/>
        </w:rPr>
        <w:t>2. 乙方应按投标时承诺的向甲方提供服务</w:t>
      </w:r>
    </w:p>
    <w:p w14:paraId="170A59AC">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3．乙方提供的服务成果在服务质量保证期内发生故障，乙方应负责免费提供后续服务。对达不到要求者，根据实际情况，经双方协商，可按以下办法处理：</w:t>
      </w:r>
    </w:p>
    <w:p w14:paraId="3A7532B3">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⑴重做：由乙方承担所发生的全部费用。</w:t>
      </w:r>
    </w:p>
    <w:p w14:paraId="23B2DF0F">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⑵贬值处理：由甲乙双方合议定价。</w:t>
      </w:r>
    </w:p>
    <w:p w14:paraId="458D05EB">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⑶解除合同。</w:t>
      </w:r>
    </w:p>
    <w:p w14:paraId="7D0E3ECE">
      <w:pPr>
        <w:pStyle w:val="22"/>
        <w:snapToGrid w:val="0"/>
        <w:spacing w:before="0" w:beforeLines="0" w:after="0" w:afterLines="0" w:line="360" w:lineRule="auto"/>
        <w:rPr>
          <w:rFonts w:hAnsi="宋体"/>
          <w:color w:val="auto"/>
          <w:highlight w:val="none"/>
        </w:rPr>
      </w:pPr>
      <w:r>
        <w:rPr>
          <w:rFonts w:hAnsi="宋体"/>
          <w:color w:val="auto"/>
          <w:highlight w:val="none"/>
        </w:rPr>
        <w:t>十</w:t>
      </w:r>
      <w:r>
        <w:rPr>
          <w:rFonts w:hint="eastAsia" w:hAnsi="宋体"/>
          <w:color w:val="auto"/>
          <w:highlight w:val="none"/>
          <w:lang w:val="en-US" w:eastAsia="zh-CN"/>
        </w:rPr>
        <w:t>二</w:t>
      </w:r>
      <w:r>
        <w:rPr>
          <w:rFonts w:hAnsi="宋体"/>
          <w:color w:val="auto"/>
          <w:highlight w:val="none"/>
        </w:rPr>
        <w:t>、违约责任</w:t>
      </w:r>
    </w:p>
    <w:p w14:paraId="00E0BDFE">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1．甲方无正当理由拒绝接受服务的，甲方向乙方偿付合同款项</w:t>
      </w:r>
      <w:r>
        <w:rPr>
          <w:rFonts w:hAnsi="宋体"/>
          <w:color w:val="auto"/>
          <w:highlight w:val="none"/>
          <w:u w:val="single"/>
        </w:rPr>
        <w:t>百分之五</w:t>
      </w:r>
      <w:r>
        <w:rPr>
          <w:rFonts w:hAnsi="宋体"/>
          <w:color w:val="auto"/>
          <w:highlight w:val="none"/>
        </w:rPr>
        <w:t>作为违约金。</w:t>
      </w:r>
    </w:p>
    <w:p w14:paraId="299132A1">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2．甲方无故逾期验收和办理款项支付手续的,甲方应按逾期付款总额</w:t>
      </w:r>
      <w:r>
        <w:rPr>
          <w:rFonts w:hAnsi="宋体"/>
          <w:color w:val="auto"/>
          <w:highlight w:val="none"/>
          <w:u w:val="single"/>
        </w:rPr>
        <w:t>每日万分之五</w:t>
      </w:r>
      <w:r>
        <w:rPr>
          <w:rFonts w:hAnsi="宋体"/>
          <w:color w:val="auto"/>
          <w:highlight w:val="none"/>
        </w:rPr>
        <w:t>向乙方支付违约金。</w:t>
      </w:r>
    </w:p>
    <w:p w14:paraId="7F0DD32F">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3． 乙方未能如期提供服务的，每日向甲方支付合同款项的</w:t>
      </w:r>
      <w:r>
        <w:rPr>
          <w:rFonts w:hAnsi="宋体"/>
          <w:color w:val="auto"/>
          <w:highlight w:val="none"/>
          <w:u w:val="single"/>
        </w:rPr>
        <w:t>千分之一</w:t>
      </w:r>
      <w:r>
        <w:rPr>
          <w:rFonts w:hAnsi="宋体"/>
          <w:color w:val="auto"/>
          <w:highlight w:val="none"/>
        </w:rPr>
        <w:t>作为违约金。乙方超过约定日期5个工作日仍不能提供服务的，甲方可解除本合同。乙方因未能如期提供服务或因其他违约行为导致甲方解除合同的，乙方应向甲方支付合同总值</w:t>
      </w:r>
      <w:r>
        <w:rPr>
          <w:rFonts w:hAnsi="宋体"/>
          <w:color w:val="auto"/>
          <w:highlight w:val="none"/>
          <w:u w:val="single"/>
        </w:rPr>
        <w:t>5%</w:t>
      </w:r>
      <w:r>
        <w:rPr>
          <w:rFonts w:hAnsi="宋体"/>
          <w:color w:val="auto"/>
          <w:highlight w:val="none"/>
        </w:rPr>
        <w:t xml:space="preserve">的违约金，如造成甲方损失超过违约金的，超出部分由乙方继续承担赔偿责任。 </w:t>
      </w:r>
    </w:p>
    <w:p w14:paraId="1E422C2E">
      <w:pPr>
        <w:pStyle w:val="22"/>
        <w:snapToGrid w:val="0"/>
        <w:spacing w:before="0" w:beforeLines="0" w:after="0" w:afterLines="0" w:line="360" w:lineRule="auto"/>
        <w:rPr>
          <w:rFonts w:hAnsi="宋体"/>
          <w:color w:val="auto"/>
          <w:highlight w:val="none"/>
        </w:rPr>
      </w:pPr>
      <w:r>
        <w:rPr>
          <w:rFonts w:hAnsi="宋体"/>
          <w:color w:val="auto"/>
          <w:highlight w:val="none"/>
        </w:rPr>
        <w:t>十</w:t>
      </w:r>
      <w:r>
        <w:rPr>
          <w:rFonts w:hint="eastAsia" w:hAnsi="宋体"/>
          <w:color w:val="auto"/>
          <w:highlight w:val="none"/>
          <w:lang w:val="en-US" w:eastAsia="zh-CN"/>
        </w:rPr>
        <w:t>三</w:t>
      </w:r>
      <w:r>
        <w:rPr>
          <w:rFonts w:hAnsi="宋体"/>
          <w:color w:val="auto"/>
          <w:highlight w:val="none"/>
        </w:rPr>
        <w:t>、不可抗力事件处理</w:t>
      </w:r>
    </w:p>
    <w:p w14:paraId="6039DB46">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1．在合同有效期内，任何一方因不可抗力事件导致不能履行合同，双方应通过友好协商，确定是否继续履行合同。</w:t>
      </w:r>
    </w:p>
    <w:p w14:paraId="3F2946D1">
      <w:pPr>
        <w:pStyle w:val="22"/>
        <w:snapToGrid w:val="0"/>
        <w:spacing w:before="0" w:beforeLines="0" w:after="0" w:afterLines="0" w:line="360" w:lineRule="auto"/>
        <w:rPr>
          <w:rFonts w:hAnsi="宋体"/>
          <w:color w:val="auto"/>
          <w:highlight w:val="none"/>
        </w:rPr>
      </w:pPr>
      <w:r>
        <w:rPr>
          <w:rFonts w:hAnsi="宋体"/>
          <w:color w:val="auto"/>
          <w:highlight w:val="none"/>
        </w:rPr>
        <w:t>十</w:t>
      </w:r>
      <w:r>
        <w:rPr>
          <w:rFonts w:hint="eastAsia" w:hAnsi="宋体"/>
          <w:color w:val="auto"/>
          <w:highlight w:val="none"/>
          <w:lang w:val="en-US" w:eastAsia="zh-CN"/>
        </w:rPr>
        <w:t>四</w:t>
      </w:r>
      <w:r>
        <w:rPr>
          <w:rFonts w:hAnsi="宋体"/>
          <w:color w:val="auto"/>
          <w:highlight w:val="none"/>
        </w:rPr>
        <w:t>、解决争议的方法</w:t>
      </w:r>
    </w:p>
    <w:p w14:paraId="3DA210A3">
      <w:pPr>
        <w:pStyle w:val="22"/>
        <w:snapToGrid w:val="0"/>
        <w:spacing w:before="0" w:beforeLines="0" w:after="0" w:afterLines="0" w:line="360" w:lineRule="auto"/>
        <w:ind w:firstLine="482" w:firstLineChars="200"/>
        <w:rPr>
          <w:rFonts w:hAnsi="宋体" w:cs="宋体"/>
          <w:color w:val="auto"/>
          <w:kern w:val="0"/>
          <w:highlight w:val="none"/>
        </w:rPr>
      </w:pPr>
      <w:r>
        <w:rPr>
          <w:rFonts w:hAnsi="宋体" w:cs="宋体"/>
          <w:color w:val="auto"/>
          <w:kern w:val="0"/>
          <w:highlight w:val="none"/>
        </w:rPr>
        <w:t>2. 如双方在履行合同时发生纠纷，应协商解决；协商不成的通过以下第</w:t>
      </w:r>
      <w:r>
        <w:rPr>
          <w:rFonts w:hAnsi="宋体" w:cs="宋体"/>
          <w:color w:val="auto"/>
          <w:kern w:val="0"/>
          <w:highlight w:val="none"/>
          <w:u w:val="single"/>
        </w:rPr>
        <w:t>（2）</w:t>
      </w:r>
      <w:r>
        <w:rPr>
          <w:rFonts w:hAnsi="宋体" w:cs="宋体"/>
          <w:color w:val="auto"/>
          <w:kern w:val="0"/>
          <w:highlight w:val="none"/>
        </w:rPr>
        <w:t>方式解决：</w:t>
      </w:r>
      <w:r>
        <w:rPr>
          <w:rFonts w:hAnsi="宋体" w:cs="宋体"/>
          <w:color w:val="auto"/>
          <w:kern w:val="0"/>
          <w:highlight w:val="none"/>
        </w:rPr>
        <w:br w:type="textWrapping"/>
      </w:r>
      <w:r>
        <w:rPr>
          <w:rFonts w:hAnsi="宋体" w:cs="宋体"/>
          <w:color w:val="auto"/>
          <w:kern w:val="0"/>
          <w:highlight w:val="none"/>
        </w:rPr>
        <w:t xml:space="preserve">  （1） 提交</w:t>
      </w:r>
      <w:r>
        <w:rPr>
          <w:rFonts w:hAnsi="宋体"/>
          <w:color w:val="auto"/>
          <w:highlight w:val="none"/>
          <w:u w:val="single"/>
        </w:rPr>
        <w:t>台州</w:t>
      </w:r>
      <w:r>
        <w:rPr>
          <w:rFonts w:hAnsi="宋体" w:cs="宋体"/>
          <w:color w:val="auto"/>
          <w:kern w:val="0"/>
          <w:highlight w:val="none"/>
        </w:rPr>
        <w:t>仲裁委员会仲裁。</w:t>
      </w:r>
      <w:r>
        <w:rPr>
          <w:rFonts w:hAnsi="宋体" w:cs="宋体"/>
          <w:color w:val="auto"/>
          <w:kern w:val="0"/>
          <w:highlight w:val="none"/>
        </w:rPr>
        <w:br w:type="textWrapping"/>
      </w:r>
      <w:r>
        <w:rPr>
          <w:rFonts w:hAnsi="宋体" w:cs="宋体"/>
          <w:color w:val="auto"/>
          <w:kern w:val="0"/>
          <w:highlight w:val="none"/>
        </w:rPr>
        <w:t xml:space="preserve">  （2） 依法向甲方所在地人民法院提起诉讼。</w:t>
      </w:r>
    </w:p>
    <w:p w14:paraId="6E6C8AB5">
      <w:pPr>
        <w:pStyle w:val="22"/>
        <w:snapToGrid w:val="0"/>
        <w:spacing w:before="0" w:beforeLines="0" w:after="0" w:afterLines="0" w:line="360" w:lineRule="auto"/>
        <w:rPr>
          <w:rFonts w:hAnsi="宋体"/>
          <w:color w:val="auto"/>
          <w:highlight w:val="none"/>
        </w:rPr>
      </w:pPr>
      <w:r>
        <w:rPr>
          <w:rFonts w:hAnsi="宋体"/>
          <w:color w:val="auto"/>
          <w:highlight w:val="none"/>
        </w:rPr>
        <w:t>十五、合同生效及其它</w:t>
      </w:r>
    </w:p>
    <w:p w14:paraId="0E230AE0">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 合同经双方法定代表人或授权代表签字并加盖单位公章后生效。</w:t>
      </w:r>
    </w:p>
    <w:p w14:paraId="6DAF5692">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2. 本合同未尽事宜，遵照《民法典》有关条文执行。</w:t>
      </w:r>
    </w:p>
    <w:p w14:paraId="121DA340">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3. 本合同一式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份。本项目未尽事宜以招标文件、投标文件及澄清文件等为准。</w:t>
      </w:r>
    </w:p>
    <w:p w14:paraId="61EFBD70">
      <w:pPr>
        <w:pStyle w:val="16"/>
        <w:widowControl/>
        <w:spacing w:line="360" w:lineRule="auto"/>
        <w:rPr>
          <w:rFonts w:hint="eastAsia" w:ascii="宋体" w:hAnsi="宋体" w:cs="宋体"/>
          <w:b/>
          <w:color w:val="auto"/>
          <w:sz w:val="24"/>
          <w:highlight w:val="none"/>
        </w:rPr>
      </w:pPr>
    </w:p>
    <w:tbl>
      <w:tblPr>
        <w:tblStyle w:val="41"/>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2060"/>
        <w:gridCol w:w="720"/>
        <w:gridCol w:w="795"/>
        <w:gridCol w:w="915"/>
        <w:gridCol w:w="3890"/>
      </w:tblGrid>
      <w:tr w14:paraId="518CBB8B">
        <w:tblPrEx>
          <w:tblCellMar>
            <w:top w:w="0" w:type="dxa"/>
            <w:left w:w="0" w:type="dxa"/>
            <w:bottom w:w="0" w:type="dxa"/>
            <w:right w:w="0" w:type="dxa"/>
          </w:tblCellMar>
        </w:tblPrEx>
        <w:trPr>
          <w:trHeight w:val="354" w:hRule="atLeast"/>
        </w:trPr>
        <w:tc>
          <w:tcPr>
            <w:tcW w:w="2060" w:type="dxa"/>
            <w:noWrap w:val="0"/>
            <w:vAlign w:val="top"/>
          </w:tcPr>
          <w:p w14:paraId="2721B474">
            <w:pPr>
              <w:pStyle w:val="105"/>
              <w:keepNext w:val="0"/>
              <w:keepLines w:val="0"/>
              <w:suppressLineNumbers w:val="0"/>
              <w:spacing w:before="0" w:beforeAutospacing="0" w:after="0" w:afterAutospacing="0" w:line="334" w:lineRule="exact"/>
              <w:ind w:left="50" w:right="0"/>
              <w:rPr>
                <w:rFonts w:hint="default"/>
                <w:color w:val="auto"/>
                <w:sz w:val="24"/>
                <w:highlight w:val="none"/>
              </w:rPr>
            </w:pPr>
            <w:r>
              <w:rPr>
                <w:rFonts w:hint="eastAsia" w:eastAsia="宋体"/>
                <w:color w:val="auto"/>
                <w:sz w:val="24"/>
                <w:highlight w:val="none"/>
              </w:rPr>
              <w:t>甲</w:t>
            </w:r>
            <w:r>
              <w:rPr>
                <w:rFonts w:hint="default"/>
                <w:color w:val="auto"/>
                <w:sz w:val="24"/>
                <w:highlight w:val="none"/>
              </w:rPr>
              <w:t>方</w:t>
            </w:r>
            <w:r>
              <w:rPr>
                <w:rFonts w:hint="eastAsia"/>
                <w:color w:val="auto"/>
                <w:sz w:val="24"/>
                <w:highlight w:val="none"/>
              </w:rPr>
              <w:t>（公章）</w:t>
            </w:r>
            <w:r>
              <w:rPr>
                <w:rFonts w:hint="default"/>
                <w:color w:val="auto"/>
                <w:sz w:val="24"/>
                <w:highlight w:val="none"/>
              </w:rPr>
              <w:t>：</w:t>
            </w:r>
          </w:p>
        </w:tc>
        <w:tc>
          <w:tcPr>
            <w:tcW w:w="720" w:type="dxa"/>
            <w:noWrap w:val="0"/>
            <w:vAlign w:val="top"/>
          </w:tcPr>
          <w:p w14:paraId="29DBA006">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22BD3A5C">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3DFD2DF2">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7AD93188">
            <w:pPr>
              <w:pStyle w:val="105"/>
              <w:keepNext w:val="0"/>
              <w:keepLines w:val="0"/>
              <w:suppressLineNumbers w:val="0"/>
              <w:spacing w:before="0" w:beforeAutospacing="0" w:after="0" w:afterAutospacing="0" w:line="334" w:lineRule="exact"/>
              <w:ind w:left="0" w:right="0"/>
              <w:rPr>
                <w:rFonts w:hint="default"/>
                <w:color w:val="auto"/>
                <w:sz w:val="24"/>
                <w:highlight w:val="none"/>
              </w:rPr>
            </w:pPr>
            <w:r>
              <w:rPr>
                <w:rFonts w:hint="eastAsia" w:eastAsia="宋体"/>
                <w:color w:val="auto"/>
                <w:sz w:val="24"/>
                <w:highlight w:val="none"/>
              </w:rPr>
              <w:t>乙</w:t>
            </w:r>
            <w:r>
              <w:rPr>
                <w:rFonts w:hint="default"/>
                <w:color w:val="auto"/>
                <w:sz w:val="24"/>
                <w:highlight w:val="none"/>
              </w:rPr>
              <w:t>方</w:t>
            </w:r>
            <w:r>
              <w:rPr>
                <w:rFonts w:hint="eastAsia"/>
                <w:color w:val="auto"/>
                <w:sz w:val="24"/>
                <w:highlight w:val="none"/>
              </w:rPr>
              <w:t>（公章）</w:t>
            </w:r>
            <w:r>
              <w:rPr>
                <w:rFonts w:hint="default"/>
                <w:color w:val="auto"/>
                <w:sz w:val="24"/>
                <w:highlight w:val="none"/>
              </w:rPr>
              <w:t>：</w:t>
            </w:r>
          </w:p>
        </w:tc>
      </w:tr>
      <w:tr w14:paraId="54648939">
        <w:tblPrEx>
          <w:tblCellMar>
            <w:top w:w="0" w:type="dxa"/>
            <w:left w:w="0" w:type="dxa"/>
            <w:bottom w:w="0" w:type="dxa"/>
            <w:right w:w="0" w:type="dxa"/>
          </w:tblCellMar>
        </w:tblPrEx>
        <w:trPr>
          <w:trHeight w:val="467" w:hRule="atLeast"/>
        </w:trPr>
        <w:tc>
          <w:tcPr>
            <w:tcW w:w="2060" w:type="dxa"/>
            <w:noWrap w:val="0"/>
            <w:vAlign w:val="top"/>
          </w:tcPr>
          <w:p w14:paraId="3DB29487">
            <w:pPr>
              <w:pStyle w:val="105"/>
              <w:keepNext w:val="0"/>
              <w:keepLines w:val="0"/>
              <w:suppressLineNumbers w:val="0"/>
              <w:spacing w:before="0" w:beforeAutospacing="0" w:after="0" w:afterAutospacing="0" w:line="448" w:lineRule="exact"/>
              <w:ind w:left="50" w:right="0"/>
              <w:rPr>
                <w:rFonts w:hint="default"/>
                <w:color w:val="auto"/>
                <w:sz w:val="24"/>
                <w:highlight w:val="none"/>
              </w:rPr>
            </w:pPr>
            <w:r>
              <w:rPr>
                <w:rFonts w:hint="default"/>
                <w:color w:val="auto"/>
                <w:sz w:val="24"/>
                <w:highlight w:val="none"/>
              </w:rPr>
              <w:t>地址：</w:t>
            </w:r>
          </w:p>
        </w:tc>
        <w:tc>
          <w:tcPr>
            <w:tcW w:w="720" w:type="dxa"/>
            <w:noWrap w:val="0"/>
            <w:vAlign w:val="top"/>
          </w:tcPr>
          <w:p w14:paraId="4713DD20">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43270331">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35133409">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68038B1C">
            <w:pPr>
              <w:pStyle w:val="105"/>
              <w:keepNext w:val="0"/>
              <w:keepLines w:val="0"/>
              <w:suppressLineNumbers w:val="0"/>
              <w:spacing w:before="0" w:beforeAutospacing="0" w:after="0" w:afterAutospacing="0" w:line="448" w:lineRule="exact"/>
              <w:ind w:left="0" w:right="0"/>
              <w:jc w:val="left"/>
              <w:rPr>
                <w:rFonts w:hint="default"/>
                <w:color w:val="auto"/>
                <w:sz w:val="24"/>
                <w:highlight w:val="none"/>
              </w:rPr>
            </w:pPr>
            <w:r>
              <w:rPr>
                <w:rFonts w:hint="default"/>
                <w:color w:val="auto"/>
                <w:sz w:val="24"/>
                <w:highlight w:val="none"/>
              </w:rPr>
              <w:t>地址：</w:t>
            </w:r>
          </w:p>
        </w:tc>
      </w:tr>
      <w:tr w14:paraId="366B1750">
        <w:tblPrEx>
          <w:tblCellMar>
            <w:top w:w="0" w:type="dxa"/>
            <w:left w:w="0" w:type="dxa"/>
            <w:bottom w:w="0" w:type="dxa"/>
            <w:right w:w="0" w:type="dxa"/>
          </w:tblCellMar>
        </w:tblPrEx>
        <w:trPr>
          <w:trHeight w:val="468" w:hRule="atLeast"/>
        </w:trPr>
        <w:tc>
          <w:tcPr>
            <w:tcW w:w="2060" w:type="dxa"/>
            <w:noWrap w:val="0"/>
            <w:vAlign w:val="top"/>
          </w:tcPr>
          <w:p w14:paraId="705FF600">
            <w:pPr>
              <w:pStyle w:val="105"/>
              <w:keepNext w:val="0"/>
              <w:keepLines w:val="0"/>
              <w:suppressLineNumbers w:val="0"/>
              <w:spacing w:before="0" w:beforeAutospacing="0" w:after="0" w:afterAutospacing="0" w:line="448" w:lineRule="exact"/>
              <w:ind w:left="50" w:right="0"/>
              <w:rPr>
                <w:rFonts w:hint="default"/>
                <w:color w:val="auto"/>
                <w:sz w:val="24"/>
                <w:highlight w:val="none"/>
              </w:rPr>
            </w:pPr>
            <w:r>
              <w:rPr>
                <w:rFonts w:hint="default"/>
                <w:color w:val="auto"/>
                <w:sz w:val="24"/>
                <w:highlight w:val="none"/>
              </w:rPr>
              <w:t>法定代表人</w:t>
            </w:r>
            <w:r>
              <w:rPr>
                <w:rFonts w:hint="eastAsia"/>
                <w:color w:val="auto"/>
                <w:sz w:val="24"/>
                <w:highlight w:val="none"/>
              </w:rPr>
              <w:t>（签字或盖章）</w:t>
            </w:r>
            <w:r>
              <w:rPr>
                <w:rFonts w:hint="default"/>
                <w:color w:val="auto"/>
                <w:sz w:val="24"/>
                <w:highlight w:val="none"/>
              </w:rPr>
              <w:t>：</w:t>
            </w:r>
          </w:p>
        </w:tc>
        <w:tc>
          <w:tcPr>
            <w:tcW w:w="720" w:type="dxa"/>
            <w:noWrap w:val="0"/>
            <w:vAlign w:val="top"/>
          </w:tcPr>
          <w:p w14:paraId="38C1BE59">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2BE8E93D">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596265B4">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4DDC2757">
            <w:pPr>
              <w:pStyle w:val="105"/>
              <w:keepNext w:val="0"/>
              <w:keepLines w:val="0"/>
              <w:suppressLineNumbers w:val="0"/>
              <w:spacing w:before="0" w:beforeAutospacing="0" w:after="0" w:afterAutospacing="0" w:line="448" w:lineRule="exact"/>
              <w:ind w:left="0" w:right="0"/>
              <w:rPr>
                <w:rFonts w:hint="eastAsia"/>
                <w:color w:val="auto"/>
                <w:sz w:val="24"/>
                <w:highlight w:val="none"/>
              </w:rPr>
            </w:pPr>
            <w:r>
              <w:rPr>
                <w:rFonts w:hint="default"/>
                <w:color w:val="auto"/>
                <w:sz w:val="24"/>
                <w:highlight w:val="none"/>
              </w:rPr>
              <w:t>法定代表人（</w:t>
            </w:r>
            <w:r>
              <w:rPr>
                <w:rFonts w:hint="eastAsia"/>
                <w:color w:val="auto"/>
                <w:sz w:val="24"/>
                <w:highlight w:val="none"/>
              </w:rPr>
              <w:t>签字</w:t>
            </w:r>
          </w:p>
          <w:p w14:paraId="4FE47ECD">
            <w:pPr>
              <w:pStyle w:val="105"/>
              <w:keepNext w:val="0"/>
              <w:keepLines w:val="0"/>
              <w:suppressLineNumbers w:val="0"/>
              <w:spacing w:before="0" w:beforeAutospacing="0" w:after="0" w:afterAutospacing="0" w:line="448" w:lineRule="exact"/>
              <w:ind w:left="0" w:right="0"/>
              <w:rPr>
                <w:rFonts w:hint="default"/>
                <w:color w:val="auto"/>
                <w:sz w:val="24"/>
                <w:highlight w:val="none"/>
              </w:rPr>
            </w:pPr>
            <w:r>
              <w:rPr>
                <w:rFonts w:hint="eastAsia"/>
                <w:color w:val="auto"/>
                <w:sz w:val="24"/>
                <w:highlight w:val="none"/>
              </w:rPr>
              <w:t>或盖章）</w:t>
            </w:r>
            <w:r>
              <w:rPr>
                <w:rFonts w:hint="default"/>
                <w:color w:val="auto"/>
                <w:sz w:val="24"/>
                <w:highlight w:val="none"/>
              </w:rPr>
              <w:t>：</w:t>
            </w:r>
          </w:p>
        </w:tc>
      </w:tr>
      <w:tr w14:paraId="06970A74">
        <w:tblPrEx>
          <w:tblCellMar>
            <w:top w:w="0" w:type="dxa"/>
            <w:left w:w="0" w:type="dxa"/>
            <w:bottom w:w="0" w:type="dxa"/>
            <w:right w:w="0" w:type="dxa"/>
          </w:tblCellMar>
        </w:tblPrEx>
        <w:trPr>
          <w:trHeight w:val="468" w:hRule="atLeast"/>
        </w:trPr>
        <w:tc>
          <w:tcPr>
            <w:tcW w:w="2060" w:type="dxa"/>
            <w:noWrap w:val="0"/>
            <w:vAlign w:val="top"/>
          </w:tcPr>
          <w:p w14:paraId="7D0F7EC1">
            <w:pPr>
              <w:pStyle w:val="105"/>
              <w:keepNext w:val="0"/>
              <w:keepLines w:val="0"/>
              <w:suppressLineNumbers w:val="0"/>
              <w:spacing w:before="0" w:beforeAutospacing="0" w:after="0" w:afterAutospacing="0" w:line="448" w:lineRule="exact"/>
              <w:ind w:left="50" w:right="0"/>
              <w:rPr>
                <w:rFonts w:hint="default"/>
                <w:color w:val="auto"/>
                <w:sz w:val="24"/>
                <w:highlight w:val="none"/>
              </w:rPr>
            </w:pPr>
            <w:r>
              <w:rPr>
                <w:rFonts w:hint="default"/>
                <w:color w:val="auto"/>
                <w:sz w:val="24"/>
                <w:highlight w:val="none"/>
              </w:rPr>
              <w:t>联系方式：</w:t>
            </w:r>
          </w:p>
        </w:tc>
        <w:tc>
          <w:tcPr>
            <w:tcW w:w="720" w:type="dxa"/>
            <w:noWrap w:val="0"/>
            <w:vAlign w:val="top"/>
          </w:tcPr>
          <w:p w14:paraId="6C448817">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44C6C922">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2CA751F0">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4446EFBD">
            <w:pPr>
              <w:pStyle w:val="105"/>
              <w:keepNext w:val="0"/>
              <w:keepLines w:val="0"/>
              <w:suppressLineNumbers w:val="0"/>
              <w:spacing w:before="0" w:beforeAutospacing="0" w:after="0" w:afterAutospacing="0" w:line="448" w:lineRule="exact"/>
              <w:ind w:left="0" w:right="0"/>
              <w:rPr>
                <w:rFonts w:hint="default"/>
                <w:color w:val="auto"/>
                <w:sz w:val="24"/>
                <w:highlight w:val="none"/>
              </w:rPr>
            </w:pPr>
            <w:r>
              <w:rPr>
                <w:rFonts w:hint="default"/>
                <w:color w:val="auto"/>
                <w:sz w:val="24"/>
                <w:highlight w:val="none"/>
              </w:rPr>
              <w:t>联系方式：</w:t>
            </w:r>
          </w:p>
        </w:tc>
      </w:tr>
      <w:tr w14:paraId="6E7DB707">
        <w:tblPrEx>
          <w:tblCellMar>
            <w:top w:w="0" w:type="dxa"/>
            <w:left w:w="0" w:type="dxa"/>
            <w:bottom w:w="0" w:type="dxa"/>
            <w:right w:w="0" w:type="dxa"/>
          </w:tblCellMar>
        </w:tblPrEx>
        <w:trPr>
          <w:trHeight w:val="467" w:hRule="atLeast"/>
        </w:trPr>
        <w:tc>
          <w:tcPr>
            <w:tcW w:w="2060" w:type="dxa"/>
            <w:noWrap w:val="0"/>
            <w:vAlign w:val="top"/>
          </w:tcPr>
          <w:p w14:paraId="16E4A569">
            <w:pPr>
              <w:pStyle w:val="105"/>
              <w:keepNext w:val="0"/>
              <w:keepLines w:val="0"/>
              <w:suppressLineNumbers w:val="0"/>
              <w:spacing w:before="0" w:beforeAutospacing="0" w:after="0" w:afterAutospacing="0" w:line="448" w:lineRule="exact"/>
              <w:ind w:left="50" w:right="0"/>
              <w:rPr>
                <w:rFonts w:hint="default"/>
                <w:color w:val="auto"/>
                <w:sz w:val="24"/>
                <w:highlight w:val="none"/>
              </w:rPr>
            </w:pPr>
            <w:r>
              <w:rPr>
                <w:rFonts w:hint="default"/>
                <w:color w:val="auto"/>
                <w:sz w:val="24"/>
                <w:highlight w:val="none"/>
              </w:rPr>
              <w:t>开户行：</w:t>
            </w:r>
          </w:p>
        </w:tc>
        <w:tc>
          <w:tcPr>
            <w:tcW w:w="720" w:type="dxa"/>
            <w:noWrap w:val="0"/>
            <w:vAlign w:val="top"/>
          </w:tcPr>
          <w:p w14:paraId="11AD4F70">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1907EF58">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786D24ED">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78DC9010">
            <w:pPr>
              <w:pStyle w:val="105"/>
              <w:keepNext w:val="0"/>
              <w:keepLines w:val="0"/>
              <w:suppressLineNumbers w:val="0"/>
              <w:spacing w:before="0" w:beforeAutospacing="0" w:after="0" w:afterAutospacing="0" w:line="448" w:lineRule="exact"/>
              <w:ind w:left="0" w:right="0"/>
              <w:rPr>
                <w:rFonts w:hint="default"/>
                <w:color w:val="auto"/>
                <w:sz w:val="24"/>
                <w:highlight w:val="none"/>
              </w:rPr>
            </w:pPr>
            <w:r>
              <w:rPr>
                <w:rFonts w:hint="default"/>
                <w:color w:val="auto"/>
                <w:sz w:val="24"/>
                <w:highlight w:val="none"/>
              </w:rPr>
              <w:t>开户行：</w:t>
            </w:r>
          </w:p>
        </w:tc>
      </w:tr>
      <w:tr w14:paraId="1371D9CA">
        <w:tblPrEx>
          <w:tblCellMar>
            <w:top w:w="0" w:type="dxa"/>
            <w:left w:w="0" w:type="dxa"/>
            <w:bottom w:w="0" w:type="dxa"/>
            <w:right w:w="0" w:type="dxa"/>
          </w:tblCellMar>
        </w:tblPrEx>
        <w:trPr>
          <w:trHeight w:val="468" w:hRule="atLeast"/>
        </w:trPr>
        <w:tc>
          <w:tcPr>
            <w:tcW w:w="2060" w:type="dxa"/>
            <w:noWrap w:val="0"/>
            <w:vAlign w:val="top"/>
          </w:tcPr>
          <w:p w14:paraId="55EEEF29">
            <w:pPr>
              <w:pStyle w:val="105"/>
              <w:keepNext w:val="0"/>
              <w:keepLines w:val="0"/>
              <w:suppressLineNumbers w:val="0"/>
              <w:spacing w:before="0" w:beforeAutospacing="0" w:after="0" w:afterAutospacing="0" w:line="448" w:lineRule="exact"/>
              <w:ind w:left="50" w:right="0"/>
              <w:rPr>
                <w:rFonts w:hint="default"/>
                <w:color w:val="auto"/>
                <w:sz w:val="24"/>
                <w:highlight w:val="none"/>
              </w:rPr>
            </w:pPr>
            <w:r>
              <w:rPr>
                <w:rFonts w:hint="default"/>
                <w:color w:val="auto"/>
                <w:sz w:val="24"/>
                <w:highlight w:val="none"/>
              </w:rPr>
              <w:t>账号：</w:t>
            </w:r>
          </w:p>
        </w:tc>
        <w:tc>
          <w:tcPr>
            <w:tcW w:w="720" w:type="dxa"/>
            <w:noWrap w:val="0"/>
            <w:vAlign w:val="top"/>
          </w:tcPr>
          <w:p w14:paraId="5DA96F62">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72D88EE7">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4CC3893F">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14BEE6AC">
            <w:pPr>
              <w:pStyle w:val="105"/>
              <w:keepNext w:val="0"/>
              <w:keepLines w:val="0"/>
              <w:suppressLineNumbers w:val="0"/>
              <w:spacing w:before="0" w:beforeAutospacing="0" w:after="0" w:afterAutospacing="0" w:line="448" w:lineRule="exact"/>
              <w:ind w:left="0" w:right="0"/>
              <w:rPr>
                <w:rFonts w:hint="default"/>
                <w:color w:val="auto"/>
                <w:sz w:val="24"/>
                <w:highlight w:val="none"/>
              </w:rPr>
            </w:pPr>
            <w:r>
              <w:rPr>
                <w:rFonts w:hint="default"/>
                <w:color w:val="auto"/>
                <w:sz w:val="24"/>
                <w:highlight w:val="none"/>
              </w:rPr>
              <w:t>账号：</w:t>
            </w:r>
          </w:p>
        </w:tc>
      </w:tr>
      <w:tr w14:paraId="5B9AC5CD">
        <w:tblPrEx>
          <w:tblCellMar>
            <w:top w:w="0" w:type="dxa"/>
            <w:left w:w="0" w:type="dxa"/>
            <w:bottom w:w="0" w:type="dxa"/>
            <w:right w:w="0" w:type="dxa"/>
          </w:tblCellMar>
        </w:tblPrEx>
        <w:trPr>
          <w:trHeight w:val="354" w:hRule="atLeast"/>
        </w:trPr>
        <w:tc>
          <w:tcPr>
            <w:tcW w:w="2060" w:type="dxa"/>
            <w:noWrap w:val="0"/>
            <w:vAlign w:val="top"/>
          </w:tcPr>
          <w:p w14:paraId="2389C143">
            <w:pPr>
              <w:pStyle w:val="105"/>
              <w:keepNext w:val="0"/>
              <w:keepLines w:val="0"/>
              <w:suppressLineNumbers w:val="0"/>
              <w:spacing w:before="0" w:beforeAutospacing="0" w:after="0" w:afterAutospacing="0" w:line="334" w:lineRule="exact"/>
              <w:ind w:left="50" w:right="0"/>
              <w:rPr>
                <w:rFonts w:hint="default"/>
                <w:color w:val="auto"/>
                <w:sz w:val="24"/>
                <w:highlight w:val="none"/>
              </w:rPr>
            </w:pPr>
            <w:r>
              <w:rPr>
                <w:rFonts w:hint="default"/>
                <w:color w:val="auto"/>
                <w:sz w:val="24"/>
                <w:highlight w:val="none"/>
              </w:rPr>
              <w:t>签字日期：</w:t>
            </w:r>
          </w:p>
        </w:tc>
        <w:tc>
          <w:tcPr>
            <w:tcW w:w="720" w:type="dxa"/>
            <w:noWrap w:val="0"/>
            <w:vAlign w:val="top"/>
          </w:tcPr>
          <w:p w14:paraId="1EDBAF6F">
            <w:pPr>
              <w:pStyle w:val="105"/>
              <w:keepNext w:val="0"/>
              <w:keepLines w:val="0"/>
              <w:suppressLineNumbers w:val="0"/>
              <w:spacing w:before="0" w:beforeAutospacing="0" w:after="0" w:afterAutospacing="0" w:line="334" w:lineRule="exact"/>
              <w:ind w:left="179" w:right="0"/>
              <w:rPr>
                <w:rFonts w:hint="default"/>
                <w:color w:val="auto"/>
                <w:sz w:val="24"/>
                <w:highlight w:val="none"/>
              </w:rPr>
            </w:pPr>
            <w:r>
              <w:rPr>
                <w:rFonts w:hint="default"/>
                <w:color w:val="auto"/>
                <w:sz w:val="24"/>
                <w:highlight w:val="none"/>
              </w:rPr>
              <w:t>年</w:t>
            </w:r>
          </w:p>
        </w:tc>
        <w:tc>
          <w:tcPr>
            <w:tcW w:w="795" w:type="dxa"/>
            <w:noWrap w:val="0"/>
            <w:vAlign w:val="top"/>
          </w:tcPr>
          <w:p w14:paraId="3968936B">
            <w:pPr>
              <w:pStyle w:val="105"/>
              <w:keepNext w:val="0"/>
              <w:keepLines w:val="0"/>
              <w:suppressLineNumbers w:val="0"/>
              <w:spacing w:before="0" w:beforeAutospacing="0" w:after="0" w:afterAutospacing="0" w:line="334" w:lineRule="exact"/>
              <w:ind w:left="179" w:right="0"/>
              <w:rPr>
                <w:rFonts w:hint="default"/>
                <w:color w:val="auto"/>
                <w:sz w:val="24"/>
                <w:highlight w:val="none"/>
              </w:rPr>
            </w:pPr>
            <w:r>
              <w:rPr>
                <w:rFonts w:hint="default"/>
                <w:color w:val="auto"/>
                <w:sz w:val="24"/>
                <w:highlight w:val="none"/>
              </w:rPr>
              <w:t>月</w:t>
            </w:r>
          </w:p>
        </w:tc>
        <w:tc>
          <w:tcPr>
            <w:tcW w:w="915" w:type="dxa"/>
            <w:noWrap w:val="0"/>
            <w:vAlign w:val="top"/>
          </w:tcPr>
          <w:p w14:paraId="6D90C475">
            <w:pPr>
              <w:pStyle w:val="105"/>
              <w:keepNext w:val="0"/>
              <w:keepLines w:val="0"/>
              <w:suppressLineNumbers w:val="0"/>
              <w:spacing w:before="0" w:beforeAutospacing="0" w:after="0" w:afterAutospacing="0" w:line="334" w:lineRule="exact"/>
              <w:ind w:left="179" w:right="0"/>
              <w:rPr>
                <w:rFonts w:hint="default"/>
                <w:color w:val="auto"/>
                <w:sz w:val="24"/>
                <w:highlight w:val="none"/>
              </w:rPr>
            </w:pPr>
            <w:r>
              <w:rPr>
                <w:rFonts w:hint="default"/>
                <w:color w:val="auto"/>
                <w:sz w:val="24"/>
                <w:highlight w:val="none"/>
              </w:rPr>
              <w:t>日</w:t>
            </w:r>
          </w:p>
        </w:tc>
        <w:tc>
          <w:tcPr>
            <w:tcW w:w="3890" w:type="dxa"/>
            <w:noWrap w:val="0"/>
            <w:vAlign w:val="top"/>
          </w:tcPr>
          <w:p w14:paraId="3E955F8D">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r>
    </w:tbl>
    <w:p w14:paraId="79016D65">
      <w:pPr>
        <w:pStyle w:val="16"/>
        <w:widowControl/>
        <w:spacing w:line="360" w:lineRule="auto"/>
        <w:rPr>
          <w:rFonts w:hint="eastAsia" w:ascii="宋体" w:hAnsi="宋体" w:cs="宋体"/>
          <w:b/>
          <w:color w:val="auto"/>
          <w:sz w:val="24"/>
          <w:highlight w:val="none"/>
        </w:rPr>
      </w:pPr>
    </w:p>
    <w:p w14:paraId="632104E3">
      <w:pPr>
        <w:pStyle w:val="5"/>
        <w:spacing w:line="360" w:lineRule="auto"/>
        <w:jc w:val="center"/>
        <w:rPr>
          <w:rFonts w:hint="eastAsia" w:ascii="宋体" w:hAnsi="宋体" w:cs="宋体"/>
          <w:bCs w:val="0"/>
          <w:color w:val="auto"/>
          <w:szCs w:val="18"/>
          <w:highlight w:val="none"/>
        </w:rPr>
      </w:pPr>
      <w:r>
        <w:rPr>
          <w:rFonts w:hint="eastAsia" w:hAnsi="宋体"/>
          <w:color w:val="auto"/>
          <w:sz w:val="32"/>
          <w:szCs w:val="32"/>
          <w:highlight w:val="none"/>
        </w:rPr>
        <w:br w:type="page"/>
      </w:r>
      <w:r>
        <w:rPr>
          <w:rFonts w:hint="eastAsia" w:ascii="宋体" w:hAnsi="宋体" w:cs="宋体"/>
          <w:color w:val="auto"/>
          <w:highlight w:val="none"/>
        </w:rPr>
        <w:t>项目廉政责任书</w:t>
      </w:r>
    </w:p>
    <w:p w14:paraId="101CE858">
      <w:pPr>
        <w:spacing w:line="360" w:lineRule="auto"/>
        <w:ind w:right="-108"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台州市开发投资集团有限公司国产化适配项目</w:t>
      </w:r>
    </w:p>
    <w:p w14:paraId="58C6F3D0">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项目地址：                                                           </w:t>
      </w:r>
    </w:p>
    <w:p w14:paraId="1CFABC66">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xml:space="preserve">采购单位（甲方）：台州市开发投资集团有限公司                              </w:t>
      </w:r>
    </w:p>
    <w:p w14:paraId="257C6023">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xml:space="preserve">中标单位（乙方）：                                                        </w:t>
      </w:r>
    </w:p>
    <w:p w14:paraId="083CAC49">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为加强采购过程中的廉政建设，规范项目双方的各项活动，防止发生各种谋取不正当利益的违法违纪行为，保护国家、集体和当事人的合法权益，根据国家有关的法律法规和廉政建设责任制规定，特订立本廉政责任书。</w:t>
      </w:r>
    </w:p>
    <w:p w14:paraId="23AD5029">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第一条 甲乙双方的责任</w:t>
      </w:r>
    </w:p>
    <w:p w14:paraId="24445D9A">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（一）应严格遵守国家关于市场准入、项目招标投标、市场活动等有关法律、法规，相关政策，以及廉政建设的各项规定。</w:t>
      </w:r>
    </w:p>
    <w:p w14:paraId="6A4BC70D">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（二）严格执行项目合同文件，自觉按合同办事。</w:t>
      </w:r>
    </w:p>
    <w:p w14:paraId="4358BDF9">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（三）业务活动必须坚持公开、公平、公正、诚信、透明的原则（除法律法规另有规定者外），不得为获取不正当的利益，损害国家、集体和对方利益。</w:t>
      </w:r>
    </w:p>
    <w:p w14:paraId="79FF581F">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（四）发现对方在业务活动中有违规、违纪、违法行为的，应及时提醒对方，情节严重的，应向其上级主管部门或纪检监察、司法等有关机关举报。</w:t>
      </w:r>
    </w:p>
    <w:p w14:paraId="271AB376">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第二条 甲方的责任</w:t>
      </w:r>
    </w:p>
    <w:p w14:paraId="0E652C5C">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甲方的领导和从事该项目的工作人员，在采购的事前、事中、事后应遵守以下规定：</w:t>
      </w:r>
    </w:p>
    <w:p w14:paraId="2E8576BC">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（一）不准向乙方和相关单位索要或接受回扣、礼金、有价证券、贵重物品和好处费、感谢费等。</w:t>
      </w:r>
    </w:p>
    <w:p w14:paraId="0C4C3F7C">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（二）不准在乙方和相关单位报销任何应由甲方或个人支付的费用。</w:t>
      </w:r>
    </w:p>
    <w:p w14:paraId="35C6E51C">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（三）不准要求、暗示和接受乙方和相关单位为个人装修住房、婚丧嫁娶、配偶子女的工作安排以及出国（境）、旅游等提供方便。</w:t>
      </w:r>
    </w:p>
    <w:p w14:paraId="29AE7416">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（四）不准参加有可能影响公正执行公务的乙方和相关单位的宴请和健身、娱乐等活动。</w:t>
      </w:r>
    </w:p>
    <w:p w14:paraId="381DBD82">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（五）不准向乙方介绍或为配偶、子女、亲属参与同甲方项目合同有关的设备、材料、项目分包、劳务等经济活动。不得以任何理由向乙方和相关单位要求购买项目合同规定以外的材料、设备等。</w:t>
      </w:r>
    </w:p>
    <w:p w14:paraId="23A400EE">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第三条 乙方的责任</w:t>
      </w:r>
    </w:p>
    <w:p w14:paraId="7C1225B2">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应与甲方保持正常的业务交往，按照有关法律法规和程序开展业务工作，严格执行项目建设的有关方针、政策，并遵守以下规定：</w:t>
      </w:r>
    </w:p>
    <w:p w14:paraId="058C2050">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（一）不准以任何理由向甲方、相关单位及其工作人员索要、接受或赠送礼金、有价证券、贵重物品和回扣、好处费、感谢费等。</w:t>
      </w:r>
    </w:p>
    <w:p w14:paraId="3A974A67">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（二）不准以任何理由为甲方和相关单位报销应由对方或个人支付的费用。</w:t>
      </w:r>
    </w:p>
    <w:p w14:paraId="62493B19">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（三）不准接受或暗示为甲方、相关单位或个人装修住房、婚丧嫁娶、配偶子女的工作安排以及出国（境）、旅游等提供方便。</w:t>
      </w:r>
    </w:p>
    <w:p w14:paraId="3BB33263">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（四）不准以任何理由为甲方、相关单位或个人组织有可能影响公正执行公务的宴请、健身、娱乐等活动。</w:t>
      </w:r>
    </w:p>
    <w:p w14:paraId="442BF0E8">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第四条 违约责任</w:t>
      </w:r>
    </w:p>
    <w:p w14:paraId="0E3F5CFB">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C37614A">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C840F02">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第五条 本责任书作为合同的附件，与合同具有同等法律效力。经双方签署后立即生效。</w:t>
      </w:r>
    </w:p>
    <w:p w14:paraId="620B5B7E">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第六条 本责任书的有效期为双方签署之日起至该项目验收合格时止。</w:t>
      </w:r>
    </w:p>
    <w:p w14:paraId="32914A70">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第七条 本责任书一式</w:t>
      </w:r>
      <w:r>
        <w:rPr>
          <w:rFonts w:hint="eastAsia" w:ascii="宋体" w:eastAsia="宋体" w:cs="宋体"/>
          <w:b w:val="0"/>
          <w:bCs w:val="0"/>
          <w:color w:val="auto"/>
          <w:szCs w:val="24"/>
          <w:highlight w:val="none"/>
          <w:u w:val="single"/>
        </w:rPr>
        <w:t xml:space="preserve">   </w:t>
      </w:r>
      <w:r>
        <w:rPr>
          <w:rFonts w:hint="eastAsia" w:ascii="宋体" w:eastAsia="宋体" w:cs="宋体"/>
          <w:b w:val="0"/>
          <w:bCs w:val="0"/>
          <w:color w:val="auto"/>
          <w:szCs w:val="24"/>
          <w:highlight w:val="none"/>
        </w:rPr>
        <w:t>份，由甲乙双方各执</w:t>
      </w:r>
      <w:r>
        <w:rPr>
          <w:rFonts w:hint="eastAsia" w:ascii="宋体" w:eastAsia="宋体" w:cs="宋体"/>
          <w:b w:val="0"/>
          <w:bCs w:val="0"/>
          <w:color w:val="auto"/>
          <w:szCs w:val="24"/>
          <w:highlight w:val="none"/>
          <w:u w:val="single"/>
        </w:rPr>
        <w:t xml:space="preserve">   </w:t>
      </w:r>
      <w:r>
        <w:rPr>
          <w:rFonts w:hint="eastAsia" w:ascii="宋体" w:eastAsia="宋体" w:cs="宋体"/>
          <w:b w:val="0"/>
          <w:bCs w:val="0"/>
          <w:color w:val="auto"/>
          <w:szCs w:val="24"/>
          <w:highlight w:val="none"/>
        </w:rPr>
        <w:t>份。</w:t>
      </w:r>
    </w:p>
    <w:p w14:paraId="61A3342A">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甲方单位：（盖章）　　　　　　　　             乙方单位：（盖章）</w:t>
      </w:r>
    </w:p>
    <w:p w14:paraId="4B065289">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法定代表人：　　　　　　　　　               　法定代表人：</w:t>
      </w:r>
    </w:p>
    <w:p w14:paraId="48FD8021">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地址：　　　　　　　　　　　　　               地址：</w:t>
      </w:r>
    </w:p>
    <w:p w14:paraId="3ECFAAB9">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电话：　　　　　　　　　　　　　　　           电话：</w:t>
      </w:r>
    </w:p>
    <w:p w14:paraId="687CBA83">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xml:space="preserve">   年　月　日　　　　　　　　　　　　　         　　年　月　日</w:t>
      </w:r>
    </w:p>
    <w:p w14:paraId="3CCE6224">
      <w:pPr>
        <w:pStyle w:val="16"/>
        <w:widowControl/>
        <w:spacing w:line="360" w:lineRule="auto"/>
        <w:rPr>
          <w:rFonts w:hint="eastAsia" w:ascii="宋体" w:hAnsi="宋体" w:cs="宋体"/>
          <w:b/>
          <w:color w:val="auto"/>
          <w:sz w:val="24"/>
          <w:highlight w:val="none"/>
        </w:rPr>
      </w:pPr>
    </w:p>
    <w:p w14:paraId="6124CF33">
      <w:pPr>
        <w:spacing w:line="400" w:lineRule="exact"/>
        <w:jc w:val="center"/>
        <w:rPr>
          <w:rFonts w:eastAsia="黑体"/>
          <w:b/>
          <w:bCs/>
          <w:color w:val="auto"/>
          <w:sz w:val="32"/>
          <w:highlight w:val="none"/>
        </w:rPr>
      </w:pPr>
      <w:r>
        <w:rPr>
          <w:rFonts w:hint="eastAsia" w:hAnsi="宋体"/>
          <w:color w:val="auto"/>
          <w:sz w:val="32"/>
          <w:szCs w:val="32"/>
          <w:highlight w:val="none"/>
        </w:rPr>
        <w:br w:type="page"/>
      </w:r>
      <w:bookmarkEnd w:id="26"/>
      <w:bookmarkStart w:id="27" w:name="_Toc152045786"/>
      <w:bookmarkStart w:id="28" w:name="_Toc152042575"/>
      <w:bookmarkStart w:id="29" w:name="_Toc144974855"/>
      <w:bookmarkStart w:id="30" w:name="_Toc386005314"/>
      <w:bookmarkStart w:id="31" w:name="_Toc184281693"/>
      <w:bookmarkStart w:id="32" w:name="_Toc184281694"/>
      <w:bookmarkStart w:id="33" w:name="_Toc343495772"/>
      <w:r>
        <w:rPr>
          <w:rFonts w:hint="eastAsia" w:eastAsia="黑体"/>
          <w:color w:val="auto"/>
          <w:sz w:val="32"/>
          <w:highlight w:val="none"/>
        </w:rPr>
        <w:t>第六章投标文件格式</w:t>
      </w:r>
      <w:bookmarkEnd w:id="27"/>
      <w:bookmarkEnd w:id="28"/>
      <w:bookmarkEnd w:id="29"/>
    </w:p>
    <w:p w14:paraId="4DAC4240">
      <w:pPr>
        <w:pStyle w:val="95"/>
        <w:ind w:firstLine="140" w:firstLineChars="50"/>
        <w:jc w:val="left"/>
        <w:rPr>
          <w:color w:val="auto"/>
          <w:highlight w:val="none"/>
        </w:rPr>
      </w:pPr>
      <w:bookmarkStart w:id="34" w:name="_Toc13212"/>
      <w:r>
        <w:rPr>
          <w:rFonts w:hint="eastAsia"/>
          <w:color w:val="auto"/>
          <w:highlight w:val="none"/>
        </w:rPr>
        <w:t>格式一</w:t>
      </w:r>
      <w:bookmarkEnd w:id="34"/>
    </w:p>
    <w:p w14:paraId="42437806">
      <w:pPr>
        <w:spacing w:line="360" w:lineRule="auto"/>
        <w:ind w:firstLine="480"/>
        <w:jc w:val="center"/>
        <w:rPr>
          <w:color w:val="auto"/>
          <w:sz w:val="24"/>
          <w:highlight w:val="none"/>
        </w:rPr>
      </w:pP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06CDDA2B">
      <w:pPr>
        <w:spacing w:line="360" w:lineRule="auto"/>
        <w:jc w:val="center"/>
        <w:rPr>
          <w:b/>
          <w:color w:val="auto"/>
          <w:sz w:val="32"/>
          <w:szCs w:val="32"/>
          <w:highlight w:val="none"/>
        </w:rPr>
      </w:pPr>
      <w:r>
        <w:rPr>
          <w:rFonts w:hint="eastAsia"/>
          <w:b/>
          <w:color w:val="auto"/>
          <w:sz w:val="32"/>
          <w:szCs w:val="32"/>
          <w:highlight w:val="none"/>
        </w:rPr>
        <w:t>诚信投标承诺书</w:t>
      </w:r>
    </w:p>
    <w:p w14:paraId="1F892F93">
      <w:pPr>
        <w:adjustRightInd w:val="0"/>
        <w:snapToGrid w:val="0"/>
        <w:spacing w:line="586" w:lineRule="exact"/>
        <w:ind w:firstLine="624" w:firstLineChars="223"/>
        <w:rPr>
          <w:color w:val="auto"/>
          <w:szCs w:val="28"/>
          <w:highlight w:val="none"/>
        </w:rPr>
      </w:pPr>
      <w:r>
        <w:rPr>
          <w:rFonts w:hint="eastAsia"/>
          <w:color w:val="auto"/>
          <w:szCs w:val="28"/>
          <w:highlight w:val="none"/>
        </w:rPr>
        <w:t>本人以企业法定代表人的身份郑重承诺：</w:t>
      </w:r>
    </w:p>
    <w:p w14:paraId="46945A5E">
      <w:pPr>
        <w:adjustRightInd w:val="0"/>
        <w:snapToGrid w:val="0"/>
        <w:spacing w:line="586" w:lineRule="exact"/>
        <w:ind w:left="599" w:leftChars="214"/>
        <w:jc w:val="left"/>
        <w:rPr>
          <w:color w:val="auto"/>
          <w:szCs w:val="28"/>
          <w:highlight w:val="none"/>
        </w:rPr>
      </w:pPr>
      <w:r>
        <w:rPr>
          <w:rFonts w:hint="eastAsia"/>
          <w:color w:val="auto"/>
          <w:szCs w:val="28"/>
          <w:highlight w:val="none"/>
        </w:rPr>
        <w:t>一、将遵循公开、公平、公正和诚实信用的原则参加</w:t>
      </w:r>
      <w:r>
        <w:rPr>
          <w:color w:val="auto"/>
          <w:szCs w:val="28"/>
          <w:highlight w:val="none"/>
          <w:u w:val="single"/>
        </w:rPr>
        <w:t xml:space="preserve">                  </w:t>
      </w:r>
      <w:r>
        <w:rPr>
          <w:rFonts w:hint="eastAsia"/>
          <w:color w:val="auto"/>
          <w:szCs w:val="28"/>
          <w:highlight w:val="none"/>
        </w:rPr>
        <w:t>（工程项目名称）的投标；</w:t>
      </w:r>
    </w:p>
    <w:p w14:paraId="1FBABA04">
      <w:pPr>
        <w:adjustRightInd w:val="0"/>
        <w:snapToGrid w:val="0"/>
        <w:spacing w:line="586" w:lineRule="exact"/>
        <w:ind w:firstLine="610" w:firstLineChars="218"/>
        <w:rPr>
          <w:color w:val="auto"/>
          <w:szCs w:val="28"/>
          <w:highlight w:val="none"/>
        </w:rPr>
      </w:pPr>
      <w:r>
        <w:rPr>
          <w:rFonts w:hint="eastAsia"/>
          <w:color w:val="auto"/>
          <w:szCs w:val="28"/>
          <w:highlight w:val="none"/>
        </w:rPr>
        <w:t>二、所提供的一切材料都是真实、有效、合法的；</w:t>
      </w:r>
    </w:p>
    <w:p w14:paraId="0F500AF4">
      <w:pPr>
        <w:adjustRightInd w:val="0"/>
        <w:snapToGrid w:val="0"/>
        <w:spacing w:line="586" w:lineRule="exact"/>
        <w:ind w:firstLine="624" w:firstLineChars="223"/>
        <w:rPr>
          <w:color w:val="auto"/>
          <w:szCs w:val="28"/>
          <w:highlight w:val="none"/>
        </w:rPr>
      </w:pPr>
      <w:r>
        <w:rPr>
          <w:rFonts w:hint="eastAsia"/>
          <w:color w:val="auto"/>
          <w:szCs w:val="28"/>
          <w:highlight w:val="none"/>
        </w:rPr>
        <w:t>三、不与其他投标人相互串通投标报价，不排挤其他投标人的公平竞争，不损害招标人或其他投标人的合法权益；</w:t>
      </w:r>
    </w:p>
    <w:p w14:paraId="7513EB51">
      <w:pPr>
        <w:adjustRightInd w:val="0"/>
        <w:snapToGrid w:val="0"/>
        <w:spacing w:line="586" w:lineRule="exact"/>
        <w:ind w:firstLine="646" w:firstLineChars="231"/>
        <w:rPr>
          <w:color w:val="auto"/>
          <w:szCs w:val="28"/>
          <w:highlight w:val="none"/>
        </w:rPr>
      </w:pPr>
      <w:r>
        <w:rPr>
          <w:rFonts w:hint="eastAsia"/>
          <w:color w:val="auto"/>
          <w:szCs w:val="28"/>
          <w:highlight w:val="none"/>
        </w:rPr>
        <w:t>四、不与招标人或招标代理机构串通投标，损害国家利益、社会公共利益或者他人的合法权益；</w:t>
      </w:r>
    </w:p>
    <w:p w14:paraId="0EE9DA40">
      <w:pPr>
        <w:adjustRightInd w:val="0"/>
        <w:snapToGrid w:val="0"/>
        <w:spacing w:line="586" w:lineRule="exact"/>
        <w:ind w:firstLine="646" w:firstLineChars="231"/>
        <w:rPr>
          <w:color w:val="auto"/>
          <w:szCs w:val="28"/>
          <w:highlight w:val="none"/>
        </w:rPr>
      </w:pPr>
      <w:r>
        <w:rPr>
          <w:rFonts w:hint="eastAsia"/>
          <w:color w:val="auto"/>
          <w:szCs w:val="28"/>
          <w:highlight w:val="none"/>
        </w:rPr>
        <w:t>五、不向招标人或者评标委员会成员行贿以牟取中标；</w:t>
      </w:r>
    </w:p>
    <w:p w14:paraId="5F43F95B">
      <w:pPr>
        <w:adjustRightInd w:val="0"/>
        <w:snapToGrid w:val="0"/>
        <w:spacing w:line="586" w:lineRule="exact"/>
        <w:ind w:firstLine="672" w:firstLineChars="240"/>
        <w:rPr>
          <w:color w:val="auto"/>
          <w:szCs w:val="28"/>
          <w:highlight w:val="none"/>
        </w:rPr>
      </w:pPr>
      <w:r>
        <w:rPr>
          <w:rFonts w:hint="eastAsia"/>
          <w:color w:val="auto"/>
          <w:szCs w:val="28"/>
          <w:highlight w:val="none"/>
        </w:rPr>
        <w:t>六、不以他人名义投标或者以其他方式弄虚作假，骗取中标。</w:t>
      </w:r>
    </w:p>
    <w:p w14:paraId="2983A6BC">
      <w:pPr>
        <w:adjustRightInd w:val="0"/>
        <w:snapToGrid w:val="0"/>
        <w:spacing w:line="586" w:lineRule="exact"/>
        <w:ind w:firstLine="672" w:firstLineChars="240"/>
        <w:rPr>
          <w:color w:val="auto"/>
          <w:szCs w:val="28"/>
          <w:highlight w:val="none"/>
        </w:rPr>
      </w:pPr>
      <w:r>
        <w:rPr>
          <w:rFonts w:hint="eastAsia"/>
          <w:color w:val="auto"/>
          <w:szCs w:val="28"/>
          <w:highlight w:val="none"/>
        </w:rPr>
        <w:t>七、本公司（如联合体投标，为联合体双方）的投标资格已按照招标文件约定的逐条自查，并如实填写。如招标人需要调查了解的，本公司负责本次投标的主管人员（分管经营的副总）将积极配合。</w:t>
      </w:r>
    </w:p>
    <w:p w14:paraId="718D8BA7">
      <w:pPr>
        <w:adjustRightInd w:val="0"/>
        <w:snapToGrid w:val="0"/>
        <w:spacing w:line="586" w:lineRule="exact"/>
        <w:ind w:firstLine="672" w:firstLineChars="240"/>
        <w:rPr>
          <w:color w:val="auto"/>
          <w:szCs w:val="28"/>
          <w:highlight w:val="none"/>
          <w:u w:val="single"/>
        </w:rPr>
      </w:pPr>
      <w:r>
        <w:rPr>
          <w:rFonts w:hint="eastAsia"/>
          <w:color w:val="auto"/>
          <w:szCs w:val="28"/>
          <w:highlight w:val="none"/>
        </w:rPr>
        <w:t>投标文件编制人员：</w:t>
      </w:r>
      <w:r>
        <w:rPr>
          <w:rFonts w:hint="eastAsia"/>
          <w:color w:val="auto"/>
          <w:szCs w:val="28"/>
          <w:highlight w:val="none"/>
          <w:u w:val="single"/>
        </w:rPr>
        <w:t xml:space="preserve">        </w:t>
      </w:r>
      <w:r>
        <w:rPr>
          <w:rFonts w:hint="eastAsia"/>
          <w:color w:val="auto"/>
          <w:szCs w:val="28"/>
          <w:highlight w:val="none"/>
        </w:rPr>
        <w:t>，手机号码：</w:t>
      </w:r>
      <w:r>
        <w:rPr>
          <w:rFonts w:hint="eastAsia"/>
          <w:color w:val="auto"/>
          <w:szCs w:val="28"/>
          <w:highlight w:val="none"/>
          <w:u w:val="single"/>
        </w:rPr>
        <w:t xml:space="preserve">         </w:t>
      </w:r>
      <w:r>
        <w:rPr>
          <w:rFonts w:hint="eastAsia"/>
          <w:color w:val="auto"/>
          <w:szCs w:val="28"/>
          <w:highlight w:val="none"/>
        </w:rPr>
        <w:t>。</w:t>
      </w:r>
    </w:p>
    <w:p w14:paraId="5EE44C05">
      <w:pPr>
        <w:adjustRightInd w:val="0"/>
        <w:snapToGrid w:val="0"/>
        <w:spacing w:line="586" w:lineRule="exact"/>
        <w:ind w:firstLine="672" w:firstLineChars="240"/>
        <w:rPr>
          <w:color w:val="auto"/>
          <w:szCs w:val="28"/>
          <w:highlight w:val="none"/>
        </w:rPr>
      </w:pPr>
      <w:r>
        <w:rPr>
          <w:rFonts w:hint="eastAsia"/>
          <w:color w:val="auto"/>
          <w:szCs w:val="28"/>
          <w:highlight w:val="none"/>
        </w:rPr>
        <w:t>本公司若有违反本承诺内容的行为，愿意承担法律责任，并愿意接受招投标行政监督部门的任何处理。如已中标的，自动放弃中标资格；给招标人造成损失的，依法承担赔偿责任。</w:t>
      </w:r>
    </w:p>
    <w:p w14:paraId="118AB34D">
      <w:pPr>
        <w:adjustRightInd w:val="0"/>
        <w:snapToGrid w:val="0"/>
        <w:spacing w:line="586" w:lineRule="exact"/>
        <w:rPr>
          <w:color w:val="auto"/>
          <w:szCs w:val="28"/>
          <w:highlight w:val="none"/>
        </w:rPr>
      </w:pPr>
      <w:r>
        <w:rPr>
          <w:rFonts w:hint="eastAsia"/>
          <w:color w:val="auto"/>
          <w:szCs w:val="28"/>
          <w:highlight w:val="none"/>
        </w:rPr>
        <w:t>法定代表人（签字或盖章）：</w:t>
      </w:r>
    </w:p>
    <w:p w14:paraId="230814E4">
      <w:pPr>
        <w:adjustRightInd w:val="0"/>
        <w:snapToGrid w:val="0"/>
        <w:spacing w:line="586" w:lineRule="exact"/>
        <w:rPr>
          <w:color w:val="auto"/>
          <w:szCs w:val="28"/>
          <w:highlight w:val="none"/>
        </w:rPr>
      </w:pPr>
      <w:r>
        <w:rPr>
          <w:rFonts w:hint="eastAsia"/>
          <w:color w:val="auto"/>
          <w:szCs w:val="28"/>
          <w:highlight w:val="none"/>
        </w:rPr>
        <w:t>投标人（盖章）：</w:t>
      </w:r>
    </w:p>
    <w:p w14:paraId="2CB53F4F">
      <w:pPr>
        <w:spacing w:line="360" w:lineRule="exact"/>
        <w:jc w:val="right"/>
        <w:textAlignment w:val="baseline"/>
        <w:rPr>
          <w:color w:val="auto"/>
          <w:szCs w:val="28"/>
          <w:highlight w:val="none"/>
        </w:rPr>
      </w:pPr>
      <w:r>
        <w:rPr>
          <w:rFonts w:hint="eastAsia"/>
          <w:color w:val="auto"/>
          <w:szCs w:val="28"/>
          <w:highlight w:val="none"/>
        </w:rPr>
        <w:t>年    月    日</w:t>
      </w:r>
    </w:p>
    <w:p w14:paraId="689E8188">
      <w:pPr>
        <w:pStyle w:val="95"/>
        <w:rPr>
          <w:rFonts w:hint="eastAsia"/>
          <w:color w:val="auto"/>
          <w:highlight w:val="none"/>
        </w:rPr>
      </w:pPr>
      <w:bookmarkStart w:id="35" w:name="_Toc1895"/>
      <w:r>
        <w:rPr>
          <w:rFonts w:hint="eastAsia"/>
          <w:color w:val="auto"/>
          <w:highlight w:val="none"/>
        </w:rPr>
        <w:t>格式</w:t>
      </w:r>
      <w:bookmarkEnd w:id="35"/>
      <w:r>
        <w:rPr>
          <w:rFonts w:hint="eastAsia"/>
          <w:color w:val="auto"/>
          <w:highlight w:val="none"/>
        </w:rPr>
        <w:t>二</w:t>
      </w:r>
    </w:p>
    <w:p w14:paraId="56CB493E">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60DAB1EC">
      <w:pPr>
        <w:pStyle w:val="109"/>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类似项目业绩一览表</w:t>
      </w:r>
    </w:p>
    <w:tbl>
      <w:tblPr>
        <w:tblStyle w:val="41"/>
        <w:tblW w:w="907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13"/>
        <w:gridCol w:w="1980"/>
        <w:gridCol w:w="1515"/>
        <w:gridCol w:w="1575"/>
        <w:gridCol w:w="1500"/>
        <w:gridCol w:w="1192"/>
      </w:tblGrid>
      <w:tr w14:paraId="2E9A1E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91" w:hRule="atLeast"/>
          <w:jc w:val="center"/>
        </w:trPr>
        <w:tc>
          <w:tcPr>
            <w:tcW w:w="1313" w:type="dxa"/>
            <w:tcBorders>
              <w:top w:val="single" w:color="auto" w:sz="12" w:space="0"/>
              <w:left w:val="single" w:color="auto" w:sz="12" w:space="0"/>
              <w:bottom w:val="single" w:color="auto" w:sz="8" w:space="0"/>
              <w:right w:val="single" w:color="auto" w:sz="8" w:space="0"/>
            </w:tcBorders>
            <w:noWrap w:val="0"/>
            <w:vAlign w:val="center"/>
          </w:tcPr>
          <w:p w14:paraId="1714A200">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项目名称</w:t>
            </w:r>
          </w:p>
        </w:tc>
        <w:tc>
          <w:tcPr>
            <w:tcW w:w="1980" w:type="dxa"/>
            <w:tcBorders>
              <w:top w:val="single" w:color="auto" w:sz="12" w:space="0"/>
              <w:left w:val="single" w:color="auto" w:sz="8" w:space="0"/>
              <w:bottom w:val="single" w:color="auto" w:sz="8" w:space="0"/>
              <w:right w:val="single" w:color="auto" w:sz="8" w:space="0"/>
            </w:tcBorders>
            <w:noWrap w:val="0"/>
            <w:vAlign w:val="center"/>
          </w:tcPr>
          <w:p w14:paraId="2854F4A5">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ascii="宋体" w:hAnsi="宋体"/>
                <w:color w:val="auto"/>
                <w:spacing w:val="20"/>
                <w:sz w:val="24"/>
                <w:highlight w:val="none"/>
              </w:rPr>
              <w:t>合同</w:t>
            </w:r>
            <w:r>
              <w:rPr>
                <w:rFonts w:hint="eastAsia" w:ascii="宋体" w:hAnsi="宋体"/>
                <w:caps/>
                <w:color w:val="auto"/>
                <w:spacing w:val="20"/>
                <w:sz w:val="24"/>
                <w:highlight w:val="none"/>
              </w:rPr>
              <w:t>名称</w:t>
            </w:r>
          </w:p>
        </w:tc>
        <w:tc>
          <w:tcPr>
            <w:tcW w:w="1515" w:type="dxa"/>
            <w:tcBorders>
              <w:top w:val="single" w:color="auto" w:sz="12" w:space="0"/>
              <w:left w:val="single" w:color="auto" w:sz="8" w:space="0"/>
              <w:bottom w:val="single" w:color="auto" w:sz="8" w:space="0"/>
              <w:right w:val="single" w:color="auto" w:sz="8" w:space="0"/>
            </w:tcBorders>
            <w:noWrap w:val="0"/>
            <w:vAlign w:val="center"/>
          </w:tcPr>
          <w:p w14:paraId="60256B86">
            <w:pPr>
              <w:keepNext w:val="0"/>
              <w:keepLines w:val="0"/>
              <w:suppressLineNumbers w:val="0"/>
              <w:spacing w:before="0" w:beforeAutospacing="0" w:after="0" w:afterAutospacing="0"/>
              <w:ind w:left="0" w:right="0"/>
              <w:jc w:val="center"/>
              <w:rPr>
                <w:rFonts w:hint="default" w:ascii="宋体" w:hAnsi="宋体"/>
                <w:color w:val="auto"/>
                <w:spacing w:val="20"/>
                <w:sz w:val="24"/>
                <w:highlight w:val="none"/>
              </w:rPr>
            </w:pPr>
            <w:r>
              <w:rPr>
                <w:rFonts w:hint="eastAsia" w:ascii="宋体" w:hAnsi="宋体"/>
                <w:color w:val="auto"/>
                <w:spacing w:val="20"/>
                <w:sz w:val="24"/>
                <w:highlight w:val="none"/>
              </w:rPr>
              <w:t>合同金额（元）</w:t>
            </w:r>
          </w:p>
        </w:tc>
        <w:tc>
          <w:tcPr>
            <w:tcW w:w="1575" w:type="dxa"/>
            <w:tcBorders>
              <w:top w:val="single" w:color="auto" w:sz="12" w:space="0"/>
              <w:left w:val="single" w:color="auto" w:sz="8" w:space="0"/>
              <w:bottom w:val="single" w:color="auto" w:sz="8" w:space="0"/>
              <w:right w:val="single" w:color="auto" w:sz="8" w:space="0"/>
            </w:tcBorders>
            <w:noWrap w:val="0"/>
            <w:vAlign w:val="center"/>
          </w:tcPr>
          <w:p w14:paraId="33C16268">
            <w:pPr>
              <w:keepNext w:val="0"/>
              <w:keepLines w:val="0"/>
              <w:suppressLineNumbers w:val="0"/>
              <w:spacing w:before="0" w:beforeAutospacing="0" w:after="0" w:afterAutospacing="0"/>
              <w:ind w:left="-76" w:leftChars="-27" w:right="-87" w:rightChars="-31"/>
              <w:jc w:val="center"/>
              <w:rPr>
                <w:rFonts w:hint="default"/>
                <w:color w:val="auto"/>
                <w:sz w:val="24"/>
                <w:highlight w:val="none"/>
              </w:rPr>
            </w:pPr>
            <w:r>
              <w:rPr>
                <w:rFonts w:hint="eastAsia"/>
                <w:color w:val="auto"/>
                <w:sz w:val="24"/>
                <w:highlight w:val="none"/>
              </w:rPr>
              <w:t>合同签订日期</w:t>
            </w:r>
          </w:p>
        </w:tc>
        <w:tc>
          <w:tcPr>
            <w:tcW w:w="1500" w:type="dxa"/>
            <w:tcBorders>
              <w:top w:val="single" w:color="auto" w:sz="12" w:space="0"/>
              <w:left w:val="single" w:color="auto" w:sz="8" w:space="0"/>
              <w:bottom w:val="single" w:color="auto" w:sz="8" w:space="0"/>
              <w:right w:val="single" w:color="auto" w:sz="8" w:space="0"/>
            </w:tcBorders>
            <w:noWrap w:val="0"/>
            <w:vAlign w:val="center"/>
          </w:tcPr>
          <w:p w14:paraId="4B25E302">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证明材料名称</w:t>
            </w:r>
          </w:p>
        </w:tc>
        <w:tc>
          <w:tcPr>
            <w:tcW w:w="1192" w:type="dxa"/>
            <w:tcBorders>
              <w:top w:val="single" w:color="auto" w:sz="12" w:space="0"/>
              <w:left w:val="single" w:color="auto" w:sz="8" w:space="0"/>
              <w:bottom w:val="single" w:color="auto" w:sz="8" w:space="0"/>
              <w:right w:val="single" w:color="auto" w:sz="12" w:space="0"/>
            </w:tcBorders>
            <w:noWrap w:val="0"/>
            <w:vAlign w:val="center"/>
          </w:tcPr>
          <w:p w14:paraId="2A291FB1">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备注</w:t>
            </w:r>
          </w:p>
        </w:tc>
      </w:tr>
      <w:tr w14:paraId="50EB54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2B2B845C">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10461B9E">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7922408E">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2C35ED2A">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62C4DA79">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65F58CB6">
            <w:pPr>
              <w:keepNext w:val="0"/>
              <w:keepLines w:val="0"/>
              <w:suppressLineNumbers w:val="0"/>
              <w:spacing w:before="0" w:beforeAutospacing="0" w:after="0" w:afterAutospacing="0"/>
              <w:ind w:left="0" w:right="0"/>
              <w:jc w:val="center"/>
              <w:rPr>
                <w:rFonts w:hint="default"/>
                <w:color w:val="auto"/>
                <w:highlight w:val="none"/>
              </w:rPr>
            </w:pPr>
          </w:p>
        </w:tc>
      </w:tr>
      <w:tr w14:paraId="743C11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30375578">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5E0E3E4B">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30CDB93B">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4AF38F77">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333182F3">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1005E2A5">
            <w:pPr>
              <w:keepNext w:val="0"/>
              <w:keepLines w:val="0"/>
              <w:suppressLineNumbers w:val="0"/>
              <w:spacing w:before="0" w:beforeAutospacing="0" w:after="0" w:afterAutospacing="0"/>
              <w:ind w:left="0" w:right="0"/>
              <w:jc w:val="center"/>
              <w:rPr>
                <w:rFonts w:hint="default"/>
                <w:color w:val="auto"/>
                <w:highlight w:val="none"/>
              </w:rPr>
            </w:pPr>
          </w:p>
        </w:tc>
      </w:tr>
      <w:tr w14:paraId="773C3E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326BF086">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3449C619">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2C0D317C">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20E1E96E">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79F2B4FB">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6B3AF751">
            <w:pPr>
              <w:keepNext w:val="0"/>
              <w:keepLines w:val="0"/>
              <w:suppressLineNumbers w:val="0"/>
              <w:spacing w:before="0" w:beforeAutospacing="0" w:after="0" w:afterAutospacing="0"/>
              <w:ind w:left="0" w:right="0"/>
              <w:jc w:val="center"/>
              <w:rPr>
                <w:rFonts w:hint="default"/>
                <w:color w:val="auto"/>
                <w:highlight w:val="none"/>
              </w:rPr>
            </w:pPr>
          </w:p>
        </w:tc>
      </w:tr>
      <w:tr w14:paraId="0D2B92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5593C0EF">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6F100B91">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12D8CDD9">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7AEC057D">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024D24DE">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03592987">
            <w:pPr>
              <w:keepNext w:val="0"/>
              <w:keepLines w:val="0"/>
              <w:suppressLineNumbers w:val="0"/>
              <w:spacing w:before="0" w:beforeAutospacing="0" w:after="0" w:afterAutospacing="0"/>
              <w:ind w:left="0" w:right="0"/>
              <w:jc w:val="center"/>
              <w:rPr>
                <w:rFonts w:hint="default"/>
                <w:color w:val="auto"/>
                <w:highlight w:val="none"/>
              </w:rPr>
            </w:pPr>
          </w:p>
        </w:tc>
      </w:tr>
      <w:tr w14:paraId="0F9A66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6997CF88">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2F3410B2">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57EA715D">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599138F7">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7EA67B35">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0F16E0CB">
            <w:pPr>
              <w:keepNext w:val="0"/>
              <w:keepLines w:val="0"/>
              <w:suppressLineNumbers w:val="0"/>
              <w:spacing w:before="0" w:beforeAutospacing="0" w:after="0" w:afterAutospacing="0"/>
              <w:ind w:left="0" w:right="0"/>
              <w:jc w:val="center"/>
              <w:rPr>
                <w:rFonts w:hint="default"/>
                <w:color w:val="auto"/>
                <w:highlight w:val="none"/>
              </w:rPr>
            </w:pPr>
          </w:p>
        </w:tc>
      </w:tr>
      <w:tr w14:paraId="2620A2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78934149">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19EF53F1">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49CFF4FE">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2606A93C">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1FCC310A">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16D60E53">
            <w:pPr>
              <w:keepNext w:val="0"/>
              <w:keepLines w:val="0"/>
              <w:suppressLineNumbers w:val="0"/>
              <w:spacing w:before="0" w:beforeAutospacing="0" w:after="0" w:afterAutospacing="0"/>
              <w:ind w:left="0" w:right="0"/>
              <w:jc w:val="center"/>
              <w:rPr>
                <w:rFonts w:hint="default"/>
                <w:color w:val="auto"/>
                <w:highlight w:val="none"/>
              </w:rPr>
            </w:pPr>
          </w:p>
        </w:tc>
      </w:tr>
      <w:tr w14:paraId="6B948A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313" w:type="dxa"/>
            <w:tcBorders>
              <w:top w:val="single" w:color="auto" w:sz="8" w:space="0"/>
              <w:left w:val="single" w:color="auto" w:sz="12" w:space="0"/>
              <w:bottom w:val="single" w:color="auto" w:sz="12" w:space="0"/>
              <w:right w:val="single" w:color="auto" w:sz="8" w:space="0"/>
            </w:tcBorders>
            <w:noWrap w:val="0"/>
            <w:vAlign w:val="center"/>
          </w:tcPr>
          <w:p w14:paraId="32505E9D">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12" w:space="0"/>
              <w:right w:val="single" w:color="auto" w:sz="8" w:space="0"/>
            </w:tcBorders>
            <w:noWrap w:val="0"/>
            <w:vAlign w:val="center"/>
          </w:tcPr>
          <w:p w14:paraId="49D3A8F8">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12" w:space="0"/>
              <w:right w:val="single" w:color="auto" w:sz="8" w:space="0"/>
            </w:tcBorders>
            <w:noWrap w:val="0"/>
            <w:vAlign w:val="center"/>
          </w:tcPr>
          <w:p w14:paraId="0C668ECD">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12" w:space="0"/>
              <w:right w:val="single" w:color="auto" w:sz="8" w:space="0"/>
            </w:tcBorders>
            <w:noWrap w:val="0"/>
            <w:vAlign w:val="center"/>
          </w:tcPr>
          <w:p w14:paraId="4AF8F2EC">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12" w:space="0"/>
              <w:right w:val="single" w:color="auto" w:sz="8" w:space="0"/>
            </w:tcBorders>
            <w:noWrap w:val="0"/>
            <w:vAlign w:val="center"/>
          </w:tcPr>
          <w:p w14:paraId="586E3552">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12" w:space="0"/>
              <w:right w:val="single" w:color="auto" w:sz="12" w:space="0"/>
            </w:tcBorders>
            <w:noWrap w:val="0"/>
            <w:vAlign w:val="center"/>
          </w:tcPr>
          <w:p w14:paraId="67DD328F">
            <w:pPr>
              <w:keepNext w:val="0"/>
              <w:keepLines w:val="0"/>
              <w:suppressLineNumbers w:val="0"/>
              <w:spacing w:before="0" w:beforeAutospacing="0" w:after="0" w:afterAutospacing="0"/>
              <w:ind w:left="0" w:right="0"/>
              <w:jc w:val="center"/>
              <w:rPr>
                <w:rFonts w:hint="default"/>
                <w:color w:val="auto"/>
                <w:highlight w:val="none"/>
              </w:rPr>
            </w:pPr>
          </w:p>
        </w:tc>
      </w:tr>
    </w:tbl>
    <w:p w14:paraId="3438AC5C">
      <w:pPr>
        <w:rPr>
          <w:rFonts w:ascii="宋体" w:hAnsi="宋体"/>
          <w:color w:val="auto"/>
          <w:szCs w:val="21"/>
          <w:highlight w:val="none"/>
        </w:rPr>
      </w:pPr>
      <w:r>
        <w:rPr>
          <w:rFonts w:hint="eastAsia" w:ascii="宋体" w:hAnsi="宋体"/>
          <w:color w:val="auto"/>
          <w:szCs w:val="21"/>
          <w:highlight w:val="none"/>
        </w:rPr>
        <w:t>注：（1）以上内容填写必须完整、真实。</w:t>
      </w:r>
    </w:p>
    <w:p w14:paraId="3CD511FE">
      <w:pPr>
        <w:ind w:firstLine="315"/>
        <w:rPr>
          <w:rFonts w:ascii="宋体" w:hAnsi="宋体"/>
          <w:color w:val="auto"/>
          <w:szCs w:val="21"/>
          <w:highlight w:val="none"/>
        </w:rPr>
      </w:pPr>
      <w:r>
        <w:rPr>
          <w:rFonts w:hint="eastAsia" w:ascii="宋体" w:hAnsi="宋体"/>
          <w:color w:val="auto"/>
          <w:szCs w:val="21"/>
          <w:highlight w:val="none"/>
        </w:rPr>
        <w:t>（2）评分以评标办法约定的合格证明材料为准。</w:t>
      </w:r>
    </w:p>
    <w:p w14:paraId="74663FF1">
      <w:pPr>
        <w:ind w:firstLine="315"/>
        <w:rPr>
          <w:rFonts w:hint="eastAsia" w:ascii="宋体" w:hAnsi="宋体"/>
          <w:color w:val="auto"/>
          <w:szCs w:val="21"/>
          <w:highlight w:val="none"/>
        </w:rPr>
      </w:pPr>
      <w:r>
        <w:rPr>
          <w:rFonts w:hint="eastAsia" w:ascii="宋体" w:hAnsi="宋体"/>
          <w:color w:val="auto"/>
          <w:szCs w:val="21"/>
          <w:highlight w:val="none"/>
        </w:rPr>
        <w:t>（3）后附证明材料影印件或扫描件。</w:t>
      </w:r>
    </w:p>
    <w:p w14:paraId="473AE430">
      <w:pPr>
        <w:jc w:val="left"/>
        <w:rPr>
          <w:color w:val="auto"/>
          <w:sz w:val="22"/>
          <w:highlight w:val="none"/>
        </w:rPr>
      </w:pPr>
    </w:p>
    <w:p w14:paraId="6DC47AEC">
      <w:pPr>
        <w:spacing w:line="320" w:lineRule="exact"/>
        <w:rPr>
          <w:rFonts w:ascii="宋体" w:hAnsi="宋体"/>
          <w:color w:val="auto"/>
          <w:sz w:val="24"/>
          <w:highlight w:val="none"/>
        </w:rPr>
      </w:pPr>
    </w:p>
    <w:p w14:paraId="1BC410E8">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59C0F915">
      <w:pPr>
        <w:ind w:firstLine="315"/>
        <w:rPr>
          <w:rFonts w:hint="eastAsia" w:ascii="宋体" w:hAnsi="宋体"/>
          <w:color w:val="auto"/>
          <w:sz w:val="24"/>
          <w:highlight w:val="none"/>
        </w:rPr>
      </w:pPr>
    </w:p>
    <w:p w14:paraId="28929014">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6E3AF27C">
      <w:pPr>
        <w:ind w:firstLine="315"/>
        <w:rPr>
          <w:rFonts w:hint="eastAsia" w:ascii="宋体" w:hAnsi="宋体"/>
          <w:color w:val="auto"/>
          <w:sz w:val="24"/>
          <w:highlight w:val="none"/>
        </w:rPr>
      </w:pPr>
    </w:p>
    <w:p w14:paraId="2DFB876E">
      <w:pPr>
        <w:ind w:firstLine="315"/>
        <w:rPr>
          <w:rFonts w:hint="eastAsia" w:ascii="宋体" w:hAnsi="宋体"/>
          <w:color w:val="auto"/>
          <w:sz w:val="24"/>
          <w:highlight w:val="none"/>
        </w:rPr>
      </w:pPr>
      <w:r>
        <w:rPr>
          <w:rFonts w:hint="eastAsia" w:ascii="宋体" w:hAnsi="宋体"/>
          <w:color w:val="auto"/>
          <w:sz w:val="24"/>
          <w:highlight w:val="none"/>
        </w:rPr>
        <w:t>日期：    年   月   日</w:t>
      </w:r>
    </w:p>
    <w:p w14:paraId="2F061B15">
      <w:pPr>
        <w:pStyle w:val="95"/>
        <w:rPr>
          <w:rFonts w:hint="eastAsia"/>
          <w:color w:val="auto"/>
          <w:highlight w:val="none"/>
        </w:rPr>
        <w:sectPr>
          <w:pgSz w:w="11907" w:h="16840"/>
          <w:pgMar w:top="1417" w:right="1418" w:bottom="1417" w:left="1531" w:header="851" w:footer="992" w:gutter="0"/>
          <w:cols w:space="720" w:num="1"/>
          <w:docGrid w:type="lines" w:linePitch="312" w:charSpace="0"/>
        </w:sectPr>
      </w:pPr>
    </w:p>
    <w:p w14:paraId="1DA956FB">
      <w:pPr>
        <w:pStyle w:val="95"/>
        <w:rPr>
          <w:rFonts w:hint="eastAsia"/>
          <w:color w:val="auto"/>
          <w:highlight w:val="none"/>
        </w:rPr>
      </w:pPr>
      <w:bookmarkStart w:id="36" w:name="_Toc10074"/>
      <w:r>
        <w:rPr>
          <w:rFonts w:hint="eastAsia"/>
          <w:color w:val="auto"/>
          <w:highlight w:val="none"/>
        </w:rPr>
        <w:t>格式</w:t>
      </w:r>
      <w:bookmarkEnd w:id="36"/>
      <w:r>
        <w:rPr>
          <w:rFonts w:hint="eastAsia"/>
          <w:color w:val="auto"/>
          <w:highlight w:val="none"/>
        </w:rPr>
        <w:t>三</w:t>
      </w:r>
    </w:p>
    <w:p w14:paraId="59D2AB01">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398C5977">
      <w:pPr>
        <w:pStyle w:val="30"/>
        <w:adjustRightInd w:val="0"/>
        <w:snapToGrid w:val="0"/>
        <w:spacing w:line="288" w:lineRule="auto"/>
        <w:ind w:left="482" w:hanging="482"/>
        <w:jc w:val="center"/>
        <w:rPr>
          <w:b/>
          <w:color w:val="auto"/>
          <w:sz w:val="24"/>
          <w:highlight w:val="none"/>
        </w:rPr>
      </w:pPr>
      <w:r>
        <w:rPr>
          <w:rFonts w:hint="eastAsia"/>
          <w:b/>
          <w:color w:val="auto"/>
          <w:sz w:val="24"/>
          <w:highlight w:val="none"/>
        </w:rPr>
        <w:t>售后服务网点情况表</w:t>
      </w: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6"/>
        <w:gridCol w:w="1622"/>
        <w:gridCol w:w="540"/>
        <w:gridCol w:w="1326"/>
        <w:gridCol w:w="706"/>
        <w:gridCol w:w="2442"/>
      </w:tblGrid>
      <w:tr w14:paraId="0CC67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4FF2C404">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服务网点名称</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261973D4">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67EF0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7CEDB507">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地址</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2A631752">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7267B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2D9D75AB">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1671B887">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c>
          <w:tcPr>
            <w:tcW w:w="2572" w:type="dxa"/>
            <w:gridSpan w:val="3"/>
            <w:tcBorders>
              <w:top w:val="single" w:color="auto" w:sz="4" w:space="0"/>
              <w:left w:val="single" w:color="auto" w:sz="4" w:space="0"/>
              <w:bottom w:val="single" w:color="auto" w:sz="4" w:space="0"/>
              <w:right w:val="single" w:color="auto" w:sz="4" w:space="0"/>
            </w:tcBorders>
            <w:noWrap w:val="0"/>
            <w:vAlign w:val="center"/>
          </w:tcPr>
          <w:p w14:paraId="33CCC3FC">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其中：投标人出资比例</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7C4A7CB3">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224DE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2AE7363E">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58BE7081">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c>
          <w:tcPr>
            <w:tcW w:w="2572" w:type="dxa"/>
            <w:gridSpan w:val="3"/>
            <w:tcBorders>
              <w:top w:val="single" w:color="auto" w:sz="4" w:space="0"/>
              <w:left w:val="single" w:color="auto" w:sz="4" w:space="0"/>
              <w:bottom w:val="single" w:color="auto" w:sz="4" w:space="0"/>
              <w:right w:val="single" w:color="auto" w:sz="4" w:space="0"/>
            </w:tcBorders>
            <w:noWrap w:val="0"/>
            <w:vAlign w:val="center"/>
          </w:tcPr>
          <w:p w14:paraId="53BCADCC">
            <w:pPr>
              <w:keepNext w:val="0"/>
              <w:keepLines w:val="0"/>
              <w:suppressLineNumbers w:val="0"/>
              <w:adjustRightInd w:val="0"/>
              <w:snapToGrid w:val="0"/>
              <w:spacing w:before="0" w:beforeAutospacing="0" w:after="0" w:afterAutospacing="0" w:line="288" w:lineRule="auto"/>
              <w:ind w:left="120" w:right="0"/>
              <w:jc w:val="left"/>
              <w:rPr>
                <w:rFonts w:hint="default"/>
                <w:color w:val="auto"/>
                <w:sz w:val="24"/>
                <w:highlight w:val="none"/>
              </w:rPr>
            </w:pPr>
            <w:r>
              <w:rPr>
                <w:rFonts w:hint="eastAsia"/>
                <w:color w:val="auto"/>
                <w:sz w:val="24"/>
                <w:highlight w:val="none"/>
              </w:rPr>
              <w:t>其中：技术人员数</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70DD3EC8">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087AE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72450691">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经营期限</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371DD850">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079BB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5DC75AEA">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售后服务内容</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63D1A2CF">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33348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65A53F19">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工作业绩</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262D23CF">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0B0C3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36" w:type="dxa"/>
            <w:tcBorders>
              <w:top w:val="single" w:color="auto" w:sz="4" w:space="0"/>
              <w:left w:val="single" w:color="auto" w:sz="4" w:space="0"/>
              <w:bottom w:val="single" w:color="auto" w:sz="4" w:space="0"/>
              <w:right w:val="single" w:color="auto" w:sz="4" w:space="0"/>
            </w:tcBorders>
            <w:noWrap w:val="0"/>
            <w:vAlign w:val="center"/>
          </w:tcPr>
          <w:p w14:paraId="1DA53F39">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质保期承诺</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393C0FF5">
            <w:pPr>
              <w:keepNext w:val="0"/>
              <w:keepLines w:val="0"/>
              <w:suppressLineNumbers w:val="0"/>
              <w:spacing w:before="0" w:beforeAutospacing="0" w:after="0" w:afterAutospacing="0" w:line="360" w:lineRule="auto"/>
              <w:ind w:left="0" w:right="0"/>
              <w:rPr>
                <w:rFonts w:hint="default"/>
                <w:color w:val="auto"/>
                <w:sz w:val="24"/>
                <w:highlight w:val="none"/>
              </w:rPr>
            </w:pPr>
            <w:r>
              <w:rPr>
                <w:rFonts w:hint="eastAsia"/>
                <w:color w:val="auto"/>
                <w:sz w:val="24"/>
                <w:highlight w:val="none"/>
              </w:rPr>
              <w:t>我单位郑重承诺：</w:t>
            </w:r>
            <w:r>
              <w:rPr>
                <w:rFonts w:hint="eastAsia"/>
                <w:color w:val="auto"/>
                <w:sz w:val="24"/>
                <w:highlight w:val="none"/>
                <w:lang w:eastAsia="zh-CN"/>
              </w:rPr>
              <w:t>台州市开发投资集团有限公司国产化适配项目</w:t>
            </w:r>
            <w:r>
              <w:rPr>
                <w:rFonts w:hint="eastAsia"/>
                <w:color w:val="auto"/>
                <w:sz w:val="24"/>
                <w:highlight w:val="none"/>
              </w:rPr>
              <w:t>的免费质保期为</w:t>
            </w:r>
            <w:r>
              <w:rPr>
                <w:rFonts w:hint="eastAsia"/>
                <w:color w:val="auto"/>
                <w:sz w:val="24"/>
                <w:highlight w:val="none"/>
                <w:u w:val="single"/>
              </w:rPr>
              <w:t xml:space="preserve">       </w:t>
            </w:r>
            <w:r>
              <w:rPr>
                <w:rFonts w:hint="eastAsia"/>
                <w:color w:val="auto"/>
                <w:sz w:val="24"/>
                <w:highlight w:val="none"/>
              </w:rPr>
              <w:t>年，自项目验收合格之日起计。</w:t>
            </w:r>
          </w:p>
        </w:tc>
      </w:tr>
      <w:tr w14:paraId="40BD2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836" w:type="dxa"/>
            <w:tcBorders>
              <w:top w:val="single" w:color="auto" w:sz="4" w:space="0"/>
              <w:left w:val="single" w:color="auto" w:sz="4" w:space="0"/>
              <w:bottom w:val="single" w:color="auto" w:sz="4" w:space="0"/>
              <w:right w:val="single" w:color="auto" w:sz="4" w:space="0"/>
            </w:tcBorders>
            <w:noWrap w:val="0"/>
            <w:vAlign w:val="center"/>
          </w:tcPr>
          <w:p w14:paraId="071C5A2F">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服务承诺</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247AEE4D">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365B6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836" w:type="dxa"/>
            <w:tcBorders>
              <w:top w:val="single" w:color="auto" w:sz="4" w:space="0"/>
              <w:left w:val="single" w:color="auto" w:sz="4" w:space="0"/>
              <w:bottom w:val="single" w:color="auto" w:sz="4" w:space="0"/>
              <w:right w:val="single" w:color="auto" w:sz="4" w:space="0"/>
            </w:tcBorders>
            <w:noWrap w:val="0"/>
            <w:vAlign w:val="center"/>
          </w:tcPr>
          <w:p w14:paraId="0E8CA3BE">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center"/>
          </w:tcPr>
          <w:p w14:paraId="3AA1F48E">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center"/>
          </w:tcPr>
          <w:p w14:paraId="33BCF87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4"/>
                <w:highlight w:val="none"/>
              </w:rPr>
            </w:pPr>
            <w:r>
              <w:rPr>
                <w:rFonts w:hint="eastAsia"/>
                <w:color w:val="auto"/>
                <w:sz w:val="24"/>
                <w:highlight w:val="none"/>
              </w:rPr>
              <w:t>传 真</w:t>
            </w:r>
          </w:p>
        </w:tc>
        <w:tc>
          <w:tcPr>
            <w:tcW w:w="3148" w:type="dxa"/>
            <w:gridSpan w:val="2"/>
            <w:tcBorders>
              <w:top w:val="single" w:color="auto" w:sz="4" w:space="0"/>
              <w:left w:val="single" w:color="auto" w:sz="2" w:space="0"/>
              <w:bottom w:val="single" w:color="auto" w:sz="4" w:space="0"/>
              <w:right w:val="single" w:color="auto" w:sz="2" w:space="0"/>
            </w:tcBorders>
            <w:noWrap w:val="0"/>
            <w:vAlign w:val="center"/>
          </w:tcPr>
          <w:p w14:paraId="37E1CAA5">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2626E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836" w:type="dxa"/>
            <w:tcBorders>
              <w:top w:val="single" w:color="auto" w:sz="4" w:space="0"/>
              <w:left w:val="single" w:color="auto" w:sz="4" w:space="0"/>
              <w:bottom w:val="single" w:color="auto" w:sz="4" w:space="0"/>
              <w:right w:val="single" w:color="auto" w:sz="4" w:space="0"/>
            </w:tcBorders>
            <w:noWrap w:val="0"/>
            <w:vAlign w:val="center"/>
          </w:tcPr>
          <w:p w14:paraId="3B21DE3D">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center"/>
          </w:tcPr>
          <w:p w14:paraId="628FA112">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center"/>
          </w:tcPr>
          <w:p w14:paraId="0DE835F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4"/>
                <w:highlight w:val="none"/>
              </w:rPr>
            </w:pPr>
            <w:r>
              <w:rPr>
                <w:rFonts w:hint="eastAsia"/>
                <w:color w:val="auto"/>
                <w:sz w:val="24"/>
                <w:highlight w:val="none"/>
              </w:rPr>
              <w:t>联系电话</w:t>
            </w:r>
          </w:p>
        </w:tc>
        <w:tc>
          <w:tcPr>
            <w:tcW w:w="3148" w:type="dxa"/>
            <w:gridSpan w:val="2"/>
            <w:tcBorders>
              <w:top w:val="single" w:color="auto" w:sz="4" w:space="0"/>
              <w:left w:val="single" w:color="auto" w:sz="2" w:space="0"/>
              <w:bottom w:val="single" w:color="auto" w:sz="4" w:space="0"/>
              <w:right w:val="single" w:color="auto" w:sz="4" w:space="0"/>
            </w:tcBorders>
            <w:noWrap w:val="0"/>
            <w:vAlign w:val="center"/>
          </w:tcPr>
          <w:p w14:paraId="2BC880AD">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bl>
    <w:p w14:paraId="26ABE767">
      <w:pPr>
        <w:pStyle w:val="30"/>
        <w:adjustRightInd w:val="0"/>
        <w:snapToGrid w:val="0"/>
        <w:spacing w:line="288" w:lineRule="auto"/>
        <w:ind w:left="199" w:hanging="199" w:hangingChars="83"/>
        <w:rPr>
          <w:color w:val="auto"/>
          <w:sz w:val="24"/>
          <w:highlight w:val="none"/>
        </w:rPr>
      </w:pPr>
    </w:p>
    <w:p w14:paraId="7FDC332C">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580B21C0">
      <w:pPr>
        <w:ind w:firstLine="315"/>
        <w:rPr>
          <w:rFonts w:hint="eastAsia" w:ascii="宋体" w:hAnsi="宋体"/>
          <w:color w:val="auto"/>
          <w:sz w:val="24"/>
          <w:highlight w:val="none"/>
        </w:rPr>
      </w:pPr>
    </w:p>
    <w:p w14:paraId="560231EC">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6C4ED052">
      <w:pPr>
        <w:ind w:firstLine="315"/>
        <w:rPr>
          <w:rFonts w:hint="eastAsia" w:ascii="宋体" w:hAnsi="宋体"/>
          <w:color w:val="auto"/>
          <w:sz w:val="24"/>
          <w:highlight w:val="none"/>
        </w:rPr>
      </w:pPr>
    </w:p>
    <w:p w14:paraId="4EFFC597">
      <w:pPr>
        <w:ind w:firstLine="315"/>
        <w:rPr>
          <w:rFonts w:hint="eastAsia" w:ascii="宋体" w:hAnsi="宋体"/>
          <w:color w:val="auto"/>
          <w:sz w:val="24"/>
          <w:highlight w:val="none"/>
        </w:rPr>
      </w:pPr>
      <w:r>
        <w:rPr>
          <w:rFonts w:hint="eastAsia" w:ascii="宋体" w:hAnsi="宋体"/>
          <w:color w:val="auto"/>
          <w:sz w:val="24"/>
          <w:highlight w:val="none"/>
        </w:rPr>
        <w:t>日期：    年   月   日</w:t>
      </w:r>
    </w:p>
    <w:p w14:paraId="41E1F951">
      <w:pPr>
        <w:widowControl/>
        <w:jc w:val="left"/>
        <w:rPr>
          <w:color w:val="auto"/>
          <w:highlight w:val="none"/>
        </w:rPr>
      </w:pPr>
      <w:r>
        <w:rPr>
          <w:color w:val="auto"/>
          <w:sz w:val="24"/>
          <w:highlight w:val="none"/>
        </w:rPr>
        <w:br w:type="page"/>
      </w:r>
      <w:r>
        <w:rPr>
          <w:rFonts w:hint="eastAsia" w:eastAsia="黑体" w:cs="宋体"/>
          <w:color w:val="auto"/>
          <w:szCs w:val="20"/>
          <w:highlight w:val="none"/>
        </w:rPr>
        <w:t>格式四</w:t>
      </w:r>
    </w:p>
    <w:p w14:paraId="6189B4C6">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7E2B7D03">
      <w:pPr>
        <w:spacing w:line="360" w:lineRule="auto"/>
        <w:ind w:left="480"/>
        <w:jc w:val="center"/>
        <w:rPr>
          <w:rFonts w:ascii="宋体" w:hAnsi="宋体"/>
          <w:b/>
          <w:color w:val="auto"/>
          <w:sz w:val="32"/>
          <w:szCs w:val="32"/>
          <w:highlight w:val="none"/>
        </w:rPr>
      </w:pPr>
      <w:r>
        <w:rPr>
          <w:rFonts w:ascii="宋体" w:hAnsi="宋体"/>
          <w:b/>
          <w:color w:val="auto"/>
          <w:sz w:val="32"/>
          <w:szCs w:val="32"/>
          <w:highlight w:val="none"/>
        </w:rPr>
        <w:t>技术</w:t>
      </w:r>
      <w:r>
        <w:rPr>
          <w:rFonts w:hint="eastAsia" w:ascii="宋体" w:hAnsi="宋体"/>
          <w:b/>
          <w:color w:val="auto"/>
          <w:sz w:val="32"/>
          <w:szCs w:val="32"/>
          <w:highlight w:val="none"/>
        </w:rPr>
        <w:t>需求</w:t>
      </w:r>
      <w:r>
        <w:rPr>
          <w:rFonts w:ascii="宋体" w:hAnsi="宋体"/>
          <w:b/>
          <w:color w:val="auto"/>
          <w:sz w:val="32"/>
          <w:szCs w:val="32"/>
          <w:highlight w:val="none"/>
        </w:rPr>
        <w:t>响应表</w:t>
      </w:r>
    </w:p>
    <w:p w14:paraId="2D021BB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在投标时应对于该部分给予充分的考虑。为了招标人评议的需要，投标人应将这些条款的任何偏差逐条提出或根据以下要求的格式提出偏差。未在此附件中写明的任何偏差，均按投标人响应了投标文件相应部分的要求。</w:t>
      </w:r>
    </w:p>
    <w:tbl>
      <w:tblPr>
        <w:tblStyle w:val="4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60"/>
        <w:gridCol w:w="1620"/>
        <w:gridCol w:w="1980"/>
        <w:gridCol w:w="1620"/>
      </w:tblGrid>
      <w:tr w14:paraId="06C3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double" w:color="auto" w:sz="2" w:space="0"/>
              <w:left w:val="double" w:color="auto" w:sz="2" w:space="0"/>
              <w:bottom w:val="single" w:color="auto" w:sz="4" w:space="0"/>
              <w:right w:val="single" w:color="auto" w:sz="4" w:space="0"/>
            </w:tcBorders>
            <w:noWrap w:val="0"/>
            <w:vAlign w:val="center"/>
          </w:tcPr>
          <w:p w14:paraId="260E5034">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highlight w:val="none"/>
              </w:rPr>
              <w:t>章 节 号</w:t>
            </w:r>
          </w:p>
        </w:tc>
        <w:tc>
          <w:tcPr>
            <w:tcW w:w="2160" w:type="dxa"/>
            <w:tcBorders>
              <w:top w:val="double" w:color="auto" w:sz="2" w:space="0"/>
              <w:left w:val="nil"/>
              <w:bottom w:val="single" w:color="auto" w:sz="4" w:space="0"/>
              <w:right w:val="single" w:color="auto" w:sz="4" w:space="0"/>
            </w:tcBorders>
            <w:noWrap w:val="0"/>
            <w:vAlign w:val="center"/>
          </w:tcPr>
          <w:p w14:paraId="47EE36BE">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highlight w:val="none"/>
              </w:rPr>
              <w:t>招标文件技术要求</w:t>
            </w:r>
          </w:p>
        </w:tc>
        <w:tc>
          <w:tcPr>
            <w:tcW w:w="1620" w:type="dxa"/>
            <w:tcBorders>
              <w:top w:val="double" w:color="auto" w:sz="2" w:space="0"/>
              <w:left w:val="nil"/>
              <w:bottom w:val="single" w:color="auto" w:sz="4" w:space="0"/>
              <w:right w:val="single" w:color="auto" w:sz="4" w:space="0"/>
            </w:tcBorders>
            <w:noWrap w:val="0"/>
            <w:vAlign w:val="center"/>
          </w:tcPr>
          <w:p w14:paraId="05ECC113">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highlight w:val="none"/>
              </w:rPr>
              <w:t>投标人的偏差</w:t>
            </w:r>
          </w:p>
        </w:tc>
        <w:tc>
          <w:tcPr>
            <w:tcW w:w="1980" w:type="dxa"/>
            <w:tcBorders>
              <w:top w:val="double" w:color="auto" w:sz="2" w:space="0"/>
              <w:left w:val="nil"/>
              <w:bottom w:val="single" w:color="auto" w:sz="4" w:space="0"/>
              <w:right w:val="single" w:color="auto" w:sz="4" w:space="0"/>
            </w:tcBorders>
            <w:noWrap w:val="0"/>
            <w:vAlign w:val="center"/>
          </w:tcPr>
          <w:p w14:paraId="759BFC8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highlight w:val="none"/>
              </w:rPr>
              <w:t>投标人偏差的理由</w:t>
            </w:r>
          </w:p>
        </w:tc>
        <w:tc>
          <w:tcPr>
            <w:tcW w:w="1620" w:type="dxa"/>
            <w:tcBorders>
              <w:top w:val="double" w:color="auto" w:sz="2" w:space="0"/>
              <w:left w:val="nil"/>
              <w:bottom w:val="single" w:color="auto" w:sz="4" w:space="0"/>
              <w:right w:val="double" w:color="auto" w:sz="2" w:space="0"/>
            </w:tcBorders>
            <w:noWrap w:val="0"/>
            <w:vAlign w:val="center"/>
          </w:tcPr>
          <w:p w14:paraId="0B78E5E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highlight w:val="none"/>
              </w:rPr>
              <w:t>备    注</w:t>
            </w:r>
          </w:p>
        </w:tc>
      </w:tr>
      <w:tr w14:paraId="6D0B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74ED87AA">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59C50E3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398ECE41">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6936EAD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766A291F">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6349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7449F2A3">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4C9BA416">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2B110F2B">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35C5A6D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60A81AC6">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2C93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1AC1D2CC">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0BFD4DC2">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71252C65">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5FBAB3A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0CD88E7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103E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773561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3E312447">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040BD58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7A4FAFA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514972C5">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1452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10BC10F">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0F9DBFBA">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2C292C42">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1239D0A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635D448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7C2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double" w:color="auto" w:sz="2" w:space="0"/>
              <w:right w:val="single" w:color="auto" w:sz="4" w:space="0"/>
            </w:tcBorders>
            <w:noWrap w:val="0"/>
            <w:vAlign w:val="center"/>
          </w:tcPr>
          <w:p w14:paraId="3CDDC611">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double" w:color="auto" w:sz="2" w:space="0"/>
              <w:right w:val="single" w:color="auto" w:sz="4" w:space="0"/>
            </w:tcBorders>
            <w:noWrap w:val="0"/>
            <w:vAlign w:val="center"/>
          </w:tcPr>
          <w:p w14:paraId="0873D24F">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double" w:color="auto" w:sz="2" w:space="0"/>
              <w:right w:val="single" w:color="auto" w:sz="4" w:space="0"/>
            </w:tcBorders>
            <w:noWrap w:val="0"/>
            <w:vAlign w:val="center"/>
          </w:tcPr>
          <w:p w14:paraId="1FF825F1">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double" w:color="auto" w:sz="2" w:space="0"/>
              <w:right w:val="single" w:color="auto" w:sz="4" w:space="0"/>
            </w:tcBorders>
            <w:noWrap w:val="0"/>
            <w:vAlign w:val="center"/>
          </w:tcPr>
          <w:p w14:paraId="4210A0AE">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double" w:color="auto" w:sz="2" w:space="0"/>
              <w:right w:val="double" w:color="auto" w:sz="2" w:space="0"/>
            </w:tcBorders>
            <w:noWrap w:val="0"/>
            <w:vAlign w:val="center"/>
          </w:tcPr>
          <w:p w14:paraId="0F0B6271">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bl>
    <w:p w14:paraId="77995478">
      <w:pPr>
        <w:spacing w:line="360" w:lineRule="auto"/>
        <w:rPr>
          <w:rFonts w:ascii="宋体" w:hAnsi="宋体"/>
          <w:color w:val="auto"/>
          <w:sz w:val="24"/>
          <w:highlight w:val="none"/>
        </w:rPr>
      </w:pPr>
      <w:r>
        <w:rPr>
          <w:rFonts w:hint="eastAsia" w:ascii="宋体" w:hAnsi="宋体"/>
          <w:color w:val="auto"/>
          <w:sz w:val="24"/>
          <w:highlight w:val="none"/>
        </w:rPr>
        <w:t>注：如本页未填写或未提供，均视为完全满足采购文件要求，无偏差。</w:t>
      </w:r>
    </w:p>
    <w:p w14:paraId="5AC61F23">
      <w:pPr>
        <w:spacing w:line="360" w:lineRule="auto"/>
        <w:rPr>
          <w:rFonts w:ascii="宋体" w:hAnsi="宋体"/>
          <w:color w:val="auto"/>
          <w:sz w:val="24"/>
          <w:highlight w:val="none"/>
        </w:rPr>
      </w:pPr>
      <w:r>
        <w:rPr>
          <w:rFonts w:hint="eastAsia" w:ascii="宋体" w:hAnsi="宋体"/>
          <w:color w:val="auto"/>
          <w:sz w:val="24"/>
          <w:highlight w:val="none"/>
        </w:rPr>
        <w:t xml:space="preserve"> </w:t>
      </w:r>
    </w:p>
    <w:p w14:paraId="5CF7104F">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5F2992B4">
      <w:pPr>
        <w:ind w:firstLine="315"/>
        <w:rPr>
          <w:rFonts w:hint="eastAsia" w:ascii="宋体" w:hAnsi="宋体"/>
          <w:color w:val="auto"/>
          <w:sz w:val="24"/>
          <w:highlight w:val="none"/>
        </w:rPr>
      </w:pPr>
    </w:p>
    <w:p w14:paraId="2B67BA7F">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24D7D361">
      <w:pPr>
        <w:ind w:firstLine="315"/>
        <w:rPr>
          <w:rFonts w:hint="eastAsia" w:ascii="宋体" w:hAnsi="宋体"/>
          <w:color w:val="auto"/>
          <w:sz w:val="24"/>
          <w:highlight w:val="none"/>
        </w:rPr>
      </w:pPr>
    </w:p>
    <w:p w14:paraId="6DB84A89">
      <w:pPr>
        <w:ind w:firstLine="315"/>
        <w:rPr>
          <w:rFonts w:eastAsia="黑体" w:cs="宋体"/>
          <w:color w:val="auto"/>
          <w:szCs w:val="20"/>
          <w:highlight w:val="none"/>
        </w:rPr>
        <w:sectPr>
          <w:pgSz w:w="11907" w:h="16840"/>
          <w:pgMar w:top="1417" w:right="1418" w:bottom="1417" w:left="1531" w:header="851" w:footer="992" w:gutter="0"/>
          <w:cols w:space="720" w:num="1"/>
          <w:docGrid w:type="lines" w:linePitch="312" w:charSpace="0"/>
        </w:sectPr>
      </w:pPr>
      <w:r>
        <w:rPr>
          <w:rFonts w:hint="eastAsia" w:ascii="宋体" w:hAnsi="宋体"/>
          <w:color w:val="auto"/>
          <w:sz w:val="24"/>
          <w:highlight w:val="none"/>
        </w:rPr>
        <w:t>日期：    年   月   日</w:t>
      </w:r>
    </w:p>
    <w:p w14:paraId="33C58638">
      <w:pPr>
        <w:pStyle w:val="95"/>
        <w:rPr>
          <w:rFonts w:hint="eastAsia"/>
          <w:color w:val="auto"/>
          <w:highlight w:val="none"/>
          <w:u w:val="single"/>
        </w:rPr>
      </w:pPr>
      <w:bookmarkStart w:id="37" w:name="_Toc15662"/>
      <w:r>
        <w:rPr>
          <w:rFonts w:hint="eastAsia"/>
          <w:color w:val="auto"/>
          <w:highlight w:val="none"/>
        </w:rPr>
        <w:t>格式</w:t>
      </w:r>
      <w:bookmarkEnd w:id="37"/>
      <w:r>
        <w:rPr>
          <w:rFonts w:hint="eastAsia"/>
          <w:color w:val="auto"/>
          <w:highlight w:val="none"/>
        </w:rPr>
        <w:t>五</w:t>
      </w:r>
    </w:p>
    <w:p w14:paraId="5D5D82CF">
      <w:pPr>
        <w:jc w:val="center"/>
        <w:rPr>
          <w:rFonts w:hint="default" w:eastAsia="宋体"/>
          <w:b/>
          <w:bCs w:val="0"/>
          <w:color w:val="auto"/>
          <w:sz w:val="30"/>
          <w:szCs w:val="30"/>
          <w:highlight w:val="none"/>
          <w:lang w:val="en-US" w:eastAsia="zh-CN"/>
        </w:rPr>
      </w:pPr>
      <w:r>
        <w:rPr>
          <w:rFonts w:hint="eastAsia"/>
          <w:b/>
          <w:bCs w:val="0"/>
          <w:color w:val="auto"/>
          <w:sz w:val="30"/>
          <w:szCs w:val="30"/>
          <w:highlight w:val="none"/>
          <w:lang w:val="en-US" w:eastAsia="zh-CN"/>
        </w:rPr>
        <w:t>开标一览表</w:t>
      </w:r>
    </w:p>
    <w:p w14:paraId="601A2ED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台州市开发投资集团有限公司</w:t>
      </w:r>
      <w:r>
        <w:rPr>
          <w:rFonts w:hint="eastAsia" w:ascii="宋体" w:hAnsi="宋体" w:cs="宋体"/>
          <w:color w:val="auto"/>
          <w:kern w:val="0"/>
          <w:sz w:val="24"/>
          <w:highlight w:val="none"/>
          <w:lang w:val="zh-CN"/>
        </w:rPr>
        <w:t>：</w:t>
      </w:r>
    </w:p>
    <w:p w14:paraId="78CF7F85">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18F840F">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41"/>
        <w:tblpPr w:leftFromText="180" w:rightFromText="180" w:vertAnchor="text" w:horzAnchor="page" w:tblpX="1805" w:tblpY="456"/>
        <w:tblOverlap w:val="never"/>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537"/>
        <w:gridCol w:w="649"/>
        <w:gridCol w:w="649"/>
        <w:gridCol w:w="1339"/>
        <w:gridCol w:w="1591"/>
        <w:gridCol w:w="1375"/>
      </w:tblGrid>
      <w:tr w14:paraId="5E6C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44" w:type="pct"/>
            <w:vAlign w:val="center"/>
          </w:tcPr>
          <w:p w14:paraId="2074723B">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val="en-US" w:eastAsia="zh-CN"/>
              </w:rPr>
              <w:t>序号</w:t>
            </w:r>
          </w:p>
        </w:tc>
        <w:tc>
          <w:tcPr>
            <w:tcW w:w="1419" w:type="pct"/>
            <w:vAlign w:val="center"/>
          </w:tcPr>
          <w:p w14:paraId="0793EDD1">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项目名称</w:t>
            </w:r>
          </w:p>
        </w:tc>
        <w:tc>
          <w:tcPr>
            <w:tcW w:w="363" w:type="pct"/>
            <w:vAlign w:val="center"/>
          </w:tcPr>
          <w:p w14:paraId="0826B950">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数量</w:t>
            </w:r>
          </w:p>
        </w:tc>
        <w:tc>
          <w:tcPr>
            <w:tcW w:w="363" w:type="pct"/>
            <w:vAlign w:val="center"/>
          </w:tcPr>
          <w:p w14:paraId="61C517F4">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单位</w:t>
            </w:r>
          </w:p>
        </w:tc>
        <w:tc>
          <w:tcPr>
            <w:tcW w:w="749" w:type="pct"/>
            <w:vAlign w:val="center"/>
          </w:tcPr>
          <w:p w14:paraId="07CE0511">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合计</w:t>
            </w:r>
          </w:p>
        </w:tc>
        <w:tc>
          <w:tcPr>
            <w:tcW w:w="890" w:type="pct"/>
            <w:vAlign w:val="center"/>
          </w:tcPr>
          <w:p w14:paraId="4B452584">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sz w:val="21"/>
                <w:szCs w:val="21"/>
                <w:highlight w:val="none"/>
              </w:rPr>
              <w:t>最高限价</w:t>
            </w:r>
            <w:r>
              <w:rPr>
                <w:rFonts w:hint="default" w:ascii="宋体" w:hAnsi="宋体" w:eastAsia="宋体" w:cs="Times New Roman"/>
                <w:b/>
                <w:bCs/>
                <w:color w:val="auto"/>
                <w:sz w:val="21"/>
                <w:szCs w:val="21"/>
                <w:highlight w:val="none"/>
                <w:lang w:eastAsia="zh-CN"/>
              </w:rPr>
              <w:t>（</w:t>
            </w:r>
            <w:r>
              <w:rPr>
                <w:rFonts w:hint="default" w:ascii="宋体" w:hAnsi="宋体" w:eastAsia="宋体" w:cs="Times New Roman"/>
                <w:b/>
                <w:bCs/>
                <w:color w:val="auto"/>
                <w:sz w:val="21"/>
                <w:szCs w:val="21"/>
                <w:highlight w:val="none"/>
                <w:lang w:val="en-US" w:eastAsia="zh-CN"/>
              </w:rPr>
              <w:t>总价</w:t>
            </w:r>
            <w:r>
              <w:rPr>
                <w:rFonts w:hint="default" w:ascii="宋体" w:hAnsi="宋体" w:eastAsia="宋体" w:cs="Times New Roman"/>
                <w:b/>
                <w:bCs/>
                <w:color w:val="auto"/>
                <w:sz w:val="21"/>
                <w:szCs w:val="21"/>
                <w:highlight w:val="none"/>
                <w:lang w:eastAsia="zh-CN"/>
              </w:rPr>
              <w:t>）</w:t>
            </w:r>
          </w:p>
        </w:tc>
        <w:tc>
          <w:tcPr>
            <w:tcW w:w="769" w:type="pct"/>
            <w:vAlign w:val="center"/>
          </w:tcPr>
          <w:p w14:paraId="7A484F49">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sz w:val="21"/>
                <w:szCs w:val="21"/>
                <w:highlight w:val="none"/>
                <w:lang w:val="en-US" w:eastAsia="zh-CN"/>
              </w:rPr>
              <w:t>备注</w:t>
            </w:r>
          </w:p>
        </w:tc>
      </w:tr>
      <w:tr w14:paraId="73BF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44" w:type="pct"/>
            <w:vAlign w:val="center"/>
          </w:tcPr>
          <w:p w14:paraId="1A39B96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1419" w:type="pct"/>
            <w:vAlign w:val="center"/>
          </w:tcPr>
          <w:p w14:paraId="1BE104A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台州市开发投资集团有限公司国产化适配项目</w:t>
            </w:r>
          </w:p>
        </w:tc>
        <w:tc>
          <w:tcPr>
            <w:tcW w:w="363" w:type="pct"/>
            <w:vAlign w:val="center"/>
          </w:tcPr>
          <w:p w14:paraId="2E04FAD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363" w:type="pct"/>
            <w:vAlign w:val="center"/>
          </w:tcPr>
          <w:p w14:paraId="1312F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套</w:t>
            </w:r>
          </w:p>
        </w:tc>
        <w:tc>
          <w:tcPr>
            <w:tcW w:w="1339" w:type="dxa"/>
            <w:vAlign w:val="center"/>
          </w:tcPr>
          <w:p w14:paraId="15D0B04C">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bidi="ar"/>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元</w:t>
            </w:r>
          </w:p>
        </w:tc>
        <w:tc>
          <w:tcPr>
            <w:tcW w:w="1591" w:type="dxa"/>
            <w:vAlign w:val="center"/>
          </w:tcPr>
          <w:p w14:paraId="015952B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bidi="ar"/>
              </w:rPr>
            </w:pPr>
            <w:r>
              <w:rPr>
                <w:rFonts w:hint="eastAsia" w:ascii="宋体" w:hAnsi="宋体" w:cs="宋体"/>
                <w:color w:val="auto"/>
                <w:sz w:val="24"/>
                <w:highlight w:val="none"/>
                <w:lang w:val="en-US" w:eastAsia="zh-CN"/>
              </w:rPr>
              <w:t>82</w:t>
            </w:r>
            <w:r>
              <w:rPr>
                <w:rFonts w:hint="eastAsia" w:ascii="宋体" w:hAnsi="宋体" w:cs="宋体"/>
                <w:color w:val="auto"/>
                <w:sz w:val="24"/>
                <w:highlight w:val="none"/>
              </w:rPr>
              <w:t>万元</w:t>
            </w:r>
          </w:p>
        </w:tc>
        <w:tc>
          <w:tcPr>
            <w:tcW w:w="769" w:type="pct"/>
            <w:vAlign w:val="center"/>
          </w:tcPr>
          <w:p w14:paraId="530F4B2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default" w:ascii="宋体" w:hAnsi="宋体" w:cs="宋体"/>
                <w:color w:val="auto"/>
                <w:kern w:val="0"/>
                <w:sz w:val="21"/>
                <w:szCs w:val="21"/>
                <w:highlight w:val="none"/>
                <w:lang w:val="en-US" w:eastAsia="zh-CN" w:bidi="ar"/>
              </w:rPr>
              <w:t>保留整数</w:t>
            </w:r>
          </w:p>
        </w:tc>
      </w:tr>
    </w:tbl>
    <w:p w14:paraId="6A90A3E4">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5BC41E9">
      <w:pPr>
        <w:spacing w:line="360" w:lineRule="auto"/>
        <w:ind w:left="-3"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69E3E0D">
      <w:pPr>
        <w:rPr>
          <w:rFonts w:hint="eastAsia"/>
          <w:bCs/>
          <w:color w:val="auto"/>
          <w:szCs w:val="28"/>
          <w:highlight w:val="none"/>
        </w:rPr>
      </w:pPr>
    </w:p>
    <w:p w14:paraId="71AEE9D5">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04B332F5">
      <w:pPr>
        <w:ind w:firstLine="315"/>
        <w:rPr>
          <w:rFonts w:hint="eastAsia" w:ascii="宋体" w:hAnsi="宋体"/>
          <w:color w:val="auto"/>
          <w:sz w:val="24"/>
          <w:highlight w:val="none"/>
        </w:rPr>
      </w:pPr>
    </w:p>
    <w:p w14:paraId="792C0585">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7F08D944">
      <w:pPr>
        <w:ind w:firstLine="315"/>
        <w:rPr>
          <w:rFonts w:hint="eastAsia" w:ascii="宋体" w:hAnsi="宋体"/>
          <w:color w:val="auto"/>
          <w:sz w:val="24"/>
          <w:highlight w:val="none"/>
        </w:rPr>
      </w:pPr>
    </w:p>
    <w:p w14:paraId="4451DF04">
      <w:pPr>
        <w:spacing w:before="0"/>
        <w:ind w:firstLine="315"/>
        <w:rPr>
          <w:rFonts w:hint="eastAsia" w:eastAsia="宋体"/>
          <w:b/>
          <w:bCs/>
          <w:color w:val="auto"/>
          <w:sz w:val="28"/>
          <w:szCs w:val="28"/>
          <w:highlight w:val="none"/>
        </w:rPr>
        <w:sectPr>
          <w:pgSz w:w="11907" w:h="16840"/>
          <w:pgMar w:top="1417" w:right="1418" w:bottom="1417" w:left="1531" w:header="851" w:footer="992" w:gutter="0"/>
          <w:cols w:space="720" w:num="1"/>
          <w:docGrid w:type="lines" w:linePitch="312" w:charSpace="0"/>
        </w:sectPr>
      </w:pPr>
      <w:r>
        <w:rPr>
          <w:rFonts w:hint="eastAsia" w:ascii="宋体" w:hAnsi="宋体"/>
          <w:color w:val="auto"/>
          <w:sz w:val="24"/>
          <w:highlight w:val="none"/>
        </w:rPr>
        <w:t>日期：    年   月   日</w:t>
      </w:r>
    </w:p>
    <w:p w14:paraId="75BA5D5D">
      <w:pPr>
        <w:pStyle w:val="37"/>
        <w:spacing w:before="0"/>
        <w:jc w:val="both"/>
        <w:rPr>
          <w:b w:val="0"/>
          <w:color w:val="auto"/>
          <w:sz w:val="28"/>
          <w:szCs w:val="28"/>
          <w:highlight w:val="none"/>
        </w:rPr>
      </w:pPr>
      <w:r>
        <w:rPr>
          <w:rFonts w:hint="eastAsia" w:eastAsia="宋体"/>
          <w:b w:val="0"/>
          <w:bCs/>
          <w:color w:val="auto"/>
          <w:sz w:val="28"/>
          <w:szCs w:val="28"/>
          <w:highlight w:val="none"/>
        </w:rPr>
        <w:t>格式七</w:t>
      </w:r>
      <w:r>
        <w:rPr>
          <w:rFonts w:hint="eastAsia"/>
          <w:b w:val="0"/>
          <w:bCs/>
          <w:color w:val="auto"/>
          <w:sz w:val="28"/>
          <w:szCs w:val="28"/>
          <w:highlight w:val="none"/>
        </w:rPr>
        <w:t>：</w:t>
      </w:r>
    </w:p>
    <w:p w14:paraId="758F8C6D">
      <w:pPr>
        <w:adjustRightInd w:val="0"/>
        <w:snapToGrid w:val="0"/>
        <w:spacing w:before="156" w:beforeLines="50" w:line="360" w:lineRule="auto"/>
        <w:jc w:val="center"/>
        <w:rPr>
          <w:rFonts w:ascii="黑体" w:eastAsia="黑体"/>
          <w:color w:val="auto"/>
          <w:sz w:val="44"/>
          <w:highlight w:val="none"/>
        </w:rPr>
      </w:pPr>
      <w:r>
        <w:rPr>
          <w:rFonts w:hint="eastAsia" w:ascii="黑体" w:eastAsia="黑体"/>
          <w:color w:val="auto"/>
          <w:sz w:val="44"/>
          <w:highlight w:val="none"/>
        </w:rPr>
        <w:t>法定代表人授权委托书</w:t>
      </w:r>
    </w:p>
    <w:p w14:paraId="518A613F">
      <w:pPr>
        <w:adjustRightInd w:val="0"/>
        <w:snapToGrid w:val="0"/>
        <w:spacing w:before="156" w:beforeLines="50" w:line="360" w:lineRule="auto"/>
        <w:jc w:val="center"/>
        <w:rPr>
          <w:rFonts w:ascii="宋体"/>
          <w:color w:val="auto"/>
          <w:sz w:val="28"/>
          <w:highlight w:val="none"/>
        </w:rPr>
      </w:pPr>
      <w:r>
        <w:rPr>
          <w:rFonts w:hint="eastAsia" w:ascii="宋体"/>
          <w:color w:val="auto"/>
          <w:sz w:val="28"/>
          <w:highlight w:val="none"/>
        </w:rPr>
        <w:t>（参考样张）</w:t>
      </w:r>
    </w:p>
    <w:p w14:paraId="3591145F">
      <w:pPr>
        <w:adjustRightInd w:val="0"/>
        <w:snapToGrid w:val="0"/>
        <w:spacing w:before="156" w:beforeLines="50" w:line="360" w:lineRule="auto"/>
        <w:ind w:left="1439" w:leftChars="514" w:firstLine="560" w:firstLineChars="200"/>
        <w:rPr>
          <w:rFonts w:ascii="宋体"/>
          <w:color w:val="auto"/>
          <w:sz w:val="28"/>
          <w:highlight w:val="none"/>
        </w:rPr>
      </w:pPr>
    </w:p>
    <w:p w14:paraId="336BE1F8">
      <w:pPr>
        <w:adjustRightInd w:val="0"/>
        <w:snapToGrid w:val="0"/>
        <w:spacing w:before="156" w:beforeLines="50" w:line="360" w:lineRule="auto"/>
        <w:ind w:left="1439" w:leftChars="514" w:firstLine="560" w:firstLineChars="200"/>
        <w:rPr>
          <w:rFonts w:ascii="宋体"/>
          <w:color w:val="auto"/>
          <w:sz w:val="28"/>
          <w:highlight w:val="none"/>
        </w:rPr>
      </w:pPr>
    </w:p>
    <w:p w14:paraId="13B6F9F4">
      <w:pPr>
        <w:adjustRightInd w:val="0"/>
        <w:snapToGrid w:val="0"/>
        <w:spacing w:before="156" w:beforeLines="50" w:line="360" w:lineRule="auto"/>
        <w:ind w:firstLine="600"/>
        <w:rPr>
          <w:rFonts w:ascii="宋体"/>
          <w:color w:val="auto"/>
          <w:sz w:val="28"/>
          <w:highlight w:val="none"/>
          <w:u w:val="single"/>
        </w:rPr>
      </w:pPr>
      <w:r>
        <w:rPr>
          <w:rFonts w:hint="eastAsia" w:ascii="宋体"/>
          <w:color w:val="auto"/>
          <w:sz w:val="28"/>
          <w:highlight w:val="none"/>
        </w:rPr>
        <w:t>本授权委托书声明：我</w:t>
      </w:r>
      <w:r>
        <w:rPr>
          <w:rFonts w:hint="eastAsia" w:ascii="宋体"/>
          <w:color w:val="auto"/>
          <w:sz w:val="28"/>
          <w:highlight w:val="none"/>
          <w:u w:val="single"/>
        </w:rPr>
        <w:t xml:space="preserve">         </w:t>
      </w:r>
      <w:r>
        <w:rPr>
          <w:rFonts w:hint="eastAsia" w:ascii="宋体"/>
          <w:color w:val="auto"/>
          <w:sz w:val="28"/>
          <w:highlight w:val="none"/>
        </w:rPr>
        <w:t>（姓名）系</w:t>
      </w:r>
      <w:r>
        <w:rPr>
          <w:rFonts w:hint="eastAsia" w:ascii="宋体"/>
          <w:color w:val="auto"/>
          <w:sz w:val="28"/>
          <w:highlight w:val="none"/>
          <w:u w:val="single"/>
        </w:rPr>
        <w:t xml:space="preserve">                        </w:t>
      </w:r>
    </w:p>
    <w:p w14:paraId="308C72A5">
      <w:pPr>
        <w:adjustRightInd w:val="0"/>
        <w:snapToGrid w:val="0"/>
        <w:spacing w:before="156" w:beforeLines="50" w:line="360" w:lineRule="auto"/>
        <w:rPr>
          <w:rFonts w:ascii="宋体" w:hAnsi="宋体"/>
          <w:snapToGrid w:val="0"/>
          <w:color w:val="auto"/>
          <w:kern w:val="0"/>
          <w:sz w:val="28"/>
          <w:highlight w:val="none"/>
          <w:u w:val="single"/>
        </w:rPr>
      </w:pPr>
      <w:r>
        <w:rPr>
          <w:rFonts w:hint="eastAsia" w:ascii="宋体"/>
          <w:color w:val="auto"/>
          <w:sz w:val="28"/>
          <w:highlight w:val="none"/>
          <w:u w:val="single"/>
        </w:rPr>
        <w:t xml:space="preserve">        </w:t>
      </w:r>
      <w:r>
        <w:rPr>
          <w:rFonts w:hint="eastAsia" w:ascii="宋体"/>
          <w:color w:val="auto"/>
          <w:sz w:val="28"/>
          <w:highlight w:val="none"/>
        </w:rPr>
        <w:t>（投标人）的法定代表人，现授权委托我单位</w:t>
      </w:r>
      <w:r>
        <w:rPr>
          <w:rFonts w:hint="eastAsia" w:ascii="宋体"/>
          <w:color w:val="auto"/>
          <w:sz w:val="28"/>
          <w:highlight w:val="none"/>
          <w:u w:val="single"/>
        </w:rPr>
        <w:t xml:space="preserve">         </w:t>
      </w:r>
      <w:r>
        <w:rPr>
          <w:rFonts w:hint="eastAsia" w:ascii="宋体"/>
          <w:color w:val="auto"/>
          <w:sz w:val="28"/>
          <w:highlight w:val="none"/>
        </w:rPr>
        <w:t>（姓名）为我的代理人，以本单位的名义参加</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color w:val="auto"/>
          <w:sz w:val="28"/>
          <w:highlight w:val="none"/>
        </w:rPr>
        <w:t>（招标人）的</w:t>
      </w:r>
      <w:r>
        <w:rPr>
          <w:rFonts w:hint="eastAsia" w:ascii="宋体"/>
          <w:color w:val="auto"/>
          <w:sz w:val="28"/>
          <w:highlight w:val="none"/>
          <w:u w:val="single"/>
          <w:lang w:eastAsia="zh-CN"/>
        </w:rPr>
        <w:t>台州市开发投资集团有限公司国产化适配项目</w:t>
      </w:r>
      <w:r>
        <w:rPr>
          <w:rFonts w:hint="eastAsia" w:ascii="宋体"/>
          <w:color w:val="auto"/>
          <w:sz w:val="28"/>
          <w:highlight w:val="none"/>
        </w:rPr>
        <w:t>（</w:t>
      </w:r>
      <w:r>
        <w:rPr>
          <w:rFonts w:hint="eastAsia" w:ascii="宋体"/>
          <w:color w:val="auto"/>
          <w:sz w:val="28"/>
          <w:highlight w:val="none"/>
          <w:lang w:val="en-US" w:eastAsia="zh-CN"/>
        </w:rPr>
        <w:t>项目</w:t>
      </w:r>
      <w:r>
        <w:rPr>
          <w:rFonts w:hint="eastAsia" w:ascii="宋体"/>
          <w:color w:val="auto"/>
          <w:sz w:val="28"/>
          <w:highlight w:val="none"/>
        </w:rPr>
        <w:t>名称）的投标。代理人在该工程招投标活动中的一切事务，我均予以承认。</w:t>
      </w:r>
    </w:p>
    <w:p w14:paraId="1303814D">
      <w:pPr>
        <w:adjustRightInd w:val="0"/>
        <w:snapToGrid w:val="0"/>
        <w:spacing w:before="156" w:beforeLines="50" w:line="360" w:lineRule="auto"/>
        <w:ind w:firstLine="560" w:firstLineChars="200"/>
        <w:rPr>
          <w:rFonts w:ascii="宋体"/>
          <w:color w:val="auto"/>
          <w:sz w:val="28"/>
          <w:highlight w:val="none"/>
        </w:rPr>
      </w:pPr>
      <w:r>
        <w:rPr>
          <w:rFonts w:hint="eastAsia" w:ascii="宋体"/>
          <w:color w:val="auto"/>
          <w:sz w:val="28"/>
          <w:highlight w:val="none"/>
        </w:rPr>
        <w:t>代理人无转委权，特此委托。</w:t>
      </w:r>
    </w:p>
    <w:p w14:paraId="3DA44A45">
      <w:pPr>
        <w:adjustRightInd w:val="0"/>
        <w:snapToGrid w:val="0"/>
        <w:spacing w:before="156" w:beforeLines="50" w:line="360" w:lineRule="auto"/>
        <w:rPr>
          <w:rFonts w:ascii="宋体"/>
          <w:color w:val="auto"/>
          <w:sz w:val="28"/>
          <w:highlight w:val="none"/>
        </w:rPr>
      </w:pPr>
    </w:p>
    <w:p w14:paraId="7E4A41BA">
      <w:pPr>
        <w:adjustRightInd w:val="0"/>
        <w:snapToGrid w:val="0"/>
        <w:spacing w:before="156" w:beforeLines="50" w:line="360" w:lineRule="auto"/>
        <w:rPr>
          <w:rFonts w:ascii="宋体"/>
          <w:color w:val="auto"/>
          <w:sz w:val="28"/>
          <w:highlight w:val="none"/>
        </w:rPr>
      </w:pPr>
    </w:p>
    <w:p w14:paraId="05707255">
      <w:pPr>
        <w:adjustRightInd w:val="0"/>
        <w:snapToGrid w:val="0"/>
        <w:spacing w:before="156" w:beforeLines="50" w:line="360" w:lineRule="auto"/>
        <w:rPr>
          <w:rFonts w:ascii="宋体"/>
          <w:color w:val="auto"/>
          <w:sz w:val="28"/>
          <w:highlight w:val="none"/>
        </w:rPr>
      </w:pPr>
      <w:r>
        <w:rPr>
          <w:rFonts w:hint="eastAsia" w:ascii="宋体"/>
          <w:color w:val="auto"/>
          <w:sz w:val="28"/>
          <w:highlight w:val="none"/>
        </w:rPr>
        <w:t>投标人（盖章）：</w:t>
      </w:r>
      <w:r>
        <w:rPr>
          <w:rFonts w:hint="eastAsia" w:ascii="宋体"/>
          <w:color w:val="auto"/>
          <w:sz w:val="28"/>
          <w:highlight w:val="none"/>
          <w:u w:val="single"/>
        </w:rPr>
        <w:t xml:space="preserve">                                         </w:t>
      </w:r>
    </w:p>
    <w:p w14:paraId="1AE51780">
      <w:pPr>
        <w:adjustRightInd w:val="0"/>
        <w:snapToGrid w:val="0"/>
        <w:spacing w:before="156" w:beforeLines="50" w:line="360" w:lineRule="auto"/>
        <w:rPr>
          <w:rFonts w:ascii="宋体"/>
          <w:color w:val="auto"/>
          <w:sz w:val="28"/>
          <w:highlight w:val="none"/>
        </w:rPr>
      </w:pPr>
      <w:r>
        <w:rPr>
          <w:rFonts w:hint="eastAsia" w:ascii="宋体"/>
          <w:color w:val="auto"/>
          <w:sz w:val="28"/>
          <w:highlight w:val="none"/>
        </w:rPr>
        <w:t>法定代表人（盖章）：</w:t>
      </w:r>
      <w:r>
        <w:rPr>
          <w:rFonts w:hint="eastAsia" w:ascii="宋体"/>
          <w:color w:val="auto"/>
          <w:sz w:val="28"/>
          <w:highlight w:val="none"/>
          <w:u w:val="single"/>
        </w:rPr>
        <w:t xml:space="preserve">                                     </w:t>
      </w:r>
    </w:p>
    <w:p w14:paraId="1ED58254">
      <w:pPr>
        <w:adjustRightInd w:val="0"/>
        <w:snapToGrid w:val="0"/>
        <w:spacing w:before="156" w:beforeLines="50" w:line="360" w:lineRule="auto"/>
        <w:rPr>
          <w:rFonts w:ascii="宋体"/>
          <w:color w:val="auto"/>
          <w:sz w:val="28"/>
          <w:highlight w:val="none"/>
          <w:u w:val="single"/>
        </w:rPr>
      </w:pPr>
      <w:r>
        <w:rPr>
          <w:rFonts w:hint="eastAsia" w:ascii="宋体"/>
          <w:color w:val="auto"/>
          <w:sz w:val="28"/>
          <w:highlight w:val="none"/>
        </w:rPr>
        <w:t>代理人：</w:t>
      </w:r>
      <w:r>
        <w:rPr>
          <w:rFonts w:hint="eastAsia" w:ascii="宋体"/>
          <w:color w:val="auto"/>
          <w:sz w:val="28"/>
          <w:highlight w:val="none"/>
          <w:u w:val="single"/>
        </w:rPr>
        <w:t xml:space="preserve">              </w:t>
      </w:r>
      <w:r>
        <w:rPr>
          <w:rFonts w:hint="eastAsia" w:ascii="宋体"/>
          <w:color w:val="auto"/>
          <w:sz w:val="28"/>
          <w:highlight w:val="none"/>
        </w:rPr>
        <w:t>性别：</w:t>
      </w:r>
      <w:r>
        <w:rPr>
          <w:rFonts w:hint="eastAsia" w:ascii="宋体"/>
          <w:color w:val="auto"/>
          <w:sz w:val="28"/>
          <w:highlight w:val="none"/>
          <w:u w:val="single"/>
        </w:rPr>
        <w:t xml:space="preserve">              </w:t>
      </w:r>
      <w:r>
        <w:rPr>
          <w:rFonts w:hint="eastAsia" w:ascii="宋体"/>
          <w:color w:val="auto"/>
          <w:sz w:val="28"/>
          <w:highlight w:val="none"/>
        </w:rPr>
        <w:t>年龄</w:t>
      </w:r>
      <w:r>
        <w:rPr>
          <w:rFonts w:hint="eastAsia" w:ascii="宋体"/>
          <w:color w:val="auto"/>
          <w:sz w:val="28"/>
          <w:highlight w:val="none"/>
          <w:u w:val="single"/>
        </w:rPr>
        <w:t xml:space="preserve">          </w:t>
      </w:r>
    </w:p>
    <w:p w14:paraId="24FD81A5">
      <w:pPr>
        <w:adjustRightInd w:val="0"/>
        <w:snapToGrid w:val="0"/>
        <w:spacing w:before="156" w:beforeLines="50" w:line="360" w:lineRule="auto"/>
        <w:rPr>
          <w:rFonts w:ascii="宋体"/>
          <w:color w:val="auto"/>
          <w:sz w:val="28"/>
          <w:highlight w:val="none"/>
          <w:u w:val="single"/>
        </w:rPr>
      </w:pPr>
      <w:r>
        <w:rPr>
          <w:rFonts w:hint="eastAsia" w:ascii="宋体"/>
          <w:color w:val="auto"/>
          <w:sz w:val="28"/>
          <w:highlight w:val="none"/>
        </w:rPr>
        <w:t>身份证号码：</w:t>
      </w:r>
      <w:r>
        <w:rPr>
          <w:rFonts w:hint="eastAsia" w:ascii="宋体"/>
          <w:color w:val="auto"/>
          <w:sz w:val="28"/>
          <w:highlight w:val="none"/>
          <w:u w:val="single"/>
        </w:rPr>
        <w:t xml:space="preserve">                  </w:t>
      </w:r>
      <w:r>
        <w:rPr>
          <w:rFonts w:hint="eastAsia" w:ascii="宋体"/>
          <w:color w:val="auto"/>
          <w:sz w:val="28"/>
          <w:highlight w:val="none"/>
        </w:rPr>
        <w:t>职务：</w:t>
      </w:r>
      <w:r>
        <w:rPr>
          <w:rFonts w:hint="eastAsia" w:ascii="宋体"/>
          <w:color w:val="auto"/>
          <w:sz w:val="28"/>
          <w:highlight w:val="none"/>
          <w:u w:val="single"/>
        </w:rPr>
        <w:t xml:space="preserve">                    </w:t>
      </w:r>
    </w:p>
    <w:p w14:paraId="6B0553B2">
      <w:pPr>
        <w:ind w:right="210"/>
        <w:rPr>
          <w:b/>
          <w:color w:val="auto"/>
          <w:szCs w:val="32"/>
          <w:highlight w:val="none"/>
        </w:rPr>
      </w:pPr>
      <w:r>
        <w:rPr>
          <w:rFonts w:hint="eastAsia" w:ascii="宋体"/>
          <w:color w:val="auto"/>
          <w:sz w:val="28"/>
          <w:highlight w:val="none"/>
        </w:rPr>
        <w:t>授权委托日期：</w:t>
      </w:r>
      <w:r>
        <w:rPr>
          <w:rFonts w:hint="eastAsia" w:ascii="宋体"/>
          <w:color w:val="auto"/>
          <w:sz w:val="28"/>
          <w:highlight w:val="none"/>
          <w:u w:val="single"/>
        </w:rPr>
        <w:t xml:space="preserve">            </w:t>
      </w:r>
      <w:r>
        <w:rPr>
          <w:rFonts w:hint="eastAsia" w:ascii="宋体"/>
          <w:color w:val="auto"/>
          <w:sz w:val="28"/>
          <w:highlight w:val="none"/>
        </w:rPr>
        <w:t>年</w:t>
      </w:r>
      <w:r>
        <w:rPr>
          <w:rFonts w:hint="eastAsia" w:ascii="宋体"/>
          <w:color w:val="auto"/>
          <w:sz w:val="28"/>
          <w:highlight w:val="none"/>
          <w:u w:val="single"/>
        </w:rPr>
        <w:t xml:space="preserve">            </w:t>
      </w:r>
      <w:r>
        <w:rPr>
          <w:rFonts w:hint="eastAsia" w:ascii="宋体"/>
          <w:color w:val="auto"/>
          <w:sz w:val="28"/>
          <w:highlight w:val="none"/>
        </w:rPr>
        <w:t>月</w:t>
      </w:r>
      <w:r>
        <w:rPr>
          <w:rFonts w:hint="eastAsia" w:ascii="宋体"/>
          <w:color w:val="auto"/>
          <w:sz w:val="28"/>
          <w:highlight w:val="none"/>
          <w:u w:val="single"/>
        </w:rPr>
        <w:t xml:space="preserve">             </w:t>
      </w:r>
      <w:r>
        <w:rPr>
          <w:rFonts w:hint="eastAsia" w:ascii="宋体"/>
          <w:color w:val="auto"/>
          <w:sz w:val="28"/>
          <w:highlight w:val="none"/>
        </w:rPr>
        <w:t>日</w:t>
      </w:r>
      <w:r>
        <w:rPr>
          <w:rFonts w:hint="eastAsia"/>
          <w:b/>
          <w:color w:val="auto"/>
          <w:szCs w:val="32"/>
          <w:highlight w:val="none"/>
        </w:rPr>
        <w:t xml:space="preserve"> </w:t>
      </w:r>
    </w:p>
    <w:p w14:paraId="7C12FFC3">
      <w:pPr>
        <w:widowControl/>
        <w:spacing w:line="360" w:lineRule="auto"/>
        <w:jc w:val="center"/>
        <w:rPr>
          <w:rFonts w:hint="eastAsia" w:ascii="黑体" w:hAnsi="黑体" w:eastAsia="黑体" w:cs="黑体"/>
          <w:b/>
          <w:bCs/>
          <w:color w:val="auto"/>
          <w:sz w:val="32"/>
          <w:szCs w:val="32"/>
          <w:highlight w:val="none"/>
        </w:rPr>
      </w:pPr>
    </w:p>
    <w:p w14:paraId="739D76A9">
      <w:pPr>
        <w:widowControl/>
        <w:spacing w:line="360" w:lineRule="auto"/>
        <w:jc w:val="center"/>
        <w:rPr>
          <w:rFonts w:hint="eastAsia" w:ascii="黑体" w:hAnsi="黑体" w:eastAsia="黑体" w:cs="黑体"/>
          <w:b/>
          <w:bCs/>
          <w:color w:val="auto"/>
          <w:sz w:val="32"/>
          <w:szCs w:val="32"/>
          <w:highlight w:val="none"/>
        </w:rPr>
      </w:pPr>
    </w:p>
    <w:p w14:paraId="1A0337C0">
      <w:pPr>
        <w:pStyle w:val="37"/>
        <w:spacing w:before="0"/>
        <w:jc w:val="both"/>
        <w:rPr>
          <w:b w:val="0"/>
          <w:color w:val="auto"/>
          <w:sz w:val="28"/>
          <w:szCs w:val="28"/>
          <w:highlight w:val="none"/>
        </w:rPr>
      </w:pPr>
      <w:r>
        <w:rPr>
          <w:rFonts w:hint="eastAsia" w:eastAsia="宋体"/>
          <w:b w:val="0"/>
          <w:bCs/>
          <w:color w:val="auto"/>
          <w:sz w:val="28"/>
          <w:szCs w:val="28"/>
          <w:highlight w:val="none"/>
        </w:rPr>
        <w:t>格式</w:t>
      </w:r>
      <w:r>
        <w:rPr>
          <w:rFonts w:hint="eastAsia" w:eastAsia="宋体"/>
          <w:b w:val="0"/>
          <w:bCs/>
          <w:color w:val="auto"/>
          <w:sz w:val="28"/>
          <w:szCs w:val="28"/>
          <w:highlight w:val="none"/>
          <w:lang w:val="en-US" w:eastAsia="zh-CN"/>
        </w:rPr>
        <w:t>八</w:t>
      </w:r>
      <w:r>
        <w:rPr>
          <w:rFonts w:hint="eastAsia"/>
          <w:b w:val="0"/>
          <w:bCs/>
          <w:color w:val="auto"/>
          <w:sz w:val="28"/>
          <w:szCs w:val="28"/>
          <w:highlight w:val="none"/>
        </w:rPr>
        <w:t>：</w:t>
      </w:r>
    </w:p>
    <w:p w14:paraId="1C469966">
      <w:pPr>
        <w:widowControl/>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14:paraId="27AB9F13">
      <w:pPr>
        <w:adjustRightInd w:val="0"/>
        <w:snapToGrid w:val="0"/>
        <w:spacing w:before="156" w:beforeLines="50" w:line="360" w:lineRule="auto"/>
        <w:jc w:val="center"/>
        <w:rPr>
          <w:rFonts w:hint="eastAsia"/>
          <w:color w:val="auto"/>
          <w:highlight w:val="none"/>
        </w:rPr>
      </w:pPr>
      <w:r>
        <w:rPr>
          <w:rFonts w:hint="eastAsia"/>
          <w:color w:val="auto"/>
          <w:highlight w:val="none"/>
        </w:rPr>
        <w:t>（参考样张）</w:t>
      </w:r>
    </w:p>
    <w:p w14:paraId="67E08D1D">
      <w:pPr>
        <w:widowControl/>
        <w:spacing w:line="360" w:lineRule="auto"/>
        <w:jc w:val="center"/>
        <w:rPr>
          <w:rFonts w:hint="eastAsia" w:ascii="方正小标宋简体" w:hAnsi="方正小标宋简体"/>
          <w:color w:val="auto"/>
          <w:sz w:val="44"/>
          <w:szCs w:val="44"/>
          <w:highlight w:val="none"/>
        </w:rPr>
      </w:pPr>
    </w:p>
    <w:p w14:paraId="7679235E">
      <w:pPr>
        <w:autoSpaceDE w:val="0"/>
        <w:autoSpaceDN w:val="0"/>
        <w:adjustRightInd w:val="0"/>
        <w:snapToGrid w:val="0"/>
        <w:spacing w:line="360" w:lineRule="auto"/>
        <w:ind w:firstLine="560" w:firstLineChars="200"/>
        <w:textAlignment w:val="baseline"/>
        <w:rPr>
          <w:rFonts w:ascii="宋体" w:hAnsi="宋体"/>
          <w:color w:val="auto"/>
          <w:kern w:val="0"/>
          <w:szCs w:val="28"/>
          <w:highlight w:val="none"/>
          <w:u w:val="single"/>
        </w:rPr>
      </w:pPr>
      <w:r>
        <w:rPr>
          <w:rFonts w:hint="eastAsia" w:ascii="宋体" w:hAnsi="宋体"/>
          <w:color w:val="auto"/>
          <w:kern w:val="0"/>
          <w:szCs w:val="28"/>
          <w:highlight w:val="none"/>
        </w:rPr>
        <w:t>投标人名称：</w:t>
      </w:r>
      <w:r>
        <w:rPr>
          <w:rFonts w:hint="eastAsia" w:ascii="宋体" w:hAnsi="宋体"/>
          <w:color w:val="auto"/>
          <w:kern w:val="0"/>
          <w:szCs w:val="28"/>
          <w:highlight w:val="none"/>
          <w:u w:val="single"/>
        </w:rPr>
        <w:t xml:space="preserve">                              </w:t>
      </w:r>
    </w:p>
    <w:p w14:paraId="0B7FC384">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单位性质：</w:t>
      </w:r>
      <w:r>
        <w:rPr>
          <w:rFonts w:hint="eastAsia" w:ascii="宋体" w:hAnsi="宋体"/>
          <w:color w:val="auto"/>
          <w:kern w:val="0"/>
          <w:szCs w:val="28"/>
          <w:highlight w:val="none"/>
          <w:u w:val="single"/>
        </w:rPr>
        <w:t xml:space="preserve">                                </w:t>
      </w:r>
    </w:p>
    <w:p w14:paraId="17E3F596">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地址：</w:t>
      </w:r>
      <w:r>
        <w:rPr>
          <w:rFonts w:hint="eastAsia" w:ascii="宋体" w:hAnsi="宋体"/>
          <w:color w:val="auto"/>
          <w:kern w:val="0"/>
          <w:szCs w:val="28"/>
          <w:highlight w:val="none"/>
          <w:u w:val="single"/>
        </w:rPr>
        <w:t xml:space="preserve">                                  </w:t>
      </w:r>
    </w:p>
    <w:p w14:paraId="0B0E885E">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成立时间：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月</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日</w:t>
      </w:r>
    </w:p>
    <w:p w14:paraId="38CA1C13">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经营期限：</w:t>
      </w:r>
      <w:r>
        <w:rPr>
          <w:rFonts w:hint="eastAsia" w:ascii="宋体" w:hAnsi="宋体"/>
          <w:color w:val="auto"/>
          <w:kern w:val="0"/>
          <w:szCs w:val="28"/>
          <w:highlight w:val="none"/>
          <w:u w:val="single"/>
        </w:rPr>
        <w:t xml:space="preserve">                                </w:t>
      </w:r>
    </w:p>
    <w:p w14:paraId="280ABC1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姓名：</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性别：</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年龄：</w:t>
      </w:r>
      <w:r>
        <w:rPr>
          <w:rFonts w:hint="eastAsia" w:ascii="宋体" w:hAnsi="宋体"/>
          <w:color w:val="auto"/>
          <w:kern w:val="0"/>
          <w:szCs w:val="28"/>
          <w:highlight w:val="none"/>
          <w:u w:val="single"/>
        </w:rPr>
        <w:t xml:space="preserve">       </w:t>
      </w:r>
    </w:p>
    <w:p w14:paraId="1917EC43">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身份证号码：</w:t>
      </w:r>
      <w:r>
        <w:rPr>
          <w:rFonts w:hint="eastAsia" w:ascii="宋体" w:hAnsi="宋体"/>
          <w:color w:val="auto"/>
          <w:kern w:val="0"/>
          <w:szCs w:val="28"/>
          <w:highlight w:val="none"/>
          <w:u w:val="single"/>
        </w:rPr>
        <w:t xml:space="preserve">                              </w:t>
      </w:r>
    </w:p>
    <w:p w14:paraId="6860929A">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联系电话：</w:t>
      </w:r>
      <w:r>
        <w:rPr>
          <w:rFonts w:hint="eastAsia" w:ascii="宋体" w:hAnsi="宋体"/>
          <w:color w:val="auto"/>
          <w:kern w:val="0"/>
          <w:szCs w:val="28"/>
          <w:highlight w:val="none"/>
          <w:u w:val="single"/>
        </w:rPr>
        <w:t xml:space="preserve">                                </w:t>
      </w:r>
    </w:p>
    <w:p w14:paraId="3AE4C7C5">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职务：</w:t>
      </w:r>
      <w:r>
        <w:rPr>
          <w:rFonts w:hint="eastAsia" w:ascii="宋体" w:hAnsi="宋体"/>
          <w:color w:val="auto"/>
          <w:kern w:val="0"/>
          <w:szCs w:val="28"/>
          <w:highlight w:val="none"/>
          <w:u w:val="single"/>
        </w:rPr>
        <w:t xml:space="preserve">                </w:t>
      </w:r>
    </w:p>
    <w:p w14:paraId="5595961F">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p>
    <w:p w14:paraId="700A49CB">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系</w:t>
      </w:r>
      <w:r>
        <w:rPr>
          <w:rFonts w:hint="eastAsia" w:ascii="宋体" w:hAnsi="宋体"/>
          <w:color w:val="auto"/>
          <w:kern w:val="0"/>
          <w:szCs w:val="28"/>
          <w:highlight w:val="none"/>
          <w:u w:val="single"/>
        </w:rPr>
        <w:t xml:space="preserve">       （投标人名称）</w:t>
      </w:r>
      <w:r>
        <w:rPr>
          <w:rFonts w:hint="eastAsia" w:ascii="宋体" w:hAnsi="宋体"/>
          <w:color w:val="auto"/>
          <w:kern w:val="0"/>
          <w:szCs w:val="28"/>
          <w:highlight w:val="none"/>
        </w:rPr>
        <w:t>的法定代表人。</w:t>
      </w:r>
    </w:p>
    <w:p w14:paraId="164E2D6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p>
    <w:p w14:paraId="6712B9B0">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特此证明。</w:t>
      </w:r>
    </w:p>
    <w:p w14:paraId="34EB0FC6">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p>
    <w:p w14:paraId="12278817">
      <w:pPr>
        <w:autoSpaceDE w:val="0"/>
        <w:autoSpaceDN w:val="0"/>
        <w:adjustRightInd w:val="0"/>
        <w:snapToGrid w:val="0"/>
        <w:spacing w:line="360" w:lineRule="auto"/>
        <w:textAlignment w:val="baseline"/>
        <w:rPr>
          <w:rFonts w:hint="eastAsia" w:ascii="宋体" w:hAnsi="宋体"/>
          <w:color w:val="auto"/>
          <w:kern w:val="0"/>
          <w:szCs w:val="28"/>
          <w:highlight w:val="none"/>
        </w:rPr>
      </w:pPr>
      <w:r>
        <w:rPr>
          <w:rFonts w:hint="eastAsia" w:ascii="宋体" w:hAnsi="宋体"/>
          <w:color w:val="auto"/>
          <w:kern w:val="0"/>
          <w:szCs w:val="28"/>
          <w:highlight w:val="none"/>
        </w:rPr>
        <w:t xml:space="preserve">                                      投标人：（盖单位公章）</w:t>
      </w:r>
    </w:p>
    <w:p w14:paraId="7E330076">
      <w:pPr>
        <w:jc w:val="right"/>
        <w:rPr>
          <w:rFonts w:hint="eastAsia" w:ascii="宋体" w:hAnsi="宋体" w:cs="宋体"/>
          <w:color w:val="auto"/>
          <w:kern w:val="0"/>
          <w:szCs w:val="28"/>
          <w:highlight w:val="none"/>
          <w:u w:val="single"/>
        </w:rPr>
      </w:pPr>
    </w:p>
    <w:p w14:paraId="5914FB07">
      <w:pPr>
        <w:jc w:val="right"/>
        <w:rPr>
          <w:color w:val="auto"/>
          <w:highlight w:val="none"/>
        </w:rPr>
        <w:sectPr>
          <w:pgSz w:w="11907" w:h="16840"/>
          <w:pgMar w:top="1417" w:right="1418" w:bottom="1417" w:left="1531" w:header="851" w:footer="992" w:gutter="0"/>
          <w:cols w:space="720" w:num="1"/>
          <w:docGrid w:type="lines" w:linePitch="312" w:charSpace="0"/>
        </w:sectPr>
      </w:pP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年</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u w:val="single"/>
        </w:rPr>
        <w:t xml:space="preserve">      </w:t>
      </w:r>
    </w:p>
    <w:bookmarkEnd w:id="30"/>
    <w:bookmarkEnd w:id="31"/>
    <w:bookmarkEnd w:id="32"/>
    <w:bookmarkEnd w:id="33"/>
    <w:p w14:paraId="64896B55">
      <w:pPr>
        <w:pStyle w:val="121"/>
        <w:ind w:firstLine="0" w:firstLineChars="0"/>
        <w:rPr>
          <w:rFonts w:hint="eastAsia" w:ascii="宋体" w:hAnsi="宋体"/>
          <w:b/>
          <w:color w:val="auto"/>
          <w:highlight w:val="none"/>
        </w:rPr>
      </w:pPr>
    </w:p>
    <w:sectPr>
      <w:headerReference r:id="rId13" w:type="first"/>
      <w:headerReference r:id="rId12" w:type="default"/>
      <w:footerReference r:id="rId14" w:type="default"/>
      <w:pgSz w:w="11905" w:h="16838"/>
      <w:pgMar w:top="1134" w:right="1587" w:bottom="1134" w:left="158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bel">
    <w:altName w:val="Yu Gothic UI"/>
    <w:panose1 w:val="02000506030000020004"/>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Noto Sans Mono CJK JP Regular">
    <w:altName w:val="微软雅黑"/>
    <w:panose1 w:val="020B0604020202020204"/>
    <w:charset w:val="00"/>
    <w:family w:val="swiss"/>
    <w:pitch w:val="default"/>
    <w:sig w:usb0="00000000" w:usb1="00000000" w:usb2="00000000" w:usb3="00000000" w:csb0="00040001" w:csb1="00000000"/>
  </w:font>
  <w:font w:name="Arial Unicode MS">
    <w:panose1 w:val="020B0604020202020204"/>
    <w:charset w:val="80"/>
    <w:family w:val="swiss"/>
    <w:pitch w:val="default"/>
    <w:sig w:usb0="FFFFFFFF" w:usb1="E9FFFFFF" w:usb2="0000003F" w:usb3="00000000" w:csb0="603F01FF" w:csb1="FFFF0000"/>
  </w:font>
  <w:font w:name="Helvetica">
    <w:panose1 w:val="020B0604020202020204"/>
    <w:charset w:val="00"/>
    <w:family w:val="auto"/>
    <w:pitch w:val="default"/>
    <w:sig w:usb0="00000000" w:usb1="00000000" w:usb2="00000000" w:usb3="00000000" w:csb0="00000000" w:csb1="00000000"/>
  </w:font>
  <w:font w:name="方正书宋简体">
    <w:altName w:val="宋体"/>
    <w:panose1 w:val="020B0604020202020204"/>
    <w:charset w:val="86"/>
    <w:family w:val="script"/>
    <w:pitch w:val="default"/>
    <w:sig w:usb0="00000000" w:usb1="00000000" w:usb2="00000010" w:usb3="00000000" w:csb0="0004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067E">
    <w:pPr>
      <w:pStyle w:val="9"/>
      <w:tabs>
        <w:tab w:val="left" w:pos="1200"/>
        <w:tab w:val="clear" w:pos="900"/>
      </w:tabs>
      <w:spacing w:after="120"/>
      <w:ind w:left="480" w:right="360" w:firstLine="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271FCED2">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tzmD+1gEAAKEDAAAOAAAAZHJzL2Uyb0RvYy54bWytU0tu2zAQ&#10;3RfIHQjuY1mJ3TqC5SCBkaJA0RZIewCaIi0C/IFDW/IF2ht01U33PZfP0SElO0G6yaIbajifN/Me&#10;R8vb3miyFwGUszUtJ1NKhOWuUXZb029fHy4XlEBktmHaWVHTgwB6u7p4s+x8Ja5c63QjAkEQC1Xn&#10;a9rG6KuiAN4Kw2DivLAYlC4YFvEatkUTWIfoRhdX0+nbonOh8cFxAYDe9RCkI2J4DaCTUnGxdnxn&#10;hI0DahCaRaQErfJAV3laKQWPn6UEEYmuKTKN+cQmaG/SWayWrNoG5lvFxxHYa0Z4wckwZbHpGWrN&#10;IiO7oP6BMooHB07GCXemGIhkRZBFOX2hzWPLvMhcUGrwZ9Hh/8HyT/svgagGN4ESyww++PHnj+Ov&#10;P8ff38kiydN5qDDr0WNe7O9dn1JHP6Azse5lMOmLfAjGUdzDWVzRR8JTUTm7uZ5TwjFUXpez2Tyh&#10;FE/FPkB8L5whyahpwLfLkrL9R4hD6ikl9bLuQWmNflZpSzoEnS/ezXPFOYTo2mKTxGGYNVmx3/Qj&#10;gY1rDsirwwWoqcV9p0R/sKhv2pWTEU7G5mTsfFDbNi9T6g/+bhdxnDxl6jDAjo3x5TLPccvSajy/&#10;56ynP2v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tzmD+1gEAAKEDAAAOAAAAAAAAAAEA&#10;IAAAACMBAABkcnMvZTJvRG9jLnhtbFBLBQYAAAAABgAGAFkBAABrBQAAAAA=&#10;">
              <v:fill on="f" focussize="0,0"/>
              <v:stroke on="f" weight="1.25pt"/>
              <v:imagedata o:title=""/>
              <o:lock v:ext="edit" aspectratio="f"/>
              <v:textbox inset="0mm,0mm,0mm,0mm" style="mso-fit-shape-to-text:t;">
                <w:txbxContent>
                  <w:p w14:paraId="271FCED2">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B08C">
    <w:pPr>
      <w:pStyle w:val="9"/>
      <w:framePr w:wrap="around" w:vAnchor="text" w:hAnchor="margin" w:xAlign="center" w:y="1"/>
      <w:tabs>
        <w:tab w:val="left" w:pos="1200"/>
        <w:tab w:val="clear" w:pos="900"/>
      </w:tabs>
      <w:spacing w:after="120"/>
      <w:rPr>
        <w:rStyle w:val="47"/>
      </w:rPr>
    </w:pPr>
    <w:r>
      <w:fldChar w:fldCharType="begin"/>
    </w:r>
    <w:r>
      <w:rPr>
        <w:rStyle w:val="47"/>
      </w:rPr>
      <w:instrText xml:space="preserve">PAGE  </w:instrText>
    </w:r>
    <w:r>
      <w:fldChar w:fldCharType="separate"/>
    </w:r>
    <w:r>
      <w:rPr>
        <w:rStyle w:val="47"/>
      </w:rPr>
      <w:t>10</w:t>
    </w:r>
    <w:r>
      <w:fldChar w:fldCharType="end"/>
    </w:r>
  </w:p>
  <w:p w14:paraId="0B01B0A2">
    <w:pPr>
      <w:pStyle w:val="9"/>
      <w:tabs>
        <w:tab w:val="left" w:pos="1200"/>
        <w:tab w:val="clear" w:pos="9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FC65">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7D65083F">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rvEJ11gEAAKEDAAAOAAAAZHJzL2Uyb0RvYy54bWytU82O0zAQ&#10;viPxDpbvNE23hd2o6QpULUJCgLTwAK5jN5b8J4/bpC8Ab8CJC3eeq8+xYyfpou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3cJHk6DxVG3XuMi/071+PSTO+Aj4l1L4NJX+RD0I/ini7iij4SnpLK5c3VihKOrvKqXC5X&#10;CaV4TPYB4nvhDElGTQPOLkvKjh8hDqFTSKpl3Z3SOs9PW9Ih6Or6zSpnXFyIri0WSRyGXpMV+10/&#10;Etu55oS8OlyAmlrcd0r0B4v6pl2ZjDAZu8k4+KD2bV6m1Ar4t4eI7eQuU4UBdiyMk8s8xy1Lq/H3&#10;PUc9/lm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rvEJ11gEAAKEDAAAOAAAAAAAAAAEA&#10;IAAAACMBAABkcnMvZTJvRG9jLnhtbFBLBQYAAAAABgAGAFkBAABrBQAAAAA=&#10;">
              <v:fill on="f" focussize="0,0"/>
              <v:stroke on="f" weight="1.25pt"/>
              <v:imagedata o:title=""/>
              <o:lock v:ext="edit" aspectratio="f"/>
              <v:textbox inset="0mm,0mm,0mm,0mm" style="mso-fit-shape-to-text:t;">
                <w:txbxContent>
                  <w:p w14:paraId="7D65083F">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EF7E4">
    <w:pPr>
      <w:pStyle w:val="26"/>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568B6977">
                          <w:pPr>
                            <w:pStyle w:val="2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mU/sc1wEAAKIDAAAOAAAAZHJzL2Uyb0RvYy54bWytU82O0zAQ&#10;viPtO1i+0zTbFpao6YpVtQgJAdLCA7iO3Vjynzxuk77A7htw4sKd5+pzMHbSFi2XPXBxxp6Zb+b7&#10;ZrK87Y0mexFAOVvTcjKlRFjuGmW3Nf3+7f71DSUQmW2YdlbU9CCA3q6uXi07X4lr1zrdiEAQxELV&#10;+Zq2MfqqKIC3wjCYOC8sOqULhkW8hm3RBNYhutHF9XT6puhcaHxwXADg63pw0hExvATQSam4WDu+&#10;M8LGATUIzSJSglZ5oKvcrZSCxy9SgohE1xSZxnxiEbQ36SxWS1ZtA/Ot4mML7CUtPONkmLJY9Ay1&#10;ZpGRXVD/QBnFgwMn44Q7UwxEsiLIopw+0+ahZV5kLig1+LPo8P9g+ef910BUU9MZJZYZHPjxx9Px&#10;5+/jr0dSZn06DxWGPXgMjP2d63Frkm7pHfAx0e5lMOmLhAj6Ud3DWV3RR8JTUjl/N1tQwtFVzsr5&#10;fJFQikuyDxA/CGdIMmoacHhZU7b/BHEIPYWkWtbdK63zALUlHYIubt4ucsbZhejaYpFLr8mK/aYf&#10;CWxcc0BeHW5ATS0uPCX6o0WB07KcjHAyNidj54PatnmbUivg3+8itpO7TBUG2LEwji7zHNcs7cbf&#10;9xx1+bV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5lP7HNcBAACiAwAADgAAAAAAAAAB&#10;ACAAAAAjAQAAZHJzL2Uyb0RvYy54bWxQSwUGAAAAAAYABgBZAQAAbAUAAAAA&#10;">
              <v:fill on="f" focussize="0,0"/>
              <v:stroke on="f" weight="1.25pt"/>
              <v:imagedata o:title=""/>
              <o:lock v:ext="edit" aspectratio="f"/>
              <v:textbox inset="0mm,0mm,0mm,0mm" style="mso-fit-shape-to-text:t;">
                <w:txbxContent>
                  <w:p w14:paraId="568B6977">
                    <w:pPr>
                      <w:pStyle w:val="2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C963">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3465E34B">
                          <w:pPr>
                            <w:pStyle w:val="2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WGPDV1wEAAKIDAAAOAAAAZHJzL2Uyb0RvYy54bWytU0tu2zAQ&#10;3RfIHQjua1mJ3aaC5aCBkaJA0RZIewCaIi0C/IFDW/IFkht01U33PZfP0SElOUW6yaIbasiZeTPv&#10;zWh10xtNDiKAcram5WxOibDcNcruavr9293ra0ogMtsw7ayo6VEAvVlfvFp1vhKXrnW6EYEgiIWq&#10;8zVtY/RVUQBvhWEwc15YdEoXDIt4DbuiCaxDdKOLy/n8TdG50PjguADA183gpCNieAmgk1JxsXF8&#10;b4SNA2oQmkWkBK3yQNe5WykFj1+kBBGJrikyjfnEImhv01msV6zaBeZbxccW2EtaeMbJMGWx6Blq&#10;wyIj+6D+gTKKBwdOxhl3phiIZEWQRTl/ps19y7zIXFBq8GfR4f/B8s+Hr4GopqYLSiwzOPDTj8fT&#10;z9+nXw+kLJM+nYcKw+49Bsb+1vW4NdM74GOi3ctg0hcJEfSjusezuqKPhKekcvHuakkJR1d5VS4W&#10;y4RSPCX7APGDcIYko6YBh5c1ZYdPEIfQKSTVsu5OaZ0HqC3pEHR5/XaZM84uRNcWiyQOQ6/Jiv22&#10;H4ltXXNEXh1uQE0tLjwl+qNFgdOyTEaYjO1k7H1QuzZvU2oF/Pt9xHZyl6nCADsWxtFlnuOapd34&#10;+56jnn6t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1hjw1dcBAACiAwAADgAAAAAAAAAB&#10;ACAAAAAjAQAAZHJzL2Uyb0RvYy54bWxQSwUGAAAAAAYABgBZAQAAbAUAAAAA&#10;">
              <v:fill on="f" focussize="0,0"/>
              <v:stroke on="f" weight="1.25pt"/>
              <v:imagedata o:title=""/>
              <o:lock v:ext="edit" aspectratio="f"/>
              <v:textbox inset="0mm,0mm,0mm,0mm" style="mso-fit-shape-to-text:t;">
                <w:txbxContent>
                  <w:p w14:paraId="3465E34B">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D11A">
    <w:pPr>
      <w:pStyle w:val="2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763127E7">
                          <w:pPr>
                            <w:pStyle w:val="26"/>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n4GIr1gEAAKIDAAAOAAAAZHJzL2Uyb0RvYy54bWytU82O0zAQ&#10;viPxDpbvNM22hd2o6QpULUJCgLTwAK5jN5b8J4/bpC8Ab8CJC3eeq8/B2Em6q+WyBy7O2DPzzXzf&#10;TNa3vdHkKAIoZ2tazuaUCMtdo+y+pt++3r26pgQisw3TzoqangTQ283LF+vOV+LKtU43IhAEsVB1&#10;vqZtjL4qCuCtMAxmzguLTumCYRGvYV80gXWIbnRxNZ+/LjoXGh8cFwD4uh2cdEQMzwF0Uiouto4f&#10;jLBxQA1Cs4iUoFUe6CZ3K6Xg8bOUICLRNUWmMZ9YBO1dOovNmlX7wHyr+NgCe04LTzgZpiwWvUBt&#10;WWTkENQ/UEbx4MDJOOPOFAORrAiyKOdPtLlvmReZC0oN/iI6/D9Y/un4JRDV1HRFiWUGB37++eP8&#10;68/593dSLpI+nYcKw+49Bsb+netxa6Z3wMdEu5fBpC8SIuhHdU8XdUUfCU9J5fJmgVU4uspFuVyu&#10;EkrxkOwDxPfCGZKMmgYcXtaUHT9CHEKnkFTLujuldR6gtqRD0NX1m1XOuLgQXVsskjgMvSYr9rt+&#10;JLZzzQl5dbgBNbW48JToDxYFTssyGWEydpNx8EHt27xNqRXwbw8R28ldpgoD7FgYR5d5jmuWduPx&#10;PUc9/Fqb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Dn4GIr1gEAAKIDAAAOAAAAAAAAAAEA&#10;IAAAACMBAABkcnMvZTJvRG9jLnhtbFBLBQYAAAAABgAGAFkBAABrBQAAAAA=&#10;">
              <v:fill on="f" focussize="0,0"/>
              <v:stroke on="f" weight="1.25pt"/>
              <v:imagedata o:title=""/>
              <o:lock v:ext="edit" aspectratio="f"/>
              <v:textbox inset="0mm,0mm,0mm,0mm" style="mso-fit-shape-to-text:t;">
                <w:txbxContent>
                  <w:p w14:paraId="763127E7">
                    <w:pPr>
                      <w:pStyle w:val="26"/>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C4E9F">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AA1F">
    <w:pPr>
      <w:pStyle w:val="27"/>
      <w:pBdr>
        <w:bottom w:val="single" w:color="auto" w:sz="4" w:space="1"/>
      </w:pBdr>
      <w:jc w:val="right"/>
      <w:rPr>
        <w:rFonts w:hint="eastAsia" w:ascii="宋体" w:hAnsi="宋体"/>
      </w:rPr>
    </w:pPr>
    <w:r>
      <w:rPr>
        <w:rFonts w:hint="eastAsia" w:ascii="宋体" w:hAnsi="宋体" w:cs="宋体"/>
        <w:bCs/>
        <w:lang w:eastAsia="zh-CN"/>
      </w:rPr>
      <w:t>台州市开发投资集团有限公司国产化适配项目</w:t>
    </w:r>
    <w:r>
      <w:rPr>
        <w:rFonts w:hint="eastAsia" w:ascii="宋体" w:hAnsi="宋体" w:cs="宋体"/>
        <w:bCs/>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47467">
    <w:pPr>
      <w:pStyle w:val="27"/>
      <w:pBdr>
        <w:bottom w:val="single" w:color="auto" w:sz="4" w:space="1"/>
      </w:pBdr>
      <w:jc w:val="right"/>
      <w:rPr>
        <w:rFonts w:ascii="宋体" w:hAnsi="宋体"/>
      </w:rPr>
    </w:pPr>
    <w:r>
      <w:rPr>
        <w:rFonts w:hint="eastAsia" w:ascii="宋体" w:hAnsi="宋体" w:cs="宋体"/>
        <w:bCs/>
        <w:lang w:eastAsia="zh-CN"/>
      </w:rPr>
      <w:t>台州市开发投资集团有限公司国产化适配项目</w:t>
    </w:r>
    <w:r>
      <w:rPr>
        <w:rFonts w:hint="eastAsia" w:ascii="宋体" w:hAnsi="宋体" w:cs="宋体"/>
        <w:bCs/>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810">
    <w:pPr>
      <w:pStyle w:val="27"/>
      <w:rPr>
        <w:rFonts w:hint="eastAsia"/>
      </w:rPr>
    </w:pPr>
    <w:r>
      <w:rPr>
        <w:rFonts w:hint="eastAsia"/>
      </w:rPr>
      <w:t xml:space="preserve">                             </w:t>
    </w:r>
    <w:r>
      <w:rPr>
        <w:rFonts w:hint="eastAsia"/>
        <w:lang w:eastAsia="zh-CN"/>
      </w:rPr>
      <w:t>台州市开发投资集团有限公司国产化适配项目</w:t>
    </w:r>
    <w:r>
      <w:rPr>
        <w:rFonts w:hint="eastAsia"/>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8000">
    <w:pPr>
      <w:spacing w:line="20" w:lineRule="atLeast"/>
      <w:rPr>
        <w:rFonts w:hint="eastAsia"/>
        <w:b/>
        <w:color w:val="808080"/>
        <w:w w:val="66"/>
        <w:sz w:val="10"/>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3FBD">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18"/>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E"/>
    <w:multiLevelType w:val="singleLevel"/>
    <w:tmpl w:val="0000000E"/>
    <w:lvl w:ilvl="0" w:tentative="0">
      <w:start w:val="4"/>
      <w:numFmt w:val="chineseCounting"/>
      <w:suff w:val="space"/>
      <w:lvlText w:val="第%1章"/>
      <w:lvlJc w:val="left"/>
      <w:rPr>
        <w:rFonts w:hint="eastAsia"/>
      </w:rPr>
    </w:lvl>
  </w:abstractNum>
  <w:abstractNum w:abstractNumId="2">
    <w:nsid w:val="07CB1EF8"/>
    <w:multiLevelType w:val="multilevel"/>
    <w:tmpl w:val="07CB1EF8"/>
    <w:lvl w:ilvl="0" w:tentative="0">
      <w:start w:val="1"/>
      <w:numFmt w:val="decimal"/>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3">
    <w:nsid w:val="0EA466AF"/>
    <w:multiLevelType w:val="multilevel"/>
    <w:tmpl w:val="0EA466AF"/>
    <w:lvl w:ilvl="0" w:tentative="0">
      <w:start w:val="1"/>
      <w:numFmt w:val="decimal"/>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4">
    <w:nsid w:val="1ACB11E7"/>
    <w:multiLevelType w:val="multilevel"/>
    <w:tmpl w:val="1ACB11E7"/>
    <w:lvl w:ilvl="0" w:tentative="0">
      <w:start w:val="1"/>
      <w:numFmt w:val="chineseCountingThousand"/>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5">
    <w:nsid w:val="22357B37"/>
    <w:multiLevelType w:val="multilevel"/>
    <w:tmpl w:val="22357B37"/>
    <w:lvl w:ilvl="0" w:tentative="0">
      <w:start w:val="1"/>
      <w:numFmt w:val="decimal"/>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6">
    <w:nsid w:val="26368315"/>
    <w:multiLevelType w:val="singleLevel"/>
    <w:tmpl w:val="26368315"/>
    <w:lvl w:ilvl="0" w:tentative="0">
      <w:start w:val="2"/>
      <w:numFmt w:val="chineseCounting"/>
      <w:suff w:val="space"/>
      <w:lvlText w:val="第%1章"/>
      <w:lvlJc w:val="left"/>
      <w:rPr>
        <w:rFonts w:hint="eastAsia"/>
      </w:rPr>
    </w:lvl>
  </w:abstractNum>
  <w:abstractNum w:abstractNumId="7">
    <w:nsid w:val="2B9F9580"/>
    <w:multiLevelType w:val="singleLevel"/>
    <w:tmpl w:val="2B9F9580"/>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8">
    <w:nsid w:val="425D1158"/>
    <w:multiLevelType w:val="singleLevel"/>
    <w:tmpl w:val="425D1158"/>
    <w:lvl w:ilvl="0" w:tentative="0">
      <w:start w:val="1"/>
      <w:numFmt w:val="bullet"/>
      <w:pStyle w:val="21"/>
      <w:lvlText w:val=""/>
      <w:lvlJc w:val="left"/>
      <w:pPr>
        <w:tabs>
          <w:tab w:val="left" w:pos="780"/>
        </w:tabs>
        <w:ind w:left="780" w:hanging="360"/>
      </w:pPr>
      <w:rPr>
        <w:rFonts w:hint="default" w:ascii="Wingdings" w:hAnsi="Wingdings"/>
      </w:rPr>
    </w:lvl>
  </w:abstractNum>
  <w:abstractNum w:abstractNumId="9">
    <w:nsid w:val="64D212D5"/>
    <w:multiLevelType w:val="multilevel"/>
    <w:tmpl w:val="64D212D5"/>
    <w:lvl w:ilvl="0" w:tentative="0">
      <w:start w:val="1"/>
      <w:numFmt w:val="decimal"/>
      <w:lvlText w:val="%1."/>
      <w:lvlJc w:val="left"/>
      <w:pPr>
        <w:ind w:left="440" w:hanging="44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num w:numId="1">
    <w:abstractNumId w:val="7"/>
  </w:num>
  <w:num w:numId="2">
    <w:abstractNumId w:val="0"/>
  </w:num>
  <w:num w:numId="3">
    <w:abstractNumId w:val="8"/>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22F61"/>
    <w:rsid w:val="00023E88"/>
    <w:rsid w:val="00025361"/>
    <w:rsid w:val="00026F8B"/>
    <w:rsid w:val="00033F4E"/>
    <w:rsid w:val="00042144"/>
    <w:rsid w:val="000442EE"/>
    <w:rsid w:val="00047125"/>
    <w:rsid w:val="000550F5"/>
    <w:rsid w:val="0006620D"/>
    <w:rsid w:val="00066544"/>
    <w:rsid w:val="000766B3"/>
    <w:rsid w:val="00076C6F"/>
    <w:rsid w:val="00077FB6"/>
    <w:rsid w:val="00082601"/>
    <w:rsid w:val="00087430"/>
    <w:rsid w:val="00091B71"/>
    <w:rsid w:val="00096B04"/>
    <w:rsid w:val="000A1056"/>
    <w:rsid w:val="000B025A"/>
    <w:rsid w:val="000B3FF9"/>
    <w:rsid w:val="000B69A0"/>
    <w:rsid w:val="000C1F0C"/>
    <w:rsid w:val="000C5B78"/>
    <w:rsid w:val="000C7955"/>
    <w:rsid w:val="000F21D7"/>
    <w:rsid w:val="00110258"/>
    <w:rsid w:val="0011285F"/>
    <w:rsid w:val="001151C2"/>
    <w:rsid w:val="001222EC"/>
    <w:rsid w:val="00150F15"/>
    <w:rsid w:val="00157DD7"/>
    <w:rsid w:val="0016032B"/>
    <w:rsid w:val="00167A04"/>
    <w:rsid w:val="00196718"/>
    <w:rsid w:val="001B3EF2"/>
    <w:rsid w:val="001E36E4"/>
    <w:rsid w:val="00201A4E"/>
    <w:rsid w:val="0020205E"/>
    <w:rsid w:val="00207C17"/>
    <w:rsid w:val="00221B46"/>
    <w:rsid w:val="00247CAE"/>
    <w:rsid w:val="00252005"/>
    <w:rsid w:val="0025594D"/>
    <w:rsid w:val="00272931"/>
    <w:rsid w:val="00272D55"/>
    <w:rsid w:val="00290C54"/>
    <w:rsid w:val="002B2A4F"/>
    <w:rsid w:val="002B431F"/>
    <w:rsid w:val="002C27E7"/>
    <w:rsid w:val="002C32A5"/>
    <w:rsid w:val="002C32BD"/>
    <w:rsid w:val="002D4C35"/>
    <w:rsid w:val="002E24DE"/>
    <w:rsid w:val="002E4834"/>
    <w:rsid w:val="002F4922"/>
    <w:rsid w:val="00302939"/>
    <w:rsid w:val="00307CFA"/>
    <w:rsid w:val="00325A01"/>
    <w:rsid w:val="00331287"/>
    <w:rsid w:val="003606A0"/>
    <w:rsid w:val="00380FB9"/>
    <w:rsid w:val="00381741"/>
    <w:rsid w:val="00386DAE"/>
    <w:rsid w:val="00390FE6"/>
    <w:rsid w:val="0039143B"/>
    <w:rsid w:val="003A502B"/>
    <w:rsid w:val="003B59AC"/>
    <w:rsid w:val="003C7BD8"/>
    <w:rsid w:val="003D396D"/>
    <w:rsid w:val="003D58FD"/>
    <w:rsid w:val="0040335B"/>
    <w:rsid w:val="00406FBD"/>
    <w:rsid w:val="004152E9"/>
    <w:rsid w:val="0041580A"/>
    <w:rsid w:val="004158D1"/>
    <w:rsid w:val="00420EB5"/>
    <w:rsid w:val="0042178D"/>
    <w:rsid w:val="004322FF"/>
    <w:rsid w:val="004373E5"/>
    <w:rsid w:val="00463C96"/>
    <w:rsid w:val="00477D0E"/>
    <w:rsid w:val="00480E67"/>
    <w:rsid w:val="00495440"/>
    <w:rsid w:val="004A0076"/>
    <w:rsid w:val="004B4993"/>
    <w:rsid w:val="004C3A05"/>
    <w:rsid w:val="004D7C0F"/>
    <w:rsid w:val="004E7187"/>
    <w:rsid w:val="004F219E"/>
    <w:rsid w:val="004F278E"/>
    <w:rsid w:val="004F32D2"/>
    <w:rsid w:val="005105A9"/>
    <w:rsid w:val="0051071B"/>
    <w:rsid w:val="00511753"/>
    <w:rsid w:val="00512300"/>
    <w:rsid w:val="0051450A"/>
    <w:rsid w:val="00515927"/>
    <w:rsid w:val="00532AEB"/>
    <w:rsid w:val="00535D78"/>
    <w:rsid w:val="00537497"/>
    <w:rsid w:val="00551308"/>
    <w:rsid w:val="005728B2"/>
    <w:rsid w:val="00582FF7"/>
    <w:rsid w:val="00592882"/>
    <w:rsid w:val="005A5F5B"/>
    <w:rsid w:val="005B449F"/>
    <w:rsid w:val="005C5D17"/>
    <w:rsid w:val="005D0F5A"/>
    <w:rsid w:val="005E2CA7"/>
    <w:rsid w:val="005F348C"/>
    <w:rsid w:val="005F541D"/>
    <w:rsid w:val="0061082D"/>
    <w:rsid w:val="00611BD0"/>
    <w:rsid w:val="006141F8"/>
    <w:rsid w:val="006325B8"/>
    <w:rsid w:val="00650A94"/>
    <w:rsid w:val="00664E54"/>
    <w:rsid w:val="00682808"/>
    <w:rsid w:val="006A2145"/>
    <w:rsid w:val="006A295E"/>
    <w:rsid w:val="006B42D1"/>
    <w:rsid w:val="006C6D2C"/>
    <w:rsid w:val="006D34C6"/>
    <w:rsid w:val="006D5483"/>
    <w:rsid w:val="006E158A"/>
    <w:rsid w:val="006E5864"/>
    <w:rsid w:val="006F3D7C"/>
    <w:rsid w:val="007030EB"/>
    <w:rsid w:val="0071122F"/>
    <w:rsid w:val="0073490D"/>
    <w:rsid w:val="00735B44"/>
    <w:rsid w:val="007432E2"/>
    <w:rsid w:val="007505A7"/>
    <w:rsid w:val="007600F2"/>
    <w:rsid w:val="007739BB"/>
    <w:rsid w:val="00790899"/>
    <w:rsid w:val="00794230"/>
    <w:rsid w:val="007A1223"/>
    <w:rsid w:val="007B3911"/>
    <w:rsid w:val="007E30F2"/>
    <w:rsid w:val="007F5D46"/>
    <w:rsid w:val="007F6097"/>
    <w:rsid w:val="00810485"/>
    <w:rsid w:val="0082390A"/>
    <w:rsid w:val="00824A0E"/>
    <w:rsid w:val="00826AB1"/>
    <w:rsid w:val="00835D3B"/>
    <w:rsid w:val="00856546"/>
    <w:rsid w:val="008577E0"/>
    <w:rsid w:val="008640D3"/>
    <w:rsid w:val="00871C14"/>
    <w:rsid w:val="00874F58"/>
    <w:rsid w:val="008A0789"/>
    <w:rsid w:val="008A1D00"/>
    <w:rsid w:val="008A3A52"/>
    <w:rsid w:val="008B0041"/>
    <w:rsid w:val="008B452D"/>
    <w:rsid w:val="008B7ADB"/>
    <w:rsid w:val="008C2449"/>
    <w:rsid w:val="008E3002"/>
    <w:rsid w:val="008E75E0"/>
    <w:rsid w:val="00904310"/>
    <w:rsid w:val="009100B1"/>
    <w:rsid w:val="00912467"/>
    <w:rsid w:val="00937FD1"/>
    <w:rsid w:val="00941CEF"/>
    <w:rsid w:val="00952B82"/>
    <w:rsid w:val="009577EF"/>
    <w:rsid w:val="00966550"/>
    <w:rsid w:val="00974E89"/>
    <w:rsid w:val="0098363B"/>
    <w:rsid w:val="00997848"/>
    <w:rsid w:val="009B3263"/>
    <w:rsid w:val="009B60A2"/>
    <w:rsid w:val="009D586D"/>
    <w:rsid w:val="009E007B"/>
    <w:rsid w:val="00A0229B"/>
    <w:rsid w:val="00A050EF"/>
    <w:rsid w:val="00A075A5"/>
    <w:rsid w:val="00A3757E"/>
    <w:rsid w:val="00A45D2B"/>
    <w:rsid w:val="00A52A3E"/>
    <w:rsid w:val="00A73CA8"/>
    <w:rsid w:val="00A747F2"/>
    <w:rsid w:val="00A75607"/>
    <w:rsid w:val="00A80B39"/>
    <w:rsid w:val="00A8691E"/>
    <w:rsid w:val="00A969DA"/>
    <w:rsid w:val="00AA18B8"/>
    <w:rsid w:val="00AA28BD"/>
    <w:rsid w:val="00B15929"/>
    <w:rsid w:val="00B31EA7"/>
    <w:rsid w:val="00B42EAF"/>
    <w:rsid w:val="00B6287A"/>
    <w:rsid w:val="00B64266"/>
    <w:rsid w:val="00B763DF"/>
    <w:rsid w:val="00B76EAB"/>
    <w:rsid w:val="00B837C6"/>
    <w:rsid w:val="00B90075"/>
    <w:rsid w:val="00BA02CA"/>
    <w:rsid w:val="00BA28B1"/>
    <w:rsid w:val="00BA5B28"/>
    <w:rsid w:val="00BB6862"/>
    <w:rsid w:val="00BB6A74"/>
    <w:rsid w:val="00BB70CC"/>
    <w:rsid w:val="00BD1413"/>
    <w:rsid w:val="00BE23FE"/>
    <w:rsid w:val="00BF2E18"/>
    <w:rsid w:val="00C1174C"/>
    <w:rsid w:val="00C13A44"/>
    <w:rsid w:val="00C16E3D"/>
    <w:rsid w:val="00C2322D"/>
    <w:rsid w:val="00C33AD1"/>
    <w:rsid w:val="00C41B07"/>
    <w:rsid w:val="00C44574"/>
    <w:rsid w:val="00C553FE"/>
    <w:rsid w:val="00C5603A"/>
    <w:rsid w:val="00C564EB"/>
    <w:rsid w:val="00C75586"/>
    <w:rsid w:val="00C75EE2"/>
    <w:rsid w:val="00C83C92"/>
    <w:rsid w:val="00C92E20"/>
    <w:rsid w:val="00CA03BD"/>
    <w:rsid w:val="00CA23F0"/>
    <w:rsid w:val="00CA52D2"/>
    <w:rsid w:val="00CB7F51"/>
    <w:rsid w:val="00CC51F0"/>
    <w:rsid w:val="00D002D6"/>
    <w:rsid w:val="00D04F67"/>
    <w:rsid w:val="00D05226"/>
    <w:rsid w:val="00D0564E"/>
    <w:rsid w:val="00D1050C"/>
    <w:rsid w:val="00D17A63"/>
    <w:rsid w:val="00D24718"/>
    <w:rsid w:val="00D3516F"/>
    <w:rsid w:val="00D45252"/>
    <w:rsid w:val="00D512D8"/>
    <w:rsid w:val="00D5562B"/>
    <w:rsid w:val="00D6029C"/>
    <w:rsid w:val="00D93984"/>
    <w:rsid w:val="00DA7BA7"/>
    <w:rsid w:val="00DC15E4"/>
    <w:rsid w:val="00DD4A30"/>
    <w:rsid w:val="00DE241C"/>
    <w:rsid w:val="00DF3A0E"/>
    <w:rsid w:val="00E0459D"/>
    <w:rsid w:val="00E04C31"/>
    <w:rsid w:val="00E13287"/>
    <w:rsid w:val="00E15A45"/>
    <w:rsid w:val="00E31E31"/>
    <w:rsid w:val="00E328E5"/>
    <w:rsid w:val="00E33521"/>
    <w:rsid w:val="00E41C2B"/>
    <w:rsid w:val="00E677C4"/>
    <w:rsid w:val="00EA256C"/>
    <w:rsid w:val="00EA5CA1"/>
    <w:rsid w:val="00EB1CB8"/>
    <w:rsid w:val="00EB594B"/>
    <w:rsid w:val="00EB6CA4"/>
    <w:rsid w:val="00EC7F27"/>
    <w:rsid w:val="00ED472A"/>
    <w:rsid w:val="00EE19B1"/>
    <w:rsid w:val="00EF3C16"/>
    <w:rsid w:val="00EF4667"/>
    <w:rsid w:val="00F06607"/>
    <w:rsid w:val="00F123D7"/>
    <w:rsid w:val="00F4647F"/>
    <w:rsid w:val="00F516AD"/>
    <w:rsid w:val="00F63855"/>
    <w:rsid w:val="00F667D3"/>
    <w:rsid w:val="00F66FA3"/>
    <w:rsid w:val="00F677E5"/>
    <w:rsid w:val="00F67A0A"/>
    <w:rsid w:val="00F7116A"/>
    <w:rsid w:val="00F7332B"/>
    <w:rsid w:val="00F85372"/>
    <w:rsid w:val="00F8617B"/>
    <w:rsid w:val="00F96566"/>
    <w:rsid w:val="00FC04E3"/>
    <w:rsid w:val="00FD2564"/>
    <w:rsid w:val="00FD2674"/>
    <w:rsid w:val="00FE5726"/>
    <w:rsid w:val="019874D1"/>
    <w:rsid w:val="01E36329"/>
    <w:rsid w:val="030D5B68"/>
    <w:rsid w:val="033F0A2C"/>
    <w:rsid w:val="03A74AAC"/>
    <w:rsid w:val="03D101EC"/>
    <w:rsid w:val="050564FC"/>
    <w:rsid w:val="06BC13FF"/>
    <w:rsid w:val="06C13ABA"/>
    <w:rsid w:val="07751477"/>
    <w:rsid w:val="088A3C0C"/>
    <w:rsid w:val="08A22B86"/>
    <w:rsid w:val="08DB055E"/>
    <w:rsid w:val="08F513DA"/>
    <w:rsid w:val="093F6086"/>
    <w:rsid w:val="0995027D"/>
    <w:rsid w:val="09A73232"/>
    <w:rsid w:val="09D803DC"/>
    <w:rsid w:val="0A8665B7"/>
    <w:rsid w:val="0AE0724A"/>
    <w:rsid w:val="0AFA42C5"/>
    <w:rsid w:val="0B3D5FCB"/>
    <w:rsid w:val="0BF62B16"/>
    <w:rsid w:val="0CAE2DE7"/>
    <w:rsid w:val="0CE13B3E"/>
    <w:rsid w:val="0CF044A5"/>
    <w:rsid w:val="0D4F2B8B"/>
    <w:rsid w:val="0DFC6E71"/>
    <w:rsid w:val="0EFE40CF"/>
    <w:rsid w:val="0F853A69"/>
    <w:rsid w:val="105559B3"/>
    <w:rsid w:val="113D7A62"/>
    <w:rsid w:val="114570F3"/>
    <w:rsid w:val="11CF4443"/>
    <w:rsid w:val="128505D7"/>
    <w:rsid w:val="129C766D"/>
    <w:rsid w:val="12A366F5"/>
    <w:rsid w:val="12CA21B0"/>
    <w:rsid w:val="12D405A0"/>
    <w:rsid w:val="130167D3"/>
    <w:rsid w:val="131E7408"/>
    <w:rsid w:val="13254054"/>
    <w:rsid w:val="136B6D03"/>
    <w:rsid w:val="13746B1F"/>
    <w:rsid w:val="13905BC1"/>
    <w:rsid w:val="14107D1A"/>
    <w:rsid w:val="143C6801"/>
    <w:rsid w:val="14891876"/>
    <w:rsid w:val="14E87377"/>
    <w:rsid w:val="15AA50E8"/>
    <w:rsid w:val="15B45EF5"/>
    <w:rsid w:val="161F6358"/>
    <w:rsid w:val="16344267"/>
    <w:rsid w:val="166958B5"/>
    <w:rsid w:val="16912669"/>
    <w:rsid w:val="172840D4"/>
    <w:rsid w:val="173E7BAD"/>
    <w:rsid w:val="1754074B"/>
    <w:rsid w:val="1798232A"/>
    <w:rsid w:val="17BC5B99"/>
    <w:rsid w:val="17FA2967"/>
    <w:rsid w:val="18502FFE"/>
    <w:rsid w:val="185C7304"/>
    <w:rsid w:val="1907573A"/>
    <w:rsid w:val="1A065DC3"/>
    <w:rsid w:val="1A375E71"/>
    <w:rsid w:val="1A5C63C4"/>
    <w:rsid w:val="1ADE7ECC"/>
    <w:rsid w:val="1BF10299"/>
    <w:rsid w:val="1D0B1018"/>
    <w:rsid w:val="1D11090B"/>
    <w:rsid w:val="1D3C254D"/>
    <w:rsid w:val="1E0508CE"/>
    <w:rsid w:val="1E2819A6"/>
    <w:rsid w:val="1FB6357B"/>
    <w:rsid w:val="1FE84E43"/>
    <w:rsid w:val="201A256D"/>
    <w:rsid w:val="201B0BB3"/>
    <w:rsid w:val="21434E72"/>
    <w:rsid w:val="219F6BD1"/>
    <w:rsid w:val="21B92876"/>
    <w:rsid w:val="21DC1180"/>
    <w:rsid w:val="22165FC1"/>
    <w:rsid w:val="222E6F7B"/>
    <w:rsid w:val="22757192"/>
    <w:rsid w:val="23864A5D"/>
    <w:rsid w:val="241636EE"/>
    <w:rsid w:val="244D4992"/>
    <w:rsid w:val="24757D5C"/>
    <w:rsid w:val="24920434"/>
    <w:rsid w:val="24A8700F"/>
    <w:rsid w:val="24BB6DB1"/>
    <w:rsid w:val="25493646"/>
    <w:rsid w:val="25606D56"/>
    <w:rsid w:val="25C35F76"/>
    <w:rsid w:val="25C74647"/>
    <w:rsid w:val="26021CBE"/>
    <w:rsid w:val="26505D4C"/>
    <w:rsid w:val="26516373"/>
    <w:rsid w:val="26F94E03"/>
    <w:rsid w:val="271A1F21"/>
    <w:rsid w:val="280E1ADD"/>
    <w:rsid w:val="290167D3"/>
    <w:rsid w:val="29344804"/>
    <w:rsid w:val="2A8C0EFA"/>
    <w:rsid w:val="2AC82FD4"/>
    <w:rsid w:val="2AD02EB1"/>
    <w:rsid w:val="2BDD5797"/>
    <w:rsid w:val="2C194708"/>
    <w:rsid w:val="2CC331FD"/>
    <w:rsid w:val="2CCA04A3"/>
    <w:rsid w:val="2CD83A18"/>
    <w:rsid w:val="2D1047FE"/>
    <w:rsid w:val="2D6C2CA7"/>
    <w:rsid w:val="2DED0D1F"/>
    <w:rsid w:val="2E15390D"/>
    <w:rsid w:val="2EC43793"/>
    <w:rsid w:val="2FD81D74"/>
    <w:rsid w:val="303632A7"/>
    <w:rsid w:val="30BB7FBB"/>
    <w:rsid w:val="30ED6442"/>
    <w:rsid w:val="31493A4D"/>
    <w:rsid w:val="317174A6"/>
    <w:rsid w:val="31F005E4"/>
    <w:rsid w:val="32FF5E98"/>
    <w:rsid w:val="33003623"/>
    <w:rsid w:val="3364747B"/>
    <w:rsid w:val="336A38E6"/>
    <w:rsid w:val="34383BDA"/>
    <w:rsid w:val="34C630A6"/>
    <w:rsid w:val="34D6065A"/>
    <w:rsid w:val="35105AF3"/>
    <w:rsid w:val="35FF0824"/>
    <w:rsid w:val="367D2A73"/>
    <w:rsid w:val="36C02D33"/>
    <w:rsid w:val="36E447B9"/>
    <w:rsid w:val="371B0D28"/>
    <w:rsid w:val="37294BDE"/>
    <w:rsid w:val="375004A1"/>
    <w:rsid w:val="37A50775"/>
    <w:rsid w:val="37F92931"/>
    <w:rsid w:val="38352256"/>
    <w:rsid w:val="38E724B8"/>
    <w:rsid w:val="38FE1FBD"/>
    <w:rsid w:val="390F39AA"/>
    <w:rsid w:val="3A86400A"/>
    <w:rsid w:val="3A885DF8"/>
    <w:rsid w:val="3AFD2A24"/>
    <w:rsid w:val="3B12471E"/>
    <w:rsid w:val="3B543BE4"/>
    <w:rsid w:val="3D1C20F5"/>
    <w:rsid w:val="3D7D0244"/>
    <w:rsid w:val="3D7F0546"/>
    <w:rsid w:val="3F975E28"/>
    <w:rsid w:val="3FA20D7B"/>
    <w:rsid w:val="3FDF0D9C"/>
    <w:rsid w:val="41640EB6"/>
    <w:rsid w:val="42872B5D"/>
    <w:rsid w:val="42A06A3C"/>
    <w:rsid w:val="433B0B2A"/>
    <w:rsid w:val="435D160E"/>
    <w:rsid w:val="43E47813"/>
    <w:rsid w:val="444D4EF7"/>
    <w:rsid w:val="44641AC8"/>
    <w:rsid w:val="447079F7"/>
    <w:rsid w:val="44FE41E7"/>
    <w:rsid w:val="44FF513A"/>
    <w:rsid w:val="451F3698"/>
    <w:rsid w:val="45614EB8"/>
    <w:rsid w:val="45A602D1"/>
    <w:rsid w:val="45B6577B"/>
    <w:rsid w:val="460D5BCD"/>
    <w:rsid w:val="468278E6"/>
    <w:rsid w:val="46CE00FB"/>
    <w:rsid w:val="46DC0CE7"/>
    <w:rsid w:val="49165230"/>
    <w:rsid w:val="49234FAC"/>
    <w:rsid w:val="493041AC"/>
    <w:rsid w:val="4A5A3B51"/>
    <w:rsid w:val="4B3F510C"/>
    <w:rsid w:val="4BB65798"/>
    <w:rsid w:val="4BBC17AA"/>
    <w:rsid w:val="4BF10A2C"/>
    <w:rsid w:val="4C4208EE"/>
    <w:rsid w:val="4CFC296A"/>
    <w:rsid w:val="4D6107D4"/>
    <w:rsid w:val="4D800D3B"/>
    <w:rsid w:val="4D9F7710"/>
    <w:rsid w:val="4DB14BCF"/>
    <w:rsid w:val="4DCC2E9C"/>
    <w:rsid w:val="4DEE642A"/>
    <w:rsid w:val="4DF97B48"/>
    <w:rsid w:val="4E1543E8"/>
    <w:rsid w:val="4E40254C"/>
    <w:rsid w:val="4EF424FC"/>
    <w:rsid w:val="4F8110B7"/>
    <w:rsid w:val="4F933D0F"/>
    <w:rsid w:val="506D4592"/>
    <w:rsid w:val="507C62DD"/>
    <w:rsid w:val="50BF5731"/>
    <w:rsid w:val="50F90771"/>
    <w:rsid w:val="5172738F"/>
    <w:rsid w:val="51B77244"/>
    <w:rsid w:val="51D53635"/>
    <w:rsid w:val="52042243"/>
    <w:rsid w:val="52385729"/>
    <w:rsid w:val="52DA52F6"/>
    <w:rsid w:val="5317355C"/>
    <w:rsid w:val="53307101"/>
    <w:rsid w:val="53B80121"/>
    <w:rsid w:val="540029D4"/>
    <w:rsid w:val="54F872CD"/>
    <w:rsid w:val="550753CE"/>
    <w:rsid w:val="55163C52"/>
    <w:rsid w:val="552A296B"/>
    <w:rsid w:val="55482A3A"/>
    <w:rsid w:val="557F77F3"/>
    <w:rsid w:val="559E091D"/>
    <w:rsid w:val="564B6219"/>
    <w:rsid w:val="574036C7"/>
    <w:rsid w:val="574B068E"/>
    <w:rsid w:val="57B503D9"/>
    <w:rsid w:val="58053921"/>
    <w:rsid w:val="58D50AA5"/>
    <w:rsid w:val="58D91320"/>
    <w:rsid w:val="590803BD"/>
    <w:rsid w:val="591E2269"/>
    <w:rsid w:val="591F662B"/>
    <w:rsid w:val="595D173E"/>
    <w:rsid w:val="59C00D01"/>
    <w:rsid w:val="5A596738"/>
    <w:rsid w:val="5A64590F"/>
    <w:rsid w:val="5B016795"/>
    <w:rsid w:val="5C590A9F"/>
    <w:rsid w:val="5C5F7C1B"/>
    <w:rsid w:val="5CB34F40"/>
    <w:rsid w:val="5CED41B0"/>
    <w:rsid w:val="5D1C6C66"/>
    <w:rsid w:val="5D277D14"/>
    <w:rsid w:val="5D5552CD"/>
    <w:rsid w:val="5DBD392A"/>
    <w:rsid w:val="5DBD7262"/>
    <w:rsid w:val="5E133531"/>
    <w:rsid w:val="5E6131AA"/>
    <w:rsid w:val="5ECD5376"/>
    <w:rsid w:val="5FB827D3"/>
    <w:rsid w:val="5FC81660"/>
    <w:rsid w:val="5FE64E23"/>
    <w:rsid w:val="60395667"/>
    <w:rsid w:val="61634383"/>
    <w:rsid w:val="61931AD5"/>
    <w:rsid w:val="61965A39"/>
    <w:rsid w:val="61EA1256"/>
    <w:rsid w:val="62027DCB"/>
    <w:rsid w:val="62403F00"/>
    <w:rsid w:val="624B5B3C"/>
    <w:rsid w:val="62B40D3D"/>
    <w:rsid w:val="62EA3E6A"/>
    <w:rsid w:val="63BD68CB"/>
    <w:rsid w:val="63D2427C"/>
    <w:rsid w:val="63D87E03"/>
    <w:rsid w:val="647A73BB"/>
    <w:rsid w:val="647C1FC7"/>
    <w:rsid w:val="65081DEE"/>
    <w:rsid w:val="65843571"/>
    <w:rsid w:val="659B10A9"/>
    <w:rsid w:val="65C72CDF"/>
    <w:rsid w:val="66533FE7"/>
    <w:rsid w:val="666106F4"/>
    <w:rsid w:val="668043D1"/>
    <w:rsid w:val="66994371"/>
    <w:rsid w:val="67B42E09"/>
    <w:rsid w:val="67EE0225"/>
    <w:rsid w:val="68103613"/>
    <w:rsid w:val="69384FEB"/>
    <w:rsid w:val="69565452"/>
    <w:rsid w:val="6A401B90"/>
    <w:rsid w:val="6B7C4F42"/>
    <w:rsid w:val="6BE83DFD"/>
    <w:rsid w:val="6CE31D51"/>
    <w:rsid w:val="6CFB48B3"/>
    <w:rsid w:val="6D4A2BEE"/>
    <w:rsid w:val="6D582400"/>
    <w:rsid w:val="6D6A0801"/>
    <w:rsid w:val="6D7A1AA2"/>
    <w:rsid w:val="6DA700C4"/>
    <w:rsid w:val="6DD21EDE"/>
    <w:rsid w:val="6E7C0E27"/>
    <w:rsid w:val="6EE601AB"/>
    <w:rsid w:val="6F286FD3"/>
    <w:rsid w:val="6F4F2504"/>
    <w:rsid w:val="6F5140F5"/>
    <w:rsid w:val="6FBF2B9C"/>
    <w:rsid w:val="6FE21452"/>
    <w:rsid w:val="70103B63"/>
    <w:rsid w:val="70687A06"/>
    <w:rsid w:val="70D16C3A"/>
    <w:rsid w:val="70E97472"/>
    <w:rsid w:val="716F0B64"/>
    <w:rsid w:val="727017A2"/>
    <w:rsid w:val="72840F6C"/>
    <w:rsid w:val="72EB2B55"/>
    <w:rsid w:val="72FD6FCD"/>
    <w:rsid w:val="738D3A52"/>
    <w:rsid w:val="74B81834"/>
    <w:rsid w:val="74D908CB"/>
    <w:rsid w:val="751C396C"/>
    <w:rsid w:val="7564262A"/>
    <w:rsid w:val="75E81314"/>
    <w:rsid w:val="764E3D4E"/>
    <w:rsid w:val="765A449F"/>
    <w:rsid w:val="76D46F31"/>
    <w:rsid w:val="771630A2"/>
    <w:rsid w:val="77617AE9"/>
    <w:rsid w:val="785C6E37"/>
    <w:rsid w:val="78695823"/>
    <w:rsid w:val="78C64267"/>
    <w:rsid w:val="78C9450A"/>
    <w:rsid w:val="79786860"/>
    <w:rsid w:val="7A027AC4"/>
    <w:rsid w:val="7A803E13"/>
    <w:rsid w:val="7ADA6E5C"/>
    <w:rsid w:val="7B456551"/>
    <w:rsid w:val="7B9B33C3"/>
    <w:rsid w:val="7C087A46"/>
    <w:rsid w:val="7C813895"/>
    <w:rsid w:val="7CDE2ED7"/>
    <w:rsid w:val="7D0B18A8"/>
    <w:rsid w:val="7D6274A4"/>
    <w:rsid w:val="7E4360FD"/>
    <w:rsid w:val="7E6065D4"/>
    <w:rsid w:val="7E7F7F16"/>
    <w:rsid w:val="7F352976"/>
    <w:rsid w:val="7F5C4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9"/>
    <w:pPr>
      <w:widowControl w:val="0"/>
      <w:spacing w:line="271" w:lineRule="auto"/>
      <w:jc w:val="both"/>
      <w:outlineLvl w:val="3"/>
    </w:pPr>
    <w:rPr>
      <w:rFonts w:ascii="Times New Roman" w:hAnsi="Times New Roman" w:cs="Times New Roman"/>
      <w:b/>
      <w:bCs/>
      <w:spacing w:val="5"/>
      <w:kern w:val="2"/>
      <w:sz w:val="28"/>
    </w:rPr>
  </w:style>
  <w:style w:type="character" w:default="1" w:styleId="43">
    <w:name w:val="Default Paragraph Font"/>
    <w:qFormat/>
    <w:uiPriority w:val="0"/>
  </w:style>
  <w:style w:type="table" w:default="1" w:styleId="41">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customStyle="1" w:styleId="2">
    <w:name w:val="BodyText1I"/>
    <w:basedOn w:val="3"/>
    <w:next w:val="4"/>
    <w:qFormat/>
    <w:uiPriority w:val="0"/>
    <w:pPr>
      <w:spacing w:after="120"/>
      <w:ind w:firstLine="420" w:firstLineChars="100"/>
      <w:jc w:val="both"/>
      <w:textAlignment w:val="baseline"/>
    </w:pPr>
  </w:style>
  <w:style w:type="paragraph" w:customStyle="1" w:styleId="3">
    <w:name w:val="BodyText"/>
    <w:basedOn w:val="1"/>
    <w:qFormat/>
    <w:uiPriority w:val="0"/>
    <w:pPr>
      <w:spacing w:after="120"/>
      <w:jc w:val="both"/>
      <w:textAlignment w:val="baseline"/>
    </w:pPr>
  </w:style>
  <w:style w:type="paragraph" w:customStyle="1" w:styleId="4">
    <w:name w:val="TOC6"/>
    <w:basedOn w:val="1"/>
    <w:next w:val="1"/>
    <w:qFormat/>
    <w:uiPriority w:val="0"/>
    <w:pPr>
      <w:ind w:left="2100" w:leftChars="1000"/>
      <w:jc w:val="both"/>
      <w:textAlignment w:val="baseline"/>
    </w:pPr>
  </w:style>
  <w:style w:type="paragraph" w:styleId="9">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0">
    <w:name w:val="Normal Indent"/>
    <w:basedOn w:val="1"/>
    <w:next w:val="1"/>
    <w:qFormat/>
    <w:uiPriority w:val="0"/>
    <w:pPr>
      <w:ind w:firstLine="420"/>
    </w:pPr>
    <w:rPr>
      <w:sz w:val="21"/>
      <w:szCs w:val="20"/>
    </w:rPr>
  </w:style>
  <w:style w:type="paragraph" w:styleId="11">
    <w:name w:val="caption"/>
    <w:basedOn w:val="1"/>
    <w:next w:val="1"/>
    <w:qFormat/>
    <w:uiPriority w:val="0"/>
    <w:pPr>
      <w:spacing w:before="152" w:beforeLines="0" w:after="160" w:afterLines="0"/>
    </w:pPr>
    <w:rPr>
      <w:rFonts w:ascii="Arial" w:hAnsi="Arial" w:eastAsia="黑体" w:cs="Arial"/>
      <w:sz w:val="20"/>
      <w:szCs w:val="20"/>
    </w:rPr>
  </w:style>
  <w:style w:type="paragraph" w:styleId="12">
    <w:name w:val="List Bullet"/>
    <w:basedOn w:val="1"/>
    <w:next w:val="1"/>
    <w:unhideWhenUsed/>
    <w:qFormat/>
    <w:uiPriority w:val="99"/>
    <w:pPr>
      <w:numPr>
        <w:ilvl w:val="0"/>
        <w:numId w:val="1"/>
      </w:numPr>
    </w:pPr>
  </w:style>
  <w:style w:type="paragraph" w:styleId="13">
    <w:name w:val="Document Map"/>
    <w:basedOn w:val="1"/>
    <w:link w:val="51"/>
    <w:qFormat/>
    <w:uiPriority w:val="0"/>
    <w:pPr>
      <w:adjustRightInd w:val="0"/>
      <w:snapToGrid w:val="0"/>
      <w:jc w:val="center"/>
      <w:outlineLvl w:val="0"/>
    </w:pPr>
    <w:rPr>
      <w:rFonts w:ascii="宋体" w:hAnsi="宋体"/>
      <w:sz w:val="21"/>
      <w:szCs w:val="21"/>
    </w:rPr>
  </w:style>
  <w:style w:type="paragraph" w:styleId="14">
    <w:name w:val="annotation text"/>
    <w:basedOn w:val="1"/>
    <w:link w:val="52"/>
    <w:unhideWhenUsed/>
    <w:qFormat/>
    <w:uiPriority w:val="99"/>
    <w:pPr>
      <w:jc w:val="left"/>
    </w:pPr>
  </w:style>
  <w:style w:type="paragraph" w:styleId="15">
    <w:name w:val="Body Text 3"/>
    <w:basedOn w:val="1"/>
    <w:qFormat/>
    <w:uiPriority w:val="0"/>
    <w:pPr>
      <w:snapToGrid w:val="0"/>
      <w:spacing w:before="50" w:beforeLines="0" w:after="50" w:afterLines="0"/>
    </w:pPr>
    <w:rPr>
      <w:rFonts w:hAnsi="宋体" w:eastAsia="仿宋_GB2312"/>
      <w:b/>
      <w:bCs/>
      <w:sz w:val="24"/>
      <w:szCs w:val="20"/>
    </w:rPr>
  </w:style>
  <w:style w:type="paragraph" w:styleId="16">
    <w:name w:val="Body Text"/>
    <w:basedOn w:val="1"/>
    <w:next w:val="1"/>
    <w:link w:val="53"/>
    <w:qFormat/>
    <w:uiPriority w:val="0"/>
    <w:pPr>
      <w:spacing w:after="120" w:afterLines="0"/>
    </w:pPr>
    <w:rPr>
      <w:sz w:val="21"/>
    </w:rPr>
  </w:style>
  <w:style w:type="paragraph" w:styleId="17">
    <w:name w:val="Body Text Indent"/>
    <w:basedOn w:val="1"/>
    <w:next w:val="1"/>
    <w:link w:val="54"/>
    <w:qFormat/>
    <w:uiPriority w:val="0"/>
    <w:pPr>
      <w:spacing w:line="200" w:lineRule="atLeast"/>
      <w:ind w:firstLine="301"/>
    </w:pPr>
    <w:rPr>
      <w:sz w:val="21"/>
    </w:rPr>
  </w:style>
  <w:style w:type="paragraph" w:styleId="18">
    <w:name w:val="List Number 3"/>
    <w:basedOn w:val="1"/>
    <w:qFormat/>
    <w:uiPriority w:val="0"/>
    <w:pPr>
      <w:numPr>
        <w:ilvl w:val="0"/>
        <w:numId w:val="2"/>
      </w:numPr>
      <w:tabs>
        <w:tab w:val="left" w:pos="1200"/>
      </w:tabs>
      <w:ind w:left="720"/>
    </w:pPr>
    <w:rPr>
      <w:sz w:val="21"/>
    </w:rPr>
  </w:style>
  <w:style w:type="paragraph" w:styleId="19">
    <w:name w:val="List 2"/>
    <w:basedOn w:val="1"/>
    <w:qFormat/>
    <w:uiPriority w:val="0"/>
    <w:pPr>
      <w:ind w:leftChars="200" w:hanging="200" w:hangingChars="200"/>
    </w:pPr>
  </w:style>
  <w:style w:type="paragraph" w:styleId="20">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1">
    <w:name w:val="List Bullet 2"/>
    <w:basedOn w:val="1"/>
    <w:next w:val="12"/>
    <w:unhideWhenUsed/>
    <w:qFormat/>
    <w:uiPriority w:val="99"/>
    <w:pPr>
      <w:numPr>
        <w:ilvl w:val="0"/>
        <w:numId w:val="3"/>
      </w:numPr>
    </w:pPr>
  </w:style>
  <w:style w:type="paragraph" w:styleId="22">
    <w:name w:val="Plain Text"/>
    <w:basedOn w:val="1"/>
    <w:next w:val="23"/>
    <w:link w:val="55"/>
    <w:qFormat/>
    <w:uiPriority w:val="0"/>
    <w:pPr>
      <w:spacing w:before="156" w:beforeLines="50" w:after="156" w:afterLines="50" w:line="400" w:lineRule="atLeast"/>
    </w:pPr>
    <w:rPr>
      <w:rFonts w:hint="eastAsia" w:ascii="宋体" w:hAnsi="Courier New"/>
      <w:b/>
      <w:sz w:val="24"/>
    </w:rPr>
  </w:style>
  <w:style w:type="paragraph" w:styleId="23">
    <w:name w:val="Date"/>
    <w:basedOn w:val="1"/>
    <w:next w:val="1"/>
    <w:qFormat/>
    <w:uiPriority w:val="0"/>
    <w:pPr>
      <w:ind w:leftChars="2500"/>
    </w:pPr>
    <w:rPr>
      <w:rFonts w:eastAsia="楷体_GB2312"/>
      <w:sz w:val="32"/>
      <w:szCs w:val="20"/>
    </w:rPr>
  </w:style>
  <w:style w:type="paragraph" w:styleId="24">
    <w:name w:val="Body Text Indent 2"/>
    <w:basedOn w:val="1"/>
    <w:qFormat/>
    <w:uiPriority w:val="0"/>
    <w:pPr>
      <w:snapToGrid w:val="0"/>
      <w:ind w:firstLine="542" w:firstLineChars="225"/>
    </w:pPr>
    <w:rPr>
      <w:rFonts w:ascii="仿宋_GB2312" w:hAnsi="宋体" w:cs="Arial"/>
      <w:b/>
      <w:bCs/>
      <w:color w:val="000000"/>
      <w:sz w:val="24"/>
    </w:rPr>
  </w:style>
  <w:style w:type="paragraph" w:styleId="25">
    <w:name w:val="Balloon Text"/>
    <w:basedOn w:val="1"/>
    <w:link w:val="56"/>
    <w:qFormat/>
    <w:uiPriority w:val="0"/>
    <w:rPr>
      <w:sz w:val="18"/>
      <w:szCs w:val="18"/>
    </w:rPr>
  </w:style>
  <w:style w:type="paragraph" w:styleId="26">
    <w:name w:val="footer"/>
    <w:basedOn w:val="1"/>
    <w:link w:val="57"/>
    <w:qFormat/>
    <w:uiPriority w:val="0"/>
    <w:pPr>
      <w:tabs>
        <w:tab w:val="center" w:pos="4153"/>
        <w:tab w:val="right" w:pos="8306"/>
      </w:tabs>
      <w:snapToGrid w:val="0"/>
      <w:jc w:val="left"/>
    </w:pPr>
    <w:rPr>
      <w:sz w:val="18"/>
      <w:szCs w:val="18"/>
    </w:rPr>
  </w:style>
  <w:style w:type="paragraph" w:styleId="27">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rPr>
      <w:sz w:val="21"/>
    </w:rPr>
  </w:style>
  <w:style w:type="paragraph" w:styleId="29">
    <w:name w:val="Subtitle"/>
    <w:basedOn w:val="1"/>
    <w:next w:val="1"/>
    <w:qFormat/>
    <w:uiPriority w:val="11"/>
    <w:pPr>
      <w:spacing w:after="60"/>
      <w:jc w:val="center"/>
      <w:outlineLvl w:val="1"/>
    </w:pPr>
    <w:rPr>
      <w:rFonts w:ascii="Cambria" w:hAnsi="Cambria"/>
    </w:rPr>
  </w:style>
  <w:style w:type="paragraph" w:styleId="30">
    <w:name w:val="List"/>
    <w:basedOn w:val="1"/>
    <w:qFormat/>
    <w:uiPriority w:val="0"/>
    <w:pPr>
      <w:ind w:left="200" w:hanging="200" w:hangingChars="200"/>
    </w:pPr>
  </w:style>
  <w:style w:type="paragraph" w:styleId="31">
    <w:name w:val="footnote text"/>
    <w:basedOn w:val="1"/>
    <w:qFormat/>
    <w:uiPriority w:val="0"/>
    <w:pPr>
      <w:snapToGrid w:val="0"/>
      <w:jc w:val="left"/>
    </w:pPr>
    <w:rPr>
      <w:rFonts w:eastAsia="仿宋_GB2312"/>
      <w:sz w:val="18"/>
      <w:szCs w:val="20"/>
    </w:rPr>
  </w:style>
  <w:style w:type="paragraph" w:styleId="32">
    <w:name w:val="toc 6"/>
    <w:basedOn w:val="1"/>
    <w:next w:val="1"/>
    <w:qFormat/>
    <w:uiPriority w:val="39"/>
    <w:pPr>
      <w:ind w:left="1050"/>
      <w:jc w:val="left"/>
    </w:pPr>
    <w:rPr>
      <w:rFonts w:ascii="Calibri" w:hAnsi="Calibri" w:cs="Calibri"/>
      <w:sz w:val="18"/>
      <w:szCs w:val="18"/>
    </w:rPr>
  </w:style>
  <w:style w:type="paragraph" w:styleId="33">
    <w:name w:val="Body Text Indent 3"/>
    <w:basedOn w:val="1"/>
    <w:qFormat/>
    <w:uiPriority w:val="0"/>
    <w:pPr>
      <w:spacing w:after="120" w:afterLines="0"/>
      <w:ind w:left="420" w:leftChars="200"/>
    </w:pPr>
    <w:rPr>
      <w:sz w:val="16"/>
      <w:szCs w:val="16"/>
    </w:rPr>
  </w:style>
  <w:style w:type="paragraph" w:styleId="34">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6">
    <w:name w:val="Normal (Web)"/>
    <w:basedOn w:val="1"/>
    <w:link w:val="59"/>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7">
    <w:name w:val="Title"/>
    <w:basedOn w:val="1"/>
    <w:next w:val="1"/>
    <w:link w:val="60"/>
    <w:qFormat/>
    <w:uiPriority w:val="0"/>
    <w:pPr>
      <w:spacing w:before="240" w:beforeLines="0" w:after="60" w:afterLines="0"/>
      <w:jc w:val="center"/>
      <w:outlineLvl w:val="0"/>
    </w:pPr>
    <w:rPr>
      <w:rFonts w:ascii="Cambria" w:hAnsi="Cambria" w:eastAsia="Cambria"/>
      <w:b/>
      <w:sz w:val="32"/>
      <w:szCs w:val="32"/>
    </w:rPr>
  </w:style>
  <w:style w:type="paragraph" w:styleId="38">
    <w:name w:val="annotation subject"/>
    <w:basedOn w:val="14"/>
    <w:next w:val="14"/>
    <w:link w:val="61"/>
    <w:unhideWhenUsed/>
    <w:qFormat/>
    <w:uiPriority w:val="99"/>
    <w:rPr>
      <w:b/>
      <w:bCs/>
    </w:rPr>
  </w:style>
  <w:style w:type="paragraph" w:styleId="39">
    <w:name w:val="Body Text First Indent"/>
    <w:basedOn w:val="16"/>
    <w:next w:val="32"/>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40">
    <w:name w:val="Body Text First Indent 2"/>
    <w:basedOn w:val="17"/>
    <w:next w:val="1"/>
    <w:qFormat/>
    <w:uiPriority w:val="0"/>
    <w:pPr>
      <w:spacing w:after="120" w:afterLines="0" w:afterAutospacing="0" w:line="240" w:lineRule="auto"/>
      <w:ind w:left="420" w:leftChars="200" w:firstLine="420" w:firstLineChars="200"/>
    </w:pPr>
    <w:rPr>
      <w:rFonts w:ascii="等线" w:hAnsi="等线" w:eastAsia="等线"/>
      <w:sz w:val="21"/>
    </w:rPr>
  </w:style>
  <w:style w:type="table" w:styleId="42">
    <w:name w:val="Table Grid"/>
    <w:basedOn w:val="4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qFormat/>
    <w:uiPriority w:val="22"/>
    <w:rPr>
      <w:b/>
      <w:color w:val="000000"/>
    </w:rPr>
  </w:style>
  <w:style w:type="character" w:styleId="45">
    <w:name w:val="page number"/>
    <w:qFormat/>
    <w:uiPriority w:val="0"/>
  </w:style>
  <w:style w:type="character" w:styleId="46">
    <w:name w:val="FollowedHyperlink"/>
    <w:unhideWhenUsed/>
    <w:qFormat/>
    <w:uiPriority w:val="99"/>
    <w:rPr>
      <w:color w:val="800080"/>
      <w:u w:val="single"/>
    </w:rPr>
  </w:style>
  <w:style w:type="character" w:styleId="47">
    <w:name w:val="Hyperlink"/>
    <w:qFormat/>
    <w:uiPriority w:val="99"/>
    <w:rPr>
      <w:color w:val="0000FF"/>
      <w:u w:val="single"/>
    </w:rPr>
  </w:style>
  <w:style w:type="character" w:styleId="48">
    <w:name w:val="annotation reference"/>
    <w:unhideWhenUsed/>
    <w:qFormat/>
    <w:uiPriority w:val="99"/>
    <w:rPr>
      <w:sz w:val="21"/>
      <w:szCs w:val="21"/>
    </w:rPr>
  </w:style>
  <w:style w:type="character" w:styleId="49">
    <w:name w:val="footnote reference"/>
    <w:qFormat/>
    <w:uiPriority w:val="0"/>
    <w:rPr>
      <w:vertAlign w:val="superscript"/>
    </w:rPr>
  </w:style>
  <w:style w:type="paragraph" w:customStyle="1" w:styleId="50">
    <w:name w:val="样式 10 磅31114"/>
    <w:qFormat/>
    <w:uiPriority w:val="0"/>
    <w:pPr>
      <w:widowControl w:val="0"/>
      <w:jc w:val="both"/>
    </w:pPr>
    <w:rPr>
      <w:rFonts w:ascii="Calibri" w:hAnsi="Calibri" w:eastAsia="宋体" w:cs="Times New Roman"/>
      <w:kern w:val="2"/>
      <w:sz w:val="21"/>
      <w:szCs w:val="24"/>
      <w:lang w:val="en-US" w:eastAsia="zh-CN" w:bidi="ar-SA"/>
    </w:rPr>
  </w:style>
  <w:style w:type="character" w:customStyle="1" w:styleId="51">
    <w:name w:val="文档结构图 字符1"/>
    <w:link w:val="13"/>
    <w:qFormat/>
    <w:uiPriority w:val="0"/>
    <w:rPr>
      <w:rFonts w:ascii="宋体" w:hAnsi="宋体"/>
      <w:kern w:val="2"/>
      <w:sz w:val="21"/>
      <w:szCs w:val="21"/>
    </w:rPr>
  </w:style>
  <w:style w:type="character" w:customStyle="1" w:styleId="52">
    <w:name w:val="批注文字 字符"/>
    <w:link w:val="14"/>
    <w:semiHidden/>
    <w:qFormat/>
    <w:uiPriority w:val="99"/>
    <w:rPr>
      <w:kern w:val="2"/>
      <w:sz w:val="28"/>
      <w:szCs w:val="24"/>
    </w:rPr>
  </w:style>
  <w:style w:type="character" w:customStyle="1" w:styleId="53">
    <w:name w:val="正文文本 字符1"/>
    <w:link w:val="16"/>
    <w:qFormat/>
    <w:uiPriority w:val="0"/>
    <w:rPr>
      <w:kern w:val="2"/>
      <w:sz w:val="21"/>
      <w:szCs w:val="24"/>
    </w:rPr>
  </w:style>
  <w:style w:type="character" w:customStyle="1" w:styleId="54">
    <w:name w:val="正文文本缩进 字符"/>
    <w:link w:val="17"/>
    <w:qFormat/>
    <w:uiPriority w:val="0"/>
    <w:rPr>
      <w:kern w:val="2"/>
      <w:sz w:val="21"/>
      <w:szCs w:val="24"/>
    </w:rPr>
  </w:style>
  <w:style w:type="character" w:customStyle="1" w:styleId="55">
    <w:name w:val="纯文本 字符"/>
    <w:link w:val="22"/>
    <w:qFormat/>
    <w:uiPriority w:val="0"/>
    <w:rPr>
      <w:rFonts w:hint="eastAsia" w:ascii="宋体" w:hAnsi="Courier New" w:eastAsia="宋体" w:cs="宋体"/>
      <w:b/>
      <w:kern w:val="2"/>
      <w:sz w:val="24"/>
      <w:szCs w:val="24"/>
    </w:rPr>
  </w:style>
  <w:style w:type="character" w:customStyle="1" w:styleId="56">
    <w:name w:val="批注框文本 字符"/>
    <w:link w:val="25"/>
    <w:qFormat/>
    <w:uiPriority w:val="0"/>
    <w:rPr>
      <w:kern w:val="2"/>
      <w:sz w:val="18"/>
      <w:szCs w:val="18"/>
    </w:rPr>
  </w:style>
  <w:style w:type="character" w:customStyle="1" w:styleId="57">
    <w:name w:val="页脚 字符"/>
    <w:link w:val="26"/>
    <w:qFormat/>
    <w:uiPriority w:val="0"/>
    <w:rPr>
      <w:kern w:val="2"/>
      <w:sz w:val="18"/>
      <w:szCs w:val="18"/>
    </w:rPr>
  </w:style>
  <w:style w:type="character" w:customStyle="1" w:styleId="58">
    <w:name w:val="页眉 字符"/>
    <w:link w:val="27"/>
    <w:qFormat/>
    <w:uiPriority w:val="0"/>
    <w:rPr>
      <w:kern w:val="2"/>
      <w:sz w:val="18"/>
      <w:szCs w:val="18"/>
    </w:rPr>
  </w:style>
  <w:style w:type="character" w:customStyle="1" w:styleId="59">
    <w:name w:val="普通(网站) 字符"/>
    <w:link w:val="36"/>
    <w:qFormat/>
    <w:uiPriority w:val="0"/>
    <w:rPr>
      <w:rFonts w:hint="eastAsia" w:ascii="宋体" w:hAnsi="宋体" w:eastAsia="宋体" w:cs="宋体"/>
      <w:sz w:val="24"/>
      <w:szCs w:val="24"/>
    </w:rPr>
  </w:style>
  <w:style w:type="character" w:customStyle="1" w:styleId="60">
    <w:name w:val="标题 字符1"/>
    <w:link w:val="37"/>
    <w:qFormat/>
    <w:uiPriority w:val="0"/>
    <w:rPr>
      <w:rFonts w:ascii="Cambria" w:hAnsi="Cambria" w:eastAsia="Cambria" w:cs="Times New Roman"/>
      <w:b/>
      <w:kern w:val="2"/>
      <w:sz w:val="32"/>
      <w:szCs w:val="32"/>
    </w:rPr>
  </w:style>
  <w:style w:type="character" w:customStyle="1" w:styleId="61">
    <w:name w:val="批注主题 字符"/>
    <w:link w:val="38"/>
    <w:semiHidden/>
    <w:qFormat/>
    <w:uiPriority w:val="99"/>
    <w:rPr>
      <w:b/>
      <w:bCs/>
      <w:kern w:val="2"/>
      <w:sz w:val="28"/>
      <w:szCs w:val="24"/>
    </w:rPr>
  </w:style>
  <w:style w:type="character" w:customStyle="1" w:styleId="62">
    <w:name w:val="标题 字符"/>
    <w:qFormat/>
    <w:uiPriority w:val="0"/>
    <w:rPr>
      <w:rFonts w:ascii="Arial" w:hAnsi="Arial" w:eastAsia="宋体" w:cs="Arial"/>
      <w:b/>
      <w:bCs/>
      <w:kern w:val="2"/>
      <w:sz w:val="32"/>
      <w:szCs w:val="32"/>
      <w:lang w:val="en-US" w:eastAsia="zh-CN" w:bidi="ar-SA"/>
    </w:rPr>
  </w:style>
  <w:style w:type="character" w:customStyle="1" w:styleId="63">
    <w:name w:val="font31"/>
    <w:qFormat/>
    <w:uiPriority w:val="0"/>
    <w:rPr>
      <w:rFonts w:hint="eastAsia" w:ascii="宋体" w:hAnsi="宋体" w:eastAsia="宋体" w:cs="宋体"/>
      <w:color w:val="FF0000"/>
      <w:sz w:val="18"/>
      <w:szCs w:val="18"/>
      <w:u w:val="none"/>
    </w:rPr>
  </w:style>
  <w:style w:type="character" w:customStyle="1" w:styleId="64">
    <w:name w:val="font11"/>
    <w:qFormat/>
    <w:uiPriority w:val="0"/>
    <w:rPr>
      <w:rFonts w:hint="eastAsia" w:ascii="宋体" w:hAnsi="宋体" w:eastAsia="宋体" w:cs="宋体"/>
      <w:color w:val="000000"/>
      <w:sz w:val="20"/>
      <w:szCs w:val="20"/>
      <w:u w:val="none"/>
    </w:rPr>
  </w:style>
  <w:style w:type="character" w:customStyle="1" w:styleId="65">
    <w:name w:val="正文文本 字符"/>
    <w:qFormat/>
    <w:uiPriority w:val="0"/>
    <w:rPr>
      <w:kern w:val="2"/>
      <w:sz w:val="21"/>
      <w:szCs w:val="24"/>
    </w:rPr>
  </w:style>
  <w:style w:type="character" w:customStyle="1" w:styleId="66">
    <w:name w:val="文档结构图 字符"/>
    <w:semiHidden/>
    <w:qFormat/>
    <w:uiPriority w:val="99"/>
    <w:rPr>
      <w:rFonts w:ascii="Abel" w:hAnsi="Abel"/>
      <w:kern w:val="2"/>
      <w:sz w:val="26"/>
      <w:szCs w:val="26"/>
    </w:rPr>
  </w:style>
  <w:style w:type="character" w:customStyle="1" w:styleId="67">
    <w:name w:val="font81"/>
    <w:qFormat/>
    <w:uiPriority w:val="0"/>
    <w:rPr>
      <w:rFonts w:hint="eastAsia" w:ascii="宋体" w:hAnsi="宋体" w:eastAsia="宋体" w:cs="宋体"/>
      <w:color w:val="FF0000"/>
      <w:sz w:val="18"/>
      <w:szCs w:val="18"/>
      <w:u w:val="none"/>
    </w:rPr>
  </w:style>
  <w:style w:type="character" w:customStyle="1" w:styleId="68">
    <w:name w:val="纯文本 Char"/>
    <w:qFormat/>
    <w:uiPriority w:val="0"/>
    <w:rPr>
      <w:rFonts w:hint="eastAsia" w:ascii="宋体" w:hAnsi="Courier New" w:eastAsia="宋体" w:cs="宋体"/>
      <w:sz w:val="24"/>
      <w:szCs w:val="24"/>
    </w:rPr>
  </w:style>
  <w:style w:type="character" w:customStyle="1" w:styleId="69">
    <w:name w:val="纯文本 Char1"/>
    <w:qFormat/>
    <w:uiPriority w:val="0"/>
    <w:rPr>
      <w:rFonts w:hint="eastAsia" w:ascii="宋体" w:hAnsi="Courier New" w:eastAsia="宋体" w:cs="Courier New"/>
      <w:kern w:val="2"/>
      <w:sz w:val="21"/>
      <w:szCs w:val="21"/>
    </w:rPr>
  </w:style>
  <w:style w:type="character" w:customStyle="1" w:styleId="70">
    <w:name w:val="纯文本 Char11"/>
    <w:qFormat/>
    <w:uiPriority w:val="0"/>
    <w:rPr>
      <w:rFonts w:ascii="宋体" w:hAnsi="Courier New" w:eastAsia="宋体"/>
      <w:kern w:val="2"/>
      <w:sz w:val="24"/>
      <w:szCs w:val="24"/>
      <w:lang w:val="en-US" w:eastAsia="zh-CN" w:bidi="ar-SA"/>
    </w:rPr>
  </w:style>
  <w:style w:type="character" w:customStyle="1" w:styleId="71">
    <w:name w:val="font51"/>
    <w:qFormat/>
    <w:uiPriority w:val="0"/>
    <w:rPr>
      <w:rFonts w:hint="eastAsia" w:ascii="宋体" w:hAnsi="宋体" w:eastAsia="宋体" w:cs="宋体"/>
      <w:color w:val="000000"/>
      <w:sz w:val="20"/>
      <w:szCs w:val="20"/>
      <w:u w:val="none"/>
    </w:rPr>
  </w:style>
  <w:style w:type="character" w:customStyle="1" w:styleId="72">
    <w:name w:val="font61"/>
    <w:qFormat/>
    <w:uiPriority w:val="0"/>
    <w:rPr>
      <w:rFonts w:hint="eastAsia" w:ascii="宋体" w:hAnsi="宋体" w:eastAsia="宋体" w:cs="宋体"/>
      <w:b/>
      <w:color w:val="FF0000"/>
      <w:sz w:val="20"/>
      <w:szCs w:val="20"/>
      <w:u w:val="none"/>
    </w:rPr>
  </w:style>
  <w:style w:type="character" w:customStyle="1" w:styleId="73">
    <w:name w:val="font01"/>
    <w:qFormat/>
    <w:uiPriority w:val="0"/>
    <w:rPr>
      <w:rFonts w:hint="eastAsia" w:ascii="宋体" w:hAnsi="宋体" w:eastAsia="宋体" w:cs="宋体"/>
      <w:b/>
      <w:color w:val="FF0000"/>
      <w:sz w:val="18"/>
      <w:szCs w:val="18"/>
      <w:u w:val="none"/>
    </w:rPr>
  </w:style>
  <w:style w:type="character" w:customStyle="1" w:styleId="74">
    <w:name w:val="无"/>
    <w:qFormat/>
    <w:uiPriority w:val="0"/>
  </w:style>
  <w:style w:type="character" w:customStyle="1" w:styleId="75">
    <w:name w:val="标题 1 Char Char"/>
    <w:qFormat/>
    <w:uiPriority w:val="0"/>
    <w:rPr>
      <w:rFonts w:eastAsia="宋体"/>
      <w:b/>
      <w:spacing w:val="-2"/>
      <w:sz w:val="24"/>
      <w:lang w:val="en-US" w:eastAsia="zh-CN" w:bidi="ar-SA"/>
    </w:rPr>
  </w:style>
  <w:style w:type="character" w:customStyle="1" w:styleId="76">
    <w:name w:val="_Style 72"/>
    <w:unhideWhenUsed/>
    <w:qFormat/>
    <w:uiPriority w:val="99"/>
    <w:rPr>
      <w:color w:val="605E5C"/>
      <w:shd w:val="clear" w:color="auto" w:fill="E1DFDD"/>
    </w:rPr>
  </w:style>
  <w:style w:type="character" w:customStyle="1" w:styleId="77">
    <w:name w:val="正文缩进 Char"/>
    <w:qFormat/>
    <w:uiPriority w:val="0"/>
  </w:style>
  <w:style w:type="character" w:customStyle="1" w:styleId="78">
    <w:name w:val="font112"/>
    <w:qFormat/>
    <w:uiPriority w:val="0"/>
    <w:rPr>
      <w:rFonts w:hint="eastAsia" w:ascii="宋体" w:hAnsi="宋体" w:eastAsia="宋体" w:cs="宋体"/>
      <w:color w:val="FF0000"/>
      <w:sz w:val="18"/>
      <w:szCs w:val="18"/>
      <w:u w:val="none"/>
    </w:rPr>
  </w:style>
  <w:style w:type="character" w:customStyle="1" w:styleId="79">
    <w:name w:val="font21"/>
    <w:qFormat/>
    <w:uiPriority w:val="0"/>
    <w:rPr>
      <w:rFonts w:hint="eastAsia" w:ascii="宋体" w:hAnsi="宋体" w:eastAsia="宋体" w:cs="宋体"/>
      <w:color w:val="000000"/>
      <w:sz w:val="18"/>
      <w:szCs w:val="18"/>
      <w:u w:val="none"/>
    </w:rPr>
  </w:style>
  <w:style w:type="character" w:customStyle="1" w:styleId="80">
    <w:name w:val="正文文本缩进 Char1"/>
    <w:qFormat/>
    <w:uiPriority w:val="0"/>
    <w:rPr>
      <w:kern w:val="2"/>
      <w:sz w:val="21"/>
      <w:szCs w:val="24"/>
    </w:rPr>
  </w:style>
  <w:style w:type="character" w:customStyle="1" w:styleId="81">
    <w:name w:val="纯文本 Char2"/>
    <w:qFormat/>
    <w:uiPriority w:val="0"/>
    <w:rPr>
      <w:rFonts w:ascii="宋体" w:hAnsi="Courier New" w:eastAsia="宋体"/>
      <w:kern w:val="2"/>
      <w:sz w:val="24"/>
      <w:szCs w:val="24"/>
      <w:lang w:val="en-US" w:eastAsia="zh-CN" w:bidi="ar-SA"/>
    </w:rPr>
  </w:style>
  <w:style w:type="character" w:customStyle="1" w:styleId="82">
    <w:name w:val="font41"/>
    <w:qFormat/>
    <w:uiPriority w:val="0"/>
    <w:rPr>
      <w:rFonts w:hint="eastAsia" w:ascii="宋体" w:hAnsi="宋体" w:eastAsia="宋体" w:cs="宋体"/>
      <w:color w:val="000000"/>
      <w:sz w:val="18"/>
      <w:szCs w:val="18"/>
      <w:u w:val="none"/>
    </w:rPr>
  </w:style>
  <w:style w:type="paragraph" w:customStyle="1" w:styleId="83">
    <w:name w:val="正文段"/>
    <w:basedOn w:val="1"/>
    <w:qFormat/>
    <w:uiPriority w:val="0"/>
    <w:pPr>
      <w:widowControl/>
      <w:snapToGrid w:val="0"/>
      <w:spacing w:after="156" w:afterLines="50"/>
      <w:ind w:firstLine="200" w:firstLineChars="200"/>
    </w:pPr>
    <w:rPr>
      <w:kern w:val="0"/>
      <w:sz w:val="24"/>
      <w:szCs w:val="20"/>
    </w:rPr>
  </w:style>
  <w:style w:type="paragraph" w:customStyle="1" w:styleId="84">
    <w:name w:val="_Style 1"/>
    <w:qFormat/>
    <w:uiPriority w:val="99"/>
    <w:rPr>
      <w:rFonts w:ascii="Calibri" w:hAnsi="Calibri" w:eastAsia="宋体" w:cs="Times New Roman"/>
      <w:kern w:val="2"/>
      <w:sz w:val="28"/>
      <w:szCs w:val="22"/>
      <w:lang w:val="en-US" w:eastAsia="zh-CN" w:bidi="ar-SA"/>
    </w:rPr>
  </w:style>
  <w:style w:type="paragraph" w:customStyle="1" w:styleId="85">
    <w:name w:val="Char1"/>
    <w:basedOn w:val="1"/>
    <w:qFormat/>
    <w:uiPriority w:val="0"/>
    <w:rPr>
      <w:rFonts w:ascii="Tahoma" w:hAnsi="Tahoma"/>
      <w:sz w:val="24"/>
      <w:szCs w:val="20"/>
    </w:rPr>
  </w:style>
  <w:style w:type="paragraph" w:customStyle="1" w:styleId="86">
    <w:name w:val="Char"/>
    <w:basedOn w:val="1"/>
    <w:qFormat/>
    <w:uiPriority w:val="0"/>
    <w:rPr>
      <w:sz w:val="21"/>
    </w:rPr>
  </w:style>
  <w:style w:type="paragraph" w:customStyle="1" w:styleId="87">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8">
    <w:name w:val="标准中文版式_正文"/>
    <w:basedOn w:val="1"/>
    <w:qFormat/>
    <w:uiPriority w:val="0"/>
    <w:pPr>
      <w:spacing w:before="30" w:beforeLines="0" w:line="360" w:lineRule="auto"/>
      <w:ind w:firstLineChars="200"/>
    </w:pPr>
    <w:rPr>
      <w:rFonts w:ascii="Arial" w:hAnsi="Arial"/>
      <w:sz w:val="24"/>
    </w:rPr>
  </w:style>
  <w:style w:type="paragraph" w:customStyle="1" w:styleId="8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 Char1"/>
    <w:basedOn w:val="1"/>
    <w:qFormat/>
    <w:uiPriority w:val="0"/>
    <w:pPr>
      <w:jc w:val="center"/>
    </w:pPr>
    <w:rPr>
      <w:rFonts w:ascii="仿宋_GB2312" w:eastAsia="仿宋_GB2312"/>
      <w:b/>
      <w:kern w:val="0"/>
      <w:sz w:val="32"/>
      <w:szCs w:val="32"/>
      <w:lang w:val="en-GB"/>
    </w:rPr>
  </w:style>
  <w:style w:type="paragraph" w:customStyle="1" w:styleId="9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4">
    <w:name w:val=" Char Char Char1"/>
    <w:basedOn w:val="1"/>
    <w:qFormat/>
    <w:uiPriority w:val="0"/>
    <w:rPr>
      <w:sz w:val="21"/>
    </w:rPr>
  </w:style>
  <w:style w:type="paragraph" w:customStyle="1" w:styleId="95">
    <w:name w:val="样式 标题 2 + Times New Roman 四号 非加粗 段前: 5 磅 段后: 0 磅 行距: 固定值 20..."/>
    <w:basedOn w:val="6"/>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96">
    <w:name w:val="4、正文"/>
    <w:basedOn w:val="1"/>
    <w:qFormat/>
    <w:uiPriority w:val="0"/>
    <w:pPr>
      <w:ind w:firstLine="200" w:firstLineChars="200"/>
    </w:pPr>
    <w:rPr>
      <w:rFonts w:ascii="宋体"/>
      <w:sz w:val="24"/>
      <w:szCs w:val="28"/>
    </w:rPr>
  </w:style>
  <w:style w:type="paragraph" w:customStyle="1" w:styleId="97">
    <w:name w:val="列出段落2"/>
    <w:basedOn w:val="1"/>
    <w:qFormat/>
    <w:uiPriority w:val="0"/>
    <w:pPr>
      <w:widowControl w:val="0"/>
      <w:ind w:firstLine="420" w:firstLineChars="200"/>
      <w:jc w:val="both"/>
    </w:pPr>
    <w:rPr>
      <w:rFonts w:ascii="Calibri" w:hAnsi="Calibri" w:cs="黑体"/>
      <w:kern w:val="2"/>
      <w:sz w:val="20"/>
    </w:rPr>
  </w:style>
  <w:style w:type="paragraph" w:customStyle="1" w:styleId="9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99">
    <w:name w:val="_Style 95"/>
    <w:unhideWhenUsed/>
    <w:qFormat/>
    <w:uiPriority w:val="99"/>
    <w:rPr>
      <w:rFonts w:ascii="Times New Roman" w:hAnsi="Times New Roman" w:eastAsia="宋体" w:cs="Times New Roman"/>
      <w:kern w:val="2"/>
      <w:sz w:val="28"/>
      <w:szCs w:val="24"/>
      <w:lang w:val="en-US" w:eastAsia="zh-CN" w:bidi="ar-SA"/>
    </w:rPr>
  </w:style>
  <w:style w:type="paragraph" w:customStyle="1" w:styleId="100">
    <w:name w:val=" Char"/>
    <w:basedOn w:val="1"/>
    <w:qFormat/>
    <w:uiPriority w:val="0"/>
    <w:rPr>
      <w:sz w:val="24"/>
    </w:rPr>
  </w:style>
  <w:style w:type="paragraph" w:customStyle="1" w:styleId="101">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0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 Char2"/>
    <w:basedOn w:val="1"/>
    <w:next w:val="1"/>
    <w:qFormat/>
    <w:uiPriority w:val="0"/>
    <w:pPr>
      <w:spacing w:before="120" w:beforeLines="0" w:line="360" w:lineRule="auto"/>
      <w:ind w:firstLine="425"/>
    </w:pPr>
    <w:rPr>
      <w:sz w:val="24"/>
    </w:rPr>
  </w:style>
  <w:style w:type="paragraph" w:customStyle="1" w:styleId="104">
    <w:name w:val="模板普通正文"/>
    <w:basedOn w:val="17"/>
    <w:qFormat/>
    <w:uiPriority w:val="0"/>
    <w:pPr>
      <w:spacing w:beforeLines="50" w:after="10"/>
      <w:ind w:firstLine="490" w:firstLineChars="175"/>
    </w:pPr>
  </w:style>
  <w:style w:type="paragraph" w:customStyle="1" w:styleId="105">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10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08">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10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1">
    <w:name w:val="toc 11"/>
    <w:next w:val="1"/>
    <w:qFormat/>
    <w:uiPriority w:val="0"/>
    <w:pPr>
      <w:wordWrap w:val="0"/>
      <w:jc w:val="both"/>
    </w:pPr>
    <w:rPr>
      <w:rFonts w:ascii="Times New Roman" w:hAnsi="Times New Roman" w:eastAsia="宋体" w:cs="Times New Roman"/>
      <w:sz w:val="21"/>
      <w:lang w:val="en-US" w:eastAsia="zh-CN" w:bidi="ar-SA"/>
    </w:rPr>
  </w:style>
  <w:style w:type="paragraph" w:styleId="112">
    <w:name w:val="List Paragraph"/>
    <w:basedOn w:val="1"/>
    <w:qFormat/>
    <w:uiPriority w:val="0"/>
    <w:pPr>
      <w:ind w:firstLine="420" w:firstLineChars="200"/>
    </w:pPr>
    <w:rPr>
      <w:rFonts w:ascii="Calibri" w:hAnsi="Calibri"/>
      <w:szCs w:val="22"/>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1.正文首行缩进2字符"/>
    <w:basedOn w:val="1"/>
    <w:qFormat/>
    <w:uiPriority w:val="0"/>
    <w:pPr>
      <w:widowControl w:val="0"/>
      <w:snapToGrid w:val="0"/>
      <w:spacing w:line="360" w:lineRule="auto"/>
      <w:ind w:firstLine="482"/>
    </w:pPr>
    <w:rPr>
      <w:rFonts w:ascii="仿宋" w:hAnsi="仿宋" w:eastAsia="仿宋" w:cs="等线"/>
      <w:sz w:val="28"/>
    </w:rPr>
  </w:style>
  <w:style w:type="paragraph" w:customStyle="1" w:styleId="116">
    <w:name w:val="列出段落1"/>
    <w:basedOn w:val="1"/>
    <w:qFormat/>
    <w:uiPriority w:val="0"/>
    <w:pPr>
      <w:widowControl w:val="0"/>
      <w:ind w:firstLine="420" w:firstLineChars="200"/>
      <w:jc w:val="both"/>
    </w:pPr>
    <w:rPr>
      <w:rFonts w:ascii="Calibri" w:hAnsi="Calibri" w:cs="Times New Roman"/>
      <w:sz w:val="28"/>
      <w:szCs w:val="20"/>
    </w:rPr>
  </w:style>
  <w:style w:type="paragraph" w:customStyle="1" w:styleId="117">
    <w:name w:val="表格文字"/>
    <w:basedOn w:val="1"/>
    <w:next w:val="16"/>
    <w:qFormat/>
    <w:uiPriority w:val="0"/>
    <w:pPr>
      <w:adjustRightInd w:val="0"/>
      <w:spacing w:line="420" w:lineRule="atLeast"/>
      <w:jc w:val="left"/>
      <w:textAlignment w:val="baseline"/>
    </w:pPr>
    <w:rPr>
      <w:kern w:val="0"/>
    </w:rPr>
  </w:style>
  <w:style w:type="paragraph" w:customStyle="1" w:styleId="118">
    <w:name w:val="WPSOffice手动目录 1"/>
    <w:qFormat/>
    <w:uiPriority w:val="0"/>
    <w:rPr>
      <w:rFonts w:ascii="Times New Roman" w:hAnsi="Times New Roman" w:eastAsia="宋体" w:cs="Times New Roman"/>
      <w:lang w:val="en-US" w:eastAsia="zh-CN" w:bidi="ar-SA"/>
    </w:rPr>
  </w:style>
  <w:style w:type="paragraph" w:customStyle="1" w:styleId="119">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20">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21">
    <w:name w:val="正文（首行缩进2字符）"/>
    <w:basedOn w:val="1"/>
    <w:qFormat/>
    <w:uiPriority w:val="0"/>
    <w:pPr>
      <w:spacing w:line="360" w:lineRule="auto"/>
      <w:ind w:firstLine="420" w:firstLineChars="200"/>
    </w:pPr>
    <w:rPr>
      <w:szCs w:val="21"/>
    </w:rPr>
  </w:style>
  <w:style w:type="paragraph" w:customStyle="1" w:styleId="12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3">
    <w:name w:val="_Style 10"/>
    <w:basedOn w:val="1"/>
    <w:qFormat/>
    <w:uiPriority w:val="0"/>
    <w:rPr>
      <w:rFonts w:ascii="Tahoma" w:hAnsi="Tahoma"/>
      <w:sz w:val="24"/>
      <w:szCs w:val="20"/>
    </w:rPr>
  </w:style>
  <w:style w:type="paragraph" w:customStyle="1" w:styleId="124">
    <w:name w:val="List Paragraph1"/>
    <w:basedOn w:val="1"/>
    <w:qFormat/>
    <w:uiPriority w:val="0"/>
    <w:pPr>
      <w:ind w:firstLine="420" w:firstLineChars="2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49</Pages>
  <Words>28664</Words>
  <Characters>29627</Characters>
  <Lines>248</Lines>
  <Paragraphs>69</Paragraphs>
  <TotalTime>2</TotalTime>
  <ScaleCrop>false</ScaleCrop>
  <LinksUpToDate>false</LinksUpToDate>
  <CharactersWithSpaces>31069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2023-11-23T09:44:00Z</dcterms:created>
  <dc:creator>费国炎</dc:creator>
  <cp:lastModifiedBy>葛俊</cp:lastModifiedBy>
  <cp:lastPrinted>2024-09-03T07:54:00Z</cp:lastPrinted>
  <dcterms:modified xsi:type="dcterms:W3CDTF">2024-09-04T07:03:13Z</dcterms:modified>
  <dc:title>浙江省政府采购招标文件（范本）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A4CBA87EB9F342BB8B095DA7B38DD3F0_13</vt:lpwstr>
  </property>
</Properties>
</file>