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4CC0C">
      <w:pPr>
        <w:jc w:val="center"/>
        <w:rPr>
          <w:rFonts w:hint="eastAsia"/>
          <w:b/>
          <w:bCs/>
          <w:color w:val="auto"/>
          <w:sz w:val="36"/>
          <w:szCs w:val="32"/>
          <w:highlight w:val="none"/>
        </w:rPr>
      </w:pPr>
    </w:p>
    <w:p w14:paraId="2669568F">
      <w:pPr>
        <w:jc w:val="center"/>
        <w:rPr>
          <w:rFonts w:hint="eastAsia"/>
          <w:b/>
          <w:bCs/>
          <w:color w:val="auto"/>
          <w:sz w:val="36"/>
          <w:szCs w:val="32"/>
          <w:highlight w:val="none"/>
        </w:rPr>
      </w:pPr>
    </w:p>
    <w:p w14:paraId="43532C09">
      <w:pPr>
        <w:jc w:val="center"/>
        <w:rPr>
          <w:rFonts w:hint="eastAsia" w:eastAsia="宋体"/>
          <w:b/>
          <w:bCs/>
          <w:color w:val="auto"/>
          <w:sz w:val="36"/>
          <w:szCs w:val="32"/>
          <w:highlight w:val="none"/>
          <w:lang w:eastAsia="zh-CN"/>
        </w:rPr>
      </w:pPr>
      <w:r>
        <w:rPr>
          <w:rFonts w:hint="eastAsia"/>
          <w:b/>
          <w:bCs/>
          <w:color w:val="auto"/>
          <w:sz w:val="36"/>
          <w:szCs w:val="32"/>
          <w:highlight w:val="none"/>
          <w:lang w:eastAsia="zh-CN"/>
        </w:rPr>
        <w:t>台州市开发投资集团有限公司国产化适配项目</w:t>
      </w:r>
    </w:p>
    <w:p w14:paraId="660C94D3">
      <w:pPr>
        <w:pStyle w:val="87"/>
        <w:rPr>
          <w:color w:val="auto"/>
          <w:highlight w:val="none"/>
        </w:rPr>
      </w:pPr>
    </w:p>
    <w:p w14:paraId="1BA7D46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采 购 文 件</w:t>
      </w:r>
    </w:p>
    <w:p w14:paraId="36AAB31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b/>
          <w:color w:val="auto"/>
          <w:kern w:val="0"/>
          <w:sz w:val="32"/>
          <w:highlight w:val="none"/>
        </w:rPr>
      </w:pPr>
      <w:r>
        <w:rPr>
          <w:rFonts w:hint="eastAsia" w:ascii="宋体" w:hAnsi="宋体" w:cs="Calibri Light"/>
          <w:color w:val="auto"/>
          <w:kern w:val="0"/>
          <w:szCs w:val="28"/>
          <w:highlight w:val="none"/>
        </w:rPr>
        <w:t>采购编号：QBJ2024184</w:t>
      </w:r>
      <w:r>
        <w:rPr>
          <w:rFonts w:ascii="宋体" w:hAnsi="宋体" w:cs="Calibri Light"/>
          <w:color w:val="auto"/>
          <w:kern w:val="0"/>
          <w:szCs w:val="28"/>
          <w:highlight w:val="none"/>
        </w:rPr>
        <w:t xml:space="preserve"> </w:t>
      </w:r>
    </w:p>
    <w:p w14:paraId="3111F621">
      <w:pPr>
        <w:tabs>
          <w:tab w:val="left" w:pos="1260"/>
        </w:tabs>
        <w:spacing w:line="640" w:lineRule="exact"/>
        <w:outlineLvl w:val="0"/>
        <w:rPr>
          <w:rFonts w:hint="eastAsia" w:ascii="宋体" w:hAnsi="宋体"/>
          <w:color w:val="auto"/>
          <w:spacing w:val="20"/>
          <w:kern w:val="21"/>
          <w:sz w:val="30"/>
          <w:szCs w:val="30"/>
          <w:highlight w:val="none"/>
        </w:rPr>
      </w:pPr>
    </w:p>
    <w:p w14:paraId="47F1F5B1">
      <w:pPr>
        <w:tabs>
          <w:tab w:val="left" w:pos="1260"/>
        </w:tabs>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采购人：台州市开发投资集团有限公司（盖章）</w:t>
      </w:r>
    </w:p>
    <w:p w14:paraId="7AD18C0F">
      <w:pPr>
        <w:spacing w:line="640" w:lineRule="exact"/>
        <w:ind w:firstLine="1020" w:firstLineChars="300"/>
        <w:outlineLvl w:val="0"/>
        <w:rPr>
          <w:rFonts w:hint="eastAsia"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 系 人：王女士</w:t>
      </w:r>
    </w:p>
    <w:p w14:paraId="4D25C240">
      <w:pPr>
        <w:spacing w:line="640" w:lineRule="exact"/>
        <w:ind w:firstLine="1020" w:firstLineChars="300"/>
        <w:outlineLvl w:val="0"/>
        <w:rPr>
          <w:rFonts w:hint="eastAsia" w:ascii="宋体" w:hAnsi="宋体"/>
          <w:color w:val="auto"/>
          <w:spacing w:val="20"/>
          <w:kern w:val="21"/>
          <w:sz w:val="30"/>
          <w:szCs w:val="30"/>
          <w:highlight w:val="none"/>
        </w:rPr>
      </w:pPr>
      <w:r>
        <w:rPr>
          <w:rFonts w:hint="eastAsia" w:ascii="宋体" w:hAnsi="宋体"/>
          <w:color w:val="auto"/>
          <w:spacing w:val="20"/>
          <w:kern w:val="21"/>
          <w:sz w:val="30"/>
          <w:szCs w:val="30"/>
          <w:highlight w:val="none"/>
        </w:rPr>
        <w:t xml:space="preserve">联系电话：0576-88503104 </w:t>
      </w:r>
    </w:p>
    <w:p w14:paraId="0D9280D2">
      <w:pP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招标代理：</w:t>
      </w:r>
      <w:r>
        <w:rPr>
          <w:rFonts w:hint="eastAsia" w:ascii="宋体" w:hAnsi="宋体"/>
          <w:color w:val="auto"/>
          <w:spacing w:val="20"/>
          <w:kern w:val="21"/>
          <w:sz w:val="30"/>
          <w:szCs w:val="30"/>
          <w:highlight w:val="none"/>
          <w:lang w:eastAsia="zh-CN"/>
        </w:rPr>
        <w:t>台州湾新区丰昘建设咨询有限公司</w:t>
      </w:r>
      <w:r>
        <w:rPr>
          <w:rFonts w:hint="eastAsia" w:ascii="宋体" w:hAnsi="宋体"/>
          <w:color w:val="auto"/>
          <w:spacing w:val="20"/>
          <w:kern w:val="21"/>
          <w:sz w:val="30"/>
          <w:szCs w:val="30"/>
          <w:highlight w:val="none"/>
        </w:rPr>
        <w:t>（盖章）</w:t>
      </w:r>
    </w:p>
    <w:p w14:paraId="22AF4179">
      <w:pP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 系 人：</w:t>
      </w:r>
      <w:r>
        <w:rPr>
          <w:rFonts w:hint="eastAsia" w:ascii="宋体" w:hAnsi="宋体"/>
          <w:color w:val="auto"/>
          <w:spacing w:val="20"/>
          <w:kern w:val="21"/>
          <w:sz w:val="30"/>
          <w:szCs w:val="30"/>
          <w:highlight w:val="none"/>
          <w:lang w:val="en-US" w:eastAsia="zh-CN"/>
        </w:rPr>
        <w:t>王女士</w:t>
      </w:r>
    </w:p>
    <w:p w14:paraId="6136C7CC">
      <w:pPr>
        <w:tabs>
          <w:tab w:val="left" w:pos="5685"/>
        </w:tabs>
        <w:spacing w:line="640" w:lineRule="exact"/>
        <w:ind w:firstLine="1020" w:firstLineChars="300"/>
        <w:outlineLvl w:val="0"/>
        <w:rPr>
          <w:rFonts w:hint="eastAsia" w:ascii="宋体" w:hAnsi="宋体" w:eastAsia="宋体"/>
          <w:color w:val="auto"/>
          <w:spacing w:val="20"/>
          <w:kern w:val="21"/>
          <w:sz w:val="30"/>
          <w:szCs w:val="30"/>
          <w:highlight w:val="none"/>
          <w:lang w:eastAsia="zh-CN"/>
        </w:rPr>
      </w:pPr>
      <w:r>
        <w:rPr>
          <w:rFonts w:hint="eastAsia" w:ascii="宋体" w:hAnsi="宋体"/>
          <w:color w:val="auto"/>
          <w:spacing w:val="20"/>
          <w:kern w:val="21"/>
          <w:sz w:val="30"/>
          <w:szCs w:val="30"/>
          <w:highlight w:val="none"/>
        </w:rPr>
        <w:t>联系电话：</w:t>
      </w:r>
      <w:r>
        <w:rPr>
          <w:rFonts w:hint="eastAsia" w:ascii="宋体" w:hAnsi="宋体"/>
          <w:color w:val="auto"/>
          <w:spacing w:val="20"/>
          <w:kern w:val="21"/>
          <w:sz w:val="30"/>
          <w:szCs w:val="30"/>
          <w:highlight w:val="none"/>
          <w:lang w:eastAsia="zh-CN"/>
        </w:rPr>
        <w:t>0576-88517650</w:t>
      </w:r>
    </w:p>
    <w:p w14:paraId="38247BD4">
      <w:pPr>
        <w:spacing w:line="640" w:lineRule="exact"/>
        <w:ind w:firstLine="1020" w:firstLineChars="300"/>
        <w:outlineLvl w:val="0"/>
        <w:rPr>
          <w:rFonts w:hint="eastAsia" w:ascii="宋体" w:hAnsi="宋体"/>
          <w:b/>
          <w:color w:val="auto"/>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auto"/>
          <w:spacing w:val="20"/>
          <w:kern w:val="21"/>
          <w:sz w:val="30"/>
          <w:szCs w:val="30"/>
          <w:highlight w:val="none"/>
        </w:rPr>
        <w:t>日    期：</w:t>
      </w:r>
      <w:r>
        <w:rPr>
          <w:rFonts w:hint="eastAsia" w:ascii="宋体" w:hAnsi="宋体"/>
          <w:color w:val="auto"/>
          <w:spacing w:val="20"/>
          <w:kern w:val="21"/>
          <w:sz w:val="30"/>
          <w:szCs w:val="30"/>
          <w:highlight w:val="none"/>
          <w:lang w:val="en-US" w:eastAsia="zh-CN"/>
        </w:rPr>
        <w:t>2024</w:t>
      </w:r>
      <w:r>
        <w:rPr>
          <w:rFonts w:hint="eastAsia" w:ascii="宋体" w:hAnsi="宋体"/>
          <w:color w:val="auto"/>
          <w:spacing w:val="20"/>
          <w:kern w:val="21"/>
          <w:sz w:val="30"/>
          <w:szCs w:val="30"/>
          <w:highlight w:val="none"/>
        </w:rPr>
        <w:t>年</w:t>
      </w:r>
      <w:r>
        <w:rPr>
          <w:rFonts w:hint="eastAsia" w:ascii="宋体" w:hAnsi="宋体"/>
          <w:color w:val="auto"/>
          <w:spacing w:val="20"/>
          <w:kern w:val="21"/>
          <w:sz w:val="30"/>
          <w:szCs w:val="30"/>
          <w:highlight w:val="none"/>
          <w:lang w:val="en-US" w:eastAsia="zh-CN"/>
        </w:rPr>
        <w:t>09</w:t>
      </w:r>
      <w:r>
        <w:rPr>
          <w:rFonts w:hint="eastAsia" w:ascii="宋体" w:hAnsi="宋体"/>
          <w:color w:val="auto"/>
          <w:spacing w:val="20"/>
          <w:kern w:val="21"/>
          <w:sz w:val="30"/>
          <w:szCs w:val="30"/>
          <w:highlight w:val="none"/>
        </w:rPr>
        <w:t>月</w:t>
      </w:r>
    </w:p>
    <w:p w14:paraId="6FAD9A95">
      <w:pPr>
        <w:jc w:val="center"/>
        <w:rPr>
          <w:rFonts w:hint="eastAsia" w:ascii="宋体" w:hAnsi="宋体" w:cs="宋体"/>
          <w:color w:val="auto"/>
          <w:sz w:val="48"/>
          <w:szCs w:val="56"/>
          <w:highlight w:val="none"/>
        </w:rPr>
      </w:pPr>
      <w:bookmarkStart w:id="0" w:name="_Toc32435_WPSOffice_Type1"/>
      <w:r>
        <w:rPr>
          <w:rFonts w:hint="eastAsia" w:ascii="宋体" w:hAnsi="宋体" w:cs="宋体"/>
          <w:color w:val="auto"/>
          <w:sz w:val="48"/>
          <w:szCs w:val="56"/>
          <w:highlight w:val="none"/>
        </w:rPr>
        <w:t>目录</w:t>
      </w:r>
    </w:p>
    <w:p w14:paraId="2E5CFD75">
      <w:pPr>
        <w:jc w:val="center"/>
        <w:rPr>
          <w:rFonts w:hint="eastAsia" w:ascii="宋体" w:hAnsi="宋体" w:cs="宋体"/>
          <w:color w:val="auto"/>
          <w:sz w:val="48"/>
          <w:szCs w:val="56"/>
          <w:highlight w:val="none"/>
        </w:rPr>
      </w:pPr>
    </w:p>
    <w:p w14:paraId="25C287EC">
      <w:pPr>
        <w:jc w:val="center"/>
        <w:rPr>
          <w:rFonts w:hint="eastAsia" w:ascii="宋体" w:hAnsi="宋体" w:cs="宋体"/>
          <w:color w:val="auto"/>
          <w:sz w:val="48"/>
          <w:szCs w:val="56"/>
          <w:highlight w:val="none"/>
        </w:rPr>
      </w:pPr>
    </w:p>
    <w:p w14:paraId="45A9E3FE">
      <w:pPr>
        <w:pStyle w:val="118"/>
        <w:tabs>
          <w:tab w:val="right" w:leader="dot" w:pos="935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"第一章" </w:instrText>
      </w:r>
      <w:r>
        <w:rPr>
          <w:rFonts w:hint="eastAsia" w:ascii="宋体" w:hAnsi="宋体" w:cs="宋体"/>
          <w:color w:val="auto"/>
          <w:sz w:val="36"/>
          <w:szCs w:val="36"/>
          <w:highlight w:val="none"/>
        </w:rPr>
        <w:fldChar w:fldCharType="separate"/>
      </w:r>
      <w:r>
        <w:rPr>
          <w:rStyle w:val="46"/>
          <w:rFonts w:hint="eastAsia" w:ascii="宋体" w:hAnsi="宋体" w:cs="宋体"/>
          <w:color w:val="auto"/>
          <w:sz w:val="36"/>
          <w:szCs w:val="36"/>
          <w:highlight w:val="none"/>
          <w:u w:val="none"/>
        </w:rPr>
        <w:t>第一章  公开招标采购公告</w:t>
      </w:r>
      <w:r>
        <w:rPr>
          <w:rStyle w:val="46"/>
          <w:rFonts w:hint="eastAsia" w:ascii="宋体" w:hAnsi="宋体" w:cs="宋体"/>
          <w:color w:val="auto"/>
          <w:sz w:val="36"/>
          <w:szCs w:val="36"/>
          <w:highlight w:val="none"/>
          <w:u w:val="none"/>
        </w:rPr>
        <w:tab/>
      </w:r>
      <w:r>
        <w:rPr>
          <w:rStyle w:val="46"/>
          <w:rFonts w:hint="eastAsia" w:ascii="宋体" w:hAnsi="宋体" w:cs="宋体"/>
          <w:color w:val="auto"/>
          <w:sz w:val="36"/>
          <w:szCs w:val="36"/>
          <w:highlight w:val="none"/>
          <w:u w:val="none"/>
        </w:rPr>
        <w:t>3</w:t>
      </w:r>
      <w:r>
        <w:rPr>
          <w:rFonts w:hint="eastAsia" w:ascii="宋体" w:hAnsi="宋体" w:cs="宋体"/>
          <w:color w:val="auto"/>
          <w:sz w:val="36"/>
          <w:szCs w:val="36"/>
          <w:highlight w:val="none"/>
        </w:rPr>
        <w:fldChar w:fldCharType="end"/>
      </w:r>
    </w:p>
    <w:p w14:paraId="00BA7605">
      <w:pPr>
        <w:pStyle w:val="118"/>
        <w:tabs>
          <w:tab w:val="right" w:leader="dot" w:pos="935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"第二章" </w:instrText>
      </w:r>
      <w:r>
        <w:rPr>
          <w:rFonts w:hint="eastAsia" w:ascii="宋体" w:hAnsi="宋体" w:cs="宋体"/>
          <w:color w:val="auto"/>
          <w:sz w:val="36"/>
          <w:szCs w:val="36"/>
          <w:highlight w:val="none"/>
        </w:rPr>
        <w:fldChar w:fldCharType="separate"/>
      </w:r>
      <w:r>
        <w:rPr>
          <w:rStyle w:val="47"/>
          <w:rFonts w:hint="eastAsia" w:ascii="宋体" w:hAnsi="宋体" w:cs="宋体"/>
          <w:color w:val="auto"/>
          <w:sz w:val="36"/>
          <w:szCs w:val="36"/>
          <w:highlight w:val="none"/>
          <w:u w:val="none"/>
        </w:rPr>
        <w:t>第二章  招标需求</w:t>
      </w:r>
      <w:r>
        <w:rPr>
          <w:rStyle w:val="47"/>
          <w:rFonts w:hint="eastAsia" w:ascii="宋体" w:hAnsi="宋体" w:cs="宋体"/>
          <w:color w:val="auto"/>
          <w:sz w:val="36"/>
          <w:szCs w:val="36"/>
          <w:highlight w:val="none"/>
          <w:u w:val="none"/>
        </w:rPr>
        <w:tab/>
      </w:r>
      <w:r>
        <w:rPr>
          <w:rStyle w:val="47"/>
          <w:rFonts w:hint="eastAsia" w:ascii="宋体" w:hAnsi="宋体" w:cs="宋体"/>
          <w:color w:val="auto"/>
          <w:sz w:val="36"/>
          <w:szCs w:val="36"/>
          <w:highlight w:val="none"/>
          <w:u w:val="none"/>
          <w:lang w:val="en-US" w:eastAsia="zh-CN"/>
        </w:rPr>
        <w:t>7</w:t>
      </w:r>
      <w:r>
        <w:rPr>
          <w:rFonts w:hint="eastAsia" w:ascii="宋体" w:hAnsi="宋体" w:cs="宋体"/>
          <w:color w:val="auto"/>
          <w:sz w:val="36"/>
          <w:szCs w:val="36"/>
          <w:highlight w:val="none"/>
        </w:rPr>
        <w:fldChar w:fldCharType="end"/>
      </w:r>
    </w:p>
    <w:p w14:paraId="7FC04152">
      <w:pPr>
        <w:pStyle w:val="118"/>
        <w:tabs>
          <w:tab w:val="right" w:leader="dot" w:pos="9356"/>
        </w:tabs>
        <w:rPr>
          <w:rFonts w:hint="eastAsia" w:ascii="宋体" w:hAnsi="宋体" w:eastAsia="宋体" w:cs="宋体"/>
          <w:color w:val="auto"/>
          <w:sz w:val="36"/>
          <w:szCs w:val="36"/>
          <w:highlight w:val="none"/>
          <w:lang w:val="en-US" w:eastAsia="zh-CN"/>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"第三章" </w:instrText>
      </w:r>
      <w:r>
        <w:rPr>
          <w:rFonts w:hint="eastAsia" w:ascii="宋体" w:hAnsi="宋体" w:cs="宋体"/>
          <w:color w:val="auto"/>
          <w:sz w:val="36"/>
          <w:szCs w:val="36"/>
          <w:highlight w:val="none"/>
        </w:rPr>
        <w:fldChar w:fldCharType="separate"/>
      </w:r>
      <w:r>
        <w:rPr>
          <w:rStyle w:val="47"/>
          <w:rFonts w:hint="eastAsia" w:ascii="宋体" w:hAnsi="宋体" w:cs="宋体"/>
          <w:color w:val="auto"/>
          <w:sz w:val="36"/>
          <w:szCs w:val="36"/>
          <w:highlight w:val="none"/>
          <w:u w:val="none"/>
        </w:rPr>
        <w:t>第三章  投标人须知</w:t>
      </w:r>
      <w:r>
        <w:rPr>
          <w:rStyle w:val="47"/>
          <w:rFonts w:hint="eastAsia" w:ascii="宋体" w:hAnsi="宋体" w:cs="宋体"/>
          <w:color w:val="auto"/>
          <w:sz w:val="36"/>
          <w:szCs w:val="36"/>
          <w:highlight w:val="none"/>
          <w:u w:val="none"/>
        </w:rPr>
        <w:tab/>
      </w:r>
      <w:r>
        <w:rPr>
          <w:rStyle w:val="47"/>
          <w:rFonts w:hint="eastAsia" w:ascii="宋体" w:hAnsi="宋体" w:cs="宋体"/>
          <w:color w:val="auto"/>
          <w:sz w:val="36"/>
          <w:szCs w:val="36"/>
          <w:highlight w:val="none"/>
          <w:u w:val="none"/>
          <w:lang w:val="en-US" w:eastAsia="zh-CN"/>
        </w:rPr>
        <w:t>2</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lang w:val="en-US" w:eastAsia="zh-CN"/>
        </w:rPr>
        <w:t>1</w:t>
      </w:r>
    </w:p>
    <w:p w14:paraId="02272BF5">
      <w:pPr>
        <w:pStyle w:val="118"/>
        <w:tabs>
          <w:tab w:val="right" w:leader="dot" w:pos="9356"/>
        </w:tabs>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"第四章" </w:instrText>
      </w:r>
      <w:r>
        <w:rPr>
          <w:rFonts w:hint="eastAsia" w:ascii="宋体" w:hAnsi="宋体" w:cs="宋体"/>
          <w:color w:val="auto"/>
          <w:sz w:val="36"/>
          <w:szCs w:val="36"/>
          <w:highlight w:val="none"/>
        </w:rPr>
        <w:fldChar w:fldCharType="separate"/>
      </w:r>
      <w:r>
        <w:rPr>
          <w:rStyle w:val="46"/>
          <w:rFonts w:hint="eastAsia" w:ascii="宋体" w:hAnsi="宋体" w:cs="宋体"/>
          <w:color w:val="auto"/>
          <w:sz w:val="36"/>
          <w:szCs w:val="36"/>
          <w:highlight w:val="none"/>
          <w:u w:val="none"/>
        </w:rPr>
        <w:t xml:space="preserve">第四章 </w:t>
      </w:r>
      <w:r>
        <w:rPr>
          <w:rStyle w:val="46"/>
          <w:rFonts w:hint="eastAsia" w:ascii="宋体" w:hAnsi="宋体" w:cs="宋体"/>
          <w:color w:val="auto"/>
          <w:sz w:val="36"/>
          <w:szCs w:val="36"/>
          <w:highlight w:val="none"/>
          <w:u w:val="none"/>
          <w:lang w:val="en-US" w:eastAsia="zh-CN"/>
        </w:rPr>
        <w:t xml:space="preserve"> </w:t>
      </w:r>
      <w:r>
        <w:rPr>
          <w:rStyle w:val="46"/>
          <w:rFonts w:hint="eastAsia" w:ascii="宋体" w:hAnsi="宋体" w:cs="宋体"/>
          <w:color w:val="auto"/>
          <w:sz w:val="36"/>
          <w:szCs w:val="36"/>
          <w:highlight w:val="none"/>
          <w:u w:val="none"/>
        </w:rPr>
        <w:t>评标办法及评分标准</w:t>
      </w:r>
      <w:r>
        <w:rPr>
          <w:rStyle w:val="46"/>
          <w:rFonts w:hint="eastAsia" w:ascii="宋体" w:hAnsi="宋体" w:cs="宋体"/>
          <w:color w:val="auto"/>
          <w:sz w:val="36"/>
          <w:szCs w:val="36"/>
          <w:highlight w:val="none"/>
          <w:u w:val="none"/>
        </w:rPr>
        <w:tab/>
      </w:r>
      <w:r>
        <w:rPr>
          <w:rStyle w:val="46"/>
          <w:rFonts w:hint="eastAsia" w:ascii="宋体" w:hAnsi="宋体" w:cs="宋体"/>
          <w:color w:val="auto"/>
          <w:sz w:val="36"/>
          <w:szCs w:val="36"/>
          <w:highlight w:val="none"/>
          <w:u w:val="none"/>
        </w:rPr>
        <w:t>3</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lang w:val="en-US" w:eastAsia="zh-CN"/>
        </w:rPr>
        <w:t>5</w:t>
      </w:r>
    </w:p>
    <w:p w14:paraId="08CE4336">
      <w:pPr>
        <w:pStyle w:val="118"/>
        <w:tabs>
          <w:tab w:val="right" w:leader="dot" w:pos="9356"/>
        </w:tabs>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"第五章" </w:instrText>
      </w:r>
      <w:r>
        <w:rPr>
          <w:rFonts w:hint="eastAsia" w:ascii="宋体" w:hAnsi="宋体" w:cs="宋体"/>
          <w:color w:val="auto"/>
          <w:sz w:val="36"/>
          <w:szCs w:val="36"/>
          <w:highlight w:val="none"/>
        </w:rPr>
        <w:fldChar w:fldCharType="separate"/>
      </w:r>
      <w:r>
        <w:rPr>
          <w:rStyle w:val="47"/>
          <w:rFonts w:hint="eastAsia" w:ascii="宋体" w:hAnsi="宋体" w:cs="宋体"/>
          <w:color w:val="auto"/>
          <w:sz w:val="36"/>
          <w:szCs w:val="36"/>
          <w:highlight w:val="none"/>
          <w:u w:val="none"/>
        </w:rPr>
        <w:t xml:space="preserve">第五章 </w:t>
      </w:r>
      <w:r>
        <w:rPr>
          <w:rStyle w:val="47"/>
          <w:rFonts w:hint="eastAsia" w:ascii="宋体" w:hAnsi="宋体" w:cs="宋体"/>
          <w:color w:val="auto"/>
          <w:sz w:val="36"/>
          <w:szCs w:val="36"/>
          <w:highlight w:val="none"/>
          <w:u w:val="none"/>
          <w:lang w:val="en-US" w:eastAsia="zh-CN"/>
        </w:rPr>
        <w:t xml:space="preserve"> </w:t>
      </w:r>
      <w:r>
        <w:rPr>
          <w:rStyle w:val="47"/>
          <w:rFonts w:hint="eastAsia" w:ascii="宋体" w:hAnsi="宋体" w:cs="宋体"/>
          <w:color w:val="auto"/>
          <w:sz w:val="36"/>
          <w:szCs w:val="36"/>
          <w:highlight w:val="none"/>
          <w:u w:val="none"/>
        </w:rPr>
        <w:t>合同格式（仅参考）</w:t>
      </w:r>
      <w:r>
        <w:rPr>
          <w:rStyle w:val="47"/>
          <w:rFonts w:hint="eastAsia" w:ascii="宋体" w:hAnsi="宋体" w:cs="宋体"/>
          <w:color w:val="auto"/>
          <w:sz w:val="36"/>
          <w:szCs w:val="36"/>
          <w:highlight w:val="none"/>
          <w:u w:val="none"/>
        </w:rPr>
        <w:tab/>
      </w:r>
      <w:r>
        <w:rPr>
          <w:rStyle w:val="47"/>
          <w:rFonts w:hint="eastAsia" w:ascii="宋体" w:hAnsi="宋体" w:cs="宋体"/>
          <w:color w:val="auto"/>
          <w:sz w:val="36"/>
          <w:szCs w:val="36"/>
          <w:highlight w:val="none"/>
          <w:u w:val="none"/>
        </w:rPr>
        <w:t>3</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lang w:val="en-US" w:eastAsia="zh-CN"/>
        </w:rPr>
        <w:t>8</w:t>
      </w:r>
    </w:p>
    <w:p w14:paraId="4E12A9CA">
      <w:pPr>
        <w:pStyle w:val="118"/>
        <w:tabs>
          <w:tab w:val="right" w:leader="dot" w:pos="9356"/>
        </w:tabs>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"第六章" </w:instrText>
      </w:r>
      <w:r>
        <w:rPr>
          <w:rFonts w:hint="eastAsia" w:ascii="宋体" w:hAnsi="宋体" w:cs="宋体"/>
          <w:color w:val="auto"/>
          <w:sz w:val="36"/>
          <w:szCs w:val="36"/>
          <w:highlight w:val="none"/>
        </w:rPr>
        <w:fldChar w:fldCharType="separate"/>
      </w:r>
      <w:r>
        <w:rPr>
          <w:rStyle w:val="46"/>
          <w:rFonts w:hint="eastAsia" w:ascii="宋体" w:hAnsi="宋体" w:cs="宋体"/>
          <w:color w:val="auto"/>
          <w:sz w:val="36"/>
          <w:szCs w:val="36"/>
          <w:highlight w:val="none"/>
          <w:u w:val="none"/>
        </w:rPr>
        <w:t>第六章</w:t>
      </w:r>
      <w:r>
        <w:rPr>
          <w:rStyle w:val="46"/>
          <w:rFonts w:hint="eastAsia" w:ascii="宋体" w:hAnsi="宋体" w:cs="宋体"/>
          <w:color w:val="auto"/>
          <w:sz w:val="36"/>
          <w:szCs w:val="36"/>
          <w:highlight w:val="none"/>
          <w:u w:val="none"/>
          <w:lang w:val="en-US" w:eastAsia="zh-CN"/>
        </w:rPr>
        <w:t xml:space="preserve">  </w:t>
      </w:r>
      <w:r>
        <w:rPr>
          <w:rStyle w:val="46"/>
          <w:rFonts w:hint="eastAsia" w:ascii="宋体" w:hAnsi="宋体" w:cs="宋体"/>
          <w:color w:val="auto"/>
          <w:sz w:val="36"/>
          <w:szCs w:val="36"/>
          <w:highlight w:val="none"/>
          <w:u w:val="none"/>
        </w:rPr>
        <w:t>投标文件格式</w:t>
      </w:r>
      <w:r>
        <w:rPr>
          <w:rStyle w:val="46"/>
          <w:rFonts w:hint="eastAsia" w:ascii="宋体" w:hAnsi="宋体" w:cs="宋体"/>
          <w:color w:val="auto"/>
          <w:sz w:val="36"/>
          <w:szCs w:val="36"/>
          <w:highlight w:val="none"/>
          <w:u w:val="none"/>
        </w:rPr>
        <w:tab/>
      </w:r>
      <w:r>
        <w:rPr>
          <w:rStyle w:val="46"/>
          <w:rFonts w:hint="eastAsia" w:ascii="宋体" w:hAnsi="宋体" w:cs="宋体"/>
          <w:color w:val="auto"/>
          <w:sz w:val="36"/>
          <w:szCs w:val="36"/>
          <w:highlight w:val="none"/>
          <w:u w:val="none"/>
          <w:lang w:val="en-US" w:eastAsia="zh-CN"/>
        </w:rPr>
        <w:t>4</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lang w:val="en-US" w:eastAsia="zh-CN"/>
        </w:rPr>
        <w:t>3</w:t>
      </w:r>
    </w:p>
    <w:bookmarkEnd w:id="0"/>
    <w:p w14:paraId="483FE40A">
      <w:pPr>
        <w:rPr>
          <w:color w:val="auto"/>
          <w:highlight w:val="none"/>
        </w:rPr>
      </w:pPr>
      <w:bookmarkStart w:id="1" w:name="_Toc10354_WPSOffice_Level1"/>
    </w:p>
    <w:p w14:paraId="4749FDC7">
      <w:pPr>
        <w:rPr>
          <w:color w:val="auto"/>
          <w:highlight w:val="none"/>
        </w:rPr>
      </w:pPr>
    </w:p>
    <w:p w14:paraId="31A65275">
      <w:pPr>
        <w:rPr>
          <w:color w:val="auto"/>
          <w:highlight w:val="none"/>
        </w:rPr>
      </w:pPr>
    </w:p>
    <w:p w14:paraId="3B0C9B38">
      <w:pPr>
        <w:rPr>
          <w:color w:val="auto"/>
          <w:highlight w:val="none"/>
        </w:rPr>
      </w:pPr>
    </w:p>
    <w:p w14:paraId="401EFFB7">
      <w:pPr>
        <w:rPr>
          <w:color w:val="auto"/>
          <w:highlight w:val="none"/>
        </w:rPr>
      </w:pPr>
    </w:p>
    <w:p w14:paraId="5283C7A5">
      <w:pPr>
        <w:rPr>
          <w:color w:val="auto"/>
          <w:highlight w:val="none"/>
        </w:rPr>
      </w:pPr>
    </w:p>
    <w:p w14:paraId="06FBAFF4">
      <w:pPr>
        <w:rPr>
          <w:color w:val="auto"/>
          <w:highlight w:val="none"/>
        </w:rPr>
      </w:pPr>
    </w:p>
    <w:p w14:paraId="118572B5">
      <w:pPr>
        <w:rPr>
          <w:color w:val="auto"/>
          <w:highlight w:val="none"/>
        </w:rPr>
      </w:pPr>
    </w:p>
    <w:p w14:paraId="4FF56BD6">
      <w:pPr>
        <w:rPr>
          <w:color w:val="auto"/>
          <w:highlight w:val="none"/>
        </w:rPr>
      </w:pPr>
    </w:p>
    <w:p w14:paraId="1E625632">
      <w:pPr>
        <w:rPr>
          <w:color w:val="auto"/>
          <w:highlight w:val="none"/>
        </w:rPr>
      </w:pPr>
    </w:p>
    <w:p w14:paraId="5B174198">
      <w:pPr>
        <w:rPr>
          <w:color w:val="auto"/>
          <w:highlight w:val="none"/>
        </w:rPr>
      </w:pPr>
    </w:p>
    <w:p w14:paraId="1AA55AB8">
      <w:pPr>
        <w:rPr>
          <w:color w:val="auto"/>
          <w:highlight w:val="none"/>
        </w:rPr>
      </w:pPr>
    </w:p>
    <w:p w14:paraId="3C161017">
      <w:pPr>
        <w:rPr>
          <w:color w:val="auto"/>
          <w:highlight w:val="none"/>
        </w:rPr>
      </w:pPr>
    </w:p>
    <w:p w14:paraId="42EC5C10">
      <w:pPr>
        <w:rPr>
          <w:color w:val="auto"/>
          <w:highlight w:val="none"/>
        </w:rPr>
      </w:pPr>
    </w:p>
    <w:p w14:paraId="309D5FC5">
      <w:pPr>
        <w:rPr>
          <w:color w:val="auto"/>
          <w:highlight w:val="none"/>
        </w:rPr>
      </w:pPr>
    </w:p>
    <w:p w14:paraId="5F90C61D">
      <w:pPr>
        <w:rPr>
          <w:color w:val="auto"/>
          <w:highlight w:val="none"/>
        </w:rPr>
      </w:pPr>
    </w:p>
    <w:p w14:paraId="0DE708E9">
      <w:pPr>
        <w:rPr>
          <w:color w:val="auto"/>
          <w:highlight w:val="none"/>
        </w:rPr>
      </w:pPr>
    </w:p>
    <w:p w14:paraId="309BAAE3">
      <w:pPr>
        <w:rPr>
          <w:color w:val="auto"/>
          <w:highlight w:val="none"/>
        </w:rPr>
      </w:pPr>
    </w:p>
    <w:p w14:paraId="714DBA01">
      <w:pPr>
        <w:rPr>
          <w:color w:val="auto"/>
          <w:highlight w:val="none"/>
        </w:rPr>
      </w:pPr>
    </w:p>
    <w:p w14:paraId="701FBC50">
      <w:pPr>
        <w:rPr>
          <w:color w:val="auto"/>
          <w:highlight w:val="none"/>
        </w:rPr>
      </w:pPr>
    </w:p>
    <w:p w14:paraId="5E72BCA4">
      <w:pPr>
        <w:rPr>
          <w:color w:val="auto"/>
          <w:highlight w:val="none"/>
        </w:rPr>
      </w:pPr>
    </w:p>
    <w:p w14:paraId="6EBF1EC1">
      <w:pPr>
        <w:rPr>
          <w:color w:val="auto"/>
          <w:highlight w:val="none"/>
        </w:rPr>
      </w:pPr>
    </w:p>
    <w:p w14:paraId="62B5BFB3">
      <w:pPr>
        <w:rPr>
          <w:color w:val="auto"/>
          <w:highlight w:val="none"/>
        </w:rPr>
      </w:pPr>
    </w:p>
    <w:p w14:paraId="3D99B19B">
      <w:pPr>
        <w:rPr>
          <w:color w:val="auto"/>
          <w:highlight w:val="none"/>
        </w:rPr>
      </w:pPr>
    </w:p>
    <w:p w14:paraId="7928188D">
      <w:pPr>
        <w:rPr>
          <w:color w:val="auto"/>
          <w:highlight w:val="none"/>
        </w:rPr>
      </w:pPr>
    </w:p>
    <w:p w14:paraId="12D76394">
      <w:pPr>
        <w:rPr>
          <w:color w:val="auto"/>
          <w:highlight w:val="none"/>
        </w:rPr>
      </w:pPr>
    </w:p>
    <w:p w14:paraId="66DCF201">
      <w:pPr>
        <w:rPr>
          <w:color w:val="auto"/>
          <w:highlight w:val="none"/>
        </w:rPr>
      </w:pPr>
    </w:p>
    <w:p w14:paraId="7BF3EE5D">
      <w:pPr>
        <w:rPr>
          <w:color w:val="auto"/>
          <w:highlight w:val="none"/>
        </w:rPr>
      </w:pPr>
    </w:p>
    <w:p w14:paraId="363D00E7">
      <w:pPr>
        <w:rPr>
          <w:color w:val="auto"/>
          <w:highlight w:val="none"/>
        </w:rPr>
      </w:pPr>
    </w:p>
    <w:p w14:paraId="2C8ABA04">
      <w:pPr>
        <w:rPr>
          <w:rFonts w:hint="eastAsia"/>
          <w:color w:val="auto"/>
          <w:highlight w:val="none"/>
        </w:rPr>
      </w:pPr>
    </w:p>
    <w:p w14:paraId="33496C20">
      <w:pPr>
        <w:pStyle w:val="22"/>
        <w:snapToGrid w:val="0"/>
        <w:spacing w:before="120" w:beforeLines="0" w:after="120" w:afterLines="0" w:line="240" w:lineRule="auto"/>
        <w:jc w:val="center"/>
        <w:outlineLvl w:val="0"/>
        <w:rPr>
          <w:rFonts w:hAnsi="宋体" w:cs="宋体"/>
          <w:color w:val="auto"/>
          <w:sz w:val="30"/>
          <w:szCs w:val="30"/>
          <w:highlight w:val="none"/>
        </w:rPr>
      </w:pPr>
      <w:bookmarkStart w:id="2" w:name="第一章"/>
      <w:r>
        <w:rPr>
          <w:rFonts w:hAnsi="宋体" w:cs="宋体"/>
          <w:color w:val="auto"/>
          <w:sz w:val="30"/>
          <w:szCs w:val="30"/>
          <w:highlight w:val="none"/>
        </w:rPr>
        <w:t>第一章  公开招标采购公告</w:t>
      </w:r>
      <w:bookmarkEnd w:id="1"/>
      <w:bookmarkEnd w:id="2"/>
      <w:r>
        <w:rPr>
          <w:color w:val="auto"/>
          <w:highlight w:val="none"/>
        </w:rPr>
        <w:fldChar w:fldCharType="begin"/>
      </w:r>
      <w:r>
        <w:rPr>
          <w:rFonts w:hAnsi="宋体" w:cs="宋体"/>
          <w:color w:val="auto"/>
          <w:sz w:val="30"/>
          <w:szCs w:val="30"/>
          <w:highlight w:val="none"/>
        </w:rPr>
        <w:instrText xml:space="preserve"> XE "第一章  公开招标采购公告" </w:instrText>
      </w:r>
      <w:r>
        <w:rPr>
          <w:rFonts w:hAnsi="宋体" w:cs="宋体"/>
          <w:color w:val="auto"/>
          <w:sz w:val="30"/>
          <w:szCs w:val="30"/>
          <w:highlight w:val="none"/>
        </w:rPr>
        <w:fldChar w:fldCharType="end"/>
      </w:r>
      <w:r>
        <w:rPr>
          <w:color w:val="auto"/>
          <w:highlight w:val="none"/>
        </w:rPr>
        <w:fldChar w:fldCharType="begin"/>
      </w:r>
      <w:r>
        <w:rPr>
          <w:rFonts w:hAnsi="宋体" w:cs="宋体"/>
          <w:color w:val="auto"/>
          <w:sz w:val="30"/>
          <w:szCs w:val="30"/>
          <w:highlight w:val="none"/>
        </w:rPr>
        <w:instrText xml:space="preserve"> XE "第一章  公开招标采购公告" </w:instrText>
      </w:r>
      <w:r>
        <w:rPr>
          <w:rFonts w:hAnsi="宋体" w:cs="宋体"/>
          <w:color w:val="auto"/>
          <w:sz w:val="30"/>
          <w:szCs w:val="30"/>
          <w:highlight w:val="none"/>
        </w:rPr>
        <w:fldChar w:fldCharType="end"/>
      </w:r>
      <w:r>
        <w:rPr>
          <w:color w:val="auto"/>
          <w:highlight w:val="none"/>
        </w:rPr>
        <w:fldChar w:fldCharType="begin"/>
      </w:r>
      <w:r>
        <w:rPr>
          <w:rFonts w:hAnsi="宋体" w:cs="宋体"/>
          <w:color w:val="auto"/>
          <w:sz w:val="30"/>
          <w:szCs w:val="30"/>
          <w:highlight w:val="none"/>
        </w:rPr>
        <w:instrText xml:space="preserve"> XE "第一章  公开招标采购公告" </w:instrText>
      </w:r>
      <w:r>
        <w:rPr>
          <w:rFonts w:hAnsi="宋体" w:cs="宋体"/>
          <w:color w:val="auto"/>
          <w:sz w:val="30"/>
          <w:szCs w:val="30"/>
          <w:highlight w:val="none"/>
        </w:rPr>
        <w:fldChar w:fldCharType="end"/>
      </w:r>
      <w:r>
        <w:rPr>
          <w:color w:val="auto"/>
          <w:highlight w:val="none"/>
        </w:rPr>
        <w:fldChar w:fldCharType="begin"/>
      </w:r>
      <w:r>
        <w:rPr>
          <w:rFonts w:hAnsi="宋体" w:cs="宋体"/>
          <w:color w:val="auto"/>
          <w:sz w:val="30"/>
          <w:szCs w:val="30"/>
          <w:highlight w:val="none"/>
        </w:rPr>
        <w:instrText xml:space="preserve"> XE "</w:instrText>
      </w:r>
      <w:r>
        <w:rPr>
          <w:rFonts w:hAnsi="宋体" w:cs="宋体"/>
          <w:color w:val="auto"/>
          <w:highlight w:val="none"/>
        </w:rPr>
        <w:instrText xml:space="preserve">第一章  公开招标采购公告</w:instrText>
      </w:r>
      <w:r>
        <w:rPr>
          <w:rFonts w:hAnsi="宋体" w:cs="宋体"/>
          <w:color w:val="auto"/>
          <w:sz w:val="30"/>
          <w:szCs w:val="30"/>
          <w:highlight w:val="none"/>
        </w:rPr>
        <w:instrText xml:space="preserve">" </w:instrText>
      </w:r>
      <w:r>
        <w:rPr>
          <w:rFonts w:hAnsi="宋体" w:cs="宋体"/>
          <w:color w:val="auto"/>
          <w:sz w:val="30"/>
          <w:szCs w:val="30"/>
          <w:highlight w:val="none"/>
        </w:rPr>
        <w:fldChar w:fldCharType="end"/>
      </w:r>
    </w:p>
    <w:p w14:paraId="73227D21">
      <w:pPr>
        <w:pStyle w:val="83"/>
        <w:widowControl w:val="0"/>
        <w:spacing w:after="0" w:afterLines="0"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参照《中华人民共和国招标投标法》等规定，受采购人委托，现就</w:t>
      </w:r>
      <w:r>
        <w:rPr>
          <w:rFonts w:hint="eastAsia" w:ascii="宋体" w:hAnsi="宋体" w:cs="宋体"/>
          <w:color w:val="auto"/>
          <w:szCs w:val="24"/>
          <w:highlight w:val="none"/>
          <w:u w:val="single"/>
          <w:lang w:eastAsia="zh-CN"/>
        </w:rPr>
        <w:t>台州市开发投资集团有限公司国产化适配项目</w:t>
      </w:r>
      <w:r>
        <w:rPr>
          <w:rFonts w:hint="eastAsia" w:ascii="宋体" w:hAnsi="宋体" w:cs="宋体"/>
          <w:color w:val="auto"/>
          <w:szCs w:val="24"/>
          <w:highlight w:val="none"/>
        </w:rPr>
        <w:t>进行公开招标采购，欢迎合格供应商前来投标：</w:t>
      </w:r>
    </w:p>
    <w:p w14:paraId="23A754A6">
      <w:pPr>
        <w:pStyle w:val="22"/>
        <w:tabs>
          <w:tab w:val="left" w:pos="1620"/>
        </w:tabs>
        <w:snapToGrid w:val="0"/>
        <w:spacing w:before="0" w:beforeLines="0" w:after="0" w:afterLines="0" w:line="360" w:lineRule="auto"/>
        <w:ind w:firstLine="482" w:firstLineChars="200"/>
        <w:rPr>
          <w:rFonts w:hint="eastAsia" w:ascii="宋体" w:hAnsi="宋体" w:cs="宋体"/>
          <w:color w:val="auto"/>
          <w:sz w:val="24"/>
          <w:szCs w:val="20"/>
          <w:highlight w:val="none"/>
        </w:rPr>
      </w:pPr>
      <w:r>
        <w:rPr>
          <w:rFonts w:hAnsi="宋体" w:cs="宋体"/>
          <w:bCs/>
          <w:color w:val="auto"/>
          <w:highlight w:val="none"/>
        </w:rPr>
        <w:t>一、项目编号：QBJ2024184</w:t>
      </w:r>
    </w:p>
    <w:p w14:paraId="602F8C1C">
      <w:pPr>
        <w:snapToGrid w:val="0"/>
        <w:spacing w:line="360" w:lineRule="auto"/>
        <w:ind w:firstLine="482" w:firstLineChars="200"/>
        <w:rPr>
          <w:rFonts w:hint="eastAsia" w:ascii="宋体" w:hAnsi="宋体" w:cs="宋体"/>
          <w:color w:val="auto"/>
          <w:sz w:val="24"/>
          <w:szCs w:val="20"/>
          <w:highlight w:val="none"/>
        </w:rPr>
      </w:pP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、采购方式：</w:t>
      </w:r>
      <w:r>
        <w:rPr>
          <w:rFonts w:hint="eastAsia" w:ascii="宋体" w:hAnsi="宋体" w:cs="宋体"/>
          <w:color w:val="auto"/>
          <w:sz w:val="24"/>
          <w:highlight w:val="none"/>
        </w:rPr>
        <w:t>公开招标</w:t>
      </w:r>
    </w:p>
    <w:p w14:paraId="6C3C4EA2">
      <w:pPr>
        <w:snapToGrid w:val="0"/>
        <w:spacing w:line="360" w:lineRule="auto"/>
        <w:ind w:firstLine="482" w:firstLineChars="200"/>
        <w:rPr>
          <w:rFonts w:hint="eastAsia" w:ascii="宋体" w:hAnsi="宋体" w:cs="宋体"/>
          <w:b/>
          <w:bCs/>
          <w:color w:val="auto"/>
          <w:sz w:val="24"/>
          <w:szCs w:val="20"/>
          <w:highlight w:val="none"/>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w:t>
      </w:r>
      <w:r>
        <w:rPr>
          <w:rFonts w:hint="eastAsia" w:ascii="宋体" w:hAnsi="宋体" w:cs="宋体"/>
          <w:b/>
          <w:bCs/>
          <w:color w:val="auto"/>
          <w:sz w:val="24"/>
          <w:highlight w:val="none"/>
        </w:rPr>
        <w:t>采购内容及数量</w:t>
      </w:r>
    </w:p>
    <w:tbl>
      <w:tblPr>
        <w:tblStyle w:val="4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166"/>
        <w:gridCol w:w="1300"/>
        <w:gridCol w:w="557"/>
        <w:gridCol w:w="557"/>
        <w:gridCol w:w="1146"/>
        <w:gridCol w:w="1362"/>
        <w:gridCol w:w="1174"/>
      </w:tblGrid>
      <w:tr w14:paraId="0675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81" w:type="pct"/>
            <w:vAlign w:val="center"/>
          </w:tcPr>
          <w:p w14:paraId="6923897D">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标段号</w:t>
            </w:r>
          </w:p>
        </w:tc>
        <w:tc>
          <w:tcPr>
            <w:tcW w:w="1210" w:type="pct"/>
            <w:vAlign w:val="center"/>
          </w:tcPr>
          <w:p w14:paraId="79244B38">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项目名称</w:t>
            </w:r>
          </w:p>
        </w:tc>
        <w:tc>
          <w:tcPr>
            <w:tcW w:w="726" w:type="pct"/>
            <w:vAlign w:val="center"/>
          </w:tcPr>
          <w:p w14:paraId="21CB11B5">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规格型号</w:t>
            </w:r>
          </w:p>
        </w:tc>
        <w:tc>
          <w:tcPr>
            <w:tcW w:w="311" w:type="pct"/>
            <w:vAlign w:val="center"/>
          </w:tcPr>
          <w:p w14:paraId="3D62FCF0">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数量</w:t>
            </w:r>
          </w:p>
        </w:tc>
        <w:tc>
          <w:tcPr>
            <w:tcW w:w="311" w:type="pct"/>
            <w:vAlign w:val="center"/>
          </w:tcPr>
          <w:p w14:paraId="776E7DC5">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单位</w:t>
            </w:r>
          </w:p>
        </w:tc>
        <w:tc>
          <w:tcPr>
            <w:tcW w:w="640" w:type="pct"/>
            <w:vAlign w:val="center"/>
          </w:tcPr>
          <w:p w14:paraId="56BC02CC">
            <w:pPr>
              <w:pStyle w:val="98"/>
              <w:keepNext w:val="0"/>
              <w:keepLines w:val="0"/>
              <w:widowControl w:val="0"/>
              <w:suppressLineNumbers w:val="0"/>
              <w:spacing w:before="0" w:beforeAutospacing="0" w:after="0" w:afterAutospacing="0"/>
              <w:ind w:left="0" w:right="0"/>
              <w:jc w:val="center"/>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预算</w:t>
            </w:r>
          </w:p>
          <w:p w14:paraId="389CE927">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（万元）</w:t>
            </w:r>
          </w:p>
        </w:tc>
        <w:tc>
          <w:tcPr>
            <w:tcW w:w="761" w:type="pct"/>
            <w:vAlign w:val="center"/>
          </w:tcPr>
          <w:p w14:paraId="59A06A23">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工期</w:t>
            </w:r>
          </w:p>
        </w:tc>
        <w:tc>
          <w:tcPr>
            <w:tcW w:w="656" w:type="pct"/>
            <w:vAlign w:val="center"/>
          </w:tcPr>
          <w:p w14:paraId="76223D0A">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交付地点</w:t>
            </w:r>
          </w:p>
        </w:tc>
      </w:tr>
      <w:tr w14:paraId="4AAA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81" w:type="pct"/>
            <w:vAlign w:val="center"/>
          </w:tcPr>
          <w:p w14:paraId="3D0906A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c>
          <w:tcPr>
            <w:tcW w:w="1210" w:type="pct"/>
            <w:vAlign w:val="center"/>
          </w:tcPr>
          <w:p w14:paraId="4DC5A4F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台州市开发投资集团有限公司国产化适配项目</w:t>
            </w:r>
          </w:p>
        </w:tc>
        <w:tc>
          <w:tcPr>
            <w:tcW w:w="726" w:type="pct"/>
            <w:vAlign w:val="center"/>
          </w:tcPr>
          <w:p w14:paraId="7E7C459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详见具体技术需求</w:t>
            </w:r>
          </w:p>
        </w:tc>
        <w:tc>
          <w:tcPr>
            <w:tcW w:w="311" w:type="pct"/>
            <w:vAlign w:val="center"/>
          </w:tcPr>
          <w:p w14:paraId="7A5B48B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c>
          <w:tcPr>
            <w:tcW w:w="311" w:type="pct"/>
            <w:vAlign w:val="center"/>
          </w:tcPr>
          <w:p w14:paraId="4A9A36A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批</w:t>
            </w:r>
          </w:p>
        </w:tc>
        <w:tc>
          <w:tcPr>
            <w:tcW w:w="640" w:type="pct"/>
            <w:vAlign w:val="center"/>
          </w:tcPr>
          <w:p w14:paraId="4EDF7F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82</w:t>
            </w:r>
          </w:p>
        </w:tc>
        <w:tc>
          <w:tcPr>
            <w:tcW w:w="761" w:type="pct"/>
            <w:vAlign w:val="center"/>
          </w:tcPr>
          <w:p w14:paraId="28FC73F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合同签订后</w:t>
            </w:r>
            <w:r>
              <w:rPr>
                <w:rFonts w:hint="default" w:ascii="宋体" w:hAnsi="宋体" w:cs="宋体"/>
                <w:color w:val="auto"/>
                <w:kern w:val="0"/>
                <w:sz w:val="21"/>
                <w:szCs w:val="21"/>
                <w:highlight w:val="none"/>
                <w:lang w:bidi="ar"/>
              </w:rPr>
              <w:t>30</w:t>
            </w:r>
            <w:r>
              <w:rPr>
                <w:rFonts w:hint="eastAsia" w:ascii="宋体" w:hAnsi="宋体" w:cs="宋体"/>
                <w:color w:val="auto"/>
                <w:kern w:val="0"/>
                <w:sz w:val="21"/>
                <w:szCs w:val="21"/>
                <w:highlight w:val="none"/>
                <w:lang w:bidi="ar"/>
              </w:rPr>
              <w:t>天内</w:t>
            </w:r>
          </w:p>
        </w:tc>
        <w:tc>
          <w:tcPr>
            <w:tcW w:w="656" w:type="pct"/>
            <w:vAlign w:val="center"/>
          </w:tcPr>
          <w:p w14:paraId="2BF70FF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采购人指定地点</w:t>
            </w:r>
          </w:p>
        </w:tc>
      </w:tr>
    </w:tbl>
    <w:p w14:paraId="34BFF22C">
      <w:pPr>
        <w:snapToGrid w:val="0"/>
        <w:spacing w:line="360" w:lineRule="auto"/>
        <w:ind w:firstLine="482" w:firstLineChars="200"/>
        <w:rPr>
          <w:rFonts w:hint="eastAsia" w:ascii="宋体" w:hAnsi="宋体" w:cs="宋体"/>
          <w:b/>
          <w:bCs/>
          <w:color w:val="auto"/>
          <w:sz w:val="24"/>
          <w:szCs w:val="20"/>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、合格投标人的资格要求：</w:t>
      </w:r>
    </w:p>
    <w:p w14:paraId="27BF165A">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（一）本项目不接受联合体投标。</w:t>
      </w:r>
    </w:p>
    <w:p w14:paraId="0484A8B3">
      <w:pPr>
        <w:pStyle w:val="16"/>
        <w:spacing w:after="0" w:line="360" w:lineRule="auto"/>
        <w:ind w:firstLine="480" w:firstLineChars="200"/>
        <w:rPr>
          <w:rFonts w:hint="eastAsia"/>
          <w:color w:val="auto"/>
          <w:highlight w:val="none"/>
        </w:rPr>
      </w:pPr>
      <w:r>
        <w:rPr>
          <w:rFonts w:hint="eastAsia" w:ascii="宋体"/>
          <w:color w:val="auto"/>
          <w:sz w:val="24"/>
          <w:highlight w:val="none"/>
        </w:rPr>
        <w:t>（二）投标人特定资格要求：具有</w:t>
      </w:r>
      <w:r>
        <w:rPr>
          <w:rFonts w:hint="eastAsia" w:ascii="宋体" w:hAnsi="Times New Roman" w:eastAsia="宋体" w:cs="Times New Roman"/>
          <w:color w:val="auto"/>
          <w:sz w:val="24"/>
          <w:highlight w:val="none"/>
          <w:lang w:val="en-US" w:eastAsia="zh-CN"/>
        </w:rPr>
        <w:t>设备供货能</w:t>
      </w:r>
      <w:r>
        <w:rPr>
          <w:rFonts w:hint="eastAsia" w:ascii="宋体" w:hAnsi="Times New Roman" w:eastAsia="宋体" w:cs="Times New Roman"/>
          <w:color w:val="auto"/>
          <w:sz w:val="24"/>
          <w:highlight w:val="none"/>
        </w:rPr>
        <w:t>力</w:t>
      </w:r>
      <w:r>
        <w:rPr>
          <w:rFonts w:hint="eastAsia" w:ascii="宋体"/>
          <w:color w:val="auto"/>
          <w:sz w:val="24"/>
          <w:highlight w:val="none"/>
        </w:rPr>
        <w:t>及售后服务能力的所投产品的</w:t>
      </w:r>
      <w:r>
        <w:rPr>
          <w:rFonts w:hint="eastAsia" w:ascii="宋体"/>
          <w:color w:val="auto"/>
          <w:sz w:val="24"/>
          <w:highlight w:val="none"/>
          <w:lang w:val="en-US" w:eastAsia="zh-CN"/>
        </w:rPr>
        <w:t>供应商</w:t>
      </w:r>
      <w:r>
        <w:rPr>
          <w:rFonts w:hint="eastAsia" w:ascii="宋体" w:hAnsi="宋体"/>
          <w:color w:val="auto"/>
          <w:sz w:val="24"/>
          <w:highlight w:val="none"/>
        </w:rPr>
        <w:t>。</w:t>
      </w:r>
    </w:p>
    <w:p w14:paraId="0FA71F01">
      <w:pPr>
        <w:snapToGrid w:val="0"/>
        <w:spacing w:line="360" w:lineRule="auto"/>
        <w:ind w:firstLine="482" w:firstLineChars="200"/>
        <w:rPr>
          <w:rFonts w:hint="eastAsia" w:ascii="宋体" w:hAnsi="宋体" w:cs="宋体"/>
          <w:b/>
          <w:color w:val="auto"/>
          <w:sz w:val="24"/>
          <w:szCs w:val="20"/>
          <w:highlight w:val="none"/>
        </w:rPr>
      </w:pPr>
      <w:r>
        <w:rPr>
          <w:rFonts w:hint="eastAsia" w:ascii="宋体" w:hAnsi="宋体" w:cs="宋体"/>
          <w:b/>
          <w:color w:val="auto"/>
          <w:sz w:val="24"/>
          <w:szCs w:val="20"/>
          <w:highlight w:val="none"/>
        </w:rPr>
        <w:t>五、招标文件的获取</w:t>
      </w:r>
    </w:p>
    <w:p w14:paraId="3761B92D">
      <w:pPr>
        <w:snapToGrid w:val="0"/>
        <w:spacing w:line="360" w:lineRule="auto"/>
        <w:ind w:firstLine="480" w:firstLineChars="200"/>
        <w:rPr>
          <w:rFonts w:hint="eastAsia" w:ascii="宋体" w:hAnsi="宋体" w:cs="宋体"/>
          <w:b/>
          <w:color w:val="auto"/>
          <w:sz w:val="24"/>
          <w:szCs w:val="20"/>
          <w:highlight w:val="none"/>
        </w:rPr>
      </w:pPr>
      <w:r>
        <w:rPr>
          <w:rFonts w:hint="eastAsia" w:ascii="宋体" w:hAnsi="宋体" w:cs="宋体"/>
          <w:b w:val="0"/>
          <w:bCs/>
          <w:color w:val="auto"/>
          <w:sz w:val="24"/>
          <w:szCs w:val="20"/>
          <w:highlight w:val="none"/>
        </w:rPr>
        <w:t>本次招标文件的获取由各投标人自行到台州湾新区小额工程电子交易平台（网址：http://www.tzwztb.com/）下载获取。请各投标人密切关注台州湾新区小额工程电子交易平台或浙江政府采购网对本项目的答疑和澄清，由于投标人未及时了解答疑和澄清造成的后果，招标人、招标代理概不负责。</w:t>
      </w:r>
    </w:p>
    <w:p w14:paraId="07B8652C">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 xml:space="preserve">  六、投标截止时间和地点：</w:t>
      </w:r>
    </w:p>
    <w:p w14:paraId="2ADF26C8">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1.递交截止时间：2024年</w:t>
      </w:r>
      <w:r>
        <w:rPr>
          <w:rFonts w:hint="eastAsia" w:ascii="宋体" w:hAnsi="宋体" w:cs="宋体"/>
          <w:b w:val="0"/>
          <w:bCs/>
          <w:color w:val="auto"/>
          <w:sz w:val="24"/>
          <w:szCs w:val="20"/>
          <w:highlight w:val="none"/>
          <w:lang w:val="en-US" w:eastAsia="zh-CN"/>
        </w:rPr>
        <w:t>10</w:t>
      </w:r>
      <w:r>
        <w:rPr>
          <w:rFonts w:hint="eastAsia" w:ascii="宋体" w:hAnsi="宋体" w:cs="宋体"/>
          <w:b w:val="0"/>
          <w:bCs/>
          <w:color w:val="auto"/>
          <w:sz w:val="24"/>
          <w:szCs w:val="20"/>
          <w:highlight w:val="none"/>
        </w:rPr>
        <w:t>月</w:t>
      </w:r>
      <w:r>
        <w:rPr>
          <w:rFonts w:hint="eastAsia" w:ascii="宋体" w:hAnsi="宋体" w:cs="宋体"/>
          <w:b w:val="0"/>
          <w:bCs/>
          <w:color w:val="auto"/>
          <w:sz w:val="24"/>
          <w:szCs w:val="20"/>
          <w:highlight w:val="none"/>
          <w:lang w:val="en-US" w:eastAsia="zh-CN"/>
        </w:rPr>
        <w:t>22</w:t>
      </w:r>
      <w:r>
        <w:rPr>
          <w:rFonts w:hint="eastAsia" w:ascii="宋体" w:hAnsi="宋体" w:cs="宋体"/>
          <w:b w:val="0"/>
          <w:bCs/>
          <w:color w:val="auto"/>
          <w:sz w:val="24"/>
          <w:szCs w:val="20"/>
          <w:highlight w:val="none"/>
        </w:rPr>
        <w:t>日09时30分（北京时间）</w:t>
      </w:r>
    </w:p>
    <w:p w14:paraId="0026BF37">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2.电子投标文件的递交：</w:t>
      </w:r>
    </w:p>
    <w:p w14:paraId="670FCC24">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1) 台州湾新区小额工程电子交易平台（网址：http://www.tzwztb.com/）；</w:t>
      </w:r>
    </w:p>
    <w:p w14:paraId="3430E56F">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2) 投标人应提前办好ca锁（办理网址：http://www.tseal.cn/tcloud/common.xhtml?projId=295），绑定平台账户。</w:t>
      </w:r>
    </w:p>
    <w:p w14:paraId="496AA2EE">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3)缴纳保证金（或购买、上传电子保函）后，点击“电子投标文件制作工具”，进入制作页面，签章并加密上传电子投标文件。</w:t>
      </w:r>
    </w:p>
    <w:p w14:paraId="13992A61">
      <w:pPr>
        <w:snapToGrid w:val="0"/>
        <w:spacing w:line="360" w:lineRule="auto"/>
        <w:ind w:firstLine="240" w:firstLineChars="100"/>
        <w:rPr>
          <w:rFonts w:hint="eastAsia" w:ascii="宋体" w:hAnsi="宋体" w:cs="宋体"/>
          <w:b/>
          <w:color w:val="auto"/>
          <w:sz w:val="24"/>
          <w:szCs w:val="20"/>
          <w:highlight w:val="none"/>
        </w:rPr>
      </w:pPr>
      <w:r>
        <w:rPr>
          <w:rFonts w:hint="eastAsia" w:ascii="宋体" w:hAnsi="宋体" w:cs="宋体"/>
          <w:b w:val="0"/>
          <w:bCs/>
          <w:color w:val="auto"/>
          <w:sz w:val="24"/>
          <w:szCs w:val="20"/>
          <w:highlight w:val="none"/>
        </w:rPr>
        <w:t>3.电子投标文件未在投标文件递交截止时间前递交至 台州湾新区小额工程电子交易平台将被拒绝，后果由各投标人自行承担。</w:t>
      </w:r>
    </w:p>
    <w:p w14:paraId="6217E06D">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lang w:val="en-US" w:eastAsia="zh-CN"/>
        </w:rPr>
        <w:t>七、</w:t>
      </w:r>
      <w:r>
        <w:rPr>
          <w:rFonts w:hint="eastAsia" w:ascii="宋体" w:hAnsi="宋体" w:cs="宋体"/>
          <w:b/>
          <w:color w:val="auto"/>
          <w:sz w:val="24"/>
          <w:szCs w:val="20"/>
          <w:highlight w:val="none"/>
        </w:rPr>
        <w:t>开标时间：</w:t>
      </w:r>
      <w:r>
        <w:rPr>
          <w:rFonts w:hint="eastAsia" w:ascii="宋体" w:hAnsi="宋体" w:cs="宋体"/>
          <w:b w:val="0"/>
          <w:bCs/>
          <w:color w:val="auto"/>
          <w:sz w:val="24"/>
          <w:szCs w:val="20"/>
          <w:highlight w:val="none"/>
        </w:rPr>
        <w:t>2024年</w:t>
      </w:r>
      <w:r>
        <w:rPr>
          <w:rFonts w:hint="eastAsia" w:ascii="宋体" w:hAnsi="宋体" w:cs="宋体"/>
          <w:b w:val="0"/>
          <w:bCs/>
          <w:color w:val="auto"/>
          <w:sz w:val="24"/>
          <w:szCs w:val="20"/>
          <w:highlight w:val="none"/>
          <w:lang w:val="en-US" w:eastAsia="zh-CN"/>
        </w:rPr>
        <w:t>10</w:t>
      </w:r>
      <w:r>
        <w:rPr>
          <w:rFonts w:hint="eastAsia" w:ascii="宋体" w:hAnsi="宋体" w:cs="宋体"/>
          <w:b w:val="0"/>
          <w:bCs/>
          <w:color w:val="auto"/>
          <w:sz w:val="24"/>
          <w:szCs w:val="20"/>
          <w:highlight w:val="none"/>
        </w:rPr>
        <w:t>月</w:t>
      </w:r>
      <w:r>
        <w:rPr>
          <w:rFonts w:hint="eastAsia" w:ascii="宋体" w:hAnsi="宋体" w:cs="宋体"/>
          <w:b w:val="0"/>
          <w:bCs/>
          <w:color w:val="auto"/>
          <w:sz w:val="24"/>
          <w:szCs w:val="20"/>
          <w:highlight w:val="none"/>
          <w:lang w:val="en-US" w:eastAsia="zh-CN"/>
        </w:rPr>
        <w:t>22</w:t>
      </w:r>
      <w:r>
        <w:rPr>
          <w:rFonts w:hint="eastAsia" w:ascii="宋体" w:hAnsi="宋体" w:cs="宋体"/>
          <w:b w:val="0"/>
          <w:bCs/>
          <w:color w:val="auto"/>
          <w:sz w:val="24"/>
          <w:szCs w:val="20"/>
          <w:highlight w:val="none"/>
        </w:rPr>
        <w:t>日09时30分（北京时间）。</w:t>
      </w:r>
    </w:p>
    <w:p w14:paraId="04CDD9BC">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八、开标地点：</w:t>
      </w:r>
      <w:r>
        <w:rPr>
          <w:rFonts w:hint="eastAsia" w:ascii="宋体" w:hAnsi="宋体" w:cs="宋体"/>
          <w:b w:val="0"/>
          <w:bCs/>
          <w:color w:val="auto"/>
          <w:sz w:val="24"/>
          <w:szCs w:val="20"/>
          <w:highlight w:val="none"/>
        </w:rPr>
        <w:t>本项目开评标环节实行全流程电子化，投标人可自行登录不见面开标大厅观看。（</w:t>
      </w:r>
      <w:r>
        <w:rPr>
          <w:rFonts w:hint="eastAsia" w:ascii="宋体" w:hAnsi="宋体" w:cs="宋体"/>
          <w:b w:val="0"/>
          <w:bCs/>
          <w:color w:val="auto"/>
          <w:sz w:val="24"/>
          <w:szCs w:val="20"/>
          <w:highlight w:val="none"/>
        </w:rPr>
        <w:fldChar w:fldCharType="begin"/>
      </w:r>
      <w:r>
        <w:rPr>
          <w:rFonts w:hint="eastAsia" w:ascii="宋体" w:hAnsi="宋体" w:cs="宋体"/>
          <w:b w:val="0"/>
          <w:bCs/>
          <w:color w:val="auto"/>
          <w:sz w:val="24"/>
          <w:szCs w:val="20"/>
          <w:highlight w:val="none"/>
        </w:rPr>
        <w:instrText xml:space="preserve"> HYPERLINK "http://www.tzwztb.com/live/" </w:instrText>
      </w:r>
      <w:r>
        <w:rPr>
          <w:rFonts w:hint="eastAsia" w:ascii="宋体" w:hAnsi="宋体" w:cs="宋体"/>
          <w:b w:val="0"/>
          <w:bCs/>
          <w:color w:val="auto"/>
          <w:sz w:val="24"/>
          <w:szCs w:val="20"/>
          <w:highlight w:val="none"/>
        </w:rPr>
        <w:fldChar w:fldCharType="separate"/>
      </w:r>
      <w:r>
        <w:rPr>
          <w:rFonts w:hint="eastAsia" w:ascii="宋体" w:hAnsi="宋体" w:cs="宋体"/>
          <w:b w:val="0"/>
          <w:bCs/>
          <w:color w:val="auto"/>
          <w:sz w:val="24"/>
          <w:szCs w:val="20"/>
          <w:highlight w:val="none"/>
        </w:rPr>
        <w:t>www.tzwztb.com/live/</w:t>
      </w:r>
      <w:r>
        <w:rPr>
          <w:rFonts w:hint="eastAsia" w:ascii="宋体" w:hAnsi="宋体" w:cs="宋体"/>
          <w:b w:val="0"/>
          <w:bCs/>
          <w:color w:val="auto"/>
          <w:sz w:val="24"/>
          <w:szCs w:val="20"/>
          <w:highlight w:val="none"/>
        </w:rPr>
        <w:fldChar w:fldCharType="end"/>
      </w:r>
      <w:r>
        <w:rPr>
          <w:rFonts w:hint="eastAsia" w:ascii="宋体" w:hAnsi="宋体" w:cs="宋体"/>
          <w:b w:val="0"/>
          <w:bCs/>
          <w:color w:val="auto"/>
          <w:sz w:val="24"/>
          <w:szCs w:val="20"/>
          <w:highlight w:val="none"/>
        </w:rPr>
        <w:t xml:space="preserve"> ）</w:t>
      </w:r>
    </w:p>
    <w:p w14:paraId="57BB1A0D">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九、投标保证金：</w:t>
      </w:r>
    </w:p>
    <w:p w14:paraId="6B0BFE1E">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1.投标保证金金额：</w:t>
      </w:r>
      <w:r>
        <w:rPr>
          <w:rFonts w:hint="eastAsia" w:ascii="宋体" w:hAnsi="宋体" w:cs="宋体"/>
          <w:b w:val="0"/>
          <w:bCs/>
          <w:color w:val="auto"/>
          <w:sz w:val="24"/>
          <w:szCs w:val="20"/>
          <w:highlight w:val="none"/>
          <w:lang w:val="en-US" w:eastAsia="zh-CN"/>
        </w:rPr>
        <w:t>1.6</w:t>
      </w:r>
      <w:r>
        <w:rPr>
          <w:rFonts w:hint="eastAsia" w:ascii="宋体" w:hAnsi="宋体" w:cs="宋体"/>
          <w:b w:val="0"/>
          <w:bCs/>
          <w:color w:val="auto"/>
          <w:sz w:val="24"/>
          <w:szCs w:val="20"/>
          <w:highlight w:val="none"/>
        </w:rPr>
        <w:t>万元。（不得超过项目预算价的2%，且最高不得超过50万元）</w:t>
      </w:r>
    </w:p>
    <w:p w14:paraId="4D122EAA">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2.投标保证金缴纳方式：现金转账、银行保函、保险机构保证保险保单、融资担保公司保函。</w:t>
      </w:r>
    </w:p>
    <w:p w14:paraId="378C116F">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（1）现金转账</w:t>
      </w:r>
    </w:p>
    <w:p w14:paraId="130D27E5">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222B4548">
      <w:pPr>
        <w:snapToGrid w:val="0"/>
        <w:spacing w:line="360" w:lineRule="auto"/>
        <w:ind w:firstLine="240" w:firstLineChars="100"/>
        <w:rPr>
          <w:rFonts w:hint="eastAsia" w:ascii="宋体" w:hAnsi="宋体" w:cs="宋体"/>
          <w:b/>
          <w:color w:val="auto"/>
          <w:sz w:val="24"/>
          <w:szCs w:val="20"/>
          <w:highlight w:val="none"/>
        </w:rPr>
      </w:pPr>
      <w:r>
        <w:rPr>
          <w:rFonts w:hint="eastAsia" w:ascii="宋体" w:hAnsi="宋体" w:cs="宋体"/>
          <w:b w:val="0"/>
          <w:bCs/>
          <w:color w:val="auto"/>
          <w:sz w:val="24"/>
          <w:szCs w:val="20"/>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14:paraId="5D2032CB">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（2）银行保函、保险机构保证保险保单、融资担保公司保函（以下合称“工程保函”）</w:t>
      </w:r>
    </w:p>
    <w:p w14:paraId="7AC20775">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①工程保函的受益人：</w:t>
      </w:r>
      <w:r>
        <w:rPr>
          <w:rFonts w:hint="eastAsia" w:ascii="宋体" w:hAnsi="宋体" w:cs="宋体"/>
          <w:color w:val="auto"/>
          <w:sz w:val="24"/>
          <w:highlight w:val="none"/>
        </w:rPr>
        <w:t>台州市开发投资集团有限公司</w:t>
      </w:r>
    </w:p>
    <w:p w14:paraId="199FAC70">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（招标人名称）；</w:t>
      </w:r>
    </w:p>
    <w:p w14:paraId="7A610235">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②工程保函的有效期为1年；</w:t>
      </w:r>
    </w:p>
    <w:p w14:paraId="0FFAC136">
      <w:pPr>
        <w:snapToGrid w:val="0"/>
        <w:spacing w:line="360" w:lineRule="auto"/>
        <w:ind w:firstLine="240" w:firstLineChars="100"/>
        <w:rPr>
          <w:rFonts w:hint="eastAsia" w:ascii="宋体" w:hAnsi="宋体" w:cs="宋体"/>
          <w:b/>
          <w:color w:val="auto"/>
          <w:sz w:val="24"/>
          <w:szCs w:val="20"/>
          <w:highlight w:val="none"/>
        </w:rPr>
      </w:pPr>
      <w:r>
        <w:rPr>
          <w:rFonts w:hint="eastAsia" w:ascii="宋体" w:hAnsi="宋体" w:cs="宋体"/>
          <w:b w:val="0"/>
          <w:bCs/>
          <w:color w:val="auto"/>
          <w:sz w:val="24"/>
          <w:szCs w:val="20"/>
          <w:highlight w:val="none"/>
        </w:rPr>
        <w:t>③递交方式：</w:t>
      </w:r>
    </w:p>
    <w:p w14:paraId="4A2550AD">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递交方式一（电子保函系统）：</w:t>
      </w:r>
    </w:p>
    <w:p w14:paraId="068C62A7">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通过台州湾新区小额工程电子交易平台选择“电子保函”递交方式，并按系统流程进行操作、购买电子保函。</w:t>
      </w:r>
    </w:p>
    <w:p w14:paraId="68D8A0F1">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投标电子保函针对具体项目标段的要求“一标段一保函”，每个标段对应相应的订单号，汇款时备注订单号。</w:t>
      </w:r>
    </w:p>
    <w:p w14:paraId="39F78889">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递交方式二（非电子保函系统）：</w:t>
      </w:r>
    </w:p>
    <w:p w14:paraId="591A29DF">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 xml:space="preserve">投标人须在投标截止时间前将工程保函纸质原件、基本账户证明材料复印件（加盖公章）、保费支付的银行回单一并按要求递交。 </w:t>
      </w:r>
    </w:p>
    <w:p w14:paraId="37275336">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递交方式：现场递交。</w:t>
      </w:r>
    </w:p>
    <w:p w14:paraId="115458EF">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提交地点：台州湾新区海虹街道一楼大厅</w:t>
      </w:r>
    </w:p>
    <w:p w14:paraId="00B9C51F">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提交时间：投标截止时间当天09:00-09:30</w:t>
      </w:r>
    </w:p>
    <w:p w14:paraId="065B5531">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接收人：台州市建设咨询有限公司（代理机构）</w:t>
      </w:r>
    </w:p>
    <w:p w14:paraId="31DB97FC">
      <w:pPr>
        <w:snapToGrid w:val="0"/>
        <w:spacing w:line="360" w:lineRule="auto"/>
        <w:ind w:firstLine="240" w:firstLineChars="100"/>
        <w:rPr>
          <w:rFonts w:hint="eastAsia" w:ascii="宋体" w:hAnsi="宋体" w:cs="宋体"/>
          <w:b w:val="0"/>
          <w:bCs/>
          <w:color w:val="auto"/>
          <w:sz w:val="24"/>
          <w:szCs w:val="20"/>
          <w:highlight w:val="none"/>
        </w:rPr>
      </w:pPr>
      <w:r>
        <w:rPr>
          <w:rFonts w:hint="eastAsia" w:ascii="宋体" w:hAnsi="宋体" w:cs="宋体"/>
          <w:b w:val="0"/>
          <w:bCs/>
          <w:color w:val="auto"/>
          <w:sz w:val="24"/>
          <w:szCs w:val="20"/>
          <w:highlight w:val="none"/>
        </w:rPr>
        <w:t>接收人联系方式：0576-8851778</w:t>
      </w:r>
      <w:r>
        <w:rPr>
          <w:rFonts w:hint="eastAsia" w:ascii="宋体" w:hAnsi="宋体" w:cs="宋体"/>
          <w:b w:val="0"/>
          <w:bCs/>
          <w:color w:val="auto"/>
          <w:sz w:val="24"/>
          <w:szCs w:val="20"/>
          <w:highlight w:val="none"/>
          <w:lang w:val="en-US" w:eastAsia="zh-CN"/>
        </w:rPr>
        <w:t>2</w:t>
      </w:r>
      <w:r>
        <w:rPr>
          <w:rFonts w:hint="eastAsia" w:ascii="宋体" w:hAnsi="宋体" w:cs="宋体"/>
          <w:b w:val="0"/>
          <w:bCs/>
          <w:color w:val="auto"/>
          <w:sz w:val="24"/>
          <w:szCs w:val="20"/>
          <w:highlight w:val="none"/>
        </w:rPr>
        <w:t xml:space="preserve"> </w:t>
      </w:r>
    </w:p>
    <w:p w14:paraId="6EF3E2FD">
      <w:pPr>
        <w:snapToGrid w:val="0"/>
        <w:spacing w:line="360" w:lineRule="auto"/>
        <w:ind w:firstLine="240" w:firstLineChars="100"/>
        <w:rPr>
          <w:rFonts w:hint="eastAsia" w:ascii="宋体" w:hAnsi="宋体" w:cs="宋体"/>
          <w:b/>
          <w:color w:val="auto"/>
          <w:sz w:val="24"/>
          <w:szCs w:val="20"/>
          <w:highlight w:val="none"/>
        </w:rPr>
      </w:pPr>
      <w:r>
        <w:rPr>
          <w:rFonts w:hint="eastAsia" w:ascii="宋体" w:hAnsi="宋体" w:cs="宋体"/>
          <w:b w:val="0"/>
          <w:bCs/>
          <w:color w:val="auto"/>
          <w:sz w:val="24"/>
          <w:szCs w:val="20"/>
          <w:highlight w:val="none"/>
        </w:rPr>
        <w:t>注：投标保函文件中必须包含投标企业的信息，包含但不仅限于投标企业名称、保证方式、保证金额、保函获得时间、保证项目名称、保函有效期限、保费标准、费用支付账户（基本账户）等。</w:t>
      </w:r>
    </w:p>
    <w:p w14:paraId="013A6026">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3、注意事项</w:t>
      </w:r>
    </w:p>
    <w:p w14:paraId="54C73309">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①以银行转账形式提交的投标保证金应当从投标人基本账户转出，购买工程保函的费用应当从投标人基本账户支付；</w:t>
      </w:r>
    </w:p>
    <w:p w14:paraId="4825C2A5">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②若有疑问，请咨询技术服务</w:t>
      </w:r>
      <w:bookmarkStart w:id="38" w:name="_GoBack"/>
      <w:bookmarkEnd w:id="38"/>
      <w:r>
        <w:rPr>
          <w:rFonts w:hint="eastAsia" w:ascii="宋体" w:hAnsi="宋体" w:cs="宋体"/>
          <w:b/>
          <w:color w:val="auto"/>
          <w:sz w:val="24"/>
          <w:szCs w:val="20"/>
          <w:highlight w:val="none"/>
        </w:rPr>
        <w:t>热线：13454667697</w:t>
      </w:r>
    </w:p>
    <w:p w14:paraId="362E81CB">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③以上未按要求提供或提供不清晰的，评标委员会可能做出不利于投标人的评审结果，由此造成的风险由投标人自行承担。</w:t>
      </w:r>
    </w:p>
    <w:p w14:paraId="6C46912B">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4、购买工程电子保函截止时间：投标截止时间前一工作日下午16点之前。</w:t>
      </w:r>
    </w:p>
    <w:p w14:paraId="546A510C">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十、公告、公示媒体：</w:t>
      </w:r>
    </w:p>
    <w:p w14:paraId="0FD6819E">
      <w:pPr>
        <w:snapToGrid w:val="0"/>
        <w:spacing w:line="360" w:lineRule="auto"/>
        <w:ind w:firstLine="240" w:firstLineChars="100"/>
        <w:rPr>
          <w:rFonts w:hint="eastAsia" w:ascii="宋体" w:hAnsi="宋体" w:cs="宋体"/>
          <w:b/>
          <w:color w:val="auto"/>
          <w:sz w:val="24"/>
          <w:szCs w:val="20"/>
          <w:highlight w:val="none"/>
        </w:rPr>
      </w:pPr>
      <w:r>
        <w:rPr>
          <w:rFonts w:hint="eastAsia" w:ascii="宋体" w:hAnsi="宋体" w:cs="宋体"/>
          <w:b w:val="0"/>
          <w:bCs/>
          <w:color w:val="auto"/>
          <w:sz w:val="24"/>
          <w:szCs w:val="20"/>
          <w:highlight w:val="none"/>
        </w:rPr>
        <w:t>公告网址：台州湾新区小额工程电子交易平台”（http://www.tzwztb.com）、浙江政府采购网（https://zfcg.czt.zj.gov.cn）。</w:t>
      </w:r>
    </w:p>
    <w:p w14:paraId="6742369F">
      <w:pPr>
        <w:snapToGrid w:val="0"/>
        <w:spacing w:line="360" w:lineRule="auto"/>
        <w:ind w:firstLine="241" w:firstLineChars="100"/>
        <w:rPr>
          <w:rFonts w:hint="eastAsia" w:ascii="宋体" w:hAnsi="宋体" w:cs="宋体"/>
          <w:b/>
          <w:color w:val="auto"/>
          <w:sz w:val="24"/>
          <w:szCs w:val="20"/>
          <w:highlight w:val="none"/>
        </w:rPr>
      </w:pPr>
      <w:r>
        <w:rPr>
          <w:rFonts w:hint="eastAsia" w:ascii="宋体" w:hAnsi="宋体" w:cs="宋体"/>
          <w:b/>
          <w:color w:val="auto"/>
          <w:sz w:val="24"/>
          <w:szCs w:val="20"/>
          <w:highlight w:val="none"/>
        </w:rPr>
        <w:t>十一、联系方式：</w:t>
      </w:r>
    </w:p>
    <w:p w14:paraId="47573217">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（一）采购代理机构</w:t>
      </w:r>
    </w:p>
    <w:p w14:paraId="0EDE927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代理机构名称：</w:t>
      </w:r>
      <w:r>
        <w:rPr>
          <w:rFonts w:hint="eastAsia" w:ascii="宋体" w:hAnsi="宋体" w:cs="宋体"/>
          <w:color w:val="auto"/>
          <w:sz w:val="24"/>
          <w:highlight w:val="none"/>
          <w:lang w:eastAsia="zh-CN"/>
        </w:rPr>
        <w:t>台州湾新区丰昘建设咨询有限公司</w:t>
      </w:r>
    </w:p>
    <w:p w14:paraId="743EC1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王女士</w:t>
      </w:r>
    </w:p>
    <w:p w14:paraId="2FFBC0A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0576-88517650</w:t>
      </w:r>
    </w:p>
    <w:p w14:paraId="661025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台州湾新区甲南大道东段9号规划展示馆西面</w:t>
      </w:r>
      <w:r>
        <w:rPr>
          <w:rFonts w:hint="eastAsia" w:ascii="宋体" w:hAnsi="宋体" w:cs="宋体"/>
          <w:color w:val="auto"/>
          <w:sz w:val="24"/>
          <w:highlight w:val="none"/>
        </w:rPr>
        <w:t xml:space="preserve"> </w:t>
      </w:r>
    </w:p>
    <w:p w14:paraId="074D1669">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（二）采购人</w:t>
      </w:r>
    </w:p>
    <w:p w14:paraId="534602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采购人名称：台州市开发投资集团有限公司 </w:t>
      </w:r>
    </w:p>
    <w:p w14:paraId="44E8B5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联系人：王女士</w:t>
      </w:r>
    </w:p>
    <w:p w14:paraId="09AD06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联系电话：0576-88503104  </w:t>
      </w:r>
    </w:p>
    <w:p w14:paraId="53252DDD">
      <w:pPr>
        <w:pStyle w:val="16"/>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采购人地址：浙江省台州市椒江区府中路177号</w:t>
      </w:r>
    </w:p>
    <w:p w14:paraId="6EA5E75A">
      <w:pPr>
        <w:snapToGrid w:val="0"/>
        <w:spacing w:line="360" w:lineRule="auto"/>
        <w:jc w:val="center"/>
        <w:rPr>
          <w:rFonts w:hint="eastAsia" w:ascii="宋体" w:hAnsi="宋体" w:eastAsia="宋体" w:cs="宋体"/>
          <w:color w:val="auto"/>
          <w:sz w:val="24"/>
          <w:szCs w:val="20"/>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台州湾新区丰昘建设咨询有限公司</w:t>
      </w:r>
    </w:p>
    <w:p w14:paraId="3652747B">
      <w:pPr>
        <w:snapToGrid w:val="0"/>
        <w:spacing w:line="360" w:lineRule="auto"/>
        <w:ind w:left="238" w:firstLine="4980" w:firstLineChars="2075"/>
        <w:jc w:val="center"/>
        <w:rPr>
          <w:rFonts w:ascii="宋体" w:hAnsi="宋体" w:cs="宋体"/>
          <w:color w:val="auto"/>
          <w:sz w:val="24"/>
          <w:highlight w:val="none"/>
        </w:rPr>
      </w:pP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月</w:t>
      </w:r>
    </w:p>
    <w:p w14:paraId="1D612CA7">
      <w:pPr>
        <w:pStyle w:val="22"/>
        <w:tabs>
          <w:tab w:val="left" w:pos="1620"/>
        </w:tabs>
        <w:snapToGrid w:val="0"/>
        <w:spacing w:before="120" w:beforeLines="0" w:after="120" w:afterLines="0"/>
        <w:jc w:val="center"/>
        <w:rPr>
          <w:rFonts w:hAnsi="宋体" w:cs="宋体"/>
          <w:color w:val="auto"/>
          <w:sz w:val="36"/>
          <w:szCs w:val="36"/>
          <w:highlight w:val="none"/>
        </w:rPr>
        <w:sectPr>
          <w:headerReference r:id="rId8" w:type="first"/>
          <w:footerReference r:id="rId10" w:type="first"/>
          <w:headerReference r:id="rId7" w:type="default"/>
          <w:footerReference r:id="rId9" w:type="default"/>
          <w:pgSz w:w="11906" w:h="16838"/>
          <w:pgMar w:top="1134" w:right="1587" w:bottom="1134" w:left="1587" w:header="851" w:footer="850" w:gutter="0"/>
          <w:cols w:space="720" w:num="1"/>
          <w:titlePg/>
          <w:docGrid w:linePitch="312" w:charSpace="0"/>
        </w:sectPr>
      </w:pPr>
    </w:p>
    <w:p w14:paraId="734B34B0">
      <w:pPr>
        <w:pStyle w:val="22"/>
        <w:numPr>
          <w:ilvl w:val="0"/>
          <w:numId w:val="4"/>
        </w:numPr>
        <w:tabs>
          <w:tab w:val="left" w:pos="1620"/>
        </w:tabs>
        <w:snapToGrid w:val="0"/>
        <w:spacing w:before="120" w:beforeLines="0" w:after="120" w:afterLines="0"/>
        <w:jc w:val="center"/>
        <w:rPr>
          <w:rFonts w:hAnsi="宋体"/>
          <w:color w:val="auto"/>
          <w:sz w:val="36"/>
          <w:szCs w:val="36"/>
          <w:highlight w:val="none"/>
        </w:rPr>
      </w:pPr>
      <w:bookmarkStart w:id="3" w:name="第二章"/>
      <w:bookmarkStart w:id="4" w:name="_Toc18554_WPSOffice_Level1"/>
      <w:r>
        <w:rPr>
          <w:rFonts w:hAnsi="宋体"/>
          <w:color w:val="auto"/>
          <w:sz w:val="36"/>
          <w:szCs w:val="36"/>
          <w:highlight w:val="none"/>
        </w:rPr>
        <w:t xml:space="preserve"> </w:t>
      </w:r>
      <w:r>
        <w:rPr>
          <w:rFonts w:hAnsi="宋体"/>
          <w:bCs/>
          <w:color w:val="auto"/>
          <w:sz w:val="36"/>
          <w:szCs w:val="36"/>
          <w:highlight w:val="none"/>
        </w:rPr>
        <w:t>招</w:t>
      </w:r>
      <w:r>
        <w:rPr>
          <w:rFonts w:hAnsi="宋体"/>
          <w:color w:val="auto"/>
          <w:sz w:val="36"/>
          <w:szCs w:val="36"/>
          <w:highlight w:val="none"/>
        </w:rPr>
        <w:t>标需求</w:t>
      </w:r>
      <w:bookmarkEnd w:id="3"/>
      <w:bookmarkEnd w:id="4"/>
    </w:p>
    <w:p w14:paraId="61A4E875">
      <w:pPr>
        <w:tabs>
          <w:tab w:val="left" w:pos="8280"/>
        </w:tabs>
        <w:autoSpaceDE w:val="0"/>
        <w:autoSpaceDN w:val="0"/>
        <w:adjustRightInd w:val="0"/>
        <w:spacing w:line="360" w:lineRule="auto"/>
        <w:ind w:right="25"/>
        <w:rPr>
          <w:color w:val="auto"/>
          <w:sz w:val="24"/>
          <w:highlight w:val="none"/>
        </w:rPr>
      </w:pPr>
      <w:r>
        <w:rPr>
          <w:rFonts w:hint="eastAsia"/>
          <w:b/>
          <w:color w:val="auto"/>
          <w:sz w:val="24"/>
          <w:highlight w:val="none"/>
        </w:rPr>
        <w:t>一、招标项目一览表</w:t>
      </w:r>
    </w:p>
    <w:p w14:paraId="76309803">
      <w:pPr>
        <w:tabs>
          <w:tab w:val="left" w:pos="8280"/>
        </w:tabs>
        <w:autoSpaceDE w:val="0"/>
        <w:autoSpaceDN w:val="0"/>
        <w:adjustRightInd w:val="0"/>
        <w:spacing w:line="360" w:lineRule="auto"/>
        <w:ind w:right="25" w:firstLine="280"/>
        <w:rPr>
          <w:color w:val="auto"/>
          <w:sz w:val="24"/>
          <w:highlight w:val="none"/>
        </w:rPr>
      </w:pPr>
      <w:r>
        <w:rPr>
          <w:rFonts w:hint="eastAsia"/>
          <w:color w:val="auto"/>
          <w:sz w:val="24"/>
          <w:highlight w:val="none"/>
        </w:rPr>
        <w:t>本次招标共</w:t>
      </w:r>
      <w:r>
        <w:rPr>
          <w:rFonts w:hint="eastAsia"/>
          <w:color w:val="auto"/>
          <w:sz w:val="24"/>
          <w:highlight w:val="none"/>
          <w:u w:val="single"/>
        </w:rPr>
        <w:t xml:space="preserve"> 1 </w:t>
      </w:r>
      <w:r>
        <w:rPr>
          <w:rFonts w:hint="eastAsia"/>
          <w:color w:val="auto"/>
          <w:sz w:val="24"/>
          <w:highlight w:val="none"/>
        </w:rPr>
        <w:t>个标段，具体内容如下表：</w:t>
      </w:r>
    </w:p>
    <w:tbl>
      <w:tblPr>
        <w:tblStyle w:val="41"/>
        <w:tblpPr w:leftFromText="180" w:rightFromText="180" w:vertAnchor="text" w:horzAnchor="page" w:tblpX="1805" w:tblpY="45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222"/>
        <w:gridCol w:w="1332"/>
        <w:gridCol w:w="571"/>
        <w:gridCol w:w="571"/>
        <w:gridCol w:w="1174"/>
        <w:gridCol w:w="1396"/>
        <w:gridCol w:w="1204"/>
      </w:tblGrid>
      <w:tr w14:paraId="403F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81" w:type="pct"/>
            <w:vAlign w:val="center"/>
          </w:tcPr>
          <w:p w14:paraId="3F4EFE19">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标段号</w:t>
            </w:r>
          </w:p>
        </w:tc>
        <w:tc>
          <w:tcPr>
            <w:tcW w:w="1211" w:type="pct"/>
            <w:vAlign w:val="center"/>
          </w:tcPr>
          <w:p w14:paraId="536A0013">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项目名称</w:t>
            </w:r>
          </w:p>
        </w:tc>
        <w:tc>
          <w:tcPr>
            <w:tcW w:w="726" w:type="pct"/>
            <w:vAlign w:val="center"/>
          </w:tcPr>
          <w:p w14:paraId="4E775B34">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规格型号</w:t>
            </w:r>
          </w:p>
        </w:tc>
        <w:tc>
          <w:tcPr>
            <w:tcW w:w="311" w:type="pct"/>
            <w:vAlign w:val="center"/>
          </w:tcPr>
          <w:p w14:paraId="16F54218">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数量</w:t>
            </w:r>
          </w:p>
        </w:tc>
        <w:tc>
          <w:tcPr>
            <w:tcW w:w="311" w:type="pct"/>
            <w:vAlign w:val="center"/>
          </w:tcPr>
          <w:p w14:paraId="4B173B38">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单位</w:t>
            </w:r>
          </w:p>
        </w:tc>
        <w:tc>
          <w:tcPr>
            <w:tcW w:w="640" w:type="pct"/>
            <w:vAlign w:val="center"/>
          </w:tcPr>
          <w:p w14:paraId="58A95A60">
            <w:pPr>
              <w:pStyle w:val="98"/>
              <w:keepNext w:val="0"/>
              <w:keepLines w:val="0"/>
              <w:widowControl w:val="0"/>
              <w:suppressLineNumbers w:val="0"/>
              <w:spacing w:before="0" w:beforeAutospacing="0" w:after="0" w:afterAutospacing="0"/>
              <w:ind w:left="0" w:right="0"/>
              <w:jc w:val="center"/>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预算</w:t>
            </w:r>
          </w:p>
          <w:p w14:paraId="7674E362">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（万元）</w:t>
            </w:r>
          </w:p>
        </w:tc>
        <w:tc>
          <w:tcPr>
            <w:tcW w:w="761" w:type="pct"/>
            <w:vAlign w:val="center"/>
          </w:tcPr>
          <w:p w14:paraId="75CB2FD9">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工期</w:t>
            </w:r>
          </w:p>
        </w:tc>
        <w:tc>
          <w:tcPr>
            <w:tcW w:w="656" w:type="pct"/>
            <w:vAlign w:val="center"/>
          </w:tcPr>
          <w:p w14:paraId="59CB93E1">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交付地点</w:t>
            </w:r>
          </w:p>
        </w:tc>
      </w:tr>
      <w:tr w14:paraId="7CDA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81" w:type="pct"/>
            <w:vAlign w:val="center"/>
          </w:tcPr>
          <w:p w14:paraId="6AE338A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c>
          <w:tcPr>
            <w:tcW w:w="1211" w:type="pct"/>
            <w:vAlign w:val="center"/>
          </w:tcPr>
          <w:p w14:paraId="4DDEED8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台州市开发投资集团有限公司国产化适配项目</w:t>
            </w:r>
          </w:p>
        </w:tc>
        <w:tc>
          <w:tcPr>
            <w:tcW w:w="726" w:type="pct"/>
            <w:vAlign w:val="center"/>
          </w:tcPr>
          <w:p w14:paraId="7C3563A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详见具体技术需求</w:t>
            </w:r>
          </w:p>
        </w:tc>
        <w:tc>
          <w:tcPr>
            <w:tcW w:w="311" w:type="pct"/>
            <w:vAlign w:val="center"/>
          </w:tcPr>
          <w:p w14:paraId="0277129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c>
          <w:tcPr>
            <w:tcW w:w="311" w:type="pct"/>
            <w:vAlign w:val="center"/>
          </w:tcPr>
          <w:p w14:paraId="6179947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批</w:t>
            </w:r>
          </w:p>
        </w:tc>
        <w:tc>
          <w:tcPr>
            <w:tcW w:w="640" w:type="pct"/>
            <w:vAlign w:val="center"/>
          </w:tcPr>
          <w:p w14:paraId="75B178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82</w:t>
            </w:r>
          </w:p>
        </w:tc>
        <w:tc>
          <w:tcPr>
            <w:tcW w:w="761" w:type="pct"/>
            <w:vAlign w:val="center"/>
          </w:tcPr>
          <w:p w14:paraId="73EF33A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合同签订后</w:t>
            </w:r>
            <w:r>
              <w:rPr>
                <w:rFonts w:hint="default" w:ascii="宋体" w:hAnsi="宋体" w:cs="宋体"/>
                <w:color w:val="auto"/>
                <w:kern w:val="0"/>
                <w:sz w:val="21"/>
                <w:szCs w:val="21"/>
                <w:highlight w:val="none"/>
                <w:lang w:bidi="ar"/>
              </w:rPr>
              <w:t>30</w:t>
            </w:r>
            <w:r>
              <w:rPr>
                <w:rFonts w:hint="eastAsia" w:ascii="宋体" w:hAnsi="宋体" w:cs="宋体"/>
                <w:color w:val="auto"/>
                <w:kern w:val="0"/>
                <w:sz w:val="21"/>
                <w:szCs w:val="21"/>
                <w:highlight w:val="none"/>
                <w:lang w:bidi="ar"/>
              </w:rPr>
              <w:t>天内</w:t>
            </w:r>
          </w:p>
        </w:tc>
        <w:tc>
          <w:tcPr>
            <w:tcW w:w="656" w:type="pct"/>
            <w:vAlign w:val="center"/>
          </w:tcPr>
          <w:p w14:paraId="0083986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采购人指定地点</w:t>
            </w:r>
          </w:p>
        </w:tc>
      </w:tr>
    </w:tbl>
    <w:p w14:paraId="63A58F44">
      <w:pPr>
        <w:pStyle w:val="6"/>
        <w:rPr>
          <w:rFonts w:hint="eastAsia" w:ascii="宋体" w:hAnsi="宋体" w:eastAsia="宋体"/>
          <w:color w:val="auto"/>
          <w:highlight w:val="none"/>
        </w:rPr>
      </w:pPr>
      <w:bookmarkStart w:id="5" w:name="_Toc28376_WPSOffice_Level1"/>
      <w:bookmarkStart w:id="6" w:name="第三章"/>
      <w:r>
        <w:rPr>
          <w:rFonts w:hint="eastAsia" w:ascii="宋体" w:hAnsi="宋体" w:eastAsia="宋体"/>
          <w:color w:val="auto"/>
          <w:highlight w:val="none"/>
        </w:rPr>
        <w:t>二、技术需求</w:t>
      </w:r>
    </w:p>
    <w:p w14:paraId="5A127381">
      <w:pPr>
        <w:pStyle w:val="7"/>
        <w:numPr>
          <w:ilvl w:val="0"/>
          <w:numId w:val="5"/>
        </w:numPr>
        <w:ind w:left="0" w:firstLine="0"/>
        <w:rPr>
          <w:rFonts w:hint="eastAsia" w:ascii="宋体" w:hAnsi="宋体"/>
          <w:color w:val="auto"/>
          <w:highlight w:val="none"/>
        </w:rPr>
      </w:pPr>
      <w:r>
        <w:rPr>
          <w:rFonts w:hint="eastAsia" w:ascii="宋体" w:hAnsi="宋体"/>
          <w:color w:val="auto"/>
          <w:highlight w:val="none"/>
        </w:rPr>
        <w:t>项目背景</w:t>
      </w:r>
    </w:p>
    <w:p w14:paraId="2292A4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随着数字经济的迅速发展，信息技术的安全可靠、自主可控问题已上升到国家战略层面。为进一步打造安全可控的信息技术体系，提升自主可控能力，本项目以《国家信息化发展战略纲要》等政策文件为要求，对本单位门户网站、OA办公系统、私有云底座，进行基础软硬件平台的国产化升级改造。</w:t>
      </w:r>
    </w:p>
    <w:p w14:paraId="284136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针对官方网站、OA办公系统软件采用应用程序改造、数据迁移部署，国产化操作系统、数据库系统替换，服务器硬件平台私有化部署，国产化改造等方式完成项目国产化改造工作，确保在国产化环境下官方网站、OA办公系统功能模块应用不受影响。</w:t>
      </w:r>
    </w:p>
    <w:p w14:paraId="55A57E31">
      <w:pPr>
        <w:pStyle w:val="7"/>
        <w:numPr>
          <w:ilvl w:val="0"/>
          <w:numId w:val="5"/>
        </w:numPr>
        <w:ind w:left="0" w:firstLine="0"/>
        <w:rPr>
          <w:rFonts w:hint="eastAsia" w:ascii="宋体" w:hAnsi="宋体"/>
          <w:color w:val="auto"/>
          <w:highlight w:val="none"/>
        </w:rPr>
      </w:pPr>
      <w:r>
        <w:rPr>
          <w:rFonts w:hint="eastAsia" w:ascii="宋体" w:hAnsi="宋体"/>
          <w:color w:val="auto"/>
          <w:highlight w:val="none"/>
        </w:rPr>
        <w:t>建设内容</w:t>
      </w:r>
    </w:p>
    <w:p w14:paraId="78EE36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主要围绕开投集团的门户网站、OA综合办公系统的配套软硬件环境开展信创改造及适配工作，项目建设遵循《网络安全等级保护基本要求》等技术规范，采用成熟先进的国产化软硬件架构，以及符合等保的相关标准，软件层面完成集团门户网站、OA办公系统的国产化改造、功能适配、数据迁移、应用切换、系统培训及上线等，服务器硬件层面将桌面云平台升级为国产化超融合私有云，实现门户网站、OA办公系统与私有云平台一体化国产化改造部署。</w:t>
      </w:r>
    </w:p>
    <w:p w14:paraId="00B62C66">
      <w:pPr>
        <w:pStyle w:val="8"/>
        <w:numPr>
          <w:ilvl w:val="0"/>
          <w:numId w:val="6"/>
        </w:numPr>
        <w:ind w:left="0" w:firstLine="0"/>
        <w:rPr>
          <w:rFonts w:hint="eastAsia" w:ascii="宋体" w:hAnsi="宋体" w:eastAsia="宋体" w:cs="Times New Roman"/>
          <w:color w:val="auto"/>
          <w:highlight w:val="none"/>
        </w:rPr>
      </w:pPr>
      <w:r>
        <w:rPr>
          <w:rFonts w:hint="eastAsia" w:ascii="宋体" w:hAnsi="宋体" w:eastAsia="宋体"/>
          <w:color w:val="auto"/>
          <w:highlight w:val="none"/>
        </w:rPr>
        <w:t>门户网站系统国产化开发服务要求</w:t>
      </w:r>
    </w:p>
    <w:p w14:paraId="117FF8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包含PC端、手机端网站，其中手机端网站可从微信公众号中跳转打开。详细内容包括：</w:t>
      </w:r>
    </w:p>
    <w:p w14:paraId="337A98CB">
      <w:pPr>
        <w:pStyle w:val="124"/>
        <w:numPr>
          <w:ilvl w:val="0"/>
          <w:numId w:val="7"/>
        </w:numPr>
        <w:ind w:firstLineChars="0"/>
        <w:rPr>
          <w:rFonts w:hint="eastAsia" w:ascii="宋体" w:hAnsi="宋体"/>
          <w:color w:val="auto"/>
          <w:sz w:val="24"/>
          <w:szCs w:val="24"/>
          <w:highlight w:val="none"/>
        </w:rPr>
      </w:pPr>
      <w:r>
        <w:rPr>
          <w:rFonts w:hint="eastAsia" w:ascii="宋体" w:hAnsi="宋体"/>
          <w:color w:val="auto"/>
          <w:sz w:val="24"/>
          <w:szCs w:val="24"/>
          <w:highlight w:val="none"/>
        </w:rPr>
        <w:t>前端功能</w:t>
      </w:r>
    </w:p>
    <w:tbl>
      <w:tblPr>
        <w:tblStyle w:val="41"/>
        <w:tblW w:w="8529" w:type="dxa"/>
        <w:tblInd w:w="113" w:type="dxa"/>
        <w:tblLayout w:type="fixed"/>
        <w:tblCellMar>
          <w:top w:w="0" w:type="dxa"/>
          <w:left w:w="108" w:type="dxa"/>
          <w:bottom w:w="0" w:type="dxa"/>
          <w:right w:w="108" w:type="dxa"/>
        </w:tblCellMar>
      </w:tblPr>
      <w:tblGrid>
        <w:gridCol w:w="704"/>
        <w:gridCol w:w="1581"/>
        <w:gridCol w:w="1278"/>
        <w:gridCol w:w="1281"/>
        <w:gridCol w:w="3685"/>
      </w:tblGrid>
      <w:tr w14:paraId="16E38C07">
        <w:tblPrEx>
          <w:tblCellMar>
            <w:top w:w="0" w:type="dxa"/>
            <w:left w:w="108" w:type="dxa"/>
            <w:bottom w:w="0" w:type="dxa"/>
            <w:right w:w="108" w:type="dxa"/>
          </w:tblCellMar>
        </w:tblPrEx>
        <w:trPr>
          <w:trHeight w:val="405" w:hRule="atLeast"/>
        </w:trPr>
        <w:tc>
          <w:tcPr>
            <w:tcW w:w="704" w:type="dxa"/>
            <w:tcBorders>
              <w:top w:val="single" w:color="auto" w:sz="4" w:space="0"/>
              <w:left w:val="single" w:color="auto" w:sz="4" w:space="0"/>
              <w:bottom w:val="single" w:color="auto" w:sz="4" w:space="0"/>
              <w:right w:val="single" w:color="auto" w:sz="4" w:space="0"/>
            </w:tcBorders>
            <w:shd w:val="clear" w:color="auto" w:fill="5B9BD5"/>
            <w:vAlign w:val="center"/>
          </w:tcPr>
          <w:p w14:paraId="5D0516A1">
            <w:pPr>
              <w:keepNext w:val="0"/>
              <w:keepLines w:val="0"/>
              <w:widowControl/>
              <w:suppressLineNumbers w:val="0"/>
              <w:spacing w:before="0" w:beforeAutospacing="0" w:after="0" w:afterAutospacing="0"/>
              <w:ind w:left="0" w:right="0"/>
              <w:jc w:val="center"/>
              <w:rPr>
                <w:rFonts w:hint="eastAsia" w:ascii="宋体" w:hAnsi="宋体" w:cs="Calibri"/>
                <w:b/>
                <w:bCs/>
                <w:color w:val="auto"/>
                <w:kern w:val="0"/>
                <w:sz w:val="24"/>
                <w:highlight w:val="none"/>
              </w:rPr>
            </w:pPr>
            <w:r>
              <w:rPr>
                <w:rFonts w:hint="eastAsia" w:ascii="宋体" w:hAnsi="宋体" w:cs="Calibri"/>
                <w:b/>
                <w:bCs/>
                <w:color w:val="auto"/>
                <w:kern w:val="0"/>
                <w:sz w:val="24"/>
                <w:highlight w:val="none"/>
              </w:rPr>
              <w:t>板块</w:t>
            </w:r>
          </w:p>
        </w:tc>
        <w:tc>
          <w:tcPr>
            <w:tcW w:w="1581" w:type="dxa"/>
            <w:tcBorders>
              <w:top w:val="single" w:color="auto" w:sz="4" w:space="0"/>
              <w:left w:val="nil"/>
              <w:bottom w:val="single" w:color="auto" w:sz="4" w:space="0"/>
              <w:right w:val="single" w:color="auto" w:sz="4" w:space="0"/>
            </w:tcBorders>
            <w:shd w:val="clear" w:color="auto" w:fill="5B9BD5"/>
            <w:vAlign w:val="center"/>
          </w:tcPr>
          <w:p w14:paraId="7E3E35A8">
            <w:pPr>
              <w:keepNext w:val="0"/>
              <w:keepLines w:val="0"/>
              <w:widowControl/>
              <w:suppressLineNumbers w:val="0"/>
              <w:spacing w:before="0" w:beforeAutospacing="0" w:after="0" w:afterAutospacing="0"/>
              <w:ind w:left="0" w:right="0"/>
              <w:jc w:val="center"/>
              <w:rPr>
                <w:rFonts w:hint="eastAsia" w:ascii="宋体" w:hAnsi="宋体" w:cs="Calibri"/>
                <w:b/>
                <w:bCs/>
                <w:color w:val="auto"/>
                <w:kern w:val="0"/>
                <w:sz w:val="24"/>
                <w:highlight w:val="none"/>
              </w:rPr>
            </w:pPr>
            <w:r>
              <w:rPr>
                <w:rFonts w:hint="eastAsia" w:ascii="宋体" w:hAnsi="宋体" w:cs="Calibri"/>
                <w:b/>
                <w:bCs/>
                <w:color w:val="auto"/>
                <w:kern w:val="0"/>
                <w:sz w:val="24"/>
                <w:highlight w:val="none"/>
              </w:rPr>
              <w:t>模块</w:t>
            </w:r>
          </w:p>
        </w:tc>
        <w:tc>
          <w:tcPr>
            <w:tcW w:w="1278" w:type="dxa"/>
            <w:tcBorders>
              <w:top w:val="single" w:color="auto" w:sz="4" w:space="0"/>
              <w:left w:val="nil"/>
              <w:bottom w:val="single" w:color="auto" w:sz="4" w:space="0"/>
              <w:right w:val="single" w:color="auto" w:sz="4" w:space="0"/>
            </w:tcBorders>
            <w:shd w:val="clear" w:color="auto" w:fill="5B9BD5"/>
            <w:noWrap/>
            <w:vAlign w:val="center"/>
          </w:tcPr>
          <w:p w14:paraId="2C9376DB">
            <w:pPr>
              <w:keepNext w:val="0"/>
              <w:keepLines w:val="0"/>
              <w:widowControl/>
              <w:suppressLineNumbers w:val="0"/>
              <w:spacing w:before="0" w:beforeAutospacing="0" w:after="0" w:afterAutospacing="0"/>
              <w:ind w:left="0" w:right="0"/>
              <w:jc w:val="center"/>
              <w:rPr>
                <w:rFonts w:hint="eastAsia" w:ascii="宋体" w:hAnsi="宋体" w:cs="Calibri"/>
                <w:b/>
                <w:bCs/>
                <w:color w:val="auto"/>
                <w:kern w:val="0"/>
                <w:sz w:val="24"/>
                <w:highlight w:val="none"/>
              </w:rPr>
            </w:pPr>
            <w:r>
              <w:rPr>
                <w:rFonts w:hint="eastAsia" w:ascii="宋体" w:hAnsi="宋体" w:cs="Calibri"/>
                <w:b/>
                <w:bCs/>
                <w:color w:val="auto"/>
                <w:kern w:val="0"/>
                <w:sz w:val="24"/>
                <w:highlight w:val="none"/>
              </w:rPr>
              <w:t>子功能</w:t>
            </w:r>
          </w:p>
        </w:tc>
        <w:tc>
          <w:tcPr>
            <w:tcW w:w="1281" w:type="dxa"/>
            <w:tcBorders>
              <w:top w:val="single" w:color="auto" w:sz="4" w:space="0"/>
              <w:left w:val="nil"/>
              <w:bottom w:val="single" w:color="auto" w:sz="4" w:space="0"/>
              <w:right w:val="single" w:color="auto" w:sz="4" w:space="0"/>
            </w:tcBorders>
            <w:shd w:val="clear" w:color="auto" w:fill="5B9BD5"/>
            <w:noWrap/>
            <w:vAlign w:val="center"/>
          </w:tcPr>
          <w:p w14:paraId="73AE3D26">
            <w:pPr>
              <w:keepNext w:val="0"/>
              <w:keepLines w:val="0"/>
              <w:widowControl/>
              <w:suppressLineNumbers w:val="0"/>
              <w:spacing w:before="0" w:beforeAutospacing="0" w:after="0" w:afterAutospacing="0"/>
              <w:ind w:left="0" w:right="0"/>
              <w:jc w:val="center"/>
              <w:rPr>
                <w:rFonts w:hint="eastAsia" w:ascii="宋体" w:hAnsi="宋体" w:cs="Calibri"/>
                <w:b/>
                <w:bCs/>
                <w:color w:val="auto"/>
                <w:kern w:val="0"/>
                <w:sz w:val="24"/>
                <w:highlight w:val="none"/>
              </w:rPr>
            </w:pPr>
            <w:r>
              <w:rPr>
                <w:rFonts w:hint="eastAsia" w:ascii="宋体" w:hAnsi="宋体" w:cs="Calibri"/>
                <w:b/>
                <w:bCs/>
                <w:color w:val="auto"/>
                <w:kern w:val="0"/>
                <w:sz w:val="24"/>
                <w:highlight w:val="none"/>
              </w:rPr>
              <w:t>二级子功能</w:t>
            </w:r>
          </w:p>
        </w:tc>
        <w:tc>
          <w:tcPr>
            <w:tcW w:w="3685" w:type="dxa"/>
            <w:tcBorders>
              <w:top w:val="single" w:color="auto" w:sz="4" w:space="0"/>
              <w:left w:val="nil"/>
              <w:bottom w:val="single" w:color="auto" w:sz="4" w:space="0"/>
              <w:right w:val="single" w:color="auto" w:sz="4" w:space="0"/>
            </w:tcBorders>
            <w:shd w:val="clear" w:color="auto" w:fill="5B9BD5"/>
            <w:vAlign w:val="center"/>
          </w:tcPr>
          <w:p w14:paraId="3DB66AE4">
            <w:pPr>
              <w:keepNext w:val="0"/>
              <w:keepLines w:val="0"/>
              <w:widowControl/>
              <w:suppressLineNumbers w:val="0"/>
              <w:spacing w:before="0" w:beforeAutospacing="0" w:after="0" w:afterAutospacing="0"/>
              <w:ind w:left="0" w:right="0"/>
              <w:jc w:val="center"/>
              <w:rPr>
                <w:rFonts w:hint="eastAsia" w:ascii="宋体" w:hAnsi="宋体" w:cs="Calibri"/>
                <w:b/>
                <w:bCs/>
                <w:color w:val="auto"/>
                <w:kern w:val="0"/>
                <w:sz w:val="24"/>
                <w:highlight w:val="none"/>
              </w:rPr>
            </w:pPr>
            <w:r>
              <w:rPr>
                <w:rFonts w:hint="eastAsia" w:ascii="宋体" w:hAnsi="宋体" w:cs="Calibri"/>
                <w:b/>
                <w:bCs/>
                <w:color w:val="auto"/>
                <w:kern w:val="0"/>
                <w:sz w:val="24"/>
                <w:highlight w:val="none"/>
              </w:rPr>
              <w:t>内容</w:t>
            </w:r>
          </w:p>
        </w:tc>
      </w:tr>
      <w:tr w14:paraId="77E810C4">
        <w:tblPrEx>
          <w:tblCellMar>
            <w:top w:w="0" w:type="dxa"/>
            <w:left w:w="108" w:type="dxa"/>
            <w:bottom w:w="0" w:type="dxa"/>
            <w:right w:w="108" w:type="dxa"/>
          </w:tblCellMar>
        </w:tblPrEx>
        <w:trPr>
          <w:trHeight w:val="402" w:hRule="atLeast"/>
        </w:trPr>
        <w:tc>
          <w:tcPr>
            <w:tcW w:w="704" w:type="dxa"/>
            <w:vMerge w:val="restart"/>
            <w:tcBorders>
              <w:top w:val="nil"/>
              <w:left w:val="single" w:color="auto" w:sz="4" w:space="0"/>
              <w:bottom w:val="single" w:color="auto" w:sz="4" w:space="0"/>
              <w:right w:val="single" w:color="auto" w:sz="4" w:space="0"/>
            </w:tcBorders>
            <w:vAlign w:val="center"/>
          </w:tcPr>
          <w:p w14:paraId="7E219B6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首页</w:t>
            </w:r>
          </w:p>
        </w:tc>
        <w:tc>
          <w:tcPr>
            <w:tcW w:w="1581" w:type="dxa"/>
            <w:tcBorders>
              <w:top w:val="nil"/>
              <w:left w:val="nil"/>
              <w:bottom w:val="single" w:color="auto" w:sz="4" w:space="0"/>
              <w:right w:val="single" w:color="auto" w:sz="4" w:space="0"/>
            </w:tcBorders>
            <w:vAlign w:val="center"/>
          </w:tcPr>
          <w:p w14:paraId="053B566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顶部栏</w:t>
            </w:r>
          </w:p>
        </w:tc>
        <w:tc>
          <w:tcPr>
            <w:tcW w:w="1278" w:type="dxa"/>
            <w:tcBorders>
              <w:top w:val="nil"/>
              <w:left w:val="nil"/>
              <w:bottom w:val="single" w:color="auto" w:sz="4" w:space="0"/>
              <w:right w:val="single" w:color="auto" w:sz="4" w:space="0"/>
            </w:tcBorders>
            <w:noWrap/>
            <w:vAlign w:val="center"/>
          </w:tcPr>
          <w:p w14:paraId="2B17473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企业logo</w:t>
            </w:r>
          </w:p>
        </w:tc>
        <w:tc>
          <w:tcPr>
            <w:tcW w:w="1281" w:type="dxa"/>
            <w:tcBorders>
              <w:top w:val="nil"/>
              <w:left w:val="nil"/>
              <w:bottom w:val="single" w:color="auto" w:sz="4" w:space="0"/>
              <w:right w:val="single" w:color="auto" w:sz="4" w:space="0"/>
            </w:tcBorders>
            <w:noWrap/>
            <w:vAlign w:val="center"/>
          </w:tcPr>
          <w:p w14:paraId="6A23FC3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4750515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固定logo图标</w:t>
            </w:r>
          </w:p>
        </w:tc>
      </w:tr>
      <w:tr w14:paraId="5DDC284C">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120D27E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65F86BE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banner栏</w:t>
            </w:r>
          </w:p>
        </w:tc>
        <w:tc>
          <w:tcPr>
            <w:tcW w:w="1278" w:type="dxa"/>
            <w:tcBorders>
              <w:top w:val="nil"/>
              <w:left w:val="nil"/>
              <w:bottom w:val="single" w:color="auto" w:sz="4" w:space="0"/>
              <w:right w:val="single" w:color="auto" w:sz="4" w:space="0"/>
            </w:tcBorders>
            <w:noWrap/>
            <w:vAlign w:val="center"/>
          </w:tcPr>
          <w:p w14:paraId="46953E5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轮播图</w:t>
            </w:r>
          </w:p>
        </w:tc>
        <w:tc>
          <w:tcPr>
            <w:tcW w:w="1281" w:type="dxa"/>
            <w:tcBorders>
              <w:top w:val="nil"/>
              <w:left w:val="nil"/>
              <w:bottom w:val="single" w:color="auto" w:sz="4" w:space="0"/>
              <w:right w:val="single" w:color="auto" w:sz="4" w:space="0"/>
            </w:tcBorders>
            <w:noWrap/>
            <w:vAlign w:val="center"/>
          </w:tcPr>
          <w:p w14:paraId="569856F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3B2E55A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轮播显示最新资讯内容，点击可跳转到相关详情页</w:t>
            </w:r>
          </w:p>
        </w:tc>
      </w:tr>
      <w:tr w14:paraId="4CB7D890">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502EC439">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000000" w:sz="4" w:space="0"/>
              <w:right w:val="single" w:color="auto" w:sz="4" w:space="0"/>
            </w:tcBorders>
            <w:vAlign w:val="center"/>
          </w:tcPr>
          <w:p w14:paraId="47DEFC6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导航栏</w:t>
            </w:r>
          </w:p>
        </w:tc>
        <w:tc>
          <w:tcPr>
            <w:tcW w:w="1278" w:type="dxa"/>
            <w:tcBorders>
              <w:top w:val="nil"/>
              <w:left w:val="nil"/>
              <w:bottom w:val="single" w:color="auto" w:sz="4" w:space="0"/>
              <w:right w:val="single" w:color="auto" w:sz="4" w:space="0"/>
            </w:tcBorders>
            <w:noWrap/>
            <w:vAlign w:val="center"/>
          </w:tcPr>
          <w:p w14:paraId="6E035F5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子页面导航</w:t>
            </w:r>
          </w:p>
        </w:tc>
        <w:tc>
          <w:tcPr>
            <w:tcW w:w="1281" w:type="dxa"/>
            <w:tcBorders>
              <w:top w:val="nil"/>
              <w:left w:val="nil"/>
              <w:bottom w:val="single" w:color="auto" w:sz="4" w:space="0"/>
              <w:right w:val="single" w:color="auto" w:sz="4" w:space="0"/>
            </w:tcBorders>
            <w:noWrap/>
            <w:vAlign w:val="center"/>
          </w:tcPr>
          <w:p w14:paraId="60151C1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64F8ED8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导航栏目，跳转至各个分栏目</w:t>
            </w:r>
          </w:p>
        </w:tc>
      </w:tr>
      <w:tr w14:paraId="44D088AB">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5EA1414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000000" w:sz="4" w:space="0"/>
              <w:right w:val="single" w:color="auto" w:sz="4" w:space="0"/>
            </w:tcBorders>
            <w:vAlign w:val="center"/>
          </w:tcPr>
          <w:p w14:paraId="59BAA18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3AC4067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搜索框</w:t>
            </w:r>
          </w:p>
        </w:tc>
        <w:tc>
          <w:tcPr>
            <w:tcW w:w="1281" w:type="dxa"/>
            <w:tcBorders>
              <w:top w:val="nil"/>
              <w:left w:val="nil"/>
              <w:bottom w:val="single" w:color="auto" w:sz="4" w:space="0"/>
              <w:right w:val="single" w:color="auto" w:sz="4" w:space="0"/>
            </w:tcBorders>
            <w:noWrap/>
            <w:vAlign w:val="center"/>
          </w:tcPr>
          <w:p w14:paraId="7930445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4C83453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支持站内资讯标题搜索</w:t>
            </w:r>
          </w:p>
        </w:tc>
      </w:tr>
      <w:tr w14:paraId="209EF201">
        <w:tblPrEx>
          <w:tblCellMar>
            <w:top w:w="0" w:type="dxa"/>
            <w:left w:w="108" w:type="dxa"/>
            <w:bottom w:w="0" w:type="dxa"/>
            <w:right w:w="108" w:type="dxa"/>
          </w:tblCellMar>
        </w:tblPrEx>
        <w:trPr>
          <w:trHeight w:val="705" w:hRule="atLeast"/>
        </w:trPr>
        <w:tc>
          <w:tcPr>
            <w:tcW w:w="704" w:type="dxa"/>
            <w:vMerge w:val="continue"/>
            <w:tcBorders>
              <w:top w:val="nil"/>
              <w:left w:val="single" w:color="auto" w:sz="4" w:space="0"/>
              <w:bottom w:val="single" w:color="auto" w:sz="4" w:space="0"/>
              <w:right w:val="single" w:color="auto" w:sz="4" w:space="0"/>
            </w:tcBorders>
            <w:vAlign w:val="center"/>
          </w:tcPr>
          <w:p w14:paraId="39DE7D4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000000" w:sz="4" w:space="0"/>
              <w:right w:val="single" w:color="auto" w:sz="4" w:space="0"/>
            </w:tcBorders>
            <w:vAlign w:val="center"/>
          </w:tcPr>
          <w:p w14:paraId="5A775AA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新闻中心</w:t>
            </w:r>
          </w:p>
        </w:tc>
        <w:tc>
          <w:tcPr>
            <w:tcW w:w="1278" w:type="dxa"/>
            <w:tcBorders>
              <w:top w:val="nil"/>
              <w:left w:val="nil"/>
              <w:bottom w:val="single" w:color="auto" w:sz="4" w:space="0"/>
              <w:right w:val="single" w:color="auto" w:sz="4" w:space="0"/>
            </w:tcBorders>
            <w:noWrap/>
            <w:vAlign w:val="center"/>
          </w:tcPr>
          <w:p w14:paraId="47A9C4B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公司新闻</w:t>
            </w:r>
          </w:p>
        </w:tc>
        <w:tc>
          <w:tcPr>
            <w:tcW w:w="1281" w:type="dxa"/>
            <w:tcBorders>
              <w:top w:val="nil"/>
              <w:left w:val="nil"/>
              <w:bottom w:val="single" w:color="auto" w:sz="4" w:space="0"/>
              <w:right w:val="single" w:color="auto" w:sz="4" w:space="0"/>
            </w:tcBorders>
            <w:noWrap/>
            <w:vAlign w:val="center"/>
          </w:tcPr>
          <w:p w14:paraId="1787609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轮播资讯</w:t>
            </w:r>
          </w:p>
        </w:tc>
        <w:tc>
          <w:tcPr>
            <w:tcW w:w="3685" w:type="dxa"/>
            <w:tcBorders>
              <w:top w:val="nil"/>
              <w:left w:val="nil"/>
              <w:bottom w:val="single" w:color="auto" w:sz="4" w:space="0"/>
              <w:right w:val="single" w:color="auto" w:sz="4" w:space="0"/>
            </w:tcBorders>
            <w:vAlign w:val="center"/>
          </w:tcPr>
          <w:p w14:paraId="283E9E9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可轮播展示公司新闻资讯内容，包含标题、图片、截取部分资讯内容。点击详情可跳转至详情页</w:t>
            </w:r>
          </w:p>
        </w:tc>
      </w:tr>
      <w:tr w14:paraId="23D7D7DB">
        <w:tblPrEx>
          <w:tblCellMar>
            <w:top w:w="0" w:type="dxa"/>
            <w:left w:w="108" w:type="dxa"/>
            <w:bottom w:w="0" w:type="dxa"/>
            <w:right w:w="108" w:type="dxa"/>
          </w:tblCellMar>
        </w:tblPrEx>
        <w:trPr>
          <w:trHeight w:val="690" w:hRule="atLeast"/>
        </w:trPr>
        <w:tc>
          <w:tcPr>
            <w:tcW w:w="704" w:type="dxa"/>
            <w:vMerge w:val="continue"/>
            <w:tcBorders>
              <w:top w:val="nil"/>
              <w:left w:val="single" w:color="auto" w:sz="4" w:space="0"/>
              <w:bottom w:val="single" w:color="auto" w:sz="4" w:space="0"/>
              <w:right w:val="single" w:color="auto" w:sz="4" w:space="0"/>
            </w:tcBorders>
            <w:vAlign w:val="center"/>
          </w:tcPr>
          <w:p w14:paraId="5C7A80A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000000" w:sz="4" w:space="0"/>
              <w:right w:val="single" w:color="auto" w:sz="4" w:space="0"/>
            </w:tcBorders>
            <w:vAlign w:val="center"/>
          </w:tcPr>
          <w:p w14:paraId="1C72DC7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vMerge w:val="restart"/>
            <w:tcBorders>
              <w:top w:val="nil"/>
              <w:left w:val="nil"/>
              <w:bottom w:val="single" w:color="000000" w:sz="4" w:space="0"/>
              <w:right w:val="single" w:color="auto" w:sz="4" w:space="0"/>
            </w:tcBorders>
            <w:noWrap/>
            <w:vAlign w:val="center"/>
          </w:tcPr>
          <w:p w14:paraId="677330D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通知公告</w:t>
            </w:r>
          </w:p>
        </w:tc>
        <w:tc>
          <w:tcPr>
            <w:tcW w:w="1281" w:type="dxa"/>
            <w:tcBorders>
              <w:top w:val="nil"/>
              <w:left w:val="nil"/>
              <w:bottom w:val="single" w:color="auto" w:sz="4" w:space="0"/>
              <w:right w:val="single" w:color="auto" w:sz="4" w:space="0"/>
            </w:tcBorders>
            <w:noWrap/>
            <w:vAlign w:val="center"/>
          </w:tcPr>
          <w:p w14:paraId="7A20289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资讯列表</w:t>
            </w:r>
          </w:p>
        </w:tc>
        <w:tc>
          <w:tcPr>
            <w:tcW w:w="3685" w:type="dxa"/>
            <w:tcBorders>
              <w:top w:val="nil"/>
              <w:left w:val="nil"/>
              <w:bottom w:val="single" w:color="auto" w:sz="4" w:space="0"/>
              <w:right w:val="single" w:color="auto" w:sz="4" w:space="0"/>
            </w:tcBorders>
            <w:vAlign w:val="center"/>
          </w:tcPr>
          <w:p w14:paraId="0EB4BF7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展示4条包含资讯标题、发布时间的列表，由新至旧显示</w:t>
            </w:r>
          </w:p>
        </w:tc>
      </w:tr>
      <w:tr w14:paraId="2CE1BB9B">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26E47AC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000000" w:sz="4" w:space="0"/>
              <w:right w:val="single" w:color="auto" w:sz="4" w:space="0"/>
            </w:tcBorders>
            <w:vAlign w:val="center"/>
          </w:tcPr>
          <w:p w14:paraId="2FED258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vMerge w:val="continue"/>
            <w:tcBorders>
              <w:top w:val="nil"/>
              <w:left w:val="nil"/>
              <w:bottom w:val="single" w:color="000000" w:sz="4" w:space="0"/>
              <w:right w:val="single" w:color="auto" w:sz="4" w:space="0"/>
            </w:tcBorders>
            <w:vAlign w:val="center"/>
          </w:tcPr>
          <w:p w14:paraId="63535CD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81" w:type="dxa"/>
            <w:tcBorders>
              <w:top w:val="nil"/>
              <w:left w:val="nil"/>
              <w:bottom w:val="single" w:color="auto" w:sz="4" w:space="0"/>
              <w:right w:val="single" w:color="auto" w:sz="4" w:space="0"/>
            </w:tcBorders>
            <w:noWrap/>
            <w:vAlign w:val="center"/>
          </w:tcPr>
          <w:p w14:paraId="51F6CB3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更多入口</w:t>
            </w:r>
          </w:p>
        </w:tc>
        <w:tc>
          <w:tcPr>
            <w:tcW w:w="3685" w:type="dxa"/>
            <w:tcBorders>
              <w:top w:val="nil"/>
              <w:left w:val="nil"/>
              <w:bottom w:val="single" w:color="auto" w:sz="4" w:space="0"/>
              <w:right w:val="single" w:color="auto" w:sz="4" w:space="0"/>
            </w:tcBorders>
            <w:vAlign w:val="center"/>
          </w:tcPr>
          <w:p w14:paraId="5157437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40B45AEB">
        <w:tblPrEx>
          <w:tblCellMar>
            <w:top w:w="0" w:type="dxa"/>
            <w:left w:w="108" w:type="dxa"/>
            <w:bottom w:w="0" w:type="dxa"/>
            <w:right w:w="108" w:type="dxa"/>
          </w:tblCellMar>
        </w:tblPrEx>
        <w:trPr>
          <w:trHeight w:val="540" w:hRule="atLeast"/>
        </w:trPr>
        <w:tc>
          <w:tcPr>
            <w:tcW w:w="704" w:type="dxa"/>
            <w:vMerge w:val="continue"/>
            <w:tcBorders>
              <w:top w:val="nil"/>
              <w:left w:val="single" w:color="auto" w:sz="4" w:space="0"/>
              <w:bottom w:val="single" w:color="auto" w:sz="4" w:space="0"/>
              <w:right w:val="single" w:color="auto" w:sz="4" w:space="0"/>
            </w:tcBorders>
            <w:vAlign w:val="center"/>
          </w:tcPr>
          <w:p w14:paraId="2F238B7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000000" w:sz="4" w:space="0"/>
              <w:right w:val="single" w:color="auto" w:sz="4" w:space="0"/>
            </w:tcBorders>
            <w:vAlign w:val="center"/>
          </w:tcPr>
          <w:p w14:paraId="5513FFB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vMerge w:val="restart"/>
            <w:tcBorders>
              <w:top w:val="nil"/>
              <w:left w:val="nil"/>
              <w:bottom w:val="single" w:color="000000" w:sz="4" w:space="0"/>
              <w:right w:val="single" w:color="auto" w:sz="4" w:space="0"/>
            </w:tcBorders>
            <w:noWrap/>
            <w:vAlign w:val="center"/>
          </w:tcPr>
          <w:p w14:paraId="0BF699D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行业动态</w:t>
            </w:r>
          </w:p>
        </w:tc>
        <w:tc>
          <w:tcPr>
            <w:tcW w:w="1281" w:type="dxa"/>
            <w:tcBorders>
              <w:top w:val="nil"/>
              <w:left w:val="nil"/>
              <w:bottom w:val="single" w:color="auto" w:sz="4" w:space="0"/>
              <w:right w:val="single" w:color="auto" w:sz="4" w:space="0"/>
            </w:tcBorders>
            <w:noWrap/>
            <w:vAlign w:val="center"/>
          </w:tcPr>
          <w:p w14:paraId="2DD8AE5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资讯列表</w:t>
            </w:r>
          </w:p>
        </w:tc>
        <w:tc>
          <w:tcPr>
            <w:tcW w:w="3685" w:type="dxa"/>
            <w:tcBorders>
              <w:top w:val="nil"/>
              <w:left w:val="nil"/>
              <w:bottom w:val="single" w:color="auto" w:sz="4" w:space="0"/>
              <w:right w:val="single" w:color="auto" w:sz="4" w:space="0"/>
            </w:tcBorders>
            <w:vAlign w:val="center"/>
          </w:tcPr>
          <w:p w14:paraId="70A7E6A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展示4条包含资讯标题、发布时间的列表，由新至旧显示</w:t>
            </w:r>
          </w:p>
        </w:tc>
      </w:tr>
      <w:tr w14:paraId="4203FB5A">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3B57A3A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000000" w:sz="4" w:space="0"/>
              <w:right w:val="single" w:color="auto" w:sz="4" w:space="0"/>
            </w:tcBorders>
            <w:vAlign w:val="center"/>
          </w:tcPr>
          <w:p w14:paraId="43B0F09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vMerge w:val="continue"/>
            <w:tcBorders>
              <w:top w:val="nil"/>
              <w:left w:val="nil"/>
              <w:bottom w:val="single" w:color="000000" w:sz="4" w:space="0"/>
              <w:right w:val="single" w:color="auto" w:sz="4" w:space="0"/>
            </w:tcBorders>
            <w:vAlign w:val="center"/>
          </w:tcPr>
          <w:p w14:paraId="28F69ACF">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81" w:type="dxa"/>
            <w:tcBorders>
              <w:top w:val="nil"/>
              <w:left w:val="nil"/>
              <w:bottom w:val="single" w:color="auto" w:sz="4" w:space="0"/>
              <w:right w:val="single" w:color="auto" w:sz="4" w:space="0"/>
            </w:tcBorders>
            <w:noWrap/>
            <w:vAlign w:val="center"/>
          </w:tcPr>
          <w:p w14:paraId="6A7B992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更多入口</w:t>
            </w:r>
          </w:p>
        </w:tc>
        <w:tc>
          <w:tcPr>
            <w:tcW w:w="3685" w:type="dxa"/>
            <w:tcBorders>
              <w:top w:val="nil"/>
              <w:left w:val="nil"/>
              <w:bottom w:val="single" w:color="auto" w:sz="4" w:space="0"/>
              <w:right w:val="single" w:color="auto" w:sz="4" w:space="0"/>
            </w:tcBorders>
            <w:vAlign w:val="center"/>
          </w:tcPr>
          <w:p w14:paraId="685F33AE">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7C876366">
        <w:tblPrEx>
          <w:tblCellMar>
            <w:top w:w="0" w:type="dxa"/>
            <w:left w:w="108" w:type="dxa"/>
            <w:bottom w:w="0" w:type="dxa"/>
            <w:right w:w="108" w:type="dxa"/>
          </w:tblCellMar>
        </w:tblPrEx>
        <w:trPr>
          <w:trHeight w:val="645" w:hRule="atLeast"/>
        </w:trPr>
        <w:tc>
          <w:tcPr>
            <w:tcW w:w="704" w:type="dxa"/>
            <w:vMerge w:val="continue"/>
            <w:tcBorders>
              <w:top w:val="nil"/>
              <w:left w:val="single" w:color="auto" w:sz="4" w:space="0"/>
              <w:bottom w:val="single" w:color="auto" w:sz="4" w:space="0"/>
              <w:right w:val="single" w:color="auto" w:sz="4" w:space="0"/>
            </w:tcBorders>
            <w:vAlign w:val="center"/>
          </w:tcPr>
          <w:p w14:paraId="7F85431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32CFA3C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经营体系</w:t>
            </w:r>
          </w:p>
        </w:tc>
        <w:tc>
          <w:tcPr>
            <w:tcW w:w="1278" w:type="dxa"/>
            <w:tcBorders>
              <w:top w:val="nil"/>
              <w:left w:val="nil"/>
              <w:bottom w:val="single" w:color="auto" w:sz="4" w:space="0"/>
              <w:right w:val="single" w:color="auto" w:sz="4" w:space="0"/>
            </w:tcBorders>
            <w:noWrap/>
            <w:vAlign w:val="center"/>
          </w:tcPr>
          <w:p w14:paraId="4D20779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经营内容</w:t>
            </w:r>
          </w:p>
        </w:tc>
        <w:tc>
          <w:tcPr>
            <w:tcW w:w="1281" w:type="dxa"/>
            <w:tcBorders>
              <w:top w:val="nil"/>
              <w:left w:val="nil"/>
              <w:bottom w:val="single" w:color="auto" w:sz="4" w:space="0"/>
              <w:right w:val="single" w:color="auto" w:sz="4" w:space="0"/>
            </w:tcBorders>
            <w:noWrap/>
            <w:vAlign w:val="center"/>
          </w:tcPr>
          <w:p w14:paraId="342A0F8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78EA0BF5">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显示经营内容名称，点击可跳转至对应的经营内容案例列表页</w:t>
            </w:r>
          </w:p>
        </w:tc>
      </w:tr>
      <w:tr w14:paraId="04BE9DC4">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01265A3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auto" w:sz="4" w:space="0"/>
              <w:right w:val="single" w:color="auto" w:sz="4" w:space="0"/>
            </w:tcBorders>
            <w:vAlign w:val="center"/>
          </w:tcPr>
          <w:p w14:paraId="6BDED57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底部栏</w:t>
            </w:r>
          </w:p>
        </w:tc>
        <w:tc>
          <w:tcPr>
            <w:tcW w:w="1278" w:type="dxa"/>
            <w:tcBorders>
              <w:top w:val="nil"/>
              <w:left w:val="nil"/>
              <w:bottom w:val="single" w:color="auto" w:sz="4" w:space="0"/>
              <w:right w:val="single" w:color="auto" w:sz="4" w:space="0"/>
            </w:tcBorders>
            <w:noWrap/>
            <w:vAlign w:val="center"/>
          </w:tcPr>
          <w:p w14:paraId="3A22CD5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备案信息</w:t>
            </w:r>
          </w:p>
        </w:tc>
        <w:tc>
          <w:tcPr>
            <w:tcW w:w="1281" w:type="dxa"/>
            <w:tcBorders>
              <w:top w:val="nil"/>
              <w:left w:val="nil"/>
              <w:bottom w:val="single" w:color="auto" w:sz="4" w:space="0"/>
              <w:right w:val="single" w:color="auto" w:sz="4" w:space="0"/>
            </w:tcBorders>
            <w:noWrap/>
            <w:vAlign w:val="center"/>
          </w:tcPr>
          <w:p w14:paraId="3D71064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74C75E0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790A26A5">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389F183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7D1DC61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7DECDAF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联系地址等信息</w:t>
            </w:r>
          </w:p>
        </w:tc>
        <w:tc>
          <w:tcPr>
            <w:tcW w:w="1281" w:type="dxa"/>
            <w:tcBorders>
              <w:top w:val="nil"/>
              <w:left w:val="nil"/>
              <w:bottom w:val="single" w:color="auto" w:sz="4" w:space="0"/>
              <w:right w:val="single" w:color="auto" w:sz="4" w:space="0"/>
            </w:tcBorders>
            <w:noWrap/>
            <w:vAlign w:val="center"/>
          </w:tcPr>
          <w:p w14:paraId="6032369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72E2BFC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724209CF">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6E1A8E8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25AD0EB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52054E8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友情链接</w:t>
            </w:r>
          </w:p>
        </w:tc>
        <w:tc>
          <w:tcPr>
            <w:tcW w:w="1281" w:type="dxa"/>
            <w:tcBorders>
              <w:top w:val="nil"/>
              <w:left w:val="nil"/>
              <w:bottom w:val="single" w:color="auto" w:sz="4" w:space="0"/>
              <w:right w:val="single" w:color="auto" w:sz="4" w:space="0"/>
            </w:tcBorders>
            <w:noWrap/>
            <w:vAlign w:val="center"/>
          </w:tcPr>
          <w:p w14:paraId="57BB278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3E28A5E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19C53664">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357C853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2AE4BA4F">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7309283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技术支持</w:t>
            </w:r>
          </w:p>
        </w:tc>
        <w:tc>
          <w:tcPr>
            <w:tcW w:w="1281" w:type="dxa"/>
            <w:tcBorders>
              <w:top w:val="nil"/>
              <w:left w:val="nil"/>
              <w:bottom w:val="single" w:color="auto" w:sz="4" w:space="0"/>
              <w:right w:val="single" w:color="auto" w:sz="4" w:space="0"/>
            </w:tcBorders>
            <w:noWrap/>
            <w:vAlign w:val="center"/>
          </w:tcPr>
          <w:p w14:paraId="51561A4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3949002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0E73A68E">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1BBEE35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nil"/>
              <w:right w:val="single" w:color="auto" w:sz="4" w:space="0"/>
            </w:tcBorders>
            <w:vAlign w:val="center"/>
          </w:tcPr>
          <w:p w14:paraId="0A2180D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页面悬浮模块</w:t>
            </w:r>
          </w:p>
        </w:tc>
        <w:tc>
          <w:tcPr>
            <w:tcW w:w="1278" w:type="dxa"/>
            <w:tcBorders>
              <w:top w:val="nil"/>
              <w:left w:val="nil"/>
              <w:bottom w:val="single" w:color="auto" w:sz="4" w:space="0"/>
              <w:right w:val="single" w:color="auto" w:sz="4" w:space="0"/>
            </w:tcBorders>
            <w:noWrap/>
            <w:vAlign w:val="center"/>
          </w:tcPr>
          <w:p w14:paraId="4932F515">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资讯图片</w:t>
            </w:r>
          </w:p>
        </w:tc>
        <w:tc>
          <w:tcPr>
            <w:tcW w:w="1281" w:type="dxa"/>
            <w:tcBorders>
              <w:top w:val="nil"/>
              <w:left w:val="nil"/>
              <w:bottom w:val="single" w:color="auto" w:sz="4" w:space="0"/>
              <w:right w:val="single" w:color="auto" w:sz="4" w:space="0"/>
            </w:tcBorders>
            <w:noWrap/>
            <w:vAlign w:val="center"/>
          </w:tcPr>
          <w:p w14:paraId="5F4E0CF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36D44A8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5099FE86">
        <w:tblPrEx>
          <w:tblCellMar>
            <w:top w:w="0" w:type="dxa"/>
            <w:left w:w="108" w:type="dxa"/>
            <w:bottom w:w="0" w:type="dxa"/>
            <w:right w:w="108" w:type="dxa"/>
          </w:tblCellMar>
        </w:tblPrEx>
        <w:trPr>
          <w:trHeight w:val="402" w:hRule="atLeast"/>
        </w:trPr>
        <w:tc>
          <w:tcPr>
            <w:tcW w:w="704" w:type="dxa"/>
            <w:vMerge w:val="restart"/>
            <w:tcBorders>
              <w:top w:val="nil"/>
              <w:left w:val="single" w:color="auto" w:sz="4" w:space="0"/>
              <w:bottom w:val="single" w:color="auto" w:sz="4" w:space="0"/>
              <w:right w:val="single" w:color="auto" w:sz="4" w:space="0"/>
            </w:tcBorders>
            <w:vAlign w:val="center"/>
          </w:tcPr>
          <w:p w14:paraId="6E809C9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关于开投</w:t>
            </w:r>
          </w:p>
        </w:tc>
        <w:tc>
          <w:tcPr>
            <w:tcW w:w="1581" w:type="dxa"/>
            <w:vMerge w:val="restart"/>
            <w:tcBorders>
              <w:top w:val="single" w:color="auto" w:sz="4" w:space="0"/>
              <w:left w:val="nil"/>
              <w:bottom w:val="single" w:color="000000" w:sz="4" w:space="0"/>
              <w:right w:val="single" w:color="auto" w:sz="4" w:space="0"/>
            </w:tcBorders>
            <w:vAlign w:val="center"/>
          </w:tcPr>
          <w:p w14:paraId="3D454CB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顶部栏</w:t>
            </w:r>
          </w:p>
        </w:tc>
        <w:tc>
          <w:tcPr>
            <w:tcW w:w="1278" w:type="dxa"/>
            <w:tcBorders>
              <w:top w:val="nil"/>
              <w:left w:val="nil"/>
              <w:bottom w:val="single" w:color="auto" w:sz="4" w:space="0"/>
              <w:right w:val="single" w:color="auto" w:sz="4" w:space="0"/>
            </w:tcBorders>
            <w:noWrap/>
            <w:vAlign w:val="center"/>
          </w:tcPr>
          <w:p w14:paraId="4558BF3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背景图</w:t>
            </w:r>
          </w:p>
        </w:tc>
        <w:tc>
          <w:tcPr>
            <w:tcW w:w="1281" w:type="dxa"/>
            <w:tcBorders>
              <w:top w:val="nil"/>
              <w:left w:val="nil"/>
              <w:bottom w:val="single" w:color="auto" w:sz="4" w:space="0"/>
              <w:right w:val="single" w:color="auto" w:sz="4" w:space="0"/>
            </w:tcBorders>
            <w:noWrap/>
            <w:vAlign w:val="center"/>
          </w:tcPr>
          <w:p w14:paraId="044334C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123EE5F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自定义背景图</w:t>
            </w:r>
          </w:p>
        </w:tc>
      </w:tr>
      <w:tr w14:paraId="78E80FA2">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06A2ACE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single" w:color="auto" w:sz="4" w:space="0"/>
              <w:left w:val="nil"/>
              <w:bottom w:val="single" w:color="000000" w:sz="4" w:space="0"/>
              <w:right w:val="single" w:color="auto" w:sz="4" w:space="0"/>
            </w:tcBorders>
            <w:vAlign w:val="center"/>
          </w:tcPr>
          <w:p w14:paraId="7B998A1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7B170A3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快捷跳转</w:t>
            </w:r>
          </w:p>
        </w:tc>
        <w:tc>
          <w:tcPr>
            <w:tcW w:w="1281" w:type="dxa"/>
            <w:tcBorders>
              <w:top w:val="nil"/>
              <w:left w:val="nil"/>
              <w:bottom w:val="single" w:color="auto" w:sz="4" w:space="0"/>
              <w:right w:val="single" w:color="auto" w:sz="4" w:space="0"/>
            </w:tcBorders>
            <w:noWrap/>
            <w:vAlign w:val="center"/>
          </w:tcPr>
          <w:p w14:paraId="4EF6582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381A9A5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快速跳转（链接/锚点）按钮</w:t>
            </w:r>
          </w:p>
        </w:tc>
      </w:tr>
      <w:tr w14:paraId="53A71228">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262AD94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2EC1666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公司简介</w:t>
            </w:r>
          </w:p>
        </w:tc>
        <w:tc>
          <w:tcPr>
            <w:tcW w:w="1278" w:type="dxa"/>
            <w:tcBorders>
              <w:top w:val="nil"/>
              <w:left w:val="nil"/>
              <w:bottom w:val="single" w:color="auto" w:sz="4" w:space="0"/>
              <w:right w:val="single" w:color="auto" w:sz="4" w:space="0"/>
            </w:tcBorders>
            <w:noWrap/>
            <w:vAlign w:val="center"/>
          </w:tcPr>
          <w:p w14:paraId="2FF81D7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77E6997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671CB9A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690A3D9E">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23D1F59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49A4AA0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企业文化</w:t>
            </w:r>
          </w:p>
        </w:tc>
        <w:tc>
          <w:tcPr>
            <w:tcW w:w="1278" w:type="dxa"/>
            <w:tcBorders>
              <w:top w:val="nil"/>
              <w:left w:val="nil"/>
              <w:bottom w:val="single" w:color="auto" w:sz="4" w:space="0"/>
              <w:right w:val="single" w:color="auto" w:sz="4" w:space="0"/>
            </w:tcBorders>
            <w:noWrap/>
            <w:vAlign w:val="center"/>
          </w:tcPr>
          <w:p w14:paraId="35C946E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79404D0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6D1A732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47FC00B4">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30A6066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74C497B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组织架构</w:t>
            </w:r>
          </w:p>
        </w:tc>
        <w:tc>
          <w:tcPr>
            <w:tcW w:w="1278" w:type="dxa"/>
            <w:tcBorders>
              <w:top w:val="nil"/>
              <w:left w:val="nil"/>
              <w:bottom w:val="single" w:color="auto" w:sz="4" w:space="0"/>
              <w:right w:val="single" w:color="auto" w:sz="4" w:space="0"/>
            </w:tcBorders>
            <w:noWrap/>
            <w:vAlign w:val="center"/>
          </w:tcPr>
          <w:p w14:paraId="090EDE2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42F3424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089FC4CE">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6A5B4D70">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39F8E34F">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5BCB723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荣誉资质</w:t>
            </w:r>
          </w:p>
        </w:tc>
        <w:tc>
          <w:tcPr>
            <w:tcW w:w="1278" w:type="dxa"/>
            <w:tcBorders>
              <w:top w:val="nil"/>
              <w:left w:val="nil"/>
              <w:bottom w:val="single" w:color="auto" w:sz="4" w:space="0"/>
              <w:right w:val="single" w:color="auto" w:sz="4" w:space="0"/>
            </w:tcBorders>
            <w:noWrap/>
            <w:vAlign w:val="center"/>
          </w:tcPr>
          <w:p w14:paraId="12A7226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1EEB6A2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6EA358E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轮播显示荣誉资质图片</w:t>
            </w:r>
          </w:p>
        </w:tc>
      </w:tr>
      <w:tr w14:paraId="11606875">
        <w:tblPrEx>
          <w:tblCellMar>
            <w:top w:w="0" w:type="dxa"/>
            <w:left w:w="108" w:type="dxa"/>
            <w:bottom w:w="0" w:type="dxa"/>
            <w:right w:w="108" w:type="dxa"/>
          </w:tblCellMar>
        </w:tblPrEx>
        <w:trPr>
          <w:trHeight w:val="585" w:hRule="atLeast"/>
        </w:trPr>
        <w:tc>
          <w:tcPr>
            <w:tcW w:w="704" w:type="dxa"/>
            <w:vMerge w:val="restart"/>
            <w:tcBorders>
              <w:top w:val="nil"/>
              <w:left w:val="single" w:color="auto" w:sz="4" w:space="0"/>
              <w:bottom w:val="single" w:color="auto" w:sz="4" w:space="0"/>
              <w:right w:val="single" w:color="auto" w:sz="4" w:space="0"/>
            </w:tcBorders>
            <w:vAlign w:val="center"/>
          </w:tcPr>
          <w:p w14:paraId="554243A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经营体系</w:t>
            </w:r>
          </w:p>
        </w:tc>
        <w:tc>
          <w:tcPr>
            <w:tcW w:w="1581" w:type="dxa"/>
            <w:tcBorders>
              <w:top w:val="nil"/>
              <w:left w:val="nil"/>
              <w:bottom w:val="single" w:color="auto" w:sz="4" w:space="0"/>
              <w:right w:val="single" w:color="auto" w:sz="4" w:space="0"/>
            </w:tcBorders>
            <w:vAlign w:val="center"/>
          </w:tcPr>
          <w:p w14:paraId="3ABAF78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经营类目入口</w:t>
            </w:r>
          </w:p>
        </w:tc>
        <w:tc>
          <w:tcPr>
            <w:tcW w:w="1278" w:type="dxa"/>
            <w:tcBorders>
              <w:top w:val="nil"/>
              <w:left w:val="nil"/>
              <w:bottom w:val="single" w:color="auto" w:sz="4" w:space="0"/>
              <w:right w:val="single" w:color="auto" w:sz="4" w:space="0"/>
            </w:tcBorders>
            <w:noWrap/>
            <w:vAlign w:val="center"/>
          </w:tcPr>
          <w:p w14:paraId="3D79D80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4B1666C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19011FA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点击可进入该类目案例列表，类目包含园区管理、房产开发、市政园林、物业管理、房屋租赁。</w:t>
            </w:r>
          </w:p>
        </w:tc>
      </w:tr>
      <w:tr w14:paraId="3C1A32E4">
        <w:tblPrEx>
          <w:tblCellMar>
            <w:top w:w="0" w:type="dxa"/>
            <w:left w:w="108" w:type="dxa"/>
            <w:bottom w:w="0" w:type="dxa"/>
            <w:right w:w="108" w:type="dxa"/>
          </w:tblCellMar>
        </w:tblPrEx>
        <w:trPr>
          <w:trHeight w:val="645" w:hRule="atLeast"/>
        </w:trPr>
        <w:tc>
          <w:tcPr>
            <w:tcW w:w="704" w:type="dxa"/>
            <w:vMerge w:val="continue"/>
            <w:tcBorders>
              <w:top w:val="nil"/>
              <w:left w:val="single" w:color="auto" w:sz="4" w:space="0"/>
              <w:bottom w:val="single" w:color="auto" w:sz="4" w:space="0"/>
              <w:right w:val="single" w:color="auto" w:sz="4" w:space="0"/>
            </w:tcBorders>
            <w:vAlign w:val="center"/>
          </w:tcPr>
          <w:p w14:paraId="2E7B4BE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4FEAA74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案例列表</w:t>
            </w:r>
          </w:p>
        </w:tc>
        <w:tc>
          <w:tcPr>
            <w:tcW w:w="1278" w:type="dxa"/>
            <w:tcBorders>
              <w:top w:val="nil"/>
              <w:left w:val="nil"/>
              <w:bottom w:val="single" w:color="auto" w:sz="4" w:space="0"/>
              <w:right w:val="single" w:color="auto" w:sz="4" w:space="0"/>
            </w:tcBorders>
            <w:noWrap/>
            <w:vAlign w:val="center"/>
          </w:tcPr>
          <w:p w14:paraId="00B6513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图片列表</w:t>
            </w:r>
          </w:p>
        </w:tc>
        <w:tc>
          <w:tcPr>
            <w:tcW w:w="1281" w:type="dxa"/>
            <w:tcBorders>
              <w:top w:val="nil"/>
              <w:left w:val="nil"/>
              <w:bottom w:val="single" w:color="auto" w:sz="4" w:space="0"/>
              <w:right w:val="single" w:color="auto" w:sz="4" w:space="0"/>
            </w:tcBorders>
            <w:noWrap/>
            <w:vAlign w:val="center"/>
          </w:tcPr>
          <w:p w14:paraId="6CE9BA5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50A9221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列表显示案例列表，包含封面图和标题，每页显示6条数据</w:t>
            </w:r>
          </w:p>
        </w:tc>
      </w:tr>
      <w:tr w14:paraId="105F14BD">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22DFD9D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000000" w:sz="4" w:space="0"/>
              <w:right w:val="single" w:color="auto" w:sz="4" w:space="0"/>
            </w:tcBorders>
            <w:vAlign w:val="center"/>
          </w:tcPr>
          <w:p w14:paraId="4016218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案例详情</w:t>
            </w:r>
          </w:p>
        </w:tc>
        <w:tc>
          <w:tcPr>
            <w:tcW w:w="1278" w:type="dxa"/>
            <w:tcBorders>
              <w:top w:val="nil"/>
              <w:left w:val="nil"/>
              <w:bottom w:val="single" w:color="auto" w:sz="4" w:space="0"/>
              <w:right w:val="single" w:color="auto" w:sz="4" w:space="0"/>
            </w:tcBorders>
            <w:noWrap/>
            <w:vAlign w:val="center"/>
          </w:tcPr>
          <w:p w14:paraId="387115F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详情页</w:t>
            </w:r>
          </w:p>
        </w:tc>
        <w:tc>
          <w:tcPr>
            <w:tcW w:w="1281" w:type="dxa"/>
            <w:tcBorders>
              <w:top w:val="nil"/>
              <w:left w:val="nil"/>
              <w:bottom w:val="single" w:color="auto" w:sz="4" w:space="0"/>
              <w:right w:val="single" w:color="auto" w:sz="4" w:space="0"/>
            </w:tcBorders>
            <w:noWrap/>
            <w:vAlign w:val="center"/>
          </w:tcPr>
          <w:p w14:paraId="311DFA9E">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433E753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图文详情页</w:t>
            </w:r>
          </w:p>
        </w:tc>
      </w:tr>
      <w:tr w14:paraId="7CF5A040">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4057863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000000" w:sz="4" w:space="0"/>
              <w:right w:val="single" w:color="auto" w:sz="4" w:space="0"/>
            </w:tcBorders>
            <w:vAlign w:val="center"/>
          </w:tcPr>
          <w:p w14:paraId="2339161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605F7FC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上下篇幅按钮</w:t>
            </w:r>
          </w:p>
        </w:tc>
        <w:tc>
          <w:tcPr>
            <w:tcW w:w="1281" w:type="dxa"/>
            <w:tcBorders>
              <w:top w:val="nil"/>
              <w:left w:val="nil"/>
              <w:bottom w:val="single" w:color="auto" w:sz="4" w:space="0"/>
              <w:right w:val="single" w:color="auto" w:sz="4" w:space="0"/>
            </w:tcBorders>
            <w:noWrap/>
            <w:vAlign w:val="center"/>
          </w:tcPr>
          <w:p w14:paraId="0B2307F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0DB703F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快捷上下翻转案例</w:t>
            </w:r>
          </w:p>
        </w:tc>
      </w:tr>
      <w:tr w14:paraId="7532EF85">
        <w:tblPrEx>
          <w:tblCellMar>
            <w:top w:w="0" w:type="dxa"/>
            <w:left w:w="108" w:type="dxa"/>
            <w:bottom w:w="0" w:type="dxa"/>
            <w:right w:w="108" w:type="dxa"/>
          </w:tblCellMar>
        </w:tblPrEx>
        <w:trPr>
          <w:trHeight w:val="402" w:hRule="atLeast"/>
        </w:trPr>
        <w:tc>
          <w:tcPr>
            <w:tcW w:w="704" w:type="dxa"/>
            <w:vMerge w:val="restart"/>
            <w:tcBorders>
              <w:top w:val="nil"/>
              <w:left w:val="single" w:color="auto" w:sz="4" w:space="0"/>
              <w:bottom w:val="single" w:color="auto" w:sz="4" w:space="0"/>
              <w:right w:val="single" w:color="auto" w:sz="4" w:space="0"/>
            </w:tcBorders>
            <w:vAlign w:val="center"/>
          </w:tcPr>
          <w:p w14:paraId="5A0AB96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新闻动态</w:t>
            </w:r>
          </w:p>
        </w:tc>
        <w:tc>
          <w:tcPr>
            <w:tcW w:w="1581" w:type="dxa"/>
            <w:vMerge w:val="restart"/>
            <w:tcBorders>
              <w:top w:val="nil"/>
              <w:left w:val="nil"/>
              <w:bottom w:val="single" w:color="auto" w:sz="4" w:space="0"/>
              <w:right w:val="single" w:color="auto" w:sz="4" w:space="0"/>
            </w:tcBorders>
            <w:vAlign w:val="center"/>
          </w:tcPr>
          <w:p w14:paraId="171DB75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顶部栏</w:t>
            </w:r>
          </w:p>
        </w:tc>
        <w:tc>
          <w:tcPr>
            <w:tcW w:w="1278" w:type="dxa"/>
            <w:tcBorders>
              <w:top w:val="nil"/>
              <w:left w:val="nil"/>
              <w:bottom w:val="single" w:color="auto" w:sz="4" w:space="0"/>
              <w:right w:val="single" w:color="auto" w:sz="4" w:space="0"/>
            </w:tcBorders>
            <w:noWrap/>
            <w:vAlign w:val="center"/>
          </w:tcPr>
          <w:p w14:paraId="335FC27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背景图</w:t>
            </w:r>
          </w:p>
        </w:tc>
        <w:tc>
          <w:tcPr>
            <w:tcW w:w="1281" w:type="dxa"/>
            <w:tcBorders>
              <w:top w:val="nil"/>
              <w:left w:val="nil"/>
              <w:bottom w:val="single" w:color="auto" w:sz="4" w:space="0"/>
              <w:right w:val="single" w:color="auto" w:sz="4" w:space="0"/>
            </w:tcBorders>
            <w:noWrap/>
            <w:vAlign w:val="center"/>
          </w:tcPr>
          <w:p w14:paraId="0104C14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60D23BC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自定义背景图</w:t>
            </w:r>
          </w:p>
        </w:tc>
      </w:tr>
      <w:tr w14:paraId="1C5DC566">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10709219">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365FF0D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10B1170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快捷跳转</w:t>
            </w:r>
          </w:p>
        </w:tc>
        <w:tc>
          <w:tcPr>
            <w:tcW w:w="1281" w:type="dxa"/>
            <w:tcBorders>
              <w:top w:val="nil"/>
              <w:left w:val="nil"/>
              <w:bottom w:val="single" w:color="auto" w:sz="4" w:space="0"/>
              <w:right w:val="single" w:color="auto" w:sz="4" w:space="0"/>
            </w:tcBorders>
            <w:noWrap/>
            <w:vAlign w:val="center"/>
          </w:tcPr>
          <w:p w14:paraId="1854BEF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39176D6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快速切换新闻动态显示内容列表</w:t>
            </w:r>
          </w:p>
        </w:tc>
      </w:tr>
      <w:tr w14:paraId="6F130110">
        <w:tblPrEx>
          <w:tblCellMar>
            <w:top w:w="0" w:type="dxa"/>
            <w:left w:w="108" w:type="dxa"/>
            <w:bottom w:w="0" w:type="dxa"/>
            <w:right w:w="108" w:type="dxa"/>
          </w:tblCellMar>
        </w:tblPrEx>
        <w:trPr>
          <w:trHeight w:val="555" w:hRule="atLeast"/>
        </w:trPr>
        <w:tc>
          <w:tcPr>
            <w:tcW w:w="704" w:type="dxa"/>
            <w:vMerge w:val="continue"/>
            <w:tcBorders>
              <w:top w:val="nil"/>
              <w:left w:val="single" w:color="auto" w:sz="4" w:space="0"/>
              <w:bottom w:val="single" w:color="auto" w:sz="4" w:space="0"/>
              <w:right w:val="single" w:color="auto" w:sz="4" w:space="0"/>
            </w:tcBorders>
            <w:vAlign w:val="center"/>
          </w:tcPr>
          <w:p w14:paraId="7D0479E9">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auto" w:sz="4" w:space="0"/>
              <w:right w:val="single" w:color="auto" w:sz="4" w:space="0"/>
            </w:tcBorders>
            <w:vAlign w:val="center"/>
          </w:tcPr>
          <w:p w14:paraId="2F04BCA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公司新闻</w:t>
            </w:r>
          </w:p>
        </w:tc>
        <w:tc>
          <w:tcPr>
            <w:tcW w:w="1278" w:type="dxa"/>
            <w:tcBorders>
              <w:top w:val="nil"/>
              <w:left w:val="nil"/>
              <w:bottom w:val="single" w:color="auto" w:sz="4" w:space="0"/>
              <w:right w:val="single" w:color="auto" w:sz="4" w:space="0"/>
            </w:tcBorders>
            <w:noWrap/>
            <w:vAlign w:val="center"/>
          </w:tcPr>
          <w:p w14:paraId="122990B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置顶新闻</w:t>
            </w:r>
          </w:p>
        </w:tc>
        <w:tc>
          <w:tcPr>
            <w:tcW w:w="1281" w:type="dxa"/>
            <w:tcBorders>
              <w:top w:val="nil"/>
              <w:left w:val="nil"/>
              <w:bottom w:val="single" w:color="auto" w:sz="4" w:space="0"/>
              <w:right w:val="single" w:color="auto" w:sz="4" w:space="0"/>
            </w:tcBorders>
            <w:noWrap/>
            <w:vAlign w:val="center"/>
          </w:tcPr>
          <w:p w14:paraId="0E4ABF5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55D92C4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独立一行展示置顶新闻，包含图片和标题，最多展示4条。</w:t>
            </w:r>
          </w:p>
        </w:tc>
      </w:tr>
      <w:tr w14:paraId="1B5D1FD6">
        <w:tblPrEx>
          <w:tblCellMar>
            <w:top w:w="0" w:type="dxa"/>
            <w:left w:w="108" w:type="dxa"/>
            <w:bottom w:w="0" w:type="dxa"/>
            <w:right w:w="108" w:type="dxa"/>
          </w:tblCellMar>
        </w:tblPrEx>
        <w:trPr>
          <w:trHeight w:val="645" w:hRule="atLeast"/>
        </w:trPr>
        <w:tc>
          <w:tcPr>
            <w:tcW w:w="704" w:type="dxa"/>
            <w:vMerge w:val="continue"/>
            <w:tcBorders>
              <w:top w:val="nil"/>
              <w:left w:val="single" w:color="auto" w:sz="4" w:space="0"/>
              <w:bottom w:val="single" w:color="auto" w:sz="4" w:space="0"/>
              <w:right w:val="single" w:color="auto" w:sz="4" w:space="0"/>
            </w:tcBorders>
            <w:vAlign w:val="center"/>
          </w:tcPr>
          <w:p w14:paraId="6E74D4C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741297D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68AE435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新闻列表</w:t>
            </w:r>
          </w:p>
        </w:tc>
        <w:tc>
          <w:tcPr>
            <w:tcW w:w="1281" w:type="dxa"/>
            <w:tcBorders>
              <w:top w:val="nil"/>
              <w:left w:val="nil"/>
              <w:bottom w:val="single" w:color="auto" w:sz="4" w:space="0"/>
              <w:right w:val="single" w:color="auto" w:sz="4" w:space="0"/>
            </w:tcBorders>
            <w:noWrap/>
            <w:vAlign w:val="center"/>
          </w:tcPr>
          <w:p w14:paraId="2E06260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2A2E6DF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列表显示公司新闻列表，包含标题，每页显示8条数据</w:t>
            </w:r>
          </w:p>
        </w:tc>
      </w:tr>
      <w:tr w14:paraId="4E8CD5A4">
        <w:tblPrEx>
          <w:tblCellMar>
            <w:top w:w="0" w:type="dxa"/>
            <w:left w:w="108" w:type="dxa"/>
            <w:bottom w:w="0" w:type="dxa"/>
            <w:right w:w="108" w:type="dxa"/>
          </w:tblCellMar>
        </w:tblPrEx>
        <w:trPr>
          <w:trHeight w:val="555" w:hRule="atLeast"/>
        </w:trPr>
        <w:tc>
          <w:tcPr>
            <w:tcW w:w="704" w:type="dxa"/>
            <w:vMerge w:val="continue"/>
            <w:tcBorders>
              <w:top w:val="nil"/>
              <w:left w:val="single" w:color="auto" w:sz="4" w:space="0"/>
              <w:bottom w:val="single" w:color="auto" w:sz="4" w:space="0"/>
              <w:right w:val="single" w:color="auto" w:sz="4" w:space="0"/>
            </w:tcBorders>
            <w:vAlign w:val="center"/>
          </w:tcPr>
          <w:p w14:paraId="2166035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09E6D2A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通知公告</w:t>
            </w:r>
          </w:p>
        </w:tc>
        <w:tc>
          <w:tcPr>
            <w:tcW w:w="1278" w:type="dxa"/>
            <w:tcBorders>
              <w:top w:val="nil"/>
              <w:left w:val="nil"/>
              <w:bottom w:val="single" w:color="auto" w:sz="4" w:space="0"/>
              <w:right w:val="single" w:color="auto" w:sz="4" w:space="0"/>
            </w:tcBorders>
            <w:noWrap/>
            <w:vAlign w:val="center"/>
          </w:tcPr>
          <w:p w14:paraId="547183C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公告列表</w:t>
            </w:r>
          </w:p>
        </w:tc>
        <w:tc>
          <w:tcPr>
            <w:tcW w:w="1281" w:type="dxa"/>
            <w:tcBorders>
              <w:top w:val="nil"/>
              <w:left w:val="nil"/>
              <w:bottom w:val="single" w:color="auto" w:sz="4" w:space="0"/>
              <w:right w:val="single" w:color="auto" w:sz="4" w:space="0"/>
            </w:tcBorders>
            <w:noWrap/>
            <w:vAlign w:val="center"/>
          </w:tcPr>
          <w:p w14:paraId="1A87656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5DD2F55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列表显示通知公告列表，包含标题，每页显示8条数据</w:t>
            </w:r>
          </w:p>
        </w:tc>
      </w:tr>
      <w:tr w14:paraId="1AB64197">
        <w:tblPrEx>
          <w:tblCellMar>
            <w:top w:w="0" w:type="dxa"/>
            <w:left w:w="108" w:type="dxa"/>
            <w:bottom w:w="0" w:type="dxa"/>
            <w:right w:w="108" w:type="dxa"/>
          </w:tblCellMar>
        </w:tblPrEx>
        <w:trPr>
          <w:trHeight w:val="630" w:hRule="atLeast"/>
        </w:trPr>
        <w:tc>
          <w:tcPr>
            <w:tcW w:w="704" w:type="dxa"/>
            <w:vMerge w:val="continue"/>
            <w:tcBorders>
              <w:top w:val="nil"/>
              <w:left w:val="single" w:color="auto" w:sz="4" w:space="0"/>
              <w:bottom w:val="single" w:color="auto" w:sz="4" w:space="0"/>
              <w:right w:val="single" w:color="auto" w:sz="4" w:space="0"/>
            </w:tcBorders>
            <w:vAlign w:val="center"/>
          </w:tcPr>
          <w:p w14:paraId="1B6F800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3F686EC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行业动态</w:t>
            </w:r>
          </w:p>
        </w:tc>
        <w:tc>
          <w:tcPr>
            <w:tcW w:w="1278" w:type="dxa"/>
            <w:tcBorders>
              <w:top w:val="nil"/>
              <w:left w:val="nil"/>
              <w:bottom w:val="single" w:color="auto" w:sz="4" w:space="0"/>
              <w:right w:val="single" w:color="auto" w:sz="4" w:space="0"/>
            </w:tcBorders>
            <w:noWrap/>
            <w:vAlign w:val="center"/>
          </w:tcPr>
          <w:p w14:paraId="17E889C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动态列表</w:t>
            </w:r>
          </w:p>
        </w:tc>
        <w:tc>
          <w:tcPr>
            <w:tcW w:w="1281" w:type="dxa"/>
            <w:tcBorders>
              <w:top w:val="nil"/>
              <w:left w:val="nil"/>
              <w:bottom w:val="single" w:color="auto" w:sz="4" w:space="0"/>
              <w:right w:val="single" w:color="auto" w:sz="4" w:space="0"/>
            </w:tcBorders>
            <w:noWrap/>
            <w:vAlign w:val="center"/>
          </w:tcPr>
          <w:p w14:paraId="5E74B2B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58F753E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列表显示行业动态列表，包含标题，每页显示8条数据</w:t>
            </w:r>
          </w:p>
        </w:tc>
      </w:tr>
      <w:tr w14:paraId="4DB68C59">
        <w:tblPrEx>
          <w:tblCellMar>
            <w:top w:w="0" w:type="dxa"/>
            <w:left w:w="108" w:type="dxa"/>
            <w:bottom w:w="0" w:type="dxa"/>
            <w:right w:w="108" w:type="dxa"/>
          </w:tblCellMar>
        </w:tblPrEx>
        <w:trPr>
          <w:trHeight w:val="402" w:hRule="atLeast"/>
        </w:trPr>
        <w:tc>
          <w:tcPr>
            <w:tcW w:w="704" w:type="dxa"/>
            <w:vMerge w:val="restart"/>
            <w:tcBorders>
              <w:top w:val="nil"/>
              <w:left w:val="single" w:color="auto" w:sz="4" w:space="0"/>
              <w:bottom w:val="single" w:color="auto" w:sz="4" w:space="0"/>
              <w:right w:val="single" w:color="auto" w:sz="4" w:space="0"/>
            </w:tcBorders>
            <w:vAlign w:val="center"/>
          </w:tcPr>
          <w:p w14:paraId="789A3EC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党建园地</w:t>
            </w:r>
          </w:p>
        </w:tc>
        <w:tc>
          <w:tcPr>
            <w:tcW w:w="1581" w:type="dxa"/>
            <w:tcBorders>
              <w:top w:val="nil"/>
              <w:left w:val="nil"/>
              <w:bottom w:val="single" w:color="auto" w:sz="4" w:space="0"/>
              <w:right w:val="single" w:color="auto" w:sz="4" w:space="0"/>
            </w:tcBorders>
            <w:vAlign w:val="center"/>
          </w:tcPr>
          <w:p w14:paraId="357E156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背景图</w:t>
            </w:r>
          </w:p>
        </w:tc>
        <w:tc>
          <w:tcPr>
            <w:tcW w:w="1278" w:type="dxa"/>
            <w:tcBorders>
              <w:top w:val="nil"/>
              <w:left w:val="nil"/>
              <w:bottom w:val="single" w:color="auto" w:sz="4" w:space="0"/>
              <w:right w:val="single" w:color="auto" w:sz="4" w:space="0"/>
            </w:tcBorders>
            <w:noWrap/>
            <w:vAlign w:val="center"/>
          </w:tcPr>
          <w:p w14:paraId="7ACE52D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0769A32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6B10E9F5">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自定义背景图</w:t>
            </w:r>
          </w:p>
        </w:tc>
      </w:tr>
      <w:tr w14:paraId="12D5EE0F">
        <w:tblPrEx>
          <w:tblCellMar>
            <w:top w:w="0" w:type="dxa"/>
            <w:left w:w="108" w:type="dxa"/>
            <w:bottom w:w="0" w:type="dxa"/>
            <w:right w:w="108" w:type="dxa"/>
          </w:tblCellMar>
        </w:tblPrEx>
        <w:trPr>
          <w:trHeight w:val="600" w:hRule="atLeast"/>
        </w:trPr>
        <w:tc>
          <w:tcPr>
            <w:tcW w:w="704" w:type="dxa"/>
            <w:vMerge w:val="continue"/>
            <w:tcBorders>
              <w:top w:val="nil"/>
              <w:left w:val="single" w:color="auto" w:sz="4" w:space="0"/>
              <w:bottom w:val="single" w:color="auto" w:sz="4" w:space="0"/>
              <w:right w:val="single" w:color="auto" w:sz="4" w:space="0"/>
            </w:tcBorders>
            <w:vAlign w:val="center"/>
          </w:tcPr>
          <w:p w14:paraId="5CB365E9">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auto" w:sz="4" w:space="0"/>
              <w:right w:val="single" w:color="auto" w:sz="4" w:space="0"/>
            </w:tcBorders>
            <w:vAlign w:val="center"/>
          </w:tcPr>
          <w:p w14:paraId="6FABEA5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党建动态</w:t>
            </w:r>
          </w:p>
        </w:tc>
        <w:tc>
          <w:tcPr>
            <w:tcW w:w="1278" w:type="dxa"/>
            <w:tcBorders>
              <w:top w:val="nil"/>
              <w:left w:val="nil"/>
              <w:bottom w:val="single" w:color="auto" w:sz="4" w:space="0"/>
              <w:right w:val="single" w:color="auto" w:sz="4" w:space="0"/>
            </w:tcBorders>
            <w:noWrap/>
            <w:vAlign w:val="center"/>
          </w:tcPr>
          <w:p w14:paraId="02E5CDC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w:t>
            </w:r>
          </w:p>
        </w:tc>
        <w:tc>
          <w:tcPr>
            <w:tcW w:w="1281" w:type="dxa"/>
            <w:tcBorders>
              <w:top w:val="nil"/>
              <w:left w:val="nil"/>
              <w:bottom w:val="single" w:color="auto" w:sz="4" w:space="0"/>
              <w:right w:val="single" w:color="auto" w:sz="4" w:space="0"/>
            </w:tcBorders>
            <w:noWrap/>
            <w:vAlign w:val="center"/>
          </w:tcPr>
          <w:p w14:paraId="4A4D58A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543DDA6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列表显示文章标题，包含标题，创建时间，每页显示8条数据</w:t>
            </w:r>
          </w:p>
        </w:tc>
      </w:tr>
      <w:tr w14:paraId="47CC709F">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74AA0E3F">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48BEFC8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52FF235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详情页</w:t>
            </w:r>
          </w:p>
        </w:tc>
        <w:tc>
          <w:tcPr>
            <w:tcW w:w="1281" w:type="dxa"/>
            <w:tcBorders>
              <w:top w:val="nil"/>
              <w:left w:val="nil"/>
              <w:bottom w:val="single" w:color="auto" w:sz="4" w:space="0"/>
              <w:right w:val="single" w:color="auto" w:sz="4" w:space="0"/>
            </w:tcBorders>
            <w:noWrap/>
            <w:vAlign w:val="center"/>
          </w:tcPr>
          <w:p w14:paraId="7A6F1C6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7FB63FA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悬浮弹窗显示文章详情页</w:t>
            </w:r>
          </w:p>
        </w:tc>
      </w:tr>
      <w:tr w14:paraId="63C48277">
        <w:tblPrEx>
          <w:tblCellMar>
            <w:top w:w="0" w:type="dxa"/>
            <w:left w:w="108" w:type="dxa"/>
            <w:bottom w:w="0" w:type="dxa"/>
            <w:right w:w="108" w:type="dxa"/>
          </w:tblCellMar>
        </w:tblPrEx>
        <w:trPr>
          <w:trHeight w:val="675" w:hRule="atLeast"/>
        </w:trPr>
        <w:tc>
          <w:tcPr>
            <w:tcW w:w="704" w:type="dxa"/>
            <w:vMerge w:val="continue"/>
            <w:tcBorders>
              <w:top w:val="nil"/>
              <w:left w:val="single" w:color="auto" w:sz="4" w:space="0"/>
              <w:bottom w:val="single" w:color="auto" w:sz="4" w:space="0"/>
              <w:right w:val="single" w:color="auto" w:sz="4" w:space="0"/>
            </w:tcBorders>
            <w:vAlign w:val="center"/>
          </w:tcPr>
          <w:p w14:paraId="76E1A2D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auto" w:sz="4" w:space="0"/>
              <w:right w:val="single" w:color="auto" w:sz="4" w:space="0"/>
            </w:tcBorders>
            <w:vAlign w:val="center"/>
          </w:tcPr>
          <w:p w14:paraId="2360863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工会园地</w:t>
            </w:r>
          </w:p>
        </w:tc>
        <w:tc>
          <w:tcPr>
            <w:tcW w:w="1278" w:type="dxa"/>
            <w:tcBorders>
              <w:top w:val="nil"/>
              <w:left w:val="nil"/>
              <w:bottom w:val="single" w:color="auto" w:sz="4" w:space="0"/>
              <w:right w:val="single" w:color="auto" w:sz="4" w:space="0"/>
            </w:tcBorders>
            <w:noWrap/>
            <w:vAlign w:val="center"/>
          </w:tcPr>
          <w:p w14:paraId="560CAF6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w:t>
            </w:r>
          </w:p>
        </w:tc>
        <w:tc>
          <w:tcPr>
            <w:tcW w:w="1281" w:type="dxa"/>
            <w:tcBorders>
              <w:top w:val="nil"/>
              <w:left w:val="nil"/>
              <w:bottom w:val="single" w:color="auto" w:sz="4" w:space="0"/>
              <w:right w:val="single" w:color="auto" w:sz="4" w:space="0"/>
            </w:tcBorders>
            <w:noWrap/>
            <w:vAlign w:val="center"/>
          </w:tcPr>
          <w:p w14:paraId="4348A2D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603A915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列表显示文章标题，包含标题，创建时间，每页显示9条数据</w:t>
            </w:r>
          </w:p>
        </w:tc>
      </w:tr>
      <w:tr w14:paraId="4BBFA482">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22291F3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0677958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5A20618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详情页</w:t>
            </w:r>
          </w:p>
        </w:tc>
        <w:tc>
          <w:tcPr>
            <w:tcW w:w="1281" w:type="dxa"/>
            <w:tcBorders>
              <w:top w:val="nil"/>
              <w:left w:val="nil"/>
              <w:bottom w:val="single" w:color="auto" w:sz="4" w:space="0"/>
              <w:right w:val="single" w:color="auto" w:sz="4" w:space="0"/>
            </w:tcBorders>
            <w:noWrap/>
            <w:vAlign w:val="center"/>
          </w:tcPr>
          <w:p w14:paraId="1C2ACF0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1A1456B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悬浮弹窗显示文章详情页</w:t>
            </w:r>
          </w:p>
        </w:tc>
      </w:tr>
      <w:tr w14:paraId="1DCEC9B7">
        <w:tblPrEx>
          <w:tblCellMar>
            <w:top w:w="0" w:type="dxa"/>
            <w:left w:w="108" w:type="dxa"/>
            <w:bottom w:w="0" w:type="dxa"/>
            <w:right w:w="108" w:type="dxa"/>
          </w:tblCellMar>
        </w:tblPrEx>
        <w:trPr>
          <w:trHeight w:val="720" w:hRule="atLeast"/>
        </w:trPr>
        <w:tc>
          <w:tcPr>
            <w:tcW w:w="704" w:type="dxa"/>
            <w:vMerge w:val="continue"/>
            <w:tcBorders>
              <w:top w:val="nil"/>
              <w:left w:val="single" w:color="auto" w:sz="4" w:space="0"/>
              <w:bottom w:val="single" w:color="auto" w:sz="4" w:space="0"/>
              <w:right w:val="single" w:color="auto" w:sz="4" w:space="0"/>
            </w:tcBorders>
            <w:vAlign w:val="center"/>
          </w:tcPr>
          <w:p w14:paraId="5F319E8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auto" w:sz="4" w:space="0"/>
              <w:right w:val="single" w:color="auto" w:sz="4" w:space="0"/>
            </w:tcBorders>
            <w:vAlign w:val="center"/>
          </w:tcPr>
          <w:p w14:paraId="3D57C5E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清廉开投</w:t>
            </w:r>
          </w:p>
        </w:tc>
        <w:tc>
          <w:tcPr>
            <w:tcW w:w="1278" w:type="dxa"/>
            <w:tcBorders>
              <w:top w:val="nil"/>
              <w:left w:val="nil"/>
              <w:bottom w:val="single" w:color="auto" w:sz="4" w:space="0"/>
              <w:right w:val="single" w:color="auto" w:sz="4" w:space="0"/>
            </w:tcBorders>
            <w:noWrap/>
            <w:vAlign w:val="center"/>
          </w:tcPr>
          <w:p w14:paraId="074FE7F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w:t>
            </w:r>
          </w:p>
        </w:tc>
        <w:tc>
          <w:tcPr>
            <w:tcW w:w="1281" w:type="dxa"/>
            <w:tcBorders>
              <w:top w:val="nil"/>
              <w:left w:val="nil"/>
              <w:bottom w:val="single" w:color="auto" w:sz="4" w:space="0"/>
              <w:right w:val="single" w:color="auto" w:sz="4" w:space="0"/>
            </w:tcBorders>
            <w:noWrap/>
            <w:vAlign w:val="center"/>
          </w:tcPr>
          <w:p w14:paraId="55F58BE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738C3EF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列表显示文章标题，包含标题，创建时间，每页显示10条数据</w:t>
            </w:r>
          </w:p>
        </w:tc>
      </w:tr>
      <w:tr w14:paraId="7BEEA2FF">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1480A3D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1944F40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tcBorders>
              <w:top w:val="nil"/>
              <w:left w:val="nil"/>
              <w:bottom w:val="single" w:color="auto" w:sz="4" w:space="0"/>
              <w:right w:val="single" w:color="auto" w:sz="4" w:space="0"/>
            </w:tcBorders>
            <w:noWrap/>
            <w:vAlign w:val="center"/>
          </w:tcPr>
          <w:p w14:paraId="1CF17F0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详情页</w:t>
            </w:r>
          </w:p>
        </w:tc>
        <w:tc>
          <w:tcPr>
            <w:tcW w:w="1281" w:type="dxa"/>
            <w:tcBorders>
              <w:top w:val="nil"/>
              <w:left w:val="nil"/>
              <w:bottom w:val="single" w:color="auto" w:sz="4" w:space="0"/>
              <w:right w:val="single" w:color="auto" w:sz="4" w:space="0"/>
            </w:tcBorders>
            <w:noWrap/>
            <w:vAlign w:val="center"/>
          </w:tcPr>
          <w:p w14:paraId="7C4651C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4F9AB3C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悬浮弹窗显示文章详情页</w:t>
            </w:r>
          </w:p>
        </w:tc>
      </w:tr>
      <w:tr w14:paraId="2E9F3E95">
        <w:tblPrEx>
          <w:tblCellMar>
            <w:top w:w="0" w:type="dxa"/>
            <w:left w:w="108" w:type="dxa"/>
            <w:bottom w:w="0" w:type="dxa"/>
            <w:right w:w="108" w:type="dxa"/>
          </w:tblCellMar>
        </w:tblPrEx>
        <w:trPr>
          <w:trHeight w:val="402" w:hRule="atLeast"/>
        </w:trPr>
        <w:tc>
          <w:tcPr>
            <w:tcW w:w="704" w:type="dxa"/>
            <w:vMerge w:val="restart"/>
            <w:tcBorders>
              <w:top w:val="nil"/>
              <w:left w:val="single" w:color="auto" w:sz="4" w:space="0"/>
              <w:bottom w:val="single" w:color="auto" w:sz="4" w:space="0"/>
              <w:right w:val="single" w:color="auto" w:sz="4" w:space="0"/>
            </w:tcBorders>
            <w:vAlign w:val="center"/>
          </w:tcPr>
          <w:p w14:paraId="73BD49D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联系我们</w:t>
            </w:r>
          </w:p>
        </w:tc>
        <w:tc>
          <w:tcPr>
            <w:tcW w:w="1581" w:type="dxa"/>
            <w:tcBorders>
              <w:top w:val="nil"/>
              <w:left w:val="nil"/>
              <w:bottom w:val="single" w:color="auto" w:sz="4" w:space="0"/>
              <w:right w:val="single" w:color="auto" w:sz="4" w:space="0"/>
            </w:tcBorders>
            <w:vAlign w:val="center"/>
          </w:tcPr>
          <w:p w14:paraId="4B3535F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背景图</w:t>
            </w:r>
          </w:p>
        </w:tc>
        <w:tc>
          <w:tcPr>
            <w:tcW w:w="1278" w:type="dxa"/>
            <w:tcBorders>
              <w:top w:val="nil"/>
              <w:left w:val="nil"/>
              <w:bottom w:val="single" w:color="auto" w:sz="4" w:space="0"/>
              <w:right w:val="single" w:color="auto" w:sz="4" w:space="0"/>
            </w:tcBorders>
            <w:noWrap/>
            <w:vAlign w:val="center"/>
          </w:tcPr>
          <w:p w14:paraId="0781D67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12D2E75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2B6EC51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自定义背景图</w:t>
            </w:r>
          </w:p>
        </w:tc>
      </w:tr>
      <w:tr w14:paraId="086C7A96">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226F5428">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6CBFA4B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1278" w:type="dxa"/>
            <w:tcBorders>
              <w:top w:val="nil"/>
              <w:left w:val="nil"/>
              <w:bottom w:val="single" w:color="auto" w:sz="4" w:space="0"/>
              <w:right w:val="single" w:color="auto" w:sz="4" w:space="0"/>
            </w:tcBorders>
            <w:noWrap/>
            <w:vAlign w:val="center"/>
          </w:tcPr>
          <w:p w14:paraId="10E741D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78BCD7B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105C236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显示联系信息，包含电话、地址、邮箱地址信息</w:t>
            </w:r>
          </w:p>
        </w:tc>
      </w:tr>
      <w:tr w14:paraId="0575BD14">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3022AEF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190F5F9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地图定位位置</w:t>
            </w:r>
          </w:p>
        </w:tc>
        <w:tc>
          <w:tcPr>
            <w:tcW w:w="1278" w:type="dxa"/>
            <w:tcBorders>
              <w:top w:val="nil"/>
              <w:left w:val="nil"/>
              <w:bottom w:val="single" w:color="auto" w:sz="4" w:space="0"/>
              <w:right w:val="single" w:color="auto" w:sz="4" w:space="0"/>
            </w:tcBorders>
            <w:noWrap/>
            <w:vAlign w:val="center"/>
          </w:tcPr>
          <w:p w14:paraId="6FB6266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81" w:type="dxa"/>
            <w:tcBorders>
              <w:top w:val="nil"/>
              <w:left w:val="nil"/>
              <w:bottom w:val="single" w:color="auto" w:sz="4" w:space="0"/>
              <w:right w:val="single" w:color="auto" w:sz="4" w:space="0"/>
            </w:tcBorders>
            <w:noWrap/>
            <w:vAlign w:val="center"/>
          </w:tcPr>
          <w:p w14:paraId="5001297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1A02E30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通过地图的方式展示集团所在位置</w:t>
            </w:r>
          </w:p>
        </w:tc>
      </w:tr>
      <w:tr w14:paraId="0A8454DD">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30B92889">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nil"/>
              <w:left w:val="nil"/>
              <w:bottom w:val="single" w:color="auto" w:sz="4" w:space="0"/>
              <w:right w:val="single" w:color="auto" w:sz="4" w:space="0"/>
            </w:tcBorders>
            <w:vAlign w:val="center"/>
          </w:tcPr>
          <w:p w14:paraId="2CAD07D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留言反馈</w:t>
            </w:r>
          </w:p>
        </w:tc>
        <w:tc>
          <w:tcPr>
            <w:tcW w:w="1278" w:type="dxa"/>
            <w:tcBorders>
              <w:top w:val="nil"/>
              <w:left w:val="nil"/>
              <w:bottom w:val="single" w:color="auto" w:sz="4" w:space="0"/>
              <w:right w:val="single" w:color="auto" w:sz="4" w:space="0"/>
            </w:tcBorders>
            <w:noWrap/>
            <w:vAlign w:val="center"/>
          </w:tcPr>
          <w:p w14:paraId="2C5F328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留言反馈登记表单</w:t>
            </w:r>
          </w:p>
        </w:tc>
        <w:tc>
          <w:tcPr>
            <w:tcW w:w="1281" w:type="dxa"/>
            <w:tcBorders>
              <w:top w:val="nil"/>
              <w:left w:val="nil"/>
              <w:bottom w:val="single" w:color="auto" w:sz="4" w:space="0"/>
              <w:right w:val="single" w:color="auto" w:sz="4" w:space="0"/>
            </w:tcBorders>
            <w:noWrap/>
            <w:vAlign w:val="center"/>
          </w:tcPr>
          <w:p w14:paraId="7326770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1032E5A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支持人机交互登记内容反馈给平台</w:t>
            </w:r>
          </w:p>
        </w:tc>
      </w:tr>
      <w:tr w14:paraId="55DF16D1">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3BA90AC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restart"/>
            <w:tcBorders>
              <w:top w:val="nil"/>
              <w:left w:val="nil"/>
              <w:bottom w:val="single" w:color="auto" w:sz="4" w:space="0"/>
              <w:right w:val="single" w:color="auto" w:sz="4" w:space="0"/>
            </w:tcBorders>
            <w:vAlign w:val="center"/>
          </w:tcPr>
          <w:p w14:paraId="612A62A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人才招聘</w:t>
            </w:r>
          </w:p>
        </w:tc>
        <w:tc>
          <w:tcPr>
            <w:tcW w:w="1278" w:type="dxa"/>
            <w:tcBorders>
              <w:top w:val="nil"/>
              <w:left w:val="nil"/>
              <w:bottom w:val="single" w:color="auto" w:sz="4" w:space="0"/>
              <w:right w:val="single" w:color="auto" w:sz="4" w:space="0"/>
            </w:tcBorders>
            <w:noWrap/>
            <w:vAlign w:val="bottom"/>
          </w:tcPr>
          <w:p w14:paraId="2495CBE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招聘列表</w:t>
            </w:r>
          </w:p>
        </w:tc>
        <w:tc>
          <w:tcPr>
            <w:tcW w:w="1281" w:type="dxa"/>
            <w:tcBorders>
              <w:top w:val="nil"/>
              <w:left w:val="nil"/>
              <w:bottom w:val="single" w:color="auto" w:sz="4" w:space="0"/>
              <w:right w:val="single" w:color="auto" w:sz="4" w:space="0"/>
            </w:tcBorders>
            <w:noWrap/>
            <w:vAlign w:val="bottom"/>
          </w:tcPr>
          <w:p w14:paraId="55512D5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685" w:type="dxa"/>
            <w:tcBorders>
              <w:top w:val="nil"/>
              <w:left w:val="nil"/>
              <w:bottom w:val="single" w:color="auto" w:sz="4" w:space="0"/>
              <w:right w:val="single" w:color="auto" w:sz="4" w:space="0"/>
            </w:tcBorders>
            <w:vAlign w:val="center"/>
          </w:tcPr>
          <w:p w14:paraId="0F0B994E">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列表显示招聘资讯信息，包含标题和时间</w:t>
            </w:r>
          </w:p>
        </w:tc>
      </w:tr>
      <w:tr w14:paraId="1843743D">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778CBD1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264AA40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vMerge w:val="restart"/>
            <w:tcBorders>
              <w:top w:val="nil"/>
              <w:left w:val="nil"/>
              <w:bottom w:val="single" w:color="auto" w:sz="4" w:space="0"/>
              <w:right w:val="single" w:color="auto" w:sz="4" w:space="0"/>
            </w:tcBorders>
            <w:noWrap/>
            <w:vAlign w:val="center"/>
          </w:tcPr>
          <w:p w14:paraId="462BB16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招聘详情</w:t>
            </w:r>
          </w:p>
        </w:tc>
        <w:tc>
          <w:tcPr>
            <w:tcW w:w="1281" w:type="dxa"/>
            <w:tcBorders>
              <w:top w:val="nil"/>
              <w:left w:val="nil"/>
              <w:bottom w:val="single" w:color="auto" w:sz="4" w:space="0"/>
              <w:right w:val="single" w:color="auto" w:sz="4" w:space="0"/>
            </w:tcBorders>
            <w:noWrap/>
            <w:vAlign w:val="center"/>
          </w:tcPr>
          <w:p w14:paraId="34578395">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详情页</w:t>
            </w:r>
          </w:p>
        </w:tc>
        <w:tc>
          <w:tcPr>
            <w:tcW w:w="3685" w:type="dxa"/>
            <w:tcBorders>
              <w:top w:val="nil"/>
              <w:left w:val="nil"/>
              <w:bottom w:val="single" w:color="auto" w:sz="4" w:space="0"/>
              <w:right w:val="single" w:color="auto" w:sz="4" w:space="0"/>
            </w:tcBorders>
            <w:vAlign w:val="center"/>
          </w:tcPr>
          <w:p w14:paraId="198696D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招聘详情页</w:t>
            </w:r>
          </w:p>
        </w:tc>
      </w:tr>
      <w:tr w14:paraId="08F9061D">
        <w:tblPrEx>
          <w:tblCellMar>
            <w:top w:w="0" w:type="dxa"/>
            <w:left w:w="108" w:type="dxa"/>
            <w:bottom w:w="0" w:type="dxa"/>
            <w:right w:w="108" w:type="dxa"/>
          </w:tblCellMar>
        </w:tblPrEx>
        <w:trPr>
          <w:trHeight w:val="402" w:hRule="atLeast"/>
        </w:trPr>
        <w:tc>
          <w:tcPr>
            <w:tcW w:w="704" w:type="dxa"/>
            <w:vMerge w:val="continue"/>
            <w:tcBorders>
              <w:top w:val="nil"/>
              <w:left w:val="single" w:color="auto" w:sz="4" w:space="0"/>
              <w:bottom w:val="single" w:color="auto" w:sz="4" w:space="0"/>
              <w:right w:val="single" w:color="auto" w:sz="4" w:space="0"/>
            </w:tcBorders>
            <w:vAlign w:val="center"/>
          </w:tcPr>
          <w:p w14:paraId="1542F60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vMerge w:val="continue"/>
            <w:tcBorders>
              <w:top w:val="nil"/>
              <w:left w:val="nil"/>
              <w:bottom w:val="single" w:color="auto" w:sz="4" w:space="0"/>
              <w:right w:val="single" w:color="auto" w:sz="4" w:space="0"/>
            </w:tcBorders>
            <w:vAlign w:val="center"/>
          </w:tcPr>
          <w:p w14:paraId="2CB52248">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78" w:type="dxa"/>
            <w:vMerge w:val="continue"/>
            <w:tcBorders>
              <w:top w:val="nil"/>
              <w:left w:val="nil"/>
              <w:bottom w:val="single" w:color="auto" w:sz="4" w:space="0"/>
              <w:right w:val="single" w:color="auto" w:sz="4" w:space="0"/>
            </w:tcBorders>
            <w:vAlign w:val="center"/>
          </w:tcPr>
          <w:p w14:paraId="0C8630F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81" w:type="dxa"/>
            <w:tcBorders>
              <w:top w:val="nil"/>
              <w:left w:val="nil"/>
              <w:bottom w:val="single" w:color="auto" w:sz="4" w:space="0"/>
              <w:right w:val="single" w:color="auto" w:sz="4" w:space="0"/>
            </w:tcBorders>
            <w:noWrap/>
            <w:vAlign w:val="center"/>
          </w:tcPr>
          <w:p w14:paraId="1C2C824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上下篇幅按钮</w:t>
            </w:r>
          </w:p>
        </w:tc>
        <w:tc>
          <w:tcPr>
            <w:tcW w:w="3685" w:type="dxa"/>
            <w:tcBorders>
              <w:top w:val="nil"/>
              <w:left w:val="nil"/>
              <w:bottom w:val="single" w:color="auto" w:sz="4" w:space="0"/>
              <w:right w:val="single" w:color="auto" w:sz="4" w:space="0"/>
            </w:tcBorders>
            <w:vAlign w:val="center"/>
          </w:tcPr>
          <w:p w14:paraId="7493484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快捷上下翻转招聘资讯详情</w:t>
            </w:r>
          </w:p>
        </w:tc>
      </w:tr>
    </w:tbl>
    <w:p w14:paraId="41717D8D">
      <w:pPr>
        <w:pStyle w:val="124"/>
        <w:numPr>
          <w:ilvl w:val="0"/>
          <w:numId w:val="7"/>
        </w:numPr>
        <w:ind w:firstLineChars="0"/>
        <w:rPr>
          <w:rFonts w:hint="eastAsia" w:ascii="宋体" w:hAnsi="宋体"/>
          <w:color w:val="auto"/>
          <w:sz w:val="28"/>
          <w:szCs w:val="28"/>
          <w:highlight w:val="none"/>
        </w:rPr>
      </w:pPr>
      <w:r>
        <w:rPr>
          <w:rFonts w:hint="eastAsia" w:ascii="宋体" w:hAnsi="宋体"/>
          <w:color w:val="auto"/>
          <w:sz w:val="28"/>
          <w:szCs w:val="28"/>
          <w:highlight w:val="none"/>
        </w:rPr>
        <w:t>后端功能</w:t>
      </w:r>
    </w:p>
    <w:tbl>
      <w:tblPr>
        <w:tblStyle w:val="41"/>
        <w:tblW w:w="8217" w:type="dxa"/>
        <w:tblInd w:w="113" w:type="dxa"/>
        <w:tblLayout w:type="autofit"/>
        <w:tblCellMar>
          <w:top w:w="0" w:type="dxa"/>
          <w:left w:w="108" w:type="dxa"/>
          <w:bottom w:w="0" w:type="dxa"/>
          <w:right w:w="108" w:type="dxa"/>
        </w:tblCellMar>
      </w:tblPr>
      <w:tblGrid>
        <w:gridCol w:w="1581"/>
        <w:gridCol w:w="1581"/>
        <w:gridCol w:w="5055"/>
      </w:tblGrid>
      <w:tr w14:paraId="5E306D68">
        <w:tblPrEx>
          <w:tblCellMar>
            <w:top w:w="0" w:type="dxa"/>
            <w:left w:w="108" w:type="dxa"/>
            <w:bottom w:w="0" w:type="dxa"/>
            <w:right w:w="108" w:type="dxa"/>
          </w:tblCellMar>
        </w:tblPrEx>
        <w:trPr>
          <w:trHeight w:val="405" w:hRule="atLeast"/>
        </w:trPr>
        <w:tc>
          <w:tcPr>
            <w:tcW w:w="1581" w:type="dxa"/>
            <w:tcBorders>
              <w:top w:val="single" w:color="auto" w:sz="4" w:space="0"/>
              <w:left w:val="single" w:color="auto" w:sz="4" w:space="0"/>
              <w:bottom w:val="single" w:color="auto" w:sz="4" w:space="0"/>
              <w:right w:val="single" w:color="auto" w:sz="4" w:space="0"/>
            </w:tcBorders>
            <w:shd w:val="clear" w:color="auto" w:fill="5B9BD5"/>
          </w:tcPr>
          <w:p w14:paraId="3444CCD0">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功能大类</w:t>
            </w:r>
          </w:p>
        </w:tc>
        <w:tc>
          <w:tcPr>
            <w:tcW w:w="1581" w:type="dxa"/>
            <w:tcBorders>
              <w:top w:val="single" w:color="auto" w:sz="4" w:space="0"/>
              <w:left w:val="nil"/>
              <w:bottom w:val="single" w:color="auto" w:sz="4" w:space="0"/>
              <w:right w:val="single" w:color="auto" w:sz="4" w:space="0"/>
            </w:tcBorders>
            <w:shd w:val="clear" w:color="auto" w:fill="5B9BD5"/>
            <w:vAlign w:val="center"/>
          </w:tcPr>
          <w:p w14:paraId="681A7BD4">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功能小类</w:t>
            </w:r>
          </w:p>
        </w:tc>
        <w:tc>
          <w:tcPr>
            <w:tcW w:w="5055" w:type="dxa"/>
            <w:tcBorders>
              <w:top w:val="single" w:color="auto" w:sz="4" w:space="0"/>
              <w:left w:val="nil"/>
              <w:bottom w:val="single" w:color="auto" w:sz="4" w:space="0"/>
              <w:right w:val="single" w:color="auto" w:sz="4" w:space="0"/>
            </w:tcBorders>
            <w:shd w:val="clear" w:color="auto" w:fill="5B9BD5"/>
            <w:vAlign w:val="center"/>
          </w:tcPr>
          <w:p w14:paraId="5CE401E5">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功能简要说明</w:t>
            </w:r>
          </w:p>
        </w:tc>
      </w:tr>
      <w:tr w14:paraId="56A7ED32">
        <w:tblPrEx>
          <w:tblCellMar>
            <w:top w:w="0" w:type="dxa"/>
            <w:left w:w="108" w:type="dxa"/>
            <w:bottom w:w="0" w:type="dxa"/>
            <w:right w:w="108" w:type="dxa"/>
          </w:tblCellMar>
        </w:tblPrEx>
        <w:trPr>
          <w:trHeight w:val="405" w:hRule="atLeast"/>
        </w:trPr>
        <w:tc>
          <w:tcPr>
            <w:tcW w:w="1581" w:type="dxa"/>
            <w:vMerge w:val="restart"/>
            <w:tcBorders>
              <w:top w:val="nil"/>
              <w:left w:val="single" w:color="auto" w:sz="4" w:space="0"/>
              <w:bottom w:val="nil"/>
              <w:right w:val="single" w:color="auto" w:sz="4" w:space="0"/>
            </w:tcBorders>
            <w:shd w:val="clear" w:color="auto" w:fill="FFFFFF"/>
          </w:tcPr>
          <w:p w14:paraId="5A2B4D7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首页</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413AFE9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访问趋势</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71F4A95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可统计某个期间网站各栏目访问趋势</w:t>
            </w:r>
          </w:p>
        </w:tc>
      </w:tr>
      <w:tr w14:paraId="0FD8D9E1">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7AD7333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7BBFD71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快捷访问</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3BE66EA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快捷访问入口，可快捷访问各管理功能</w:t>
            </w:r>
          </w:p>
        </w:tc>
      </w:tr>
      <w:tr w14:paraId="7331B2BB">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1EC55EB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08A78E9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数据统计</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646DDFD3">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可统计各栏目、内容、资源等数据</w:t>
            </w:r>
          </w:p>
        </w:tc>
      </w:tr>
      <w:tr w14:paraId="3F7E1D15">
        <w:tblPrEx>
          <w:tblCellMar>
            <w:top w:w="0" w:type="dxa"/>
            <w:left w:w="108" w:type="dxa"/>
            <w:bottom w:w="0" w:type="dxa"/>
            <w:right w:w="108" w:type="dxa"/>
          </w:tblCellMar>
        </w:tblPrEx>
        <w:trPr>
          <w:trHeight w:val="405" w:hRule="atLeast"/>
        </w:trPr>
        <w:tc>
          <w:tcPr>
            <w:tcW w:w="1581" w:type="dxa"/>
            <w:vMerge w:val="restart"/>
            <w:tcBorders>
              <w:top w:val="nil"/>
              <w:left w:val="single" w:color="auto" w:sz="4" w:space="0"/>
              <w:bottom w:val="nil"/>
              <w:right w:val="single" w:color="auto" w:sz="4" w:space="0"/>
            </w:tcBorders>
            <w:shd w:val="clear" w:color="auto" w:fill="FFFFFF"/>
          </w:tcPr>
          <w:p w14:paraId="51B64F0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内容管理</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6AF6EE3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站点管理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3C26604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管理网站站点信息，可以创建和编辑PC站点和移动端等站点信息，可配置域名和访问目录，支持站点预览查看，可进行网站首页发布、全站一键发布上线。</w:t>
            </w:r>
          </w:p>
        </w:tc>
      </w:tr>
      <w:tr w14:paraId="2C031B78">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3EC14AF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752BD7B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栏目管理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72EC27B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管理网站各栏目信息，可创建和编辑网站各导航栏目，支持搜索引擎SEO关键词设置，可调整导航栏目的显示顺序，支持栏目内容生成静态页面，可进行网站导航栏目点击后的效果预览，可对栏目进行上、下线操作，栏目下线后网站前端将不再显示该板块内容。</w:t>
            </w:r>
          </w:p>
        </w:tc>
      </w:tr>
      <w:tr w14:paraId="6ECA472A">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5E3F6489">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1CFD480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内容管理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2C4040B5">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栏目下的内容信息进行管理，可创建文章、图片、音频、视频等内容，可通过复制功能进行内容快速创建。支持内容发布、下线等操作，发布后内容才会在网站前端显示，可对内容进行下线操作，下线后该内容将不再网站前端显示。</w:t>
            </w:r>
          </w:p>
        </w:tc>
      </w:tr>
      <w:tr w14:paraId="48E47AD0">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5C41013F">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2C33921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资源/文件管理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74D4D1A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可对网站使用的图片、文档、视频、音频等文件进行统一管理，可对资源进行新增、删除、修改。</w:t>
            </w:r>
          </w:p>
        </w:tc>
      </w:tr>
      <w:tr w14:paraId="2319E989">
        <w:tblPrEx>
          <w:tblCellMar>
            <w:top w:w="0" w:type="dxa"/>
            <w:left w:w="108" w:type="dxa"/>
            <w:bottom w:w="0" w:type="dxa"/>
            <w:right w:w="108" w:type="dxa"/>
          </w:tblCellMar>
        </w:tblPrEx>
        <w:trPr>
          <w:trHeight w:val="405" w:hRule="atLeast"/>
        </w:trPr>
        <w:tc>
          <w:tcPr>
            <w:tcW w:w="1581" w:type="dxa"/>
            <w:vMerge w:val="restart"/>
            <w:tcBorders>
              <w:top w:val="nil"/>
              <w:left w:val="single" w:color="auto" w:sz="4" w:space="0"/>
              <w:bottom w:val="nil"/>
              <w:right w:val="single" w:color="auto" w:sz="4" w:space="0"/>
            </w:tcBorders>
            <w:shd w:val="clear" w:color="auto" w:fill="FFFFFF"/>
          </w:tcPr>
          <w:p w14:paraId="0ED6ACF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互动运营</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2CC84BA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友链管理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18F7D5EE">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可对网站底部的友情链接进行统一管理，可增加、删除、编辑链接信息。</w:t>
            </w:r>
          </w:p>
        </w:tc>
      </w:tr>
      <w:tr w14:paraId="6499FD2A">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4228890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1C8E591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广告宣传</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5764DD9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可添加轮播图等广告信息，并关联到网站栏目中，支持轮播图链接跳转。并可进行上、下线操作。</w:t>
            </w:r>
          </w:p>
        </w:tc>
      </w:tr>
      <w:tr w14:paraId="51648708">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6E39E9B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2C3EAB7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自定义表单</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3AAC16B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可自定义表单，包括表单名称、字段、字段类型、控制类型（文本框 、单选框、多选框、下拉框、日期控件、图片、富文本编辑等）、校验规则（手机号、邮箱、数字、日期、不能为空、正规表达式），自定义表单可应用于网站栏目内容，如：建议反馈、问卷收集等。</w:t>
            </w:r>
          </w:p>
        </w:tc>
      </w:tr>
      <w:tr w14:paraId="0AE4A61A">
        <w:tblPrEx>
          <w:tblCellMar>
            <w:top w:w="0" w:type="dxa"/>
            <w:left w:w="108" w:type="dxa"/>
            <w:bottom w:w="0" w:type="dxa"/>
            <w:right w:w="108" w:type="dxa"/>
          </w:tblCellMar>
        </w:tblPrEx>
        <w:trPr>
          <w:trHeight w:val="405" w:hRule="atLeast"/>
        </w:trPr>
        <w:tc>
          <w:tcPr>
            <w:tcW w:w="1581" w:type="dxa"/>
            <w:vMerge w:val="restart"/>
            <w:tcBorders>
              <w:top w:val="nil"/>
              <w:left w:val="single" w:color="auto" w:sz="4" w:space="0"/>
              <w:bottom w:val="nil"/>
              <w:right w:val="single" w:color="auto" w:sz="4" w:space="0"/>
            </w:tcBorders>
            <w:shd w:val="clear" w:color="auto" w:fill="FFFFFF"/>
          </w:tcPr>
          <w:p w14:paraId="692447B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统计分析</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1C26931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浏览量PV</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66D59C0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可按栏目统计，内容总浏览量</w:t>
            </w:r>
          </w:p>
        </w:tc>
      </w:tr>
      <w:tr w14:paraId="4CE0C862">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146B3CF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78001A7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访客数UV</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7A836AC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可按栏目统计，总共多少用户访问过</w:t>
            </w:r>
          </w:p>
        </w:tc>
      </w:tr>
      <w:tr w14:paraId="65B50C08">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46852F9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2398FE0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IP数</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1BEF96A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可按栏目统计，不同IP访问数量</w:t>
            </w:r>
          </w:p>
        </w:tc>
      </w:tr>
      <w:tr w14:paraId="0A690E49">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66D9D36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5D90D31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平均访问时长</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21C4BDC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可按按天、按周、按月、按期间，统计网站各栏目访问趋势。</w:t>
            </w:r>
          </w:p>
        </w:tc>
      </w:tr>
      <w:tr w14:paraId="6625C620">
        <w:tblPrEx>
          <w:tblCellMar>
            <w:top w:w="0" w:type="dxa"/>
            <w:left w:w="108" w:type="dxa"/>
            <w:bottom w:w="0" w:type="dxa"/>
            <w:right w:w="108" w:type="dxa"/>
          </w:tblCellMar>
        </w:tblPrEx>
        <w:trPr>
          <w:trHeight w:val="405" w:hRule="atLeast"/>
        </w:trPr>
        <w:tc>
          <w:tcPr>
            <w:tcW w:w="1581" w:type="dxa"/>
            <w:vMerge w:val="restart"/>
            <w:tcBorders>
              <w:top w:val="nil"/>
              <w:left w:val="single" w:color="auto" w:sz="4" w:space="0"/>
              <w:bottom w:val="nil"/>
              <w:right w:val="single" w:color="auto" w:sz="4" w:space="0"/>
            </w:tcBorders>
            <w:shd w:val="clear" w:color="auto" w:fill="FFFFFF"/>
          </w:tcPr>
          <w:p w14:paraId="2F08D0C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系统管理</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3DEBFF4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部门管理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67C678C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可管理集团各部门信息</w:t>
            </w:r>
          </w:p>
        </w:tc>
      </w:tr>
      <w:tr w14:paraId="3C29934F">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2BA4AE0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49B8174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人员管理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69B21E9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可管理集团各部门人员信息</w:t>
            </w:r>
          </w:p>
        </w:tc>
      </w:tr>
      <w:tr w14:paraId="19BB36B5">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0BCB140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17D9DBE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生日短信管理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42963A9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可根据集团各部门人员生日进行短信发送，并记录短信发送记录</w:t>
            </w:r>
          </w:p>
        </w:tc>
      </w:tr>
      <w:tr w14:paraId="6F98F4D3">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6DAE12C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22BFA2A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角色管理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261B054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各管理各类角色操作菜单和功能权限</w:t>
            </w:r>
          </w:p>
        </w:tc>
      </w:tr>
      <w:tr w14:paraId="6E675661">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7547A45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51EB346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菜单管理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7C68CF6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后台管理菜单管理和编辑维护</w:t>
            </w:r>
          </w:p>
        </w:tc>
      </w:tr>
      <w:tr w14:paraId="7E366CA5">
        <w:tblPrEx>
          <w:tblCellMar>
            <w:top w:w="0" w:type="dxa"/>
            <w:left w:w="108" w:type="dxa"/>
            <w:bottom w:w="0" w:type="dxa"/>
            <w:right w:w="108" w:type="dxa"/>
          </w:tblCellMar>
        </w:tblPrEx>
        <w:trPr>
          <w:trHeight w:val="405" w:hRule="atLeast"/>
        </w:trPr>
        <w:tc>
          <w:tcPr>
            <w:tcW w:w="1581" w:type="dxa"/>
            <w:vMerge w:val="restart"/>
            <w:tcBorders>
              <w:top w:val="nil"/>
              <w:left w:val="single" w:color="auto" w:sz="4" w:space="0"/>
              <w:bottom w:val="nil"/>
              <w:right w:val="single" w:color="auto" w:sz="4" w:space="0"/>
            </w:tcBorders>
            <w:shd w:val="clear" w:color="auto" w:fill="FFFFFF"/>
          </w:tcPr>
          <w:p w14:paraId="6F19A6B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系统监控</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7B7B32E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在线用户</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6DAA69D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可统计当前后台管理在线用户信息</w:t>
            </w:r>
          </w:p>
        </w:tc>
      </w:tr>
      <w:tr w14:paraId="05E53C6C">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nil"/>
              <w:right w:val="single" w:color="auto" w:sz="4" w:space="0"/>
            </w:tcBorders>
            <w:vAlign w:val="center"/>
          </w:tcPr>
          <w:p w14:paraId="4EF4B689">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31FAFD2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服务监控</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47259E4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可视化方式监控服务器CPU、内存、磁盘空间、应用软件版本及安装路径等信息</w:t>
            </w:r>
          </w:p>
        </w:tc>
      </w:tr>
      <w:tr w14:paraId="45C64DF5">
        <w:tblPrEx>
          <w:tblCellMar>
            <w:top w:w="0" w:type="dxa"/>
            <w:left w:w="108" w:type="dxa"/>
            <w:bottom w:w="0" w:type="dxa"/>
            <w:right w:w="108" w:type="dxa"/>
          </w:tblCellMar>
        </w:tblPrEx>
        <w:trPr>
          <w:trHeight w:val="405" w:hRule="atLeast"/>
        </w:trPr>
        <w:tc>
          <w:tcPr>
            <w:tcW w:w="1581" w:type="dxa"/>
            <w:tcBorders>
              <w:top w:val="nil"/>
              <w:left w:val="single" w:color="auto" w:sz="4" w:space="0"/>
              <w:bottom w:val="single" w:color="auto" w:sz="4" w:space="0"/>
              <w:right w:val="single" w:color="auto" w:sz="4" w:space="0"/>
            </w:tcBorders>
            <w:shd w:val="clear" w:color="auto" w:fill="FFFFFF"/>
          </w:tcPr>
          <w:p w14:paraId="53CE539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p>
        </w:tc>
        <w:tc>
          <w:tcPr>
            <w:tcW w:w="1581" w:type="dxa"/>
            <w:tcBorders>
              <w:top w:val="single" w:color="auto" w:sz="4" w:space="0"/>
              <w:left w:val="nil"/>
              <w:bottom w:val="single" w:color="auto" w:sz="4" w:space="0"/>
              <w:right w:val="single" w:color="auto" w:sz="4" w:space="0"/>
            </w:tcBorders>
            <w:shd w:val="clear" w:color="auto" w:fill="FFFFFF"/>
            <w:vAlign w:val="center"/>
          </w:tcPr>
          <w:p w14:paraId="5643D45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日志管理</w:t>
            </w:r>
          </w:p>
        </w:tc>
        <w:tc>
          <w:tcPr>
            <w:tcW w:w="5055" w:type="dxa"/>
            <w:tcBorders>
              <w:top w:val="single" w:color="auto" w:sz="4" w:space="0"/>
              <w:left w:val="nil"/>
              <w:bottom w:val="single" w:color="auto" w:sz="4" w:space="0"/>
              <w:right w:val="single" w:color="auto" w:sz="4" w:space="0"/>
            </w:tcBorders>
            <w:shd w:val="clear" w:color="auto" w:fill="FFFFFF"/>
            <w:vAlign w:val="center"/>
          </w:tcPr>
          <w:p w14:paraId="440963A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可管理后台用户的登录日志、操作日志进行统一记录和管理，便于操作溯源。</w:t>
            </w:r>
          </w:p>
        </w:tc>
      </w:tr>
    </w:tbl>
    <w:p w14:paraId="61EED753">
      <w:pPr>
        <w:pStyle w:val="124"/>
        <w:ind w:left="440" w:firstLine="0" w:firstLineChars="0"/>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2E8B1B60">
      <w:pPr>
        <w:pStyle w:val="8"/>
        <w:numPr>
          <w:ilvl w:val="0"/>
          <w:numId w:val="6"/>
        </w:numPr>
        <w:ind w:left="0" w:firstLine="0"/>
        <w:rPr>
          <w:rFonts w:hint="eastAsia" w:ascii="宋体" w:hAnsi="宋体" w:eastAsia="宋体"/>
          <w:color w:val="auto"/>
          <w:highlight w:val="none"/>
        </w:rPr>
      </w:pPr>
      <w:r>
        <w:rPr>
          <w:rFonts w:hint="eastAsia" w:ascii="宋体" w:hAnsi="宋体" w:eastAsia="宋体"/>
          <w:color w:val="auto"/>
          <w:highlight w:val="none"/>
        </w:rPr>
        <w:t>OA系统国产化适配迁移服务要求</w:t>
      </w:r>
    </w:p>
    <w:p w14:paraId="714168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针对现有的O</w:t>
      </w:r>
      <w:r>
        <w:rPr>
          <w:rFonts w:ascii="宋体" w:hAnsi="宋体" w:cs="宋体"/>
          <w:color w:val="auto"/>
          <w:sz w:val="24"/>
          <w:highlight w:val="none"/>
        </w:rPr>
        <w:t>A</w:t>
      </w:r>
      <w:r>
        <w:rPr>
          <w:rFonts w:hint="eastAsia" w:ascii="宋体" w:hAnsi="宋体" w:cs="宋体"/>
          <w:color w:val="auto"/>
          <w:sz w:val="24"/>
          <w:highlight w:val="none"/>
        </w:rPr>
        <w:t>系统进行软件功能国产化适配、数据迁移、技术服务支持等，包含软件授权。详细内容包括：</w:t>
      </w:r>
    </w:p>
    <w:p w14:paraId="5F8D99F6">
      <w:pPr>
        <w:pStyle w:val="124"/>
        <w:numPr>
          <w:ilvl w:val="0"/>
          <w:numId w:val="8"/>
        </w:numPr>
        <w:ind w:firstLineChars="0"/>
        <w:rPr>
          <w:rFonts w:hint="eastAsia" w:ascii="宋体" w:hAnsi="宋体"/>
          <w:color w:val="auto"/>
          <w:sz w:val="28"/>
          <w:szCs w:val="28"/>
          <w:highlight w:val="none"/>
        </w:rPr>
      </w:pPr>
      <w:r>
        <w:rPr>
          <w:rFonts w:hint="eastAsia" w:ascii="宋体" w:hAnsi="宋体"/>
          <w:color w:val="auto"/>
          <w:sz w:val="28"/>
          <w:szCs w:val="28"/>
          <w:highlight w:val="none"/>
        </w:rPr>
        <w:t>前端功能</w:t>
      </w:r>
    </w:p>
    <w:tbl>
      <w:tblPr>
        <w:tblStyle w:val="41"/>
        <w:tblW w:w="528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7"/>
        <w:gridCol w:w="1711"/>
        <w:gridCol w:w="6725"/>
      </w:tblGrid>
      <w:tr w14:paraId="4515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52" w:type="pct"/>
            <w:tcBorders>
              <w:top w:val="single" w:color="auto" w:sz="4" w:space="0"/>
              <w:left w:val="single" w:color="auto" w:sz="4" w:space="0"/>
              <w:bottom w:val="single" w:color="auto" w:sz="4" w:space="0"/>
              <w:right w:val="single" w:color="auto" w:sz="4" w:space="0"/>
            </w:tcBorders>
            <w:shd w:val="clear" w:color="auto" w:fill="4F81BD"/>
            <w:noWrap/>
            <w:vAlign w:val="center"/>
          </w:tcPr>
          <w:p w14:paraId="679B9EA2">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sz w:val="24"/>
                <w:highlight w:val="none"/>
              </w:rPr>
            </w:pPr>
            <w:r>
              <w:rPr>
                <w:rFonts w:hint="eastAsia" w:ascii="宋体" w:hAnsi="宋体" w:cs="Calibri"/>
                <w:color w:val="auto"/>
                <w:kern w:val="0"/>
                <w:sz w:val="24"/>
                <w:highlight w:val="none"/>
              </w:rPr>
              <w:t>功能大类</w:t>
            </w:r>
          </w:p>
        </w:tc>
        <w:tc>
          <w:tcPr>
            <w:tcW w:w="902" w:type="pct"/>
            <w:tcBorders>
              <w:top w:val="single" w:color="auto" w:sz="4" w:space="0"/>
              <w:left w:val="nil"/>
              <w:bottom w:val="single" w:color="auto" w:sz="4" w:space="0"/>
              <w:right w:val="single" w:color="auto" w:sz="4" w:space="0"/>
            </w:tcBorders>
            <w:shd w:val="clear" w:color="auto" w:fill="4F81BD"/>
            <w:noWrap/>
            <w:vAlign w:val="center"/>
          </w:tcPr>
          <w:p w14:paraId="4125BD51">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sz w:val="24"/>
                <w:highlight w:val="none"/>
              </w:rPr>
            </w:pPr>
            <w:r>
              <w:rPr>
                <w:rFonts w:hint="eastAsia" w:ascii="宋体" w:hAnsi="宋体" w:cs="Calibri"/>
                <w:color w:val="auto"/>
                <w:kern w:val="0"/>
                <w:sz w:val="24"/>
                <w:highlight w:val="none"/>
              </w:rPr>
              <w:t>功能小类</w:t>
            </w:r>
          </w:p>
        </w:tc>
        <w:tc>
          <w:tcPr>
            <w:tcW w:w="3547" w:type="pct"/>
            <w:tcBorders>
              <w:top w:val="single" w:color="auto" w:sz="4" w:space="0"/>
              <w:left w:val="nil"/>
              <w:bottom w:val="single" w:color="auto" w:sz="4" w:space="0"/>
              <w:right w:val="single" w:color="auto" w:sz="4" w:space="0"/>
            </w:tcBorders>
            <w:shd w:val="clear" w:color="auto" w:fill="4F81BD"/>
            <w:noWrap/>
            <w:vAlign w:val="center"/>
          </w:tcPr>
          <w:p w14:paraId="605EB9F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sz w:val="24"/>
                <w:highlight w:val="none"/>
              </w:rPr>
            </w:pPr>
            <w:r>
              <w:rPr>
                <w:rFonts w:hint="eastAsia" w:ascii="宋体" w:hAnsi="宋体" w:cs="Calibri"/>
                <w:color w:val="auto"/>
                <w:kern w:val="0"/>
                <w:sz w:val="24"/>
                <w:highlight w:val="none"/>
              </w:rPr>
              <w:t>功能简要说明</w:t>
            </w:r>
          </w:p>
        </w:tc>
      </w:tr>
      <w:tr w14:paraId="5077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25764619">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门户</w:t>
            </w:r>
          </w:p>
        </w:tc>
        <w:tc>
          <w:tcPr>
            <w:tcW w:w="902" w:type="pct"/>
            <w:tcBorders>
              <w:top w:val="single" w:color="auto" w:sz="4" w:space="0"/>
              <w:left w:val="nil"/>
              <w:bottom w:val="single" w:color="auto" w:sz="4" w:space="0"/>
              <w:right w:val="single" w:color="auto" w:sz="4" w:space="0"/>
            </w:tcBorders>
            <w:vAlign w:val="center"/>
          </w:tcPr>
          <w:p w14:paraId="46945FF0">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登录</w:t>
            </w:r>
          </w:p>
        </w:tc>
        <w:tc>
          <w:tcPr>
            <w:tcW w:w="3547" w:type="pct"/>
            <w:tcBorders>
              <w:top w:val="single" w:color="auto" w:sz="4" w:space="0"/>
              <w:left w:val="nil"/>
              <w:bottom w:val="single" w:color="auto" w:sz="4" w:space="0"/>
              <w:right w:val="single" w:color="auto" w:sz="4" w:space="0"/>
            </w:tcBorders>
            <w:vAlign w:val="center"/>
          </w:tcPr>
          <w:p w14:paraId="476A247C">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用户登录系统页面支持第三方软硬件验证，二维码登录。</w:t>
            </w:r>
          </w:p>
        </w:tc>
      </w:tr>
      <w:tr w14:paraId="6A2D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6C0BD84">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0320BF1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登录页面</w:t>
            </w:r>
          </w:p>
        </w:tc>
        <w:tc>
          <w:tcPr>
            <w:tcW w:w="3547" w:type="pct"/>
            <w:tcBorders>
              <w:top w:val="single" w:color="auto" w:sz="4" w:space="0"/>
              <w:left w:val="nil"/>
              <w:bottom w:val="single" w:color="auto" w:sz="4" w:space="0"/>
              <w:right w:val="single" w:color="auto" w:sz="4" w:space="0"/>
            </w:tcBorders>
            <w:vAlign w:val="center"/>
          </w:tcPr>
          <w:p w14:paraId="535193D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登录页面可自定义切换背景图片，支持视频背景。</w:t>
            </w:r>
          </w:p>
        </w:tc>
      </w:tr>
      <w:tr w14:paraId="031A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E2489EE">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1C1BCE62">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登录后门户</w:t>
            </w:r>
          </w:p>
        </w:tc>
        <w:tc>
          <w:tcPr>
            <w:tcW w:w="3547" w:type="pct"/>
            <w:tcBorders>
              <w:top w:val="single" w:color="auto" w:sz="4" w:space="0"/>
              <w:left w:val="nil"/>
              <w:bottom w:val="single" w:color="auto" w:sz="4" w:space="0"/>
              <w:right w:val="single" w:color="auto" w:sz="4" w:space="0"/>
            </w:tcBorders>
            <w:vAlign w:val="center"/>
          </w:tcPr>
          <w:p w14:paraId="79157A0D">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登录后门户由元素组成，可自动刷新，也可以指定元素刷新。</w:t>
            </w:r>
          </w:p>
        </w:tc>
      </w:tr>
      <w:tr w14:paraId="498D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1ADEA370">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流程</w:t>
            </w:r>
          </w:p>
        </w:tc>
        <w:tc>
          <w:tcPr>
            <w:tcW w:w="902" w:type="pct"/>
            <w:tcBorders>
              <w:top w:val="single" w:color="auto" w:sz="4" w:space="0"/>
              <w:left w:val="nil"/>
              <w:bottom w:val="single" w:color="auto" w:sz="4" w:space="0"/>
              <w:right w:val="single" w:color="auto" w:sz="4" w:space="0"/>
            </w:tcBorders>
            <w:vAlign w:val="center"/>
          </w:tcPr>
          <w:p w14:paraId="171E9410">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新建流程</w:t>
            </w:r>
          </w:p>
        </w:tc>
        <w:tc>
          <w:tcPr>
            <w:tcW w:w="3547" w:type="pct"/>
            <w:tcBorders>
              <w:top w:val="single" w:color="auto" w:sz="4" w:space="0"/>
              <w:left w:val="nil"/>
              <w:bottom w:val="single" w:color="auto" w:sz="4" w:space="0"/>
              <w:right w:val="single" w:color="auto" w:sz="4" w:space="0"/>
            </w:tcBorders>
            <w:vAlign w:val="center"/>
          </w:tcPr>
          <w:p w14:paraId="015A9D57">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可新建流程可以根据流程类型、首字母排序，可新建流程可以收藏，收藏后单独在收藏页面显示。</w:t>
            </w:r>
          </w:p>
        </w:tc>
      </w:tr>
      <w:tr w14:paraId="17B4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281D87F">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2B8B4043">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待办事宜</w:t>
            </w:r>
          </w:p>
        </w:tc>
        <w:tc>
          <w:tcPr>
            <w:tcW w:w="3547" w:type="pct"/>
            <w:tcBorders>
              <w:top w:val="single" w:color="auto" w:sz="4" w:space="0"/>
              <w:left w:val="nil"/>
              <w:bottom w:val="single" w:color="auto" w:sz="4" w:space="0"/>
              <w:right w:val="single" w:color="auto" w:sz="4" w:space="0"/>
            </w:tcBorders>
            <w:vAlign w:val="center"/>
          </w:tcPr>
          <w:p w14:paraId="487FD977">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用户所有收到的待处理流程都在此菜单下，可以根据需要处理，待阅，抄送，超时，督办，退回，关注等分类进行查看。</w:t>
            </w:r>
          </w:p>
        </w:tc>
      </w:tr>
      <w:tr w14:paraId="44EE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4B16A94">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F7C1F2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已办事宜</w:t>
            </w:r>
          </w:p>
        </w:tc>
        <w:tc>
          <w:tcPr>
            <w:tcW w:w="3547" w:type="pct"/>
            <w:tcBorders>
              <w:top w:val="single" w:color="auto" w:sz="4" w:space="0"/>
              <w:left w:val="nil"/>
              <w:bottom w:val="single" w:color="auto" w:sz="4" w:space="0"/>
              <w:right w:val="single" w:color="auto" w:sz="4" w:space="0"/>
            </w:tcBorders>
            <w:vAlign w:val="center"/>
          </w:tcPr>
          <w:p w14:paraId="5F4CDB4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用户所有发起和处理的流程都可在此菜单下查阅，可以根据未归档、已归档、待回复、未读、反馈和关注进行分类查阅，支持模糊搜索和高级搜索。</w:t>
            </w:r>
          </w:p>
        </w:tc>
      </w:tr>
      <w:tr w14:paraId="7128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3161D93C">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0A1D9175">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流程督办</w:t>
            </w:r>
          </w:p>
        </w:tc>
        <w:tc>
          <w:tcPr>
            <w:tcW w:w="3547" w:type="pct"/>
            <w:tcBorders>
              <w:top w:val="single" w:color="auto" w:sz="4" w:space="0"/>
              <w:left w:val="nil"/>
              <w:bottom w:val="single" w:color="auto" w:sz="4" w:space="0"/>
              <w:right w:val="single" w:color="auto" w:sz="4" w:space="0"/>
            </w:tcBorders>
            <w:vAlign w:val="center"/>
          </w:tcPr>
          <w:p w14:paraId="4E33784A">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赋权督办的用户在这里可以督办未归档流程，可以使用短信、邮件方式进行催办。</w:t>
            </w:r>
          </w:p>
        </w:tc>
      </w:tr>
      <w:tr w14:paraId="1943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759EBE4A">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ECBF20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我的请求</w:t>
            </w:r>
          </w:p>
        </w:tc>
        <w:tc>
          <w:tcPr>
            <w:tcW w:w="3547" w:type="pct"/>
            <w:tcBorders>
              <w:top w:val="single" w:color="auto" w:sz="4" w:space="0"/>
              <w:left w:val="nil"/>
              <w:bottom w:val="single" w:color="auto" w:sz="4" w:space="0"/>
              <w:right w:val="single" w:color="auto" w:sz="4" w:space="0"/>
            </w:tcBorders>
            <w:vAlign w:val="center"/>
          </w:tcPr>
          <w:p w14:paraId="2B258C74">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在这里可以查看当前操作者所有申请的流程，包括归档和未归档流程。</w:t>
            </w:r>
          </w:p>
        </w:tc>
      </w:tr>
      <w:tr w14:paraId="31A2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01199AE">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26C9CAF3">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流程代理</w:t>
            </w:r>
          </w:p>
        </w:tc>
        <w:tc>
          <w:tcPr>
            <w:tcW w:w="3547" w:type="pct"/>
            <w:tcBorders>
              <w:top w:val="single" w:color="auto" w:sz="4" w:space="0"/>
              <w:left w:val="nil"/>
              <w:bottom w:val="single" w:color="auto" w:sz="4" w:space="0"/>
              <w:right w:val="single" w:color="auto" w:sz="4" w:space="0"/>
            </w:tcBorders>
            <w:vAlign w:val="center"/>
          </w:tcPr>
          <w:p w14:paraId="6C655F50">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当员工出差、休假，无法处理流程后，可以通过代理设置将流程代理给其他用户处理，代理关系可以通过时间条件、表单字段条件等控制代理关系的有效时间和范围。</w:t>
            </w:r>
          </w:p>
        </w:tc>
      </w:tr>
      <w:tr w14:paraId="4B17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2442087">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D30B6CF">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关注事宜</w:t>
            </w:r>
          </w:p>
        </w:tc>
        <w:tc>
          <w:tcPr>
            <w:tcW w:w="3547" w:type="pct"/>
            <w:tcBorders>
              <w:top w:val="single" w:color="auto" w:sz="4" w:space="0"/>
              <w:left w:val="nil"/>
              <w:bottom w:val="single" w:color="auto" w:sz="4" w:space="0"/>
              <w:right w:val="single" w:color="auto" w:sz="4" w:space="0"/>
            </w:tcBorders>
            <w:vAlign w:val="center"/>
          </w:tcPr>
          <w:p w14:paraId="435A60B3">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当某条流程或某个类型的流程需要特别关注并跟踪流程审批过程时，用户可以将流程打上关注标签，根据关注点不同所以关注标签可以不一致。</w:t>
            </w:r>
          </w:p>
        </w:tc>
      </w:tr>
      <w:tr w14:paraId="467E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7D6D8C96">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2713976">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查询流程</w:t>
            </w:r>
          </w:p>
        </w:tc>
        <w:tc>
          <w:tcPr>
            <w:tcW w:w="3547" w:type="pct"/>
            <w:tcBorders>
              <w:top w:val="single" w:color="auto" w:sz="4" w:space="0"/>
              <w:left w:val="nil"/>
              <w:bottom w:val="single" w:color="auto" w:sz="4" w:space="0"/>
              <w:right w:val="single" w:color="auto" w:sz="4" w:space="0"/>
            </w:tcBorders>
            <w:vAlign w:val="center"/>
          </w:tcPr>
          <w:p w14:paraId="36A957BD">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通过流程标题、创建人、日期等系统信息字段可以查询流程。</w:t>
            </w:r>
          </w:p>
        </w:tc>
      </w:tr>
      <w:tr w14:paraId="477D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336F188">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4AFDF37">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流转模板</w:t>
            </w:r>
          </w:p>
        </w:tc>
        <w:tc>
          <w:tcPr>
            <w:tcW w:w="3547" w:type="pct"/>
            <w:tcBorders>
              <w:top w:val="single" w:color="auto" w:sz="4" w:space="0"/>
              <w:left w:val="nil"/>
              <w:bottom w:val="single" w:color="auto" w:sz="4" w:space="0"/>
              <w:right w:val="single" w:color="auto" w:sz="4" w:space="0"/>
            </w:tcBorders>
            <w:vAlign w:val="center"/>
          </w:tcPr>
          <w:p w14:paraId="10F7721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维护自由流程的流转模板，下次再发起自由流程后可以通过流转模板快速创建自由流程的流转过程。</w:t>
            </w:r>
          </w:p>
        </w:tc>
      </w:tr>
      <w:tr w14:paraId="77E3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36F3582E">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2FA66995">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批量打印</w:t>
            </w:r>
          </w:p>
        </w:tc>
        <w:tc>
          <w:tcPr>
            <w:tcW w:w="3547" w:type="pct"/>
            <w:tcBorders>
              <w:top w:val="single" w:color="auto" w:sz="4" w:space="0"/>
              <w:left w:val="nil"/>
              <w:bottom w:val="single" w:color="auto" w:sz="4" w:space="0"/>
              <w:right w:val="single" w:color="auto" w:sz="4" w:space="0"/>
            </w:tcBorders>
            <w:vAlign w:val="center"/>
          </w:tcPr>
          <w:p w14:paraId="6A2ED307">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可以批量打印流程，通过标记可以区分流程是否已打印。</w:t>
            </w:r>
          </w:p>
        </w:tc>
      </w:tr>
      <w:tr w14:paraId="0CBF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1AF6806">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02DC34F">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流程监控</w:t>
            </w:r>
          </w:p>
        </w:tc>
        <w:tc>
          <w:tcPr>
            <w:tcW w:w="3547" w:type="pct"/>
            <w:tcBorders>
              <w:top w:val="single" w:color="auto" w:sz="4" w:space="0"/>
              <w:left w:val="nil"/>
              <w:bottom w:val="single" w:color="auto" w:sz="4" w:space="0"/>
              <w:right w:val="single" w:color="auto" w:sz="4" w:space="0"/>
            </w:tcBorders>
            <w:vAlign w:val="center"/>
          </w:tcPr>
          <w:p w14:paraId="4996EEA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赋予监控权限的用户可以在这里监控流程，可以对流程进行删除、干预流程流转、强制收回、强制归档和暂停撤销流程等操作。</w:t>
            </w:r>
          </w:p>
        </w:tc>
      </w:tr>
      <w:tr w14:paraId="45B8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404954D">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7EF36675">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流程存为文档</w:t>
            </w:r>
          </w:p>
        </w:tc>
        <w:tc>
          <w:tcPr>
            <w:tcW w:w="3547" w:type="pct"/>
            <w:tcBorders>
              <w:top w:val="single" w:color="auto" w:sz="4" w:space="0"/>
              <w:left w:val="nil"/>
              <w:bottom w:val="single" w:color="auto" w:sz="4" w:space="0"/>
              <w:right w:val="single" w:color="auto" w:sz="4" w:space="0"/>
            </w:tcBorders>
            <w:vAlign w:val="center"/>
          </w:tcPr>
          <w:p w14:paraId="7FD177A6">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手动将流程表单内容和签字意见存为html、pdf文档。</w:t>
            </w:r>
          </w:p>
        </w:tc>
      </w:tr>
      <w:tr w14:paraId="1F5A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B4EF93E">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C8E3CB4">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报表分析</w:t>
            </w:r>
          </w:p>
        </w:tc>
        <w:tc>
          <w:tcPr>
            <w:tcW w:w="3547" w:type="pct"/>
            <w:tcBorders>
              <w:top w:val="single" w:color="auto" w:sz="4" w:space="0"/>
              <w:left w:val="nil"/>
              <w:bottom w:val="single" w:color="auto" w:sz="4" w:space="0"/>
              <w:right w:val="single" w:color="auto" w:sz="4" w:space="0"/>
            </w:tcBorders>
            <w:vAlign w:val="center"/>
          </w:tcPr>
          <w:p w14:paraId="7895ECA9">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用户可以自己创建流程分析报表，通过表单数据统计并分析流程流转内容。</w:t>
            </w:r>
          </w:p>
        </w:tc>
      </w:tr>
      <w:tr w14:paraId="0618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3BF5F46A">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22DDB4D">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流程回收站</w:t>
            </w:r>
          </w:p>
        </w:tc>
        <w:tc>
          <w:tcPr>
            <w:tcW w:w="3547" w:type="pct"/>
            <w:tcBorders>
              <w:top w:val="single" w:color="auto" w:sz="4" w:space="0"/>
              <w:left w:val="nil"/>
              <w:bottom w:val="single" w:color="auto" w:sz="4" w:space="0"/>
              <w:right w:val="single" w:color="auto" w:sz="4" w:space="0"/>
            </w:tcBorders>
            <w:vAlign w:val="center"/>
          </w:tcPr>
          <w:p w14:paraId="3DE475D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已删除的流程都在回收站中，可以恢复已删除的流程。</w:t>
            </w:r>
          </w:p>
        </w:tc>
      </w:tr>
      <w:tr w14:paraId="77AE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2198A251">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知识</w:t>
            </w:r>
          </w:p>
        </w:tc>
        <w:tc>
          <w:tcPr>
            <w:tcW w:w="902" w:type="pct"/>
            <w:tcBorders>
              <w:top w:val="single" w:color="auto" w:sz="4" w:space="0"/>
              <w:left w:val="nil"/>
              <w:bottom w:val="single" w:color="auto" w:sz="4" w:space="0"/>
              <w:right w:val="single" w:color="auto" w:sz="4" w:space="0"/>
            </w:tcBorders>
            <w:vAlign w:val="center"/>
          </w:tcPr>
          <w:p w14:paraId="3AB2DC51">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查阅文档</w:t>
            </w:r>
          </w:p>
        </w:tc>
        <w:tc>
          <w:tcPr>
            <w:tcW w:w="3547" w:type="pct"/>
            <w:tcBorders>
              <w:top w:val="single" w:color="auto" w:sz="4" w:space="0"/>
              <w:left w:val="nil"/>
              <w:bottom w:val="single" w:color="auto" w:sz="4" w:space="0"/>
              <w:right w:val="single" w:color="auto" w:sz="4" w:space="0"/>
            </w:tcBorders>
            <w:vAlign w:val="center"/>
          </w:tcPr>
          <w:p w14:paraId="03DEE007">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通过文档相关字段可以搜索文档。</w:t>
            </w:r>
          </w:p>
        </w:tc>
      </w:tr>
      <w:tr w14:paraId="5EC9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0F8A66CD">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53A4486">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知识中心</w:t>
            </w:r>
          </w:p>
        </w:tc>
        <w:tc>
          <w:tcPr>
            <w:tcW w:w="3547" w:type="pct"/>
            <w:tcBorders>
              <w:top w:val="single" w:color="auto" w:sz="4" w:space="0"/>
              <w:left w:val="nil"/>
              <w:bottom w:val="single" w:color="auto" w:sz="4" w:space="0"/>
              <w:right w:val="single" w:color="auto" w:sz="4" w:space="0"/>
            </w:tcBorders>
            <w:vAlign w:val="center"/>
          </w:tcPr>
          <w:p w14:paraId="71E2E0A9">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知识中心是用户使用文档的入口，通过对平时用户的操作、所处岗位，周边的人员及系统中的应用数据进行动态智能分析，主动向用户推荐相关知识。用户可以在知识中心中根据不同维护获取数据外，还可以获取与个人相关的知识贡献等数据信息。</w:t>
            </w:r>
          </w:p>
        </w:tc>
      </w:tr>
      <w:tr w14:paraId="11B3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716C1AF1">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0A63F2A7">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新建文档</w:t>
            </w:r>
          </w:p>
        </w:tc>
        <w:tc>
          <w:tcPr>
            <w:tcW w:w="3547" w:type="pct"/>
            <w:tcBorders>
              <w:top w:val="single" w:color="auto" w:sz="4" w:space="0"/>
              <w:left w:val="nil"/>
              <w:bottom w:val="single" w:color="auto" w:sz="4" w:space="0"/>
              <w:right w:val="single" w:color="auto" w:sz="4" w:space="0"/>
            </w:tcBorders>
            <w:vAlign w:val="center"/>
          </w:tcPr>
          <w:p w14:paraId="60ECEBE7">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有权限的用户可以在指定目录创建文档。</w:t>
            </w:r>
          </w:p>
        </w:tc>
      </w:tr>
      <w:tr w14:paraId="108B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0A2C5270">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4CBBBAB">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虚拟目录</w:t>
            </w:r>
          </w:p>
        </w:tc>
        <w:tc>
          <w:tcPr>
            <w:tcW w:w="3547" w:type="pct"/>
            <w:tcBorders>
              <w:top w:val="single" w:color="auto" w:sz="4" w:space="0"/>
              <w:left w:val="nil"/>
              <w:bottom w:val="single" w:color="auto" w:sz="4" w:space="0"/>
              <w:right w:val="single" w:color="auto" w:sz="4" w:space="0"/>
            </w:tcBorders>
            <w:vAlign w:val="center"/>
          </w:tcPr>
          <w:p w14:paraId="562E33B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除了正常的文档目录之外，系统中还有一个虚拟目录的功能，此功能是提供给客户对文档进行另外一种维度来查看文档，比如与客户有关的文档有很多，存放在不同的目录下，那么我就可以在虚拟目录中设置一个以客户名称为目录的虚拟目录，这样我要查找与这个客户有关的文档的时候，只要到这个虚拟目录中查找就可以了。</w:t>
            </w:r>
          </w:p>
        </w:tc>
      </w:tr>
      <w:tr w14:paraId="6785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C5A65A7">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DFF0EF1">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文档订阅</w:t>
            </w:r>
          </w:p>
        </w:tc>
        <w:tc>
          <w:tcPr>
            <w:tcW w:w="3547" w:type="pct"/>
            <w:tcBorders>
              <w:top w:val="single" w:color="auto" w:sz="4" w:space="0"/>
              <w:left w:val="nil"/>
              <w:bottom w:val="single" w:color="auto" w:sz="4" w:space="0"/>
              <w:right w:val="single" w:color="auto" w:sz="4" w:space="0"/>
            </w:tcBorders>
            <w:vAlign w:val="center"/>
          </w:tcPr>
          <w:p w14:paraId="4D9DF8C2">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对于没有权限查看的文档，可以通过文档订阅的方式临时获得查看权限，权限控制由文档所有者决定。</w:t>
            </w:r>
          </w:p>
        </w:tc>
      </w:tr>
      <w:tr w14:paraId="601E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BE92EC4">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36EC285">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批量共享</w:t>
            </w:r>
          </w:p>
        </w:tc>
        <w:tc>
          <w:tcPr>
            <w:tcW w:w="3547" w:type="pct"/>
            <w:tcBorders>
              <w:top w:val="single" w:color="auto" w:sz="4" w:space="0"/>
              <w:left w:val="nil"/>
              <w:bottom w:val="single" w:color="auto" w:sz="4" w:space="0"/>
              <w:right w:val="single" w:color="auto" w:sz="4" w:space="0"/>
            </w:tcBorders>
            <w:vAlign w:val="center"/>
          </w:tcPr>
          <w:p w14:paraId="2EE6CDDA">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可以批量将自己的文档共享给其他用户。</w:t>
            </w:r>
          </w:p>
        </w:tc>
      </w:tr>
      <w:tr w14:paraId="5686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CB6D379">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72CA999">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移动复制</w:t>
            </w:r>
          </w:p>
        </w:tc>
        <w:tc>
          <w:tcPr>
            <w:tcW w:w="3547" w:type="pct"/>
            <w:tcBorders>
              <w:top w:val="single" w:color="auto" w:sz="4" w:space="0"/>
              <w:left w:val="nil"/>
              <w:bottom w:val="single" w:color="auto" w:sz="4" w:space="0"/>
              <w:right w:val="single" w:color="auto" w:sz="4" w:space="0"/>
            </w:tcBorders>
            <w:vAlign w:val="center"/>
          </w:tcPr>
          <w:p w14:paraId="44202E1B">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拥有权限的用户可以通过移动复制的功能，将文档在不同的目录之间进行复制或移动的操作，调整文档所属的目录。</w:t>
            </w:r>
          </w:p>
        </w:tc>
      </w:tr>
      <w:tr w14:paraId="73EE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08EBBDB">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31E0F6F">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文档监控</w:t>
            </w:r>
          </w:p>
        </w:tc>
        <w:tc>
          <w:tcPr>
            <w:tcW w:w="3547" w:type="pct"/>
            <w:tcBorders>
              <w:top w:val="single" w:color="auto" w:sz="4" w:space="0"/>
              <w:left w:val="nil"/>
              <w:bottom w:val="single" w:color="auto" w:sz="4" w:space="0"/>
              <w:right w:val="single" w:color="auto" w:sz="4" w:space="0"/>
            </w:tcBorders>
            <w:vAlign w:val="center"/>
          </w:tcPr>
          <w:p w14:paraId="1305C986">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拥有权限的用户可以对文档进行监控操作，包括删除、发布、归档、失效、作废、重新打开归档、重新打开作废、签入等操作。</w:t>
            </w:r>
          </w:p>
        </w:tc>
      </w:tr>
      <w:tr w14:paraId="7560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BAC33DA">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CACFD66">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我的云盘</w:t>
            </w:r>
          </w:p>
        </w:tc>
        <w:tc>
          <w:tcPr>
            <w:tcW w:w="3547" w:type="pct"/>
            <w:tcBorders>
              <w:top w:val="single" w:color="auto" w:sz="4" w:space="0"/>
              <w:left w:val="nil"/>
              <w:bottom w:val="single" w:color="auto" w:sz="4" w:space="0"/>
              <w:right w:val="single" w:color="auto" w:sz="4" w:space="0"/>
            </w:tcBorders>
            <w:vAlign w:val="center"/>
          </w:tcPr>
          <w:p w14:paraId="0D8FCCB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属于个人的文档云存储器，可以自定义存储目录、文档，并分享这些存储的内容或发布到系统中。</w:t>
            </w:r>
          </w:p>
        </w:tc>
      </w:tr>
      <w:tr w14:paraId="7CF1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0179A72">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03CB78F">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文档回收站</w:t>
            </w:r>
          </w:p>
        </w:tc>
        <w:tc>
          <w:tcPr>
            <w:tcW w:w="3547" w:type="pct"/>
            <w:tcBorders>
              <w:top w:val="single" w:color="auto" w:sz="4" w:space="0"/>
              <w:left w:val="nil"/>
              <w:bottom w:val="single" w:color="auto" w:sz="4" w:space="0"/>
              <w:right w:val="single" w:color="auto" w:sz="4" w:space="0"/>
            </w:tcBorders>
            <w:vAlign w:val="center"/>
          </w:tcPr>
          <w:p w14:paraId="16B7E145">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开启回收站功能后，删除的文档首先存储到回收站中，回收站中可以恢复删除的文档。</w:t>
            </w:r>
          </w:p>
        </w:tc>
      </w:tr>
      <w:tr w14:paraId="65A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06CE26A9">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人事</w:t>
            </w:r>
          </w:p>
        </w:tc>
        <w:tc>
          <w:tcPr>
            <w:tcW w:w="902" w:type="pct"/>
            <w:tcBorders>
              <w:top w:val="single" w:color="auto" w:sz="4" w:space="0"/>
              <w:left w:val="nil"/>
              <w:bottom w:val="single" w:color="auto" w:sz="4" w:space="0"/>
              <w:right w:val="single" w:color="auto" w:sz="4" w:space="0"/>
            </w:tcBorders>
            <w:vAlign w:val="center"/>
          </w:tcPr>
          <w:p w14:paraId="724C2FE1">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通讯录</w:t>
            </w:r>
          </w:p>
        </w:tc>
        <w:tc>
          <w:tcPr>
            <w:tcW w:w="3547" w:type="pct"/>
            <w:tcBorders>
              <w:top w:val="single" w:color="auto" w:sz="4" w:space="0"/>
              <w:left w:val="nil"/>
              <w:bottom w:val="single" w:color="auto" w:sz="4" w:space="0"/>
              <w:right w:val="single" w:color="auto" w:sz="4" w:space="0"/>
            </w:tcBorders>
            <w:vAlign w:val="center"/>
          </w:tcPr>
          <w:p w14:paraId="423569D2">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通过通讯录可以查看系统中所有注册人员，可以通过条件进行搜索人员。</w:t>
            </w:r>
          </w:p>
        </w:tc>
      </w:tr>
      <w:tr w14:paraId="252C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7C31DB4">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C104C75">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新建人员</w:t>
            </w:r>
          </w:p>
        </w:tc>
        <w:tc>
          <w:tcPr>
            <w:tcW w:w="3547" w:type="pct"/>
            <w:tcBorders>
              <w:top w:val="single" w:color="auto" w:sz="4" w:space="0"/>
              <w:left w:val="nil"/>
              <w:bottom w:val="single" w:color="auto" w:sz="4" w:space="0"/>
              <w:right w:val="single" w:color="auto" w:sz="4" w:space="0"/>
            </w:tcBorders>
            <w:vAlign w:val="center"/>
          </w:tcPr>
          <w:p w14:paraId="4BB9267A">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拥有人员管理权限的用户可以在这里单个录入人员。</w:t>
            </w:r>
          </w:p>
        </w:tc>
      </w:tr>
      <w:tr w14:paraId="0D64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0C128EAF">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F066798">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我的卡片</w:t>
            </w:r>
          </w:p>
        </w:tc>
        <w:tc>
          <w:tcPr>
            <w:tcW w:w="3547" w:type="pct"/>
            <w:tcBorders>
              <w:top w:val="single" w:color="auto" w:sz="4" w:space="0"/>
              <w:left w:val="nil"/>
              <w:bottom w:val="single" w:color="auto" w:sz="4" w:space="0"/>
              <w:right w:val="single" w:color="auto" w:sz="4" w:space="0"/>
            </w:tcBorders>
            <w:vAlign w:val="center"/>
          </w:tcPr>
          <w:p w14:paraId="5AD3DB74">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查看个人卡片信息，除基本信息、个人信息和工作信息外，还包含了系统中资产、考勤、考核、培训等相关信息。</w:t>
            </w:r>
          </w:p>
        </w:tc>
      </w:tr>
      <w:tr w14:paraId="3569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50DC171">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C6DE1A2">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我的下属</w:t>
            </w:r>
          </w:p>
        </w:tc>
        <w:tc>
          <w:tcPr>
            <w:tcW w:w="3547" w:type="pct"/>
            <w:tcBorders>
              <w:top w:val="single" w:color="auto" w:sz="4" w:space="0"/>
              <w:left w:val="nil"/>
              <w:bottom w:val="single" w:color="auto" w:sz="4" w:space="0"/>
              <w:right w:val="single" w:color="auto" w:sz="4" w:space="0"/>
            </w:tcBorders>
            <w:vAlign w:val="center"/>
          </w:tcPr>
          <w:p w14:paraId="3B75E633">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查看用户直接下级信息，日程、待办流程、文档、项目、资产等信息。</w:t>
            </w:r>
          </w:p>
        </w:tc>
      </w:tr>
      <w:tr w14:paraId="0852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7E8BBEB1">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DEF1A3B">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我的工资</w:t>
            </w:r>
          </w:p>
        </w:tc>
        <w:tc>
          <w:tcPr>
            <w:tcW w:w="3547" w:type="pct"/>
            <w:tcBorders>
              <w:top w:val="single" w:color="auto" w:sz="4" w:space="0"/>
              <w:left w:val="nil"/>
              <w:bottom w:val="single" w:color="auto" w:sz="4" w:space="0"/>
              <w:right w:val="single" w:color="auto" w:sz="4" w:space="0"/>
            </w:tcBorders>
            <w:vAlign w:val="center"/>
          </w:tcPr>
          <w:p w14:paraId="54939E1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查看用户的薪酬工资信息，包括当月的工资单和历史工资单，支持二次密码验证。</w:t>
            </w:r>
          </w:p>
        </w:tc>
      </w:tr>
      <w:tr w14:paraId="4D2C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AEB1797">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58A74AC">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奖惩考核</w:t>
            </w:r>
          </w:p>
        </w:tc>
        <w:tc>
          <w:tcPr>
            <w:tcW w:w="3547" w:type="pct"/>
            <w:tcBorders>
              <w:top w:val="single" w:color="auto" w:sz="4" w:space="0"/>
              <w:left w:val="nil"/>
              <w:bottom w:val="single" w:color="auto" w:sz="4" w:space="0"/>
              <w:right w:val="single" w:color="auto" w:sz="4" w:space="0"/>
            </w:tcBorders>
            <w:vAlign w:val="center"/>
          </w:tcPr>
          <w:p w14:paraId="00E72A5C">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查看用户的奖惩信息和考核结果。</w:t>
            </w:r>
          </w:p>
        </w:tc>
      </w:tr>
      <w:tr w14:paraId="71B6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0DC63D9">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D16CAA3">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在线人员</w:t>
            </w:r>
          </w:p>
        </w:tc>
        <w:tc>
          <w:tcPr>
            <w:tcW w:w="3547" w:type="pct"/>
            <w:tcBorders>
              <w:top w:val="single" w:color="auto" w:sz="4" w:space="0"/>
              <w:left w:val="nil"/>
              <w:bottom w:val="single" w:color="auto" w:sz="4" w:space="0"/>
              <w:right w:val="single" w:color="auto" w:sz="4" w:space="0"/>
            </w:tcBorders>
            <w:vAlign w:val="center"/>
          </w:tcPr>
          <w:p w14:paraId="2C7EBC2A">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查看当前PC在线的人员。</w:t>
            </w:r>
          </w:p>
        </w:tc>
      </w:tr>
      <w:tr w14:paraId="1FAD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D0874B6">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5DDF842">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密码设置</w:t>
            </w:r>
          </w:p>
        </w:tc>
        <w:tc>
          <w:tcPr>
            <w:tcW w:w="3547" w:type="pct"/>
            <w:tcBorders>
              <w:top w:val="single" w:color="auto" w:sz="4" w:space="0"/>
              <w:left w:val="nil"/>
              <w:bottom w:val="single" w:color="auto" w:sz="4" w:space="0"/>
              <w:right w:val="single" w:color="auto" w:sz="4" w:space="0"/>
            </w:tcBorders>
            <w:vAlign w:val="center"/>
          </w:tcPr>
          <w:p w14:paraId="4C6F0A84">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维护个人登录密码，二次验证密码和密保信息。</w:t>
            </w:r>
          </w:p>
        </w:tc>
      </w:tr>
      <w:tr w14:paraId="3BA5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03B10FFD">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D3EF32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人员生日</w:t>
            </w:r>
          </w:p>
        </w:tc>
        <w:tc>
          <w:tcPr>
            <w:tcW w:w="3547" w:type="pct"/>
            <w:tcBorders>
              <w:top w:val="single" w:color="auto" w:sz="4" w:space="0"/>
              <w:left w:val="nil"/>
              <w:bottom w:val="single" w:color="auto" w:sz="4" w:space="0"/>
              <w:right w:val="single" w:color="auto" w:sz="4" w:space="0"/>
            </w:tcBorders>
            <w:vAlign w:val="center"/>
          </w:tcPr>
          <w:p w14:paraId="4FCF621B">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拥有权限的用户可以在这里查看当月生日的员工列表。</w:t>
            </w:r>
          </w:p>
        </w:tc>
      </w:tr>
      <w:tr w14:paraId="3251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467480A">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9D07028">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人事管理</w:t>
            </w:r>
          </w:p>
        </w:tc>
        <w:tc>
          <w:tcPr>
            <w:tcW w:w="3547" w:type="pct"/>
            <w:tcBorders>
              <w:top w:val="single" w:color="auto" w:sz="4" w:space="0"/>
              <w:left w:val="nil"/>
              <w:bottom w:val="single" w:color="auto" w:sz="4" w:space="0"/>
              <w:right w:val="single" w:color="auto" w:sz="4" w:space="0"/>
            </w:tcBorders>
            <w:vAlign w:val="center"/>
          </w:tcPr>
          <w:p w14:paraId="146101EB">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管理员工生日、入职提醒规则，控制调整人员状态。</w:t>
            </w:r>
          </w:p>
        </w:tc>
      </w:tr>
      <w:tr w14:paraId="7C41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AF02433">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28C06C1">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签章管理</w:t>
            </w:r>
          </w:p>
        </w:tc>
        <w:tc>
          <w:tcPr>
            <w:tcW w:w="3547" w:type="pct"/>
            <w:tcBorders>
              <w:top w:val="single" w:color="auto" w:sz="4" w:space="0"/>
              <w:left w:val="nil"/>
              <w:bottom w:val="single" w:color="auto" w:sz="4" w:space="0"/>
              <w:right w:val="single" w:color="auto" w:sz="4" w:space="0"/>
            </w:tcBorders>
            <w:vAlign w:val="center"/>
          </w:tcPr>
          <w:p w14:paraId="199978FB">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可以上传员工个人签章和公司签章，设置的签章可以在流程或文档中引用。</w:t>
            </w:r>
          </w:p>
        </w:tc>
      </w:tr>
      <w:tr w14:paraId="538E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3448E530">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会议</w:t>
            </w:r>
          </w:p>
        </w:tc>
        <w:tc>
          <w:tcPr>
            <w:tcW w:w="902" w:type="pct"/>
            <w:tcBorders>
              <w:top w:val="single" w:color="auto" w:sz="4" w:space="0"/>
              <w:left w:val="nil"/>
              <w:bottom w:val="single" w:color="auto" w:sz="4" w:space="0"/>
              <w:right w:val="single" w:color="auto" w:sz="4" w:space="0"/>
            </w:tcBorders>
            <w:vAlign w:val="center"/>
          </w:tcPr>
          <w:p w14:paraId="74FB7FDC">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会议日历</w:t>
            </w:r>
          </w:p>
        </w:tc>
        <w:tc>
          <w:tcPr>
            <w:tcW w:w="3547" w:type="pct"/>
            <w:tcBorders>
              <w:top w:val="single" w:color="auto" w:sz="4" w:space="0"/>
              <w:left w:val="nil"/>
              <w:bottom w:val="single" w:color="auto" w:sz="4" w:space="0"/>
              <w:right w:val="single" w:color="auto" w:sz="4" w:space="0"/>
            </w:tcBorders>
            <w:vAlign w:val="center"/>
          </w:tcPr>
          <w:p w14:paraId="1E801672">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以日历方式显示会议情况，可以按会议状态显示或者按人员组织来显示会议信息。</w:t>
            </w:r>
          </w:p>
        </w:tc>
      </w:tr>
      <w:tr w14:paraId="6E1C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0391BAF">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1537D6B">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会议室使用情况</w:t>
            </w:r>
          </w:p>
        </w:tc>
        <w:tc>
          <w:tcPr>
            <w:tcW w:w="3547" w:type="pct"/>
            <w:tcBorders>
              <w:top w:val="single" w:color="auto" w:sz="4" w:space="0"/>
              <w:left w:val="nil"/>
              <w:bottom w:val="single" w:color="auto" w:sz="4" w:space="0"/>
              <w:right w:val="single" w:color="auto" w:sz="4" w:space="0"/>
            </w:tcBorders>
            <w:vAlign w:val="center"/>
          </w:tcPr>
          <w:p w14:paraId="17495693">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按会议室显示列表的方式显示所有会议，方便用户申请会议室，对于无权限的会议会提示无权限，可以按日、周、月的时间周期方式显示各个会议室的使用情况。</w:t>
            </w:r>
          </w:p>
        </w:tc>
      </w:tr>
      <w:tr w14:paraId="3A6E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996AD9A">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1DEDB60F">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查询会议</w:t>
            </w:r>
          </w:p>
        </w:tc>
        <w:tc>
          <w:tcPr>
            <w:tcW w:w="3547" w:type="pct"/>
            <w:tcBorders>
              <w:top w:val="single" w:color="auto" w:sz="4" w:space="0"/>
              <w:left w:val="nil"/>
              <w:bottom w:val="single" w:color="auto" w:sz="4" w:space="0"/>
              <w:right w:val="single" w:color="auto" w:sz="4" w:space="0"/>
            </w:tcBorders>
            <w:vAlign w:val="center"/>
          </w:tcPr>
          <w:p w14:paraId="5C00AC4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通过会议相关字段条件查询会议。</w:t>
            </w:r>
          </w:p>
        </w:tc>
      </w:tr>
      <w:tr w14:paraId="3812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00C1E63D">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FC805CC">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会议任务</w:t>
            </w:r>
          </w:p>
        </w:tc>
        <w:tc>
          <w:tcPr>
            <w:tcW w:w="3547" w:type="pct"/>
            <w:tcBorders>
              <w:top w:val="single" w:color="auto" w:sz="4" w:space="0"/>
              <w:left w:val="nil"/>
              <w:bottom w:val="single" w:color="auto" w:sz="4" w:space="0"/>
              <w:right w:val="single" w:color="auto" w:sz="4" w:space="0"/>
            </w:tcBorders>
            <w:vAlign w:val="center"/>
          </w:tcPr>
          <w:p w14:paraId="712DD6CF">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会议任务来自会议决议，在这里可以需要执行的所有会议任务情况。</w:t>
            </w:r>
          </w:p>
        </w:tc>
      </w:tr>
      <w:tr w14:paraId="5B78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80229E2">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1DA93E86">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会议报表</w:t>
            </w:r>
          </w:p>
        </w:tc>
        <w:tc>
          <w:tcPr>
            <w:tcW w:w="3547" w:type="pct"/>
            <w:tcBorders>
              <w:top w:val="single" w:color="auto" w:sz="4" w:space="0"/>
              <w:left w:val="nil"/>
              <w:bottom w:val="single" w:color="auto" w:sz="4" w:space="0"/>
              <w:right w:val="single" w:color="auto" w:sz="4" w:space="0"/>
            </w:tcBorders>
            <w:vAlign w:val="center"/>
          </w:tcPr>
          <w:p w14:paraId="7C3DC1EA">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统计会议缺席、决议和任务统计数据。</w:t>
            </w:r>
          </w:p>
        </w:tc>
      </w:tr>
      <w:tr w14:paraId="400B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3087C77E">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2AAD6EBF">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周期会议</w:t>
            </w:r>
          </w:p>
        </w:tc>
        <w:tc>
          <w:tcPr>
            <w:tcW w:w="3547" w:type="pct"/>
            <w:tcBorders>
              <w:top w:val="single" w:color="auto" w:sz="4" w:space="0"/>
              <w:left w:val="nil"/>
              <w:bottom w:val="single" w:color="auto" w:sz="4" w:space="0"/>
              <w:right w:val="single" w:color="auto" w:sz="4" w:space="0"/>
            </w:tcBorders>
            <w:vAlign w:val="center"/>
          </w:tcPr>
          <w:p w14:paraId="3D45947A">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创建周期会议，根据指定的周期自动生成会议并指定相关参会人员。</w:t>
            </w:r>
          </w:p>
        </w:tc>
      </w:tr>
      <w:tr w14:paraId="099D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86EEDF9">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2A82AB83">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会议监控</w:t>
            </w:r>
          </w:p>
        </w:tc>
        <w:tc>
          <w:tcPr>
            <w:tcW w:w="3547" w:type="pct"/>
            <w:tcBorders>
              <w:top w:val="single" w:color="auto" w:sz="4" w:space="0"/>
              <w:left w:val="nil"/>
              <w:bottom w:val="single" w:color="auto" w:sz="4" w:space="0"/>
              <w:right w:val="single" w:color="auto" w:sz="4" w:space="0"/>
            </w:tcBorders>
            <w:vAlign w:val="center"/>
          </w:tcPr>
          <w:p w14:paraId="1C48C98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赋予权限的用户可以监控所有会议，包括删除、取消、结束和变更会议等操作，会议列表可导出相关记录。</w:t>
            </w:r>
          </w:p>
        </w:tc>
      </w:tr>
      <w:tr w14:paraId="7370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CD55ACF">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805B754">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基础设置</w:t>
            </w:r>
          </w:p>
        </w:tc>
        <w:tc>
          <w:tcPr>
            <w:tcW w:w="3547" w:type="pct"/>
            <w:tcBorders>
              <w:top w:val="single" w:color="auto" w:sz="4" w:space="0"/>
              <w:left w:val="nil"/>
              <w:bottom w:val="single" w:color="auto" w:sz="4" w:space="0"/>
              <w:right w:val="single" w:color="auto" w:sz="4" w:space="0"/>
            </w:tcBorders>
            <w:vAlign w:val="center"/>
          </w:tcPr>
          <w:p w14:paraId="3428FE17">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维护公司的会议室，召开的类型和会议需要的服务，通过会议室和会议类型控制会议发起人的范围，支持分权管理，各个分公司可以制定不同的会议。</w:t>
            </w:r>
            <w:r>
              <w:rPr>
                <w:rFonts w:hint="eastAsia" w:ascii="宋体" w:hAnsi="宋体" w:cs="Calibri"/>
                <w:color w:val="auto"/>
                <w:kern w:val="0"/>
                <w:sz w:val="24"/>
                <w:highlight w:val="none"/>
              </w:rPr>
              <w:br w:type="textWrapping"/>
            </w:r>
            <w:r>
              <w:rPr>
                <w:rFonts w:hint="eastAsia" w:ascii="宋体" w:hAnsi="宋体" w:cs="Calibri"/>
                <w:color w:val="auto"/>
                <w:kern w:val="0"/>
                <w:sz w:val="24"/>
                <w:highlight w:val="none"/>
              </w:rPr>
              <w:t>会议室支持排座。</w:t>
            </w:r>
          </w:p>
        </w:tc>
      </w:tr>
      <w:tr w14:paraId="022B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5AD5BB9C">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日程</w:t>
            </w:r>
          </w:p>
        </w:tc>
        <w:tc>
          <w:tcPr>
            <w:tcW w:w="902" w:type="pct"/>
            <w:tcBorders>
              <w:top w:val="single" w:color="auto" w:sz="4" w:space="0"/>
              <w:left w:val="nil"/>
              <w:bottom w:val="single" w:color="auto" w:sz="4" w:space="0"/>
              <w:right w:val="single" w:color="auto" w:sz="4" w:space="0"/>
            </w:tcBorders>
            <w:vAlign w:val="center"/>
          </w:tcPr>
          <w:p w14:paraId="61C8BEF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我的日程</w:t>
            </w:r>
          </w:p>
        </w:tc>
        <w:tc>
          <w:tcPr>
            <w:tcW w:w="3547" w:type="pct"/>
            <w:tcBorders>
              <w:top w:val="single" w:color="auto" w:sz="4" w:space="0"/>
              <w:left w:val="nil"/>
              <w:bottom w:val="single" w:color="auto" w:sz="4" w:space="0"/>
              <w:right w:val="single" w:color="auto" w:sz="4" w:space="0"/>
            </w:tcBorders>
            <w:vAlign w:val="center"/>
          </w:tcPr>
          <w:p w14:paraId="0BFD57F6">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查看个人工作日程安排，可以将日程进行共享。</w:t>
            </w:r>
          </w:p>
        </w:tc>
      </w:tr>
      <w:tr w14:paraId="2300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53BF415">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761F7B61">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所有日程</w:t>
            </w:r>
          </w:p>
        </w:tc>
        <w:tc>
          <w:tcPr>
            <w:tcW w:w="3547" w:type="pct"/>
            <w:tcBorders>
              <w:top w:val="single" w:color="auto" w:sz="4" w:space="0"/>
              <w:left w:val="nil"/>
              <w:bottom w:val="single" w:color="auto" w:sz="4" w:space="0"/>
              <w:right w:val="single" w:color="auto" w:sz="4" w:space="0"/>
            </w:tcBorders>
            <w:vAlign w:val="center"/>
          </w:tcPr>
          <w:p w14:paraId="20519C77">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查看所有可查看日程，包括自己的日程和其他用户共享可以查看的日程。</w:t>
            </w:r>
          </w:p>
        </w:tc>
      </w:tr>
      <w:tr w14:paraId="4900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EB69353">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2DE1EDF">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日程一览表</w:t>
            </w:r>
          </w:p>
        </w:tc>
        <w:tc>
          <w:tcPr>
            <w:tcW w:w="3547" w:type="pct"/>
            <w:tcBorders>
              <w:top w:val="single" w:color="auto" w:sz="4" w:space="0"/>
              <w:left w:val="nil"/>
              <w:bottom w:val="single" w:color="auto" w:sz="4" w:space="0"/>
              <w:right w:val="single" w:color="auto" w:sz="4" w:space="0"/>
            </w:tcBorders>
            <w:vAlign w:val="center"/>
          </w:tcPr>
          <w:p w14:paraId="5FD2C7F5">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以列表方式查看所有日程，支持日程导入和导出，可以根据日程类型、时间、组织范围等条件进行过滤。</w:t>
            </w:r>
          </w:p>
        </w:tc>
      </w:tr>
      <w:tr w14:paraId="31F1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76207097">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5994BED8">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工作交流</w:t>
            </w:r>
          </w:p>
        </w:tc>
        <w:tc>
          <w:tcPr>
            <w:tcW w:w="3547" w:type="pct"/>
            <w:tcBorders>
              <w:top w:val="single" w:color="auto" w:sz="4" w:space="0"/>
              <w:left w:val="nil"/>
              <w:bottom w:val="single" w:color="auto" w:sz="4" w:space="0"/>
              <w:right w:val="single" w:color="auto" w:sz="4" w:space="0"/>
            </w:tcBorders>
            <w:vAlign w:val="center"/>
          </w:tcPr>
          <w:p w14:paraId="3DB2256B">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显示在日程中参与的交流信息。</w:t>
            </w:r>
          </w:p>
        </w:tc>
      </w:tr>
      <w:tr w14:paraId="0029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591A3CA">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7B434BA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周期日程</w:t>
            </w:r>
          </w:p>
        </w:tc>
        <w:tc>
          <w:tcPr>
            <w:tcW w:w="3547" w:type="pct"/>
            <w:tcBorders>
              <w:top w:val="single" w:color="auto" w:sz="4" w:space="0"/>
              <w:left w:val="nil"/>
              <w:bottom w:val="single" w:color="auto" w:sz="4" w:space="0"/>
              <w:right w:val="single" w:color="auto" w:sz="4" w:space="0"/>
            </w:tcBorders>
            <w:vAlign w:val="center"/>
          </w:tcPr>
          <w:p w14:paraId="16301675">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创建周期日程，会根据周期自动生成日程。</w:t>
            </w:r>
          </w:p>
        </w:tc>
      </w:tr>
      <w:tr w14:paraId="5728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280E41B">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E9EAB6B">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一周日程安排</w:t>
            </w:r>
          </w:p>
        </w:tc>
        <w:tc>
          <w:tcPr>
            <w:tcW w:w="3547" w:type="pct"/>
            <w:tcBorders>
              <w:top w:val="single" w:color="auto" w:sz="4" w:space="0"/>
              <w:left w:val="nil"/>
              <w:bottom w:val="single" w:color="auto" w:sz="4" w:space="0"/>
              <w:right w:val="single" w:color="auto" w:sz="4" w:space="0"/>
            </w:tcBorders>
            <w:vAlign w:val="center"/>
          </w:tcPr>
          <w:p w14:paraId="422A3BF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可以将指定人员的日程安排共享给指定范围内的用户，方便用户查看指定人员日程。</w:t>
            </w:r>
          </w:p>
        </w:tc>
      </w:tr>
      <w:tr w14:paraId="6517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5A0EDFC">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7A60D9D6">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日程共享</w:t>
            </w:r>
          </w:p>
        </w:tc>
        <w:tc>
          <w:tcPr>
            <w:tcW w:w="3547" w:type="pct"/>
            <w:tcBorders>
              <w:top w:val="single" w:color="auto" w:sz="4" w:space="0"/>
              <w:left w:val="nil"/>
              <w:bottom w:val="single" w:color="auto" w:sz="4" w:space="0"/>
              <w:right w:val="single" w:color="auto" w:sz="4" w:space="0"/>
            </w:tcBorders>
            <w:vAlign w:val="center"/>
          </w:tcPr>
          <w:p w14:paraId="26ABEB0C">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可以将自己的日程共享给其他用户。</w:t>
            </w:r>
          </w:p>
        </w:tc>
      </w:tr>
      <w:tr w14:paraId="2B92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3F472342">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3892B8E">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查询日程</w:t>
            </w:r>
          </w:p>
        </w:tc>
        <w:tc>
          <w:tcPr>
            <w:tcW w:w="3547" w:type="pct"/>
            <w:tcBorders>
              <w:top w:val="single" w:color="auto" w:sz="4" w:space="0"/>
              <w:left w:val="nil"/>
              <w:bottom w:val="single" w:color="auto" w:sz="4" w:space="0"/>
              <w:right w:val="single" w:color="auto" w:sz="4" w:space="0"/>
            </w:tcBorders>
            <w:vAlign w:val="center"/>
          </w:tcPr>
          <w:p w14:paraId="3364FE4B">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根据条件查询所有可查看的日程。</w:t>
            </w:r>
          </w:p>
        </w:tc>
      </w:tr>
      <w:tr w14:paraId="00A8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75D1B6C3">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1319B23C">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日程监控</w:t>
            </w:r>
          </w:p>
        </w:tc>
        <w:tc>
          <w:tcPr>
            <w:tcW w:w="3547" w:type="pct"/>
            <w:tcBorders>
              <w:top w:val="single" w:color="auto" w:sz="4" w:space="0"/>
              <w:left w:val="nil"/>
              <w:bottom w:val="single" w:color="auto" w:sz="4" w:space="0"/>
              <w:right w:val="single" w:color="auto" w:sz="4" w:space="0"/>
            </w:tcBorders>
            <w:vAlign w:val="center"/>
          </w:tcPr>
          <w:p w14:paraId="3A1DF3E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赋予条件的用户监控日程，可以删除、强制完成和导出日程功能。</w:t>
            </w:r>
          </w:p>
        </w:tc>
      </w:tr>
      <w:tr w14:paraId="6256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35F3924">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7FB2BB32">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日程类型</w:t>
            </w:r>
          </w:p>
        </w:tc>
        <w:tc>
          <w:tcPr>
            <w:tcW w:w="3547" w:type="pct"/>
            <w:tcBorders>
              <w:top w:val="single" w:color="auto" w:sz="4" w:space="0"/>
              <w:left w:val="nil"/>
              <w:bottom w:val="single" w:color="auto" w:sz="4" w:space="0"/>
              <w:right w:val="single" w:color="auto" w:sz="4" w:space="0"/>
            </w:tcBorders>
            <w:vAlign w:val="center"/>
          </w:tcPr>
          <w:p w14:paraId="30266706">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管理日程分类，包含了系统类型和自定义分类。</w:t>
            </w:r>
          </w:p>
        </w:tc>
      </w:tr>
      <w:tr w14:paraId="4EA8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7C0D2657">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1878E710">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接收人范围</w:t>
            </w:r>
          </w:p>
        </w:tc>
        <w:tc>
          <w:tcPr>
            <w:tcW w:w="3547" w:type="pct"/>
            <w:tcBorders>
              <w:top w:val="single" w:color="auto" w:sz="4" w:space="0"/>
              <w:left w:val="nil"/>
              <w:bottom w:val="single" w:color="auto" w:sz="4" w:space="0"/>
              <w:right w:val="single" w:color="auto" w:sz="4" w:space="0"/>
            </w:tcBorders>
            <w:vAlign w:val="center"/>
          </w:tcPr>
          <w:p w14:paraId="204D960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控制用户之间互相可创建日程的范围。</w:t>
            </w:r>
          </w:p>
        </w:tc>
      </w:tr>
      <w:tr w14:paraId="7013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BF142B6">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2C67A3D">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日程共享</w:t>
            </w:r>
          </w:p>
        </w:tc>
        <w:tc>
          <w:tcPr>
            <w:tcW w:w="3547" w:type="pct"/>
            <w:tcBorders>
              <w:top w:val="single" w:color="auto" w:sz="4" w:space="0"/>
              <w:left w:val="nil"/>
              <w:bottom w:val="single" w:color="auto" w:sz="4" w:space="0"/>
              <w:right w:val="single" w:color="auto" w:sz="4" w:space="0"/>
            </w:tcBorders>
            <w:vAlign w:val="center"/>
          </w:tcPr>
          <w:p w14:paraId="767C939A">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添加默认共享，确保部分用户可以查看指定对象的日程。</w:t>
            </w:r>
          </w:p>
        </w:tc>
      </w:tr>
      <w:tr w14:paraId="6EDF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6DC5032">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1788C644">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应用设置</w:t>
            </w:r>
          </w:p>
        </w:tc>
        <w:tc>
          <w:tcPr>
            <w:tcW w:w="3547" w:type="pct"/>
            <w:tcBorders>
              <w:top w:val="single" w:color="auto" w:sz="4" w:space="0"/>
              <w:left w:val="nil"/>
              <w:bottom w:val="single" w:color="auto" w:sz="4" w:space="0"/>
              <w:right w:val="single" w:color="auto" w:sz="4" w:space="0"/>
            </w:tcBorders>
            <w:vAlign w:val="center"/>
          </w:tcPr>
          <w:p w14:paraId="2CDCA673">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设定日程有关的时间规则、附加信息规则等内容。</w:t>
            </w:r>
          </w:p>
        </w:tc>
      </w:tr>
      <w:tr w14:paraId="3683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1FF6F6D9">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邮件</w:t>
            </w:r>
          </w:p>
        </w:tc>
        <w:tc>
          <w:tcPr>
            <w:tcW w:w="902" w:type="pct"/>
            <w:tcBorders>
              <w:top w:val="single" w:color="auto" w:sz="4" w:space="0"/>
              <w:left w:val="nil"/>
              <w:bottom w:val="single" w:color="auto" w:sz="4" w:space="0"/>
              <w:right w:val="single" w:color="auto" w:sz="4" w:space="0"/>
            </w:tcBorders>
            <w:vAlign w:val="center"/>
          </w:tcPr>
          <w:p w14:paraId="48AE597E">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收发邮件</w:t>
            </w:r>
          </w:p>
        </w:tc>
        <w:tc>
          <w:tcPr>
            <w:tcW w:w="3547" w:type="pct"/>
            <w:tcBorders>
              <w:top w:val="single" w:color="auto" w:sz="4" w:space="0"/>
              <w:left w:val="nil"/>
              <w:bottom w:val="single" w:color="auto" w:sz="4" w:space="0"/>
              <w:right w:val="single" w:color="auto" w:sz="4" w:space="0"/>
            </w:tcBorders>
            <w:vAlign w:val="center"/>
          </w:tcPr>
          <w:p w14:paraId="6761CCC4">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可以收发内外部邮箱的邮件。</w:t>
            </w:r>
          </w:p>
        </w:tc>
      </w:tr>
      <w:tr w14:paraId="3EDF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30A0748F">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1A3A0BB5">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邮箱管理</w:t>
            </w:r>
          </w:p>
        </w:tc>
        <w:tc>
          <w:tcPr>
            <w:tcW w:w="3547" w:type="pct"/>
            <w:tcBorders>
              <w:top w:val="single" w:color="auto" w:sz="4" w:space="0"/>
              <w:left w:val="nil"/>
              <w:bottom w:val="single" w:color="auto" w:sz="4" w:space="0"/>
              <w:right w:val="single" w:color="auto" w:sz="4" w:space="0"/>
            </w:tcBorders>
            <w:vAlign w:val="center"/>
          </w:tcPr>
          <w:p w14:paraId="2DC630D3">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通过收件箱、发件箱、草稿箱、待办事宜等分类管理收发的邮件。</w:t>
            </w:r>
          </w:p>
        </w:tc>
      </w:tr>
      <w:tr w14:paraId="77AC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44A43C9">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8D121DB">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联系人管理</w:t>
            </w:r>
          </w:p>
        </w:tc>
        <w:tc>
          <w:tcPr>
            <w:tcW w:w="3547" w:type="pct"/>
            <w:tcBorders>
              <w:top w:val="single" w:color="auto" w:sz="4" w:space="0"/>
              <w:left w:val="nil"/>
              <w:bottom w:val="single" w:color="auto" w:sz="4" w:space="0"/>
              <w:right w:val="single" w:color="auto" w:sz="4" w:space="0"/>
            </w:tcBorders>
            <w:vAlign w:val="center"/>
          </w:tcPr>
          <w:p w14:paraId="4BED4315">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管理外部邮箱的联系人。</w:t>
            </w:r>
          </w:p>
        </w:tc>
      </w:tr>
      <w:tr w14:paraId="191B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4148E118">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3F3BC3C">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邮箱设置</w:t>
            </w:r>
          </w:p>
        </w:tc>
        <w:tc>
          <w:tcPr>
            <w:tcW w:w="3547" w:type="pct"/>
            <w:tcBorders>
              <w:top w:val="single" w:color="auto" w:sz="4" w:space="0"/>
              <w:left w:val="nil"/>
              <w:bottom w:val="single" w:color="auto" w:sz="4" w:space="0"/>
              <w:right w:val="single" w:color="auto" w:sz="4" w:space="0"/>
            </w:tcBorders>
            <w:vAlign w:val="center"/>
          </w:tcPr>
          <w:p w14:paraId="48582185">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管理外部邮箱的地址参数，可以添加多个外部邮箱，设的邮箱模板、签名、回复、黑名单等邮箱辅助信息。</w:t>
            </w:r>
          </w:p>
        </w:tc>
      </w:tr>
      <w:tr w14:paraId="41FB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661A9BDF">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车辆</w:t>
            </w:r>
          </w:p>
        </w:tc>
        <w:tc>
          <w:tcPr>
            <w:tcW w:w="902" w:type="pct"/>
            <w:tcBorders>
              <w:top w:val="single" w:color="auto" w:sz="4" w:space="0"/>
              <w:left w:val="nil"/>
              <w:bottom w:val="single" w:color="auto" w:sz="4" w:space="0"/>
              <w:right w:val="single" w:color="auto" w:sz="4" w:space="0"/>
            </w:tcBorders>
            <w:vAlign w:val="center"/>
          </w:tcPr>
          <w:p w14:paraId="1C42963D">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车辆使用情况</w:t>
            </w:r>
          </w:p>
        </w:tc>
        <w:tc>
          <w:tcPr>
            <w:tcW w:w="3547" w:type="pct"/>
            <w:tcBorders>
              <w:top w:val="single" w:color="auto" w:sz="4" w:space="0"/>
              <w:left w:val="nil"/>
              <w:bottom w:val="single" w:color="auto" w:sz="4" w:space="0"/>
              <w:right w:val="single" w:color="auto" w:sz="4" w:space="0"/>
            </w:tcBorders>
            <w:vAlign w:val="center"/>
          </w:tcPr>
          <w:p w14:paraId="71897E75">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以列表方式查看车辆使用情况，可以申请使用车辆，通过日期范围可以根据日、周、月来查看。</w:t>
            </w:r>
          </w:p>
        </w:tc>
      </w:tr>
      <w:tr w14:paraId="423C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FC5FEF7">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4EB1BB1C">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车辆申请审批</w:t>
            </w:r>
          </w:p>
        </w:tc>
        <w:tc>
          <w:tcPr>
            <w:tcW w:w="3547" w:type="pct"/>
            <w:tcBorders>
              <w:top w:val="single" w:color="auto" w:sz="4" w:space="0"/>
              <w:left w:val="nil"/>
              <w:bottom w:val="single" w:color="auto" w:sz="4" w:space="0"/>
              <w:right w:val="single" w:color="auto" w:sz="4" w:space="0"/>
            </w:tcBorders>
            <w:vAlign w:val="center"/>
          </w:tcPr>
          <w:p w14:paraId="316D04DD">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审批所有需要使用的车辆。</w:t>
            </w:r>
          </w:p>
        </w:tc>
      </w:tr>
      <w:tr w14:paraId="7E60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FC64DD4">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E215424">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车辆查询</w:t>
            </w:r>
          </w:p>
        </w:tc>
        <w:tc>
          <w:tcPr>
            <w:tcW w:w="3547" w:type="pct"/>
            <w:tcBorders>
              <w:top w:val="single" w:color="auto" w:sz="4" w:space="0"/>
              <w:left w:val="nil"/>
              <w:bottom w:val="single" w:color="auto" w:sz="4" w:space="0"/>
              <w:right w:val="single" w:color="auto" w:sz="4" w:space="0"/>
            </w:tcBorders>
            <w:vAlign w:val="center"/>
          </w:tcPr>
          <w:p w14:paraId="326C91E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显示所有可查看的车辆，通过车牌、车辆类型、司机等信息搜索车辆。</w:t>
            </w:r>
          </w:p>
        </w:tc>
      </w:tr>
      <w:tr w14:paraId="08F0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2B50261D">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79DD421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车辆信息维护</w:t>
            </w:r>
          </w:p>
        </w:tc>
        <w:tc>
          <w:tcPr>
            <w:tcW w:w="3547" w:type="pct"/>
            <w:tcBorders>
              <w:top w:val="single" w:color="auto" w:sz="4" w:space="0"/>
              <w:left w:val="nil"/>
              <w:bottom w:val="single" w:color="auto" w:sz="4" w:space="0"/>
              <w:right w:val="single" w:color="auto" w:sz="4" w:space="0"/>
            </w:tcBorders>
            <w:vAlign w:val="center"/>
          </w:tcPr>
          <w:p w14:paraId="7BDC804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维护车辆，设置车辆共享范围，对于不需要的车辆可以封存。</w:t>
            </w:r>
          </w:p>
        </w:tc>
      </w:tr>
      <w:tr w14:paraId="2535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752D0463">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0A2E7E65">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应用设置</w:t>
            </w:r>
          </w:p>
        </w:tc>
        <w:tc>
          <w:tcPr>
            <w:tcW w:w="3547" w:type="pct"/>
            <w:tcBorders>
              <w:top w:val="single" w:color="auto" w:sz="4" w:space="0"/>
              <w:left w:val="nil"/>
              <w:bottom w:val="single" w:color="auto" w:sz="4" w:space="0"/>
              <w:right w:val="single" w:color="auto" w:sz="4" w:space="0"/>
            </w:tcBorders>
            <w:vAlign w:val="center"/>
          </w:tcPr>
          <w:p w14:paraId="3F7A2992">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定义车辆冲突规则、使用情况显示和共享范围控制。</w:t>
            </w:r>
          </w:p>
        </w:tc>
      </w:tr>
      <w:tr w14:paraId="3A1A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B228D24">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E42614B">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车辆类型</w:t>
            </w:r>
          </w:p>
        </w:tc>
        <w:tc>
          <w:tcPr>
            <w:tcW w:w="3547" w:type="pct"/>
            <w:tcBorders>
              <w:top w:val="single" w:color="auto" w:sz="4" w:space="0"/>
              <w:left w:val="nil"/>
              <w:bottom w:val="single" w:color="auto" w:sz="4" w:space="0"/>
              <w:right w:val="single" w:color="auto" w:sz="4" w:space="0"/>
            </w:tcBorders>
            <w:vAlign w:val="center"/>
          </w:tcPr>
          <w:p w14:paraId="3818E4F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定义车辆类型。</w:t>
            </w:r>
          </w:p>
        </w:tc>
      </w:tr>
      <w:tr w14:paraId="510D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0F5FC662">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560E052">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用车流程</w:t>
            </w:r>
          </w:p>
        </w:tc>
        <w:tc>
          <w:tcPr>
            <w:tcW w:w="3547" w:type="pct"/>
            <w:tcBorders>
              <w:top w:val="single" w:color="auto" w:sz="4" w:space="0"/>
              <w:left w:val="nil"/>
              <w:bottom w:val="single" w:color="auto" w:sz="4" w:space="0"/>
              <w:right w:val="single" w:color="auto" w:sz="4" w:space="0"/>
            </w:tcBorders>
            <w:vAlign w:val="center"/>
          </w:tcPr>
          <w:p w14:paraId="16DB31D8">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定义用车审批流程。</w:t>
            </w:r>
          </w:p>
        </w:tc>
      </w:tr>
      <w:tr w14:paraId="398D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552" w:type="pct"/>
            <w:vMerge w:val="restart"/>
            <w:tcBorders>
              <w:top w:val="nil"/>
              <w:left w:val="single" w:color="auto" w:sz="4" w:space="0"/>
              <w:bottom w:val="single" w:color="auto" w:sz="4" w:space="0"/>
              <w:right w:val="single" w:color="auto" w:sz="4" w:space="0"/>
            </w:tcBorders>
            <w:vAlign w:val="center"/>
          </w:tcPr>
          <w:p w14:paraId="0EC5E34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公文</w:t>
            </w:r>
          </w:p>
        </w:tc>
        <w:tc>
          <w:tcPr>
            <w:tcW w:w="902" w:type="pct"/>
            <w:tcBorders>
              <w:top w:val="single" w:color="auto" w:sz="4" w:space="0"/>
              <w:left w:val="nil"/>
              <w:bottom w:val="single" w:color="auto" w:sz="4" w:space="0"/>
              <w:right w:val="single" w:color="auto" w:sz="4" w:space="0"/>
            </w:tcBorders>
            <w:vAlign w:val="center"/>
          </w:tcPr>
          <w:p w14:paraId="1386DCAD">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公文流程</w:t>
            </w:r>
          </w:p>
        </w:tc>
        <w:tc>
          <w:tcPr>
            <w:tcW w:w="3547" w:type="pct"/>
            <w:tcBorders>
              <w:top w:val="single" w:color="auto" w:sz="4" w:space="0"/>
              <w:left w:val="nil"/>
              <w:bottom w:val="single" w:color="auto" w:sz="4" w:space="0"/>
              <w:right w:val="single" w:color="auto" w:sz="4" w:space="0"/>
            </w:tcBorders>
            <w:vAlign w:val="center"/>
          </w:tcPr>
          <w:p w14:paraId="15471573">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 xml:space="preserve">处理公文流程，根据公文类型分为发文、收文和签报，支持批量提交功能， </w:t>
            </w:r>
          </w:p>
        </w:tc>
      </w:tr>
      <w:tr w14:paraId="2C6C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7667E1C">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C0F96B4">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公文库</w:t>
            </w:r>
          </w:p>
        </w:tc>
        <w:tc>
          <w:tcPr>
            <w:tcW w:w="3547" w:type="pct"/>
            <w:tcBorders>
              <w:top w:val="single" w:color="auto" w:sz="4" w:space="0"/>
              <w:left w:val="nil"/>
              <w:bottom w:val="single" w:color="auto" w:sz="4" w:space="0"/>
              <w:right w:val="single" w:color="auto" w:sz="4" w:space="0"/>
            </w:tcBorders>
            <w:vAlign w:val="center"/>
          </w:tcPr>
          <w:p w14:paraId="0E6F6AE8">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公文管理库，所有的发文、收文和签报在此库中都可以查到，支持按标题、公文种类、发文字号、成文日期、阅读状态等参数搜索公文。</w:t>
            </w:r>
          </w:p>
        </w:tc>
      </w:tr>
      <w:tr w14:paraId="60A8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0E40BF9F">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AD671F4">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发文台账</w:t>
            </w:r>
          </w:p>
        </w:tc>
        <w:tc>
          <w:tcPr>
            <w:tcW w:w="3547" w:type="pct"/>
            <w:tcBorders>
              <w:top w:val="single" w:color="auto" w:sz="4" w:space="0"/>
              <w:left w:val="nil"/>
              <w:bottom w:val="single" w:color="auto" w:sz="4" w:space="0"/>
              <w:right w:val="single" w:color="auto" w:sz="4" w:space="0"/>
            </w:tcBorders>
            <w:vAlign w:val="center"/>
          </w:tcPr>
          <w:p w14:paraId="24C7F85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显示发文类型公文审批过程信息，支持按标题、公文种类、发文字号、成文日期、阅读状态等参数搜索公文流程。</w:t>
            </w:r>
          </w:p>
        </w:tc>
      </w:tr>
      <w:tr w14:paraId="4F75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68E5CAC1">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18477B71">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公文规范</w:t>
            </w:r>
          </w:p>
        </w:tc>
        <w:tc>
          <w:tcPr>
            <w:tcW w:w="3547" w:type="pct"/>
            <w:tcBorders>
              <w:top w:val="single" w:color="auto" w:sz="4" w:space="0"/>
              <w:left w:val="nil"/>
              <w:bottom w:val="single" w:color="auto" w:sz="4" w:space="0"/>
              <w:right w:val="single" w:color="auto" w:sz="4" w:space="0"/>
            </w:tcBorders>
            <w:vAlign w:val="center"/>
          </w:tcPr>
          <w:p w14:paraId="12ACBA56">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定义公文有关的字号、密级、种类、紧急程度、主题、机构代字、收发文单位、过程、公共组等参数内容。</w:t>
            </w:r>
          </w:p>
        </w:tc>
      </w:tr>
      <w:tr w14:paraId="3B8B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52" w:type="pct"/>
            <w:vMerge w:val="restart"/>
            <w:tcBorders>
              <w:top w:val="nil"/>
              <w:left w:val="single" w:color="auto" w:sz="4" w:space="0"/>
              <w:bottom w:val="single" w:color="auto" w:sz="4" w:space="0"/>
              <w:right w:val="single" w:color="auto" w:sz="4" w:space="0"/>
            </w:tcBorders>
            <w:vAlign w:val="center"/>
          </w:tcPr>
          <w:p w14:paraId="6AF4BC92">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报表</w:t>
            </w:r>
          </w:p>
        </w:tc>
        <w:tc>
          <w:tcPr>
            <w:tcW w:w="902" w:type="pct"/>
            <w:tcBorders>
              <w:top w:val="single" w:color="auto" w:sz="4" w:space="0"/>
              <w:left w:val="nil"/>
              <w:bottom w:val="single" w:color="auto" w:sz="4" w:space="0"/>
              <w:right w:val="single" w:color="auto" w:sz="4" w:space="0"/>
            </w:tcBorders>
            <w:vAlign w:val="center"/>
          </w:tcPr>
          <w:p w14:paraId="4541500C">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流程报表</w:t>
            </w:r>
          </w:p>
        </w:tc>
        <w:tc>
          <w:tcPr>
            <w:tcW w:w="3547" w:type="pct"/>
            <w:tcBorders>
              <w:top w:val="single" w:color="auto" w:sz="4" w:space="0"/>
              <w:left w:val="nil"/>
              <w:bottom w:val="single" w:color="auto" w:sz="4" w:space="0"/>
              <w:right w:val="single" w:color="auto" w:sz="4" w:space="0"/>
            </w:tcBorders>
            <w:vAlign w:val="center"/>
          </w:tcPr>
          <w:p w14:paraId="15951F2E">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统计流程效率，包括流转效率，处理效率，超时统计等信息，管理类可自定义流程数据报表。</w:t>
            </w:r>
          </w:p>
        </w:tc>
      </w:tr>
      <w:tr w14:paraId="7AC3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1B1E3C80">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0EECC288">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知识报表</w:t>
            </w:r>
          </w:p>
        </w:tc>
        <w:tc>
          <w:tcPr>
            <w:tcW w:w="3547" w:type="pct"/>
            <w:tcBorders>
              <w:top w:val="single" w:color="auto" w:sz="4" w:space="0"/>
              <w:left w:val="nil"/>
              <w:bottom w:val="single" w:color="auto" w:sz="4" w:space="0"/>
              <w:right w:val="single" w:color="auto" w:sz="4" w:space="0"/>
            </w:tcBorders>
            <w:vAlign w:val="center"/>
          </w:tcPr>
          <w:p w14:paraId="6F5654DC">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根据创建人、部门、分部、目录、阅读情况等维度统计系统中的文档数量。</w:t>
            </w:r>
          </w:p>
        </w:tc>
      </w:tr>
      <w:tr w14:paraId="6B97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599D8655">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3869800E">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人事报表</w:t>
            </w:r>
          </w:p>
        </w:tc>
        <w:tc>
          <w:tcPr>
            <w:tcW w:w="3547" w:type="pct"/>
            <w:tcBorders>
              <w:top w:val="single" w:color="auto" w:sz="4" w:space="0"/>
              <w:left w:val="nil"/>
              <w:bottom w:val="single" w:color="auto" w:sz="4" w:space="0"/>
              <w:right w:val="single" w:color="auto" w:sz="4" w:space="0"/>
            </w:tcBorders>
            <w:vAlign w:val="center"/>
          </w:tcPr>
          <w:p w14:paraId="316A8B1A">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根据人员信息、合同、人员状态、变更情况、招聘和工资等维度统计</w:t>
            </w:r>
          </w:p>
        </w:tc>
      </w:tr>
      <w:tr w14:paraId="70BB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14:paraId="0567B84C">
            <w:pPr>
              <w:keepNext w:val="0"/>
              <w:keepLines w:val="0"/>
              <w:widowControl/>
              <w:suppressLineNumbers w:val="0"/>
              <w:spacing w:before="0" w:beforeAutospacing="0" w:after="0" w:afterAutospacing="0"/>
              <w:ind w:left="0" w:right="0"/>
              <w:jc w:val="left"/>
              <w:rPr>
                <w:rFonts w:hint="default" w:ascii="宋体" w:hAnsi="宋体" w:cs="Calibri"/>
                <w:color w:val="auto"/>
                <w:kern w:val="0"/>
                <w:sz w:val="24"/>
                <w:highlight w:val="none"/>
              </w:rPr>
            </w:pPr>
          </w:p>
        </w:tc>
        <w:tc>
          <w:tcPr>
            <w:tcW w:w="902" w:type="pct"/>
            <w:tcBorders>
              <w:top w:val="single" w:color="auto" w:sz="4" w:space="0"/>
              <w:left w:val="nil"/>
              <w:bottom w:val="single" w:color="auto" w:sz="4" w:space="0"/>
              <w:right w:val="single" w:color="auto" w:sz="4" w:space="0"/>
            </w:tcBorders>
            <w:vAlign w:val="center"/>
          </w:tcPr>
          <w:p w14:paraId="6720F71A">
            <w:pPr>
              <w:keepNext w:val="0"/>
              <w:keepLines w:val="0"/>
              <w:widowControl/>
              <w:suppressLineNumbers w:val="0"/>
              <w:spacing w:before="0" w:beforeAutospacing="0" w:after="0" w:afterAutospacing="0"/>
              <w:ind w:left="0" w:right="0"/>
              <w:jc w:val="center"/>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会议报表</w:t>
            </w:r>
          </w:p>
        </w:tc>
        <w:tc>
          <w:tcPr>
            <w:tcW w:w="3547" w:type="pct"/>
            <w:tcBorders>
              <w:top w:val="single" w:color="auto" w:sz="4" w:space="0"/>
              <w:left w:val="nil"/>
              <w:bottom w:val="single" w:color="auto" w:sz="4" w:space="0"/>
              <w:right w:val="single" w:color="auto" w:sz="4" w:space="0"/>
            </w:tcBorders>
            <w:vAlign w:val="center"/>
          </w:tcPr>
          <w:p w14:paraId="50F63B11">
            <w:pPr>
              <w:keepNext w:val="0"/>
              <w:keepLines w:val="0"/>
              <w:widowControl/>
              <w:suppressLineNumbers w:val="0"/>
              <w:spacing w:before="0" w:beforeAutospacing="0" w:after="0" w:afterAutospacing="0"/>
              <w:ind w:left="0" w:right="0"/>
              <w:jc w:val="left"/>
              <w:textAlignment w:val="center"/>
              <w:rPr>
                <w:rFonts w:hint="eastAsia" w:ascii="宋体" w:hAnsi="宋体" w:cs="Calibri"/>
                <w:color w:val="auto"/>
                <w:kern w:val="0"/>
                <w:sz w:val="24"/>
                <w:highlight w:val="none"/>
              </w:rPr>
            </w:pPr>
            <w:r>
              <w:rPr>
                <w:rFonts w:hint="eastAsia" w:ascii="宋体" w:hAnsi="宋体" w:cs="Calibri"/>
                <w:color w:val="auto"/>
                <w:kern w:val="0"/>
                <w:sz w:val="24"/>
                <w:highlight w:val="none"/>
              </w:rPr>
              <w:t>根据会议室和时间维度统计会议情况。</w:t>
            </w:r>
          </w:p>
        </w:tc>
      </w:tr>
    </w:tbl>
    <w:p w14:paraId="5844085E">
      <w:pPr>
        <w:pStyle w:val="124"/>
        <w:ind w:firstLineChars="0"/>
        <w:rPr>
          <w:rFonts w:hint="eastAsia" w:ascii="宋体" w:hAnsi="宋体"/>
          <w:color w:val="auto"/>
          <w:sz w:val="28"/>
          <w:szCs w:val="28"/>
          <w:highlight w:val="none"/>
        </w:rPr>
      </w:pPr>
    </w:p>
    <w:p w14:paraId="01D3F080">
      <w:pPr>
        <w:pStyle w:val="124"/>
        <w:numPr>
          <w:ilvl w:val="0"/>
          <w:numId w:val="8"/>
        </w:numPr>
        <w:ind w:firstLineChars="0"/>
        <w:rPr>
          <w:rFonts w:hint="eastAsia" w:ascii="宋体" w:hAnsi="宋体"/>
          <w:color w:val="auto"/>
          <w:sz w:val="28"/>
          <w:szCs w:val="28"/>
          <w:highlight w:val="none"/>
        </w:rPr>
      </w:pPr>
      <w:r>
        <w:rPr>
          <w:rFonts w:hint="eastAsia" w:ascii="宋体" w:hAnsi="宋体"/>
          <w:color w:val="auto"/>
          <w:sz w:val="28"/>
          <w:szCs w:val="28"/>
          <w:highlight w:val="none"/>
        </w:rPr>
        <w:t>后端功能</w:t>
      </w:r>
    </w:p>
    <w:tbl>
      <w:tblPr>
        <w:tblStyle w:val="41"/>
        <w:tblW w:w="877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246"/>
        <w:gridCol w:w="6237"/>
      </w:tblGrid>
      <w:tr w14:paraId="7636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548DD4"/>
            <w:vAlign w:val="center"/>
          </w:tcPr>
          <w:p w14:paraId="23DB63C7">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功能大类</w:t>
            </w:r>
          </w:p>
        </w:tc>
        <w:tc>
          <w:tcPr>
            <w:tcW w:w="1246" w:type="dxa"/>
            <w:tcBorders>
              <w:top w:val="single" w:color="auto" w:sz="4" w:space="0"/>
              <w:left w:val="single" w:color="auto" w:sz="4" w:space="0"/>
              <w:bottom w:val="single" w:color="auto" w:sz="4" w:space="0"/>
              <w:right w:val="single" w:color="auto" w:sz="4" w:space="0"/>
            </w:tcBorders>
            <w:shd w:val="clear" w:color="auto" w:fill="548DD4"/>
            <w:vAlign w:val="center"/>
          </w:tcPr>
          <w:p w14:paraId="0FEE2694">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功能小类</w:t>
            </w:r>
          </w:p>
        </w:tc>
        <w:tc>
          <w:tcPr>
            <w:tcW w:w="6237" w:type="dxa"/>
            <w:tcBorders>
              <w:top w:val="single" w:color="auto" w:sz="4" w:space="0"/>
              <w:left w:val="single" w:color="auto" w:sz="4" w:space="0"/>
              <w:bottom w:val="single" w:color="auto" w:sz="4" w:space="0"/>
              <w:right w:val="single" w:color="auto" w:sz="4" w:space="0"/>
            </w:tcBorders>
            <w:shd w:val="clear" w:color="auto" w:fill="548DD4"/>
            <w:vAlign w:val="center"/>
          </w:tcPr>
          <w:p w14:paraId="6B344D86">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简要说明</w:t>
            </w:r>
          </w:p>
        </w:tc>
      </w:tr>
      <w:tr w14:paraId="1F4F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0" w:type="auto"/>
            <w:vMerge w:val="restart"/>
            <w:tcBorders>
              <w:top w:val="nil"/>
              <w:left w:val="single" w:color="auto" w:sz="4" w:space="0"/>
              <w:bottom w:val="single" w:color="auto" w:sz="4" w:space="0"/>
              <w:right w:val="single" w:color="auto" w:sz="4" w:space="0"/>
            </w:tcBorders>
            <w:vAlign w:val="center"/>
          </w:tcPr>
          <w:p w14:paraId="2177EAD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组织权限引擎</w:t>
            </w:r>
          </w:p>
        </w:tc>
        <w:tc>
          <w:tcPr>
            <w:tcW w:w="1246" w:type="dxa"/>
            <w:tcBorders>
              <w:top w:val="single" w:color="auto" w:sz="4" w:space="0"/>
              <w:left w:val="single" w:color="auto" w:sz="4" w:space="0"/>
              <w:bottom w:val="single" w:color="auto" w:sz="4" w:space="0"/>
              <w:right w:val="single" w:color="auto" w:sz="4" w:space="0"/>
            </w:tcBorders>
            <w:vAlign w:val="center"/>
          </w:tcPr>
          <w:p w14:paraId="2E934F1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基础设置</w:t>
            </w:r>
          </w:p>
        </w:tc>
        <w:tc>
          <w:tcPr>
            <w:tcW w:w="6237" w:type="dxa"/>
            <w:tcBorders>
              <w:top w:val="single" w:color="auto" w:sz="4" w:space="0"/>
              <w:left w:val="single" w:color="auto" w:sz="4" w:space="0"/>
              <w:bottom w:val="single" w:color="auto" w:sz="4" w:space="0"/>
              <w:right w:val="single" w:color="auto" w:sz="4" w:space="0"/>
            </w:tcBorders>
            <w:vAlign w:val="center"/>
          </w:tcPr>
          <w:p w14:paraId="05BFDCD0">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包含行政区域、办公地点、职务岗位、职称、学历、用工性质等人事管理基本信息维护。</w:t>
            </w:r>
          </w:p>
        </w:tc>
      </w:tr>
      <w:tr w14:paraId="0B86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0" w:type="auto"/>
            <w:vMerge w:val="continue"/>
            <w:tcBorders>
              <w:top w:val="nil"/>
              <w:left w:val="single" w:color="auto" w:sz="4" w:space="0"/>
              <w:bottom w:val="single" w:color="auto" w:sz="4" w:space="0"/>
              <w:right w:val="single" w:color="auto" w:sz="4" w:space="0"/>
            </w:tcBorders>
            <w:vAlign w:val="center"/>
          </w:tcPr>
          <w:p w14:paraId="2B93409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24A73C0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自定义设置</w:t>
            </w:r>
          </w:p>
        </w:tc>
        <w:tc>
          <w:tcPr>
            <w:tcW w:w="6237" w:type="dxa"/>
            <w:tcBorders>
              <w:top w:val="single" w:color="auto" w:sz="4" w:space="0"/>
              <w:left w:val="single" w:color="auto" w:sz="4" w:space="0"/>
              <w:bottom w:val="single" w:color="auto" w:sz="4" w:space="0"/>
              <w:right w:val="single" w:color="auto" w:sz="4" w:space="0"/>
            </w:tcBorders>
            <w:vAlign w:val="center"/>
          </w:tcPr>
          <w:p w14:paraId="70D70001">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自定义添加维护组织、人事卡片字段显示、编辑属性，维护浏览框、组织浏览框显示方式。</w:t>
            </w:r>
          </w:p>
        </w:tc>
      </w:tr>
      <w:tr w14:paraId="06B7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nil"/>
              <w:left w:val="single" w:color="auto" w:sz="4" w:space="0"/>
              <w:bottom w:val="single" w:color="auto" w:sz="4" w:space="0"/>
              <w:right w:val="single" w:color="auto" w:sz="4" w:space="0"/>
            </w:tcBorders>
            <w:vAlign w:val="center"/>
          </w:tcPr>
          <w:p w14:paraId="7C0C9E2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55CA6B6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组织结构</w:t>
            </w:r>
          </w:p>
        </w:tc>
        <w:tc>
          <w:tcPr>
            <w:tcW w:w="6237" w:type="dxa"/>
            <w:tcBorders>
              <w:top w:val="single" w:color="auto" w:sz="4" w:space="0"/>
              <w:left w:val="single" w:color="auto" w:sz="4" w:space="0"/>
              <w:bottom w:val="single" w:color="auto" w:sz="4" w:space="0"/>
              <w:right w:val="single" w:color="auto" w:sz="4" w:space="0"/>
            </w:tcBorders>
            <w:vAlign w:val="center"/>
          </w:tcPr>
          <w:p w14:paraId="04BF4712">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维护行政组织结构和人员，虚拟组织机构，共享群组等功能，组织人员信息可以批量调整维护。</w:t>
            </w:r>
          </w:p>
        </w:tc>
      </w:tr>
      <w:tr w14:paraId="71E1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2BC9A7A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0FBC40A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账户中心</w:t>
            </w:r>
          </w:p>
        </w:tc>
        <w:tc>
          <w:tcPr>
            <w:tcW w:w="6237" w:type="dxa"/>
            <w:tcBorders>
              <w:top w:val="single" w:color="auto" w:sz="4" w:space="0"/>
              <w:left w:val="single" w:color="auto" w:sz="4" w:space="0"/>
              <w:bottom w:val="single" w:color="auto" w:sz="4" w:space="0"/>
              <w:right w:val="single" w:color="auto" w:sz="4" w:space="0"/>
            </w:tcBorders>
            <w:vAlign w:val="center"/>
          </w:tcPr>
          <w:p w14:paraId="653B9D2C">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维护设置密码策略、登录方式和网段策略，可以添加第三方校验方式，用户个人隐私策略。</w:t>
            </w:r>
          </w:p>
        </w:tc>
      </w:tr>
      <w:tr w14:paraId="270C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1E8EA5F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72856E5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权限管理</w:t>
            </w:r>
          </w:p>
        </w:tc>
        <w:tc>
          <w:tcPr>
            <w:tcW w:w="6237" w:type="dxa"/>
            <w:tcBorders>
              <w:top w:val="single" w:color="auto" w:sz="4" w:space="0"/>
              <w:left w:val="single" w:color="auto" w:sz="4" w:space="0"/>
              <w:bottom w:val="single" w:color="auto" w:sz="4" w:space="0"/>
              <w:right w:val="single" w:color="auto" w:sz="4" w:space="0"/>
            </w:tcBorders>
            <w:vAlign w:val="center"/>
          </w:tcPr>
          <w:p w14:paraId="49E5FABB">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可以设置管理员并赋予相应权限，支持分权管理和控制前端组织结构查阅范围。</w:t>
            </w:r>
          </w:p>
        </w:tc>
      </w:tr>
      <w:tr w14:paraId="17FC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331350C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7619D9F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矩阵管理</w:t>
            </w:r>
          </w:p>
        </w:tc>
        <w:tc>
          <w:tcPr>
            <w:tcW w:w="6237" w:type="dxa"/>
            <w:tcBorders>
              <w:top w:val="single" w:color="auto" w:sz="4" w:space="0"/>
              <w:left w:val="single" w:color="auto" w:sz="4" w:space="0"/>
              <w:bottom w:val="single" w:color="auto" w:sz="4" w:space="0"/>
              <w:right w:val="single" w:color="auto" w:sz="4" w:space="0"/>
            </w:tcBorders>
            <w:vAlign w:val="center"/>
          </w:tcPr>
          <w:p w14:paraId="2A7FD194">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维护系统矩阵和自定义矩阵，矩阵可作为流程节点操作者。</w:t>
            </w:r>
          </w:p>
        </w:tc>
      </w:tr>
      <w:tr w14:paraId="456C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vMerge w:val="restart"/>
            <w:tcBorders>
              <w:top w:val="nil"/>
              <w:left w:val="single" w:color="auto" w:sz="4" w:space="0"/>
              <w:bottom w:val="single" w:color="auto" w:sz="4" w:space="0"/>
              <w:right w:val="single" w:color="auto" w:sz="4" w:space="0"/>
            </w:tcBorders>
            <w:noWrap/>
            <w:vAlign w:val="center"/>
          </w:tcPr>
          <w:p w14:paraId="3013218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流程引擎</w:t>
            </w:r>
          </w:p>
        </w:tc>
        <w:tc>
          <w:tcPr>
            <w:tcW w:w="1246" w:type="dxa"/>
            <w:tcBorders>
              <w:top w:val="single" w:color="auto" w:sz="4" w:space="0"/>
              <w:left w:val="single" w:color="auto" w:sz="4" w:space="0"/>
              <w:bottom w:val="single" w:color="auto" w:sz="4" w:space="0"/>
              <w:right w:val="single" w:color="auto" w:sz="4" w:space="0"/>
            </w:tcBorders>
            <w:vAlign w:val="center"/>
          </w:tcPr>
          <w:p w14:paraId="7B2CEFB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表单管理</w:t>
            </w:r>
          </w:p>
        </w:tc>
        <w:tc>
          <w:tcPr>
            <w:tcW w:w="6237" w:type="dxa"/>
            <w:tcBorders>
              <w:top w:val="single" w:color="auto" w:sz="4" w:space="0"/>
              <w:left w:val="single" w:color="auto" w:sz="4" w:space="0"/>
              <w:bottom w:val="single" w:color="auto" w:sz="4" w:space="0"/>
              <w:right w:val="single" w:color="auto" w:sz="4" w:space="0"/>
            </w:tcBorders>
            <w:vAlign w:val="center"/>
          </w:tcPr>
          <w:p w14:paraId="31C6DE89">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维护工作流表单相关的字段，包括了系统表单和自定义表单，流程表单需要的公共选择框和函数库。</w:t>
            </w:r>
          </w:p>
        </w:tc>
      </w:tr>
      <w:tr w14:paraId="6683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Merge w:val="continue"/>
            <w:tcBorders>
              <w:top w:val="nil"/>
              <w:left w:val="single" w:color="auto" w:sz="4" w:space="0"/>
              <w:bottom w:val="single" w:color="auto" w:sz="4" w:space="0"/>
              <w:right w:val="single" w:color="auto" w:sz="4" w:space="0"/>
            </w:tcBorders>
            <w:vAlign w:val="center"/>
          </w:tcPr>
          <w:p w14:paraId="5745EBB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667A2EF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路径设置</w:t>
            </w:r>
          </w:p>
        </w:tc>
        <w:tc>
          <w:tcPr>
            <w:tcW w:w="6237" w:type="dxa"/>
            <w:tcBorders>
              <w:top w:val="single" w:color="auto" w:sz="4" w:space="0"/>
              <w:left w:val="single" w:color="auto" w:sz="4" w:space="0"/>
              <w:bottom w:val="single" w:color="auto" w:sz="4" w:space="0"/>
              <w:right w:val="single" w:color="auto" w:sz="4" w:space="0"/>
            </w:tcBorders>
            <w:vAlign w:val="center"/>
          </w:tcPr>
          <w:p w14:paraId="7CF864F5">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工作流核心维护功能，包括流程类型、节点、操作者、表单样式、流转路径等内容，流程高级设置可以增加公文、主子流程、流程编号、字段联动、流程转文档、流程转日程等功能。</w:t>
            </w:r>
          </w:p>
        </w:tc>
      </w:tr>
      <w:tr w14:paraId="0391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05DBA29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7882C97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报表设置</w:t>
            </w:r>
          </w:p>
        </w:tc>
        <w:tc>
          <w:tcPr>
            <w:tcW w:w="6237" w:type="dxa"/>
            <w:tcBorders>
              <w:top w:val="single" w:color="auto" w:sz="4" w:space="0"/>
              <w:left w:val="single" w:color="auto" w:sz="4" w:space="0"/>
              <w:bottom w:val="single" w:color="auto" w:sz="4" w:space="0"/>
              <w:right w:val="single" w:color="auto" w:sz="4" w:space="0"/>
            </w:tcBorders>
            <w:vAlign w:val="center"/>
          </w:tcPr>
          <w:p w14:paraId="105C803E">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可以设置自定义报表和报表分析赋权，流程效率报表共享。</w:t>
            </w:r>
          </w:p>
        </w:tc>
      </w:tr>
      <w:tr w14:paraId="66FD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6B23433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422BBF5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自定义查询</w:t>
            </w:r>
          </w:p>
        </w:tc>
        <w:tc>
          <w:tcPr>
            <w:tcW w:w="6237" w:type="dxa"/>
            <w:tcBorders>
              <w:top w:val="single" w:color="auto" w:sz="4" w:space="0"/>
              <w:left w:val="single" w:color="auto" w:sz="4" w:space="0"/>
              <w:bottom w:val="single" w:color="auto" w:sz="4" w:space="0"/>
              <w:right w:val="single" w:color="auto" w:sz="4" w:space="0"/>
            </w:tcBorders>
            <w:vAlign w:val="center"/>
          </w:tcPr>
          <w:p w14:paraId="36BEE30D">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设置流程自定义查询规则。</w:t>
            </w:r>
          </w:p>
        </w:tc>
      </w:tr>
      <w:tr w14:paraId="1A99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695DB419">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0716797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监控管理</w:t>
            </w:r>
          </w:p>
        </w:tc>
        <w:tc>
          <w:tcPr>
            <w:tcW w:w="6237" w:type="dxa"/>
            <w:tcBorders>
              <w:top w:val="single" w:color="auto" w:sz="4" w:space="0"/>
              <w:left w:val="single" w:color="auto" w:sz="4" w:space="0"/>
              <w:bottom w:val="single" w:color="auto" w:sz="4" w:space="0"/>
              <w:right w:val="single" w:color="auto" w:sz="4" w:space="0"/>
            </w:tcBorders>
            <w:vAlign w:val="center"/>
          </w:tcPr>
          <w:p w14:paraId="164FF26B">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设置流程监控分类和监控人。</w:t>
            </w:r>
          </w:p>
        </w:tc>
      </w:tr>
      <w:tr w14:paraId="39AF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restart"/>
            <w:tcBorders>
              <w:top w:val="nil"/>
              <w:left w:val="single" w:color="auto" w:sz="4" w:space="0"/>
              <w:bottom w:val="single" w:color="auto" w:sz="4" w:space="0"/>
              <w:right w:val="single" w:color="auto" w:sz="4" w:space="0"/>
            </w:tcBorders>
            <w:noWrap/>
            <w:vAlign w:val="center"/>
          </w:tcPr>
          <w:p w14:paraId="5B0334D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门户引擎</w:t>
            </w:r>
          </w:p>
        </w:tc>
        <w:tc>
          <w:tcPr>
            <w:tcW w:w="1246" w:type="dxa"/>
            <w:tcBorders>
              <w:top w:val="single" w:color="auto" w:sz="4" w:space="0"/>
              <w:left w:val="single" w:color="auto" w:sz="4" w:space="0"/>
              <w:bottom w:val="single" w:color="auto" w:sz="4" w:space="0"/>
              <w:right w:val="single" w:color="auto" w:sz="4" w:space="0"/>
            </w:tcBorders>
            <w:vAlign w:val="center"/>
          </w:tcPr>
          <w:p w14:paraId="72AF466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门户维护</w:t>
            </w:r>
          </w:p>
        </w:tc>
        <w:tc>
          <w:tcPr>
            <w:tcW w:w="6237" w:type="dxa"/>
            <w:tcBorders>
              <w:top w:val="single" w:color="auto" w:sz="4" w:space="0"/>
              <w:left w:val="single" w:color="auto" w:sz="4" w:space="0"/>
              <w:bottom w:val="single" w:color="auto" w:sz="4" w:space="0"/>
              <w:right w:val="single" w:color="auto" w:sz="4" w:space="0"/>
            </w:tcBorders>
            <w:vAlign w:val="center"/>
          </w:tcPr>
          <w:p w14:paraId="16AFCBE7">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维护登录前和登录后系统门户样式的维护，可以导入导出这些门户样式，门户上快捷搜索和插件可以自定义维护。</w:t>
            </w:r>
          </w:p>
        </w:tc>
      </w:tr>
      <w:tr w14:paraId="11D0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554D469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7D1D0AC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门户主题</w:t>
            </w:r>
          </w:p>
        </w:tc>
        <w:tc>
          <w:tcPr>
            <w:tcW w:w="6237" w:type="dxa"/>
            <w:tcBorders>
              <w:top w:val="single" w:color="auto" w:sz="4" w:space="0"/>
              <w:left w:val="single" w:color="auto" w:sz="4" w:space="0"/>
              <w:bottom w:val="single" w:color="auto" w:sz="4" w:space="0"/>
              <w:right w:val="single" w:color="auto" w:sz="4" w:space="0"/>
            </w:tcBorders>
            <w:vAlign w:val="center"/>
          </w:tcPr>
          <w:p w14:paraId="0A7CB476">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维护门户主题相关的颜色配置。</w:t>
            </w:r>
          </w:p>
        </w:tc>
      </w:tr>
      <w:tr w14:paraId="5FF5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vAlign w:val="center"/>
          </w:tcPr>
          <w:p w14:paraId="580FAC7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59E74E6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门户菜单</w:t>
            </w:r>
          </w:p>
        </w:tc>
        <w:tc>
          <w:tcPr>
            <w:tcW w:w="6237" w:type="dxa"/>
            <w:tcBorders>
              <w:top w:val="single" w:color="auto" w:sz="4" w:space="0"/>
              <w:left w:val="single" w:color="auto" w:sz="4" w:space="0"/>
              <w:bottom w:val="single" w:color="auto" w:sz="4" w:space="0"/>
              <w:right w:val="single" w:color="auto" w:sz="4" w:space="0"/>
            </w:tcBorders>
            <w:vAlign w:val="center"/>
          </w:tcPr>
          <w:p w14:paraId="474B9C04">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维护系统前后端菜单和自定义菜单的显示、访问权限，可以额外定义工具栏菜单和个人通用菜单。</w:t>
            </w:r>
          </w:p>
        </w:tc>
      </w:tr>
      <w:tr w14:paraId="787D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03DA975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404C13E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门户页面</w:t>
            </w:r>
          </w:p>
        </w:tc>
        <w:tc>
          <w:tcPr>
            <w:tcW w:w="6237" w:type="dxa"/>
            <w:tcBorders>
              <w:top w:val="single" w:color="auto" w:sz="4" w:space="0"/>
              <w:left w:val="single" w:color="auto" w:sz="4" w:space="0"/>
              <w:bottom w:val="single" w:color="auto" w:sz="4" w:space="0"/>
              <w:right w:val="single" w:color="auto" w:sz="4" w:space="0"/>
            </w:tcBorders>
            <w:vAlign w:val="center"/>
          </w:tcPr>
          <w:p w14:paraId="75A7E7A5">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设置门户的页面的组成元素和布局。</w:t>
            </w:r>
          </w:p>
        </w:tc>
      </w:tr>
      <w:tr w14:paraId="72FA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0" w:type="auto"/>
            <w:vMerge w:val="continue"/>
            <w:tcBorders>
              <w:top w:val="nil"/>
              <w:left w:val="single" w:color="auto" w:sz="4" w:space="0"/>
              <w:bottom w:val="single" w:color="auto" w:sz="4" w:space="0"/>
              <w:right w:val="single" w:color="auto" w:sz="4" w:space="0"/>
            </w:tcBorders>
            <w:vAlign w:val="center"/>
          </w:tcPr>
          <w:p w14:paraId="33C5AC3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481B237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门户元素</w:t>
            </w:r>
          </w:p>
        </w:tc>
        <w:tc>
          <w:tcPr>
            <w:tcW w:w="6237" w:type="dxa"/>
            <w:tcBorders>
              <w:top w:val="single" w:color="auto" w:sz="4" w:space="0"/>
              <w:left w:val="single" w:color="auto" w:sz="4" w:space="0"/>
              <w:bottom w:val="single" w:color="auto" w:sz="4" w:space="0"/>
              <w:right w:val="single" w:color="auto" w:sz="4" w:space="0"/>
            </w:tcBorders>
            <w:vAlign w:val="center"/>
          </w:tcPr>
          <w:p w14:paraId="6A52B2D4">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元素可以从其它模块获取数据并显示在门户上，门户元素维护可以设置元素样式。</w:t>
            </w:r>
          </w:p>
        </w:tc>
      </w:tr>
      <w:tr w14:paraId="1033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5ECBAA4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19FA131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素材库</w:t>
            </w:r>
          </w:p>
        </w:tc>
        <w:tc>
          <w:tcPr>
            <w:tcW w:w="6237" w:type="dxa"/>
            <w:tcBorders>
              <w:top w:val="single" w:color="auto" w:sz="4" w:space="0"/>
              <w:left w:val="single" w:color="auto" w:sz="4" w:space="0"/>
              <w:bottom w:val="single" w:color="auto" w:sz="4" w:space="0"/>
              <w:right w:val="single" w:color="auto" w:sz="4" w:space="0"/>
            </w:tcBorders>
            <w:vAlign w:val="center"/>
          </w:tcPr>
          <w:p w14:paraId="3C5074E5">
            <w:pPr>
              <w:keepNext w:val="0"/>
              <w:keepLines w:val="0"/>
              <w:widowControl/>
              <w:suppressLineNumbers w:val="0"/>
              <w:spacing w:before="0" w:beforeAutospacing="0" w:after="0" w:afterAutospacing="0"/>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维护门户主题、门户元素设置时需要用到的图片、视频等要素。</w:t>
            </w:r>
          </w:p>
        </w:tc>
      </w:tr>
      <w:tr w14:paraId="5866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restart"/>
            <w:tcBorders>
              <w:top w:val="nil"/>
              <w:left w:val="single" w:color="auto" w:sz="4" w:space="0"/>
              <w:bottom w:val="single" w:color="auto" w:sz="4" w:space="0"/>
              <w:right w:val="single" w:color="auto" w:sz="4" w:space="0"/>
            </w:tcBorders>
            <w:noWrap/>
            <w:vAlign w:val="center"/>
          </w:tcPr>
          <w:p w14:paraId="7EA5F8B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内容引擎</w:t>
            </w:r>
          </w:p>
        </w:tc>
        <w:tc>
          <w:tcPr>
            <w:tcW w:w="1246" w:type="dxa"/>
            <w:tcBorders>
              <w:top w:val="single" w:color="auto" w:sz="4" w:space="0"/>
              <w:left w:val="single" w:color="auto" w:sz="4" w:space="0"/>
              <w:bottom w:val="single" w:color="auto" w:sz="4" w:space="0"/>
              <w:right w:val="single" w:color="auto" w:sz="4" w:space="0"/>
            </w:tcBorders>
            <w:vAlign w:val="center"/>
          </w:tcPr>
          <w:p w14:paraId="169069B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目录设置</w:t>
            </w:r>
          </w:p>
        </w:tc>
        <w:tc>
          <w:tcPr>
            <w:tcW w:w="6237" w:type="dxa"/>
            <w:tcBorders>
              <w:top w:val="single" w:color="auto" w:sz="4" w:space="0"/>
              <w:left w:val="single" w:color="auto" w:sz="4" w:space="0"/>
              <w:bottom w:val="single" w:color="auto" w:sz="4" w:space="0"/>
              <w:right w:val="single" w:color="auto" w:sz="4" w:space="0"/>
            </w:tcBorders>
            <w:vAlign w:val="center"/>
          </w:tcPr>
          <w:p w14:paraId="2364F9D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目录管理存入系统中的文档、附件如何存放，可以赋权用户管理权限，创建文档权限，查阅文档权限，可以定义哪些目录需要审批，哪些需要版本管理、编号管理，目录可以直接绑定显示或编辑模板。</w:t>
            </w:r>
          </w:p>
        </w:tc>
      </w:tr>
      <w:tr w14:paraId="2E98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3A8C12F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6165797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文档模板</w:t>
            </w:r>
          </w:p>
        </w:tc>
        <w:tc>
          <w:tcPr>
            <w:tcW w:w="6237" w:type="dxa"/>
            <w:tcBorders>
              <w:top w:val="single" w:color="auto" w:sz="4" w:space="0"/>
              <w:left w:val="single" w:color="auto" w:sz="4" w:space="0"/>
              <w:bottom w:val="single" w:color="auto" w:sz="4" w:space="0"/>
              <w:right w:val="single" w:color="auto" w:sz="4" w:space="0"/>
            </w:tcBorders>
            <w:vAlign w:val="center"/>
          </w:tcPr>
          <w:p w14:paraId="649EE12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添加维护显示和编辑模板，模板支持html模板、word模板、Excel模板和WPS模板。</w:t>
            </w:r>
          </w:p>
        </w:tc>
      </w:tr>
      <w:tr w14:paraId="0290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vAlign w:val="center"/>
          </w:tcPr>
          <w:p w14:paraId="744960E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385D8DD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批量操作</w:t>
            </w:r>
          </w:p>
        </w:tc>
        <w:tc>
          <w:tcPr>
            <w:tcW w:w="6237" w:type="dxa"/>
            <w:tcBorders>
              <w:top w:val="single" w:color="auto" w:sz="4" w:space="0"/>
              <w:left w:val="single" w:color="auto" w:sz="4" w:space="0"/>
              <w:bottom w:val="single" w:color="auto" w:sz="4" w:space="0"/>
              <w:right w:val="single" w:color="auto" w:sz="4" w:space="0"/>
            </w:tcBorders>
            <w:vAlign w:val="center"/>
          </w:tcPr>
          <w:p w14:paraId="26C516E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可以批量上传文件，修正已有文档的共享范围，管理回收站中被删除的文档。</w:t>
            </w:r>
          </w:p>
        </w:tc>
      </w:tr>
      <w:tr w14:paraId="191C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3EA0E88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097AC61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集成管理</w:t>
            </w:r>
          </w:p>
        </w:tc>
        <w:tc>
          <w:tcPr>
            <w:tcW w:w="6237" w:type="dxa"/>
            <w:tcBorders>
              <w:top w:val="single" w:color="auto" w:sz="4" w:space="0"/>
              <w:left w:val="single" w:color="auto" w:sz="4" w:space="0"/>
              <w:bottom w:val="single" w:color="auto" w:sz="4" w:space="0"/>
              <w:right w:val="single" w:color="auto" w:sz="4" w:space="0"/>
            </w:tcBorders>
            <w:vAlign w:val="center"/>
          </w:tcPr>
          <w:p w14:paraId="10B44AD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显示目前知识模块集成的第三方软件。</w:t>
            </w:r>
          </w:p>
        </w:tc>
      </w:tr>
      <w:tr w14:paraId="4152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vMerge w:val="restart"/>
            <w:tcBorders>
              <w:top w:val="nil"/>
              <w:left w:val="single" w:color="auto" w:sz="4" w:space="0"/>
              <w:bottom w:val="single" w:color="auto" w:sz="4" w:space="0"/>
              <w:right w:val="single" w:color="auto" w:sz="4" w:space="0"/>
            </w:tcBorders>
            <w:noWrap/>
            <w:vAlign w:val="center"/>
          </w:tcPr>
          <w:p w14:paraId="4587A3E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消息引擎</w:t>
            </w:r>
          </w:p>
        </w:tc>
        <w:tc>
          <w:tcPr>
            <w:tcW w:w="1246" w:type="dxa"/>
            <w:tcBorders>
              <w:top w:val="single" w:color="auto" w:sz="4" w:space="0"/>
              <w:left w:val="single" w:color="auto" w:sz="4" w:space="0"/>
              <w:bottom w:val="single" w:color="auto" w:sz="4" w:space="0"/>
              <w:right w:val="single" w:color="auto" w:sz="4" w:space="0"/>
            </w:tcBorders>
            <w:vAlign w:val="center"/>
          </w:tcPr>
          <w:p w14:paraId="1BA0DD9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消息中心配置</w:t>
            </w:r>
          </w:p>
        </w:tc>
        <w:tc>
          <w:tcPr>
            <w:tcW w:w="6237" w:type="dxa"/>
            <w:tcBorders>
              <w:top w:val="single" w:color="auto" w:sz="4" w:space="0"/>
              <w:left w:val="single" w:color="auto" w:sz="4" w:space="0"/>
              <w:bottom w:val="single" w:color="auto" w:sz="4" w:space="0"/>
              <w:right w:val="single" w:color="auto" w:sz="4" w:space="0"/>
            </w:tcBorders>
            <w:vAlign w:val="center"/>
          </w:tcPr>
          <w:p w14:paraId="4C50B8F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设定消息提醒相关规则，如弹框规则、对外推送骨子额、消息清理规则、EM集成规则等。</w:t>
            </w:r>
          </w:p>
        </w:tc>
      </w:tr>
      <w:tr w14:paraId="0015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vAlign w:val="center"/>
          </w:tcPr>
          <w:p w14:paraId="36F2D0E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1D087F8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消息类型</w:t>
            </w:r>
          </w:p>
        </w:tc>
        <w:tc>
          <w:tcPr>
            <w:tcW w:w="6237" w:type="dxa"/>
            <w:tcBorders>
              <w:top w:val="single" w:color="auto" w:sz="4" w:space="0"/>
              <w:left w:val="single" w:color="auto" w:sz="4" w:space="0"/>
              <w:bottom w:val="single" w:color="auto" w:sz="4" w:space="0"/>
              <w:right w:val="single" w:color="auto" w:sz="4" w:space="0"/>
            </w:tcBorders>
            <w:vAlign w:val="center"/>
          </w:tcPr>
          <w:p w14:paraId="628A85D3">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维护系统中的消息类型、可自定义来源、分组和状态标签，管理消息类型是否启用，与EM集成状态。</w:t>
            </w:r>
          </w:p>
        </w:tc>
      </w:tr>
      <w:tr w14:paraId="0F6E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511DBDE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384091C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消息订阅</w:t>
            </w:r>
          </w:p>
        </w:tc>
        <w:tc>
          <w:tcPr>
            <w:tcW w:w="6237" w:type="dxa"/>
            <w:tcBorders>
              <w:top w:val="single" w:color="auto" w:sz="4" w:space="0"/>
              <w:left w:val="single" w:color="auto" w:sz="4" w:space="0"/>
              <w:bottom w:val="single" w:color="auto" w:sz="4" w:space="0"/>
              <w:right w:val="single" w:color="auto" w:sz="4" w:space="0"/>
            </w:tcBorders>
            <w:vAlign w:val="center"/>
          </w:tcPr>
          <w:p w14:paraId="16613347">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维护第三方消息平台集成参数。</w:t>
            </w:r>
          </w:p>
        </w:tc>
      </w:tr>
      <w:tr w14:paraId="7BAB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3C86E5A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558942A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消息推送</w:t>
            </w:r>
          </w:p>
        </w:tc>
        <w:tc>
          <w:tcPr>
            <w:tcW w:w="6237" w:type="dxa"/>
            <w:tcBorders>
              <w:top w:val="single" w:color="auto" w:sz="4" w:space="0"/>
              <w:left w:val="single" w:color="auto" w:sz="4" w:space="0"/>
              <w:bottom w:val="single" w:color="auto" w:sz="4" w:space="0"/>
              <w:right w:val="single" w:color="auto" w:sz="4" w:space="0"/>
            </w:tcBorders>
            <w:vAlign w:val="center"/>
          </w:tcPr>
          <w:p w14:paraId="264A0D9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消息推送日志记录。</w:t>
            </w:r>
          </w:p>
        </w:tc>
      </w:tr>
      <w:tr w14:paraId="2024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342093D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5E4B755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广播类型</w:t>
            </w:r>
          </w:p>
        </w:tc>
        <w:tc>
          <w:tcPr>
            <w:tcW w:w="6237" w:type="dxa"/>
            <w:tcBorders>
              <w:top w:val="single" w:color="auto" w:sz="4" w:space="0"/>
              <w:left w:val="single" w:color="auto" w:sz="4" w:space="0"/>
              <w:bottom w:val="single" w:color="auto" w:sz="4" w:space="0"/>
              <w:right w:val="single" w:color="auto" w:sz="4" w:space="0"/>
            </w:tcBorders>
            <w:vAlign w:val="center"/>
          </w:tcPr>
          <w:p w14:paraId="5877D9E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设定广播名称、广播员、发送范围等信息。</w:t>
            </w:r>
          </w:p>
        </w:tc>
      </w:tr>
      <w:tr w14:paraId="629F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restart"/>
            <w:tcBorders>
              <w:top w:val="nil"/>
              <w:left w:val="single" w:color="auto" w:sz="4" w:space="0"/>
              <w:bottom w:val="single" w:color="auto" w:sz="4" w:space="0"/>
              <w:right w:val="single" w:color="auto" w:sz="4" w:space="0"/>
            </w:tcBorders>
            <w:noWrap/>
            <w:vAlign w:val="center"/>
          </w:tcPr>
          <w:p w14:paraId="72A5827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建模引擎</w:t>
            </w:r>
          </w:p>
        </w:tc>
        <w:tc>
          <w:tcPr>
            <w:tcW w:w="1246" w:type="dxa"/>
            <w:tcBorders>
              <w:top w:val="single" w:color="auto" w:sz="4" w:space="0"/>
              <w:left w:val="single" w:color="auto" w:sz="4" w:space="0"/>
              <w:bottom w:val="single" w:color="auto" w:sz="4" w:space="0"/>
              <w:right w:val="single" w:color="auto" w:sz="4" w:space="0"/>
            </w:tcBorders>
            <w:vAlign w:val="center"/>
          </w:tcPr>
          <w:p w14:paraId="1B32344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模块</w:t>
            </w:r>
          </w:p>
        </w:tc>
        <w:tc>
          <w:tcPr>
            <w:tcW w:w="6237" w:type="dxa"/>
            <w:tcBorders>
              <w:top w:val="single" w:color="auto" w:sz="4" w:space="0"/>
              <w:left w:val="single" w:color="auto" w:sz="4" w:space="0"/>
              <w:bottom w:val="single" w:color="auto" w:sz="4" w:space="0"/>
              <w:right w:val="single" w:color="auto" w:sz="4" w:space="0"/>
            </w:tcBorders>
            <w:vAlign w:val="center"/>
          </w:tcPr>
          <w:p w14:paraId="0D90D31E">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设定功能模块，包括模块权限、属性联动、字段联动、数据审批、导入控制、条码、编码等功能维护。</w:t>
            </w:r>
          </w:p>
        </w:tc>
      </w:tr>
      <w:tr w14:paraId="7FA1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2EE6005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18BA0D4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表单</w:t>
            </w:r>
          </w:p>
        </w:tc>
        <w:tc>
          <w:tcPr>
            <w:tcW w:w="6237" w:type="dxa"/>
            <w:tcBorders>
              <w:top w:val="single" w:color="auto" w:sz="4" w:space="0"/>
              <w:left w:val="single" w:color="auto" w:sz="4" w:space="0"/>
              <w:bottom w:val="single" w:color="auto" w:sz="4" w:space="0"/>
              <w:right w:val="single" w:color="auto" w:sz="4" w:space="0"/>
            </w:tcBorders>
            <w:vAlign w:val="center"/>
          </w:tcPr>
          <w:p w14:paraId="5E7B39B3">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设定模块所使用的表单字段，支持字段日志、导入控制。</w:t>
            </w:r>
          </w:p>
        </w:tc>
      </w:tr>
      <w:tr w14:paraId="46E5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0" w:type="auto"/>
            <w:vMerge w:val="continue"/>
            <w:tcBorders>
              <w:top w:val="nil"/>
              <w:left w:val="single" w:color="auto" w:sz="4" w:space="0"/>
              <w:bottom w:val="single" w:color="auto" w:sz="4" w:space="0"/>
              <w:right w:val="single" w:color="auto" w:sz="4" w:space="0"/>
            </w:tcBorders>
            <w:vAlign w:val="center"/>
          </w:tcPr>
          <w:p w14:paraId="3B68C3E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4E5D01C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查询</w:t>
            </w:r>
          </w:p>
        </w:tc>
        <w:tc>
          <w:tcPr>
            <w:tcW w:w="6237" w:type="dxa"/>
            <w:tcBorders>
              <w:top w:val="single" w:color="auto" w:sz="4" w:space="0"/>
              <w:left w:val="single" w:color="auto" w:sz="4" w:space="0"/>
              <w:bottom w:val="single" w:color="auto" w:sz="4" w:space="0"/>
              <w:right w:val="single" w:color="auto" w:sz="4" w:space="0"/>
            </w:tcBorders>
            <w:vAlign w:val="center"/>
          </w:tcPr>
          <w:p w14:paraId="56F3DC1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设定查询页面的查询条件、批量操作，查询页显示字段，查询字段排序等内容，可根据查询页面生成菜单。</w:t>
            </w:r>
          </w:p>
        </w:tc>
      </w:tr>
      <w:tr w14:paraId="56FC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vAlign w:val="center"/>
          </w:tcPr>
          <w:p w14:paraId="35B6199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05ACB1A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浏览框</w:t>
            </w:r>
          </w:p>
        </w:tc>
        <w:tc>
          <w:tcPr>
            <w:tcW w:w="6237" w:type="dxa"/>
            <w:tcBorders>
              <w:top w:val="single" w:color="auto" w:sz="4" w:space="0"/>
              <w:left w:val="single" w:color="auto" w:sz="4" w:space="0"/>
              <w:bottom w:val="single" w:color="auto" w:sz="4" w:space="0"/>
              <w:right w:val="single" w:color="auto" w:sz="4" w:space="0"/>
            </w:tcBorders>
            <w:vAlign w:val="center"/>
          </w:tcPr>
          <w:p w14:paraId="6D99935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自定义浏览框，根据设置的字段内容和查询条件，在流程中可以根据自定义浏览框浏览指定的内容。</w:t>
            </w:r>
          </w:p>
        </w:tc>
      </w:tr>
      <w:tr w14:paraId="04DA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054528A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2562167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树</w:t>
            </w:r>
          </w:p>
        </w:tc>
        <w:tc>
          <w:tcPr>
            <w:tcW w:w="6237" w:type="dxa"/>
            <w:tcBorders>
              <w:top w:val="single" w:color="auto" w:sz="4" w:space="0"/>
              <w:left w:val="single" w:color="auto" w:sz="4" w:space="0"/>
              <w:bottom w:val="single" w:color="auto" w:sz="4" w:space="0"/>
              <w:right w:val="single" w:color="auto" w:sz="4" w:space="0"/>
            </w:tcBorders>
            <w:vAlign w:val="center"/>
          </w:tcPr>
          <w:p w14:paraId="3505B7E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用树型显示浏览框或者左侧导航树。</w:t>
            </w:r>
          </w:p>
        </w:tc>
      </w:tr>
      <w:tr w14:paraId="52B8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1CFFEE8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6D141B1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提醒</w:t>
            </w:r>
          </w:p>
        </w:tc>
        <w:tc>
          <w:tcPr>
            <w:tcW w:w="6237" w:type="dxa"/>
            <w:tcBorders>
              <w:top w:val="single" w:color="auto" w:sz="4" w:space="0"/>
              <w:left w:val="single" w:color="auto" w:sz="4" w:space="0"/>
              <w:bottom w:val="single" w:color="auto" w:sz="4" w:space="0"/>
              <w:right w:val="single" w:color="auto" w:sz="4" w:space="0"/>
            </w:tcBorders>
            <w:vAlign w:val="center"/>
          </w:tcPr>
          <w:p w14:paraId="45AFCEA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设定建模模块的提醒规则。</w:t>
            </w:r>
          </w:p>
        </w:tc>
      </w:tr>
      <w:tr w14:paraId="17A6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vMerge w:val="continue"/>
            <w:tcBorders>
              <w:top w:val="nil"/>
              <w:left w:val="single" w:color="auto" w:sz="4" w:space="0"/>
              <w:bottom w:val="single" w:color="auto" w:sz="4" w:space="0"/>
              <w:right w:val="single" w:color="auto" w:sz="4" w:space="0"/>
            </w:tcBorders>
            <w:vAlign w:val="center"/>
          </w:tcPr>
          <w:p w14:paraId="72F4268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3F921B0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资源面板</w:t>
            </w:r>
          </w:p>
        </w:tc>
        <w:tc>
          <w:tcPr>
            <w:tcW w:w="6237" w:type="dxa"/>
            <w:tcBorders>
              <w:top w:val="single" w:color="auto" w:sz="4" w:space="0"/>
              <w:left w:val="single" w:color="auto" w:sz="4" w:space="0"/>
              <w:bottom w:val="single" w:color="auto" w:sz="4" w:space="0"/>
              <w:right w:val="single" w:color="auto" w:sz="4" w:space="0"/>
            </w:tcBorders>
            <w:vAlign w:val="center"/>
          </w:tcPr>
          <w:p w14:paraId="373ABC8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表单建模中实际表单和虚拟表单的数据可以通过动态配置在资源面板上展示。</w:t>
            </w:r>
          </w:p>
        </w:tc>
      </w:tr>
      <w:tr w14:paraId="5D85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0" w:type="auto"/>
            <w:vMerge w:val="continue"/>
            <w:tcBorders>
              <w:top w:val="nil"/>
              <w:left w:val="single" w:color="auto" w:sz="4" w:space="0"/>
              <w:bottom w:val="single" w:color="auto" w:sz="4" w:space="0"/>
              <w:right w:val="single" w:color="auto" w:sz="4" w:space="0"/>
            </w:tcBorders>
            <w:vAlign w:val="center"/>
          </w:tcPr>
          <w:p w14:paraId="37BDEA2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38B9891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看板</w:t>
            </w:r>
          </w:p>
        </w:tc>
        <w:tc>
          <w:tcPr>
            <w:tcW w:w="6237" w:type="dxa"/>
            <w:tcBorders>
              <w:top w:val="single" w:color="auto" w:sz="4" w:space="0"/>
              <w:left w:val="single" w:color="auto" w:sz="4" w:space="0"/>
              <w:bottom w:val="single" w:color="auto" w:sz="4" w:space="0"/>
              <w:right w:val="single" w:color="auto" w:sz="4" w:space="0"/>
            </w:tcBorders>
            <w:vAlign w:val="center"/>
          </w:tcPr>
          <w:p w14:paraId="0760C848">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可通过看板视图展示数据（如：A模块的某个字段创建了浏览框，B模块引用该浏览框（即：数据关联字段），引用B模块的查询列表搭建了看板，通过预览，可以查看数据关联字段为某个具体值时的所有数据）。</w:t>
            </w:r>
          </w:p>
        </w:tc>
      </w:tr>
      <w:tr w14:paraId="2A76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34E18D9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vMerge w:val="restart"/>
            <w:tcBorders>
              <w:top w:val="nil"/>
              <w:left w:val="single" w:color="auto" w:sz="4" w:space="0"/>
              <w:bottom w:val="single" w:color="auto" w:sz="4" w:space="0"/>
              <w:right w:val="single" w:color="auto" w:sz="4" w:space="0"/>
            </w:tcBorders>
            <w:vAlign w:val="center"/>
          </w:tcPr>
          <w:p w14:paraId="4CEE9FD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思维导图</w:t>
            </w:r>
          </w:p>
        </w:tc>
        <w:tc>
          <w:tcPr>
            <w:tcW w:w="6237" w:type="dxa"/>
            <w:tcBorders>
              <w:top w:val="single" w:color="auto" w:sz="4" w:space="0"/>
              <w:left w:val="single" w:color="auto" w:sz="4" w:space="0"/>
              <w:bottom w:val="single" w:color="auto" w:sz="4" w:space="0"/>
              <w:right w:val="single" w:color="auto" w:sz="4" w:space="0"/>
            </w:tcBorders>
            <w:vAlign w:val="center"/>
          </w:tcPr>
          <w:p w14:paraId="7CA6793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表单建模思维导图功能，现增加功能如下：</w:t>
            </w:r>
          </w:p>
        </w:tc>
      </w:tr>
      <w:tr w14:paraId="611C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641FE45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0" w:type="auto"/>
            <w:vMerge w:val="continue"/>
            <w:tcBorders>
              <w:top w:val="nil"/>
              <w:left w:val="single" w:color="auto" w:sz="4" w:space="0"/>
              <w:bottom w:val="single" w:color="auto" w:sz="4" w:space="0"/>
              <w:right w:val="single" w:color="auto" w:sz="4" w:space="0"/>
            </w:tcBorders>
            <w:vAlign w:val="center"/>
          </w:tcPr>
          <w:p w14:paraId="35A5C67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14:paraId="1AF713B3">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1、支持设置多分支节点；</w:t>
            </w:r>
          </w:p>
        </w:tc>
      </w:tr>
      <w:tr w14:paraId="50E8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3402DEC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0" w:type="auto"/>
            <w:vMerge w:val="continue"/>
            <w:tcBorders>
              <w:top w:val="nil"/>
              <w:left w:val="single" w:color="auto" w:sz="4" w:space="0"/>
              <w:bottom w:val="single" w:color="auto" w:sz="4" w:space="0"/>
              <w:right w:val="single" w:color="auto" w:sz="4" w:space="0"/>
            </w:tcBorders>
            <w:vAlign w:val="center"/>
          </w:tcPr>
          <w:p w14:paraId="1CC279F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14:paraId="0C7E8B5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2、子节点的样式支持自定义；</w:t>
            </w:r>
          </w:p>
        </w:tc>
      </w:tr>
      <w:tr w14:paraId="385F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735F331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0" w:type="auto"/>
            <w:vMerge w:val="continue"/>
            <w:tcBorders>
              <w:top w:val="nil"/>
              <w:left w:val="single" w:color="auto" w:sz="4" w:space="0"/>
              <w:bottom w:val="single" w:color="auto" w:sz="4" w:space="0"/>
              <w:right w:val="single" w:color="auto" w:sz="4" w:space="0"/>
            </w:tcBorders>
            <w:vAlign w:val="center"/>
          </w:tcPr>
          <w:p w14:paraId="1F13584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14:paraId="0CEF000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3、节点设置链接地址。</w:t>
            </w:r>
          </w:p>
        </w:tc>
      </w:tr>
      <w:tr w14:paraId="7B23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14:paraId="7A5A841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26EF4BD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甘特图</w:t>
            </w:r>
          </w:p>
        </w:tc>
        <w:tc>
          <w:tcPr>
            <w:tcW w:w="6237" w:type="dxa"/>
            <w:tcBorders>
              <w:top w:val="single" w:color="auto" w:sz="4" w:space="0"/>
              <w:left w:val="single" w:color="auto" w:sz="4" w:space="0"/>
              <w:bottom w:val="single" w:color="auto" w:sz="4" w:space="0"/>
              <w:right w:val="single" w:color="auto" w:sz="4" w:space="0"/>
            </w:tcBorders>
            <w:vAlign w:val="center"/>
          </w:tcPr>
          <w:p w14:paraId="4D4AE56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实际表单的数据可以通过动态配置在甘特图中展示。</w:t>
            </w:r>
          </w:p>
        </w:tc>
      </w:tr>
      <w:tr w14:paraId="2422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nil"/>
              <w:left w:val="single" w:color="auto" w:sz="4" w:space="0"/>
              <w:bottom w:val="single" w:color="auto" w:sz="4" w:space="0"/>
              <w:right w:val="single" w:color="auto" w:sz="4" w:space="0"/>
            </w:tcBorders>
            <w:vAlign w:val="center"/>
          </w:tcPr>
          <w:p w14:paraId="3770DA9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45A0EA8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导入导出</w:t>
            </w:r>
          </w:p>
        </w:tc>
        <w:tc>
          <w:tcPr>
            <w:tcW w:w="6237" w:type="dxa"/>
            <w:tcBorders>
              <w:top w:val="single" w:color="auto" w:sz="4" w:space="0"/>
              <w:left w:val="single" w:color="auto" w:sz="4" w:space="0"/>
              <w:bottom w:val="single" w:color="auto" w:sz="4" w:space="0"/>
              <w:right w:val="single" w:color="auto" w:sz="4" w:space="0"/>
            </w:tcBorders>
            <w:vAlign w:val="center"/>
          </w:tcPr>
          <w:p w14:paraId="4E313BF4">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导入导出建模模块。</w:t>
            </w:r>
          </w:p>
        </w:tc>
      </w:tr>
      <w:tr w14:paraId="08EE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restart"/>
            <w:tcBorders>
              <w:top w:val="nil"/>
              <w:left w:val="single" w:color="auto" w:sz="4" w:space="0"/>
              <w:bottom w:val="single" w:color="auto" w:sz="4" w:space="0"/>
              <w:right w:val="single" w:color="auto" w:sz="4" w:space="0"/>
            </w:tcBorders>
            <w:noWrap/>
            <w:vAlign w:val="center"/>
          </w:tcPr>
          <w:p w14:paraId="15F39C1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建模中心</w:t>
            </w:r>
          </w:p>
        </w:tc>
        <w:tc>
          <w:tcPr>
            <w:tcW w:w="1246" w:type="dxa"/>
            <w:tcBorders>
              <w:top w:val="single" w:color="auto" w:sz="4" w:space="0"/>
              <w:left w:val="single" w:color="auto" w:sz="4" w:space="0"/>
              <w:bottom w:val="single" w:color="auto" w:sz="4" w:space="0"/>
              <w:right w:val="single" w:color="auto" w:sz="4" w:space="0"/>
            </w:tcBorders>
            <w:vAlign w:val="center"/>
          </w:tcPr>
          <w:p w14:paraId="156F93F5">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系统日志</w:t>
            </w:r>
          </w:p>
        </w:tc>
        <w:tc>
          <w:tcPr>
            <w:tcW w:w="6237" w:type="dxa"/>
            <w:tcBorders>
              <w:top w:val="single" w:color="auto" w:sz="4" w:space="0"/>
              <w:left w:val="single" w:color="auto" w:sz="4" w:space="0"/>
              <w:bottom w:val="single" w:color="auto" w:sz="4" w:space="0"/>
              <w:right w:val="single" w:color="auto" w:sz="4" w:space="0"/>
            </w:tcBorders>
            <w:vAlign w:val="center"/>
          </w:tcPr>
          <w:p w14:paraId="61B4DBE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统计人员登录日志，在线人数分析。</w:t>
            </w:r>
          </w:p>
        </w:tc>
      </w:tr>
      <w:tr w14:paraId="14B5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nil"/>
              <w:left w:val="single" w:color="auto" w:sz="4" w:space="0"/>
              <w:bottom w:val="single" w:color="auto" w:sz="4" w:space="0"/>
              <w:right w:val="single" w:color="auto" w:sz="4" w:space="0"/>
            </w:tcBorders>
            <w:vAlign w:val="center"/>
          </w:tcPr>
          <w:p w14:paraId="076A508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169D199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内容日志</w:t>
            </w:r>
          </w:p>
        </w:tc>
        <w:tc>
          <w:tcPr>
            <w:tcW w:w="6237" w:type="dxa"/>
            <w:tcBorders>
              <w:top w:val="single" w:color="auto" w:sz="4" w:space="0"/>
              <w:left w:val="single" w:color="auto" w:sz="4" w:space="0"/>
              <w:bottom w:val="single" w:color="auto" w:sz="4" w:space="0"/>
              <w:right w:val="single" w:color="auto" w:sz="4" w:space="0"/>
            </w:tcBorders>
            <w:vAlign w:val="center"/>
          </w:tcPr>
          <w:p w14:paraId="624DE06F">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统计文档下载、阅读和修改记录。</w:t>
            </w:r>
          </w:p>
        </w:tc>
      </w:tr>
      <w:tr w14:paraId="1138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nil"/>
              <w:left w:val="single" w:color="auto" w:sz="4" w:space="0"/>
              <w:bottom w:val="single" w:color="auto" w:sz="4" w:space="0"/>
              <w:right w:val="single" w:color="auto" w:sz="4" w:space="0"/>
            </w:tcBorders>
            <w:vAlign w:val="center"/>
          </w:tcPr>
          <w:p w14:paraId="2113D0E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70E600D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流程日志</w:t>
            </w:r>
          </w:p>
        </w:tc>
        <w:tc>
          <w:tcPr>
            <w:tcW w:w="6237" w:type="dxa"/>
            <w:tcBorders>
              <w:top w:val="single" w:color="auto" w:sz="4" w:space="0"/>
              <w:left w:val="single" w:color="auto" w:sz="4" w:space="0"/>
              <w:bottom w:val="single" w:color="auto" w:sz="4" w:space="0"/>
              <w:right w:val="single" w:color="auto" w:sz="4" w:space="0"/>
            </w:tcBorders>
            <w:vAlign w:val="center"/>
          </w:tcPr>
          <w:p w14:paraId="1A09156D">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统计流程自动流转、读取、处理和删除记录。</w:t>
            </w:r>
          </w:p>
        </w:tc>
      </w:tr>
      <w:tr w14:paraId="631B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nil"/>
              <w:left w:val="single" w:color="auto" w:sz="4" w:space="0"/>
              <w:bottom w:val="single" w:color="auto" w:sz="4" w:space="0"/>
              <w:right w:val="single" w:color="auto" w:sz="4" w:space="0"/>
            </w:tcBorders>
            <w:vAlign w:val="center"/>
          </w:tcPr>
          <w:p w14:paraId="03B17B2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5E2ACDF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客户日志</w:t>
            </w:r>
          </w:p>
        </w:tc>
        <w:tc>
          <w:tcPr>
            <w:tcW w:w="6237" w:type="dxa"/>
            <w:tcBorders>
              <w:top w:val="single" w:color="auto" w:sz="4" w:space="0"/>
              <w:left w:val="single" w:color="auto" w:sz="4" w:space="0"/>
              <w:bottom w:val="single" w:color="auto" w:sz="4" w:space="0"/>
              <w:right w:val="single" w:color="auto" w:sz="4" w:space="0"/>
            </w:tcBorders>
            <w:vAlign w:val="center"/>
          </w:tcPr>
          <w:p w14:paraId="2C965F6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统计客户导入、读取和修改记录。</w:t>
            </w:r>
          </w:p>
        </w:tc>
      </w:tr>
      <w:tr w14:paraId="2722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tcBorders>
              <w:top w:val="nil"/>
              <w:left w:val="single" w:color="auto" w:sz="4" w:space="0"/>
              <w:bottom w:val="single" w:color="auto" w:sz="4" w:space="0"/>
              <w:right w:val="single" w:color="auto" w:sz="4" w:space="0"/>
            </w:tcBorders>
            <w:vAlign w:val="center"/>
          </w:tcPr>
          <w:p w14:paraId="19F2956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24C7580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项目日志</w:t>
            </w:r>
          </w:p>
        </w:tc>
        <w:tc>
          <w:tcPr>
            <w:tcW w:w="6237" w:type="dxa"/>
            <w:tcBorders>
              <w:top w:val="single" w:color="auto" w:sz="4" w:space="0"/>
              <w:left w:val="single" w:color="auto" w:sz="4" w:space="0"/>
              <w:bottom w:val="single" w:color="auto" w:sz="4" w:space="0"/>
              <w:right w:val="single" w:color="auto" w:sz="4" w:space="0"/>
            </w:tcBorders>
            <w:vAlign w:val="center"/>
          </w:tcPr>
          <w:p w14:paraId="0F2CD6AC">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统计项目读取和修改记录。</w:t>
            </w:r>
          </w:p>
        </w:tc>
      </w:tr>
    </w:tbl>
    <w:p w14:paraId="31E8C14B">
      <w:pPr>
        <w:pStyle w:val="124"/>
        <w:ind w:left="440" w:firstLine="0" w:firstLineChars="0"/>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58C4F4D5">
      <w:pPr>
        <w:pStyle w:val="8"/>
        <w:numPr>
          <w:ilvl w:val="0"/>
          <w:numId w:val="6"/>
        </w:numPr>
        <w:ind w:left="0" w:firstLine="0"/>
        <w:rPr>
          <w:rFonts w:hint="eastAsia" w:ascii="宋体" w:hAnsi="宋体" w:eastAsia="宋体"/>
          <w:color w:val="auto"/>
          <w:highlight w:val="none"/>
        </w:rPr>
      </w:pPr>
      <w:r>
        <w:rPr>
          <w:rFonts w:hint="eastAsia" w:ascii="宋体" w:hAnsi="宋体" w:eastAsia="宋体"/>
          <w:color w:val="auto"/>
          <w:highlight w:val="none"/>
        </w:rPr>
        <w:t>国产化私有云扩容及安全资源池建设</w:t>
      </w:r>
    </w:p>
    <w:p w14:paraId="6B001D83">
      <w:pPr>
        <w:pStyle w:val="124"/>
        <w:numPr>
          <w:ilvl w:val="0"/>
          <w:numId w:val="9"/>
        </w:numPr>
        <w:ind w:firstLineChars="0"/>
        <w:rPr>
          <w:rFonts w:hint="eastAsia" w:ascii="宋体" w:hAnsi="宋体"/>
          <w:color w:val="auto"/>
          <w:sz w:val="28"/>
          <w:szCs w:val="28"/>
          <w:highlight w:val="none"/>
        </w:rPr>
      </w:pPr>
      <w:r>
        <w:rPr>
          <w:rFonts w:hint="eastAsia" w:ascii="宋体" w:hAnsi="宋体"/>
          <w:color w:val="auto"/>
          <w:sz w:val="28"/>
          <w:szCs w:val="28"/>
          <w:highlight w:val="none"/>
        </w:rPr>
        <w:t>云计算资源池扩容</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8022"/>
      </w:tblGrid>
      <w:tr w14:paraId="44BE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8" w:type="pct"/>
            <w:noWrap/>
            <w:vAlign w:val="center"/>
          </w:tcPr>
          <w:p w14:paraId="18810E86">
            <w:pPr>
              <w:keepNext w:val="0"/>
              <w:keepLines w:val="0"/>
              <w:widowControl/>
              <w:suppressLineNumbers w:val="0"/>
              <w:spacing w:before="0" w:beforeAutospacing="0" w:after="0" w:afterAutospacing="0"/>
              <w:ind w:left="0" w:right="0"/>
              <w:jc w:val="center"/>
              <w:textAlignment w:val="center"/>
              <w:rPr>
                <w:rFonts w:hint="default" w:ascii="宋体" w:hAnsi="宋体" w:cs="Calibri"/>
                <w:b/>
                <w:bCs/>
                <w:color w:val="auto"/>
                <w:sz w:val="21"/>
                <w:szCs w:val="21"/>
                <w:highlight w:val="none"/>
              </w:rPr>
            </w:pPr>
            <w:r>
              <w:rPr>
                <w:rFonts w:hint="eastAsia" w:ascii="宋体" w:hAnsi="宋体" w:cs="Calibri"/>
                <w:b/>
                <w:bCs/>
                <w:color w:val="auto"/>
                <w:sz w:val="21"/>
                <w:szCs w:val="21"/>
                <w:highlight w:val="none"/>
              </w:rPr>
              <w:t>功能项</w:t>
            </w:r>
          </w:p>
        </w:tc>
        <w:tc>
          <w:tcPr>
            <w:tcW w:w="4372" w:type="pct"/>
            <w:vAlign w:val="center"/>
          </w:tcPr>
          <w:p w14:paraId="1C92B30F">
            <w:pPr>
              <w:keepNext w:val="0"/>
              <w:keepLines w:val="0"/>
              <w:widowControl/>
              <w:suppressLineNumbers w:val="0"/>
              <w:spacing w:before="0" w:beforeAutospacing="0" w:after="0" w:afterAutospacing="0"/>
              <w:ind w:left="0" w:right="0"/>
              <w:jc w:val="center"/>
              <w:textAlignment w:val="center"/>
              <w:rPr>
                <w:rFonts w:hint="default" w:ascii="宋体" w:hAnsi="宋体" w:cs="Calibri"/>
                <w:b/>
                <w:bCs/>
                <w:color w:val="auto"/>
                <w:sz w:val="21"/>
                <w:szCs w:val="21"/>
                <w:highlight w:val="none"/>
              </w:rPr>
            </w:pPr>
            <w:r>
              <w:rPr>
                <w:rFonts w:hint="eastAsia" w:ascii="宋体" w:hAnsi="宋体" w:cs="Calibri"/>
                <w:b/>
                <w:bCs/>
                <w:color w:val="auto"/>
                <w:sz w:val="21"/>
                <w:szCs w:val="21"/>
                <w:highlight w:val="none"/>
              </w:rPr>
              <w:t>技术参数要求</w:t>
            </w:r>
          </w:p>
        </w:tc>
      </w:tr>
      <w:tr w14:paraId="6037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28" w:type="pct"/>
            <w:vMerge w:val="restart"/>
            <w:vAlign w:val="center"/>
          </w:tcPr>
          <w:p w14:paraId="2844181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▲硬件要求</w:t>
            </w:r>
          </w:p>
        </w:tc>
        <w:tc>
          <w:tcPr>
            <w:tcW w:w="4372" w:type="pct"/>
            <w:vAlign w:val="center"/>
          </w:tcPr>
          <w:p w14:paraId="44ED76E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本次对现有的云计算资源池扩容</w:t>
            </w:r>
            <w:r>
              <w:rPr>
                <w:rFonts w:hint="default" w:ascii="宋体" w:hAnsi="宋体" w:cs="宋体"/>
                <w:color w:val="auto"/>
                <w:kern w:val="0"/>
                <w:sz w:val="24"/>
                <w:highlight w:val="none"/>
              </w:rPr>
              <w:t>1</w:t>
            </w:r>
            <w:r>
              <w:rPr>
                <w:rFonts w:hint="eastAsia" w:ascii="宋体" w:hAnsi="宋体" w:cs="宋体"/>
                <w:color w:val="auto"/>
                <w:kern w:val="0"/>
                <w:sz w:val="24"/>
                <w:highlight w:val="none"/>
              </w:rPr>
              <w:t>套计算节点及扩容后资源池的正版CPU的计算虚拟化授权，网络虚拟化授权、存储虚拟化授权，确保扩容后虚拟机迁移不中断。</w:t>
            </w:r>
          </w:p>
        </w:tc>
      </w:tr>
      <w:tr w14:paraId="677D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28" w:type="pct"/>
            <w:vMerge w:val="continue"/>
            <w:vAlign w:val="center"/>
          </w:tcPr>
          <w:p w14:paraId="7BAD49D2">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p>
        </w:tc>
        <w:tc>
          <w:tcPr>
            <w:tcW w:w="4372" w:type="pct"/>
            <w:vAlign w:val="center"/>
          </w:tcPr>
          <w:p w14:paraId="41E85BB9">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计算节点硬件参数： CPU≥2颗hygon 5390 2.9GHz（16C），内存≥10*32GB DDR4 3200，系统盘≥2*240GB SATA，缓存盘≥2*1.92T-SSD，数据盘≥：4*4T，标配盘位数≥12，电源：白金，冗余电源，接口不低于4千兆电口+2万兆光口。</w:t>
            </w:r>
          </w:p>
        </w:tc>
      </w:tr>
      <w:tr w14:paraId="6BE9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8" w:type="pct"/>
            <w:vMerge w:val="restart"/>
            <w:vAlign w:val="center"/>
          </w:tcPr>
          <w:p w14:paraId="08E41F4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计算虚拟化功能要求</w:t>
            </w:r>
          </w:p>
        </w:tc>
        <w:tc>
          <w:tcPr>
            <w:tcW w:w="4372" w:type="pct"/>
            <w:vAlign w:val="center"/>
          </w:tcPr>
          <w:p w14:paraId="29B6B80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要求需定期对平台进行健康检测提前发现平台问题，避免平台故障导致业务受影响，但人工巡检效率低，需要平台支持集群环境一键健康检测提升效率，可以选择检测对象，包括系统运行状态检测（系统服务检测、配置文件检测、系统分区检测、存储空间检测）、系统配置检测（网口配置检测）、硬件健康检测（CPU检测、内存检测、网卡检测、硬盘基本功能检测）</w:t>
            </w:r>
          </w:p>
        </w:tc>
      </w:tr>
      <w:tr w14:paraId="3C59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28" w:type="pct"/>
            <w:vMerge w:val="continue"/>
            <w:vAlign w:val="center"/>
          </w:tcPr>
          <w:p w14:paraId="361442F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3DD9AF43">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为保证升级过程中客户业务的连续性，支持云平台在线升级，同时为保证升级时间与步骤可控，升级过程中支持对升级节点进行编排、暂停（需提供产品功能截图）</w:t>
            </w:r>
          </w:p>
        </w:tc>
      </w:tr>
      <w:tr w14:paraId="2BB4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8" w:type="pct"/>
            <w:vMerge w:val="continue"/>
            <w:vAlign w:val="center"/>
          </w:tcPr>
          <w:p w14:paraId="0F6E87F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0C57EE7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虚拟机迁移支持指定网口迁移、限制迁移速度、启用压缩传输，同时虚拟机迁移过程中如因数据写入量过大迁移不完，可支持强制切换操作。</w:t>
            </w:r>
          </w:p>
        </w:tc>
      </w:tr>
      <w:tr w14:paraId="2E18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28" w:type="pct"/>
            <w:vMerge w:val="continue"/>
            <w:vAlign w:val="center"/>
          </w:tcPr>
          <w:p w14:paraId="621F52D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3252F10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需要支持平台与UPS电源联动，可在市电断电时通过UPS临时供应电量，当UPS电量过低时，按照虚拟机优先级先将不重要的虚拟机进行软关机</w:t>
            </w:r>
          </w:p>
        </w:tc>
      </w:tr>
      <w:tr w14:paraId="0788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8" w:type="pct"/>
            <w:vMerge w:val="restart"/>
            <w:vAlign w:val="center"/>
          </w:tcPr>
          <w:p w14:paraId="0B3F68C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网络虚拟化功能要求</w:t>
            </w:r>
          </w:p>
        </w:tc>
        <w:tc>
          <w:tcPr>
            <w:tcW w:w="4372" w:type="pct"/>
            <w:vAlign w:val="center"/>
          </w:tcPr>
          <w:p w14:paraId="23C43AF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为了提升我单位运维人员部署效率，需要能够在图形化管理平台上，通过托、拉、拽方式完成虚拟网络拓扑创建，能够通过同一界面中的功能按键，实现虚拟网络连接、开启和关闭等操作。（需提供产品功能截图)</w:t>
            </w:r>
          </w:p>
        </w:tc>
      </w:tr>
      <w:tr w14:paraId="599D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28" w:type="pct"/>
            <w:vMerge w:val="continue"/>
            <w:vAlign w:val="center"/>
          </w:tcPr>
          <w:p w14:paraId="6C95909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589BFC9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为了提升排障效率，获取可靠的网络连通性信息，要求支持跳转连通性探测页面，可以设置探测对象信息，包括网口、对象类型、IP地址，可以点击开始探测按钮查看探测页面信息，可以在网络连通性探测页面查看网络探测是否成功</w:t>
            </w:r>
          </w:p>
        </w:tc>
      </w:tr>
      <w:tr w14:paraId="0EB8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pct"/>
            <w:vMerge w:val="continue"/>
            <w:vAlign w:val="center"/>
          </w:tcPr>
          <w:p w14:paraId="02D648E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66E69B6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通常业务虚拟机出现网络问题，运维人员需要逐个排查效率较低，为方便运维人员根据虚机间流量情况跟踪排障，方便快速定位问题，及时优化调整安全策略，超融合需提供网络可视化功能，在图形化界面观察到所有虚拟机的流量走向与访问关系，包括源对象、源IP、目标对象、目的IP、访问次数、服务类型等信息。</w:t>
            </w:r>
          </w:p>
        </w:tc>
      </w:tr>
      <w:tr w14:paraId="6D3F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28" w:type="pct"/>
            <w:vMerge w:val="restart"/>
            <w:vAlign w:val="center"/>
          </w:tcPr>
          <w:p w14:paraId="10771B6F">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存储虚拟化功能要求</w:t>
            </w:r>
          </w:p>
        </w:tc>
        <w:tc>
          <w:tcPr>
            <w:tcW w:w="4372" w:type="pct"/>
            <w:vAlign w:val="center"/>
          </w:tcPr>
          <w:p w14:paraId="783B4F2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硬件故障对平台影响较大，也会影响数据安全，为保障业务在硬件故障后尽快恢复冗余数据保障，支持数据重建优先级调整，可以查看数据重建信息，包括重建的对象名称、类型、数据量和优先级等信息，支持对不同对象的重建优先级进行调整，保证重要的业务优先恢复</w:t>
            </w:r>
          </w:p>
        </w:tc>
      </w:tr>
      <w:tr w14:paraId="0871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8" w:type="pct"/>
            <w:vMerge w:val="continue"/>
            <w:vAlign w:val="center"/>
          </w:tcPr>
          <w:p w14:paraId="4A15D56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1EAB0C99">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支持快照功能。快照类型支持存储快照、磁盘快照。支持静默快照功能。（需提供产品功能截图证明）</w:t>
            </w:r>
          </w:p>
        </w:tc>
      </w:tr>
      <w:tr w14:paraId="4190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28" w:type="pct"/>
            <w:vMerge w:val="continue"/>
            <w:vAlign w:val="center"/>
          </w:tcPr>
          <w:p w14:paraId="533EEAE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2A706D46">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为保障业务在硬件故障情况下的性能稳定性，需要平台支持数据重建，为避免数据重建过程中IO抢占导致对业务的性能造成影响，同时要求对数据重建速度进行智能限速</w:t>
            </w:r>
          </w:p>
        </w:tc>
      </w:tr>
      <w:tr w14:paraId="57D8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8" w:type="pct"/>
            <w:vMerge w:val="continue"/>
            <w:vAlign w:val="center"/>
          </w:tcPr>
          <w:p w14:paraId="2448E42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0BDAB13A">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 xml:space="preserve">支持多种硬盘状态检测监控及告警，包括“正常”状态、“告警”状态、“严重告警”状态，不同状态的硬盘在UI上呈现不同的特征或告警，让用户能够区分处理。（需提供产品功能截图） </w:t>
            </w:r>
          </w:p>
        </w:tc>
      </w:tr>
      <w:tr w14:paraId="6953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pct"/>
            <w:vMerge w:val="restart"/>
            <w:vAlign w:val="center"/>
          </w:tcPr>
          <w:p w14:paraId="792A119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云管理平台功能要求</w:t>
            </w:r>
          </w:p>
        </w:tc>
        <w:tc>
          <w:tcPr>
            <w:tcW w:w="4372" w:type="pct"/>
            <w:vAlign w:val="center"/>
          </w:tcPr>
          <w:p w14:paraId="33F8E6C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▲为方便运维管理，扩容的计算节点需能够与原有云计算资源池组成一个集群并统一管理</w:t>
            </w:r>
            <w:r>
              <w:rPr>
                <w:rFonts w:hint="default" w:ascii="宋体" w:hAnsi="宋体" w:cs="宋体"/>
                <w:color w:val="auto"/>
                <w:kern w:val="0"/>
                <w:sz w:val="24"/>
                <w:highlight w:val="none"/>
              </w:rPr>
              <w:t>（在接到采购人书面通知后</w:t>
            </w:r>
            <w:r>
              <w:rPr>
                <w:rFonts w:hint="eastAsia" w:ascii="宋体" w:hAnsi="宋体" w:cs="宋体"/>
                <w:color w:val="auto"/>
                <w:kern w:val="0"/>
                <w:sz w:val="24"/>
                <w:highlight w:val="none"/>
              </w:rPr>
              <w:t>7</w:t>
            </w:r>
            <w:r>
              <w:rPr>
                <w:rFonts w:hint="default" w:ascii="宋体" w:hAnsi="宋体" w:cs="宋体"/>
                <w:color w:val="auto"/>
                <w:kern w:val="0"/>
                <w:sz w:val="24"/>
                <w:highlight w:val="none"/>
              </w:rPr>
              <w:t>天内进行产品兼容性与接入测试，测试结果不通过或不满足的，成交供应商须自愿放弃中标资格并向采购人出具弃标函。成交供应商未向采购人出具弃标函的，不影响采购活动的进行，采购人可以按照评审报告推荐的成交候选人名单排序，确定下一候选人为成交供应商，也可以重新开展政府采购活动。）</w:t>
            </w:r>
          </w:p>
        </w:tc>
      </w:tr>
      <w:tr w14:paraId="08BB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pct"/>
            <w:vMerge w:val="continue"/>
            <w:vAlign w:val="center"/>
          </w:tcPr>
          <w:p w14:paraId="7794A72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4923C6B8">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支持在云平台按租户/子账户层级结构创建自定义属性，创建属性后，用户可以将属性关联给虚拟机，并指定属性关联的值，方便用户对资产进行归类和标记（需提供产品功能截图）</w:t>
            </w:r>
          </w:p>
        </w:tc>
      </w:tr>
      <w:tr w14:paraId="04C1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28" w:type="pct"/>
            <w:vMerge w:val="continue"/>
            <w:vAlign w:val="center"/>
          </w:tcPr>
          <w:p w14:paraId="6D18B1C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5A9CF66D">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云计算管理平台，和底层资源池部分的（计算虚拟化、存储虚拟化、网络虚拟化）均为同一厂商品牌提供，并可以支持扩展同一品牌的网络和安全虚拟化（虚拟应用防火墙、虚拟应用负载均衡等）功能组件，以保障平台的扩展性和兼容性</w:t>
            </w:r>
          </w:p>
        </w:tc>
      </w:tr>
      <w:tr w14:paraId="7ABF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pct"/>
            <w:vMerge w:val="continue"/>
            <w:vAlign w:val="center"/>
          </w:tcPr>
          <w:p w14:paraId="21348FD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55123B2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★提供标准的OpenStack API（为满足集成或者二次开发的需求中标后合同签订时需提供API文档）</w:t>
            </w:r>
          </w:p>
        </w:tc>
      </w:tr>
      <w:tr w14:paraId="7AE3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28" w:type="pct"/>
            <w:vMerge w:val="continue"/>
            <w:vAlign w:val="center"/>
          </w:tcPr>
          <w:p w14:paraId="507B112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372" w:type="pct"/>
            <w:vAlign w:val="center"/>
          </w:tcPr>
          <w:p w14:paraId="45A34022">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支持上传或利用现有云主机创建镜像，可对镜像进行管理、关联资源池等操作，可通过镜像实现一键快速创建云主机、安全组件、数据库等高级服务组件；支持将镜像分发至不同版本的资源池，当数据中心存在多个版本资源池时，无需手动多次上传。</w:t>
            </w:r>
          </w:p>
        </w:tc>
      </w:tr>
      <w:tr w14:paraId="137C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28" w:type="pct"/>
            <w:vAlign w:val="center"/>
          </w:tcPr>
          <w:p w14:paraId="237D431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资质要求</w:t>
            </w:r>
          </w:p>
        </w:tc>
        <w:tc>
          <w:tcPr>
            <w:tcW w:w="4372" w:type="pct"/>
            <w:vAlign w:val="center"/>
          </w:tcPr>
          <w:p w14:paraId="2980CA8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★为保障企业云安全能力的成熟度与技术程度，云平台厂商需通过CS-CMMI5云安全能力成熟度集成认证</w:t>
            </w:r>
          </w:p>
        </w:tc>
      </w:tr>
      <w:tr w14:paraId="2E41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28" w:type="pct"/>
            <w:vAlign w:val="center"/>
          </w:tcPr>
          <w:p w14:paraId="3AD30C2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质量保证与售后服务</w:t>
            </w:r>
          </w:p>
        </w:tc>
        <w:tc>
          <w:tcPr>
            <w:tcW w:w="4372" w:type="pct"/>
            <w:vAlign w:val="center"/>
          </w:tcPr>
          <w:p w14:paraId="7F9D42F0">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提供原厂上门初始安装服务；提供三年免费软硬件原厂技术支持与售后服务；保证完整原厂包装不开封。中标后合同签订时提供原厂售后服务承诺函和满足上述参数的权威机构检验报告及产品官网链接说明。</w:t>
            </w:r>
          </w:p>
        </w:tc>
      </w:tr>
    </w:tbl>
    <w:p w14:paraId="144C9C38">
      <w:pPr>
        <w:pStyle w:val="124"/>
        <w:numPr>
          <w:ilvl w:val="0"/>
          <w:numId w:val="9"/>
        </w:numPr>
        <w:ind w:firstLineChars="0"/>
        <w:rPr>
          <w:rFonts w:ascii="宋体" w:hAnsi="宋体"/>
          <w:color w:val="auto"/>
          <w:sz w:val="28"/>
          <w:szCs w:val="28"/>
          <w:highlight w:val="none"/>
        </w:rPr>
      </w:pPr>
      <w:r>
        <w:rPr>
          <w:rFonts w:hint="eastAsia" w:ascii="宋体" w:hAnsi="宋体"/>
          <w:color w:val="auto"/>
          <w:sz w:val="28"/>
          <w:szCs w:val="28"/>
          <w:highlight w:val="none"/>
        </w:rPr>
        <w:t>云安全资源池</w:t>
      </w:r>
    </w:p>
    <w:tbl>
      <w:tblPr>
        <w:tblStyle w:val="41"/>
        <w:tblW w:w="5000" w:type="pct"/>
        <w:tblInd w:w="0" w:type="dxa"/>
        <w:tblLayout w:type="autofit"/>
        <w:tblCellMar>
          <w:top w:w="15" w:type="dxa"/>
          <w:left w:w="15" w:type="dxa"/>
          <w:bottom w:w="15" w:type="dxa"/>
          <w:right w:w="15" w:type="dxa"/>
        </w:tblCellMar>
      </w:tblPr>
      <w:tblGrid>
        <w:gridCol w:w="1348"/>
        <w:gridCol w:w="7640"/>
      </w:tblGrid>
      <w:tr w14:paraId="67EF5425">
        <w:tblPrEx>
          <w:tblCellMar>
            <w:top w:w="15" w:type="dxa"/>
            <w:left w:w="15" w:type="dxa"/>
            <w:bottom w:w="15" w:type="dxa"/>
            <w:right w:w="15" w:type="dxa"/>
          </w:tblCellMar>
        </w:tblPrEx>
        <w:trPr>
          <w:trHeight w:val="285" w:hRule="atLeast"/>
        </w:trPr>
        <w:tc>
          <w:tcPr>
            <w:tcW w:w="750" w:type="pct"/>
            <w:tcBorders>
              <w:top w:val="single" w:color="000000" w:sz="4" w:space="0"/>
              <w:left w:val="single" w:color="000000" w:sz="4" w:space="0"/>
              <w:bottom w:val="single" w:color="000000" w:sz="4" w:space="0"/>
              <w:right w:val="single" w:color="000000" w:sz="4" w:space="0"/>
            </w:tcBorders>
            <w:vAlign w:val="center"/>
          </w:tcPr>
          <w:p w14:paraId="7DCF0910">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1"/>
                <w:szCs w:val="21"/>
                <w:highlight w:val="none"/>
              </w:rPr>
            </w:pPr>
            <w:r>
              <w:rPr>
                <w:rFonts w:hint="eastAsia" w:ascii="宋体" w:hAnsi="宋体" w:cs="Calibri"/>
                <w:b/>
                <w:bCs/>
                <w:color w:val="auto"/>
                <w:sz w:val="21"/>
                <w:szCs w:val="21"/>
                <w:highlight w:val="none"/>
              </w:rPr>
              <w:t>功能项</w:t>
            </w:r>
          </w:p>
        </w:tc>
        <w:tc>
          <w:tcPr>
            <w:tcW w:w="4250" w:type="pct"/>
            <w:tcBorders>
              <w:top w:val="single" w:color="000000" w:sz="4" w:space="0"/>
              <w:left w:val="single" w:color="000000" w:sz="4" w:space="0"/>
              <w:bottom w:val="single" w:color="000000" w:sz="4" w:space="0"/>
              <w:right w:val="single" w:color="000000" w:sz="4" w:space="0"/>
            </w:tcBorders>
            <w:vAlign w:val="center"/>
          </w:tcPr>
          <w:p w14:paraId="400503DB">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1"/>
                <w:szCs w:val="21"/>
                <w:highlight w:val="none"/>
              </w:rPr>
            </w:pPr>
            <w:r>
              <w:rPr>
                <w:rFonts w:hint="eastAsia" w:ascii="宋体" w:hAnsi="宋体" w:cs="Calibri"/>
                <w:b/>
                <w:bCs/>
                <w:color w:val="auto"/>
                <w:sz w:val="21"/>
                <w:szCs w:val="21"/>
                <w:highlight w:val="none"/>
              </w:rPr>
              <w:t>技术参数要求</w:t>
            </w:r>
          </w:p>
        </w:tc>
      </w:tr>
      <w:tr w14:paraId="7725FF97">
        <w:tblPrEx>
          <w:tblCellMar>
            <w:top w:w="15" w:type="dxa"/>
            <w:left w:w="15" w:type="dxa"/>
            <w:bottom w:w="15" w:type="dxa"/>
            <w:right w:w="15" w:type="dxa"/>
          </w:tblCellMar>
        </w:tblPrEx>
        <w:trPr>
          <w:trHeight w:val="90" w:hRule="atLeast"/>
        </w:trPr>
        <w:tc>
          <w:tcPr>
            <w:tcW w:w="750" w:type="pct"/>
            <w:vMerge w:val="restart"/>
            <w:tcBorders>
              <w:top w:val="single" w:color="000000" w:sz="4" w:space="0"/>
              <w:left w:val="single" w:color="000000" w:sz="4" w:space="0"/>
              <w:right w:val="single" w:color="000000" w:sz="4" w:space="0"/>
            </w:tcBorders>
            <w:vAlign w:val="center"/>
          </w:tcPr>
          <w:p w14:paraId="61B6E7B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组件规格</w:t>
            </w:r>
          </w:p>
        </w:tc>
        <w:tc>
          <w:tcPr>
            <w:tcW w:w="4250" w:type="pct"/>
            <w:tcBorders>
              <w:top w:val="single" w:color="000000" w:sz="4" w:space="0"/>
              <w:left w:val="single" w:color="000000" w:sz="4" w:space="0"/>
              <w:bottom w:val="single" w:color="000000" w:sz="4" w:space="0"/>
              <w:right w:val="single" w:color="000000" w:sz="4" w:space="0"/>
            </w:tcBorders>
            <w:vAlign w:val="center"/>
          </w:tcPr>
          <w:p w14:paraId="044ED1EF">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云安全资源池平台必须能够提供虚拟下一代防火墙、虚拟数据库审计、虚拟运维安全管理、虚拟日志审计等独立的安全组件，还能够集成第三方生态产品以扩充平台安全能力。</w:t>
            </w:r>
          </w:p>
        </w:tc>
      </w:tr>
      <w:tr w14:paraId="125CE79E">
        <w:tblPrEx>
          <w:tblCellMar>
            <w:top w:w="15" w:type="dxa"/>
            <w:left w:w="15" w:type="dxa"/>
            <w:bottom w:w="15" w:type="dxa"/>
            <w:right w:w="15" w:type="dxa"/>
          </w:tblCellMar>
        </w:tblPrEx>
        <w:trPr>
          <w:trHeight w:val="90" w:hRule="atLeast"/>
        </w:trPr>
        <w:tc>
          <w:tcPr>
            <w:tcW w:w="750" w:type="pct"/>
            <w:vMerge w:val="continue"/>
            <w:tcBorders>
              <w:left w:val="single" w:color="000000" w:sz="4" w:space="0"/>
              <w:bottom w:val="single" w:color="000000" w:sz="4" w:space="0"/>
              <w:right w:val="single" w:color="000000" w:sz="4" w:space="0"/>
            </w:tcBorders>
            <w:vAlign w:val="center"/>
          </w:tcPr>
          <w:p w14:paraId="5ED47E00">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1EBD950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★支持在系统界面上以滑尺方式动态分配安全组件的性能规格，同时支持已分配组件规格的动态变更和授权回收，回收后的授权可以分配给其他用户和其他类型的安全组件使用。</w:t>
            </w:r>
          </w:p>
        </w:tc>
      </w:tr>
      <w:tr w14:paraId="6A89D96B">
        <w:tblPrEx>
          <w:tblCellMar>
            <w:top w:w="15" w:type="dxa"/>
            <w:left w:w="15" w:type="dxa"/>
            <w:bottom w:w="15" w:type="dxa"/>
            <w:right w:w="15" w:type="dxa"/>
          </w:tblCellMar>
        </w:tblPrEx>
        <w:trPr>
          <w:trHeight w:val="660" w:hRule="atLeast"/>
        </w:trPr>
        <w:tc>
          <w:tcPr>
            <w:tcW w:w="750" w:type="pct"/>
            <w:tcBorders>
              <w:top w:val="single" w:color="000000" w:sz="4" w:space="0"/>
              <w:left w:val="single" w:color="000000" w:sz="4" w:space="0"/>
              <w:right w:val="single" w:color="000000" w:sz="4" w:space="0"/>
            </w:tcBorders>
            <w:vAlign w:val="center"/>
          </w:tcPr>
          <w:p w14:paraId="2D8EEF2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★平台兼容性</w:t>
            </w:r>
          </w:p>
        </w:tc>
        <w:tc>
          <w:tcPr>
            <w:tcW w:w="4250" w:type="pct"/>
            <w:tcBorders>
              <w:top w:val="single" w:color="000000" w:sz="4" w:space="0"/>
              <w:left w:val="single" w:color="000000" w:sz="4" w:space="0"/>
              <w:bottom w:val="single" w:color="000000" w:sz="4" w:space="0"/>
              <w:right w:val="single" w:color="000000" w:sz="4" w:space="0"/>
            </w:tcBorders>
            <w:vAlign w:val="center"/>
          </w:tcPr>
          <w:p w14:paraId="2B42B82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安全组件平台和云计算资源池（计算虚拟化、存储虚拟化、网络虚拟化）应为同一厂商品牌提供，以保障平台的扩展性和兼容性。</w:t>
            </w:r>
          </w:p>
        </w:tc>
      </w:tr>
      <w:tr w14:paraId="2C727F3F">
        <w:tblPrEx>
          <w:tblCellMar>
            <w:top w:w="15" w:type="dxa"/>
            <w:left w:w="15" w:type="dxa"/>
            <w:bottom w:w="15" w:type="dxa"/>
            <w:right w:w="15" w:type="dxa"/>
          </w:tblCellMar>
        </w:tblPrEx>
        <w:trPr>
          <w:trHeight w:val="826" w:hRule="atLeast"/>
        </w:trPr>
        <w:tc>
          <w:tcPr>
            <w:tcW w:w="750" w:type="pct"/>
            <w:tcBorders>
              <w:top w:val="single" w:color="000000" w:sz="4" w:space="0"/>
              <w:left w:val="single" w:color="000000" w:sz="4" w:space="0"/>
              <w:right w:val="single" w:color="000000" w:sz="4" w:space="0"/>
            </w:tcBorders>
            <w:vAlign w:val="center"/>
          </w:tcPr>
          <w:p w14:paraId="5A81160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系统管理</w:t>
            </w:r>
          </w:p>
        </w:tc>
        <w:tc>
          <w:tcPr>
            <w:tcW w:w="4250" w:type="pct"/>
            <w:tcBorders>
              <w:top w:val="single" w:color="000000" w:sz="4" w:space="0"/>
              <w:left w:val="single" w:color="000000" w:sz="4" w:space="0"/>
              <w:bottom w:val="single" w:color="000000" w:sz="4" w:space="0"/>
              <w:right w:val="single" w:color="000000" w:sz="4" w:space="0"/>
            </w:tcBorders>
            <w:vAlign w:val="center"/>
          </w:tcPr>
          <w:p w14:paraId="0802E727">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支持将第三方安全产品快速导入和发布到安全资源池应用市场，导入后的第三方应用可以按需分配给不同租户使用，并与内置应用在一个安全服务链里进行编排</w:t>
            </w:r>
          </w:p>
        </w:tc>
      </w:tr>
      <w:tr w14:paraId="5C85D904">
        <w:tblPrEx>
          <w:tblCellMar>
            <w:top w:w="15" w:type="dxa"/>
            <w:left w:w="15" w:type="dxa"/>
            <w:bottom w:w="15" w:type="dxa"/>
            <w:right w:w="15" w:type="dxa"/>
          </w:tblCellMar>
        </w:tblPrEx>
        <w:trPr>
          <w:trHeight w:val="398" w:hRule="atLeast"/>
        </w:trPr>
        <w:tc>
          <w:tcPr>
            <w:tcW w:w="750" w:type="pct"/>
            <w:vMerge w:val="restart"/>
            <w:tcBorders>
              <w:top w:val="single" w:color="000000" w:sz="4" w:space="0"/>
              <w:left w:val="single" w:color="000000" w:sz="4" w:space="0"/>
              <w:right w:val="single" w:color="000000" w:sz="4" w:space="0"/>
            </w:tcBorders>
            <w:vAlign w:val="center"/>
          </w:tcPr>
          <w:p w14:paraId="207D470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虚拟化下一代防火墙</w:t>
            </w:r>
          </w:p>
        </w:tc>
        <w:tc>
          <w:tcPr>
            <w:tcW w:w="4250" w:type="pct"/>
            <w:tcBorders>
              <w:top w:val="single" w:color="000000" w:sz="4" w:space="0"/>
              <w:left w:val="single" w:color="000000" w:sz="4" w:space="0"/>
              <w:bottom w:val="single" w:color="000000" w:sz="4" w:space="0"/>
              <w:right w:val="single" w:color="000000" w:sz="4" w:space="0"/>
            </w:tcBorders>
            <w:vAlign w:val="center"/>
          </w:tcPr>
          <w:p w14:paraId="526705E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default" w:ascii="宋体" w:hAnsi="宋体" w:cs="宋体"/>
                <w:color w:val="auto"/>
                <w:kern w:val="0"/>
                <w:sz w:val="24"/>
                <w:highlight w:val="none"/>
              </w:rPr>
              <w:t>▲</w:t>
            </w:r>
            <w:r>
              <w:rPr>
                <w:rFonts w:hint="eastAsia" w:ascii="宋体" w:hAnsi="宋体" w:cs="宋体"/>
                <w:color w:val="auto"/>
                <w:kern w:val="0"/>
                <w:sz w:val="24"/>
                <w:highlight w:val="none"/>
              </w:rPr>
              <w:t>本次提供</w:t>
            </w:r>
            <w:r>
              <w:rPr>
                <w:rFonts w:hint="default" w:ascii="宋体" w:hAnsi="宋体" w:cs="宋体"/>
                <w:color w:val="auto"/>
                <w:kern w:val="0"/>
                <w:sz w:val="24"/>
                <w:highlight w:val="none"/>
              </w:rPr>
              <w:t>1</w:t>
            </w:r>
            <w:r>
              <w:rPr>
                <w:rFonts w:hint="eastAsia" w:ascii="宋体" w:hAnsi="宋体" w:cs="宋体"/>
                <w:color w:val="auto"/>
                <w:kern w:val="0"/>
                <w:sz w:val="24"/>
                <w:highlight w:val="none"/>
              </w:rPr>
              <w:t>套虚拟化下一代防火墙，性能要求：支持带宽性能≥</w:t>
            </w:r>
            <w:r>
              <w:rPr>
                <w:rFonts w:hint="default" w:ascii="宋体" w:hAnsi="宋体" w:cs="宋体"/>
                <w:color w:val="auto"/>
                <w:kern w:val="0"/>
                <w:sz w:val="24"/>
                <w:highlight w:val="none"/>
              </w:rPr>
              <w:t>1</w:t>
            </w:r>
            <w:r>
              <w:rPr>
                <w:rFonts w:hint="eastAsia" w:ascii="宋体" w:hAnsi="宋体" w:cs="宋体"/>
                <w:color w:val="auto"/>
                <w:kern w:val="0"/>
                <w:sz w:val="24"/>
                <w:highlight w:val="none"/>
              </w:rPr>
              <w:t>00M，新建会话≥</w:t>
            </w:r>
            <w:r>
              <w:rPr>
                <w:rFonts w:hint="default" w:ascii="宋体" w:hAnsi="宋体" w:cs="宋体"/>
                <w:color w:val="auto"/>
                <w:kern w:val="0"/>
                <w:sz w:val="24"/>
                <w:highlight w:val="none"/>
              </w:rPr>
              <w:t>1</w:t>
            </w:r>
            <w:r>
              <w:rPr>
                <w:rFonts w:hint="eastAsia" w:ascii="宋体" w:hAnsi="宋体" w:cs="宋体"/>
                <w:color w:val="auto"/>
                <w:kern w:val="0"/>
                <w:sz w:val="24"/>
                <w:highlight w:val="none"/>
              </w:rPr>
              <w:t>0000，并发会话数≥</w:t>
            </w:r>
            <w:r>
              <w:rPr>
                <w:rFonts w:hint="default" w:ascii="宋体" w:hAnsi="宋体" w:cs="宋体"/>
                <w:color w:val="auto"/>
                <w:kern w:val="0"/>
                <w:sz w:val="24"/>
                <w:highlight w:val="none"/>
              </w:rPr>
              <w:t>5</w:t>
            </w:r>
            <w:r>
              <w:rPr>
                <w:rFonts w:hint="eastAsia" w:ascii="宋体" w:hAnsi="宋体" w:cs="宋体"/>
                <w:color w:val="auto"/>
                <w:kern w:val="0"/>
                <w:sz w:val="24"/>
                <w:highlight w:val="none"/>
              </w:rPr>
              <w:t>00000，为保障一体化安全效果，本次所购防火墙需支持与现有态势感知平台联动，将防火墙产品产生的安全日志等数据上报至传到安全态势感知平台做关联分析，以及接收安全态势感知平台的联动指令，对危险IP实现联动封锁。（中标后签订合同前由产品厂商提供盖章证明函或提供所投产品进行联动功能测试）。</w:t>
            </w:r>
          </w:p>
        </w:tc>
      </w:tr>
      <w:tr w14:paraId="3E6BD8D2">
        <w:tblPrEx>
          <w:tblCellMar>
            <w:top w:w="15" w:type="dxa"/>
            <w:left w:w="15" w:type="dxa"/>
            <w:bottom w:w="15" w:type="dxa"/>
            <w:right w:w="15" w:type="dxa"/>
          </w:tblCellMar>
        </w:tblPrEx>
        <w:trPr>
          <w:trHeight w:val="648" w:hRule="atLeast"/>
        </w:trPr>
        <w:tc>
          <w:tcPr>
            <w:tcW w:w="750" w:type="pct"/>
            <w:vMerge w:val="continue"/>
            <w:tcBorders>
              <w:left w:val="single" w:color="000000" w:sz="4" w:space="0"/>
              <w:right w:val="single" w:color="000000" w:sz="4" w:space="0"/>
            </w:tcBorders>
            <w:vAlign w:val="center"/>
          </w:tcPr>
          <w:p w14:paraId="061A64B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2C9C557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★产品内置超过4000种WEB应用攻击特征，支持对跨站脚本（XSS）攻击、SQL注入、文件包含攻击、信息泄露攻击、WEBSHELL、网站扫描、网页木马等攻击类型进行防护。（需提供产品功能截图证明）</w:t>
            </w:r>
          </w:p>
        </w:tc>
      </w:tr>
      <w:tr w14:paraId="43FCAFE9">
        <w:tblPrEx>
          <w:tblCellMar>
            <w:top w:w="15" w:type="dxa"/>
            <w:left w:w="15" w:type="dxa"/>
            <w:bottom w:w="15" w:type="dxa"/>
            <w:right w:w="15" w:type="dxa"/>
          </w:tblCellMar>
        </w:tblPrEx>
        <w:trPr>
          <w:trHeight w:val="648" w:hRule="atLeast"/>
        </w:trPr>
        <w:tc>
          <w:tcPr>
            <w:tcW w:w="750" w:type="pct"/>
            <w:vMerge w:val="continue"/>
            <w:tcBorders>
              <w:left w:val="single" w:color="000000" w:sz="4" w:space="0"/>
              <w:right w:val="single" w:color="000000" w:sz="4" w:space="0"/>
            </w:tcBorders>
            <w:vAlign w:val="center"/>
          </w:tcPr>
          <w:p w14:paraId="3DC16A9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7CCD9B0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支持三权分立功能，根据用户权限分为安全管理员、审计员、系统管理员三种角色；</w:t>
            </w:r>
          </w:p>
        </w:tc>
      </w:tr>
      <w:tr w14:paraId="451FEC58">
        <w:tblPrEx>
          <w:tblCellMar>
            <w:top w:w="15" w:type="dxa"/>
            <w:left w:w="15" w:type="dxa"/>
            <w:bottom w:w="15" w:type="dxa"/>
            <w:right w:w="15" w:type="dxa"/>
          </w:tblCellMar>
        </w:tblPrEx>
        <w:trPr>
          <w:trHeight w:val="648" w:hRule="atLeast"/>
        </w:trPr>
        <w:tc>
          <w:tcPr>
            <w:tcW w:w="750" w:type="pct"/>
            <w:vMerge w:val="continue"/>
            <w:tcBorders>
              <w:left w:val="single" w:color="000000" w:sz="4" w:space="0"/>
              <w:right w:val="single" w:color="000000" w:sz="4" w:space="0"/>
            </w:tcBorders>
            <w:vAlign w:val="center"/>
          </w:tcPr>
          <w:p w14:paraId="214BA35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27B1D436">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支持产品支持对ICMP、UDP、DNS、SYN等协议进行DDOS防护，支持IP地址扫描和端口扫描攻击防护。</w:t>
            </w:r>
          </w:p>
        </w:tc>
      </w:tr>
      <w:tr w14:paraId="16DC957B">
        <w:tblPrEx>
          <w:tblCellMar>
            <w:top w:w="15" w:type="dxa"/>
            <w:left w:w="15" w:type="dxa"/>
            <w:bottom w:w="15" w:type="dxa"/>
            <w:right w:w="15" w:type="dxa"/>
          </w:tblCellMar>
        </w:tblPrEx>
        <w:trPr>
          <w:trHeight w:val="648" w:hRule="atLeast"/>
        </w:trPr>
        <w:tc>
          <w:tcPr>
            <w:tcW w:w="750" w:type="pct"/>
            <w:vMerge w:val="continue"/>
            <w:tcBorders>
              <w:left w:val="single" w:color="000000" w:sz="4" w:space="0"/>
              <w:bottom w:val="single" w:color="000000" w:sz="4" w:space="0"/>
              <w:right w:val="single" w:color="000000" w:sz="4" w:space="0"/>
            </w:tcBorders>
            <w:vAlign w:val="center"/>
          </w:tcPr>
          <w:p w14:paraId="24008478">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3BC51AB8">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产品支持对压缩病毒文件进行检测和拦截，压缩层数支持15层及以上。（需提供产品功能截图证明）</w:t>
            </w:r>
          </w:p>
        </w:tc>
      </w:tr>
      <w:tr w14:paraId="49986EAC">
        <w:tblPrEx>
          <w:tblCellMar>
            <w:top w:w="15" w:type="dxa"/>
            <w:left w:w="15" w:type="dxa"/>
            <w:bottom w:w="15" w:type="dxa"/>
            <w:right w:w="15" w:type="dxa"/>
          </w:tblCellMar>
        </w:tblPrEx>
        <w:trPr>
          <w:trHeight w:val="648" w:hRule="atLeast"/>
        </w:trPr>
        <w:tc>
          <w:tcPr>
            <w:tcW w:w="750" w:type="pct"/>
            <w:vMerge w:val="restart"/>
            <w:tcBorders>
              <w:top w:val="single" w:color="000000" w:sz="4" w:space="0"/>
              <w:left w:val="single" w:color="000000" w:sz="4" w:space="0"/>
              <w:right w:val="single" w:color="000000" w:sz="4" w:space="0"/>
            </w:tcBorders>
            <w:vAlign w:val="center"/>
          </w:tcPr>
          <w:p w14:paraId="27AFE00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虚拟化数据库审计</w:t>
            </w:r>
          </w:p>
        </w:tc>
        <w:tc>
          <w:tcPr>
            <w:tcW w:w="4250" w:type="pct"/>
            <w:tcBorders>
              <w:top w:val="single" w:color="000000" w:sz="4" w:space="0"/>
              <w:left w:val="single" w:color="000000" w:sz="4" w:space="0"/>
              <w:bottom w:val="single" w:color="000000" w:sz="4" w:space="0"/>
              <w:right w:val="single" w:color="000000" w:sz="4" w:space="0"/>
            </w:tcBorders>
            <w:vAlign w:val="center"/>
          </w:tcPr>
          <w:p w14:paraId="5F4064D0">
            <w:pPr>
              <w:keepNext w:val="0"/>
              <w:keepLines w:val="0"/>
              <w:widowControl/>
              <w:suppressLineNumbers w:val="0"/>
              <w:spacing w:before="0" w:beforeAutospacing="0" w:after="0" w:afterAutospacing="0" w:line="276" w:lineRule="auto"/>
              <w:ind w:left="0" w:right="0"/>
              <w:jc w:val="left"/>
              <w:rPr>
                <w:rFonts w:hint="eastAsia" w:ascii="宋体" w:hAnsi="宋体" w:cs="宋体"/>
                <w:color w:val="auto"/>
                <w:kern w:val="0"/>
                <w:sz w:val="24"/>
                <w:highlight w:val="none"/>
              </w:rPr>
            </w:pPr>
            <w:r>
              <w:rPr>
                <w:rFonts w:hint="default" w:ascii="宋体" w:hAnsi="宋体" w:cs="宋体"/>
                <w:color w:val="auto"/>
                <w:kern w:val="0"/>
                <w:sz w:val="24"/>
                <w:highlight w:val="none"/>
              </w:rPr>
              <w:t>▲</w:t>
            </w:r>
            <w:r>
              <w:rPr>
                <w:rFonts w:hint="eastAsia" w:ascii="宋体" w:hAnsi="宋体" w:cs="宋体"/>
                <w:color w:val="auto"/>
                <w:kern w:val="0"/>
                <w:sz w:val="24"/>
                <w:highlight w:val="none"/>
              </w:rPr>
              <w:t>本次提供1套虚拟化数据库审计，性能要求：日志存储≥10亿条/天，内存≥8G，数据库流量（单向）：300Mb/s</w:t>
            </w:r>
          </w:p>
        </w:tc>
      </w:tr>
      <w:tr w14:paraId="00CF6E26">
        <w:tblPrEx>
          <w:tblCellMar>
            <w:top w:w="15" w:type="dxa"/>
            <w:left w:w="15" w:type="dxa"/>
            <w:bottom w:w="15" w:type="dxa"/>
            <w:right w:w="15" w:type="dxa"/>
          </w:tblCellMar>
        </w:tblPrEx>
        <w:trPr>
          <w:trHeight w:val="789" w:hRule="atLeast"/>
        </w:trPr>
        <w:tc>
          <w:tcPr>
            <w:tcW w:w="750" w:type="pct"/>
            <w:vMerge w:val="continue"/>
            <w:tcBorders>
              <w:left w:val="single" w:color="000000" w:sz="4" w:space="0"/>
              <w:right w:val="single" w:color="000000" w:sz="4" w:space="0"/>
            </w:tcBorders>
            <w:vAlign w:val="center"/>
          </w:tcPr>
          <w:p w14:paraId="097D680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575DE134">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支持白名单审计，系统使用审计白名单将非关注的内容进行过滤，不进行记录，降低了存储空间和无用信息的堆砌</w:t>
            </w:r>
          </w:p>
        </w:tc>
      </w:tr>
      <w:tr w14:paraId="0D9904BD">
        <w:tblPrEx>
          <w:tblCellMar>
            <w:top w:w="15" w:type="dxa"/>
            <w:left w:w="15" w:type="dxa"/>
            <w:bottom w:w="15" w:type="dxa"/>
            <w:right w:w="15" w:type="dxa"/>
          </w:tblCellMar>
        </w:tblPrEx>
        <w:trPr>
          <w:trHeight w:val="567" w:hRule="atLeast"/>
        </w:trPr>
        <w:tc>
          <w:tcPr>
            <w:tcW w:w="750" w:type="pct"/>
            <w:vMerge w:val="continue"/>
            <w:tcBorders>
              <w:left w:val="single" w:color="000000" w:sz="4" w:space="0"/>
              <w:bottom w:val="single" w:color="000000" w:sz="4" w:space="0"/>
              <w:right w:val="single" w:color="000000" w:sz="4" w:space="0"/>
            </w:tcBorders>
            <w:vAlign w:val="center"/>
          </w:tcPr>
          <w:p w14:paraId="1978B77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68752FF1">
            <w:pPr>
              <w:keepNext w:val="0"/>
              <w:keepLines w:val="0"/>
              <w:suppressLineNumbers w:val="0"/>
              <w:snapToGrid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精细化日志秒级查询</w:t>
            </w:r>
          </w:p>
          <w:p w14:paraId="31AADA1F">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通过SQL串模式抽取保障磁盘IO的读写性能；分离式存储SQL语句保障数据审计速度快（需提供产品功能截图证shu明）</w:t>
            </w:r>
          </w:p>
        </w:tc>
      </w:tr>
      <w:tr w14:paraId="1C9867F9">
        <w:tblPrEx>
          <w:tblCellMar>
            <w:top w:w="15" w:type="dxa"/>
            <w:left w:w="15" w:type="dxa"/>
            <w:bottom w:w="15" w:type="dxa"/>
            <w:right w:w="15" w:type="dxa"/>
          </w:tblCellMar>
        </w:tblPrEx>
        <w:trPr>
          <w:trHeight w:val="90" w:hRule="atLeast"/>
        </w:trPr>
        <w:tc>
          <w:tcPr>
            <w:tcW w:w="750" w:type="pct"/>
            <w:vMerge w:val="restart"/>
            <w:tcBorders>
              <w:top w:val="single" w:color="000000" w:sz="4" w:space="0"/>
              <w:left w:val="single" w:color="000000" w:sz="4" w:space="0"/>
              <w:right w:val="single" w:color="000000" w:sz="4" w:space="0"/>
            </w:tcBorders>
            <w:vAlign w:val="center"/>
          </w:tcPr>
          <w:p w14:paraId="2B35B1F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虚拟化堡垒机</w:t>
            </w:r>
          </w:p>
        </w:tc>
        <w:tc>
          <w:tcPr>
            <w:tcW w:w="4250" w:type="pct"/>
            <w:tcBorders>
              <w:top w:val="single" w:color="000000" w:sz="4" w:space="0"/>
              <w:left w:val="single" w:color="000000" w:sz="4" w:space="0"/>
              <w:bottom w:val="single" w:color="000000" w:sz="4" w:space="0"/>
              <w:right w:val="single" w:color="000000" w:sz="4" w:space="0"/>
            </w:tcBorders>
            <w:vAlign w:val="center"/>
          </w:tcPr>
          <w:p w14:paraId="73F5C65E">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本次提供1套虚拟化堡垒机，授权要求:包含资产授权数量(个)≥</w:t>
            </w:r>
            <w:r>
              <w:rPr>
                <w:rFonts w:hint="default" w:ascii="宋体" w:hAnsi="宋体" w:cs="宋体"/>
                <w:color w:val="auto"/>
                <w:kern w:val="0"/>
                <w:sz w:val="24"/>
                <w:highlight w:val="none"/>
              </w:rPr>
              <w:t>1</w:t>
            </w:r>
            <w:r>
              <w:rPr>
                <w:rFonts w:hint="eastAsia" w:ascii="宋体" w:hAnsi="宋体" w:cs="宋体"/>
                <w:color w:val="auto"/>
                <w:kern w:val="0"/>
                <w:sz w:val="24"/>
                <w:highlight w:val="none"/>
              </w:rPr>
              <w:t>0</w:t>
            </w:r>
          </w:p>
        </w:tc>
      </w:tr>
      <w:tr w14:paraId="39E6F315">
        <w:tblPrEx>
          <w:tblCellMar>
            <w:top w:w="15" w:type="dxa"/>
            <w:left w:w="15" w:type="dxa"/>
            <w:bottom w:w="15" w:type="dxa"/>
            <w:right w:w="15" w:type="dxa"/>
          </w:tblCellMar>
        </w:tblPrEx>
        <w:trPr>
          <w:trHeight w:val="648" w:hRule="atLeast"/>
        </w:trPr>
        <w:tc>
          <w:tcPr>
            <w:tcW w:w="750" w:type="pct"/>
            <w:vMerge w:val="continue"/>
            <w:tcBorders>
              <w:left w:val="single" w:color="000000" w:sz="4" w:space="0"/>
              <w:right w:val="single" w:color="000000" w:sz="4" w:space="0"/>
            </w:tcBorders>
            <w:vAlign w:val="center"/>
          </w:tcPr>
          <w:p w14:paraId="2E4E3A7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12AA35BB">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★支持通过动作流配置提供广泛的应用接入支持，无论被接入的资源如何设计登录动作，通过动作流配置都可以实现单点登陆和审计接入。（需提供相关功能截图证明）</w:t>
            </w:r>
          </w:p>
        </w:tc>
      </w:tr>
      <w:tr w14:paraId="45664CF6">
        <w:tblPrEx>
          <w:tblCellMar>
            <w:top w:w="15" w:type="dxa"/>
            <w:left w:w="15" w:type="dxa"/>
            <w:bottom w:w="15" w:type="dxa"/>
            <w:right w:w="15" w:type="dxa"/>
          </w:tblCellMar>
        </w:tblPrEx>
        <w:trPr>
          <w:trHeight w:val="648" w:hRule="atLeast"/>
        </w:trPr>
        <w:tc>
          <w:tcPr>
            <w:tcW w:w="750" w:type="pct"/>
            <w:vMerge w:val="continue"/>
            <w:tcBorders>
              <w:left w:val="single" w:color="000000" w:sz="4" w:space="0"/>
              <w:right w:val="single" w:color="000000" w:sz="4" w:space="0"/>
            </w:tcBorders>
            <w:vAlign w:val="center"/>
          </w:tcPr>
          <w:p w14:paraId="1A67DB6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4C0D130A">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支持批量导入、导出资源信息；支持手动添加、删除、编辑、查询资源，支持变更默认运维端口</w:t>
            </w:r>
          </w:p>
        </w:tc>
      </w:tr>
      <w:tr w14:paraId="5BF5EFA3">
        <w:tblPrEx>
          <w:tblCellMar>
            <w:top w:w="15" w:type="dxa"/>
            <w:left w:w="15" w:type="dxa"/>
            <w:bottom w:w="15" w:type="dxa"/>
            <w:right w:w="15" w:type="dxa"/>
          </w:tblCellMar>
        </w:tblPrEx>
        <w:trPr>
          <w:trHeight w:val="648" w:hRule="atLeast"/>
        </w:trPr>
        <w:tc>
          <w:tcPr>
            <w:tcW w:w="750" w:type="pct"/>
            <w:vMerge w:val="continue"/>
            <w:tcBorders>
              <w:left w:val="single" w:color="000000" w:sz="4" w:space="0"/>
              <w:bottom w:val="single" w:color="000000" w:sz="4" w:space="0"/>
              <w:right w:val="single" w:color="000000" w:sz="4" w:space="0"/>
            </w:tcBorders>
            <w:vAlign w:val="center"/>
          </w:tcPr>
          <w:p w14:paraId="6DFA6FD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7B3995D5">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支持在授权基础上自定义访问审批流程，可设置一级或多级审批人，每级审批可指定通过投票数，需逐级审批通过才可最终发起运维操作。</w:t>
            </w:r>
          </w:p>
        </w:tc>
      </w:tr>
      <w:tr w14:paraId="7383A6DD">
        <w:tblPrEx>
          <w:tblCellMar>
            <w:top w:w="15" w:type="dxa"/>
            <w:left w:w="15" w:type="dxa"/>
            <w:bottom w:w="15" w:type="dxa"/>
            <w:right w:w="15" w:type="dxa"/>
          </w:tblCellMar>
        </w:tblPrEx>
        <w:trPr>
          <w:trHeight w:val="440" w:hRule="atLeast"/>
        </w:trPr>
        <w:tc>
          <w:tcPr>
            <w:tcW w:w="750" w:type="pct"/>
            <w:vMerge w:val="restart"/>
            <w:tcBorders>
              <w:top w:val="single" w:color="000000" w:sz="4" w:space="0"/>
              <w:left w:val="single" w:color="000000" w:sz="4" w:space="0"/>
              <w:right w:val="single" w:color="000000" w:sz="4" w:space="0"/>
            </w:tcBorders>
            <w:vAlign w:val="center"/>
          </w:tcPr>
          <w:p w14:paraId="05516A91">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虚拟化日志审计</w:t>
            </w:r>
          </w:p>
        </w:tc>
        <w:tc>
          <w:tcPr>
            <w:tcW w:w="4250" w:type="pct"/>
            <w:tcBorders>
              <w:top w:val="single" w:color="000000" w:sz="4" w:space="0"/>
              <w:left w:val="single" w:color="000000" w:sz="4" w:space="0"/>
              <w:bottom w:val="single" w:color="000000" w:sz="4" w:space="0"/>
              <w:right w:val="single" w:color="000000" w:sz="4" w:space="0"/>
            </w:tcBorders>
            <w:vAlign w:val="center"/>
          </w:tcPr>
          <w:p w14:paraId="2203812F">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本次提供1套虚拟化日志审计，授权要求：包含资产授权数量(个)≥</w:t>
            </w:r>
            <w:r>
              <w:rPr>
                <w:rFonts w:hint="default" w:ascii="宋体" w:hAnsi="宋体" w:cs="宋体"/>
                <w:color w:val="auto"/>
                <w:kern w:val="0"/>
                <w:sz w:val="24"/>
                <w:highlight w:val="none"/>
              </w:rPr>
              <w:t>2</w:t>
            </w:r>
            <w:r>
              <w:rPr>
                <w:rFonts w:hint="eastAsia" w:ascii="宋体" w:hAnsi="宋体" w:cs="宋体"/>
                <w:color w:val="auto"/>
                <w:kern w:val="0"/>
                <w:sz w:val="24"/>
                <w:highlight w:val="none"/>
              </w:rPr>
              <w:t>0</w:t>
            </w:r>
          </w:p>
        </w:tc>
      </w:tr>
      <w:tr w14:paraId="16CFAAD3">
        <w:tblPrEx>
          <w:tblCellMar>
            <w:top w:w="15" w:type="dxa"/>
            <w:left w:w="15" w:type="dxa"/>
            <w:bottom w:w="15" w:type="dxa"/>
            <w:right w:w="15" w:type="dxa"/>
          </w:tblCellMar>
        </w:tblPrEx>
        <w:trPr>
          <w:trHeight w:val="214" w:hRule="atLeast"/>
        </w:trPr>
        <w:tc>
          <w:tcPr>
            <w:tcW w:w="750" w:type="pct"/>
            <w:vMerge w:val="continue"/>
            <w:tcBorders>
              <w:left w:val="single" w:color="000000" w:sz="4" w:space="0"/>
              <w:right w:val="single" w:color="000000" w:sz="4" w:space="0"/>
            </w:tcBorders>
            <w:vAlign w:val="center"/>
          </w:tcPr>
          <w:p w14:paraId="68B29702">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000000" w:sz="4" w:space="0"/>
              <w:right w:val="single" w:color="000000" w:sz="4" w:space="0"/>
            </w:tcBorders>
            <w:vAlign w:val="center"/>
          </w:tcPr>
          <w:p w14:paraId="50E1F312">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★支持接入TLS加密方式的日志，支持对日志传输状态、最近同步时间进行监控，可统计每个日志源的今日传输量和传输总量。（需提供相关功能截图证明）</w:t>
            </w:r>
          </w:p>
        </w:tc>
      </w:tr>
      <w:tr w14:paraId="4A6F24F7">
        <w:tblPrEx>
          <w:tblCellMar>
            <w:top w:w="15" w:type="dxa"/>
            <w:left w:w="15" w:type="dxa"/>
            <w:bottom w:w="15" w:type="dxa"/>
            <w:right w:w="15" w:type="dxa"/>
          </w:tblCellMar>
        </w:tblPrEx>
        <w:trPr>
          <w:trHeight w:val="135" w:hRule="atLeast"/>
        </w:trPr>
        <w:tc>
          <w:tcPr>
            <w:tcW w:w="750" w:type="pct"/>
            <w:vMerge w:val="continue"/>
            <w:tcBorders>
              <w:left w:val="single" w:color="000000" w:sz="4" w:space="0"/>
              <w:bottom w:val="single" w:color="auto" w:sz="4" w:space="0"/>
              <w:right w:val="single" w:color="000000" w:sz="4" w:space="0"/>
            </w:tcBorders>
            <w:vAlign w:val="center"/>
          </w:tcPr>
          <w:p w14:paraId="3D54215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auto" w:sz="4" w:space="0"/>
              <w:right w:val="single" w:color="000000" w:sz="4" w:space="0"/>
            </w:tcBorders>
            <w:vAlign w:val="center"/>
          </w:tcPr>
          <w:p w14:paraId="0188961F">
            <w:pPr>
              <w:keepNext w:val="0"/>
              <w:keepLines w:val="0"/>
              <w:suppressLineNumbers w:val="0"/>
              <w:autoSpaceDE w:val="0"/>
              <w:autoSpaceDN w:val="0"/>
              <w:adjustRightInd w:val="0"/>
              <w:spacing w:before="0" w:beforeAutospacing="0" w:after="0" w:afterAutospacing="0" w:line="276"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支持单条事件进行展开，显示事件详细信息和事件原始信息，支持事件详情中任意字段作为查询条件无限制进行二次检索分析。</w:t>
            </w:r>
          </w:p>
        </w:tc>
      </w:tr>
      <w:tr w14:paraId="244CBB53">
        <w:tblPrEx>
          <w:tblCellMar>
            <w:top w:w="15" w:type="dxa"/>
            <w:left w:w="15" w:type="dxa"/>
            <w:bottom w:w="15" w:type="dxa"/>
            <w:right w:w="15" w:type="dxa"/>
          </w:tblCellMar>
        </w:tblPrEx>
        <w:trPr>
          <w:trHeight w:val="135" w:hRule="atLeast"/>
        </w:trPr>
        <w:tc>
          <w:tcPr>
            <w:tcW w:w="750" w:type="pct"/>
            <w:vMerge w:val="restart"/>
            <w:tcBorders>
              <w:left w:val="single" w:color="000000" w:sz="4" w:space="0"/>
              <w:right w:val="single" w:color="000000" w:sz="4" w:space="0"/>
            </w:tcBorders>
            <w:vAlign w:val="center"/>
          </w:tcPr>
          <w:p w14:paraId="3985397D">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default" w:ascii="宋体" w:hAnsi="宋体" w:cs="宋体"/>
                <w:color w:val="auto"/>
                <w:kern w:val="0"/>
                <w:sz w:val="24"/>
                <w:highlight w:val="none"/>
              </w:rPr>
              <w:t>终端安全管理系统</w:t>
            </w:r>
          </w:p>
        </w:tc>
        <w:tc>
          <w:tcPr>
            <w:tcW w:w="4250" w:type="pct"/>
            <w:tcBorders>
              <w:top w:val="single" w:color="000000" w:sz="4" w:space="0"/>
              <w:left w:val="single" w:color="000000" w:sz="4" w:space="0"/>
              <w:bottom w:val="single" w:color="auto" w:sz="4" w:space="0"/>
              <w:right w:val="single" w:color="000000" w:sz="4" w:space="0"/>
            </w:tcBorders>
            <w:vAlign w:val="center"/>
          </w:tcPr>
          <w:p w14:paraId="04C7EFC3">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default" w:ascii="宋体" w:hAnsi="宋体" w:cs="宋体"/>
                <w:color w:val="auto"/>
                <w:kern w:val="0"/>
                <w:sz w:val="24"/>
                <w:highlight w:val="none"/>
              </w:rPr>
              <w:t>本次提供1套终端安全管理系统软件和不低于3套服务器端点安全软件</w:t>
            </w:r>
          </w:p>
        </w:tc>
      </w:tr>
      <w:tr w14:paraId="76A860E9">
        <w:tblPrEx>
          <w:tblCellMar>
            <w:top w:w="15" w:type="dxa"/>
            <w:left w:w="15" w:type="dxa"/>
            <w:bottom w:w="15" w:type="dxa"/>
            <w:right w:w="15" w:type="dxa"/>
          </w:tblCellMar>
        </w:tblPrEx>
        <w:trPr>
          <w:trHeight w:val="751" w:hRule="atLeast"/>
        </w:trPr>
        <w:tc>
          <w:tcPr>
            <w:tcW w:w="750" w:type="pct"/>
            <w:vMerge w:val="continue"/>
            <w:tcBorders>
              <w:left w:val="single" w:color="000000" w:sz="4" w:space="0"/>
              <w:right w:val="single" w:color="000000" w:sz="4" w:space="0"/>
            </w:tcBorders>
            <w:vAlign w:val="center"/>
          </w:tcPr>
          <w:p w14:paraId="417A3BA8">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auto" w:sz="4" w:space="0"/>
              <w:right w:val="single" w:color="000000" w:sz="4" w:space="0"/>
            </w:tcBorders>
            <w:vAlign w:val="center"/>
          </w:tcPr>
          <w:p w14:paraId="6BE085AA">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default" w:ascii="宋体" w:hAnsi="宋体" w:cs="宋体"/>
                <w:color w:val="auto"/>
                <w:kern w:val="0"/>
                <w:sz w:val="24"/>
                <w:highlight w:val="none"/>
              </w:rPr>
              <w:t>通过智能识别终端环境情况（低配硬件、老旧设备、虚拟化等）和当前终端资源占用，在闲时实时监控和病毒扫描场景，都可智能调整客户端的资源占用（CPU、IO等），为业务让出资源，不卡业务，对业务零摩擦。</w:t>
            </w:r>
          </w:p>
        </w:tc>
      </w:tr>
      <w:tr w14:paraId="22A8F91B">
        <w:tblPrEx>
          <w:tblCellMar>
            <w:top w:w="15" w:type="dxa"/>
            <w:left w:w="15" w:type="dxa"/>
            <w:bottom w:w="15" w:type="dxa"/>
            <w:right w:w="15" w:type="dxa"/>
          </w:tblCellMar>
        </w:tblPrEx>
        <w:trPr>
          <w:trHeight w:val="570" w:hRule="atLeast"/>
        </w:trPr>
        <w:tc>
          <w:tcPr>
            <w:tcW w:w="750" w:type="pct"/>
            <w:vMerge w:val="continue"/>
            <w:tcBorders>
              <w:left w:val="single" w:color="000000" w:sz="4" w:space="0"/>
              <w:right w:val="single" w:color="000000" w:sz="4" w:space="0"/>
            </w:tcBorders>
            <w:vAlign w:val="center"/>
          </w:tcPr>
          <w:p w14:paraId="2D121EE5">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auto" w:sz="4" w:space="0"/>
              <w:right w:val="single" w:color="000000" w:sz="4" w:space="0"/>
            </w:tcBorders>
            <w:vAlign w:val="center"/>
          </w:tcPr>
          <w:p w14:paraId="49C8B26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default" w:ascii="宋体" w:hAnsi="宋体" w:cs="宋体"/>
                <w:color w:val="auto"/>
                <w:kern w:val="0"/>
                <w:sz w:val="24"/>
                <w:highlight w:val="none"/>
              </w:rPr>
              <w:t>流量线详情支持展示该流量线对应的控制策略；图形化显示服务器间流量关系，包括访问详情、流量趋势等；支持图形化显示业务系统、服务器及流量详情</w:t>
            </w:r>
          </w:p>
        </w:tc>
      </w:tr>
      <w:tr w14:paraId="2B02AE1A">
        <w:tblPrEx>
          <w:tblCellMar>
            <w:top w:w="15" w:type="dxa"/>
            <w:left w:w="15" w:type="dxa"/>
            <w:bottom w:w="15" w:type="dxa"/>
            <w:right w:w="15" w:type="dxa"/>
          </w:tblCellMar>
        </w:tblPrEx>
        <w:trPr>
          <w:trHeight w:val="135" w:hRule="atLeast"/>
        </w:trPr>
        <w:tc>
          <w:tcPr>
            <w:tcW w:w="750" w:type="pct"/>
            <w:vMerge w:val="continue"/>
            <w:tcBorders>
              <w:left w:val="single" w:color="000000" w:sz="4" w:space="0"/>
              <w:bottom w:val="single" w:color="auto" w:sz="4" w:space="0"/>
              <w:right w:val="single" w:color="000000" w:sz="4" w:space="0"/>
            </w:tcBorders>
            <w:vAlign w:val="center"/>
          </w:tcPr>
          <w:p w14:paraId="1A111314">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p>
        </w:tc>
        <w:tc>
          <w:tcPr>
            <w:tcW w:w="4250" w:type="pct"/>
            <w:tcBorders>
              <w:top w:val="single" w:color="000000" w:sz="4" w:space="0"/>
              <w:left w:val="single" w:color="000000" w:sz="4" w:space="0"/>
              <w:bottom w:val="single" w:color="auto" w:sz="4" w:space="0"/>
              <w:right w:val="single" w:color="000000" w:sz="4" w:space="0"/>
            </w:tcBorders>
            <w:vAlign w:val="center"/>
          </w:tcPr>
          <w:p w14:paraId="38F80A2C">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default" w:ascii="宋体" w:hAnsi="宋体" w:cs="宋体"/>
                <w:color w:val="auto"/>
                <w:kern w:val="0"/>
                <w:sz w:val="24"/>
                <w:highlight w:val="none"/>
              </w:rPr>
              <w:t>★提供勒索病毒整体防护体系入口，直观展示最近七天勒索病毒防护效果，包括已处置的勒索病毒数量、已阻止的勒索病毒行为次数、已阻止的未知进程操作次数、已阻止的暴力破解攻击次数</w:t>
            </w:r>
          </w:p>
        </w:tc>
      </w:tr>
      <w:tr w14:paraId="1C0F0C38">
        <w:tblPrEx>
          <w:tblCellMar>
            <w:top w:w="15" w:type="dxa"/>
            <w:left w:w="15" w:type="dxa"/>
            <w:bottom w:w="15" w:type="dxa"/>
            <w:right w:w="15" w:type="dxa"/>
          </w:tblCellMar>
        </w:tblPrEx>
        <w:trPr>
          <w:trHeight w:val="997" w:hRule="atLeast"/>
        </w:trPr>
        <w:tc>
          <w:tcPr>
            <w:tcW w:w="750" w:type="pct"/>
            <w:tcBorders>
              <w:top w:val="single" w:color="auto" w:sz="4" w:space="0"/>
              <w:left w:val="single" w:color="auto" w:sz="4" w:space="0"/>
              <w:bottom w:val="single" w:color="auto" w:sz="4" w:space="0"/>
              <w:right w:val="single" w:color="auto" w:sz="4" w:space="0"/>
            </w:tcBorders>
            <w:vAlign w:val="center"/>
          </w:tcPr>
          <w:p w14:paraId="02BF3EDB">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default" w:ascii="宋体" w:hAnsi="宋体" w:cs="宋体"/>
                <w:color w:val="auto"/>
                <w:kern w:val="0"/>
                <w:sz w:val="24"/>
                <w:highlight w:val="none"/>
              </w:rPr>
              <w:t>质量保证与售后服务</w:t>
            </w:r>
          </w:p>
        </w:tc>
        <w:tc>
          <w:tcPr>
            <w:tcW w:w="4250" w:type="pct"/>
            <w:tcBorders>
              <w:top w:val="single" w:color="auto" w:sz="4" w:space="0"/>
              <w:left w:val="single" w:color="auto" w:sz="4" w:space="0"/>
              <w:bottom w:val="single" w:color="auto" w:sz="4" w:space="0"/>
              <w:right w:val="single" w:color="auto" w:sz="4" w:space="0"/>
            </w:tcBorders>
            <w:vAlign w:val="center"/>
          </w:tcPr>
          <w:p w14:paraId="72AD0FEE">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default" w:ascii="宋体" w:hAnsi="宋体" w:cs="宋体"/>
                <w:color w:val="auto"/>
                <w:kern w:val="0"/>
                <w:sz w:val="24"/>
                <w:highlight w:val="none"/>
              </w:rPr>
              <w:t>提供原厂上门初始安装服务；提供三年免费软硬件原厂技术支持与售后服务；保证完整原厂包装不开封。中标后合同签订时提供原厂售后服务承诺函和满足上述参数的权威机构检验报告及产品官网链接说明。</w:t>
            </w:r>
          </w:p>
        </w:tc>
      </w:tr>
    </w:tbl>
    <w:p w14:paraId="6E398658">
      <w:pPr>
        <w:pStyle w:val="8"/>
        <w:numPr>
          <w:ilvl w:val="0"/>
          <w:numId w:val="6"/>
        </w:numPr>
        <w:ind w:left="0" w:firstLine="0"/>
        <w:rPr>
          <w:rFonts w:ascii="宋体" w:hAnsi="宋体" w:eastAsia="宋体"/>
          <w:color w:val="auto"/>
          <w:highlight w:val="none"/>
        </w:rPr>
      </w:pPr>
      <w:r>
        <w:rPr>
          <w:rFonts w:hint="eastAsia" w:ascii="宋体" w:hAnsi="宋体" w:eastAsia="宋体"/>
          <w:color w:val="auto"/>
          <w:highlight w:val="none"/>
        </w:rPr>
        <w:t>基础软件及等保服务</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4"/>
        <w:gridCol w:w="1253"/>
        <w:gridCol w:w="4947"/>
      </w:tblGrid>
      <w:tr w14:paraId="47FA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621" w:type="pct"/>
            <w:tcBorders>
              <w:top w:val="single" w:color="auto" w:sz="4" w:space="0"/>
              <w:left w:val="single" w:color="auto" w:sz="4" w:space="0"/>
              <w:bottom w:val="single" w:color="auto" w:sz="4" w:space="0"/>
              <w:right w:val="single" w:color="auto" w:sz="4" w:space="0"/>
            </w:tcBorders>
            <w:vAlign w:val="center"/>
          </w:tcPr>
          <w:p w14:paraId="680D6C84">
            <w:pPr>
              <w:keepNext w:val="0"/>
              <w:keepLines w:val="0"/>
              <w:widowControl/>
              <w:suppressLineNumbers w:val="0"/>
              <w:spacing w:before="0" w:beforeAutospacing="0" w:after="0" w:afterAutospacing="0"/>
              <w:ind w:left="0" w:right="0"/>
              <w:jc w:val="center"/>
              <w:rPr>
                <w:rFonts w:hint="eastAsia" w:ascii="宋体" w:hAnsi="宋体" w:cs="Calibri"/>
                <w:b/>
                <w:bCs/>
                <w:color w:val="auto"/>
                <w:sz w:val="21"/>
                <w:szCs w:val="21"/>
                <w:highlight w:val="none"/>
              </w:rPr>
            </w:pPr>
            <w:r>
              <w:rPr>
                <w:rFonts w:hint="eastAsia" w:ascii="宋体" w:hAnsi="宋体" w:cs="Calibri"/>
                <w:b/>
                <w:bCs/>
                <w:color w:val="auto"/>
                <w:sz w:val="21"/>
                <w:szCs w:val="21"/>
                <w:highlight w:val="none"/>
              </w:rPr>
              <w:t>名称</w:t>
            </w:r>
          </w:p>
        </w:tc>
        <w:tc>
          <w:tcPr>
            <w:tcW w:w="683" w:type="pct"/>
            <w:tcBorders>
              <w:top w:val="single" w:color="auto" w:sz="4" w:space="0"/>
              <w:left w:val="single" w:color="auto" w:sz="4" w:space="0"/>
              <w:bottom w:val="single" w:color="auto" w:sz="4" w:space="0"/>
              <w:right w:val="single" w:color="auto" w:sz="4" w:space="0"/>
            </w:tcBorders>
            <w:vAlign w:val="center"/>
          </w:tcPr>
          <w:p w14:paraId="2C7168C0">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数量</w:t>
            </w:r>
          </w:p>
        </w:tc>
        <w:tc>
          <w:tcPr>
            <w:tcW w:w="2696" w:type="pct"/>
            <w:tcBorders>
              <w:top w:val="single" w:color="auto" w:sz="4" w:space="0"/>
              <w:left w:val="single" w:color="auto" w:sz="4" w:space="0"/>
              <w:bottom w:val="single" w:color="auto" w:sz="4" w:space="0"/>
              <w:right w:val="single" w:color="auto" w:sz="4" w:space="0"/>
            </w:tcBorders>
            <w:vAlign w:val="center"/>
          </w:tcPr>
          <w:p w14:paraId="10E07EB8">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1"/>
                <w:szCs w:val="21"/>
                <w:highlight w:val="none"/>
              </w:rPr>
            </w:pPr>
            <w:r>
              <w:rPr>
                <w:rFonts w:hint="eastAsia" w:ascii="宋体" w:hAnsi="宋体" w:cs="Calibri"/>
                <w:b/>
                <w:bCs/>
                <w:color w:val="auto"/>
                <w:sz w:val="21"/>
                <w:szCs w:val="21"/>
                <w:highlight w:val="none"/>
              </w:rPr>
              <w:t>技术参数要求</w:t>
            </w:r>
          </w:p>
        </w:tc>
      </w:tr>
      <w:tr w14:paraId="478F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21" w:type="pct"/>
            <w:vAlign w:val="center"/>
          </w:tcPr>
          <w:p w14:paraId="40E3833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国产化服务器操作系统</w:t>
            </w:r>
          </w:p>
        </w:tc>
        <w:tc>
          <w:tcPr>
            <w:tcW w:w="683" w:type="pct"/>
            <w:vAlign w:val="center"/>
          </w:tcPr>
          <w:p w14:paraId="0326F98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default" w:ascii="宋体" w:hAnsi="宋体" w:cs="宋体"/>
                <w:color w:val="auto"/>
                <w:kern w:val="0"/>
                <w:sz w:val="24"/>
                <w:highlight w:val="none"/>
              </w:rPr>
              <w:t>3</w:t>
            </w:r>
            <w:r>
              <w:rPr>
                <w:rFonts w:hint="eastAsia" w:ascii="宋体" w:hAnsi="宋体" w:cs="宋体"/>
                <w:color w:val="auto"/>
                <w:kern w:val="0"/>
                <w:sz w:val="24"/>
                <w:highlight w:val="none"/>
              </w:rPr>
              <w:t>套</w:t>
            </w:r>
          </w:p>
        </w:tc>
        <w:tc>
          <w:tcPr>
            <w:tcW w:w="2696" w:type="pct"/>
            <w:vAlign w:val="center"/>
          </w:tcPr>
          <w:p w14:paraId="6AE2C0EA">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正版统信UOS服务器操作系统，需最终授权用户为本项目采购单位。</w:t>
            </w:r>
          </w:p>
        </w:tc>
      </w:tr>
      <w:tr w14:paraId="5D05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21" w:type="pct"/>
            <w:vAlign w:val="center"/>
          </w:tcPr>
          <w:p w14:paraId="10596276">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国产化数据库</w:t>
            </w:r>
          </w:p>
        </w:tc>
        <w:tc>
          <w:tcPr>
            <w:tcW w:w="683" w:type="pct"/>
            <w:vAlign w:val="center"/>
          </w:tcPr>
          <w:p w14:paraId="093A71B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highlight w:val="none"/>
              </w:rPr>
            </w:pPr>
            <w:r>
              <w:rPr>
                <w:rFonts w:hint="default" w:ascii="宋体" w:hAnsi="宋体" w:cs="宋体"/>
                <w:color w:val="auto"/>
                <w:kern w:val="0"/>
                <w:sz w:val="24"/>
                <w:highlight w:val="none"/>
              </w:rPr>
              <w:t>1</w:t>
            </w:r>
            <w:r>
              <w:rPr>
                <w:rFonts w:hint="eastAsia" w:ascii="宋体" w:hAnsi="宋体" w:cs="宋体"/>
                <w:color w:val="auto"/>
                <w:kern w:val="0"/>
                <w:sz w:val="24"/>
                <w:highlight w:val="none"/>
              </w:rPr>
              <w:t>套</w:t>
            </w:r>
          </w:p>
        </w:tc>
        <w:tc>
          <w:tcPr>
            <w:tcW w:w="2696" w:type="pct"/>
            <w:vAlign w:val="center"/>
          </w:tcPr>
          <w:p w14:paraId="0D38D09B">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正版达梦数据库，需最终授权用户为本项目采购单位。</w:t>
            </w:r>
          </w:p>
        </w:tc>
      </w:tr>
      <w:tr w14:paraId="7012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21" w:type="pct"/>
            <w:vAlign w:val="center"/>
          </w:tcPr>
          <w:p w14:paraId="6E6D51CF">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等保测评服务</w:t>
            </w:r>
          </w:p>
        </w:tc>
        <w:tc>
          <w:tcPr>
            <w:tcW w:w="683" w:type="pct"/>
            <w:vAlign w:val="center"/>
          </w:tcPr>
          <w:p w14:paraId="24C8A10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default" w:ascii="宋体" w:hAnsi="宋体" w:cs="宋体"/>
                <w:color w:val="auto"/>
                <w:kern w:val="0"/>
                <w:sz w:val="24"/>
                <w:highlight w:val="none"/>
              </w:rPr>
              <w:t>2</w:t>
            </w:r>
            <w:r>
              <w:rPr>
                <w:rFonts w:hint="eastAsia" w:ascii="宋体" w:hAnsi="宋体" w:cs="宋体"/>
                <w:color w:val="auto"/>
                <w:kern w:val="0"/>
                <w:sz w:val="24"/>
                <w:highlight w:val="none"/>
              </w:rPr>
              <w:t>个</w:t>
            </w:r>
          </w:p>
        </w:tc>
        <w:tc>
          <w:tcPr>
            <w:tcW w:w="2696" w:type="pct"/>
            <w:vAlign w:val="center"/>
          </w:tcPr>
          <w:p w14:paraId="6758C241">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针对本次建设的两个系统开展信息安全等级保护测评（二级）</w:t>
            </w:r>
          </w:p>
        </w:tc>
      </w:tr>
    </w:tbl>
    <w:p w14:paraId="05045C1A">
      <w:pPr>
        <w:pStyle w:val="6"/>
        <w:rPr>
          <w:rFonts w:ascii="宋体" w:hAnsi="宋体" w:eastAsia="宋体"/>
          <w:color w:val="auto"/>
          <w:highlight w:val="none"/>
        </w:rPr>
      </w:pPr>
      <w:r>
        <w:rPr>
          <w:rFonts w:hint="eastAsia" w:ascii="宋体" w:hAnsi="宋体" w:eastAsia="宋体"/>
          <w:color w:val="auto"/>
          <w:highlight w:val="none"/>
        </w:rPr>
        <w:t>三、商务需求</w:t>
      </w:r>
    </w:p>
    <w:p w14:paraId="4E39FA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b/>
          <w:bCs/>
          <w:color w:val="auto"/>
          <w:kern w:val="0"/>
          <w:sz w:val="24"/>
          <w:highlight w:val="none"/>
        </w:rPr>
        <w:t>质保期：</w:t>
      </w:r>
      <w:r>
        <w:rPr>
          <w:rFonts w:hint="eastAsia" w:ascii="宋体" w:hAnsi="宋体" w:eastAsia="宋体" w:cs="宋体"/>
          <w:color w:val="auto"/>
          <w:kern w:val="0"/>
          <w:sz w:val="24"/>
          <w:highlight w:val="none"/>
        </w:rPr>
        <w:t>3年，自项目验收之日起算。</w:t>
      </w:r>
    </w:p>
    <w:p w14:paraId="1469396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b/>
          <w:bCs/>
          <w:color w:val="auto"/>
          <w:kern w:val="0"/>
          <w:sz w:val="24"/>
          <w:highlight w:val="none"/>
        </w:rPr>
        <w:t>交货时间及地点：</w:t>
      </w:r>
      <w:r>
        <w:rPr>
          <w:rFonts w:hint="eastAsia" w:ascii="宋体" w:hAnsi="宋体" w:eastAsia="宋体" w:cs="宋体"/>
          <w:color w:val="auto"/>
          <w:kern w:val="0"/>
          <w:sz w:val="24"/>
          <w:highlight w:val="none"/>
        </w:rPr>
        <w:t>同前面“招标项目一览表”内所填的相关内容。</w:t>
      </w:r>
    </w:p>
    <w:p w14:paraId="3CB2E6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b/>
          <w:bCs/>
          <w:color w:val="auto"/>
          <w:kern w:val="0"/>
          <w:sz w:val="24"/>
          <w:highlight w:val="none"/>
        </w:rPr>
        <w:t>付款条件：</w:t>
      </w:r>
      <w:r>
        <w:rPr>
          <w:rFonts w:hint="eastAsia" w:ascii="宋体" w:hAnsi="宋体" w:eastAsia="宋体" w:cs="宋体"/>
          <w:color w:val="auto"/>
          <w:kern w:val="0"/>
          <w:sz w:val="24"/>
          <w:highlight w:val="none"/>
        </w:rPr>
        <w:t>合同签订后，</w:t>
      </w:r>
      <w:r>
        <w:rPr>
          <w:rFonts w:hint="eastAsia" w:ascii="宋体" w:hAnsi="宋体" w:eastAsia="宋体" w:cs="宋体"/>
          <w:color w:val="auto"/>
          <w:kern w:val="0"/>
          <w:sz w:val="24"/>
          <w:highlight w:val="none"/>
          <w:lang w:val="en-US" w:eastAsia="zh-CN"/>
        </w:rPr>
        <w:t>招标人</w:t>
      </w:r>
      <w:r>
        <w:rPr>
          <w:rFonts w:hint="eastAsia" w:ascii="宋体" w:hAnsi="宋体" w:eastAsia="宋体" w:cs="宋体"/>
          <w:color w:val="auto"/>
          <w:kern w:val="0"/>
          <w:sz w:val="24"/>
          <w:highlight w:val="none"/>
        </w:rPr>
        <w:t>向</w:t>
      </w:r>
      <w:r>
        <w:rPr>
          <w:rFonts w:hint="eastAsia" w:ascii="宋体" w:hAnsi="宋体" w:eastAsia="宋体" w:cs="宋体"/>
          <w:color w:val="auto"/>
          <w:kern w:val="0"/>
          <w:sz w:val="24"/>
          <w:highlight w:val="none"/>
          <w:lang w:val="en-US" w:eastAsia="zh-CN"/>
        </w:rPr>
        <w:t>中标投标人</w:t>
      </w:r>
      <w:r>
        <w:rPr>
          <w:rFonts w:hint="eastAsia" w:ascii="宋体" w:hAnsi="宋体" w:eastAsia="宋体" w:cs="宋体"/>
          <w:color w:val="auto"/>
          <w:kern w:val="0"/>
          <w:sz w:val="24"/>
          <w:highlight w:val="none"/>
        </w:rPr>
        <w:t>支付50%的合同款项作为预付款；</w:t>
      </w:r>
      <w:r>
        <w:rPr>
          <w:rFonts w:hint="eastAsia" w:ascii="宋体" w:hAnsi="宋体" w:eastAsia="宋体" w:cs="宋体"/>
          <w:color w:val="auto"/>
          <w:kern w:val="0"/>
          <w:sz w:val="24"/>
          <w:highlight w:val="none"/>
          <w:lang w:val="en-US" w:eastAsia="zh-CN"/>
        </w:rPr>
        <w:t>中标投标人</w:t>
      </w:r>
      <w:r>
        <w:rPr>
          <w:rFonts w:hint="eastAsia" w:ascii="宋体" w:hAnsi="宋体" w:eastAsia="宋体" w:cs="宋体"/>
          <w:color w:val="auto"/>
          <w:kern w:val="0"/>
          <w:sz w:val="24"/>
          <w:highlight w:val="none"/>
        </w:rPr>
        <w:t>系统开发及设备安装调试完成并验收合格后，在</w:t>
      </w:r>
      <w:r>
        <w:rPr>
          <w:rFonts w:hint="eastAsia" w:ascii="宋体" w:hAnsi="宋体" w:eastAsia="宋体" w:cs="宋体"/>
          <w:color w:val="auto"/>
          <w:kern w:val="0"/>
          <w:sz w:val="24"/>
          <w:highlight w:val="none"/>
          <w:lang w:val="en-US" w:eastAsia="zh-CN"/>
        </w:rPr>
        <w:t>中标投标人</w:t>
      </w:r>
      <w:r>
        <w:rPr>
          <w:rFonts w:hint="eastAsia" w:ascii="宋体" w:hAnsi="宋体" w:eastAsia="宋体" w:cs="宋体"/>
          <w:color w:val="auto"/>
          <w:kern w:val="0"/>
          <w:sz w:val="24"/>
          <w:highlight w:val="none"/>
        </w:rPr>
        <w:t>票证齐全，且符合</w:t>
      </w:r>
      <w:r>
        <w:rPr>
          <w:rFonts w:hint="eastAsia" w:ascii="宋体" w:hAnsi="宋体" w:eastAsia="宋体" w:cs="宋体"/>
          <w:color w:val="auto"/>
          <w:kern w:val="0"/>
          <w:sz w:val="24"/>
          <w:highlight w:val="none"/>
          <w:lang w:val="en-US" w:eastAsia="zh-CN"/>
        </w:rPr>
        <w:t>招标人</w:t>
      </w:r>
      <w:r>
        <w:rPr>
          <w:rFonts w:hint="eastAsia" w:ascii="宋体" w:hAnsi="宋体" w:eastAsia="宋体" w:cs="宋体"/>
          <w:color w:val="auto"/>
          <w:kern w:val="0"/>
          <w:sz w:val="24"/>
          <w:highlight w:val="none"/>
        </w:rPr>
        <w:t>付款流程的前提下，</w:t>
      </w:r>
      <w:r>
        <w:rPr>
          <w:rFonts w:hint="eastAsia" w:ascii="宋体" w:hAnsi="宋体" w:eastAsia="宋体" w:cs="宋体"/>
          <w:color w:val="auto"/>
          <w:kern w:val="0"/>
          <w:sz w:val="24"/>
          <w:highlight w:val="none"/>
          <w:lang w:val="en-US" w:eastAsia="zh-CN"/>
        </w:rPr>
        <w:t>招标人</w:t>
      </w:r>
      <w:r>
        <w:rPr>
          <w:rFonts w:hint="eastAsia" w:ascii="宋体" w:hAnsi="宋体" w:eastAsia="宋体" w:cs="宋体"/>
          <w:color w:val="auto"/>
          <w:kern w:val="0"/>
          <w:sz w:val="24"/>
          <w:highlight w:val="none"/>
        </w:rPr>
        <w:t>一次性付清剩余款项。否则</w:t>
      </w:r>
      <w:r>
        <w:rPr>
          <w:rFonts w:hint="eastAsia" w:ascii="宋体" w:hAnsi="宋体" w:eastAsia="宋体" w:cs="宋体"/>
          <w:color w:val="auto"/>
          <w:kern w:val="0"/>
          <w:sz w:val="24"/>
          <w:highlight w:val="none"/>
          <w:lang w:val="en-US" w:eastAsia="zh-CN"/>
        </w:rPr>
        <w:t>招标人</w:t>
      </w:r>
      <w:r>
        <w:rPr>
          <w:rFonts w:hint="eastAsia" w:ascii="宋体" w:hAnsi="宋体" w:eastAsia="宋体" w:cs="宋体"/>
          <w:color w:val="auto"/>
          <w:kern w:val="0"/>
          <w:sz w:val="24"/>
          <w:highlight w:val="none"/>
        </w:rPr>
        <w:t>有权拒绝付款，不视为违约。</w:t>
      </w:r>
    </w:p>
    <w:p w14:paraId="3A4F1F11">
      <w:pPr>
        <w:spacing w:line="360" w:lineRule="auto"/>
        <w:ind w:firstLine="480" w:firstLineChars="200"/>
        <w:rPr>
          <w:rFonts w:ascii="宋体" w:hAnsi="宋体"/>
          <w:color w:val="auto"/>
          <w:sz w:val="21"/>
          <w:szCs w:val="21"/>
          <w:highlight w:val="none"/>
        </w:rPr>
      </w:pPr>
      <w:r>
        <w:rPr>
          <w:rFonts w:hint="eastAsia" w:ascii="宋体" w:hAnsi="宋体" w:eastAsia="宋体" w:cs="宋体"/>
          <w:color w:val="auto"/>
          <w:kern w:val="0"/>
          <w:sz w:val="24"/>
          <w:highlight w:val="none"/>
          <w:lang w:val="zh-CN"/>
        </w:rPr>
        <w:t>4、</w:t>
      </w:r>
      <w:r>
        <w:rPr>
          <w:rFonts w:hint="eastAsia" w:ascii="宋体" w:hAnsi="宋体" w:eastAsia="宋体" w:cs="宋体"/>
          <w:b/>
          <w:bCs/>
          <w:color w:val="auto"/>
          <w:kern w:val="0"/>
          <w:sz w:val="24"/>
          <w:highlight w:val="none"/>
        </w:rPr>
        <w:t>相关要求：</w:t>
      </w:r>
      <w:r>
        <w:rPr>
          <w:rFonts w:hint="eastAsia" w:ascii="宋体" w:hAnsi="宋体" w:eastAsia="宋体" w:cs="宋体"/>
          <w:color w:val="auto"/>
          <w:kern w:val="0"/>
          <w:sz w:val="24"/>
          <w:highlight w:val="none"/>
        </w:rPr>
        <w:t>▲本项目属交钥匙工程，中标人不得以任何理由增加费用。项目实施过程中可能涉及的所有财务成本已经包含投标总报价之中，对标书中未体现，但又是所必须的组件，都包含在本次报价中。同时，中标方需对项目建设期间的安全责任问题及第三方责任赔偿负责，投标的报价为包含实现本项目的所有功能及安全保障工作所需费用，所有价格均采用人民币报价，其应包括（但不限于）施工设备、劳务、现场恢复、管理、材料、系统集成、安装调试、软件开发、试运行、质保、保险、利润、税金、培训费、措施费、人身意外伤害保险费、备品备件费用等。在招标确定中标人后。采购人有权要求投标产品进行为期两周的功能性测试，中标人需在公示期内提供相关样机设备进行上述功能要求的逐一测试验证，全部通过后才能执行合同流程，若测试中发现投标方提供的产品的功能、性能及配置与投标文件中技术偏离表所承诺的不符有虚假应标行为的将予按政府采购法规定做出相应处理并保留对该厂商追究相关责任的权利。</w:t>
      </w:r>
    </w:p>
    <w:p w14:paraId="2C6FDE4F">
      <w:pPr>
        <w:spacing w:line="360" w:lineRule="auto"/>
        <w:rPr>
          <w:rFonts w:ascii="宋体" w:hAnsi="宋体" w:cs="宋体"/>
          <w:b/>
          <w:bCs/>
          <w:color w:val="auto"/>
          <w:sz w:val="24"/>
          <w:highlight w:val="none"/>
        </w:rPr>
      </w:pPr>
    </w:p>
    <w:p w14:paraId="50D84EEB">
      <w:pPr>
        <w:snapToGrid w:val="0"/>
        <w:spacing w:before="156" w:beforeLines="50" w:after="156" w:afterLines="50"/>
        <w:jc w:val="both"/>
        <w:rPr>
          <w:rFonts w:ascii="宋体" w:hAnsi="宋体"/>
          <w:color w:val="auto"/>
          <w:sz w:val="30"/>
          <w:szCs w:val="30"/>
          <w:highlight w:val="none"/>
        </w:rPr>
      </w:pPr>
    </w:p>
    <w:p w14:paraId="5257B813">
      <w:pPr>
        <w:snapToGrid w:val="0"/>
        <w:spacing w:before="156" w:beforeLines="50" w:after="156" w:afterLines="50"/>
        <w:jc w:val="both"/>
        <w:rPr>
          <w:rFonts w:ascii="宋体" w:hAnsi="宋体"/>
          <w:color w:val="auto"/>
          <w:sz w:val="30"/>
          <w:szCs w:val="30"/>
          <w:highlight w:val="none"/>
        </w:rPr>
      </w:pPr>
    </w:p>
    <w:p w14:paraId="5EC0F86F">
      <w:pPr>
        <w:snapToGrid w:val="0"/>
        <w:spacing w:before="156" w:beforeLines="50" w:after="156" w:afterLines="50"/>
        <w:jc w:val="both"/>
        <w:rPr>
          <w:rFonts w:ascii="宋体" w:hAnsi="宋体"/>
          <w:color w:val="auto"/>
          <w:sz w:val="30"/>
          <w:szCs w:val="30"/>
          <w:highlight w:val="none"/>
        </w:rPr>
      </w:pPr>
    </w:p>
    <w:p w14:paraId="34BAF0B6">
      <w:pPr>
        <w:snapToGrid w:val="0"/>
        <w:spacing w:before="156" w:beforeLines="50" w:after="156" w:afterLines="50"/>
        <w:jc w:val="both"/>
        <w:rPr>
          <w:rFonts w:ascii="宋体" w:hAnsi="宋体"/>
          <w:color w:val="auto"/>
          <w:sz w:val="30"/>
          <w:szCs w:val="30"/>
          <w:highlight w:val="none"/>
        </w:rPr>
      </w:pPr>
    </w:p>
    <w:p w14:paraId="791F52B4">
      <w:pPr>
        <w:snapToGrid w:val="0"/>
        <w:spacing w:before="156" w:beforeLines="50" w:after="156" w:afterLines="50"/>
        <w:jc w:val="both"/>
        <w:rPr>
          <w:rFonts w:ascii="宋体" w:hAnsi="宋体"/>
          <w:color w:val="auto"/>
          <w:sz w:val="30"/>
          <w:szCs w:val="30"/>
          <w:highlight w:val="none"/>
        </w:rPr>
      </w:pPr>
    </w:p>
    <w:p w14:paraId="2F1C268B">
      <w:pPr>
        <w:snapToGrid w:val="0"/>
        <w:spacing w:before="156" w:beforeLines="50" w:after="156" w:afterLines="50"/>
        <w:jc w:val="both"/>
        <w:rPr>
          <w:rFonts w:ascii="宋体" w:hAnsi="宋体"/>
          <w:color w:val="auto"/>
          <w:sz w:val="30"/>
          <w:szCs w:val="30"/>
          <w:highlight w:val="none"/>
        </w:rPr>
      </w:pPr>
    </w:p>
    <w:p w14:paraId="384C8C37">
      <w:pPr>
        <w:snapToGrid w:val="0"/>
        <w:spacing w:before="156" w:beforeLines="50" w:after="156" w:afterLines="50"/>
        <w:jc w:val="both"/>
        <w:rPr>
          <w:rFonts w:ascii="宋体" w:hAnsi="宋体"/>
          <w:color w:val="auto"/>
          <w:sz w:val="30"/>
          <w:szCs w:val="30"/>
          <w:highlight w:val="none"/>
        </w:rPr>
      </w:pPr>
    </w:p>
    <w:p w14:paraId="7E34E72B">
      <w:pPr>
        <w:snapToGrid w:val="0"/>
        <w:spacing w:before="156" w:beforeLines="50" w:after="156" w:afterLines="50"/>
        <w:jc w:val="center"/>
        <w:rPr>
          <w:rFonts w:ascii="宋体" w:hAnsi="宋体"/>
          <w:color w:val="auto"/>
          <w:sz w:val="30"/>
          <w:szCs w:val="30"/>
          <w:highlight w:val="none"/>
        </w:rPr>
      </w:pPr>
      <w:r>
        <w:rPr>
          <w:rFonts w:ascii="宋体" w:hAnsi="宋体"/>
          <w:color w:val="auto"/>
          <w:sz w:val="30"/>
          <w:szCs w:val="30"/>
          <w:highlight w:val="none"/>
        </w:rPr>
        <w:t>第三章  投标人须知</w:t>
      </w:r>
      <w:bookmarkEnd w:id="5"/>
    </w:p>
    <w:bookmarkEnd w:id="6"/>
    <w:p w14:paraId="543CD06F">
      <w:pPr>
        <w:snapToGrid w:val="0"/>
        <w:spacing w:before="156" w:beforeLines="50" w:after="156" w:afterLines="50"/>
        <w:ind w:left="238"/>
        <w:jc w:val="center"/>
        <w:outlineLvl w:val="1"/>
        <w:rPr>
          <w:rFonts w:ascii="宋体" w:hAnsi="宋体"/>
          <w:b/>
          <w:color w:val="auto"/>
          <w:szCs w:val="28"/>
          <w:highlight w:val="none"/>
        </w:rPr>
      </w:pPr>
      <w:r>
        <w:rPr>
          <w:rFonts w:hint="eastAsia" w:ascii="宋体" w:hAnsi="宋体"/>
          <w:b/>
          <w:color w:val="auto"/>
          <w:szCs w:val="28"/>
          <w:highlight w:val="none"/>
        </w:rPr>
        <w:t>前 附 表</w:t>
      </w:r>
    </w:p>
    <w:tbl>
      <w:tblPr>
        <w:tblStyle w:val="41"/>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24E0E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700E5290">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A16D62D">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内容要求</w:t>
            </w:r>
          </w:p>
        </w:tc>
      </w:tr>
      <w:tr w14:paraId="47C62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98E0DDE">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D3483CE">
            <w:pPr>
              <w:keepNext w:val="0"/>
              <w:keepLines w:val="0"/>
              <w:suppressLineNumbers w:val="0"/>
              <w:snapToGrid w:val="0"/>
              <w:spacing w:before="0" w:beforeAutospacing="0" w:after="0" w:afterAutospacing="0"/>
              <w:ind w:left="1050" w:right="0" w:hanging="1050" w:hangingChars="500"/>
              <w:rPr>
                <w:rFonts w:hint="eastAsia" w:ascii="宋体" w:hAnsi="宋体"/>
                <w:color w:val="auto"/>
                <w:sz w:val="21"/>
                <w:szCs w:val="21"/>
                <w:highlight w:val="none"/>
              </w:rPr>
            </w:pPr>
            <w:r>
              <w:rPr>
                <w:rFonts w:hint="eastAsia" w:ascii="宋体" w:hAnsi="宋体"/>
                <w:color w:val="auto"/>
                <w:sz w:val="21"/>
                <w:szCs w:val="21"/>
                <w:highlight w:val="none"/>
              </w:rPr>
              <w:t>项目名称：</w:t>
            </w:r>
            <w:r>
              <w:rPr>
                <w:rFonts w:hint="eastAsia" w:ascii="宋体" w:hAnsi="宋体"/>
                <w:color w:val="auto"/>
                <w:sz w:val="21"/>
                <w:szCs w:val="21"/>
                <w:highlight w:val="none"/>
                <w:lang w:eastAsia="zh-CN"/>
              </w:rPr>
              <w:t>台州市开发投资集团有限公司国产化适配项目</w:t>
            </w:r>
          </w:p>
        </w:tc>
      </w:tr>
      <w:tr w14:paraId="05DF6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C2017B9">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06E16A50">
            <w:pPr>
              <w:keepNext w:val="0"/>
              <w:keepLines w:val="0"/>
              <w:suppressLineNumbers w:val="0"/>
              <w:snapToGrid w:val="0"/>
              <w:spacing w:before="0" w:beforeAutospacing="0" w:after="0" w:afterAutospacing="0"/>
              <w:ind w:left="0" w:right="0"/>
              <w:rPr>
                <w:rFonts w:hint="eastAsia" w:ascii="宋体" w:hAnsi="宋体"/>
                <w:color w:val="auto"/>
                <w:sz w:val="21"/>
                <w:szCs w:val="21"/>
                <w:highlight w:val="none"/>
              </w:rPr>
            </w:pPr>
            <w:r>
              <w:rPr>
                <w:rFonts w:hint="eastAsia" w:ascii="宋体" w:hAnsi="宋体"/>
                <w:color w:val="auto"/>
                <w:sz w:val="21"/>
                <w:szCs w:val="21"/>
                <w:highlight w:val="none"/>
              </w:rPr>
              <w:t>采购内容及数量：详见第二章“招标需求”</w:t>
            </w:r>
          </w:p>
          <w:p w14:paraId="33511F15">
            <w:pPr>
              <w:keepNext w:val="0"/>
              <w:keepLines w:val="0"/>
              <w:suppressLineNumbers w:val="0"/>
              <w:snapToGrid w:val="0"/>
              <w:spacing w:before="0" w:beforeAutospacing="0" w:after="0" w:afterAutospacing="0"/>
              <w:ind w:left="0" w:right="0"/>
              <w:rPr>
                <w:rFonts w:hint="eastAsia" w:ascii="宋体" w:hAnsi="宋体"/>
                <w:color w:val="auto"/>
                <w:sz w:val="21"/>
                <w:szCs w:val="21"/>
                <w:highlight w:val="none"/>
              </w:rPr>
            </w:pPr>
            <w:r>
              <w:rPr>
                <w:rFonts w:hint="eastAsia" w:ascii="宋体" w:hAnsi="宋体"/>
                <w:color w:val="auto"/>
                <w:sz w:val="21"/>
                <w:szCs w:val="21"/>
                <w:highlight w:val="none"/>
              </w:rPr>
              <w:t>采购单位：</w:t>
            </w:r>
            <w:r>
              <w:rPr>
                <w:rFonts w:hint="eastAsia" w:ascii="宋体" w:hAnsi="宋体"/>
                <w:color w:val="auto"/>
                <w:sz w:val="21"/>
                <w:szCs w:val="21"/>
                <w:highlight w:val="none"/>
                <w:lang w:eastAsia="zh-CN"/>
              </w:rPr>
              <w:t>台州市开发投资集团有限公司</w:t>
            </w:r>
          </w:p>
        </w:tc>
      </w:tr>
      <w:tr w14:paraId="6FD6F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AC75A34">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4E7E6A2">
            <w:pPr>
              <w:keepNext w:val="0"/>
              <w:keepLines w:val="0"/>
              <w:suppressLineNumbers w:val="0"/>
              <w:snapToGrid w:val="0"/>
              <w:spacing w:before="0" w:beforeAutospacing="0" w:after="0" w:afterAutospacing="0"/>
              <w:ind w:left="0" w:right="0"/>
              <w:rPr>
                <w:rFonts w:hint="default" w:ascii="宋体" w:hAnsi="宋体"/>
                <w:color w:val="auto"/>
                <w:sz w:val="21"/>
                <w:szCs w:val="21"/>
                <w:highlight w:val="none"/>
              </w:rPr>
            </w:pPr>
            <w:r>
              <w:rPr>
                <w:rFonts w:hint="eastAsia" w:ascii="宋体" w:hAnsi="宋体"/>
                <w:color w:val="auto"/>
                <w:sz w:val="21"/>
                <w:szCs w:val="21"/>
                <w:highlight w:val="none"/>
              </w:rPr>
              <w:t>投标报价及费用：</w:t>
            </w:r>
            <w:r>
              <w:rPr>
                <w:rFonts w:hint="default" w:ascii="宋体" w:hAnsi="宋体"/>
                <w:color w:val="auto"/>
                <w:sz w:val="21"/>
                <w:szCs w:val="21"/>
                <w:highlight w:val="none"/>
              </w:rPr>
              <w:t>1</w:t>
            </w:r>
            <w:r>
              <w:rPr>
                <w:rFonts w:hint="eastAsia" w:ascii="宋体" w:hAnsi="宋体"/>
                <w:color w:val="auto"/>
                <w:sz w:val="21"/>
                <w:szCs w:val="21"/>
                <w:highlight w:val="none"/>
              </w:rPr>
              <w:t>、本项目投标应以人民币报价；</w:t>
            </w:r>
            <w:r>
              <w:rPr>
                <w:rFonts w:hint="default" w:ascii="宋体" w:hAnsi="宋体"/>
                <w:color w:val="auto"/>
                <w:sz w:val="21"/>
                <w:szCs w:val="21"/>
                <w:highlight w:val="none"/>
              </w:rPr>
              <w:t>2</w:t>
            </w:r>
            <w:r>
              <w:rPr>
                <w:rFonts w:hint="eastAsia" w:ascii="宋体" w:hAnsi="宋体"/>
                <w:color w:val="auto"/>
                <w:sz w:val="21"/>
                <w:szCs w:val="21"/>
                <w:highlight w:val="none"/>
              </w:rPr>
              <w:t>、不论投标结果如何，投标人均应自行承担所有与投标有关的全部费用。3、本项目招标代理服务费</w:t>
            </w:r>
            <w:r>
              <w:rPr>
                <w:rFonts w:hint="eastAsia" w:ascii="宋体" w:hAnsi="宋体"/>
                <w:color w:val="auto"/>
                <w:sz w:val="21"/>
                <w:szCs w:val="21"/>
                <w:highlight w:val="none"/>
                <w:lang w:val="en-US" w:eastAsia="zh-CN"/>
              </w:rPr>
              <w:t>6000</w:t>
            </w:r>
            <w:r>
              <w:rPr>
                <w:rFonts w:hint="eastAsia" w:ascii="宋体" w:hAnsi="宋体"/>
                <w:color w:val="auto"/>
                <w:sz w:val="21"/>
                <w:szCs w:val="21"/>
                <w:highlight w:val="none"/>
              </w:rPr>
              <w:t>元由中标人在领取中标通知书前支付。</w:t>
            </w:r>
          </w:p>
        </w:tc>
      </w:tr>
      <w:tr w14:paraId="57209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729DBBBF">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09B742A">
            <w:pPr>
              <w:keepNext w:val="0"/>
              <w:keepLines w:val="0"/>
              <w:suppressLineNumbers w:val="0"/>
              <w:snapToGrid w:val="0"/>
              <w:spacing w:before="0" w:beforeAutospacing="0" w:after="0" w:afterAutospacing="0"/>
              <w:ind w:left="0" w:right="0"/>
              <w:rPr>
                <w:rFonts w:hint="eastAsia" w:ascii="宋体" w:hAnsi="宋体"/>
                <w:color w:val="auto"/>
                <w:sz w:val="21"/>
                <w:szCs w:val="21"/>
                <w:highlight w:val="none"/>
              </w:rPr>
            </w:pPr>
            <w:r>
              <w:rPr>
                <w:rFonts w:hint="eastAsia" w:ascii="宋体" w:hAnsi="宋体"/>
                <w:color w:val="auto"/>
                <w:sz w:val="21"/>
                <w:szCs w:val="21"/>
                <w:highlight w:val="none"/>
              </w:rPr>
              <w:t>投标保证金：</w:t>
            </w:r>
            <w:r>
              <w:rPr>
                <w:rFonts w:hint="eastAsia" w:ascii="宋体" w:hAnsi="宋体"/>
                <w:color w:val="auto"/>
                <w:sz w:val="21"/>
                <w:szCs w:val="21"/>
                <w:highlight w:val="none"/>
                <w:u w:val="single"/>
                <w:lang w:val="en-US" w:eastAsia="zh-CN"/>
              </w:rPr>
              <w:t>1.6</w:t>
            </w:r>
            <w:r>
              <w:rPr>
                <w:rFonts w:hint="eastAsia" w:ascii="宋体" w:hAnsi="宋体"/>
                <w:color w:val="auto"/>
                <w:sz w:val="21"/>
                <w:szCs w:val="21"/>
                <w:highlight w:val="none"/>
              </w:rPr>
              <w:t>万元，应按《招标采购公告》第九条规定交纳。</w:t>
            </w:r>
          </w:p>
          <w:p w14:paraId="7C5D3A10">
            <w:pPr>
              <w:keepNext w:val="0"/>
              <w:keepLines w:val="0"/>
              <w:suppressLineNumbers w:val="0"/>
              <w:snapToGrid w:val="0"/>
              <w:spacing w:before="0" w:beforeAutospacing="0" w:after="0" w:afterAutospacing="0"/>
              <w:ind w:left="0" w:right="0"/>
              <w:rPr>
                <w:rFonts w:hint="default" w:ascii="宋体" w:hAnsi="宋体"/>
                <w:color w:val="auto"/>
                <w:sz w:val="21"/>
                <w:szCs w:val="21"/>
                <w:highlight w:val="none"/>
              </w:rPr>
            </w:pPr>
            <w:r>
              <w:rPr>
                <w:rFonts w:hint="eastAsia" w:ascii="宋体" w:hAnsi="宋体"/>
                <w:color w:val="auto"/>
                <w:sz w:val="21"/>
                <w:szCs w:val="21"/>
                <w:highlight w:val="none"/>
              </w:rPr>
              <w:t>投标保证金缴纳方式：银行转帐、银行保函、保险机构保证保险保单、融资担保公司保函。</w:t>
            </w:r>
          </w:p>
        </w:tc>
      </w:tr>
      <w:tr w14:paraId="0B26A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887405D">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8774DEC">
            <w:pPr>
              <w:keepNext w:val="0"/>
              <w:keepLines w:val="0"/>
              <w:suppressLineNumbers w:val="0"/>
              <w:snapToGrid w:val="0"/>
              <w:spacing w:before="0" w:beforeAutospacing="0" w:after="0" w:afterAutospacing="0"/>
              <w:ind w:left="0" w:right="0"/>
              <w:rPr>
                <w:rFonts w:hint="eastAsia" w:ascii="宋体" w:hAnsi="宋体"/>
                <w:color w:val="auto"/>
                <w:sz w:val="21"/>
                <w:szCs w:val="21"/>
                <w:highlight w:val="none"/>
              </w:rPr>
            </w:pPr>
            <w:r>
              <w:rPr>
                <w:rFonts w:hint="eastAsia" w:ascii="宋体" w:hAnsi="宋体"/>
                <w:color w:val="auto"/>
                <w:sz w:val="21"/>
                <w:szCs w:val="21"/>
                <w:highlight w:val="none"/>
              </w:rPr>
              <w:t>现场踏勘：无</w:t>
            </w:r>
          </w:p>
        </w:tc>
      </w:tr>
      <w:tr w14:paraId="2DA5F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4C16BF3">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BAD55CE">
            <w:pPr>
              <w:keepNext w:val="0"/>
              <w:keepLines w:val="0"/>
              <w:suppressLineNumbers w:val="0"/>
              <w:snapToGrid w:val="0"/>
              <w:spacing w:before="0" w:beforeAutospacing="0" w:after="0" w:afterAutospacing="0"/>
              <w:ind w:left="0" w:right="0"/>
              <w:rPr>
                <w:rFonts w:hint="default" w:ascii="宋体" w:hAnsi="宋体"/>
                <w:color w:val="auto"/>
                <w:sz w:val="21"/>
                <w:szCs w:val="21"/>
                <w:highlight w:val="none"/>
              </w:rPr>
            </w:pPr>
            <w:r>
              <w:rPr>
                <w:rFonts w:hint="eastAsia" w:ascii="宋体" w:hAnsi="宋体"/>
                <w:color w:val="auto"/>
                <w:sz w:val="21"/>
                <w:szCs w:val="21"/>
                <w:highlight w:val="none"/>
              </w:rPr>
              <w:t>演示时间及地点（如有）：无</w:t>
            </w:r>
          </w:p>
        </w:tc>
      </w:tr>
      <w:tr w14:paraId="4B01E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158B3F89">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B576FED">
            <w:pPr>
              <w:keepNext w:val="0"/>
              <w:keepLines w:val="0"/>
              <w:suppressLineNumbers w:val="0"/>
              <w:snapToGrid w:val="0"/>
              <w:spacing w:before="0" w:beforeAutospacing="0" w:after="0" w:afterAutospacing="0" w:line="320" w:lineRule="exact"/>
              <w:ind w:left="0" w:right="0"/>
              <w:rPr>
                <w:rFonts w:hint="default" w:ascii="宋体" w:hAnsi="宋体"/>
                <w:color w:val="auto"/>
                <w:sz w:val="21"/>
                <w:szCs w:val="21"/>
                <w:highlight w:val="none"/>
              </w:rPr>
            </w:pPr>
            <w:r>
              <w:rPr>
                <w:rFonts w:hint="eastAsia" w:ascii="宋体" w:hAnsi="宋体"/>
                <w:color w:val="auto"/>
                <w:sz w:val="21"/>
                <w:szCs w:val="21"/>
                <w:highlight w:val="none"/>
              </w:rPr>
              <w:t>答疑与澄清：投标人如认为招标文件表述不清晰、存在歧视性、排他性或者其他违法内容的，必须在投标截止时间5日前以书面形式要求招标采购单位作出解释、澄清或者向招标采购单位提出书面质疑；招标采购单位的回复将以公告形式送达所有潜在的投标人。</w:t>
            </w:r>
          </w:p>
        </w:tc>
      </w:tr>
      <w:tr w14:paraId="306BE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5221DA74">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EE21D99">
            <w:pPr>
              <w:pStyle w:val="16"/>
              <w:keepNext w:val="0"/>
              <w:keepLines w:val="0"/>
              <w:suppressLineNumbers w:val="0"/>
              <w:spacing w:before="0" w:beforeAutospacing="0" w:afterAutospacing="0"/>
              <w:ind w:left="0" w:right="0"/>
              <w:rPr>
                <w:rFonts w:hint="default" w:ascii="宋体" w:hAnsi="宋体"/>
                <w:color w:val="auto"/>
                <w:sz w:val="21"/>
                <w:szCs w:val="21"/>
                <w:highlight w:val="none"/>
              </w:rPr>
            </w:pPr>
            <w:r>
              <w:rPr>
                <w:rFonts w:hint="eastAsia" w:ascii="宋体" w:hAnsi="宋体"/>
                <w:color w:val="auto"/>
                <w:sz w:val="21"/>
                <w:szCs w:val="21"/>
                <w:highlight w:val="none"/>
              </w:rPr>
              <w:t>投标文件组成：资信技术标、商务标。</w:t>
            </w:r>
            <w:r>
              <w:rPr>
                <w:rFonts w:hint="eastAsia" w:ascii="宋体" w:hAnsi="宋体"/>
                <w:b/>
                <w:bCs/>
                <w:color w:val="auto"/>
                <w:sz w:val="21"/>
                <w:szCs w:val="21"/>
                <w:highlight w:val="none"/>
              </w:rPr>
              <w:t>（电子文件应签章齐全，办理CA证书的投标人可采用单位电子公章代替单位公章，法定代表人电子章代替法定代表人签字，在投标文件编制工具中签章）；</w:t>
            </w:r>
          </w:p>
        </w:tc>
      </w:tr>
      <w:tr w14:paraId="7C15F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0D5B00D1">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B467938">
            <w:pPr>
              <w:keepNext w:val="0"/>
              <w:keepLines w:val="0"/>
              <w:suppressLineNumbers w:val="0"/>
              <w:snapToGrid w:val="0"/>
              <w:spacing w:before="0" w:beforeAutospacing="0" w:after="0" w:afterAutospacing="0"/>
              <w:ind w:left="0" w:right="0"/>
              <w:jc w:val="left"/>
              <w:rPr>
                <w:rFonts w:hint="default" w:ascii="宋体" w:hAnsi="宋体"/>
                <w:color w:val="auto"/>
                <w:sz w:val="21"/>
                <w:szCs w:val="21"/>
                <w:highlight w:val="none"/>
              </w:rPr>
            </w:pPr>
            <w:r>
              <w:rPr>
                <w:rFonts w:hint="eastAsia" w:ascii="宋体" w:hAnsi="宋体"/>
                <w:color w:val="auto"/>
                <w:sz w:val="21"/>
                <w:szCs w:val="21"/>
                <w:highlight w:val="none"/>
              </w:rPr>
              <w:t>投标截止时间及地点：</w:t>
            </w:r>
            <w:r>
              <w:rPr>
                <w:rFonts w:hint="eastAsia" w:ascii="宋体" w:hAnsi="宋体" w:cs="Arial"/>
                <w:color w:val="auto"/>
                <w:sz w:val="21"/>
                <w:szCs w:val="21"/>
                <w:highlight w:val="none"/>
                <w:u w:val="single"/>
              </w:rPr>
              <w:t>见招标公告；</w:t>
            </w:r>
          </w:p>
        </w:tc>
      </w:tr>
      <w:tr w14:paraId="02D33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1A22568F">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2ECA605">
            <w:pPr>
              <w:keepNext w:val="0"/>
              <w:keepLines w:val="0"/>
              <w:suppressLineNumbers w:val="0"/>
              <w:snapToGrid w:val="0"/>
              <w:spacing w:before="0" w:beforeAutospacing="0" w:after="0" w:afterAutospacing="0"/>
              <w:ind w:left="0" w:right="0"/>
              <w:jc w:val="left"/>
              <w:rPr>
                <w:rFonts w:hint="default" w:ascii="宋体" w:hAnsi="宋体"/>
                <w:color w:val="auto"/>
                <w:sz w:val="21"/>
                <w:szCs w:val="21"/>
                <w:highlight w:val="none"/>
              </w:rPr>
            </w:pPr>
            <w:r>
              <w:rPr>
                <w:rFonts w:hint="eastAsia" w:ascii="宋体" w:hAnsi="宋体"/>
                <w:color w:val="auto"/>
                <w:sz w:val="21"/>
                <w:szCs w:val="21"/>
                <w:highlight w:val="none"/>
              </w:rPr>
              <w:t>开标时间及地点：</w:t>
            </w:r>
            <w:r>
              <w:rPr>
                <w:rFonts w:hint="eastAsia" w:ascii="宋体" w:hAnsi="宋体" w:cs="Arial"/>
                <w:color w:val="auto"/>
                <w:sz w:val="21"/>
                <w:szCs w:val="21"/>
                <w:highlight w:val="none"/>
                <w:u w:val="single"/>
              </w:rPr>
              <w:t>见招标公告；</w:t>
            </w:r>
            <w:r>
              <w:rPr>
                <w:rFonts w:hint="default" w:ascii="宋体" w:hAnsi="宋体"/>
                <w:color w:val="auto"/>
                <w:sz w:val="21"/>
                <w:szCs w:val="21"/>
                <w:highlight w:val="none"/>
              </w:rPr>
              <w:t xml:space="preserve"> </w:t>
            </w:r>
          </w:p>
        </w:tc>
      </w:tr>
      <w:tr w14:paraId="78463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04DD1CDC">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A83B49F">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olor w:val="auto"/>
                <w:sz w:val="21"/>
                <w:szCs w:val="21"/>
                <w:highlight w:val="none"/>
              </w:rPr>
            </w:pPr>
            <w:r>
              <w:rPr>
                <w:rFonts w:hint="eastAsia" w:ascii="宋体" w:hAnsi="宋体"/>
                <w:color w:val="auto"/>
                <w:sz w:val="21"/>
                <w:szCs w:val="21"/>
                <w:highlight w:val="none"/>
              </w:rPr>
              <w:t>评标办法及评分标准：详见本招标文件第四章《评标办法及评分标准》</w:t>
            </w:r>
          </w:p>
        </w:tc>
      </w:tr>
      <w:tr w14:paraId="067DB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1DF65FE7">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83EFBB0">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olor w:val="auto"/>
                <w:sz w:val="21"/>
                <w:szCs w:val="21"/>
                <w:highlight w:val="none"/>
              </w:rPr>
            </w:pPr>
            <w:r>
              <w:rPr>
                <w:rFonts w:hint="eastAsia" w:ascii="宋体" w:hAnsi="宋体"/>
                <w:color w:val="auto"/>
                <w:sz w:val="21"/>
                <w:szCs w:val="21"/>
                <w:highlight w:val="none"/>
              </w:rPr>
              <w:t>结果公示：台州湾新区小额工程电子交易平台（网址：http://www.tzwztb.com/）和浙江省政府采购网(https://zfcg.czt.zj.gov.cn/)。</w:t>
            </w:r>
          </w:p>
        </w:tc>
      </w:tr>
      <w:tr w14:paraId="1522E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563EE581">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05723FC">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olor w:val="auto"/>
                <w:sz w:val="21"/>
                <w:szCs w:val="21"/>
                <w:highlight w:val="none"/>
              </w:rPr>
            </w:pPr>
            <w:r>
              <w:rPr>
                <w:rFonts w:hint="eastAsia" w:ascii="宋体" w:hAnsi="宋体"/>
                <w:color w:val="auto"/>
                <w:sz w:val="21"/>
                <w:szCs w:val="21"/>
                <w:highlight w:val="none"/>
              </w:rPr>
              <w:t>投标保证金退还：除招标文件规定不予退还保证金的情形外，未中标人的投标保证金在中标通知书发出后5个工作日内退还，中标人的投标保证金在合同签订后5个工作日内退还。</w:t>
            </w:r>
          </w:p>
        </w:tc>
      </w:tr>
      <w:tr w14:paraId="47ED9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5F535D8B">
            <w:pPr>
              <w:keepNext w:val="0"/>
              <w:keepLines w:val="0"/>
              <w:suppressLineNumbers w:val="0"/>
              <w:snapToGrid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59CA42A">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olor w:val="auto"/>
                <w:sz w:val="21"/>
                <w:szCs w:val="21"/>
                <w:highlight w:val="none"/>
              </w:rPr>
            </w:pPr>
            <w:r>
              <w:rPr>
                <w:rFonts w:hint="eastAsia" w:ascii="宋体" w:hAnsi="宋体"/>
                <w:color w:val="auto"/>
                <w:sz w:val="21"/>
                <w:szCs w:val="21"/>
                <w:highlight w:val="none"/>
              </w:rPr>
              <w:t>签订合同时间：中标通知书发出后30日内。</w:t>
            </w:r>
          </w:p>
        </w:tc>
      </w:tr>
      <w:tr w14:paraId="084C0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5CC60787">
            <w:pPr>
              <w:keepNext w:val="0"/>
              <w:keepLines w:val="0"/>
              <w:suppressLineNumbers w:val="0"/>
              <w:snapToGrid w:val="0"/>
              <w:spacing w:before="0" w:beforeAutospacing="0" w:after="0" w:afterAutospacing="0"/>
              <w:ind w:left="0" w:right="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66EE2A0">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olor w:val="auto"/>
                <w:sz w:val="21"/>
                <w:szCs w:val="21"/>
                <w:highlight w:val="none"/>
              </w:rPr>
            </w:pPr>
            <w:r>
              <w:rPr>
                <w:rFonts w:hint="eastAsia" w:ascii="宋体" w:hAnsi="宋体"/>
                <w:color w:val="auto"/>
                <w:sz w:val="21"/>
                <w:szCs w:val="21"/>
                <w:highlight w:val="none"/>
              </w:rPr>
              <w:t>采购资金来源：自筹</w:t>
            </w:r>
          </w:p>
        </w:tc>
      </w:tr>
      <w:tr w14:paraId="12BA2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6"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19783E58">
            <w:pPr>
              <w:keepNext w:val="0"/>
              <w:keepLines w:val="0"/>
              <w:suppressLineNumbers w:val="0"/>
              <w:snapToGrid w:val="0"/>
              <w:spacing w:before="0" w:beforeAutospacing="0" w:after="0" w:afterAutospacing="0"/>
              <w:ind w:left="0" w:right="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0114678">
            <w:pPr>
              <w:keepNext w:val="0"/>
              <w:keepLines w:val="0"/>
              <w:suppressLineNumbers w:val="0"/>
              <w:autoSpaceDE w:val="0"/>
              <w:autoSpaceDN w:val="0"/>
              <w:snapToGrid w:val="0"/>
              <w:spacing w:before="0" w:beforeAutospacing="0" w:after="0" w:afterAutospacing="0" w:line="320" w:lineRule="exact"/>
              <w:ind w:left="0" w:right="0" w:firstLine="420" w:firstLineChars="200"/>
              <w:textAlignment w:val="bottom"/>
              <w:rPr>
                <w:rFonts w:hint="eastAsia" w:ascii="宋体" w:hAnsi="宋体"/>
                <w:color w:val="auto"/>
                <w:sz w:val="21"/>
                <w:szCs w:val="21"/>
                <w:highlight w:val="none"/>
              </w:rPr>
            </w:pPr>
            <w:r>
              <w:rPr>
                <w:rFonts w:hint="eastAsia" w:ascii="宋体" w:hAnsi="宋体"/>
                <w:color w:val="auto"/>
                <w:sz w:val="21"/>
                <w:szCs w:val="21"/>
                <w:highlight w:val="none"/>
              </w:rPr>
              <w:t>投标文件递交要求：1、投标人无需到开标现场，电子投标文件上传至台州湾新区小额工程电子交易平台。如遇有问题的请联系蔡先生，13454667697；王女士，13757680207。</w:t>
            </w:r>
          </w:p>
          <w:p w14:paraId="21929073">
            <w:pPr>
              <w:keepNext w:val="0"/>
              <w:keepLines w:val="0"/>
              <w:suppressLineNumbers w:val="0"/>
              <w:autoSpaceDE w:val="0"/>
              <w:autoSpaceDN w:val="0"/>
              <w:snapToGrid w:val="0"/>
              <w:spacing w:before="0" w:beforeAutospacing="0" w:after="0" w:afterAutospacing="0" w:line="320" w:lineRule="exact"/>
              <w:ind w:left="0" w:right="0" w:firstLine="420" w:firstLineChars="200"/>
              <w:textAlignment w:val="bottom"/>
              <w:rPr>
                <w:rFonts w:hint="eastAsia" w:ascii="宋体" w:hAnsi="宋体"/>
                <w:color w:val="auto"/>
                <w:sz w:val="21"/>
                <w:szCs w:val="21"/>
                <w:highlight w:val="none"/>
              </w:rPr>
            </w:pPr>
            <w:r>
              <w:rPr>
                <w:rFonts w:hint="eastAsia" w:ascii="宋体" w:hAnsi="宋体"/>
                <w:color w:val="auto"/>
                <w:sz w:val="21"/>
                <w:szCs w:val="21"/>
                <w:highlight w:val="none"/>
              </w:rPr>
              <w:t>2、电子投标文件上传步骤：</w:t>
            </w:r>
          </w:p>
          <w:p w14:paraId="12FFBD67">
            <w:pPr>
              <w:keepNext w:val="0"/>
              <w:keepLines w:val="0"/>
              <w:suppressLineNumbers w:val="0"/>
              <w:autoSpaceDE w:val="0"/>
              <w:autoSpaceDN w:val="0"/>
              <w:snapToGrid w:val="0"/>
              <w:spacing w:before="0" w:beforeAutospacing="0" w:after="0" w:afterAutospacing="0" w:line="320" w:lineRule="exact"/>
              <w:ind w:left="0" w:right="0" w:firstLine="420" w:firstLineChars="200"/>
              <w:textAlignment w:val="bottom"/>
              <w:rPr>
                <w:rFonts w:hint="eastAsia" w:ascii="宋体" w:hAnsi="宋体"/>
                <w:color w:val="auto"/>
                <w:sz w:val="21"/>
                <w:szCs w:val="21"/>
                <w:highlight w:val="none"/>
              </w:rPr>
            </w:pPr>
            <w:r>
              <w:rPr>
                <w:rFonts w:hint="eastAsia" w:ascii="宋体" w:hAnsi="宋体"/>
                <w:color w:val="auto"/>
                <w:sz w:val="21"/>
                <w:szCs w:val="21"/>
                <w:highlight w:val="none"/>
              </w:rPr>
              <w:t>1) 台州湾新区小额工程电子交易平台（网址：http://www.tzwztb.com/）；</w:t>
            </w:r>
          </w:p>
          <w:p w14:paraId="1D0E47A2">
            <w:pPr>
              <w:keepNext w:val="0"/>
              <w:keepLines w:val="0"/>
              <w:suppressLineNumbers w:val="0"/>
              <w:autoSpaceDE w:val="0"/>
              <w:autoSpaceDN w:val="0"/>
              <w:snapToGrid w:val="0"/>
              <w:spacing w:before="0" w:beforeAutospacing="0" w:after="0" w:afterAutospacing="0" w:line="320" w:lineRule="exact"/>
              <w:ind w:left="0" w:right="0" w:firstLine="420" w:firstLineChars="200"/>
              <w:textAlignment w:val="bottom"/>
              <w:rPr>
                <w:rFonts w:hint="eastAsia" w:ascii="宋体" w:hAnsi="宋体"/>
                <w:color w:val="auto"/>
                <w:sz w:val="21"/>
                <w:szCs w:val="21"/>
                <w:highlight w:val="none"/>
              </w:rPr>
            </w:pPr>
            <w:r>
              <w:rPr>
                <w:rFonts w:hint="eastAsia" w:ascii="宋体" w:hAnsi="宋体"/>
                <w:color w:val="auto"/>
                <w:sz w:val="21"/>
                <w:szCs w:val="21"/>
                <w:highlight w:val="none"/>
              </w:rPr>
              <w:t>2) 投标人应提前办好ca锁（办理网址：http://www.tseal.cn/tcloud/common.xhtml?projId=295），绑定平台账户。</w:t>
            </w:r>
          </w:p>
          <w:p w14:paraId="79FA5374">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olor w:val="auto"/>
                <w:sz w:val="21"/>
                <w:szCs w:val="21"/>
                <w:highlight w:val="none"/>
              </w:rPr>
            </w:pPr>
            <w:r>
              <w:rPr>
                <w:rFonts w:hint="eastAsia" w:ascii="宋体" w:hAnsi="宋体"/>
                <w:color w:val="auto"/>
                <w:sz w:val="21"/>
                <w:szCs w:val="21"/>
                <w:highlight w:val="none"/>
              </w:rPr>
              <w:t>3)缴纳保证金（或购买、上传电子保函）后，点击“电子投标文件制作工具”，进入制作页面，签章并加密上传电子投标文件。</w:t>
            </w:r>
          </w:p>
        </w:tc>
      </w:tr>
      <w:tr w14:paraId="7E869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0FC65BD">
            <w:pPr>
              <w:keepNext w:val="0"/>
              <w:keepLines w:val="0"/>
              <w:suppressLineNumbers w:val="0"/>
              <w:snapToGrid w:val="0"/>
              <w:spacing w:before="0" w:beforeAutospacing="0" w:after="0" w:afterAutospacing="0"/>
              <w:ind w:left="0" w:right="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0A66B85">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olor w:val="auto"/>
                <w:sz w:val="21"/>
                <w:szCs w:val="21"/>
                <w:highlight w:val="none"/>
              </w:rPr>
            </w:pPr>
            <w:r>
              <w:rPr>
                <w:rFonts w:hint="eastAsia" w:ascii="宋体" w:hAnsi="宋体"/>
                <w:color w:val="auto"/>
                <w:sz w:val="21"/>
                <w:szCs w:val="21"/>
                <w:highlight w:val="none"/>
              </w:rPr>
              <w:t>投标文件有效期：90天</w:t>
            </w:r>
          </w:p>
        </w:tc>
      </w:tr>
      <w:tr w14:paraId="2268A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F6B0D6E">
            <w:pPr>
              <w:keepNext w:val="0"/>
              <w:keepLines w:val="0"/>
              <w:suppressLineNumbers w:val="0"/>
              <w:snapToGrid w:val="0"/>
              <w:spacing w:before="0" w:beforeAutospacing="0" w:after="0" w:afterAutospacing="0"/>
              <w:ind w:left="0" w:right="0"/>
              <w:jc w:val="center"/>
              <w:rPr>
                <w:rFonts w:hint="eastAsia" w:ascii="宋体" w:hAnsi="宋体" w:eastAsia="宋体"/>
                <w:color w:val="auto"/>
                <w:sz w:val="21"/>
                <w:szCs w:val="21"/>
                <w:highlight w:val="none"/>
                <w:lang w:val="en-US" w:eastAsia="zh-CN"/>
              </w:rPr>
            </w:pPr>
            <w:r>
              <w:rPr>
                <w:rFonts w:hint="eastAsia" w:ascii="宋体" w:hAnsi="宋体"/>
                <w:b/>
                <w:bCs/>
                <w:color w:val="auto"/>
                <w:sz w:val="21"/>
                <w:szCs w:val="21"/>
                <w:highlight w:val="none"/>
              </w:rPr>
              <w:t>1</w:t>
            </w:r>
            <w:r>
              <w:rPr>
                <w:rFonts w:hint="eastAsia" w:ascii="宋体" w:hAnsi="宋体"/>
                <w:b/>
                <w:bCs/>
                <w:color w:val="auto"/>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2825950">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b/>
                <w:bCs/>
                <w:color w:val="auto"/>
                <w:sz w:val="21"/>
                <w:szCs w:val="21"/>
                <w:highlight w:val="none"/>
              </w:rPr>
            </w:pPr>
            <w:r>
              <w:rPr>
                <w:rFonts w:hint="eastAsia" w:ascii="宋体" w:hAnsi="宋体"/>
                <w:b/>
                <w:bCs/>
                <w:color w:val="auto"/>
                <w:sz w:val="21"/>
                <w:szCs w:val="21"/>
                <w:highlight w:val="none"/>
              </w:rPr>
              <w:t>本项目开资信技术标，资信技术标评审结束后再开商务标。</w:t>
            </w:r>
          </w:p>
        </w:tc>
      </w:tr>
      <w:tr w14:paraId="53BA7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276B7C60">
            <w:pPr>
              <w:keepNext w:val="0"/>
              <w:keepLines w:val="0"/>
              <w:suppressLineNumbers w:val="0"/>
              <w:snapToGrid w:val="0"/>
              <w:spacing w:before="0" w:beforeAutospacing="0" w:after="0" w:afterAutospacing="0"/>
              <w:ind w:left="0" w:right="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46C3F85">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color w:val="auto"/>
                <w:sz w:val="21"/>
                <w:szCs w:val="21"/>
                <w:highlight w:val="none"/>
              </w:rPr>
            </w:pPr>
            <w:r>
              <w:rPr>
                <w:rFonts w:hint="eastAsia" w:ascii="宋体" w:hAnsi="宋体"/>
                <w:color w:val="auto"/>
                <w:sz w:val="21"/>
                <w:szCs w:val="21"/>
                <w:highlight w:val="none"/>
              </w:rPr>
              <w:t>解释：本招标文件的解释权属于招标采购单位。</w:t>
            </w:r>
          </w:p>
        </w:tc>
      </w:tr>
      <w:tr w14:paraId="42231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435188A4">
            <w:pPr>
              <w:keepNext w:val="0"/>
              <w:keepLines w:val="0"/>
              <w:suppressLineNumbers w:val="0"/>
              <w:snapToGrid w:val="0"/>
              <w:spacing w:before="0" w:beforeAutospacing="0" w:after="0" w:afterAutospacing="0"/>
              <w:ind w:left="0" w:right="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0</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60AD204">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olor w:val="auto"/>
                <w:sz w:val="21"/>
                <w:szCs w:val="21"/>
                <w:highlight w:val="none"/>
              </w:rPr>
            </w:pPr>
            <w:r>
              <w:rPr>
                <w:rFonts w:hint="eastAsia" w:ascii="宋体" w:hAnsi="宋体"/>
                <w:color w:val="auto"/>
                <w:sz w:val="21"/>
                <w:szCs w:val="21"/>
                <w:highlight w:val="none"/>
              </w:rPr>
              <w:t>投标费用：不论投标结果如何，投标人均应自行承担所有与投标有关的全部费用。</w:t>
            </w:r>
          </w:p>
        </w:tc>
      </w:tr>
    </w:tbl>
    <w:p w14:paraId="4BA59302">
      <w:pPr>
        <w:pStyle w:val="22"/>
        <w:snapToGrid w:val="0"/>
        <w:spacing w:before="120" w:beforeLines="0" w:after="120" w:afterLines="0" w:line="240" w:lineRule="auto"/>
        <w:rPr>
          <w:rFonts w:hAnsi="宋体" w:cs="宋体"/>
          <w:b w:val="0"/>
          <w:color w:val="auto"/>
          <w:highlight w:val="none"/>
        </w:rPr>
      </w:pPr>
      <w:r>
        <w:rPr>
          <w:rFonts w:hAnsi="宋体"/>
          <w:b w:val="0"/>
          <w:color w:val="auto"/>
          <w:sz w:val="30"/>
          <w:szCs w:val="30"/>
          <w:highlight w:val="none"/>
        </w:rPr>
        <w:br w:type="page"/>
      </w:r>
      <w:bookmarkStart w:id="7" w:name="_Toc22477_WPSOffice_Level1"/>
      <w:bookmarkStart w:id="8" w:name="第四章"/>
      <w:r>
        <w:rPr>
          <w:rFonts w:hAnsi="宋体" w:cs="宋体"/>
          <w:b/>
          <w:bCs/>
          <w:color w:val="auto"/>
          <w:sz w:val="30"/>
          <w:szCs w:val="30"/>
          <w:highlight w:val="none"/>
        </w:rPr>
        <w:t>一、总  则</w:t>
      </w:r>
    </w:p>
    <w:p w14:paraId="735B646E">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（一） 适用范围</w:t>
      </w:r>
    </w:p>
    <w:p w14:paraId="008AD5B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14:paraId="0773B8CF">
      <w:pPr>
        <w:snapToGrid w:val="0"/>
        <w:spacing w:before="120" w:beforeLines="50" w:line="360" w:lineRule="auto"/>
        <w:ind w:firstLine="354" w:firstLineChars="147"/>
        <w:jc w:val="left"/>
        <w:outlineLvl w:val="1"/>
        <w:rPr>
          <w:rFonts w:hint="eastAsia" w:ascii="宋体" w:hAnsi="宋体" w:cs="宋体"/>
          <w:b/>
          <w:color w:val="auto"/>
          <w:sz w:val="24"/>
          <w:highlight w:val="none"/>
        </w:rPr>
      </w:pPr>
      <w:r>
        <w:rPr>
          <w:rFonts w:hint="eastAsia" w:ascii="宋体" w:hAnsi="宋体" w:cs="宋体"/>
          <w:b/>
          <w:color w:val="auto"/>
          <w:sz w:val="24"/>
          <w:highlight w:val="none"/>
        </w:rPr>
        <w:t>（二）定义</w:t>
      </w:r>
    </w:p>
    <w:p w14:paraId="40539A0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1.招标人系指组织本次招标的代理机构（“招标人”）和招标人。</w:t>
      </w:r>
    </w:p>
    <w:p w14:paraId="0F2152F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425D450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3.“产品”系指供方按招标文件规定，须向招标人提供的一切设备、保险、税金、备品备件、工具、手册及其它有关技术资料和材料。</w:t>
      </w:r>
    </w:p>
    <w:p w14:paraId="7CCAC8D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4.“服务”系指</w:t>
      </w:r>
      <w:r>
        <w:rPr>
          <w:rFonts w:hint="eastAsia" w:ascii="宋体" w:hAnsi="宋体" w:cs="宋体"/>
          <w:bCs/>
          <w:color w:val="auto"/>
          <w:kern w:val="0"/>
          <w:sz w:val="24"/>
          <w:highlight w:val="none"/>
        </w:rPr>
        <w:t>除货物和工程以外的采购对象，包括各类专业服务、信息网络开发服务、金融保险服务、运输服务，以及维修与维护服务等。</w:t>
      </w:r>
    </w:p>
    <w:p w14:paraId="51B36BF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5.“项目”系指投标人按招标文件规定向招标人提供的产品和服务。</w:t>
      </w:r>
    </w:p>
    <w:p w14:paraId="1797A09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6.“书面形式”包括信函、传真、电报等。</w:t>
      </w:r>
    </w:p>
    <w:p w14:paraId="1115854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7.“▲”系指实质性要求条款。</w:t>
      </w:r>
    </w:p>
    <w:p w14:paraId="6796D466">
      <w:pPr>
        <w:snapToGrid w:val="0"/>
        <w:spacing w:before="120" w:beforeLines="50"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（三）招标方式</w:t>
      </w:r>
    </w:p>
    <w:p w14:paraId="4A50D4F7">
      <w:pPr>
        <w:snapToGrid w:val="0"/>
        <w:spacing w:before="120" w:beforeLines="50" w:line="360" w:lineRule="auto"/>
        <w:ind w:firstLine="470" w:firstLineChars="196"/>
        <w:jc w:val="left"/>
        <w:outlineLvl w:val="1"/>
        <w:rPr>
          <w:rFonts w:hint="eastAsia" w:ascii="宋体" w:hAnsi="宋体" w:cs="宋体"/>
          <w:color w:val="auto"/>
          <w:sz w:val="24"/>
          <w:highlight w:val="none"/>
        </w:rPr>
      </w:pPr>
      <w:r>
        <w:rPr>
          <w:rFonts w:ascii="宋体" w:hAnsi="宋体"/>
          <w:color w:val="auto"/>
          <w:sz w:val="24"/>
          <w:highlight w:val="none"/>
        </w:rPr>
        <w:t>本次招标采用公开招标方式进行。</w:t>
      </w:r>
    </w:p>
    <w:p w14:paraId="7C56F9DA">
      <w:pPr>
        <w:snapToGrid w:val="0"/>
        <w:spacing w:before="120" w:beforeLines="50"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（四）投标委托</w:t>
      </w:r>
    </w:p>
    <w:p w14:paraId="0C706A56">
      <w:pPr>
        <w:pStyle w:val="17"/>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投标人代表须提供有效身份证件。如投标人代表不是法定代表人，须有法定代表人出具的授权委托书。</w:t>
      </w:r>
    </w:p>
    <w:p w14:paraId="68529933">
      <w:pPr>
        <w:snapToGrid w:val="0"/>
        <w:spacing w:before="120" w:beforeLines="50"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（五）投标费用</w:t>
      </w:r>
      <w:r>
        <w:rPr>
          <w:rFonts w:hint="eastAsia" w:ascii="宋体" w:hAnsi="宋体" w:cs="宋体"/>
          <w:b/>
          <w:color w:val="auto"/>
          <w:sz w:val="24"/>
          <w:highlight w:val="none"/>
          <w:lang w:bidi="ar"/>
        </w:rPr>
        <w:t>及结算</w:t>
      </w:r>
    </w:p>
    <w:p w14:paraId="33668DCF">
      <w:pPr>
        <w:snapToGrid w:val="0"/>
        <w:spacing w:line="400" w:lineRule="exact"/>
        <w:ind w:firstLine="480" w:firstLineChars="200"/>
        <w:jc w:val="left"/>
        <w:rPr>
          <w:rFonts w:hint="eastAsia" w:ascii="宋体" w:hAnsi="宋体" w:cs="宋体"/>
          <w:color w:val="auto"/>
          <w:sz w:val="24"/>
          <w:highlight w:val="none"/>
          <w:lang w:bidi="ar"/>
        </w:rPr>
      </w:pPr>
      <w:r>
        <w:rPr>
          <w:rFonts w:hint="eastAsia" w:ascii="宋体" w:hAnsi="宋体"/>
          <w:color w:val="auto"/>
          <w:sz w:val="24"/>
          <w:highlight w:val="none"/>
        </w:rPr>
        <w:t>不论投标结果如何，投标人均应自行承担所有与投标有关的全部费用（招标文件有相关规定除外）。</w:t>
      </w:r>
    </w:p>
    <w:p w14:paraId="45CFBC32">
      <w:pPr>
        <w:snapToGrid w:val="0"/>
        <w:spacing w:before="120" w:beforeLines="50"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（六）联合体投标</w:t>
      </w:r>
    </w:p>
    <w:p w14:paraId="6645B1EB">
      <w:pPr>
        <w:snapToGrid w:val="0"/>
        <w:spacing w:line="360" w:lineRule="exact"/>
        <w:ind w:firstLine="480" w:firstLineChars="200"/>
        <w:jc w:val="left"/>
        <w:rPr>
          <w:rFonts w:ascii="宋体" w:hAnsi="宋体" w:cs="宋体"/>
          <w:color w:val="auto"/>
          <w:sz w:val="24"/>
          <w:highlight w:val="none"/>
        </w:rPr>
      </w:pPr>
      <w:r>
        <w:rPr>
          <w:rFonts w:hint="eastAsia" w:ascii="宋体" w:hAnsi="宋体" w:cs="Arial"/>
          <w:color w:val="auto"/>
          <w:sz w:val="24"/>
          <w:highlight w:val="none"/>
        </w:rPr>
        <w:t>本项目不接受联合体投标</w:t>
      </w:r>
      <w:r>
        <w:rPr>
          <w:rFonts w:hint="eastAsia" w:ascii="宋体" w:hAnsi="宋体"/>
          <w:color w:val="auto"/>
          <w:sz w:val="24"/>
          <w:highlight w:val="none"/>
        </w:rPr>
        <w:t>。</w:t>
      </w:r>
    </w:p>
    <w:p w14:paraId="7969E984">
      <w:pPr>
        <w:snapToGrid w:val="0"/>
        <w:spacing w:before="120" w:beforeLines="50"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1E09E0A9">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本项目不允许转包。</w:t>
      </w:r>
    </w:p>
    <w:p w14:paraId="3F623F05">
      <w:pPr>
        <w:snapToGrid w:val="0"/>
        <w:spacing w:before="120" w:beforeLines="50"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（八）特别说明：</w:t>
      </w:r>
    </w:p>
    <w:p w14:paraId="1E8ACEE5">
      <w:pPr>
        <w:pStyle w:val="112"/>
        <w:snapToGrid w:val="0"/>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1、投标人投标所使用的资格、信誉、荣誉、业绩与企业认证必须为本法人所拥有。投标人投标所使用的采购项目实施人员必须为本法人员工（或必须为本法人或控股公司正式员工）。</w:t>
      </w:r>
    </w:p>
    <w:p w14:paraId="18E55FE8">
      <w:pPr>
        <w:pStyle w:val="112"/>
        <w:snapToGrid w:val="0"/>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2、投标人应仔细阅读招标文件的所有内容，按照招标文件的要求提交投标文件，并对所提供的全部资料的真实性承担法律责任。</w:t>
      </w:r>
    </w:p>
    <w:p w14:paraId="0F3B1824">
      <w:pPr>
        <w:pStyle w:val="112"/>
        <w:snapToGrid w:val="0"/>
        <w:spacing w:line="360" w:lineRule="auto"/>
        <w:ind w:firstLineChars="0"/>
        <w:rPr>
          <w:rFonts w:hint="eastAsia" w:ascii="宋体" w:hAnsi="宋体" w:cs="宋体"/>
          <w:color w:val="auto"/>
          <w:sz w:val="24"/>
          <w:szCs w:val="24"/>
          <w:highlight w:val="none"/>
        </w:rPr>
      </w:pPr>
      <w:r>
        <w:rPr>
          <w:rFonts w:hint="eastAsia" w:ascii="宋体" w:hAnsi="宋体" w:cs="宋体"/>
          <w:b/>
          <w:bCs/>
          <w:color w:val="auto"/>
          <w:sz w:val="24"/>
          <w:szCs w:val="24"/>
          <w:highlight w:val="none"/>
        </w:rPr>
        <w:t>（九）质疑和投诉</w:t>
      </w:r>
    </w:p>
    <w:p w14:paraId="1EDF4E12">
      <w:pPr>
        <w:pStyle w:val="112"/>
        <w:snapToGrid w:val="0"/>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投标人认为招标投标活动不符合法律、行政法规规定的，可以自知道或者应当知道之日起10日内向有关行政监督部门提出（附相关有效证明材料）。属于《中华人民共和国招标投标法实施条例》第二十二条、第四十四条、第五十四条规定事项投诉的，应当以书面形式向采购人、采购代理机构提出（附相关有效证明材料），采购人、采购代理机构应给予答复。投标人对答复不服或认为采购代理机构有违反有关规定及其他弄虚作假情形的，可在接到答复之日起3日内向招标监管机构书面申请核查，并提交相关材料。</w:t>
      </w:r>
    </w:p>
    <w:p w14:paraId="5C837DCE">
      <w:pPr>
        <w:pStyle w:val="112"/>
        <w:snapToGrid w:val="0"/>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ECD8352">
      <w:pPr>
        <w:pStyle w:val="22"/>
        <w:snapToGrid w:val="0"/>
        <w:spacing w:before="120" w:beforeLines="0" w:after="120" w:afterLines="0" w:line="240" w:lineRule="auto"/>
        <w:rPr>
          <w:rFonts w:ascii="宋体" w:hAnsi="宋体" w:eastAsia="宋体" w:cs="宋体"/>
          <w:b/>
          <w:bCs/>
          <w:color w:val="auto"/>
          <w:sz w:val="30"/>
          <w:szCs w:val="30"/>
          <w:highlight w:val="none"/>
        </w:rPr>
      </w:pPr>
      <w:r>
        <w:rPr>
          <w:rFonts w:ascii="宋体" w:hAnsi="宋体" w:eastAsia="宋体" w:cs="宋体"/>
          <w:b/>
          <w:bCs/>
          <w:color w:val="auto"/>
          <w:sz w:val="30"/>
          <w:szCs w:val="30"/>
          <w:highlight w:val="none"/>
        </w:rPr>
        <w:t>二、招标文件</w:t>
      </w:r>
    </w:p>
    <w:p w14:paraId="7671AA24">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（一）招标文件的构成。本招标文件由以下部份组成：</w:t>
      </w:r>
    </w:p>
    <w:p w14:paraId="14868CD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1.招标公告</w:t>
      </w:r>
    </w:p>
    <w:p w14:paraId="1080187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2.招标需求</w:t>
      </w:r>
    </w:p>
    <w:p w14:paraId="7B8EB13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3.投标人须知</w:t>
      </w:r>
    </w:p>
    <w:p w14:paraId="020F4A4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4.评标办法及标准</w:t>
      </w:r>
    </w:p>
    <w:p w14:paraId="0A9279E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5合同主要条款</w:t>
      </w:r>
    </w:p>
    <w:p w14:paraId="5C03DDA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6.投标文件格式</w:t>
      </w:r>
    </w:p>
    <w:p w14:paraId="58F292B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48618246">
      <w:pPr>
        <w:snapToGrid w:val="0"/>
        <w:spacing w:before="120" w:beforeLines="50"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（二）投标人的风险</w:t>
      </w:r>
    </w:p>
    <w:p w14:paraId="0887FDB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47AE6CA0">
      <w:pPr>
        <w:pStyle w:val="9"/>
        <w:widowControl w:val="0"/>
        <w:tabs>
          <w:tab w:val="clear" w:pos="454"/>
          <w:tab w:val="clear" w:pos="900"/>
        </w:tabs>
        <w:snapToGrid w:val="0"/>
        <w:spacing w:before="120" w:beforeLines="50" w:after="120" w:line="360" w:lineRule="auto"/>
        <w:ind w:left="0" w:firstLine="472" w:firstLineChars="196"/>
        <w:rPr>
          <w:rFonts w:hint="eastAsia" w:ascii="宋体" w:hAnsi="宋体" w:cs="宋体"/>
          <w:b/>
          <w:color w:val="auto"/>
          <w:szCs w:val="24"/>
          <w:highlight w:val="none"/>
        </w:rPr>
      </w:pPr>
      <w:r>
        <w:rPr>
          <w:rFonts w:hint="eastAsia" w:ascii="宋体" w:hAnsi="宋体" w:cs="宋体"/>
          <w:b/>
          <w:color w:val="auto"/>
          <w:szCs w:val="24"/>
          <w:highlight w:val="none"/>
        </w:rPr>
        <w:t xml:space="preserve">（三）招标文件的澄清与修改 </w:t>
      </w:r>
    </w:p>
    <w:p w14:paraId="44367A8A">
      <w:pPr>
        <w:pStyle w:val="22"/>
        <w:snapToGrid w:val="0"/>
        <w:spacing w:before="120" w:after="0" w:afterLines="0" w:afterAutospacing="0" w:line="360" w:lineRule="auto"/>
        <w:ind w:firstLine="480" w:firstLineChars="200"/>
        <w:rPr>
          <w:rFonts w:hAnsi="宋体" w:cs="宋体"/>
          <w:b w:val="0"/>
          <w:bCs/>
          <w:color w:val="auto"/>
          <w:highlight w:val="none"/>
        </w:rPr>
      </w:pPr>
      <w:r>
        <w:rPr>
          <w:rFonts w:hint="eastAsia" w:hAnsi="宋体" w:cs="宋体"/>
          <w:b w:val="0"/>
          <w:bCs/>
          <w:color w:val="auto"/>
          <w:highlight w:val="none"/>
        </w:rPr>
        <w:t>1.投标人应认真阅读本招标文件，发现其中有误或有不合理要求的，投标人必须在投标截止时间5日前以书面形式要求招标采购单位澄清。招标单位对应当自收到异议之日起3日内作出答复；招标单位对已发出的招标文件进行必要澄清、答复、修改或补充的，采购代理机构应当在招标文件要求提交投标文件截止时间5日前，在指定的信息发布媒体（台州湾新区小额工程电子交易平台（网址：http://www.tzwztb.com/）和浙江省政府采购网(https://zfcg.czt.zj.gov.cn/)）上发布更正公告，招标人、采购代理机构的任何工作人员对投标人所作的任何口头解释、介绍、答复，只能供投标人参考，对招标人无任何约束力。</w:t>
      </w:r>
    </w:p>
    <w:p w14:paraId="22141333">
      <w:pPr>
        <w:pStyle w:val="22"/>
        <w:snapToGrid w:val="0"/>
        <w:spacing w:before="0" w:beforeLines="0" w:beforeAutospacing="0" w:after="0" w:afterLines="0" w:afterAutospacing="0" w:line="360" w:lineRule="auto"/>
        <w:ind w:firstLine="480" w:firstLineChars="200"/>
        <w:rPr>
          <w:rFonts w:hint="eastAsia" w:hAnsi="宋体" w:cs="宋体"/>
          <w:b w:val="0"/>
          <w:bCs/>
          <w:color w:val="auto"/>
          <w:highlight w:val="none"/>
        </w:rPr>
      </w:pPr>
      <w:r>
        <w:rPr>
          <w:rFonts w:hint="eastAsia" w:hAnsi="宋体" w:cs="宋体"/>
          <w:b w:val="0"/>
          <w:bCs/>
          <w:color w:val="auto"/>
          <w:highlight w:val="none"/>
        </w:rPr>
        <w:t>2.招标文件澄清、答复、修改、补充的内容为招标文件的组成部分。当招标文件与招标文件的答复、澄清、修改、补充通知就同一内容的表述不一致时，以最后发出的书面文件为准。</w:t>
      </w:r>
    </w:p>
    <w:p w14:paraId="6B8E7A9F">
      <w:pPr>
        <w:pStyle w:val="22"/>
        <w:snapToGrid w:val="0"/>
        <w:spacing w:before="0" w:beforeLines="0" w:beforeAutospacing="0" w:after="120" w:line="360" w:lineRule="auto"/>
        <w:ind w:firstLine="480" w:firstLineChars="200"/>
        <w:rPr>
          <w:rFonts w:hAnsi="宋体" w:cs="宋体"/>
          <w:color w:val="auto"/>
          <w:highlight w:val="none"/>
        </w:rPr>
      </w:pPr>
      <w:r>
        <w:rPr>
          <w:rFonts w:hint="eastAsia" w:hAnsi="宋体" w:cs="宋体"/>
          <w:b w:val="0"/>
          <w:bCs/>
          <w:color w:val="auto"/>
          <w:highlight w:val="none"/>
        </w:rPr>
        <w:t>3.招标文件的澄清、答复、修改或补充都应该通过采购代理机构以法定形式发布，采购人非通过本机构，不得擅自澄清、答复、修改或补充招标文件。</w:t>
      </w:r>
    </w:p>
    <w:p w14:paraId="68897D93">
      <w:pPr>
        <w:pStyle w:val="22"/>
        <w:snapToGrid w:val="0"/>
        <w:spacing w:before="120" w:beforeLines="0" w:after="120" w:afterLines="0" w:line="360" w:lineRule="auto"/>
        <w:rPr>
          <w:rFonts w:hAnsi="宋体" w:cs="宋体"/>
          <w:b/>
          <w:bCs/>
          <w:color w:val="auto"/>
          <w:sz w:val="30"/>
          <w:szCs w:val="30"/>
          <w:highlight w:val="none"/>
        </w:rPr>
      </w:pPr>
      <w:r>
        <w:rPr>
          <w:rFonts w:hAnsi="宋体" w:cs="宋体"/>
          <w:b/>
          <w:bCs/>
          <w:color w:val="auto"/>
          <w:sz w:val="30"/>
          <w:szCs w:val="30"/>
          <w:highlight w:val="none"/>
        </w:rPr>
        <w:t>三、投标文件的编制</w:t>
      </w:r>
    </w:p>
    <w:p w14:paraId="0B3A368B">
      <w:pPr>
        <w:snapToGrid w:val="0"/>
        <w:spacing w:line="360" w:lineRule="exact"/>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ab/>
      </w:r>
      <w:r>
        <w:rPr>
          <w:rFonts w:hint="eastAsia" w:ascii="宋体" w:hAnsi="宋体"/>
          <w:b/>
          <w:color w:val="auto"/>
          <w:sz w:val="24"/>
          <w:highlight w:val="none"/>
        </w:rPr>
        <w:t>投标文件的要求</w:t>
      </w:r>
    </w:p>
    <w:p w14:paraId="75F0F9A8">
      <w:pPr>
        <w:snapToGrid w:val="0"/>
        <w:spacing w:line="360" w:lineRule="exact"/>
        <w:ind w:firstLine="470" w:firstLineChars="196"/>
        <w:jc w:val="left"/>
        <w:outlineLvl w:val="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、投标人应仔细阅读招标文件的所有内容，按照要求详细编制投标文件，并保证投标文件的正确性和真实性。</w:t>
      </w:r>
    </w:p>
    <w:p w14:paraId="577461EE">
      <w:pPr>
        <w:snapToGrid w:val="0"/>
        <w:spacing w:line="360" w:lineRule="exact"/>
        <w:ind w:firstLine="470" w:firstLineChars="196"/>
        <w:jc w:val="left"/>
        <w:outlineLvl w:val="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、不按招标文件的要求提供的投标文件将被拒绝。</w:t>
      </w:r>
    </w:p>
    <w:p w14:paraId="36AF4A9F">
      <w:pPr>
        <w:snapToGrid w:val="0"/>
        <w:spacing w:line="360" w:lineRule="exact"/>
        <w:ind w:firstLine="472" w:firstLineChars="196"/>
        <w:jc w:val="left"/>
        <w:outlineLvl w:val="0"/>
        <w:rPr>
          <w:rFonts w:hint="eastAsia" w:ascii="宋体" w:hAnsi="宋体"/>
          <w:b/>
          <w:color w:val="auto"/>
          <w:sz w:val="24"/>
          <w:highlight w:val="none"/>
        </w:rPr>
      </w:pPr>
      <w:r>
        <w:rPr>
          <w:rFonts w:hint="eastAsia" w:ascii="宋体" w:hAnsi="宋体"/>
          <w:b/>
          <w:color w:val="auto"/>
          <w:sz w:val="24"/>
          <w:highlight w:val="none"/>
        </w:rPr>
        <w:t>（二）投标文件的组成</w:t>
      </w:r>
    </w:p>
    <w:p w14:paraId="635D00BF">
      <w:pPr>
        <w:snapToGrid w:val="0"/>
        <w:spacing w:line="360" w:lineRule="exact"/>
        <w:ind w:firstLine="472" w:firstLineChars="196"/>
        <w:jc w:val="left"/>
        <w:outlineLvl w:val="0"/>
        <w:rPr>
          <w:rFonts w:hint="eastAsia" w:ascii="宋体" w:hAnsi="宋体" w:cs="宋体"/>
          <w:b/>
          <w:color w:val="auto"/>
          <w:sz w:val="24"/>
          <w:highlight w:val="none"/>
        </w:rPr>
      </w:pPr>
      <w:r>
        <w:rPr>
          <w:rFonts w:hint="eastAsia" w:ascii="宋体" w:hAnsi="宋体"/>
          <w:b/>
          <w:color w:val="auto"/>
          <w:sz w:val="24"/>
          <w:highlight w:val="none"/>
        </w:rPr>
        <w:t>投标人接到招标文件后，按照采购人的要求提供：资信技术标、商务标。</w:t>
      </w:r>
    </w:p>
    <w:p w14:paraId="63C52986">
      <w:pPr>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val="en-US" w:eastAsia="zh-CN"/>
        </w:rPr>
        <w:t>资信</w:t>
      </w:r>
      <w:r>
        <w:rPr>
          <w:rFonts w:hint="eastAsia" w:ascii="宋体" w:hAnsi="宋体" w:cs="宋体"/>
          <w:bCs/>
          <w:color w:val="auto"/>
          <w:kern w:val="0"/>
          <w:sz w:val="24"/>
          <w:highlight w:val="none"/>
        </w:rPr>
        <w:t>技术标</w:t>
      </w:r>
    </w:p>
    <w:p w14:paraId="291B8A84">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（1）诚信投标承诺书（格式见附件）；</w:t>
      </w:r>
    </w:p>
    <w:p w14:paraId="066D4EE0">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（2）营业执照副本影印件；</w:t>
      </w:r>
    </w:p>
    <w:p w14:paraId="6AC0C1BE">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（3）类似项目业绩一览表（如有）；</w:t>
      </w:r>
    </w:p>
    <w:p w14:paraId="238795F1">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（4）售后服务网点情况表（格式见附件）；</w:t>
      </w:r>
    </w:p>
    <w:p w14:paraId="231FFEEA">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（5）技术需求响应表（格式见附件）；</w:t>
      </w:r>
    </w:p>
    <w:p w14:paraId="161DF489">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（6）法定代表人授权委托书</w:t>
      </w:r>
      <w:r>
        <w:rPr>
          <w:rFonts w:hint="eastAsia" w:ascii="宋体" w:hAnsi="宋体" w:cs="宋体"/>
          <w:bCs/>
          <w:color w:val="auto"/>
          <w:sz w:val="24"/>
          <w:highlight w:val="none"/>
          <w:lang w:val="en-US" w:eastAsia="zh-CN" w:bidi="ar"/>
        </w:rPr>
        <w:t>或</w:t>
      </w:r>
      <w:r>
        <w:rPr>
          <w:rFonts w:hint="eastAsia" w:ascii="宋体" w:hAnsi="宋体" w:cs="宋体"/>
          <w:bCs/>
          <w:color w:val="auto"/>
          <w:sz w:val="24"/>
          <w:highlight w:val="none"/>
          <w:lang w:bidi="ar"/>
        </w:rPr>
        <w:t>法定代表人身份证明（格式见附件）；</w:t>
      </w:r>
    </w:p>
    <w:p w14:paraId="24C6A7B1">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（7）对应评标办法应提供的材料和投标人认为应提供的其他证明文件的影印件（如有）。</w:t>
      </w:r>
    </w:p>
    <w:p w14:paraId="15E3FA1A">
      <w:pPr>
        <w:snapToGrid w:val="0"/>
        <w:spacing w:line="360" w:lineRule="auto"/>
        <w:ind w:firstLine="470" w:firstLineChars="196"/>
        <w:jc w:val="left"/>
        <w:outlineLvl w:val="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kern w:val="0"/>
          <w:sz w:val="24"/>
          <w:highlight w:val="none"/>
        </w:rPr>
        <w:t>商务标</w:t>
      </w:r>
    </w:p>
    <w:p w14:paraId="2D4D2D14">
      <w:pPr>
        <w:autoSpaceDE w:val="0"/>
        <w:autoSpaceDN w:val="0"/>
        <w:adjustRightInd w:val="0"/>
        <w:spacing w:line="360" w:lineRule="auto"/>
        <w:ind w:left="48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（1）</w:t>
      </w:r>
      <w:r>
        <w:rPr>
          <w:rFonts w:hint="eastAsia" w:ascii="宋体" w:hAnsi="宋体" w:cs="宋体"/>
          <w:bCs/>
          <w:color w:val="auto"/>
          <w:sz w:val="24"/>
          <w:highlight w:val="none"/>
          <w:lang w:val="en-US" w:eastAsia="zh-CN" w:bidi="ar"/>
        </w:rPr>
        <w:t>开标一览表</w:t>
      </w:r>
      <w:r>
        <w:rPr>
          <w:rFonts w:hint="eastAsia" w:ascii="宋体" w:hAnsi="宋体" w:cs="宋体"/>
          <w:bCs/>
          <w:color w:val="auto"/>
          <w:sz w:val="24"/>
          <w:highlight w:val="none"/>
          <w:lang w:bidi="ar"/>
        </w:rPr>
        <w:t>（格式见附件）。</w:t>
      </w:r>
    </w:p>
    <w:p w14:paraId="03F953EC">
      <w:pPr>
        <w:autoSpaceDE w:val="0"/>
        <w:autoSpaceDN w:val="0"/>
        <w:adjustRightInd w:val="0"/>
        <w:spacing w:line="360" w:lineRule="auto"/>
        <w:ind w:left="480"/>
        <w:rPr>
          <w:rFonts w:hint="eastAsia" w:ascii="宋体" w:hAnsi="宋体" w:cs="宋体"/>
          <w:color w:val="auto"/>
          <w:kern w:val="0"/>
          <w:sz w:val="24"/>
          <w:highlight w:val="none"/>
        </w:rPr>
      </w:pPr>
      <w:r>
        <w:rPr>
          <w:rFonts w:hint="eastAsia" w:ascii="宋体" w:hAnsi="宋体" w:cs="宋体"/>
          <w:bCs/>
          <w:color w:val="auto"/>
          <w:sz w:val="24"/>
          <w:highlight w:val="none"/>
          <w:lang w:bidi="ar"/>
        </w:rPr>
        <w:t>注：以上内容均需在台州湾新区小额工程电子交易平台投标工具（在线网页版）中对应处自行上传后生成，添加的内容须为清晰的电子文档，同时加盖公司电子公章。</w:t>
      </w:r>
    </w:p>
    <w:p w14:paraId="19B09FE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（三）投标文件的语言及计量</w:t>
      </w:r>
    </w:p>
    <w:p w14:paraId="092E94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1、投标文件以及投标人与招标人就有关投标事宜的所有来往函电，均应以中文汉语书写。除签名、盖章、专用名称等特殊情形外，以中文汉语以外的文字表述的投标文件视同未提供。</w:t>
      </w:r>
    </w:p>
    <w:p w14:paraId="48184E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72C4442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（四）投标报价</w:t>
      </w:r>
    </w:p>
    <w:p w14:paraId="410BE1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33F16BAF">
      <w:pPr>
        <w:pStyle w:val="10"/>
        <w:spacing w:line="360" w:lineRule="auto"/>
        <w:ind w:firstLine="480" w:firstLineChars="200"/>
        <w:rPr>
          <w:rFonts w:ascii="宋体" w:hAnsi="宋体" w:eastAsia="宋体"/>
          <w:bCs/>
          <w:color w:val="auto"/>
          <w:kern w:val="0"/>
          <w:sz w:val="24"/>
          <w:highlight w:val="none"/>
        </w:rPr>
      </w:pPr>
      <w:r>
        <w:rPr>
          <w:rFonts w:hint="eastAsia" w:ascii="宋体" w:hAnsi="宋体" w:cs="宋体"/>
          <w:color w:val="auto"/>
          <w:sz w:val="24"/>
          <w:highlight w:val="none"/>
        </w:rPr>
        <w:t>▲2.投标报价是履行合同的最终价格，</w:t>
      </w:r>
      <w:r>
        <w:rPr>
          <w:rFonts w:hint="eastAsia" w:ascii="宋体" w:hAnsi="宋体" w:eastAsia="宋体"/>
          <w:bCs/>
          <w:color w:val="auto"/>
          <w:kern w:val="0"/>
          <w:sz w:val="24"/>
          <w:highlight w:val="none"/>
        </w:rPr>
        <w:t>本次投标的报价为包含实现本项目的所有功能及安全保障工作所需费用，所有价格均采用人民币报价，其应包括（但不限于）施工设备、劳务、现场恢复、管理、材料、系统集成、安装调试、软件开发、试运行、质保、保险、利润、税金、培训费、措施费、人身意外伤害保险费、备品备件费用等。各投标人应根据招标人提供的技术资料以及本项目实际情况和自身的综合实力，竞报投标报价。总报价以人民币元计。知识产权等由投标人在投标报价时综合考虑，以后不作任何调整。</w:t>
      </w:r>
    </w:p>
    <w:p w14:paraId="285348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14:paraId="66D6DAC7">
      <w:pPr>
        <w:pStyle w:val="9"/>
        <w:widowControl w:val="0"/>
        <w:tabs>
          <w:tab w:val="clear" w:pos="454"/>
          <w:tab w:val="clear" w:pos="900"/>
        </w:tabs>
        <w:snapToGrid w:val="0"/>
        <w:spacing w:before="120" w:beforeLines="50" w:after="0" w:afterLines="0" w:afterAutospacing="0" w:line="360" w:lineRule="auto"/>
        <w:ind w:left="0" w:firstLine="472" w:firstLineChars="196"/>
        <w:rPr>
          <w:rFonts w:hint="eastAsia" w:ascii="宋体" w:hAnsi="宋体" w:cs="宋体"/>
          <w:b/>
          <w:color w:val="auto"/>
          <w:szCs w:val="24"/>
          <w:highlight w:val="none"/>
        </w:rPr>
      </w:pPr>
      <w:r>
        <w:rPr>
          <w:rFonts w:hint="eastAsia" w:ascii="宋体" w:hAnsi="宋体" w:cs="宋体"/>
          <w:b/>
          <w:color w:val="auto"/>
          <w:szCs w:val="24"/>
          <w:highlight w:val="none"/>
        </w:rPr>
        <w:t>（五）投标文件的有效期</w:t>
      </w:r>
    </w:p>
    <w:p w14:paraId="2ACFFB7F">
      <w:pPr>
        <w:spacing w:before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▲1.自投标截止日起 90天投标文件应保持有效。中标人投标文件有效期延长至合同有效期。有效期不足的投标文件将被拒绝。</w:t>
      </w:r>
    </w:p>
    <w:p w14:paraId="4A13B8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14:paraId="700BBF8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3.投标人可拒绝接受延期要求而不会导致投标保证金不被退回。同意延长有效期的投标人需要相应延长投标保证金的有效期，但不能修改投标文件内容。 </w:t>
      </w:r>
    </w:p>
    <w:p w14:paraId="547ADCE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4.中标人的投标文件自开标之日起至合同履行完毕止均应保持有效。</w:t>
      </w:r>
    </w:p>
    <w:p w14:paraId="1B18B27A">
      <w:pPr>
        <w:pStyle w:val="9"/>
        <w:widowControl w:val="0"/>
        <w:tabs>
          <w:tab w:val="clear" w:pos="454"/>
          <w:tab w:val="clear" w:pos="900"/>
        </w:tabs>
        <w:snapToGrid w:val="0"/>
        <w:spacing w:after="0" w:afterLines="0" w:line="360" w:lineRule="auto"/>
        <w:ind w:left="0" w:firstLine="472" w:firstLineChars="196"/>
        <w:rPr>
          <w:rFonts w:hint="eastAsia" w:ascii="宋体" w:hAnsi="宋体" w:cs="宋体"/>
          <w:b/>
          <w:color w:val="auto"/>
          <w:szCs w:val="24"/>
          <w:highlight w:val="none"/>
        </w:rPr>
      </w:pPr>
      <w:r>
        <w:rPr>
          <w:rFonts w:hint="eastAsia" w:ascii="宋体" w:hAnsi="宋体" w:cs="宋体"/>
          <w:b/>
          <w:color w:val="auto"/>
          <w:szCs w:val="24"/>
          <w:highlight w:val="none"/>
        </w:rPr>
        <w:t>（六）投标保证金</w:t>
      </w:r>
    </w:p>
    <w:p w14:paraId="6DA02B85">
      <w:pPr>
        <w:snapToGrid w:val="0"/>
        <w:spacing w:line="360" w:lineRule="exact"/>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投标人须</w:t>
      </w:r>
      <w:r>
        <w:rPr>
          <w:rFonts w:hint="eastAsia" w:ascii="宋体" w:hAnsi="宋体"/>
          <w:color w:val="auto"/>
          <w:sz w:val="24"/>
          <w:highlight w:val="none"/>
        </w:rPr>
        <w:t>按规定</w:t>
      </w:r>
      <w:r>
        <w:rPr>
          <w:rFonts w:ascii="宋体" w:hAnsi="宋体"/>
          <w:color w:val="auto"/>
          <w:sz w:val="24"/>
          <w:highlight w:val="none"/>
        </w:rPr>
        <w:t>提交投标保证金。否则，其投标将被拒绝。</w:t>
      </w:r>
    </w:p>
    <w:p w14:paraId="70078F74">
      <w:pPr>
        <w:snapToGrid w:val="0"/>
        <w:spacing w:line="360" w:lineRule="exact"/>
        <w:ind w:firstLine="480" w:firstLineChars="200"/>
        <w:jc w:val="left"/>
        <w:rPr>
          <w:rFonts w:hint="eastAsia"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保证金形式：</w:t>
      </w:r>
      <w:r>
        <w:rPr>
          <w:rFonts w:hint="eastAsia" w:ascii="宋体" w:hAnsi="宋体"/>
          <w:color w:val="auto"/>
          <w:sz w:val="24"/>
          <w:highlight w:val="none"/>
        </w:rPr>
        <w:t>银行转帐、</w:t>
      </w:r>
      <w:r>
        <w:rPr>
          <w:rFonts w:hint="eastAsia" w:ascii="宋体" w:hAnsi="宋体" w:cs="Arial"/>
          <w:bCs/>
          <w:color w:val="auto"/>
          <w:sz w:val="24"/>
          <w:highlight w:val="none"/>
        </w:rPr>
        <w:t>银行保函、保险机构保证保险保单、融</w:t>
      </w:r>
      <w:r>
        <w:rPr>
          <w:rFonts w:hint="eastAsia" w:ascii="宋体" w:hAnsi="宋体"/>
          <w:color w:val="auto"/>
          <w:sz w:val="24"/>
          <w:highlight w:val="none"/>
        </w:rPr>
        <w:t>资担保公司保函</w:t>
      </w:r>
      <w:r>
        <w:rPr>
          <w:rFonts w:hint="eastAsia" w:ascii="宋体" w:hAnsi="宋体"/>
          <w:color w:val="auto"/>
          <w:sz w:val="24"/>
          <w:highlight w:val="none"/>
          <w:u w:val="single"/>
        </w:rPr>
        <w:t>。</w:t>
      </w:r>
    </w:p>
    <w:p w14:paraId="106F5BCA">
      <w:pPr>
        <w:snapToGrid w:val="0"/>
        <w:spacing w:line="360" w:lineRule="exact"/>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未中标人</w:t>
      </w:r>
      <w:r>
        <w:rPr>
          <w:rFonts w:hint="eastAsia" w:ascii="宋体" w:hAnsi="宋体"/>
          <w:color w:val="auto"/>
          <w:sz w:val="24"/>
          <w:highlight w:val="none"/>
        </w:rPr>
        <w:t>的投标</w:t>
      </w:r>
      <w:r>
        <w:rPr>
          <w:rFonts w:ascii="宋体" w:hAnsi="宋体"/>
          <w:color w:val="auto"/>
          <w:sz w:val="24"/>
          <w:highlight w:val="none"/>
        </w:rPr>
        <w:t>保证金在</w:t>
      </w:r>
      <w:r>
        <w:rPr>
          <w:rFonts w:hint="eastAsia" w:ascii="宋体" w:hAnsi="宋体"/>
          <w:color w:val="auto"/>
          <w:sz w:val="24"/>
          <w:highlight w:val="none"/>
        </w:rPr>
        <w:t>中标通知书发出后5个工作日内退还</w:t>
      </w:r>
      <w:r>
        <w:rPr>
          <w:rFonts w:ascii="宋体" w:hAnsi="宋体"/>
          <w:color w:val="auto"/>
          <w:sz w:val="24"/>
          <w:highlight w:val="none"/>
        </w:rPr>
        <w:t>。</w:t>
      </w:r>
    </w:p>
    <w:p w14:paraId="531CC4B5">
      <w:pPr>
        <w:snapToGrid w:val="0"/>
        <w:spacing w:line="360" w:lineRule="exact"/>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中标人应在中标通知书发出</w:t>
      </w:r>
      <w:r>
        <w:rPr>
          <w:rFonts w:hint="eastAsia" w:ascii="宋体" w:hAnsi="宋体"/>
          <w:color w:val="auto"/>
          <w:sz w:val="24"/>
          <w:highlight w:val="none"/>
        </w:rPr>
        <w:t>后</w:t>
      </w:r>
      <w:r>
        <w:rPr>
          <w:rFonts w:ascii="宋体" w:hAnsi="宋体"/>
          <w:color w:val="auto"/>
          <w:sz w:val="24"/>
          <w:highlight w:val="none"/>
          <w:u w:val="single"/>
        </w:rPr>
        <w:t xml:space="preserve"> </w:t>
      </w:r>
      <w:r>
        <w:rPr>
          <w:rFonts w:hint="eastAsia" w:ascii="宋体" w:hAnsi="宋体"/>
          <w:color w:val="auto"/>
          <w:sz w:val="24"/>
          <w:highlight w:val="none"/>
          <w:u w:val="single"/>
        </w:rPr>
        <w:t>30</w:t>
      </w:r>
      <w:r>
        <w:rPr>
          <w:rFonts w:hint="eastAsia" w:ascii="宋体" w:hAnsi="宋体"/>
          <w:color w:val="auto"/>
          <w:sz w:val="24"/>
          <w:highlight w:val="none"/>
        </w:rPr>
        <w:t>日内与采购人签订合同</w:t>
      </w:r>
      <w:r>
        <w:rPr>
          <w:rFonts w:ascii="宋体" w:hAnsi="宋体"/>
          <w:color w:val="auto"/>
          <w:sz w:val="24"/>
          <w:highlight w:val="none"/>
        </w:rPr>
        <w:t>，中标人的投标保证金在合同签订后5</w:t>
      </w:r>
      <w:r>
        <w:rPr>
          <w:rFonts w:hint="eastAsia" w:ascii="宋体" w:hAnsi="宋体"/>
          <w:color w:val="auto"/>
          <w:sz w:val="24"/>
          <w:highlight w:val="none"/>
        </w:rPr>
        <w:t>个工作日</w:t>
      </w:r>
      <w:r>
        <w:rPr>
          <w:rFonts w:ascii="宋体" w:hAnsi="宋体"/>
          <w:color w:val="auto"/>
          <w:sz w:val="24"/>
          <w:highlight w:val="none"/>
        </w:rPr>
        <w:t>内退还。</w:t>
      </w:r>
    </w:p>
    <w:p w14:paraId="0C8F9BA0">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4.投标人有下列情形之一的，投标保证金将不予退还：</w:t>
      </w:r>
    </w:p>
    <w:p w14:paraId="176E451B">
      <w:pPr>
        <w:snapToGrid w:val="0"/>
        <w:spacing w:line="360" w:lineRule="exact"/>
        <w:ind w:firstLine="470" w:firstLineChars="196"/>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投标人在投标有效期内撤回投标文件的；</w:t>
      </w:r>
    </w:p>
    <w:p w14:paraId="52F96937">
      <w:pPr>
        <w:snapToGrid w:val="0"/>
        <w:spacing w:line="360" w:lineRule="exact"/>
        <w:ind w:firstLine="470" w:firstLineChars="196"/>
        <w:jc w:val="left"/>
        <w:rPr>
          <w:rFonts w:hint="eastAsia"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未按规定提交履约</w:t>
      </w:r>
      <w:r>
        <w:rPr>
          <w:rFonts w:ascii="宋体" w:hAnsi="宋体"/>
          <w:bCs/>
          <w:color w:val="auto"/>
          <w:sz w:val="24"/>
          <w:highlight w:val="none"/>
        </w:rPr>
        <w:t>保证金或</w:t>
      </w:r>
      <w:r>
        <w:rPr>
          <w:rFonts w:hint="eastAsia" w:ascii="宋体" w:hAnsi="宋体"/>
          <w:bCs/>
          <w:color w:val="auto"/>
          <w:sz w:val="24"/>
          <w:highlight w:val="none"/>
        </w:rPr>
        <w:t>履约保函的；</w:t>
      </w:r>
    </w:p>
    <w:p w14:paraId="3DAD6E72">
      <w:pPr>
        <w:snapToGrid w:val="0"/>
        <w:spacing w:line="360" w:lineRule="exact"/>
        <w:ind w:firstLine="470" w:firstLineChars="196"/>
        <w:jc w:val="left"/>
        <w:rPr>
          <w:rFonts w:ascii="宋体" w:hAnsi="宋体"/>
          <w:bCs/>
          <w:color w:val="auto"/>
          <w:sz w:val="24"/>
          <w:highlight w:val="none"/>
        </w:rPr>
      </w:pPr>
      <w:r>
        <w:rPr>
          <w:rFonts w:ascii="宋体" w:hAnsi="宋体"/>
          <w:bCs/>
          <w:color w:val="auto"/>
          <w:sz w:val="24"/>
          <w:highlight w:val="none"/>
        </w:rPr>
        <w:t>（3）投标人在投标过程中弄虚作假，提供虚假材料</w:t>
      </w:r>
      <w:r>
        <w:rPr>
          <w:rFonts w:hint="eastAsia" w:ascii="宋体" w:hAnsi="宋体"/>
          <w:bCs/>
          <w:color w:val="auto"/>
          <w:sz w:val="24"/>
          <w:highlight w:val="none"/>
        </w:rPr>
        <w:t>的</w:t>
      </w:r>
      <w:r>
        <w:rPr>
          <w:rFonts w:ascii="宋体" w:hAnsi="宋体"/>
          <w:bCs/>
          <w:color w:val="auto"/>
          <w:sz w:val="24"/>
          <w:highlight w:val="none"/>
        </w:rPr>
        <w:t>；</w:t>
      </w:r>
    </w:p>
    <w:p w14:paraId="7C5921DC">
      <w:pPr>
        <w:snapToGrid w:val="0"/>
        <w:spacing w:line="360" w:lineRule="exact"/>
        <w:ind w:firstLine="470" w:firstLineChars="196"/>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中标人无正当理由不与采购人签订合同的；</w:t>
      </w:r>
    </w:p>
    <w:p w14:paraId="470EC246">
      <w:pPr>
        <w:snapToGrid w:val="0"/>
        <w:spacing w:line="360" w:lineRule="exact"/>
        <w:ind w:firstLine="470" w:firstLineChars="196"/>
        <w:rPr>
          <w:rFonts w:hint="eastAsia"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5）</w:t>
      </w:r>
      <w:r>
        <w:rPr>
          <w:rFonts w:hint="eastAsia" w:ascii="宋体" w:hAnsi="宋体"/>
          <w:bCs/>
          <w:color w:val="auto"/>
          <w:sz w:val="24"/>
          <w:highlight w:val="none"/>
        </w:rPr>
        <w:t>将中标项目转让给他人或者在投标文件中未说明且未经招标采购单位同意，将中标项目分包给他人的；</w:t>
      </w:r>
    </w:p>
    <w:p w14:paraId="48BEB79E">
      <w:pPr>
        <w:snapToGrid w:val="0"/>
        <w:spacing w:line="360" w:lineRule="exact"/>
        <w:ind w:firstLine="470" w:firstLineChars="196"/>
        <w:rPr>
          <w:rFonts w:hint="eastAsia" w:ascii="宋体" w:hAnsi="宋体"/>
          <w:bCs/>
          <w:color w:val="auto"/>
          <w:sz w:val="24"/>
          <w:highlight w:val="none"/>
        </w:rPr>
      </w:pPr>
      <w:r>
        <w:rPr>
          <w:rFonts w:hint="eastAsia" w:ascii="宋体" w:hAnsi="宋体"/>
          <w:bCs/>
          <w:color w:val="auto"/>
          <w:sz w:val="24"/>
          <w:highlight w:val="none"/>
        </w:rPr>
        <w:t>（6）拒绝履行合同义务的；</w:t>
      </w:r>
    </w:p>
    <w:p w14:paraId="11AAFD2A">
      <w:pPr>
        <w:snapToGrid w:val="0"/>
        <w:spacing w:line="360" w:lineRule="exact"/>
        <w:ind w:firstLine="470" w:firstLineChars="196"/>
        <w:rPr>
          <w:rFonts w:hint="eastAsia" w:ascii="宋体" w:hAnsi="宋体"/>
          <w:bCs/>
          <w:color w:val="auto"/>
          <w:sz w:val="24"/>
          <w:highlight w:val="none"/>
        </w:rPr>
      </w:pPr>
      <w:r>
        <w:rPr>
          <w:rFonts w:hint="eastAsia" w:ascii="宋体" w:hAnsi="宋体"/>
          <w:bCs/>
          <w:color w:val="auto"/>
          <w:sz w:val="24"/>
          <w:highlight w:val="none"/>
        </w:rPr>
        <w:t>（7）有《关于印发&lt;台州市工程建设投标保函管理规定&gt;的通知》（台公管办〔2022〕2号）第十一条规定情形的</w:t>
      </w:r>
    </w:p>
    <w:p w14:paraId="738B0582">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 xml:space="preserve">1）投标截止时间后，投标人撤销投标文件的； </w:t>
      </w:r>
    </w:p>
    <w:p w14:paraId="21BC0F77">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 xml:space="preserve">2）投标人放弃中标候选人或中标资格的（包括中标人无正当理由不与招标人订立合同；在签订合同时向招标人提出附加条件；不按照招标文件要求提交履约担保）； </w:t>
      </w:r>
    </w:p>
    <w:p w14:paraId="3AE2B769">
      <w:pPr>
        <w:snapToGrid w:val="0"/>
        <w:spacing w:line="360" w:lineRule="auto"/>
        <w:ind w:firstLine="470" w:firstLineChars="196"/>
        <w:rPr>
          <w:rFonts w:hint="eastAsia"/>
          <w:color w:val="auto"/>
          <w:highlight w:val="none"/>
        </w:rPr>
      </w:pPr>
      <w:r>
        <w:rPr>
          <w:rFonts w:hint="eastAsia" w:ascii="宋体" w:hAnsi="宋体"/>
          <w:color w:val="auto"/>
          <w:sz w:val="24"/>
          <w:highlight w:val="none"/>
        </w:rPr>
        <w:t xml:space="preserve">3）投标人存在串通投标或弄虚作假违法行为的（包括但不限于同一项目不同投标人的电子投标文件的文件制作机器 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14:paraId="151B203C">
      <w:pPr>
        <w:snapToGrid w:val="0"/>
        <w:spacing w:line="360" w:lineRule="exact"/>
        <w:ind w:firstLine="470" w:firstLineChars="196"/>
        <w:rPr>
          <w:rFonts w:hint="eastAsia" w:ascii="宋体" w:hAnsi="宋体"/>
          <w:bCs/>
          <w:color w:val="auto"/>
          <w:sz w:val="24"/>
          <w:highlight w:val="none"/>
        </w:rPr>
      </w:pPr>
      <w:r>
        <w:rPr>
          <w:rFonts w:hint="eastAsia" w:ascii="宋体" w:hAnsi="宋体"/>
          <w:bCs/>
          <w:color w:val="auto"/>
          <w:sz w:val="24"/>
          <w:highlight w:val="none"/>
        </w:rPr>
        <w:t>（8）其他严重扰乱招投标程序的；</w:t>
      </w:r>
    </w:p>
    <w:p w14:paraId="22907A11">
      <w:pPr>
        <w:snapToGrid w:val="0"/>
        <w:spacing w:before="120" w:beforeLines="50" w:line="360" w:lineRule="auto"/>
        <w:ind w:firstLine="472" w:firstLineChars="196"/>
        <w:jc w:val="left"/>
        <w:outlineLvl w:val="0"/>
        <w:rPr>
          <w:rFonts w:hint="eastAsia" w:ascii="宋体" w:hAnsi="宋体" w:cs="宋体"/>
          <w:b/>
          <w:color w:val="auto"/>
          <w:sz w:val="24"/>
          <w:highlight w:val="none"/>
        </w:rPr>
      </w:pPr>
      <w:r>
        <w:rPr>
          <w:rFonts w:hint="eastAsia" w:ascii="宋体" w:hAnsi="宋体" w:cs="宋体"/>
          <w:b/>
          <w:color w:val="auto"/>
          <w:sz w:val="24"/>
          <w:highlight w:val="none"/>
        </w:rPr>
        <w:t>（七）投标文件的签署和份数</w:t>
      </w:r>
    </w:p>
    <w:p w14:paraId="23C8B4A4">
      <w:pPr>
        <w:snapToGrid w:val="0"/>
        <w:spacing w:line="360" w:lineRule="auto"/>
        <w:ind w:firstLine="480" w:firstLineChars="200"/>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bCs/>
          <w:i w:val="0"/>
          <w:iCs w:val="0"/>
          <w:color w:val="auto"/>
          <w:sz w:val="24"/>
          <w:highlight w:val="none"/>
        </w:rPr>
        <w:t>投标人按本招标文件规定的要求使用电子投标文件，投标文件内容不完整、编排混乱导致投标文件被误读、漏读或者查找不到相关内容的，是投标人的责任。</w:t>
      </w:r>
    </w:p>
    <w:p w14:paraId="244816A6">
      <w:pPr>
        <w:snapToGrid w:val="0"/>
        <w:spacing w:line="360" w:lineRule="auto"/>
        <w:ind w:firstLine="480" w:firstLineChars="200"/>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2.投标文件须由投标人在规定位置盖章并由法定代表人或法定代表人的授权委托人签署或盖章，投标人应写全称。</w:t>
      </w:r>
      <w:r>
        <w:rPr>
          <w:rFonts w:hint="eastAsia" w:ascii="宋体" w:hAnsi="宋体" w:eastAsia="宋体"/>
          <w:bCs/>
          <w:i w:val="0"/>
          <w:iCs w:val="0"/>
          <w:color w:val="auto"/>
          <w:kern w:val="0"/>
          <w:sz w:val="24"/>
          <w:highlight w:val="none"/>
        </w:rPr>
        <w:t>（本项目如允许联合体投标且供应商是联合体的，联合体牵头单位应盖章，并签署联合体牵头单位法定代表人或经其正式授权的代表的全名）</w:t>
      </w:r>
    </w:p>
    <w:p w14:paraId="5592588A">
      <w:pPr>
        <w:snapToGrid w:val="0"/>
        <w:spacing w:line="360" w:lineRule="auto"/>
        <w:ind w:firstLine="480" w:firstLineChars="200"/>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3.投标文件不得涂改，若有修改错漏处，须加盖单位公章或者法定代表人或授权委托人签字或盖章。投标文件因字迹潦草或表达不清所引起的后果由投标人负责。</w:t>
      </w:r>
    </w:p>
    <w:p w14:paraId="66377433">
      <w:pPr>
        <w:snapToGrid w:val="0"/>
        <w:spacing w:before="120" w:beforeLines="50" w:line="360" w:lineRule="auto"/>
        <w:ind w:firstLine="472" w:firstLineChars="196"/>
        <w:jc w:val="left"/>
        <w:outlineLvl w:val="0"/>
        <w:rPr>
          <w:rFonts w:hint="eastAsia" w:ascii="宋体" w:hAnsi="宋体" w:cs="宋体"/>
          <w:b/>
          <w:i w:val="0"/>
          <w:iCs w:val="0"/>
          <w:color w:val="auto"/>
          <w:sz w:val="24"/>
          <w:highlight w:val="none"/>
        </w:rPr>
      </w:pPr>
      <w:r>
        <w:rPr>
          <w:rFonts w:hint="eastAsia" w:ascii="宋体" w:hAnsi="宋体" w:cs="宋体"/>
          <w:b/>
          <w:i w:val="0"/>
          <w:iCs w:val="0"/>
          <w:color w:val="auto"/>
          <w:sz w:val="24"/>
          <w:highlight w:val="none"/>
        </w:rPr>
        <w:t>（八）投标文件的包装、递交、修改和撤回</w:t>
      </w:r>
    </w:p>
    <w:p w14:paraId="5194282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1.本工程采用电子投标，无需纸质投标文件；</w:t>
      </w:r>
    </w:p>
    <w:p w14:paraId="69EB8FA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2.投标人应在投标截止时间前上传投标文件。逾期上传的或者未上传指定系统的，视为投标文件未送达。</w:t>
      </w:r>
    </w:p>
    <w:p w14:paraId="45E1E34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3.在规定的投标截止时间前，投标人可以修改或撤回已递交的电子投标文件；修改好后重新上传加密电子投标文件。 </w:t>
      </w:r>
    </w:p>
    <w:p w14:paraId="7A5AB9A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4.在投标截止时间至投标有效期满之前，投标人不得撤回其投标文件，否则其投标担保将被没收。</w:t>
      </w:r>
    </w:p>
    <w:p w14:paraId="6A97E0E5">
      <w:pPr>
        <w:snapToGrid w:val="0"/>
        <w:spacing w:before="120" w:beforeLines="50" w:line="360" w:lineRule="auto"/>
        <w:ind w:firstLine="241" w:firstLineChars="100"/>
        <w:outlineLvl w:val="2"/>
        <w:rPr>
          <w:rFonts w:hint="eastAsia" w:ascii="宋体" w:hAnsi="宋体" w:cs="宋体"/>
          <w:b/>
          <w:color w:val="auto"/>
          <w:sz w:val="24"/>
          <w:highlight w:val="none"/>
        </w:rPr>
      </w:pPr>
      <w:r>
        <w:rPr>
          <w:rFonts w:hint="eastAsia" w:ascii="宋体" w:hAnsi="宋体" w:cs="宋体"/>
          <w:b/>
          <w:color w:val="auto"/>
          <w:sz w:val="24"/>
          <w:highlight w:val="none"/>
        </w:rPr>
        <w:t>（九）投标无效的情形</w:t>
      </w:r>
    </w:p>
    <w:p w14:paraId="72E7BEFE">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64E2C52">
      <w:pPr>
        <w:snapToGrid w:val="0"/>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1.在符合性审查和商务评审时，如发现下列情形之一的，投标文件将被视为无效：</w:t>
      </w:r>
    </w:p>
    <w:p w14:paraId="7C3B89A5">
      <w:pPr>
        <w:snapToGrid w:val="0"/>
        <w:spacing w:line="360" w:lineRule="exact"/>
        <w:ind w:firstLine="470" w:firstLineChars="196"/>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未按照招标文件的规定提交投标保证金的；</w:t>
      </w:r>
    </w:p>
    <w:p w14:paraId="2FDBCEA2">
      <w:pPr>
        <w:snapToGrid w:val="0"/>
        <w:spacing w:line="360" w:lineRule="exact"/>
        <w:ind w:firstLine="470" w:firstLineChars="196"/>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不具备招标文件中规定的资格要求的或</w:t>
      </w:r>
      <w:r>
        <w:rPr>
          <w:rFonts w:ascii="宋体" w:hAnsi="宋体"/>
          <w:color w:val="auto"/>
          <w:sz w:val="24"/>
          <w:highlight w:val="none"/>
        </w:rPr>
        <w:t>资格证明文件不全的</w:t>
      </w:r>
      <w:r>
        <w:rPr>
          <w:rFonts w:hint="eastAsia" w:ascii="宋体" w:hAnsi="宋体"/>
          <w:color w:val="auto"/>
          <w:sz w:val="24"/>
          <w:highlight w:val="none"/>
        </w:rPr>
        <w:t>；</w:t>
      </w:r>
    </w:p>
    <w:p w14:paraId="1B80AF11">
      <w:pPr>
        <w:snapToGrid w:val="0"/>
        <w:spacing w:line="360" w:lineRule="exact"/>
        <w:ind w:firstLine="470" w:firstLineChars="196"/>
        <w:rPr>
          <w:rFonts w:ascii="宋体" w:hAnsi="宋体"/>
          <w:color w:val="auto"/>
          <w:sz w:val="24"/>
          <w:highlight w:val="none"/>
        </w:rPr>
      </w:pPr>
      <w:r>
        <w:rPr>
          <w:rFonts w:hint="eastAsia" w:ascii="宋体" w:hAnsi="宋体"/>
          <w:color w:val="auto"/>
          <w:sz w:val="24"/>
          <w:highlight w:val="none"/>
        </w:rPr>
        <w:t>（3）投标文件未按招标文件要求签署、盖章的；</w:t>
      </w:r>
    </w:p>
    <w:p w14:paraId="6CDE1CE1">
      <w:pPr>
        <w:snapToGrid w:val="0"/>
        <w:spacing w:line="360" w:lineRule="exact"/>
        <w:ind w:firstLine="470" w:firstLineChars="196"/>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投标代表人未能出具身份证明或与法定代表人授权委托人身份不符的；</w:t>
      </w:r>
      <w:r>
        <w:rPr>
          <w:rFonts w:ascii="宋体" w:hAnsi="宋体"/>
          <w:color w:val="auto"/>
          <w:sz w:val="24"/>
          <w:highlight w:val="none"/>
        </w:rPr>
        <w:t xml:space="preserve"> </w:t>
      </w:r>
    </w:p>
    <w:p w14:paraId="60C59EF1">
      <w:pPr>
        <w:snapToGrid w:val="0"/>
        <w:spacing w:line="360" w:lineRule="exact"/>
        <w:ind w:firstLine="470" w:firstLineChars="196"/>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）投标文件</w:t>
      </w:r>
      <w:r>
        <w:rPr>
          <w:rFonts w:hint="eastAsia" w:ascii="宋体" w:hAnsi="宋体"/>
          <w:color w:val="auto"/>
          <w:sz w:val="24"/>
          <w:highlight w:val="none"/>
        </w:rPr>
        <w:t>组成不符合招标文件要求的</w:t>
      </w:r>
      <w:r>
        <w:rPr>
          <w:rFonts w:ascii="宋体" w:hAnsi="宋体"/>
          <w:color w:val="auto"/>
          <w:sz w:val="24"/>
          <w:highlight w:val="none"/>
        </w:rPr>
        <w:t>；</w:t>
      </w:r>
    </w:p>
    <w:p w14:paraId="0CD87D8B">
      <w:pPr>
        <w:snapToGrid w:val="0"/>
        <w:spacing w:line="360" w:lineRule="exact"/>
        <w:ind w:firstLine="470" w:firstLineChars="196"/>
        <w:rPr>
          <w:rFonts w:ascii="宋体" w:hAnsi="宋体"/>
          <w:color w:val="auto"/>
          <w:sz w:val="24"/>
          <w:highlight w:val="none"/>
        </w:rPr>
      </w:pPr>
      <w:r>
        <w:rPr>
          <w:rFonts w:hint="eastAsia" w:ascii="宋体" w:hAnsi="宋体"/>
          <w:color w:val="auto"/>
          <w:sz w:val="24"/>
          <w:highlight w:val="none"/>
        </w:rPr>
        <w:t>（6）投标文件份数不符合招标文件要求的；</w:t>
      </w:r>
    </w:p>
    <w:p w14:paraId="2C777AE3">
      <w:pPr>
        <w:snapToGrid w:val="0"/>
        <w:spacing w:line="360" w:lineRule="exact"/>
        <w:ind w:firstLine="470" w:firstLineChars="196"/>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）投标文件的实质性内容未使用中文表述、意思表述不明确、前后矛盾或者使用计量单位不符合招标文件要求的（经评标委员会认定</w:t>
      </w:r>
      <w:r>
        <w:rPr>
          <w:rFonts w:hint="eastAsia" w:ascii="宋体" w:hAnsi="宋体"/>
          <w:color w:val="auto"/>
          <w:sz w:val="24"/>
          <w:highlight w:val="none"/>
        </w:rPr>
        <w:t>并</w:t>
      </w:r>
      <w:r>
        <w:rPr>
          <w:rFonts w:ascii="宋体" w:hAnsi="宋体"/>
          <w:color w:val="auto"/>
          <w:sz w:val="24"/>
          <w:highlight w:val="none"/>
        </w:rPr>
        <w:t>允许其当场更正的笔误除外）</w:t>
      </w:r>
      <w:r>
        <w:rPr>
          <w:rFonts w:hint="eastAsia" w:ascii="宋体" w:hAnsi="宋体"/>
          <w:color w:val="auto"/>
          <w:sz w:val="24"/>
          <w:highlight w:val="none"/>
        </w:rPr>
        <w:t>；</w:t>
      </w:r>
    </w:p>
    <w:p w14:paraId="2C904D0F">
      <w:pPr>
        <w:snapToGrid w:val="0"/>
        <w:spacing w:line="360" w:lineRule="exact"/>
        <w:ind w:firstLine="470" w:firstLineChars="196"/>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8</w:t>
      </w:r>
      <w:r>
        <w:rPr>
          <w:rFonts w:ascii="宋体" w:hAnsi="宋体"/>
          <w:color w:val="auto"/>
          <w:sz w:val="24"/>
          <w:highlight w:val="none"/>
        </w:rPr>
        <w:t>）投标有效期、</w:t>
      </w:r>
      <w:r>
        <w:rPr>
          <w:rFonts w:hint="eastAsia" w:ascii="宋体" w:hAnsi="宋体"/>
          <w:color w:val="auto"/>
          <w:sz w:val="24"/>
          <w:highlight w:val="none"/>
        </w:rPr>
        <w:t>服务</w:t>
      </w:r>
      <w:r>
        <w:rPr>
          <w:rFonts w:ascii="宋体" w:hAnsi="宋体"/>
          <w:color w:val="auto"/>
          <w:sz w:val="24"/>
          <w:highlight w:val="none"/>
        </w:rPr>
        <w:t>时间等商务条款不能满足招标文件要求的；</w:t>
      </w:r>
    </w:p>
    <w:p w14:paraId="316FE1C8">
      <w:pPr>
        <w:snapToGrid w:val="0"/>
        <w:spacing w:line="360" w:lineRule="exact"/>
        <w:ind w:firstLine="470" w:firstLineChars="196"/>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9</w:t>
      </w:r>
      <w:r>
        <w:rPr>
          <w:rFonts w:ascii="宋体" w:hAnsi="宋体"/>
          <w:color w:val="auto"/>
          <w:sz w:val="24"/>
          <w:highlight w:val="none"/>
        </w:rPr>
        <w:t>）</w:t>
      </w:r>
      <w:r>
        <w:rPr>
          <w:rFonts w:hint="eastAsia" w:ascii="宋体" w:hAnsi="宋体"/>
          <w:color w:val="auto"/>
          <w:sz w:val="24"/>
          <w:highlight w:val="none"/>
        </w:rPr>
        <w:t>未实质性</w:t>
      </w:r>
      <w:r>
        <w:rPr>
          <w:rFonts w:ascii="宋体" w:hAnsi="宋体"/>
          <w:color w:val="auto"/>
          <w:sz w:val="24"/>
          <w:highlight w:val="none"/>
        </w:rPr>
        <w:t>响应招标文件要求或者投标文件有招标方不能接受的附加条件的；</w:t>
      </w:r>
    </w:p>
    <w:p w14:paraId="30B7396E">
      <w:pPr>
        <w:snapToGrid w:val="0"/>
        <w:spacing w:line="360" w:lineRule="exact"/>
        <w:ind w:left="407" w:leftChars="142" w:hanging="9" w:hangingChars="4"/>
        <w:rPr>
          <w:rFonts w:hint="eastAsia" w:ascii="宋体" w:hAnsi="宋体"/>
          <w:color w:val="auto"/>
          <w:sz w:val="24"/>
          <w:highlight w:val="none"/>
        </w:rPr>
      </w:pPr>
      <w:r>
        <w:rPr>
          <w:rFonts w:hint="eastAsia" w:ascii="宋体" w:hAnsi="宋体"/>
          <w:color w:val="auto"/>
          <w:sz w:val="24"/>
          <w:highlight w:val="none"/>
        </w:rPr>
        <w:t>（10）两家或两家以上投标单位上传投标文件的ip地址（或工程清单锁地址）相同，视为串标行为，取消评标资格；</w:t>
      </w:r>
    </w:p>
    <w:p w14:paraId="05834CC6">
      <w:pPr>
        <w:snapToGrid w:val="0"/>
        <w:spacing w:line="360" w:lineRule="exact"/>
        <w:ind w:firstLine="470" w:firstLineChars="196"/>
        <w:rPr>
          <w:rFonts w:hint="eastAsia" w:ascii="宋体" w:hAnsi="宋体" w:cs="宋体"/>
          <w:color w:val="auto"/>
          <w:sz w:val="24"/>
          <w:highlight w:val="none"/>
        </w:rPr>
      </w:pPr>
      <w:r>
        <w:rPr>
          <w:rFonts w:hint="eastAsia" w:ascii="宋体" w:hAnsi="宋体"/>
          <w:color w:val="auto"/>
          <w:sz w:val="24"/>
          <w:highlight w:val="none"/>
        </w:rPr>
        <w:t>（11）法律法规或规章规定属无效标情形的；</w:t>
      </w:r>
    </w:p>
    <w:p w14:paraId="25F22CFA">
      <w:pPr>
        <w:pStyle w:val="17"/>
        <w:snapToGrid w:val="0"/>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2.在商务标评审时，如发现下列情形之一的，投标文件将被视为无效：</w:t>
      </w:r>
    </w:p>
    <w:p w14:paraId="53208937">
      <w:pPr>
        <w:pStyle w:val="17"/>
        <w:snapToGrid w:val="0"/>
        <w:spacing w:line="360" w:lineRule="auto"/>
        <w:ind w:firstLine="470" w:firstLineChars="196"/>
        <w:rPr>
          <w:rFonts w:hint="eastAsia" w:ascii="宋体" w:hAnsi="宋体" w:cs="宋体"/>
          <w:b w:val="0"/>
          <w:bCs/>
          <w:color w:val="auto"/>
          <w:sz w:val="24"/>
          <w:highlight w:val="none"/>
        </w:rPr>
      </w:pPr>
      <w:r>
        <w:rPr>
          <w:rFonts w:hint="eastAsia" w:ascii="宋体" w:hAnsi="宋体" w:cs="宋体"/>
          <w:b w:val="0"/>
          <w:bCs/>
          <w:color w:val="auto"/>
          <w:sz w:val="24"/>
          <w:highlight w:val="none"/>
        </w:rPr>
        <w:t>（1）未采用人民币报价或者未按照招标文件标明的币种报价的；</w:t>
      </w:r>
    </w:p>
    <w:p w14:paraId="7B8930DA">
      <w:pPr>
        <w:pStyle w:val="17"/>
        <w:snapToGrid w:val="0"/>
        <w:spacing w:line="360" w:lineRule="auto"/>
        <w:ind w:firstLine="470" w:firstLineChars="196"/>
        <w:rPr>
          <w:rFonts w:hint="eastAsia" w:ascii="宋体" w:hAnsi="宋体" w:cs="宋体"/>
          <w:b w:val="0"/>
          <w:bCs/>
          <w:color w:val="auto"/>
          <w:sz w:val="24"/>
          <w:highlight w:val="none"/>
        </w:rPr>
      </w:pPr>
      <w:r>
        <w:rPr>
          <w:rFonts w:hint="eastAsia" w:ascii="宋体" w:hAnsi="宋体" w:cs="宋体"/>
          <w:b w:val="0"/>
          <w:bCs/>
          <w:color w:val="auto"/>
          <w:sz w:val="24"/>
          <w:highlight w:val="none"/>
        </w:rPr>
        <w:t>（2）投标报价具有选择性，或者开标价格与投标文件承诺的优惠（折扣）价格不一致的；</w:t>
      </w:r>
    </w:p>
    <w:p w14:paraId="5E1CF967">
      <w:pPr>
        <w:pStyle w:val="17"/>
        <w:snapToGrid w:val="0"/>
        <w:spacing w:line="360" w:lineRule="auto"/>
        <w:ind w:firstLine="470" w:firstLineChars="196"/>
        <w:rPr>
          <w:rFonts w:hint="eastAsia" w:ascii="宋体" w:hAnsi="宋体" w:cs="宋体"/>
          <w:b w:val="0"/>
          <w:bCs/>
          <w:color w:val="auto"/>
          <w:sz w:val="24"/>
          <w:highlight w:val="none"/>
        </w:rPr>
      </w:pPr>
      <w:r>
        <w:rPr>
          <w:rFonts w:hint="eastAsia" w:ascii="宋体" w:hAnsi="宋体" w:cs="宋体"/>
          <w:b w:val="0"/>
          <w:bCs/>
          <w:color w:val="auto"/>
          <w:sz w:val="24"/>
          <w:highlight w:val="none"/>
        </w:rPr>
        <w:t>（3）投标报价不得超过单价最高限价或总价最高限价，超过单价最高限价或总价最高限价的报价为无效标。</w:t>
      </w:r>
    </w:p>
    <w:p w14:paraId="23D3B13F">
      <w:pPr>
        <w:pStyle w:val="17"/>
        <w:snapToGrid w:val="0"/>
        <w:spacing w:line="360" w:lineRule="auto"/>
        <w:ind w:firstLine="470" w:firstLineChars="196"/>
        <w:rPr>
          <w:rFonts w:hint="eastAsia" w:ascii="宋体" w:hAnsi="宋体" w:cs="宋体"/>
          <w:b w:val="0"/>
          <w:bCs/>
          <w:color w:val="auto"/>
          <w:sz w:val="24"/>
          <w:highlight w:val="none"/>
        </w:rPr>
      </w:pPr>
      <w:r>
        <w:rPr>
          <w:rFonts w:hint="eastAsia" w:ascii="宋体" w:hAnsi="宋体" w:cs="宋体"/>
          <w:b w:val="0"/>
          <w:bCs/>
          <w:color w:val="auto"/>
          <w:sz w:val="24"/>
          <w:highlight w:val="none"/>
        </w:rPr>
        <w:t>（4）评标委员会认为投标人的报价明显低于其他通过符合性审查投标人的报价，有可能影响产品质量或者不能诚信履约的，应当要求其在评标程序中给予的合理时间内提供书面说明，必要时提交相关证明材料;投标人不能证明其报价合理性的，评标委员会应当将其作为无效投标处理。</w:t>
      </w:r>
    </w:p>
    <w:p w14:paraId="324A9682">
      <w:pPr>
        <w:pStyle w:val="17"/>
        <w:snapToGrid w:val="0"/>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.被拒绝的报价文件为无效。</w:t>
      </w:r>
    </w:p>
    <w:p w14:paraId="47C372CE">
      <w:pPr>
        <w:pStyle w:val="22"/>
        <w:snapToGrid w:val="0"/>
        <w:spacing w:before="0" w:beforeLines="0" w:after="0" w:afterLines="0" w:line="360" w:lineRule="auto"/>
        <w:rPr>
          <w:rFonts w:hAnsi="宋体" w:cs="宋体"/>
          <w:b/>
          <w:bCs/>
          <w:color w:val="auto"/>
          <w:sz w:val="30"/>
          <w:szCs w:val="30"/>
          <w:highlight w:val="none"/>
        </w:rPr>
      </w:pPr>
      <w:r>
        <w:rPr>
          <w:rFonts w:hAnsi="宋体" w:cs="宋体"/>
          <w:b/>
          <w:bCs/>
          <w:color w:val="auto"/>
          <w:sz w:val="30"/>
          <w:szCs w:val="30"/>
          <w:highlight w:val="none"/>
        </w:rPr>
        <w:t>四、开标</w:t>
      </w:r>
    </w:p>
    <w:p w14:paraId="11E0FFD2">
      <w:pPr>
        <w:pStyle w:val="22"/>
        <w:snapToGrid w:val="0"/>
        <w:spacing w:before="0" w:beforeLines="0" w:after="0" w:afterLines="0" w:line="360" w:lineRule="auto"/>
        <w:ind w:firstLine="470" w:firstLineChars="196"/>
        <w:rPr>
          <w:rFonts w:hAnsi="宋体" w:cs="宋体"/>
          <w:b w:val="0"/>
          <w:color w:val="auto"/>
          <w:highlight w:val="none"/>
        </w:rPr>
      </w:pPr>
      <w:r>
        <w:rPr>
          <w:rFonts w:hAnsi="宋体" w:cs="宋体"/>
          <w:b w:val="0"/>
          <w:color w:val="auto"/>
          <w:highlight w:val="none"/>
        </w:rPr>
        <w:t>（一）开标</w:t>
      </w:r>
    </w:p>
    <w:p w14:paraId="1EE6A0E3">
      <w:pPr>
        <w:pStyle w:val="36"/>
        <w:widowControl w:val="0"/>
        <w:snapToGrid w:val="0"/>
        <w:spacing w:before="120" w:beforeLines="50" w:beforeAutospacing="0" w:after="0" w:afterAutospacing="0" w:line="360" w:lineRule="auto"/>
        <w:ind w:firstLine="480" w:firstLineChars="200"/>
        <w:jc w:val="both"/>
        <w:rPr>
          <w:rFonts w:cs="宋体"/>
          <w:bCs/>
          <w:color w:val="auto"/>
          <w:highlight w:val="none"/>
        </w:rPr>
      </w:pPr>
      <w:r>
        <w:rPr>
          <w:rFonts w:cs="宋体"/>
          <w:color w:val="auto"/>
          <w:highlight w:val="none"/>
        </w:rPr>
        <w:t>投标人代表一律不参加现场开标，通过在线直播参与监督开标过程。直播网络地址：</w:t>
      </w:r>
      <w:r>
        <w:rPr>
          <w:rFonts w:cs="宋体"/>
          <w:color w:val="auto"/>
          <w:highlight w:val="none"/>
        </w:rPr>
        <w:fldChar w:fldCharType="begin"/>
      </w:r>
      <w:r>
        <w:rPr>
          <w:rFonts w:cs="宋体"/>
          <w:color w:val="auto"/>
          <w:highlight w:val="none"/>
        </w:rPr>
        <w:instrText xml:space="preserve"> HYPERLINK "http://www.tzwztb.com/live/" </w:instrText>
      </w:r>
      <w:r>
        <w:rPr>
          <w:rFonts w:cs="宋体"/>
          <w:color w:val="auto"/>
          <w:highlight w:val="none"/>
        </w:rPr>
        <w:fldChar w:fldCharType="separate"/>
      </w:r>
      <w:r>
        <w:rPr>
          <w:rStyle w:val="47"/>
          <w:rFonts w:cs="宋体"/>
          <w:color w:val="auto"/>
          <w:highlight w:val="none"/>
        </w:rPr>
        <w:t>http://www.tzwztb.com/live/</w:t>
      </w:r>
      <w:r>
        <w:rPr>
          <w:rFonts w:cs="宋体"/>
          <w:color w:val="auto"/>
          <w:highlight w:val="none"/>
        </w:rPr>
        <w:fldChar w:fldCharType="end"/>
      </w:r>
      <w:r>
        <w:rPr>
          <w:rFonts w:cs="宋体"/>
          <w:color w:val="auto"/>
          <w:highlight w:val="none"/>
        </w:rPr>
        <w:t xml:space="preserve"> 。</w:t>
      </w:r>
    </w:p>
    <w:p w14:paraId="45A4B2C1">
      <w:pPr>
        <w:pStyle w:val="22"/>
        <w:snapToGrid w:val="0"/>
        <w:spacing w:before="120" w:after="120" w:line="360" w:lineRule="auto"/>
        <w:ind w:firstLine="480" w:firstLineChars="200"/>
        <w:rPr>
          <w:rFonts w:hAnsi="宋体" w:cs="宋体"/>
          <w:b w:val="0"/>
          <w:color w:val="auto"/>
          <w:highlight w:val="none"/>
        </w:rPr>
      </w:pPr>
      <w:r>
        <w:rPr>
          <w:rFonts w:hAnsi="宋体" w:cs="宋体"/>
          <w:b w:val="0"/>
          <w:color w:val="auto"/>
          <w:highlight w:val="none"/>
        </w:rPr>
        <w:t>（二） 开标程序：</w:t>
      </w:r>
    </w:p>
    <w:p w14:paraId="0452A7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1、开标由招标代理机构工作人员主持。</w:t>
      </w:r>
    </w:p>
    <w:p w14:paraId="0102297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2、投标人可进行在线沟通。</w:t>
      </w:r>
    </w:p>
    <w:p w14:paraId="6ABDD86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3、评标委员会依法对</w:t>
      </w:r>
      <w:r>
        <w:rPr>
          <w:rFonts w:hint="eastAsia" w:ascii="宋体" w:hAnsi="宋体" w:cs="宋体"/>
          <w:color w:val="auto"/>
          <w:sz w:val="24"/>
          <w:highlight w:val="none"/>
          <w:lang w:val="en-US" w:eastAsia="zh-CN"/>
        </w:rPr>
        <w:t>资格</w:t>
      </w:r>
      <w:r>
        <w:rPr>
          <w:rFonts w:hint="eastAsia" w:ascii="宋体" w:hAnsi="宋体" w:cs="宋体"/>
          <w:color w:val="auto"/>
          <w:sz w:val="24"/>
          <w:highlight w:val="none"/>
        </w:rPr>
        <w:t>进行审查。</w:t>
      </w:r>
    </w:p>
    <w:p w14:paraId="0B6CC82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资信技术标审查</w:t>
      </w:r>
      <w:r>
        <w:rPr>
          <w:rFonts w:hint="eastAsia" w:ascii="宋体" w:hAnsi="宋体" w:cs="宋体"/>
          <w:color w:val="auto"/>
          <w:sz w:val="24"/>
          <w:highlight w:val="none"/>
        </w:rPr>
        <w:t>完成后，主持人宣告</w:t>
      </w:r>
      <w:r>
        <w:rPr>
          <w:rFonts w:hint="eastAsia" w:ascii="宋体" w:hAnsi="宋体" w:cs="宋体"/>
          <w:color w:val="auto"/>
          <w:sz w:val="24"/>
          <w:highlight w:val="none"/>
          <w:lang w:val="en-US" w:eastAsia="zh-CN"/>
        </w:rPr>
        <w:t>资信技术标</w:t>
      </w:r>
      <w:r>
        <w:rPr>
          <w:rFonts w:hint="eastAsia" w:ascii="宋体" w:hAnsi="宋体" w:cs="宋体"/>
          <w:color w:val="auto"/>
          <w:sz w:val="24"/>
          <w:highlight w:val="none"/>
        </w:rPr>
        <w:t>评审无效投标人名称及理由，公布经</w:t>
      </w:r>
      <w:r>
        <w:rPr>
          <w:rFonts w:hint="eastAsia" w:ascii="宋体" w:hAnsi="宋体" w:cs="宋体"/>
          <w:color w:val="auto"/>
          <w:sz w:val="24"/>
          <w:highlight w:val="none"/>
          <w:lang w:val="en-US" w:eastAsia="zh-CN"/>
        </w:rPr>
        <w:t>资信技术标</w:t>
      </w:r>
      <w:r>
        <w:rPr>
          <w:rFonts w:hint="eastAsia" w:ascii="宋体" w:hAnsi="宋体" w:cs="宋体"/>
          <w:color w:val="auto"/>
          <w:sz w:val="24"/>
          <w:highlight w:val="none"/>
        </w:rPr>
        <w:t>评审符合</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需求的投标人名单以及</w:t>
      </w:r>
      <w:r>
        <w:rPr>
          <w:rFonts w:hint="eastAsia" w:ascii="宋体" w:hAnsi="宋体" w:cs="宋体"/>
          <w:color w:val="auto"/>
          <w:sz w:val="24"/>
          <w:highlight w:val="none"/>
          <w:lang w:val="en-US" w:eastAsia="zh-CN"/>
        </w:rPr>
        <w:t>资信技术标</w:t>
      </w:r>
      <w:r>
        <w:rPr>
          <w:rFonts w:hint="eastAsia" w:ascii="宋体" w:hAnsi="宋体" w:cs="宋体"/>
          <w:color w:val="auto"/>
          <w:sz w:val="24"/>
          <w:highlight w:val="none"/>
        </w:rPr>
        <w:t>得分情况。</w:t>
      </w:r>
    </w:p>
    <w:p w14:paraId="3564DE1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、开启各投标人</w:t>
      </w:r>
      <w:r>
        <w:rPr>
          <w:rFonts w:hint="eastAsia" w:ascii="宋体" w:hAnsi="宋体" w:cs="宋体"/>
          <w:color w:val="auto"/>
          <w:sz w:val="24"/>
          <w:highlight w:val="none"/>
          <w:lang w:val="en-US" w:eastAsia="zh-CN"/>
        </w:rPr>
        <w:t>商务标报价</w:t>
      </w:r>
      <w:r>
        <w:rPr>
          <w:rFonts w:hint="eastAsia" w:ascii="宋体" w:hAnsi="宋体" w:cs="宋体"/>
          <w:color w:val="auto"/>
          <w:sz w:val="24"/>
          <w:highlight w:val="none"/>
        </w:rPr>
        <w:t>。</w:t>
      </w:r>
    </w:p>
    <w:p w14:paraId="12F5DA53">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、由评标委员会对投标人</w:t>
      </w:r>
      <w:r>
        <w:rPr>
          <w:rFonts w:hint="eastAsia" w:ascii="宋体" w:hAnsi="宋体" w:cs="宋体"/>
          <w:color w:val="auto"/>
          <w:sz w:val="24"/>
          <w:highlight w:val="none"/>
          <w:lang w:val="en-US" w:eastAsia="zh-CN"/>
        </w:rPr>
        <w:t>商务标报价</w:t>
      </w:r>
      <w:r>
        <w:rPr>
          <w:rFonts w:hint="eastAsia" w:ascii="宋体" w:hAnsi="宋体" w:cs="宋体"/>
          <w:color w:val="auto"/>
          <w:sz w:val="24"/>
          <w:highlight w:val="none"/>
        </w:rPr>
        <w:t>的合理性、准确性等进行审查核实。</w:t>
      </w:r>
    </w:p>
    <w:p w14:paraId="318B652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、评标结束后，主持人公布</w:t>
      </w:r>
      <w:r>
        <w:rPr>
          <w:rFonts w:hint="eastAsia" w:ascii="宋体" w:hAnsi="宋体" w:cs="宋体"/>
          <w:color w:val="auto"/>
          <w:sz w:val="24"/>
          <w:highlight w:val="none"/>
          <w:lang w:val="en-US" w:eastAsia="zh-CN"/>
        </w:rPr>
        <w:t>商务标</w:t>
      </w:r>
      <w:r>
        <w:rPr>
          <w:rFonts w:hint="eastAsia" w:ascii="宋体" w:hAnsi="宋体" w:cs="宋体"/>
          <w:color w:val="auto"/>
          <w:sz w:val="24"/>
          <w:highlight w:val="none"/>
        </w:rPr>
        <w:t>得分、综合得分以及推荐中标候选人排序名单。</w:t>
      </w:r>
    </w:p>
    <w:p w14:paraId="1D57E36E">
      <w:pPr>
        <w:snapToGrid w:val="0"/>
        <w:spacing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、开标会议结束。</w:t>
      </w:r>
    </w:p>
    <w:p w14:paraId="480F0C4F">
      <w:pPr>
        <w:pStyle w:val="22"/>
        <w:spacing w:before="0" w:beforeLines="0" w:beforeAutospacing="0" w:after="120" w:line="360" w:lineRule="auto"/>
        <w:ind w:left="0" w:leftChars="0" w:firstLine="480" w:firstLineChars="200"/>
        <w:rPr>
          <w:rFonts w:hAnsi="宋体" w:cs="宋体"/>
          <w:b w:val="0"/>
          <w:bCs/>
          <w:color w:val="auto"/>
          <w:highlight w:val="none"/>
        </w:rPr>
      </w:pPr>
      <w:r>
        <w:rPr>
          <w:rFonts w:hint="eastAsia" w:hAnsi="宋体" w:cs="宋体"/>
          <w:b w:val="0"/>
          <w:bCs/>
          <w:color w:val="auto"/>
          <w:highlight w:val="none"/>
          <w:lang w:val="en-US" w:eastAsia="zh-CN"/>
        </w:rPr>
        <w:t>9</w:t>
      </w:r>
      <w:r>
        <w:rPr>
          <w:rFonts w:hAnsi="宋体" w:cs="宋体"/>
          <w:b w:val="0"/>
          <w:bCs/>
          <w:color w:val="auto"/>
          <w:highlight w:val="none"/>
        </w:rPr>
        <w:t>、其他注意事项：</w:t>
      </w:r>
    </w:p>
    <w:p w14:paraId="22D2B817">
      <w:pPr>
        <w:pStyle w:val="22"/>
        <w:spacing w:before="120" w:after="120" w:line="360" w:lineRule="auto"/>
        <w:ind w:firstLine="540" w:firstLineChars="225"/>
        <w:rPr>
          <w:rFonts w:hAnsi="宋体" w:cs="宋体"/>
          <w:b w:val="0"/>
          <w:bCs/>
          <w:color w:val="auto"/>
          <w:highlight w:val="none"/>
        </w:rPr>
      </w:pPr>
      <w:r>
        <w:rPr>
          <w:rFonts w:hAnsi="宋体" w:cs="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1AEF4F8B">
      <w:pPr>
        <w:pStyle w:val="22"/>
        <w:spacing w:before="120" w:after="120" w:line="360" w:lineRule="auto"/>
        <w:ind w:firstLine="540" w:firstLineChars="225"/>
        <w:rPr>
          <w:rFonts w:hAnsi="宋体" w:cs="宋体"/>
          <w:b w:val="0"/>
          <w:bCs/>
          <w:color w:val="auto"/>
          <w:highlight w:val="none"/>
        </w:rPr>
      </w:pPr>
      <w:r>
        <w:rPr>
          <w:rFonts w:hAnsi="宋体" w:cs="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06104970">
      <w:pPr>
        <w:autoSpaceDE w:val="0"/>
        <w:autoSpaceDN w:val="0"/>
        <w:adjustRightInd w:val="0"/>
        <w:spacing w:line="360" w:lineRule="auto"/>
        <w:ind w:right="-14"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ACEF396">
      <w:pPr>
        <w:autoSpaceDE w:val="0"/>
        <w:autoSpaceDN w:val="0"/>
        <w:adjustRightInd w:val="0"/>
        <w:spacing w:line="360" w:lineRule="auto"/>
        <w:ind w:right="-14"/>
        <w:jc w:val="left"/>
        <w:rPr>
          <w:rFonts w:hint="eastAsia" w:ascii="宋体" w:hAnsi="宋体" w:cs="宋体"/>
          <w:b/>
          <w:color w:val="auto"/>
          <w:sz w:val="24"/>
          <w:highlight w:val="none"/>
        </w:rPr>
      </w:pPr>
    </w:p>
    <w:p w14:paraId="2C5A6C02">
      <w:pPr>
        <w:autoSpaceDE w:val="0"/>
        <w:autoSpaceDN w:val="0"/>
        <w:adjustRightInd w:val="0"/>
        <w:spacing w:line="360" w:lineRule="auto"/>
        <w:ind w:right="-14"/>
        <w:jc w:val="left"/>
        <w:rPr>
          <w:rFonts w:hint="eastAsia" w:ascii="宋体" w:hAnsi="宋体" w:cs="宋体"/>
          <w:b/>
          <w:color w:val="auto"/>
          <w:sz w:val="24"/>
          <w:highlight w:val="none"/>
        </w:rPr>
      </w:pPr>
      <w:r>
        <w:rPr>
          <w:rFonts w:hint="eastAsia" w:ascii="宋体" w:hAnsi="宋体" w:cs="宋体"/>
          <w:b/>
          <w:color w:val="auto"/>
          <w:sz w:val="24"/>
          <w:highlight w:val="none"/>
        </w:rPr>
        <w:t>重要事项说明：</w:t>
      </w:r>
    </w:p>
    <w:p w14:paraId="6148A411">
      <w:pPr>
        <w:autoSpaceDE w:val="0"/>
        <w:autoSpaceDN w:val="0"/>
        <w:adjustRightInd w:val="0"/>
        <w:spacing w:line="360" w:lineRule="auto"/>
        <w:ind w:right="-14"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（1）开标项目的时间均以国家授时中心发布的时间为准。</w:t>
      </w:r>
    </w:p>
    <w:p w14:paraId="4D92A24D">
      <w:pPr>
        <w:autoSpaceDE w:val="0"/>
        <w:autoSpaceDN w:val="0"/>
        <w:adjustRightInd w:val="0"/>
        <w:spacing w:line="360" w:lineRule="auto"/>
        <w:ind w:right="-14"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（2）若投标人已申请多把CA锁，请注意使用差别。因ca锁使用错误引发的问题，由投标人自己负责。</w:t>
      </w:r>
    </w:p>
    <w:p w14:paraId="1B4A55D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bCs/>
          <w:color w:val="auto"/>
          <w:sz w:val="24"/>
          <w:highlight w:val="none"/>
        </w:rPr>
        <w:t>（3）如有疑问，请咨询平台技术服务电话：蔡先生，13454667697；王女士，13757680207。QQ “台州湾新区小额工程交易平台交流”（群号：435057190），进行业务咨询。此群也作为不见面开标的备用远程交互群。</w:t>
      </w:r>
    </w:p>
    <w:p w14:paraId="2E37820F">
      <w:pPr>
        <w:pStyle w:val="22"/>
        <w:snapToGrid w:val="0"/>
        <w:spacing w:before="120" w:beforeLines="0" w:after="120" w:afterLines="0" w:line="360" w:lineRule="auto"/>
        <w:rPr>
          <w:rFonts w:hAnsi="宋体" w:cs="宋体"/>
          <w:b/>
          <w:bCs/>
          <w:color w:val="auto"/>
          <w:sz w:val="30"/>
          <w:szCs w:val="30"/>
          <w:highlight w:val="none"/>
        </w:rPr>
      </w:pPr>
      <w:r>
        <w:rPr>
          <w:rFonts w:hAnsi="宋体" w:cs="宋体"/>
          <w:b/>
          <w:bCs/>
          <w:color w:val="auto"/>
          <w:sz w:val="30"/>
          <w:szCs w:val="30"/>
          <w:highlight w:val="none"/>
        </w:rPr>
        <w:t>五、评标</w:t>
      </w:r>
    </w:p>
    <w:p w14:paraId="0167584B">
      <w:pPr>
        <w:pStyle w:val="22"/>
        <w:snapToGrid w:val="0"/>
        <w:spacing w:before="120" w:after="0" w:afterLines="0" w:afterAutospacing="0" w:line="360" w:lineRule="auto"/>
        <w:ind w:left="874" w:leftChars="128" w:hanging="516" w:hangingChars="215"/>
        <w:rPr>
          <w:rFonts w:hAnsi="宋体" w:cs="宋体"/>
          <w:b w:val="0"/>
          <w:color w:val="auto"/>
          <w:highlight w:val="none"/>
        </w:rPr>
      </w:pPr>
      <w:r>
        <w:rPr>
          <w:rFonts w:hAnsi="宋体" w:cs="宋体"/>
          <w:b w:val="0"/>
          <w:color w:val="auto"/>
          <w:highlight w:val="none"/>
        </w:rPr>
        <w:t>（一）组建评标委员会</w:t>
      </w:r>
    </w:p>
    <w:p w14:paraId="5FC2C741">
      <w:pPr>
        <w:pStyle w:val="36"/>
        <w:widowControl w:val="0"/>
        <w:snapToGrid w:val="0"/>
        <w:spacing w:before="0" w:beforeLines="0" w:beforeAutospacing="0" w:after="0" w:afterLines="0" w:afterAutospacing="0" w:line="360" w:lineRule="auto"/>
        <w:ind w:firstLine="480" w:firstLineChars="200"/>
        <w:jc w:val="both"/>
        <w:rPr>
          <w:rFonts w:cs="宋体"/>
          <w:color w:val="auto"/>
          <w:highlight w:val="none"/>
        </w:rPr>
      </w:pPr>
      <w:r>
        <w:rPr>
          <w:rFonts w:cs="宋体"/>
          <w:color w:val="auto"/>
          <w:highlight w:val="none"/>
        </w:rPr>
        <w:t>评标由招标人依法组建的评标委员会负责。</w:t>
      </w:r>
    </w:p>
    <w:p w14:paraId="3261CEF6">
      <w:pPr>
        <w:pStyle w:val="22"/>
        <w:snapToGrid w:val="0"/>
        <w:spacing w:before="87" w:beforeLines="27" w:beforeAutospacing="0" w:after="87" w:afterLines="27" w:afterAutospacing="0" w:line="360" w:lineRule="auto"/>
        <w:ind w:left="877" w:leftChars="129" w:hanging="516" w:hangingChars="215"/>
        <w:rPr>
          <w:rFonts w:hAnsi="宋体" w:cs="宋体"/>
          <w:b w:val="0"/>
          <w:color w:val="auto"/>
          <w:highlight w:val="none"/>
        </w:rPr>
      </w:pPr>
      <w:r>
        <w:rPr>
          <w:rFonts w:hAnsi="宋体" w:cs="宋体"/>
          <w:b w:val="0"/>
          <w:color w:val="auto"/>
          <w:highlight w:val="none"/>
        </w:rPr>
        <w:t>（二）评标的方式</w:t>
      </w:r>
    </w:p>
    <w:p w14:paraId="07E79593">
      <w:pPr>
        <w:pStyle w:val="22"/>
        <w:snapToGrid w:val="0"/>
        <w:spacing w:before="0" w:beforeLines="0" w:beforeAutospacing="0" w:after="120" w:line="360" w:lineRule="auto"/>
        <w:ind w:left="879" w:leftChars="228" w:hanging="241" w:hangingChars="100"/>
        <w:rPr>
          <w:rFonts w:hAnsi="宋体" w:cs="宋体"/>
          <w:color w:val="auto"/>
          <w:highlight w:val="none"/>
        </w:rPr>
      </w:pPr>
      <w:r>
        <w:rPr>
          <w:rFonts w:hAnsi="宋体" w:cs="宋体"/>
          <w:color w:val="auto"/>
          <w:highlight w:val="none"/>
        </w:rPr>
        <w:t>本项目采用不公开方式评标，评标的依据为招标文件和投标文件。</w:t>
      </w:r>
    </w:p>
    <w:p w14:paraId="009A9AC7">
      <w:pPr>
        <w:pStyle w:val="22"/>
        <w:snapToGrid w:val="0"/>
        <w:spacing w:before="120" w:after="120" w:line="360" w:lineRule="auto"/>
        <w:ind w:left="877" w:leftChars="129" w:hanging="516" w:hangingChars="215"/>
        <w:rPr>
          <w:rFonts w:hAnsi="宋体" w:cs="宋体"/>
          <w:b w:val="0"/>
          <w:color w:val="auto"/>
          <w:highlight w:val="none"/>
        </w:rPr>
      </w:pPr>
      <w:r>
        <w:rPr>
          <w:rFonts w:hAnsi="宋体" w:cs="宋体"/>
          <w:b w:val="0"/>
          <w:color w:val="auto"/>
          <w:highlight w:val="none"/>
        </w:rPr>
        <w:t>（三）</w:t>
      </w:r>
      <w:r>
        <w:rPr>
          <w:rFonts w:hAnsi="宋体" w:cs="宋体"/>
          <w:b w:val="0"/>
          <w:bCs/>
          <w:color w:val="auto"/>
          <w:highlight w:val="none"/>
        </w:rPr>
        <w:t>评标程序</w:t>
      </w:r>
    </w:p>
    <w:p w14:paraId="06952D14">
      <w:pPr>
        <w:snapToGrid w:val="0"/>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1.形式审查</w:t>
      </w:r>
    </w:p>
    <w:p w14:paraId="2B5DFCD5">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b w:val="0"/>
          <w:bCs/>
          <w:color w:val="auto"/>
          <w:sz w:val="24"/>
          <w:highlight w:val="none"/>
        </w:rPr>
        <w:t>采购人代表和代理机构工作人员协助评标委员会对投标人的资格和投标文件的完整性、合法性等进行审查。</w:t>
      </w:r>
    </w:p>
    <w:p w14:paraId="683D662F">
      <w:pPr>
        <w:snapToGrid w:val="0"/>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2.实质审查与比较</w:t>
      </w:r>
    </w:p>
    <w:p w14:paraId="406FB94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26F707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14:paraId="34C6502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）评标委员会完成评标后,评委对各部分得分汇总,计算出本项目最终得分。评标委员会按评标原则推荐中标候选人同时起草评标报告。</w:t>
      </w:r>
    </w:p>
    <w:p w14:paraId="1A4F8C50">
      <w:pPr>
        <w:snapToGrid w:val="0"/>
        <w:spacing w:line="360" w:lineRule="auto"/>
        <w:ind w:firstLine="359" w:firstLineChars="149"/>
        <w:rPr>
          <w:rFonts w:hint="eastAsia" w:ascii="宋体" w:hAnsi="宋体" w:cs="宋体"/>
          <w:b/>
          <w:color w:val="auto"/>
          <w:sz w:val="24"/>
          <w:highlight w:val="none"/>
        </w:rPr>
      </w:pPr>
      <w:r>
        <w:rPr>
          <w:rFonts w:hint="eastAsia" w:ascii="宋体" w:hAnsi="宋体" w:cs="宋体"/>
          <w:b/>
          <w:color w:val="auto"/>
          <w:sz w:val="24"/>
          <w:highlight w:val="none"/>
        </w:rPr>
        <w:t>（四）澄清问题的形式</w:t>
      </w:r>
    </w:p>
    <w:p w14:paraId="7DCA2A49">
      <w:pPr>
        <w:snapToGrid w:val="0"/>
        <w:spacing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C3DE690">
      <w:pPr>
        <w:pStyle w:val="22"/>
        <w:snapToGrid w:val="0"/>
        <w:spacing w:before="0" w:beforeLines="0" w:beforeAutospacing="0" w:after="0" w:afterLines="0" w:afterAutospacing="0" w:line="360" w:lineRule="auto"/>
        <w:ind w:left="877" w:leftChars="129" w:hanging="516" w:hangingChars="214"/>
        <w:rPr>
          <w:rFonts w:hAnsi="宋体" w:cs="宋体"/>
          <w:b/>
          <w:bCs/>
          <w:color w:val="auto"/>
          <w:highlight w:val="none"/>
        </w:rPr>
      </w:pPr>
      <w:r>
        <w:rPr>
          <w:rFonts w:hAnsi="宋体" w:cs="宋体"/>
          <w:b/>
          <w:bCs/>
          <w:color w:val="auto"/>
          <w:highlight w:val="none"/>
        </w:rPr>
        <w:t>（五）错误修正</w:t>
      </w:r>
    </w:p>
    <w:p w14:paraId="5955BCDF">
      <w:pPr>
        <w:pStyle w:val="36"/>
        <w:spacing w:before="0" w:beforeLines="0" w:beforeAutospacing="0" w:after="0" w:afterAutospacing="0" w:line="360" w:lineRule="auto"/>
        <w:ind w:firstLine="480" w:firstLineChars="200"/>
        <w:jc w:val="both"/>
        <w:rPr>
          <w:rFonts w:cs="宋体"/>
          <w:color w:val="auto"/>
          <w:highlight w:val="none"/>
        </w:rPr>
      </w:pPr>
      <w:r>
        <w:rPr>
          <w:rFonts w:cs="宋体"/>
          <w:color w:val="auto"/>
          <w:highlight w:val="none"/>
        </w:rPr>
        <w:t>投标文件报价出现前后不一致的，除招标文件另有规定外，按照下列规定修正：</w:t>
      </w:r>
    </w:p>
    <w:p w14:paraId="1F3CC817">
      <w:pPr>
        <w:pStyle w:val="36"/>
        <w:spacing w:before="0" w:beforeAutospacing="0" w:after="0" w:afterAutospacing="0" w:line="360" w:lineRule="auto"/>
        <w:jc w:val="both"/>
        <w:rPr>
          <w:rFonts w:cs="宋体"/>
          <w:color w:val="auto"/>
          <w:highlight w:val="none"/>
        </w:rPr>
      </w:pPr>
      <w:r>
        <w:rPr>
          <w:rFonts w:cs="宋体"/>
          <w:color w:val="auto"/>
          <w:highlight w:val="none"/>
        </w:rPr>
        <w:t>　　</w:t>
      </w:r>
      <w:r>
        <w:rPr>
          <w:rFonts w:hint="eastAsia" w:cs="宋体"/>
          <w:color w:val="auto"/>
          <w:highlight w:val="none"/>
          <w:lang w:val="en-US" w:eastAsia="zh-CN"/>
        </w:rPr>
        <w:t>1、</w:t>
      </w:r>
      <w:r>
        <w:rPr>
          <w:rFonts w:hint="eastAsia" w:cs="宋体"/>
          <w:color w:val="auto"/>
          <w:highlight w:val="none"/>
        </w:rPr>
        <w:t>台州湾新区小额工程电子交易平台”上开启的投标报价与电子投标文件中投标承诺书内容不一致的，以电子投标文件中投标承诺书为准；</w:t>
      </w:r>
    </w:p>
    <w:p w14:paraId="6C2ED960">
      <w:pPr>
        <w:pStyle w:val="36"/>
        <w:spacing w:before="0" w:beforeAutospacing="0" w:after="0" w:afterAutospacing="0" w:line="360" w:lineRule="auto"/>
        <w:ind w:firstLine="480" w:firstLineChars="200"/>
        <w:jc w:val="both"/>
        <w:rPr>
          <w:rFonts w:cs="宋体"/>
          <w:color w:val="auto"/>
          <w:highlight w:val="none"/>
        </w:rPr>
      </w:pPr>
      <w:r>
        <w:rPr>
          <w:rFonts w:hint="eastAsia" w:cs="宋体"/>
          <w:color w:val="auto"/>
          <w:highlight w:val="none"/>
          <w:lang w:val="en-US" w:eastAsia="zh-CN"/>
        </w:rPr>
        <w:t>2</w:t>
      </w:r>
      <w:r>
        <w:rPr>
          <w:rFonts w:cs="宋体"/>
          <w:color w:val="auto"/>
          <w:highlight w:val="none"/>
        </w:rPr>
        <w:t>、投标文件中</w:t>
      </w:r>
      <w:r>
        <w:rPr>
          <w:rFonts w:hint="eastAsia" w:cs="宋体"/>
          <w:color w:val="auto"/>
          <w:highlight w:val="none"/>
          <w:lang w:val="en-US" w:eastAsia="zh-CN"/>
        </w:rPr>
        <w:t>投标承诺书</w:t>
      </w:r>
      <w:r>
        <w:rPr>
          <w:rFonts w:cs="宋体"/>
          <w:color w:val="auto"/>
          <w:highlight w:val="none"/>
        </w:rPr>
        <w:t>内容与投标文件中相应内容不一致的，以</w:t>
      </w:r>
      <w:r>
        <w:rPr>
          <w:rFonts w:hint="eastAsia" w:cs="宋体"/>
          <w:color w:val="auto"/>
          <w:highlight w:val="none"/>
          <w:lang w:val="en-US" w:eastAsia="zh-CN"/>
        </w:rPr>
        <w:t>投标承诺书</w:t>
      </w:r>
      <w:r>
        <w:rPr>
          <w:rFonts w:cs="宋体"/>
          <w:color w:val="auto"/>
          <w:highlight w:val="none"/>
        </w:rPr>
        <w:t>为准；</w:t>
      </w:r>
    </w:p>
    <w:p w14:paraId="3C6E1110">
      <w:pPr>
        <w:pStyle w:val="36"/>
        <w:spacing w:before="0" w:beforeAutospacing="0" w:after="0" w:afterAutospacing="0" w:line="360" w:lineRule="auto"/>
        <w:jc w:val="both"/>
        <w:rPr>
          <w:rFonts w:cs="宋体"/>
          <w:color w:val="auto"/>
          <w:highlight w:val="none"/>
        </w:rPr>
      </w:pPr>
      <w:r>
        <w:rPr>
          <w:rFonts w:cs="宋体"/>
          <w:color w:val="auto"/>
          <w:highlight w:val="none"/>
        </w:rPr>
        <w:t>　　</w:t>
      </w:r>
      <w:r>
        <w:rPr>
          <w:rFonts w:hint="eastAsia" w:cs="宋体"/>
          <w:color w:val="auto"/>
          <w:highlight w:val="none"/>
          <w:lang w:val="en-US" w:eastAsia="zh-CN"/>
        </w:rPr>
        <w:t>3</w:t>
      </w:r>
      <w:r>
        <w:rPr>
          <w:rFonts w:cs="宋体"/>
          <w:color w:val="auto"/>
          <w:highlight w:val="none"/>
        </w:rPr>
        <w:t>、大写金额和小写金额不一致的，以大写金额为准；</w:t>
      </w:r>
    </w:p>
    <w:p w14:paraId="1D0D0196">
      <w:pPr>
        <w:pStyle w:val="36"/>
        <w:spacing w:before="0" w:beforeAutospacing="0" w:after="0" w:afterAutospacing="0" w:line="360" w:lineRule="auto"/>
        <w:jc w:val="both"/>
        <w:rPr>
          <w:rFonts w:cs="宋体"/>
          <w:color w:val="auto"/>
          <w:highlight w:val="none"/>
        </w:rPr>
      </w:pPr>
      <w:r>
        <w:rPr>
          <w:rFonts w:cs="宋体"/>
          <w:color w:val="auto"/>
          <w:highlight w:val="none"/>
        </w:rPr>
        <w:t>　　</w:t>
      </w:r>
      <w:r>
        <w:rPr>
          <w:rFonts w:hint="eastAsia" w:cs="宋体"/>
          <w:color w:val="auto"/>
          <w:highlight w:val="none"/>
          <w:lang w:val="en-US" w:eastAsia="zh-CN"/>
        </w:rPr>
        <w:t>4</w:t>
      </w:r>
      <w:r>
        <w:rPr>
          <w:rFonts w:cs="宋体"/>
          <w:color w:val="auto"/>
          <w:highlight w:val="none"/>
        </w:rPr>
        <w:t>、单价金额小数点或者百分比有明显错位的，以</w:t>
      </w:r>
      <w:r>
        <w:rPr>
          <w:rFonts w:hint="eastAsia" w:cs="宋体"/>
          <w:color w:val="auto"/>
          <w:highlight w:val="none"/>
          <w:lang w:val="en-US" w:eastAsia="zh-CN"/>
        </w:rPr>
        <w:t>投标承诺书</w:t>
      </w:r>
      <w:r>
        <w:rPr>
          <w:rFonts w:cs="宋体"/>
          <w:color w:val="auto"/>
          <w:highlight w:val="none"/>
        </w:rPr>
        <w:t>的总价为准，并修改单价；</w:t>
      </w:r>
    </w:p>
    <w:p w14:paraId="60C82ACF">
      <w:pPr>
        <w:pStyle w:val="36"/>
        <w:spacing w:before="0" w:beforeAutospacing="0" w:after="0" w:afterAutospacing="0" w:line="360" w:lineRule="auto"/>
        <w:jc w:val="both"/>
        <w:rPr>
          <w:rFonts w:cs="宋体"/>
          <w:color w:val="auto"/>
          <w:highlight w:val="none"/>
        </w:rPr>
      </w:pPr>
      <w:r>
        <w:rPr>
          <w:rFonts w:cs="宋体"/>
          <w:color w:val="auto"/>
          <w:highlight w:val="none"/>
        </w:rPr>
        <w:t>　　</w:t>
      </w:r>
      <w:r>
        <w:rPr>
          <w:rFonts w:hint="eastAsia" w:cs="宋体"/>
          <w:color w:val="auto"/>
          <w:highlight w:val="none"/>
          <w:lang w:val="en-US" w:eastAsia="zh-CN"/>
        </w:rPr>
        <w:t>5</w:t>
      </w:r>
      <w:r>
        <w:rPr>
          <w:rFonts w:cs="宋体"/>
          <w:color w:val="auto"/>
          <w:highlight w:val="none"/>
        </w:rPr>
        <w:t>、总价金额与按单价汇总金额不一致的，以单价金额计算结果为准。</w:t>
      </w:r>
    </w:p>
    <w:p w14:paraId="58FD10AF">
      <w:pPr>
        <w:pStyle w:val="36"/>
        <w:spacing w:before="0" w:beforeAutospacing="0" w:after="0" w:afterAutospacing="0" w:line="360" w:lineRule="auto"/>
        <w:jc w:val="both"/>
        <w:rPr>
          <w:rFonts w:cs="宋体"/>
          <w:color w:val="auto"/>
          <w:highlight w:val="none"/>
        </w:rPr>
      </w:pPr>
      <w:r>
        <w:rPr>
          <w:rFonts w:cs="宋体"/>
          <w:color w:val="auto"/>
          <w:highlight w:val="none"/>
        </w:rPr>
        <w:t>　　同时出现两种以上不一致的，按照前款规定的顺序修正。修正应当采用书面形式，并加盖公章或者由法定代表人或其授权的代表签字</w:t>
      </w:r>
      <w:r>
        <w:rPr>
          <w:rFonts w:hint="eastAsia" w:cs="宋体"/>
          <w:color w:val="auto"/>
          <w:highlight w:val="none"/>
          <w:lang w:val="en-US" w:eastAsia="zh-CN"/>
        </w:rPr>
        <w:t>确认</w:t>
      </w:r>
      <w:r>
        <w:rPr>
          <w:rFonts w:cs="宋体"/>
          <w:color w:val="auto"/>
          <w:highlight w:val="none"/>
        </w:rPr>
        <w:t>。修正后的报价经投标人确认后产生约束力，投标人不确认的，其投标无效。</w:t>
      </w:r>
    </w:p>
    <w:p w14:paraId="4926CAB5">
      <w:pPr>
        <w:autoSpaceDE w:val="0"/>
        <w:autoSpaceDN w:val="0"/>
        <w:adjustRightInd w:val="0"/>
        <w:spacing w:line="360" w:lineRule="auto"/>
        <w:ind w:firstLine="359" w:firstLineChars="149"/>
        <w:rPr>
          <w:rFonts w:hint="eastAsia" w:ascii="宋体" w:hAnsi="宋体" w:cs="宋体"/>
          <w:b/>
          <w:color w:val="auto"/>
          <w:kern w:val="0"/>
          <w:sz w:val="24"/>
          <w:highlight w:val="none"/>
        </w:rPr>
      </w:pPr>
      <w:r>
        <w:rPr>
          <w:rFonts w:hint="eastAsia" w:ascii="宋体" w:hAnsi="宋体" w:cs="宋体"/>
          <w:b/>
          <w:color w:val="auto"/>
          <w:kern w:val="0"/>
          <w:sz w:val="24"/>
          <w:highlight w:val="none"/>
        </w:rPr>
        <w:t>（六）有下列情况之一的，本次招标作为废标处理，除招标任务取消外，由招标人重新组织招标：</w:t>
      </w:r>
    </w:p>
    <w:p w14:paraId="45A8E46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1、符合专业条件的投标人或者对招标文件作实质响应的投标人不足三家，评标委员会认定投标明显缺乏竞争的；</w:t>
      </w:r>
    </w:p>
    <w:p w14:paraId="26DD9BF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2、出现影响招标公正的违法、违规行为的；</w:t>
      </w:r>
    </w:p>
    <w:p w14:paraId="5C9923F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3、投标人的报价均超过了报价上限，招标人不能支付的；</w:t>
      </w:r>
    </w:p>
    <w:p w14:paraId="4C7B8366">
      <w:pPr>
        <w:snapToGrid w:val="0"/>
        <w:spacing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4、因重大变故，采购任务取消的。</w:t>
      </w:r>
    </w:p>
    <w:p w14:paraId="001826D1">
      <w:pPr>
        <w:pStyle w:val="22"/>
        <w:tabs>
          <w:tab w:val="left" w:pos="630"/>
        </w:tabs>
        <w:snapToGrid w:val="0"/>
        <w:spacing w:before="159" w:beforeLines="50" w:beforeAutospacing="0" w:after="0" w:afterLines="0" w:afterAutospacing="0" w:line="360" w:lineRule="auto"/>
        <w:ind w:firstLine="359" w:firstLineChars="149"/>
        <w:rPr>
          <w:rFonts w:hAnsi="宋体" w:cs="宋体"/>
          <w:b/>
          <w:bCs/>
          <w:color w:val="auto"/>
          <w:highlight w:val="none"/>
        </w:rPr>
      </w:pPr>
      <w:r>
        <w:rPr>
          <w:rFonts w:hAnsi="宋体" w:cs="宋体"/>
          <w:b/>
          <w:bCs/>
          <w:color w:val="auto"/>
          <w:highlight w:val="none"/>
        </w:rPr>
        <w:t>（七）评标原则和评标办法</w:t>
      </w:r>
    </w:p>
    <w:p w14:paraId="5ADC0819">
      <w:pPr>
        <w:pStyle w:val="22"/>
        <w:snapToGrid w:val="0"/>
        <w:spacing w:before="0" w:beforeLines="0" w:beforeAutospacing="0" w:after="120" w:line="360" w:lineRule="auto"/>
        <w:ind w:firstLine="480" w:firstLineChars="200"/>
        <w:rPr>
          <w:rFonts w:hAnsi="宋体" w:cs="宋体"/>
          <w:b w:val="0"/>
          <w:bCs/>
          <w:color w:val="auto"/>
          <w:highlight w:val="none"/>
        </w:rPr>
      </w:pPr>
      <w:r>
        <w:rPr>
          <w:rFonts w:hAnsi="宋体" w:cs="宋体"/>
          <w:b w:val="0"/>
          <w:bCs/>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6F24B09">
      <w:pPr>
        <w:pStyle w:val="22"/>
        <w:snapToGrid w:val="0"/>
        <w:spacing w:before="120" w:after="0" w:afterLines="0" w:afterAutospacing="0" w:line="360" w:lineRule="auto"/>
        <w:ind w:firstLine="480" w:firstLineChars="200"/>
        <w:rPr>
          <w:rFonts w:hAnsi="宋体" w:cs="宋体"/>
          <w:color w:val="auto"/>
          <w:highlight w:val="none"/>
        </w:rPr>
      </w:pPr>
      <w:r>
        <w:rPr>
          <w:rFonts w:hAnsi="宋体" w:cs="宋体"/>
          <w:b w:val="0"/>
          <w:bCs/>
          <w:color w:val="auto"/>
          <w:highlight w:val="none"/>
        </w:rPr>
        <w:t>2、评标办法。具体评标内容及评分标准等详见《第四章：评标办法及评分标准》。</w:t>
      </w:r>
    </w:p>
    <w:p w14:paraId="3138D60E">
      <w:pPr>
        <w:pStyle w:val="22"/>
        <w:snapToGrid w:val="0"/>
        <w:spacing w:before="102" w:beforeLines="32" w:beforeAutospacing="0" w:after="0" w:afterLines="0" w:afterAutospacing="0" w:line="360" w:lineRule="auto"/>
        <w:ind w:firstLine="359" w:firstLineChars="149"/>
        <w:rPr>
          <w:rFonts w:hAnsi="宋体" w:cs="宋体"/>
          <w:b/>
          <w:bCs/>
          <w:color w:val="auto"/>
          <w:highlight w:val="none"/>
        </w:rPr>
      </w:pPr>
      <w:r>
        <w:rPr>
          <w:rFonts w:hAnsi="宋体" w:cs="宋体"/>
          <w:b/>
          <w:bCs/>
          <w:color w:val="auto"/>
          <w:highlight w:val="none"/>
        </w:rPr>
        <w:t>（八）评标过程的监控</w:t>
      </w:r>
    </w:p>
    <w:p w14:paraId="7834C7EB">
      <w:pPr>
        <w:pStyle w:val="36"/>
        <w:spacing w:before="0" w:beforeLines="0" w:beforeAutospacing="0" w:after="0" w:afterAutospacing="0" w:line="360" w:lineRule="auto"/>
        <w:ind w:firstLine="480" w:firstLineChars="200"/>
        <w:jc w:val="both"/>
        <w:rPr>
          <w:rFonts w:cs="宋体"/>
          <w:color w:val="auto"/>
          <w:highlight w:val="none"/>
        </w:rPr>
      </w:pPr>
      <w:r>
        <w:rPr>
          <w:rFonts w:cs="宋体"/>
          <w:color w:val="auto"/>
          <w:highlight w:val="none"/>
        </w:rPr>
        <w:t>本项目评标过程实行全程录音、录像监控，投标人在评标过程中所进行的试图影响评标结果的不公正活动，可能导致其投标被拒绝。</w:t>
      </w:r>
    </w:p>
    <w:p w14:paraId="66B3DF2E">
      <w:pPr>
        <w:pStyle w:val="22"/>
        <w:snapToGrid w:val="0"/>
        <w:spacing w:before="120" w:beforeLines="0" w:after="0" w:afterLines="0" w:afterAutospacing="0" w:line="360" w:lineRule="auto"/>
        <w:ind w:left="0" w:leftChars="0" w:firstLine="0" w:firstLineChars="0"/>
        <w:rPr>
          <w:rFonts w:hAnsi="宋体" w:cs="宋体"/>
          <w:b/>
          <w:bCs/>
          <w:color w:val="auto"/>
          <w:sz w:val="30"/>
          <w:szCs w:val="30"/>
          <w:highlight w:val="none"/>
        </w:rPr>
      </w:pPr>
      <w:r>
        <w:rPr>
          <w:rFonts w:hAnsi="宋体" w:cs="宋体"/>
          <w:b/>
          <w:bCs/>
          <w:color w:val="auto"/>
          <w:sz w:val="30"/>
          <w:szCs w:val="30"/>
          <w:highlight w:val="none"/>
        </w:rPr>
        <w:t>六、</w:t>
      </w:r>
      <w:bookmarkStart w:id="9" w:name="_Toc155342567"/>
      <w:bookmarkStart w:id="10" w:name="_Toc169487814"/>
      <w:r>
        <w:rPr>
          <w:rFonts w:hAnsi="宋体" w:cs="宋体"/>
          <w:b/>
          <w:bCs/>
          <w:color w:val="auto"/>
          <w:sz w:val="30"/>
          <w:szCs w:val="30"/>
          <w:highlight w:val="none"/>
        </w:rPr>
        <w:t>中标候选人公示</w:t>
      </w:r>
      <w:bookmarkEnd w:id="9"/>
      <w:bookmarkEnd w:id="10"/>
    </w:p>
    <w:p w14:paraId="3DDAA019">
      <w:pPr>
        <w:spacing w:line="400" w:lineRule="exact"/>
        <w:ind w:firstLine="480" w:firstLineChars="200"/>
        <w:rPr>
          <w:rFonts w:hint="eastAsia" w:ascii="宋体" w:hAnsi="宋体" w:cs="宋体"/>
          <w:color w:val="auto"/>
          <w:kern w:val="0"/>
          <w:sz w:val="24"/>
          <w:highlight w:val="none"/>
        </w:rPr>
      </w:pPr>
      <w:bookmarkStart w:id="11" w:name="_Toc283886232"/>
      <w:bookmarkStart w:id="12" w:name="_Toc288556274"/>
      <w:bookmarkStart w:id="13" w:name="_Toc394573920"/>
      <w:bookmarkStart w:id="14" w:name="_Toc282596287"/>
      <w:bookmarkStart w:id="15" w:name="_Toc237769281"/>
      <w:bookmarkStart w:id="16" w:name="_Toc283976523"/>
      <w:bookmarkStart w:id="17" w:name="_Toc372899726"/>
      <w:bookmarkStart w:id="18" w:name="_Toc237768817"/>
      <w:bookmarkStart w:id="19" w:name="_Toc4450"/>
      <w:bookmarkStart w:id="20" w:name="_Toc372899849"/>
      <w:bookmarkStart w:id="21" w:name="_Toc321925409"/>
      <w:r>
        <w:rPr>
          <w:rFonts w:hint="eastAsia" w:ascii="宋体" w:hAnsi="宋体" w:cs="宋体"/>
          <w:color w:val="auto"/>
          <w:kern w:val="0"/>
          <w:sz w:val="24"/>
          <w:highlight w:val="none"/>
        </w:rPr>
        <w:t>1、 招标人应当将评标委员会推荐的中标候选人在交易平台（发布招标公告的媒体上）进行公示，公示期不得少于3日（最后一日为工作日）。</w:t>
      </w:r>
    </w:p>
    <w:p w14:paraId="3CAE69D4">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2、属于《中华人民共和国招标投标法实施条例》第二十二条、第四十四条、第五十四条规定事项投诉的 ，应当向招标人（招标代理机构）提出（附相关有效证明材料），招标人（招标代理机构）应给予答复。投标人对答复不服或认为招标人（招标代理机构）有违反有关规定及其他弄虚作假情形的，可在接到答复之日起 3 日内向招标监管机构申请核查，并提交相关材料。</w:t>
      </w:r>
    </w:p>
    <w:p w14:paraId="0EF00422">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3、中标候选人有以下情形之一的，其资格无效：</w:t>
      </w:r>
    </w:p>
    <w:p w14:paraId="0DB74962">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（1）投标资格不符合第一章第五项投标人的资格要求规定的；</w:t>
      </w:r>
    </w:p>
    <w:p w14:paraId="7D08EBFD">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（2）投标人提供虚假材料骗取投标资格的；</w:t>
      </w:r>
    </w:p>
    <w:p w14:paraId="0011A2CD">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（3）按第四章“评标办法及评分标准”规定应作无效标处理的；</w:t>
      </w:r>
    </w:p>
    <w:p w14:paraId="29E07F52">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（4）法律法规规定作无效标处理的其它情形。</w:t>
      </w:r>
    </w:p>
    <w:p w14:paraId="54993253">
      <w:pPr>
        <w:pStyle w:val="22"/>
        <w:snapToGrid w:val="0"/>
        <w:spacing w:before="62" w:beforeLines="0" w:beforeAutospacing="0" w:after="0" w:afterLines="0" w:afterAutospacing="0" w:line="360" w:lineRule="auto"/>
        <w:ind w:left="0" w:leftChars="0" w:firstLine="0" w:firstLineChars="0"/>
        <w:rPr>
          <w:rFonts w:hAnsi="宋体" w:cs="宋体"/>
          <w:b/>
          <w:bCs/>
          <w:color w:val="auto"/>
          <w:sz w:val="30"/>
          <w:szCs w:val="30"/>
          <w:highlight w:val="none"/>
        </w:rPr>
      </w:pPr>
      <w:r>
        <w:rPr>
          <w:rFonts w:hAnsi="宋体" w:cs="宋体"/>
          <w:b/>
          <w:bCs/>
          <w:color w:val="auto"/>
          <w:sz w:val="30"/>
          <w:szCs w:val="30"/>
          <w:highlight w:val="none"/>
        </w:rPr>
        <w:t>七、中标通知书</w:t>
      </w:r>
      <w:bookmarkEnd w:id="11"/>
      <w:bookmarkEnd w:id="12"/>
      <w:bookmarkEnd w:id="13"/>
      <w:bookmarkEnd w:id="14"/>
      <w:bookmarkEnd w:id="15"/>
      <w:bookmarkEnd w:id="16"/>
      <w:bookmarkEnd w:id="17"/>
      <w:bookmarkEnd w:id="18"/>
      <w:bookmarkEnd w:id="19"/>
      <w:bookmarkEnd w:id="20"/>
      <w:bookmarkEnd w:id="21"/>
    </w:p>
    <w:p w14:paraId="5D52DED5">
      <w:pPr>
        <w:pStyle w:val="16"/>
        <w:tabs>
          <w:tab w:val="left" w:pos="574"/>
        </w:tabs>
        <w:spacing w:beforeAutospacing="0" w:after="0"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1、招标人应当确定第一中标候选人为中标人。如涉及第二中标候选人和其他投标人资格无效的，评标结果不作调整。</w:t>
      </w:r>
    </w:p>
    <w:p w14:paraId="6EAE44FA">
      <w:pPr>
        <w:pStyle w:val="16"/>
        <w:tabs>
          <w:tab w:val="left" w:pos="574"/>
        </w:tabs>
        <w:spacing w:after="0"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第一中标候选人放弃中标，或者因不可抗力提出不能履行合同，或者因违反本章第六条第3项规定造成其资格无效的，招标人应当确定第二中标候选人为中标人。如涉及其他投标人资格无效的，评标结果不作调整。如第二中标候选人存在上述同样情形的，本次招标失败，重新组织招标。</w:t>
      </w:r>
    </w:p>
    <w:p w14:paraId="41CF90AA">
      <w:pPr>
        <w:pStyle w:val="16"/>
        <w:tabs>
          <w:tab w:val="left" w:pos="574"/>
        </w:tabs>
        <w:spacing w:after="0"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3、中标人确定后，招标人应当向中标人发出《中标通知书》。</w:t>
      </w:r>
    </w:p>
    <w:p w14:paraId="6A696C1E">
      <w:pPr>
        <w:pStyle w:val="16"/>
        <w:tabs>
          <w:tab w:val="left" w:pos="574"/>
        </w:tabs>
        <w:spacing w:after="0"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4、《中标通知书》对招标人和中标人具有法律约束力。《中标通知书》发出后，如中标人因违反法律法规规定而中标无效的，应承担相应的法律责任，本次招标失败，应重新组织招标。</w:t>
      </w:r>
    </w:p>
    <w:p w14:paraId="43022FB5">
      <w:pPr>
        <w:pStyle w:val="22"/>
        <w:snapToGrid w:val="0"/>
        <w:spacing w:before="120" w:beforeLines="0" w:after="0" w:afterLines="0" w:afterAutospacing="0" w:line="360" w:lineRule="auto"/>
        <w:ind w:left="0" w:leftChars="0" w:firstLine="0" w:firstLineChars="0"/>
        <w:rPr>
          <w:rFonts w:hAnsi="宋体" w:cs="宋体"/>
          <w:b/>
          <w:bCs/>
          <w:color w:val="auto"/>
          <w:sz w:val="30"/>
          <w:szCs w:val="30"/>
          <w:highlight w:val="none"/>
        </w:rPr>
      </w:pPr>
      <w:r>
        <w:rPr>
          <w:rFonts w:hAnsi="宋体" w:cs="宋体"/>
          <w:b/>
          <w:bCs/>
          <w:color w:val="auto"/>
          <w:sz w:val="30"/>
          <w:szCs w:val="30"/>
          <w:highlight w:val="none"/>
        </w:rPr>
        <w:t>八、合同授予</w:t>
      </w:r>
    </w:p>
    <w:p w14:paraId="5A18C301">
      <w:pPr>
        <w:spacing w:beforeAutospacing="0"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bidi="ar"/>
        </w:rPr>
        <w:t>（一）签订合同</w:t>
      </w:r>
    </w:p>
    <w:p w14:paraId="4AF42148">
      <w:pPr>
        <w:pStyle w:val="36"/>
        <w:spacing w:before="0" w:beforeAutospacing="0" w:after="0" w:afterAutospacing="0" w:line="360" w:lineRule="auto"/>
        <w:ind w:firstLine="600" w:firstLineChars="250"/>
        <w:jc w:val="both"/>
        <w:rPr>
          <w:rFonts w:cs="宋体"/>
          <w:color w:val="auto"/>
          <w:highlight w:val="none"/>
        </w:rPr>
      </w:pPr>
      <w:r>
        <w:rPr>
          <w:rFonts w:cs="宋体"/>
          <w:color w:val="auto"/>
          <w:highlight w:val="none"/>
        </w:rPr>
        <w:t>1、招标人应当自中标通知书发出之日起30日内，按照招标文件和中标人投标文件的规定，与中标人签订书面合同。所签订的合同不得对招标文件确定的事项和中标人投标文件作实质性修改。</w:t>
      </w:r>
    </w:p>
    <w:p w14:paraId="20BF3B15">
      <w:pPr>
        <w:pStyle w:val="36"/>
        <w:spacing w:before="0" w:beforeAutospacing="0" w:after="0" w:afterAutospacing="0" w:line="360" w:lineRule="auto"/>
        <w:ind w:firstLine="600" w:firstLineChars="250"/>
        <w:jc w:val="both"/>
        <w:rPr>
          <w:rFonts w:cs="宋体"/>
          <w:color w:val="auto"/>
          <w:highlight w:val="none"/>
        </w:rPr>
      </w:pPr>
      <w:r>
        <w:rPr>
          <w:rFonts w:cs="宋体"/>
          <w:color w:val="auto"/>
          <w:highlight w:val="none"/>
        </w:rPr>
        <w:t>2、招标人不得向中标人提出任何不合理的要求作为签订合同的条件。</w:t>
      </w:r>
    </w:p>
    <w:p w14:paraId="3CBAE292">
      <w:pPr>
        <w:pStyle w:val="36"/>
        <w:spacing w:before="0" w:beforeAutospacing="0" w:after="0" w:afterAutospacing="0" w:line="360" w:lineRule="auto"/>
        <w:ind w:firstLine="600" w:firstLineChars="250"/>
        <w:jc w:val="both"/>
        <w:rPr>
          <w:rFonts w:cs="宋体"/>
          <w:color w:val="auto"/>
          <w:highlight w:val="none"/>
        </w:rPr>
      </w:pPr>
      <w:r>
        <w:rPr>
          <w:rFonts w:cs="宋体"/>
          <w:color w:val="auto"/>
          <w:highlight w:val="none"/>
        </w:rPr>
        <w:t>3、中标人无故拖延、拒签合同的,投标保证金将不予退回并取消中标资格。</w:t>
      </w:r>
    </w:p>
    <w:p w14:paraId="7E6F1450">
      <w:pPr>
        <w:pStyle w:val="36"/>
        <w:spacing w:before="0" w:beforeAutospacing="0" w:after="0" w:afterAutospacing="0" w:line="360" w:lineRule="auto"/>
        <w:ind w:firstLine="600" w:firstLineChars="250"/>
        <w:jc w:val="both"/>
        <w:rPr>
          <w:rFonts w:cs="宋体"/>
          <w:color w:val="auto"/>
          <w:highlight w:val="none"/>
        </w:rPr>
      </w:pPr>
      <w:r>
        <w:rPr>
          <w:rFonts w:cs="宋体"/>
          <w:color w:val="auto"/>
          <w:highlight w:val="none"/>
        </w:rPr>
        <w:t>4、中标人拒绝与招标人签订合同的，招标人可以按照评审报告推荐的中标候选人名单排序，确定下一候选人为中标人，也可以重新开展招标活动。</w:t>
      </w:r>
    </w:p>
    <w:p w14:paraId="3959735F">
      <w:pPr>
        <w:pStyle w:val="36"/>
        <w:spacing w:before="0" w:beforeAutospacing="0" w:after="0" w:afterAutospacing="0" w:line="360" w:lineRule="auto"/>
        <w:ind w:firstLine="600" w:firstLineChars="250"/>
        <w:jc w:val="both"/>
        <w:rPr>
          <w:rFonts w:cs="宋体"/>
          <w:color w:val="auto"/>
          <w:highlight w:val="none"/>
        </w:rPr>
        <w:sectPr>
          <w:headerReference r:id="rId11" w:type="default"/>
          <w:pgSz w:w="11907" w:h="16840"/>
          <w:pgMar w:top="1417" w:right="1418" w:bottom="1417" w:left="1531" w:header="851" w:footer="992" w:gutter="0"/>
          <w:cols w:space="720" w:num="1"/>
          <w:docGrid w:type="lines" w:linePitch="312" w:charSpace="0"/>
        </w:sectPr>
      </w:pPr>
      <w:r>
        <w:rPr>
          <w:rFonts w:cs="宋体"/>
          <w:color w:val="auto"/>
          <w:highlight w:val="none"/>
        </w:rPr>
        <w:t>5、询问或者质疑事项可能影响中标结果的，招标人应当暂停签订合同，已经签订合同的，应当中止履行合同。</w:t>
      </w:r>
    </w:p>
    <w:p w14:paraId="79CC0E18">
      <w:pPr>
        <w:pStyle w:val="36"/>
        <w:spacing w:before="0" w:beforeAutospacing="0" w:after="0" w:afterAutospacing="0" w:line="360" w:lineRule="auto"/>
        <w:ind w:firstLine="600" w:firstLineChars="250"/>
        <w:jc w:val="both"/>
        <w:rPr>
          <w:rFonts w:cs="宋体"/>
          <w:color w:val="auto"/>
          <w:highlight w:val="none"/>
        </w:rPr>
      </w:pPr>
    </w:p>
    <w:bookmarkEnd w:id="7"/>
    <w:bookmarkEnd w:id="8"/>
    <w:p w14:paraId="072DC8EF">
      <w:pPr>
        <w:pStyle w:val="22"/>
        <w:numPr>
          <w:ilvl w:val="0"/>
          <w:numId w:val="10"/>
        </w:numPr>
        <w:snapToGrid w:val="0"/>
        <w:spacing w:before="120" w:beforeLines="0" w:after="120" w:afterLines="0" w:line="240" w:lineRule="auto"/>
        <w:ind w:left="440" w:hanging="440"/>
        <w:jc w:val="center"/>
        <w:rPr>
          <w:rFonts w:hAnsi="宋体"/>
          <w:b w:val="0"/>
          <w:color w:val="auto"/>
          <w:sz w:val="30"/>
          <w:szCs w:val="30"/>
          <w:highlight w:val="none"/>
        </w:rPr>
      </w:pPr>
      <w:bookmarkStart w:id="22" w:name="_Toc31340_WPSOffice_Level1"/>
      <w:bookmarkStart w:id="23" w:name="第五章"/>
      <w:bookmarkStart w:id="24" w:name="_Toc517158299"/>
      <w:r>
        <w:rPr>
          <w:rFonts w:hAnsi="宋体"/>
          <w:b w:val="0"/>
          <w:color w:val="auto"/>
          <w:sz w:val="30"/>
          <w:szCs w:val="30"/>
          <w:highlight w:val="none"/>
        </w:rPr>
        <w:t>评标办法及评分标准</w:t>
      </w:r>
    </w:p>
    <w:p w14:paraId="767F95F5">
      <w:pPr>
        <w:spacing w:before="156" w:beforeLines="50" w:after="156" w:afterLines="50" w:line="440" w:lineRule="exact"/>
        <w:ind w:firstLine="420"/>
        <w:rPr>
          <w:rFonts w:hint="eastAsia" w:ascii="宋体" w:hAnsi="宋体" w:cs="宋体"/>
          <w:color w:val="auto"/>
          <w:sz w:val="24"/>
          <w:highlight w:val="none"/>
        </w:rPr>
      </w:pPr>
      <w:r>
        <w:rPr>
          <w:rFonts w:hint="eastAsia" w:ascii="宋体" w:hAnsi="宋体" w:cs="宋体"/>
          <w:color w:val="auto"/>
          <w:sz w:val="24"/>
          <w:highlight w:val="none"/>
          <w:lang w:bidi="ar"/>
        </w:rPr>
        <w:t>为公正、公平、科学地选择中标人，参照《中华人民共和国政府采购法》等有关法律法规的规定，并结合本项目的实际，制定本办法。</w:t>
      </w:r>
    </w:p>
    <w:p w14:paraId="526A74EC">
      <w:pPr>
        <w:spacing w:before="156" w:beforeLines="50" w:after="156" w:afterLines="50" w:line="440" w:lineRule="exact"/>
        <w:ind w:firstLine="420"/>
        <w:rPr>
          <w:rFonts w:hint="eastAsia" w:ascii="宋体" w:hAnsi="宋体" w:cs="宋体"/>
          <w:bCs/>
          <w:color w:val="auto"/>
          <w:sz w:val="24"/>
          <w:szCs w:val="48"/>
          <w:highlight w:val="none"/>
        </w:rPr>
      </w:pPr>
      <w:r>
        <w:rPr>
          <w:rFonts w:hint="eastAsia" w:ascii="宋体" w:hAnsi="宋体" w:cs="宋体"/>
          <w:color w:val="auto"/>
          <w:sz w:val="24"/>
          <w:highlight w:val="none"/>
          <w:lang w:bidi="ar"/>
        </w:rPr>
        <w:t>本办法适用于</w:t>
      </w:r>
      <w:r>
        <w:rPr>
          <w:rFonts w:hint="eastAsia" w:ascii="宋体" w:hAnsi="宋体" w:cs="宋体"/>
          <w:b/>
          <w:color w:val="auto"/>
          <w:sz w:val="24"/>
          <w:highlight w:val="none"/>
          <w:lang w:bidi="ar"/>
        </w:rPr>
        <w:t>本项目</w:t>
      </w:r>
      <w:r>
        <w:rPr>
          <w:rFonts w:hint="eastAsia" w:ascii="宋体" w:hAnsi="宋体" w:cs="宋体"/>
          <w:bCs/>
          <w:color w:val="auto"/>
          <w:sz w:val="24"/>
          <w:szCs w:val="48"/>
          <w:highlight w:val="none"/>
          <w:lang w:bidi="ar"/>
        </w:rPr>
        <w:t>的评标。</w:t>
      </w:r>
    </w:p>
    <w:p w14:paraId="3C4541B9">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一、总则</w:t>
      </w:r>
    </w:p>
    <w:p w14:paraId="3CB1ED70">
      <w:pPr>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lang w:bidi="ar"/>
        </w:rPr>
        <w:t>本次评标采用综合评分法，总分为100分，其中商务标30分、资信技术标70分两部分。合格投标人的评标得分为各项目汇总得分，</w:t>
      </w:r>
      <w:r>
        <w:rPr>
          <w:rFonts w:hint="eastAsia" w:ascii="宋体" w:hAnsi="宋体" w:cs="宋体"/>
          <w:bCs/>
          <w:color w:val="auto"/>
          <w:sz w:val="24"/>
          <w:highlight w:val="none"/>
          <w:lang w:bidi="ar"/>
        </w:rPr>
        <w:t>中标候选资格按评标得分由高到低顺序排列，得分相同的，按投标报价由低到高顺序排列；得分且投标报价相同的，由采购人抽签确定。排名第一的的投标人为中标候选人,排名第二的投标人为候补中标候选人。评分过程中采用四舍五入法，并保留小数2位。</w:t>
      </w:r>
    </w:p>
    <w:p w14:paraId="127128A3">
      <w:pPr>
        <w:spacing w:line="360" w:lineRule="auto"/>
        <w:ind w:firstLine="482" w:firstLineChars="200"/>
        <w:rPr>
          <w:rFonts w:hint="eastAsia" w:ascii="宋体" w:hAnsi="宋体"/>
          <w:b/>
          <w:color w:val="auto"/>
          <w:sz w:val="24"/>
          <w:highlight w:val="none"/>
          <w:lang w:bidi="ar"/>
        </w:rPr>
      </w:pPr>
      <w:r>
        <w:rPr>
          <w:rFonts w:hint="eastAsia" w:ascii="宋体" w:hAnsi="宋体"/>
          <w:b/>
          <w:color w:val="auto"/>
          <w:sz w:val="24"/>
          <w:highlight w:val="none"/>
          <w:lang w:bidi="ar"/>
        </w:rPr>
        <w:t>（一）资格审查</w:t>
      </w:r>
    </w:p>
    <w:p w14:paraId="77827234">
      <w:pPr>
        <w:spacing w:line="360" w:lineRule="auto"/>
        <w:ind w:firstLine="480" w:firstLineChars="200"/>
        <w:rPr>
          <w:rFonts w:hint="eastAsia" w:ascii="宋体" w:hAnsi="宋体"/>
          <w:b/>
          <w:color w:val="auto"/>
          <w:sz w:val="24"/>
          <w:highlight w:val="none"/>
          <w:lang w:bidi="ar"/>
        </w:rPr>
      </w:pPr>
      <w:r>
        <w:rPr>
          <w:rFonts w:ascii="宋体" w:hAnsi="宋体"/>
          <w:color w:val="auto"/>
          <w:sz w:val="24"/>
          <w:highlight w:val="none"/>
        </w:rPr>
        <w:t>评标委员会按照招标文件载明的资格</w:t>
      </w:r>
      <w:r>
        <w:rPr>
          <w:rFonts w:hint="eastAsia" w:ascii="宋体" w:hAnsi="宋体"/>
          <w:color w:val="auto"/>
          <w:sz w:val="24"/>
          <w:highlight w:val="none"/>
        </w:rPr>
        <w:t>审查</w:t>
      </w:r>
      <w:r>
        <w:rPr>
          <w:rFonts w:ascii="宋体" w:hAnsi="宋体"/>
          <w:color w:val="auto"/>
          <w:sz w:val="24"/>
          <w:highlight w:val="none"/>
        </w:rPr>
        <w:t>条款，对投标人</w:t>
      </w:r>
      <w:r>
        <w:rPr>
          <w:rFonts w:hint="eastAsia" w:ascii="宋体" w:hAnsi="宋体"/>
          <w:color w:val="auto"/>
          <w:sz w:val="24"/>
          <w:highlight w:val="none"/>
        </w:rPr>
        <w:t>资格</w:t>
      </w:r>
      <w:r>
        <w:rPr>
          <w:rFonts w:ascii="宋体" w:hAnsi="宋体"/>
          <w:color w:val="auto"/>
          <w:sz w:val="24"/>
          <w:highlight w:val="none"/>
        </w:rPr>
        <w:t>等进行审查，凡不符合资格</w:t>
      </w:r>
      <w:r>
        <w:rPr>
          <w:rFonts w:hint="eastAsia" w:ascii="宋体" w:hAnsi="宋体"/>
          <w:color w:val="auto"/>
          <w:sz w:val="24"/>
          <w:highlight w:val="none"/>
        </w:rPr>
        <w:t>审查</w:t>
      </w:r>
      <w:r>
        <w:rPr>
          <w:rFonts w:ascii="宋体" w:hAnsi="宋体"/>
          <w:color w:val="auto"/>
          <w:sz w:val="24"/>
          <w:highlight w:val="none"/>
        </w:rPr>
        <w:t>要求的，以无效标处理，不再进入下一阶段评审。</w:t>
      </w:r>
    </w:p>
    <w:p w14:paraId="2E853867">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bidi="ar"/>
        </w:rPr>
        <w:t>（二）资信技术标</w:t>
      </w:r>
      <w:r>
        <w:rPr>
          <w:rFonts w:hint="eastAsia" w:ascii="宋体" w:hAnsi="宋体"/>
          <w:b/>
          <w:color w:val="auto"/>
          <w:sz w:val="24"/>
          <w:highlight w:val="none"/>
        </w:rPr>
        <w:t>评审（70分）</w:t>
      </w:r>
    </w:p>
    <w:p w14:paraId="1255486B">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评标委员会对通过符合性审查的投标人的投标文件充分审核后，进行综合评定独立打分。</w:t>
      </w:r>
    </w:p>
    <w:tbl>
      <w:tblPr>
        <w:tblStyle w:val="41"/>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77"/>
        <w:gridCol w:w="6632"/>
        <w:gridCol w:w="709"/>
      </w:tblGrid>
      <w:tr w14:paraId="0679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D8D8D8"/>
            <w:vAlign w:val="center"/>
          </w:tcPr>
          <w:p w14:paraId="29D89539">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509"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14:paraId="0E9959AB">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c>
          <w:tcPr>
            <w:tcW w:w="709" w:type="dxa"/>
            <w:tcBorders>
              <w:top w:val="single" w:color="auto" w:sz="4" w:space="0"/>
              <w:left w:val="single" w:color="auto" w:sz="4" w:space="0"/>
              <w:bottom w:val="single" w:color="auto" w:sz="4" w:space="0"/>
              <w:right w:val="single" w:color="auto" w:sz="4" w:space="0"/>
            </w:tcBorders>
            <w:shd w:val="clear" w:color="auto" w:fill="D8D8D8"/>
            <w:vAlign w:val="center"/>
          </w:tcPr>
          <w:p w14:paraId="6A23EF08">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65BE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38" w:type="dxa"/>
            <w:vMerge w:val="restart"/>
            <w:tcBorders>
              <w:top w:val="single" w:color="auto" w:sz="4" w:space="0"/>
              <w:left w:val="single" w:color="auto" w:sz="4" w:space="0"/>
              <w:right w:val="single" w:color="auto" w:sz="4" w:space="0"/>
            </w:tcBorders>
            <w:vAlign w:val="center"/>
          </w:tcPr>
          <w:p w14:paraId="4A1D078A">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877" w:type="dxa"/>
            <w:vMerge w:val="restart"/>
            <w:tcBorders>
              <w:top w:val="single" w:color="auto" w:sz="4" w:space="0"/>
              <w:left w:val="single" w:color="auto" w:sz="4" w:space="0"/>
              <w:right w:val="single" w:color="auto" w:sz="4" w:space="0"/>
            </w:tcBorders>
            <w:vAlign w:val="center"/>
          </w:tcPr>
          <w:p w14:paraId="19278338">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技术方案</w:t>
            </w:r>
          </w:p>
        </w:tc>
        <w:tc>
          <w:tcPr>
            <w:tcW w:w="6632" w:type="dxa"/>
            <w:tcBorders>
              <w:top w:val="single" w:color="auto" w:sz="4" w:space="0"/>
              <w:left w:val="single" w:color="auto" w:sz="4" w:space="0"/>
              <w:right w:val="single" w:color="auto" w:sz="4" w:space="0"/>
            </w:tcBorders>
            <w:vAlign w:val="center"/>
          </w:tcPr>
          <w:p w14:paraId="7C0B245F">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根据投标人对采购项目现状和招标方案需求的理解、提供的项目建设思路、建设方案、施工方案、服务方案、迁移方案进行评审：</w:t>
            </w:r>
          </w:p>
          <w:p w14:paraId="65AE5797">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（1）对项目的理解分析贴合实际情况的得</w:t>
            </w:r>
            <w:r>
              <w:rPr>
                <w:rFonts w:hint="default" w:ascii="宋体" w:hAnsi="宋体" w:eastAsia="宋体" w:cs="宋体"/>
                <w:color w:val="auto"/>
                <w:sz w:val="21"/>
                <w:szCs w:val="21"/>
                <w:highlight w:val="none"/>
              </w:rPr>
              <w:t>10</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rPr>
              <w:t>8</w:t>
            </w:r>
            <w:r>
              <w:rPr>
                <w:rFonts w:hint="eastAsia" w:ascii="宋体" w:hAnsi="宋体" w:eastAsia="宋体" w:cs="宋体"/>
                <w:color w:val="auto"/>
                <w:sz w:val="21"/>
                <w:szCs w:val="21"/>
                <w:highlight w:val="none"/>
              </w:rPr>
              <w:t>分；</w:t>
            </w:r>
          </w:p>
          <w:p w14:paraId="61B3E43A">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（2）对项目的理解分析，缺乏实际情况的应对的得</w:t>
            </w:r>
            <w:r>
              <w:rPr>
                <w:rFonts w:hint="default" w:ascii="宋体" w:hAnsi="宋体" w:eastAsia="宋体" w:cs="宋体"/>
                <w:color w:val="auto"/>
                <w:sz w:val="21"/>
                <w:szCs w:val="21"/>
                <w:highlight w:val="none"/>
              </w:rPr>
              <w:t>7</w:t>
            </w:r>
            <w:r>
              <w:rPr>
                <w:rFonts w:hint="eastAsia" w:ascii="宋体" w:hAnsi="宋体" w:eastAsia="宋体" w:cs="宋体"/>
                <w:color w:val="auto"/>
                <w:sz w:val="21"/>
                <w:szCs w:val="21"/>
                <w:highlight w:val="none"/>
              </w:rPr>
              <w:t>.9-</w:t>
            </w:r>
            <w:r>
              <w:rPr>
                <w:rFonts w:hint="default" w:ascii="宋体" w:hAnsi="宋体" w:eastAsia="宋体" w:cs="宋体"/>
                <w:color w:val="auto"/>
                <w:sz w:val="21"/>
                <w:szCs w:val="21"/>
                <w:highlight w:val="none"/>
              </w:rPr>
              <w:t>4</w:t>
            </w:r>
            <w:r>
              <w:rPr>
                <w:rFonts w:hint="eastAsia" w:ascii="宋体" w:hAnsi="宋体" w:eastAsia="宋体" w:cs="宋体"/>
                <w:color w:val="auto"/>
                <w:sz w:val="21"/>
                <w:szCs w:val="21"/>
                <w:highlight w:val="none"/>
              </w:rPr>
              <w:t>分；</w:t>
            </w:r>
          </w:p>
          <w:p w14:paraId="51ACD2D7">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（3）对项目的理解内容单一，分析不到位的得</w:t>
            </w:r>
            <w:r>
              <w:rPr>
                <w:rFonts w:hint="default" w:ascii="宋体" w:hAnsi="宋体" w:eastAsia="宋体" w:cs="宋体"/>
                <w:color w:val="auto"/>
                <w:sz w:val="21"/>
                <w:szCs w:val="21"/>
                <w:highlight w:val="none"/>
              </w:rPr>
              <w:t>3</w:t>
            </w:r>
            <w:r>
              <w:rPr>
                <w:rFonts w:hint="eastAsia" w:ascii="宋体" w:hAnsi="宋体" w:eastAsia="宋体" w:cs="宋体"/>
                <w:color w:val="auto"/>
                <w:sz w:val="21"/>
                <w:szCs w:val="21"/>
                <w:highlight w:val="none"/>
              </w:rPr>
              <w:t>.9-0分。</w:t>
            </w:r>
          </w:p>
        </w:tc>
        <w:tc>
          <w:tcPr>
            <w:tcW w:w="709" w:type="dxa"/>
            <w:tcBorders>
              <w:top w:val="single" w:color="auto" w:sz="4" w:space="0"/>
              <w:left w:val="single" w:color="auto" w:sz="4" w:space="0"/>
              <w:bottom w:val="single" w:color="auto" w:sz="4" w:space="0"/>
              <w:right w:val="single" w:color="auto" w:sz="4" w:space="0"/>
            </w:tcBorders>
            <w:vAlign w:val="center"/>
          </w:tcPr>
          <w:p w14:paraId="6C2EC7B1">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10</w:t>
            </w:r>
            <w:r>
              <w:rPr>
                <w:rFonts w:hint="eastAsia" w:ascii="宋体" w:hAnsi="宋体" w:cs="宋体"/>
                <w:color w:val="auto"/>
                <w:kern w:val="0"/>
                <w:sz w:val="21"/>
                <w:szCs w:val="21"/>
                <w:highlight w:val="none"/>
              </w:rPr>
              <w:t>分</w:t>
            </w:r>
          </w:p>
        </w:tc>
      </w:tr>
      <w:tr w14:paraId="0952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38" w:type="dxa"/>
            <w:vMerge w:val="continue"/>
            <w:tcBorders>
              <w:left w:val="single" w:color="auto" w:sz="4" w:space="0"/>
              <w:right w:val="single" w:color="auto" w:sz="4" w:space="0"/>
            </w:tcBorders>
            <w:vAlign w:val="center"/>
          </w:tcPr>
          <w:p w14:paraId="34072835">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p>
        </w:tc>
        <w:tc>
          <w:tcPr>
            <w:tcW w:w="877" w:type="dxa"/>
            <w:vMerge w:val="continue"/>
            <w:tcBorders>
              <w:left w:val="single" w:color="auto" w:sz="4" w:space="0"/>
              <w:right w:val="single" w:color="auto" w:sz="4" w:space="0"/>
            </w:tcBorders>
            <w:vAlign w:val="center"/>
          </w:tcPr>
          <w:p w14:paraId="54C8CD4D">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6632" w:type="dxa"/>
            <w:tcBorders>
              <w:top w:val="single" w:color="auto" w:sz="4" w:space="0"/>
              <w:left w:val="single" w:color="auto" w:sz="4" w:space="0"/>
              <w:right w:val="single" w:color="auto" w:sz="4" w:space="0"/>
            </w:tcBorders>
            <w:vAlign w:val="center"/>
          </w:tcPr>
          <w:p w14:paraId="78C8FCF7">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根据投标人对采购产品与现有产品的可扩展性方案、高可用性方案及设备兼容性方案进行评审：</w:t>
            </w:r>
          </w:p>
          <w:p w14:paraId="32C97C85">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（1）方案可扩展性、可用性、兼容性强的得</w:t>
            </w:r>
            <w:r>
              <w:rPr>
                <w:rFonts w:hint="default" w:ascii="宋体" w:hAnsi="宋体" w:eastAsia="宋体" w:cs="宋体"/>
                <w:color w:val="auto"/>
                <w:sz w:val="21"/>
                <w:szCs w:val="21"/>
                <w:highlight w:val="none"/>
              </w:rPr>
              <w:t>4.1-6</w:t>
            </w:r>
            <w:r>
              <w:rPr>
                <w:rFonts w:hint="eastAsia" w:ascii="宋体" w:hAnsi="宋体" w:eastAsia="宋体" w:cs="宋体"/>
                <w:color w:val="auto"/>
                <w:sz w:val="21"/>
                <w:szCs w:val="21"/>
                <w:highlight w:val="none"/>
              </w:rPr>
              <w:t>分；</w:t>
            </w:r>
          </w:p>
          <w:p w14:paraId="1743A44E">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（2）方案可扩展性、可用性、兼容性一般的得</w:t>
            </w:r>
            <w:r>
              <w:rPr>
                <w:rFonts w:hint="default" w:ascii="宋体" w:hAnsi="宋体" w:eastAsia="宋体" w:cs="宋体"/>
                <w:color w:val="auto"/>
                <w:sz w:val="21"/>
                <w:szCs w:val="21"/>
                <w:highlight w:val="none"/>
              </w:rPr>
              <w:t>4-2.1</w:t>
            </w:r>
            <w:r>
              <w:rPr>
                <w:rFonts w:hint="eastAsia" w:ascii="宋体" w:hAnsi="宋体" w:eastAsia="宋体" w:cs="宋体"/>
                <w:color w:val="auto"/>
                <w:sz w:val="21"/>
                <w:szCs w:val="21"/>
                <w:highlight w:val="none"/>
              </w:rPr>
              <w:t>分；</w:t>
            </w:r>
          </w:p>
          <w:p w14:paraId="1D820625">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（3）方案可扩展性、可用性、兼容性差的得</w:t>
            </w:r>
            <w:r>
              <w:rPr>
                <w:rFonts w:hint="default" w:ascii="宋体" w:hAnsi="宋体" w:eastAsia="宋体" w:cs="宋体"/>
                <w:color w:val="auto"/>
                <w:sz w:val="21"/>
                <w:szCs w:val="21"/>
                <w:highlight w:val="none"/>
              </w:rPr>
              <w:t>2-0</w:t>
            </w:r>
            <w:r>
              <w:rPr>
                <w:rFonts w:hint="eastAsia" w:ascii="宋体" w:hAnsi="宋体" w:eastAsia="宋体" w:cs="宋体"/>
                <w:color w:val="auto"/>
                <w:sz w:val="21"/>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28FCE6B8">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6</w:t>
            </w:r>
            <w:r>
              <w:rPr>
                <w:rFonts w:hint="eastAsia" w:ascii="宋体" w:hAnsi="宋体" w:cs="宋体"/>
                <w:color w:val="auto"/>
                <w:kern w:val="0"/>
                <w:sz w:val="21"/>
                <w:szCs w:val="21"/>
                <w:highlight w:val="none"/>
              </w:rPr>
              <w:t>分</w:t>
            </w:r>
          </w:p>
        </w:tc>
      </w:tr>
      <w:tr w14:paraId="6D43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538" w:type="dxa"/>
            <w:tcBorders>
              <w:top w:val="single" w:color="auto" w:sz="4" w:space="0"/>
              <w:left w:val="single" w:color="auto" w:sz="4" w:space="0"/>
              <w:right w:val="single" w:color="auto" w:sz="4" w:space="0"/>
            </w:tcBorders>
            <w:vAlign w:val="center"/>
          </w:tcPr>
          <w:p w14:paraId="7A49D17C">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877" w:type="dxa"/>
            <w:tcBorders>
              <w:top w:val="single" w:color="auto" w:sz="4" w:space="0"/>
              <w:left w:val="single" w:color="auto" w:sz="4" w:space="0"/>
              <w:right w:val="single" w:color="auto" w:sz="4" w:space="0"/>
            </w:tcBorders>
            <w:vAlign w:val="center"/>
          </w:tcPr>
          <w:p w14:paraId="2E5E5A24">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性能指标</w:t>
            </w:r>
          </w:p>
        </w:tc>
        <w:tc>
          <w:tcPr>
            <w:tcW w:w="6632" w:type="dxa"/>
            <w:tcBorders>
              <w:top w:val="single" w:color="auto" w:sz="4" w:space="0"/>
              <w:left w:val="single" w:color="auto" w:sz="4" w:space="0"/>
              <w:bottom w:val="single" w:color="auto" w:sz="4" w:space="0"/>
              <w:right w:val="single" w:color="auto" w:sz="4" w:space="0"/>
            </w:tcBorders>
            <w:vAlign w:val="center"/>
          </w:tcPr>
          <w:p w14:paraId="5836E4D5">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对投标产品的性能指标及技术参数满足程度进行评分：全部满足要求的得满分，满分20分。“★”项每负偏离一项扣2分，普通项每负偏离一项扣1分。</w:t>
            </w:r>
          </w:p>
        </w:tc>
        <w:tc>
          <w:tcPr>
            <w:tcW w:w="709" w:type="dxa"/>
            <w:tcBorders>
              <w:top w:val="single" w:color="auto" w:sz="4" w:space="0"/>
              <w:left w:val="single" w:color="auto" w:sz="4" w:space="0"/>
              <w:right w:val="single" w:color="auto" w:sz="4" w:space="0"/>
            </w:tcBorders>
            <w:vAlign w:val="center"/>
          </w:tcPr>
          <w:p w14:paraId="3ED383E9">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rPr>
              <w:t>20</w:t>
            </w:r>
            <w:r>
              <w:rPr>
                <w:rFonts w:hint="eastAsia" w:ascii="宋体" w:hAnsi="宋体" w:cs="宋体"/>
                <w:color w:val="auto"/>
                <w:sz w:val="21"/>
                <w:szCs w:val="21"/>
                <w:highlight w:val="none"/>
              </w:rPr>
              <w:t>分</w:t>
            </w:r>
          </w:p>
        </w:tc>
      </w:tr>
      <w:tr w14:paraId="5472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8" w:type="dxa"/>
            <w:vMerge w:val="restart"/>
            <w:tcBorders>
              <w:top w:val="single" w:color="auto" w:sz="4" w:space="0"/>
              <w:left w:val="single" w:color="auto" w:sz="4" w:space="0"/>
              <w:right w:val="single" w:color="auto" w:sz="4" w:space="0"/>
            </w:tcBorders>
            <w:vAlign w:val="center"/>
          </w:tcPr>
          <w:p w14:paraId="792E6555">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3</w:t>
            </w:r>
          </w:p>
        </w:tc>
        <w:tc>
          <w:tcPr>
            <w:tcW w:w="877" w:type="dxa"/>
            <w:vMerge w:val="restart"/>
            <w:tcBorders>
              <w:top w:val="single" w:color="auto" w:sz="4" w:space="0"/>
              <w:left w:val="single" w:color="auto" w:sz="4" w:space="0"/>
              <w:right w:val="single" w:color="auto" w:sz="4" w:space="0"/>
            </w:tcBorders>
            <w:vAlign w:val="center"/>
          </w:tcPr>
          <w:p w14:paraId="5F723D67">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企业实力及业绩</w:t>
            </w:r>
          </w:p>
        </w:tc>
        <w:tc>
          <w:tcPr>
            <w:tcW w:w="6632" w:type="dxa"/>
            <w:tcBorders>
              <w:top w:val="single" w:color="auto" w:sz="4" w:space="0"/>
              <w:left w:val="single" w:color="auto" w:sz="4" w:space="0"/>
              <w:right w:val="single" w:color="auto" w:sz="4" w:space="0"/>
            </w:tcBorders>
            <w:vAlign w:val="center"/>
          </w:tcPr>
          <w:p w14:paraId="1BB892A1">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投标人具有ITSS信息技术服务运行维护资质证书、C</w:t>
            </w:r>
            <w:r>
              <w:rPr>
                <w:rFonts w:hint="default" w:ascii="宋体" w:hAnsi="宋体" w:eastAsia="宋体" w:cs="宋体"/>
                <w:color w:val="auto"/>
                <w:kern w:val="2"/>
                <w:sz w:val="21"/>
                <w:szCs w:val="21"/>
                <w:highlight w:val="none"/>
              </w:rPr>
              <w:t>CRC</w:t>
            </w:r>
            <w:r>
              <w:rPr>
                <w:rFonts w:hint="eastAsia" w:ascii="宋体" w:hAnsi="宋体" w:eastAsia="宋体" w:cs="宋体"/>
                <w:color w:val="auto"/>
                <w:kern w:val="2"/>
                <w:sz w:val="21"/>
                <w:szCs w:val="21"/>
                <w:highlight w:val="none"/>
              </w:rPr>
              <w:t>信息安全服务资质，C</w:t>
            </w:r>
            <w:r>
              <w:rPr>
                <w:rFonts w:hint="default" w:ascii="宋体" w:hAnsi="宋体" w:eastAsia="宋体" w:cs="宋体"/>
                <w:color w:val="auto"/>
                <w:kern w:val="2"/>
                <w:sz w:val="21"/>
                <w:szCs w:val="21"/>
                <w:highlight w:val="none"/>
              </w:rPr>
              <w:t>S</w:t>
            </w:r>
            <w:r>
              <w:rPr>
                <w:rFonts w:hint="eastAsia" w:ascii="宋体" w:hAnsi="宋体" w:eastAsia="宋体" w:cs="宋体"/>
                <w:color w:val="auto"/>
                <w:kern w:val="2"/>
                <w:sz w:val="21"/>
                <w:szCs w:val="21"/>
                <w:highlight w:val="none"/>
              </w:rPr>
              <w:t>系统集成企业能力标准资质证书的每个资质证书得1分，最高</w:t>
            </w:r>
            <w:r>
              <w:rPr>
                <w:rFonts w:hint="default"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rPr>
              <w:t>分；</w:t>
            </w:r>
          </w:p>
          <w:p w14:paraId="0AC233A6">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通过质量管理体系认证、环境管理体系认证、职业健康安全管理体系认证、信息安全管理体系认证、信息技术服务管理体系认证每个认证得1分，最高</w:t>
            </w:r>
            <w:r>
              <w:rPr>
                <w:rFonts w:hint="default"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rPr>
              <w:t>分；</w:t>
            </w:r>
          </w:p>
          <w:p w14:paraId="5D826B75">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（需提供证书影印件，否则不得分）</w:t>
            </w:r>
          </w:p>
        </w:tc>
        <w:tc>
          <w:tcPr>
            <w:tcW w:w="709" w:type="dxa"/>
            <w:tcBorders>
              <w:top w:val="single" w:color="auto" w:sz="4" w:space="0"/>
              <w:left w:val="single" w:color="auto" w:sz="4" w:space="0"/>
              <w:bottom w:val="single" w:color="auto" w:sz="4" w:space="0"/>
              <w:right w:val="single" w:color="auto" w:sz="4" w:space="0"/>
            </w:tcBorders>
            <w:vAlign w:val="center"/>
          </w:tcPr>
          <w:p w14:paraId="019B144E">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default" w:ascii="宋体" w:hAnsi="宋体" w:cs="Calibri"/>
                <w:color w:val="auto"/>
                <w:sz w:val="21"/>
                <w:szCs w:val="21"/>
                <w:highlight w:val="none"/>
              </w:rPr>
              <w:t>8</w:t>
            </w:r>
            <w:r>
              <w:rPr>
                <w:rFonts w:hint="eastAsia" w:ascii="宋体" w:hAnsi="宋体" w:cs="宋体"/>
                <w:color w:val="auto"/>
                <w:sz w:val="21"/>
                <w:szCs w:val="21"/>
                <w:highlight w:val="none"/>
              </w:rPr>
              <w:t>分</w:t>
            </w:r>
          </w:p>
        </w:tc>
      </w:tr>
      <w:tr w14:paraId="00C6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38" w:type="dxa"/>
            <w:vMerge w:val="continue"/>
            <w:tcBorders>
              <w:left w:val="single" w:color="auto" w:sz="4" w:space="0"/>
              <w:bottom w:val="single" w:color="auto" w:sz="4" w:space="0"/>
              <w:right w:val="single" w:color="auto" w:sz="4" w:space="0"/>
            </w:tcBorders>
            <w:vAlign w:val="center"/>
          </w:tcPr>
          <w:p w14:paraId="7056AA34">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p>
        </w:tc>
        <w:tc>
          <w:tcPr>
            <w:tcW w:w="877" w:type="dxa"/>
            <w:vMerge w:val="continue"/>
            <w:tcBorders>
              <w:left w:val="single" w:color="auto" w:sz="4" w:space="0"/>
              <w:bottom w:val="single" w:color="auto" w:sz="4" w:space="0"/>
              <w:right w:val="single" w:color="auto" w:sz="4" w:space="0"/>
            </w:tcBorders>
            <w:vAlign w:val="center"/>
          </w:tcPr>
          <w:p w14:paraId="638249AF">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6632" w:type="dxa"/>
            <w:tcBorders>
              <w:top w:val="single" w:color="auto" w:sz="4" w:space="0"/>
              <w:left w:val="single" w:color="auto" w:sz="4" w:space="0"/>
              <w:bottom w:val="single" w:color="auto" w:sz="4" w:space="0"/>
              <w:right w:val="single" w:color="auto" w:sz="4" w:space="0"/>
            </w:tcBorders>
            <w:vAlign w:val="center"/>
          </w:tcPr>
          <w:p w14:paraId="12C348F9">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投标供应商20</w:t>
            </w:r>
            <w:r>
              <w:rPr>
                <w:rFonts w:hint="default" w:ascii="宋体" w:hAnsi="宋体" w:eastAsia="宋体" w:cs="宋体"/>
                <w:color w:val="auto"/>
                <w:sz w:val="21"/>
                <w:szCs w:val="21"/>
                <w:highlight w:val="none"/>
              </w:rPr>
              <w:t>20</w:t>
            </w:r>
            <w:r>
              <w:rPr>
                <w:rFonts w:hint="eastAsia" w:ascii="宋体" w:hAnsi="宋体" w:eastAsia="宋体" w:cs="宋体"/>
                <w:color w:val="auto"/>
                <w:sz w:val="21"/>
                <w:szCs w:val="21"/>
                <w:highlight w:val="none"/>
              </w:rPr>
              <w:t>年1月1日至今（已合同签订时间为准）同类项目业绩，每提供一个得1分，最多得3分。</w:t>
            </w:r>
          </w:p>
          <w:p w14:paraId="12A0251A">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注：正在履约或已完成的业绩，提供合同复印件或相应发票复印件，未同时提供不得分。</w:t>
            </w:r>
          </w:p>
        </w:tc>
        <w:tc>
          <w:tcPr>
            <w:tcW w:w="709" w:type="dxa"/>
            <w:tcBorders>
              <w:top w:val="single" w:color="auto" w:sz="4" w:space="0"/>
              <w:left w:val="single" w:color="auto" w:sz="4" w:space="0"/>
              <w:bottom w:val="single" w:color="auto" w:sz="4" w:space="0"/>
              <w:right w:val="single" w:color="auto" w:sz="4" w:space="0"/>
            </w:tcBorders>
            <w:vAlign w:val="center"/>
          </w:tcPr>
          <w:p w14:paraId="59AA5B24">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rPr>
              <w:t>3</w:t>
            </w:r>
            <w:r>
              <w:rPr>
                <w:rFonts w:hint="eastAsia" w:ascii="宋体" w:hAnsi="宋体" w:cs="宋体"/>
                <w:color w:val="auto"/>
                <w:sz w:val="21"/>
                <w:szCs w:val="21"/>
                <w:highlight w:val="none"/>
              </w:rPr>
              <w:t>分</w:t>
            </w:r>
          </w:p>
        </w:tc>
      </w:tr>
      <w:tr w14:paraId="5F6E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38" w:type="dxa"/>
            <w:vMerge w:val="restart"/>
            <w:tcBorders>
              <w:top w:val="single" w:color="auto" w:sz="4" w:space="0"/>
              <w:left w:val="single" w:color="auto" w:sz="4" w:space="0"/>
              <w:right w:val="single" w:color="auto" w:sz="4" w:space="0"/>
            </w:tcBorders>
            <w:vAlign w:val="center"/>
          </w:tcPr>
          <w:p w14:paraId="5E7B31F5">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4</w:t>
            </w:r>
          </w:p>
        </w:tc>
        <w:tc>
          <w:tcPr>
            <w:tcW w:w="877" w:type="dxa"/>
            <w:vMerge w:val="restart"/>
            <w:tcBorders>
              <w:top w:val="single" w:color="auto" w:sz="4" w:space="0"/>
              <w:left w:val="single" w:color="auto" w:sz="4" w:space="0"/>
              <w:right w:val="single" w:color="auto" w:sz="4" w:space="0"/>
            </w:tcBorders>
            <w:vAlign w:val="center"/>
          </w:tcPr>
          <w:p w14:paraId="0570CAE1">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团队人员配备</w:t>
            </w:r>
          </w:p>
        </w:tc>
        <w:tc>
          <w:tcPr>
            <w:tcW w:w="6632" w:type="dxa"/>
            <w:tcBorders>
              <w:top w:val="single" w:color="auto" w:sz="4" w:space="0"/>
              <w:left w:val="single" w:color="auto" w:sz="4" w:space="0"/>
              <w:bottom w:val="single" w:color="auto" w:sz="4" w:space="0"/>
              <w:right w:val="single" w:color="auto" w:sz="4" w:space="0"/>
            </w:tcBorders>
            <w:vAlign w:val="center"/>
          </w:tcPr>
          <w:p w14:paraId="6AFCF452">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拟派入本项目的项目负责人具有信息系统项目管理师、高级项目经理、信息安全工程师、CISAW信息安全保障人员认证证书的每个得1分，最高得</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14:paraId="5EA42B05">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提供近3个月的社保证明及相应证书复印件，未同时提供不计入评审。</w:t>
            </w:r>
          </w:p>
        </w:tc>
        <w:tc>
          <w:tcPr>
            <w:tcW w:w="709" w:type="dxa"/>
            <w:tcBorders>
              <w:top w:val="single" w:color="auto" w:sz="4" w:space="0"/>
              <w:left w:val="single" w:color="auto" w:sz="4" w:space="0"/>
              <w:bottom w:val="single" w:color="auto" w:sz="4" w:space="0"/>
              <w:right w:val="single" w:color="auto" w:sz="4" w:space="0"/>
            </w:tcBorders>
            <w:vAlign w:val="center"/>
          </w:tcPr>
          <w:p w14:paraId="1DB7894E">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r>
      <w:tr w14:paraId="3405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8" w:type="dxa"/>
            <w:vMerge w:val="continue"/>
            <w:tcBorders>
              <w:left w:val="single" w:color="auto" w:sz="4" w:space="0"/>
              <w:right w:val="single" w:color="auto" w:sz="4" w:space="0"/>
            </w:tcBorders>
            <w:vAlign w:val="center"/>
          </w:tcPr>
          <w:p w14:paraId="7A6613AC">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p>
        </w:tc>
        <w:tc>
          <w:tcPr>
            <w:tcW w:w="877" w:type="dxa"/>
            <w:vMerge w:val="continue"/>
            <w:tcBorders>
              <w:left w:val="single" w:color="auto" w:sz="4" w:space="0"/>
              <w:right w:val="single" w:color="auto" w:sz="4" w:space="0"/>
            </w:tcBorders>
            <w:vAlign w:val="center"/>
          </w:tcPr>
          <w:p w14:paraId="50913CF2">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6632" w:type="dxa"/>
            <w:tcBorders>
              <w:top w:val="single" w:color="auto" w:sz="4" w:space="0"/>
              <w:left w:val="single" w:color="auto" w:sz="4" w:space="0"/>
              <w:bottom w:val="single" w:color="auto" w:sz="4" w:space="0"/>
              <w:right w:val="single" w:color="auto" w:sz="4" w:space="0"/>
            </w:tcBorders>
            <w:vAlign w:val="center"/>
          </w:tcPr>
          <w:p w14:paraId="720D84D5">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拟派入本项目的技术负责人具有具有信息系统项目管理师、CISP国家注册信息安全工程师、CISAW信息安全保障人员、网络工程师证书的每个得1分，最高得</w:t>
            </w:r>
            <w:r>
              <w:rPr>
                <w:rFonts w:hint="default"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rPr>
              <w:t>分；</w:t>
            </w:r>
          </w:p>
          <w:p w14:paraId="5AB9D107">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提供近3个月的社保证明及相应证书复印件，未同时提供不计入评审。</w:t>
            </w:r>
          </w:p>
        </w:tc>
        <w:tc>
          <w:tcPr>
            <w:tcW w:w="709" w:type="dxa"/>
            <w:tcBorders>
              <w:top w:val="single" w:color="auto" w:sz="4" w:space="0"/>
              <w:left w:val="single" w:color="auto" w:sz="4" w:space="0"/>
              <w:bottom w:val="single" w:color="auto" w:sz="4" w:space="0"/>
              <w:right w:val="single" w:color="auto" w:sz="4" w:space="0"/>
            </w:tcBorders>
            <w:vAlign w:val="center"/>
          </w:tcPr>
          <w:p w14:paraId="6ECA5520">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default" w:ascii="宋体" w:hAnsi="宋体" w:cs="宋体"/>
                <w:color w:val="auto"/>
                <w:sz w:val="21"/>
                <w:szCs w:val="21"/>
                <w:highlight w:val="none"/>
              </w:rPr>
              <w:t>4</w:t>
            </w:r>
            <w:r>
              <w:rPr>
                <w:rFonts w:hint="eastAsia" w:ascii="宋体" w:hAnsi="宋体" w:cs="宋体"/>
                <w:color w:val="auto"/>
                <w:sz w:val="21"/>
                <w:szCs w:val="21"/>
                <w:highlight w:val="none"/>
              </w:rPr>
              <w:t>分</w:t>
            </w:r>
          </w:p>
        </w:tc>
      </w:tr>
      <w:tr w14:paraId="6865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538" w:type="dxa"/>
            <w:vMerge w:val="continue"/>
            <w:tcBorders>
              <w:left w:val="single" w:color="auto" w:sz="4" w:space="0"/>
              <w:bottom w:val="single" w:color="auto" w:sz="4" w:space="0"/>
              <w:right w:val="single" w:color="auto" w:sz="4" w:space="0"/>
            </w:tcBorders>
            <w:vAlign w:val="center"/>
          </w:tcPr>
          <w:p w14:paraId="206D4205">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p>
        </w:tc>
        <w:tc>
          <w:tcPr>
            <w:tcW w:w="877" w:type="dxa"/>
            <w:vMerge w:val="continue"/>
            <w:tcBorders>
              <w:left w:val="single" w:color="auto" w:sz="4" w:space="0"/>
              <w:bottom w:val="single" w:color="auto" w:sz="4" w:space="0"/>
              <w:right w:val="single" w:color="auto" w:sz="4" w:space="0"/>
            </w:tcBorders>
            <w:vAlign w:val="center"/>
          </w:tcPr>
          <w:p w14:paraId="02F7B475">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6632" w:type="dxa"/>
            <w:tcBorders>
              <w:top w:val="single" w:color="auto" w:sz="4" w:space="0"/>
              <w:left w:val="single" w:color="auto" w:sz="4" w:space="0"/>
              <w:bottom w:val="single" w:color="auto" w:sz="4" w:space="0"/>
              <w:right w:val="single" w:color="auto" w:sz="4" w:space="0"/>
            </w:tcBorders>
            <w:vAlign w:val="center"/>
          </w:tcPr>
          <w:p w14:paraId="6BECFCB5">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拟派入本项目的实施团队成员具备信息安全系统、云计算、数据库、网络系统、国产信创系统类、所投产品厂家认证工程师的每类证书得1分，最高</w:t>
            </w:r>
            <w:r>
              <w:rPr>
                <w:rFonts w:hint="default" w:ascii="宋体" w:hAnsi="宋体" w:eastAsia="宋体" w:cs="宋体"/>
                <w:color w:val="auto"/>
                <w:kern w:val="2"/>
                <w:sz w:val="21"/>
                <w:szCs w:val="21"/>
                <w:highlight w:val="none"/>
              </w:rPr>
              <w:t>6</w:t>
            </w:r>
            <w:r>
              <w:rPr>
                <w:rFonts w:hint="eastAsia" w:ascii="宋体" w:hAnsi="宋体" w:eastAsia="宋体" w:cs="宋体"/>
                <w:color w:val="auto"/>
                <w:kern w:val="2"/>
                <w:sz w:val="21"/>
                <w:szCs w:val="21"/>
                <w:highlight w:val="none"/>
              </w:rPr>
              <w:t>分；提供近3个月其中1个月的社保证明及相应证书复印件，未同时提供不计入评审。</w:t>
            </w:r>
          </w:p>
        </w:tc>
        <w:tc>
          <w:tcPr>
            <w:tcW w:w="709" w:type="dxa"/>
            <w:tcBorders>
              <w:top w:val="single" w:color="auto" w:sz="4" w:space="0"/>
              <w:left w:val="single" w:color="auto" w:sz="4" w:space="0"/>
              <w:bottom w:val="single" w:color="auto" w:sz="4" w:space="0"/>
              <w:right w:val="single" w:color="auto" w:sz="4" w:space="0"/>
            </w:tcBorders>
            <w:vAlign w:val="center"/>
          </w:tcPr>
          <w:p w14:paraId="29441983">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default" w:ascii="宋体" w:hAnsi="宋体" w:cs="宋体"/>
                <w:color w:val="auto"/>
                <w:sz w:val="21"/>
                <w:szCs w:val="21"/>
                <w:highlight w:val="none"/>
              </w:rPr>
              <w:t>6</w:t>
            </w:r>
            <w:r>
              <w:rPr>
                <w:rFonts w:hint="eastAsia" w:ascii="宋体" w:hAnsi="宋体" w:cs="宋体"/>
                <w:color w:val="auto"/>
                <w:sz w:val="21"/>
                <w:szCs w:val="21"/>
                <w:highlight w:val="none"/>
              </w:rPr>
              <w:t>分</w:t>
            </w:r>
          </w:p>
        </w:tc>
      </w:tr>
      <w:tr w14:paraId="05BF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538" w:type="dxa"/>
            <w:tcBorders>
              <w:top w:val="single" w:color="auto" w:sz="4" w:space="0"/>
              <w:left w:val="single" w:color="auto" w:sz="4" w:space="0"/>
              <w:right w:val="single" w:color="auto" w:sz="4" w:space="0"/>
            </w:tcBorders>
            <w:vAlign w:val="center"/>
          </w:tcPr>
          <w:p w14:paraId="03C48789">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5</w:t>
            </w:r>
          </w:p>
        </w:tc>
        <w:tc>
          <w:tcPr>
            <w:tcW w:w="877" w:type="dxa"/>
            <w:tcBorders>
              <w:top w:val="single" w:color="auto" w:sz="4" w:space="0"/>
              <w:left w:val="single" w:color="auto" w:sz="4" w:space="0"/>
              <w:right w:val="single" w:color="auto" w:sz="4" w:space="0"/>
            </w:tcBorders>
            <w:vAlign w:val="center"/>
          </w:tcPr>
          <w:p w14:paraId="29D321F1">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tc>
        <w:tc>
          <w:tcPr>
            <w:tcW w:w="6632" w:type="dxa"/>
            <w:tcBorders>
              <w:top w:val="single" w:color="auto" w:sz="4" w:space="0"/>
              <w:left w:val="single" w:color="auto" w:sz="4" w:space="0"/>
              <w:right w:val="single" w:color="auto" w:sz="4" w:space="0"/>
            </w:tcBorders>
            <w:vAlign w:val="center"/>
          </w:tcPr>
          <w:p w14:paraId="2F33526F">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根据投标人的售后服务方案（包括本地服务网点情况、售后服务人员数量、服务时效等）进行评审：</w:t>
            </w:r>
          </w:p>
          <w:p w14:paraId="7CF9AE02">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（1）针对本项目，服务方案措施明确，能在接到采购人通知1小时内响应，人员配备充足，备品备件较多的得6-4分；</w:t>
            </w:r>
          </w:p>
          <w:p w14:paraId="60BD63E1">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（2）针对本项目服务方案措施比较明确，在3小时内响应，人员配置一般，备品备件较多的得3.9-2分；  </w:t>
            </w:r>
          </w:p>
          <w:p w14:paraId="0772619D">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（3）投标人服务承诺片面，响应时间4小时内响应，无具体的服务人员，备品备件数量少的得1.9-0分。 </w:t>
            </w:r>
          </w:p>
          <w:p w14:paraId="1074B231">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注：服务网点需提供营业执照/办公用房租赁证明复印件，售后服务人员需提供连续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个月在应答人单位的社保局开具的社保证明、认证证书的扫描件或复印件.</w:t>
            </w:r>
          </w:p>
        </w:tc>
        <w:tc>
          <w:tcPr>
            <w:tcW w:w="709" w:type="dxa"/>
            <w:tcBorders>
              <w:top w:val="single" w:color="auto" w:sz="4" w:space="0"/>
              <w:left w:val="single" w:color="auto" w:sz="4" w:space="0"/>
              <w:bottom w:val="single" w:color="auto" w:sz="4" w:space="0"/>
              <w:right w:val="single" w:color="auto" w:sz="4" w:space="0"/>
            </w:tcBorders>
            <w:vAlign w:val="center"/>
          </w:tcPr>
          <w:p w14:paraId="68B9A788">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rPr>
              <w:t>6</w:t>
            </w:r>
            <w:r>
              <w:rPr>
                <w:rFonts w:hint="eastAsia" w:ascii="宋体" w:hAnsi="宋体" w:cs="宋体"/>
                <w:color w:val="auto"/>
                <w:sz w:val="21"/>
                <w:szCs w:val="21"/>
                <w:highlight w:val="none"/>
              </w:rPr>
              <w:t>分</w:t>
            </w:r>
          </w:p>
        </w:tc>
      </w:tr>
      <w:tr w14:paraId="4634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14:paraId="637BACCD">
            <w:pPr>
              <w:keepNext w:val="0"/>
              <w:keepLines w:val="0"/>
              <w:suppressLineNumbers w:val="0"/>
              <w:snapToGrid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6</w:t>
            </w:r>
          </w:p>
        </w:tc>
        <w:tc>
          <w:tcPr>
            <w:tcW w:w="877" w:type="dxa"/>
            <w:tcBorders>
              <w:top w:val="single" w:color="auto" w:sz="4" w:space="0"/>
              <w:left w:val="single" w:color="auto" w:sz="4" w:space="0"/>
              <w:bottom w:val="single" w:color="auto" w:sz="4" w:space="0"/>
              <w:right w:val="single" w:color="auto" w:sz="4" w:space="0"/>
            </w:tcBorders>
            <w:vAlign w:val="center"/>
          </w:tcPr>
          <w:p w14:paraId="0D1BA442">
            <w:pPr>
              <w:pStyle w:val="98"/>
              <w:keepNext w:val="0"/>
              <w:keepLines w:val="0"/>
              <w:widowControl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培训方案</w:t>
            </w:r>
          </w:p>
        </w:tc>
        <w:tc>
          <w:tcPr>
            <w:tcW w:w="6632" w:type="dxa"/>
            <w:tcBorders>
              <w:top w:val="single" w:color="auto" w:sz="4" w:space="0"/>
              <w:left w:val="single" w:color="auto" w:sz="4" w:space="0"/>
              <w:bottom w:val="single" w:color="auto" w:sz="4" w:space="0"/>
              <w:right w:val="single" w:color="auto" w:sz="4" w:space="0"/>
            </w:tcBorders>
            <w:vAlign w:val="center"/>
          </w:tcPr>
          <w:p w14:paraId="6B47B248">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根据供应商针对本项目制定的培训方案（对用户故障的响应速度、处理、定期巡检和培训内容、培训人数及资历等情况）的合理性、科学性、可行性等情况进行评审：</w:t>
            </w:r>
          </w:p>
          <w:p w14:paraId="722AD87D">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（1）方案考虑周全、可操作性强得</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分，</w:t>
            </w:r>
          </w:p>
          <w:p w14:paraId="5612A5D2">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（2）可操作性一般得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1C00517">
            <w:pPr>
              <w:pStyle w:val="98"/>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（3）方案考虑不够周全、可操作性较差得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.9-0分。</w:t>
            </w:r>
          </w:p>
        </w:tc>
        <w:tc>
          <w:tcPr>
            <w:tcW w:w="709" w:type="dxa"/>
            <w:tcBorders>
              <w:top w:val="single" w:color="auto" w:sz="4" w:space="0"/>
              <w:left w:val="single" w:color="auto" w:sz="4" w:space="0"/>
              <w:right w:val="single" w:color="auto" w:sz="4" w:space="0"/>
            </w:tcBorders>
            <w:vAlign w:val="center"/>
          </w:tcPr>
          <w:p w14:paraId="6BE7EDAD">
            <w:pPr>
              <w:keepNext w:val="0"/>
              <w:keepLines w:val="0"/>
              <w:suppressLineNumbers w:val="0"/>
              <w:snapToGrid w:val="0"/>
              <w:spacing w:before="0" w:beforeAutospacing="0" w:after="0" w:afterAutospacing="0"/>
              <w:ind w:left="0" w:right="0"/>
              <w:jc w:val="center"/>
              <w:rPr>
                <w:rFonts w:hint="default" w:ascii="宋体" w:hAnsi="宋体" w:cs="Calibri"/>
                <w:color w:val="auto"/>
                <w:sz w:val="21"/>
                <w:szCs w:val="21"/>
                <w:highlight w:val="none"/>
              </w:rPr>
            </w:pPr>
            <w:r>
              <w:rPr>
                <w:rFonts w:hint="eastAsia" w:ascii="宋体" w:hAnsi="宋体" w:cs="Calibri"/>
                <w:color w:val="auto"/>
                <w:sz w:val="21"/>
                <w:szCs w:val="21"/>
                <w:highlight w:val="none"/>
                <w:lang w:val="en-US" w:eastAsia="zh-CN"/>
              </w:rPr>
              <w:t>4</w:t>
            </w:r>
            <w:r>
              <w:rPr>
                <w:rFonts w:hint="eastAsia" w:ascii="宋体" w:hAnsi="宋体" w:cs="宋体"/>
                <w:color w:val="auto"/>
                <w:sz w:val="21"/>
                <w:szCs w:val="21"/>
                <w:highlight w:val="none"/>
              </w:rPr>
              <w:t>分</w:t>
            </w:r>
          </w:p>
        </w:tc>
      </w:tr>
    </w:tbl>
    <w:p w14:paraId="352FCB24">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lang w:bidi="ar"/>
        </w:rPr>
        <w:t>资信技术标</w:t>
      </w:r>
      <w:r>
        <w:rPr>
          <w:rFonts w:hint="eastAsia" w:ascii="宋体" w:hAnsi="宋体"/>
          <w:b/>
          <w:color w:val="auto"/>
          <w:sz w:val="24"/>
          <w:highlight w:val="none"/>
        </w:rPr>
        <w:t>分值共70分。由评标委员会成员统一打分。</w:t>
      </w:r>
    </w:p>
    <w:p w14:paraId="243E45C3">
      <w:pPr>
        <w:spacing w:line="360" w:lineRule="auto"/>
        <w:ind w:firstLine="482" w:firstLineChars="200"/>
        <w:rPr>
          <w:rFonts w:hint="eastAsia" w:ascii="宋体" w:hAnsi="宋体"/>
          <w:b/>
          <w:color w:val="auto"/>
          <w:sz w:val="24"/>
          <w:highlight w:val="none"/>
          <w:lang w:bidi="ar"/>
        </w:rPr>
      </w:pPr>
      <w:bookmarkStart w:id="25" w:name="EB217c00f118724f6bb5745c5cec252819"/>
      <w:r>
        <w:rPr>
          <w:rFonts w:hint="eastAsia" w:ascii="宋体" w:hAnsi="宋体"/>
          <w:b/>
          <w:color w:val="auto"/>
          <w:sz w:val="24"/>
          <w:highlight w:val="none"/>
          <w:lang w:bidi="ar"/>
        </w:rPr>
        <w:t>（三）商务标评定分值为30分。（以下除注明外，计算结果小数点后保留2位，第3位四舍五入）。</w:t>
      </w:r>
    </w:p>
    <w:p w14:paraId="144F7218">
      <w:pPr>
        <w:pStyle w:val="7"/>
        <w:spacing w:before="0" w:after="0" w:line="360" w:lineRule="auto"/>
        <w:ind w:firstLine="241" w:firstLineChars="100"/>
        <w:rPr>
          <w:rFonts w:hint="eastAsia" w:ascii="宋体" w:hAnsi="宋体"/>
          <w:color w:val="auto"/>
          <w:sz w:val="24"/>
          <w:szCs w:val="22"/>
          <w:highlight w:val="none"/>
        </w:rPr>
      </w:pPr>
      <w:r>
        <w:rPr>
          <w:rFonts w:hint="eastAsia" w:ascii="宋体" w:hAnsi="宋体"/>
          <w:color w:val="auto"/>
          <w:sz w:val="24"/>
          <w:szCs w:val="22"/>
          <w:highlight w:val="none"/>
        </w:rPr>
        <w:t>本项目采购人设有报价上限，上限价为</w:t>
      </w:r>
      <w:r>
        <w:rPr>
          <w:rFonts w:ascii="宋体" w:hAnsi="宋体"/>
          <w:color w:val="auto"/>
          <w:sz w:val="24"/>
          <w:szCs w:val="22"/>
          <w:highlight w:val="none"/>
          <w:u w:val="single"/>
        </w:rPr>
        <w:t>8</w:t>
      </w:r>
      <w:r>
        <w:rPr>
          <w:rFonts w:hint="eastAsia" w:ascii="宋体" w:hAnsi="宋体"/>
          <w:color w:val="auto"/>
          <w:sz w:val="24"/>
          <w:szCs w:val="22"/>
          <w:highlight w:val="none"/>
          <w:u w:val="single"/>
          <w:lang w:val="en-US" w:eastAsia="zh-CN"/>
        </w:rPr>
        <w:t>2</w:t>
      </w:r>
      <w:r>
        <w:rPr>
          <w:rFonts w:hint="eastAsia" w:ascii="宋体" w:hAnsi="宋体"/>
          <w:color w:val="auto"/>
          <w:sz w:val="24"/>
          <w:szCs w:val="22"/>
          <w:highlight w:val="none"/>
          <w:u w:val="single"/>
        </w:rPr>
        <w:t>0000</w:t>
      </w:r>
      <w:r>
        <w:rPr>
          <w:rFonts w:hint="eastAsia" w:ascii="宋体" w:hAnsi="宋体"/>
          <w:color w:val="auto"/>
          <w:sz w:val="24"/>
          <w:szCs w:val="22"/>
          <w:highlight w:val="none"/>
        </w:rPr>
        <w:t>元，投标报价高于上限价的，作无效标处理。当所有投标人的投标报价均高于上限价的，本项目重新招标。</w:t>
      </w:r>
    </w:p>
    <w:p w14:paraId="60DFDEA2">
      <w:pPr>
        <w:spacing w:line="360" w:lineRule="auto"/>
        <w:ind w:firstLine="470" w:firstLineChars="196"/>
        <w:rPr>
          <w:rFonts w:ascii="宋体" w:hAnsi="宋体"/>
          <w:bCs/>
          <w:color w:val="auto"/>
          <w:sz w:val="24"/>
          <w:szCs w:val="22"/>
          <w:highlight w:val="none"/>
        </w:rPr>
      </w:pPr>
      <w:r>
        <w:rPr>
          <w:rFonts w:hint="eastAsia" w:ascii="宋体" w:hAnsi="宋体"/>
          <w:bCs/>
          <w:color w:val="auto"/>
          <w:sz w:val="24"/>
          <w:szCs w:val="20"/>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E5D42A">
      <w:pPr>
        <w:spacing w:line="360" w:lineRule="auto"/>
        <w:ind w:firstLine="480"/>
        <w:rPr>
          <w:rFonts w:ascii="宋体" w:hAnsi="宋体" w:cs="宋体"/>
          <w:color w:val="auto"/>
          <w:sz w:val="24"/>
          <w:szCs w:val="22"/>
          <w:highlight w:val="none"/>
        </w:rPr>
      </w:pPr>
      <w:r>
        <w:rPr>
          <w:rFonts w:hint="eastAsia" w:ascii="宋体" w:hAnsi="宋体" w:cs="宋体"/>
          <w:color w:val="auto"/>
          <w:sz w:val="24"/>
          <w:szCs w:val="22"/>
          <w:highlight w:val="none"/>
        </w:rPr>
        <w:t>价格分采用低价优先法计算，以最低有效报价作为评标基准价，其价格分为30分。其他投标人的价格分统一按照下列公式计算：</w:t>
      </w:r>
    </w:p>
    <w:p w14:paraId="6E84B289">
      <w:pPr>
        <w:spacing w:line="360" w:lineRule="auto"/>
        <w:ind w:firstLine="470" w:firstLineChars="196"/>
        <w:rPr>
          <w:rFonts w:ascii="宋体" w:hAnsi="宋体"/>
          <w:b/>
          <w:bCs/>
          <w:i/>
          <w:color w:val="auto"/>
          <w:sz w:val="24"/>
          <w:szCs w:val="22"/>
          <w:highlight w:val="none"/>
        </w:rPr>
      </w:pPr>
      <w:r>
        <w:rPr>
          <w:rFonts w:hint="eastAsia" w:ascii="宋体" w:hAnsi="宋体" w:cs="宋体"/>
          <w:color w:val="auto"/>
          <w:sz w:val="24"/>
          <w:szCs w:val="22"/>
          <w:highlight w:val="none"/>
        </w:rPr>
        <w:t>商务标得分=(评标基准价／投标报价)×30</w:t>
      </w:r>
    </w:p>
    <w:p w14:paraId="0C74E269">
      <w:pPr>
        <w:spacing w:line="360" w:lineRule="auto"/>
        <w:ind w:left="420"/>
        <w:rPr>
          <w:rFonts w:ascii="宋体" w:hAnsi="宋体"/>
          <w:b/>
          <w:bCs/>
          <w:color w:val="auto"/>
          <w:sz w:val="24"/>
          <w:highlight w:val="none"/>
        </w:rPr>
      </w:pPr>
      <w:r>
        <w:rPr>
          <w:rFonts w:hint="eastAsia" w:ascii="宋体" w:hAnsi="宋体"/>
          <w:b/>
          <w:bCs/>
          <w:color w:val="auto"/>
          <w:sz w:val="24"/>
          <w:highlight w:val="none"/>
        </w:rPr>
        <w:t>（4）总得分的统计及中标候选人的确定。</w:t>
      </w:r>
    </w:p>
    <w:p w14:paraId="54B35A68">
      <w:pPr>
        <w:spacing w:line="360" w:lineRule="auto"/>
        <w:ind w:left="420"/>
        <w:rPr>
          <w:rFonts w:ascii="宋体" w:hAnsi="宋体"/>
          <w:bCs/>
          <w:color w:val="auto"/>
          <w:sz w:val="24"/>
          <w:highlight w:val="none"/>
        </w:rPr>
      </w:pPr>
      <w:r>
        <w:rPr>
          <w:rFonts w:hint="eastAsia" w:ascii="宋体" w:hAnsi="宋体"/>
          <w:b/>
          <w:color w:val="auto"/>
          <w:sz w:val="24"/>
          <w:highlight w:val="none"/>
        </w:rPr>
        <w:t>评标总得分的确定：</w:t>
      </w:r>
    </w:p>
    <w:p w14:paraId="277E65EA">
      <w:pPr>
        <w:spacing w:line="360" w:lineRule="auto"/>
        <w:ind w:left="420"/>
        <w:rPr>
          <w:rFonts w:ascii="宋体" w:hAnsi="宋体"/>
          <w:bCs/>
          <w:color w:val="auto"/>
          <w:sz w:val="24"/>
          <w:highlight w:val="none"/>
        </w:rPr>
      </w:pPr>
      <w:r>
        <w:rPr>
          <w:rFonts w:hint="eastAsia" w:ascii="宋体" w:hAnsi="宋体"/>
          <w:bCs/>
          <w:color w:val="auto"/>
          <w:sz w:val="24"/>
          <w:highlight w:val="none"/>
        </w:rPr>
        <w:t>投标人的总得分＝资信技术标得分＋商务标得分。</w:t>
      </w:r>
    </w:p>
    <w:p w14:paraId="523F949E">
      <w:pPr>
        <w:spacing w:line="360" w:lineRule="auto"/>
        <w:ind w:left="420"/>
        <w:rPr>
          <w:rFonts w:ascii="宋体" w:hAnsi="宋体"/>
          <w:b/>
          <w:color w:val="auto"/>
          <w:sz w:val="24"/>
          <w:highlight w:val="none"/>
        </w:rPr>
      </w:pPr>
      <w:r>
        <w:rPr>
          <w:rFonts w:hint="eastAsia" w:ascii="宋体" w:hAnsi="宋体"/>
          <w:b/>
          <w:color w:val="auto"/>
          <w:sz w:val="24"/>
          <w:highlight w:val="none"/>
        </w:rPr>
        <w:t>中标候选人的确定：</w:t>
      </w:r>
    </w:p>
    <w:p w14:paraId="72D3DACB">
      <w:pPr>
        <w:adjustRightInd w:val="0"/>
        <w:spacing w:line="360" w:lineRule="auto"/>
        <w:ind w:firstLine="720" w:firstLineChars="300"/>
        <w:rPr>
          <w:rFonts w:ascii="宋体" w:hAnsi="宋体"/>
          <w:color w:val="auto"/>
          <w:sz w:val="32"/>
          <w:highlight w:val="none"/>
        </w:rPr>
      </w:pPr>
      <w:r>
        <w:rPr>
          <w:rFonts w:hint="eastAsia" w:ascii="宋体" w:hAnsi="宋体"/>
          <w:bCs/>
          <w:color w:val="auto"/>
          <w:sz w:val="24"/>
          <w:highlight w:val="none"/>
        </w:rPr>
        <w:t>中标候选人的排名次序按投标人总得分从高到低顺序排列，即总得分最高者为第一中标候选人，次高的为第二中标候选人。若出现总得分相同时，按资信技术文件得分由高到低顺序排列；若以上均相同的，则抽签确定。</w:t>
      </w:r>
    </w:p>
    <w:bookmarkEnd w:id="25"/>
    <w:p w14:paraId="6A95128D">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（四）评审要求</w:t>
      </w:r>
    </w:p>
    <w:p w14:paraId="00A7D01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hAnsi="宋体"/>
          <w:bCs/>
          <w:color w:val="auto"/>
          <w:sz w:val="24"/>
          <w:highlight w:val="none"/>
          <w:lang w:val="zh-CN"/>
        </w:rPr>
        <w:t>客观</w:t>
      </w:r>
      <w:r>
        <w:rPr>
          <w:rFonts w:hint="eastAsia" w:ascii="宋体" w:hAnsi="宋体"/>
          <w:bCs/>
          <w:color w:val="auto"/>
          <w:sz w:val="24"/>
          <w:highlight w:val="none"/>
        </w:rPr>
        <w:t>评分项的分值</w:t>
      </w:r>
      <w:r>
        <w:rPr>
          <w:rFonts w:hint="eastAsia" w:ascii="宋体" w:hAnsi="宋体"/>
          <w:bCs/>
          <w:color w:val="auto"/>
          <w:sz w:val="24"/>
          <w:highlight w:val="none"/>
          <w:lang w:val="zh-CN"/>
        </w:rPr>
        <w:t>应当一致。</w:t>
      </w:r>
    </w:p>
    <w:p w14:paraId="6AD0840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（2）对于投标文件中含义不明确、同类问题表述不一致或者有明显文字和计算错误的内容，评标委员会应当要求投标人作出必要的澄清、说明或者补正。</w:t>
      </w:r>
    </w:p>
    <w:p w14:paraId="43FEE9FC">
      <w:pPr>
        <w:pStyle w:val="36"/>
        <w:widowControl w:val="0"/>
        <w:spacing w:before="0" w:beforeAutospacing="0" w:after="0" w:afterAutospacing="0" w:line="360" w:lineRule="auto"/>
        <w:ind w:firstLine="480" w:firstLineChars="200"/>
        <w:jc w:val="both"/>
        <w:rPr>
          <w:bCs/>
          <w:color w:val="auto"/>
          <w:highlight w:val="none"/>
        </w:rPr>
      </w:pPr>
      <w:r>
        <w:rPr>
          <w:rFonts w:hint="eastAsia" w:ascii="宋体" w:hAnsi="宋体" w:cs="宋体"/>
          <w:color w:val="auto"/>
          <w:sz w:val="24"/>
          <w:highlight w:val="none"/>
        </w:rPr>
        <w:t>（3）投标人的澄清、说明或者补正采用书面形式，并加盖公章或者由法定代表人或授权代表签字，且不得超出投标文件的范围或者改变投标文件的实质性内容。</w:t>
      </w:r>
    </w:p>
    <w:p w14:paraId="1CA9D755">
      <w:pPr>
        <w:pStyle w:val="29"/>
        <w:spacing w:line="360" w:lineRule="auto"/>
        <w:rPr>
          <w:rFonts w:ascii="黑体" w:eastAsia="黑体"/>
          <w:b/>
          <w:color w:val="auto"/>
          <w:sz w:val="32"/>
          <w:szCs w:val="32"/>
          <w:highlight w:val="none"/>
        </w:rPr>
      </w:pPr>
      <w:r>
        <w:rPr>
          <w:color w:val="auto"/>
          <w:highlight w:val="none"/>
        </w:rPr>
        <w:br w:type="page"/>
      </w:r>
      <w:bookmarkEnd w:id="22"/>
      <w:bookmarkEnd w:id="23"/>
      <w:bookmarkEnd w:id="24"/>
    </w:p>
    <w:p w14:paraId="1292B818">
      <w:pPr>
        <w:pStyle w:val="29"/>
        <w:spacing w:line="360" w:lineRule="auto"/>
        <w:rPr>
          <w:rFonts w:ascii="黑体" w:eastAsia="黑体"/>
          <w:b/>
          <w:color w:val="auto"/>
          <w:sz w:val="32"/>
          <w:szCs w:val="32"/>
          <w:highlight w:val="none"/>
        </w:rPr>
      </w:pPr>
      <w:bookmarkStart w:id="26" w:name="_Toc251160747"/>
      <w:r>
        <w:rPr>
          <w:rFonts w:hint="eastAsia" w:ascii="黑体" w:eastAsia="黑体"/>
          <w:b/>
          <w:color w:val="auto"/>
          <w:sz w:val="32"/>
          <w:szCs w:val="32"/>
          <w:highlight w:val="none"/>
        </w:rPr>
        <w:t>第五章 合同格式（仅参考）</w:t>
      </w:r>
    </w:p>
    <w:p w14:paraId="44B1DC6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采购人：</w:t>
      </w:r>
      <w:r>
        <w:rPr>
          <w:rFonts w:hint="eastAsia" w:ascii="宋体" w:hAnsi="宋体" w:cs="宋体"/>
          <w:bCs/>
          <w:color w:val="auto"/>
          <w:sz w:val="24"/>
          <w:highlight w:val="none"/>
          <w:u w:val="single"/>
        </w:rPr>
        <w:t xml:space="preserve"> 台州市开发投资集团有限公司 </w:t>
      </w:r>
      <w:r>
        <w:rPr>
          <w:rFonts w:hint="eastAsia" w:ascii="宋体" w:hAnsi="宋体" w:cs="宋体"/>
          <w:bCs/>
          <w:color w:val="auto"/>
          <w:sz w:val="24"/>
          <w:highlight w:val="none"/>
        </w:rPr>
        <w:t>（以下简称甲方）</w:t>
      </w:r>
    </w:p>
    <w:p w14:paraId="56215AA6">
      <w:pPr>
        <w:pStyle w:val="22"/>
        <w:snapToGrid w:val="0"/>
        <w:spacing w:before="0" w:beforeLines="0" w:after="0" w:afterLines="0" w:line="360" w:lineRule="auto"/>
        <w:ind w:firstLine="480" w:firstLineChars="200"/>
        <w:rPr>
          <w:rFonts w:hAnsi="宋体" w:cs="宋体"/>
          <w:b w:val="0"/>
          <w:color w:val="auto"/>
          <w:highlight w:val="none"/>
        </w:rPr>
      </w:pPr>
      <w:r>
        <w:rPr>
          <w:rFonts w:hAnsi="宋体" w:cs="宋体"/>
          <w:b w:val="0"/>
          <w:color w:val="auto"/>
          <w:highlight w:val="none"/>
        </w:rPr>
        <w:t>投标人：</w:t>
      </w:r>
      <w:r>
        <w:rPr>
          <w:rFonts w:hAnsi="宋体" w:cs="宋体"/>
          <w:b w:val="0"/>
          <w:color w:val="auto"/>
          <w:highlight w:val="none"/>
          <w:u w:val="single"/>
        </w:rPr>
        <w:t xml:space="preserve">                    </w:t>
      </w:r>
      <w:r>
        <w:rPr>
          <w:rFonts w:hAnsi="宋体" w:cs="宋体"/>
          <w:b w:val="0"/>
          <w:color w:val="auto"/>
          <w:highlight w:val="none"/>
        </w:rPr>
        <w:t>（以下简称乙方）</w:t>
      </w:r>
    </w:p>
    <w:p w14:paraId="0EB70F20">
      <w:pPr>
        <w:pStyle w:val="22"/>
        <w:snapToGrid w:val="0"/>
        <w:spacing w:before="0" w:beforeLines="0" w:after="0" w:afterLines="0" w:line="360" w:lineRule="auto"/>
        <w:ind w:firstLine="480" w:firstLineChars="200"/>
        <w:rPr>
          <w:rFonts w:hAnsi="宋体" w:cs="宋体"/>
          <w:b w:val="0"/>
          <w:color w:val="auto"/>
          <w:highlight w:val="none"/>
        </w:rPr>
      </w:pPr>
      <w:r>
        <w:rPr>
          <w:rFonts w:hAnsi="宋体" w:cs="宋体"/>
          <w:b w:val="0"/>
          <w:color w:val="auto"/>
          <w:highlight w:val="none"/>
        </w:rPr>
        <w:t>依照《中华人民共和国民法典》和相关法律、法规及</w:t>
      </w:r>
      <w:r>
        <w:rPr>
          <w:rFonts w:hint="eastAsia" w:hAnsi="宋体" w:cs="宋体"/>
          <w:b w:val="0"/>
          <w:color w:val="auto"/>
          <w:highlight w:val="none"/>
          <w:lang w:eastAsia="zh-CN"/>
        </w:rPr>
        <w:t>台州市开发投资集团有限公司国产化适配项目</w:t>
      </w:r>
      <w:r>
        <w:rPr>
          <w:rFonts w:hAnsi="宋体" w:cs="宋体"/>
          <w:b w:val="0"/>
          <w:color w:val="auto"/>
          <w:highlight w:val="none"/>
        </w:rPr>
        <w:t>公开采购的结果，在自愿、平等、协商一致的基础上，订立本合同。</w:t>
      </w:r>
    </w:p>
    <w:p w14:paraId="63BCFAE2">
      <w:pPr>
        <w:widowControl/>
        <w:shd w:val="clear" w:color="auto" w:fill="FFFFFF"/>
        <w:spacing w:line="360" w:lineRule="auto"/>
        <w:jc w:val="left"/>
        <w:rPr>
          <w:rFonts w:ascii="宋体" w:hAnsi="宋体" w:cs="Arial"/>
          <w:b/>
          <w:color w:val="auto"/>
          <w:kern w:val="0"/>
          <w:sz w:val="24"/>
          <w:highlight w:val="none"/>
        </w:rPr>
      </w:pPr>
      <w:r>
        <w:rPr>
          <w:rFonts w:hint="eastAsia" w:ascii="宋体" w:hAnsi="宋体"/>
          <w:b/>
          <w:color w:val="auto"/>
          <w:sz w:val="24"/>
          <w:highlight w:val="none"/>
        </w:rPr>
        <w:t>一</w:t>
      </w:r>
      <w:r>
        <w:rPr>
          <w:rFonts w:ascii="宋体" w:hAnsi="宋体"/>
          <w:b/>
          <w:color w:val="auto"/>
          <w:sz w:val="24"/>
          <w:highlight w:val="none"/>
        </w:rPr>
        <w:t>、</w:t>
      </w:r>
      <w:r>
        <w:rPr>
          <w:rFonts w:ascii="宋体" w:hAnsi="宋体" w:cs="Arial"/>
          <w:b/>
          <w:color w:val="auto"/>
          <w:kern w:val="0"/>
          <w:sz w:val="24"/>
          <w:highlight w:val="none"/>
        </w:rPr>
        <w:t>合同内容及服务标准</w:t>
      </w:r>
    </w:p>
    <w:tbl>
      <w:tblPr>
        <w:tblStyle w:val="41"/>
        <w:tblpPr w:leftFromText="180" w:rightFromText="180" w:vertAnchor="text" w:horzAnchor="page" w:tblpX="1805" w:tblpY="456"/>
        <w:tblOverlap w:val="never"/>
        <w:tblW w:w="48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537"/>
        <w:gridCol w:w="649"/>
        <w:gridCol w:w="649"/>
        <w:gridCol w:w="1339"/>
        <w:gridCol w:w="1591"/>
        <w:gridCol w:w="1375"/>
      </w:tblGrid>
      <w:tr w14:paraId="336F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44" w:type="pct"/>
            <w:vAlign w:val="center"/>
          </w:tcPr>
          <w:p w14:paraId="5CD4C1FB">
            <w:pPr>
              <w:pStyle w:val="98"/>
              <w:keepNext w:val="0"/>
              <w:keepLines w:val="0"/>
              <w:widowControl w:val="0"/>
              <w:suppressLineNumbers w:val="0"/>
              <w:spacing w:before="0" w:beforeAutospacing="0" w:after="0" w:afterAutospacing="0"/>
              <w:ind w:left="0" w:right="0"/>
              <w:jc w:val="center"/>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lang w:val="en-US" w:eastAsia="zh-CN"/>
              </w:rPr>
              <w:t>序号</w:t>
            </w:r>
          </w:p>
        </w:tc>
        <w:tc>
          <w:tcPr>
            <w:tcW w:w="1419" w:type="pct"/>
            <w:vAlign w:val="center"/>
          </w:tcPr>
          <w:p w14:paraId="3576D8F3">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项目名称</w:t>
            </w:r>
          </w:p>
        </w:tc>
        <w:tc>
          <w:tcPr>
            <w:tcW w:w="363" w:type="pct"/>
            <w:vAlign w:val="center"/>
          </w:tcPr>
          <w:p w14:paraId="015B95FB">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数量</w:t>
            </w:r>
          </w:p>
        </w:tc>
        <w:tc>
          <w:tcPr>
            <w:tcW w:w="363" w:type="pct"/>
            <w:vAlign w:val="center"/>
          </w:tcPr>
          <w:p w14:paraId="0A2917AC">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单位</w:t>
            </w:r>
          </w:p>
        </w:tc>
        <w:tc>
          <w:tcPr>
            <w:tcW w:w="749" w:type="pct"/>
            <w:vAlign w:val="center"/>
          </w:tcPr>
          <w:p w14:paraId="3E69AE00">
            <w:pPr>
              <w:pStyle w:val="98"/>
              <w:keepNext w:val="0"/>
              <w:keepLines w:val="0"/>
              <w:widowControl w:val="0"/>
              <w:suppressLineNumbers w:val="0"/>
              <w:spacing w:before="0" w:beforeAutospacing="0" w:after="0" w:afterAutospacing="0"/>
              <w:ind w:left="0" w:right="0"/>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b/>
                <w:bCs/>
                <w:color w:val="auto"/>
                <w:sz w:val="24"/>
                <w:highlight w:val="none"/>
              </w:rPr>
              <w:t>合同金额</w:t>
            </w:r>
          </w:p>
        </w:tc>
        <w:tc>
          <w:tcPr>
            <w:tcW w:w="890" w:type="pct"/>
            <w:vAlign w:val="center"/>
          </w:tcPr>
          <w:p w14:paraId="34002C68">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sz w:val="21"/>
                <w:szCs w:val="21"/>
                <w:highlight w:val="none"/>
              </w:rPr>
              <w:t>服务期</w:t>
            </w:r>
          </w:p>
        </w:tc>
        <w:tc>
          <w:tcPr>
            <w:tcW w:w="769" w:type="pct"/>
            <w:vAlign w:val="center"/>
          </w:tcPr>
          <w:p w14:paraId="4B5F8DFD">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sz w:val="21"/>
                <w:szCs w:val="21"/>
                <w:highlight w:val="none"/>
              </w:rPr>
              <w:t>地点</w:t>
            </w:r>
          </w:p>
        </w:tc>
      </w:tr>
      <w:tr w14:paraId="33AD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444" w:type="pct"/>
            <w:vAlign w:val="center"/>
          </w:tcPr>
          <w:p w14:paraId="48179AD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c>
          <w:tcPr>
            <w:tcW w:w="1419" w:type="pct"/>
            <w:vAlign w:val="center"/>
          </w:tcPr>
          <w:p w14:paraId="21A126E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台州市开发投资集团有限公司国产化适配项目</w:t>
            </w:r>
          </w:p>
        </w:tc>
        <w:tc>
          <w:tcPr>
            <w:tcW w:w="363" w:type="pct"/>
            <w:vAlign w:val="center"/>
          </w:tcPr>
          <w:p w14:paraId="2447996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c>
          <w:tcPr>
            <w:tcW w:w="363" w:type="pct"/>
            <w:vAlign w:val="center"/>
          </w:tcPr>
          <w:p w14:paraId="70068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套</w:t>
            </w:r>
          </w:p>
        </w:tc>
        <w:tc>
          <w:tcPr>
            <w:tcW w:w="1339" w:type="dxa"/>
            <w:vAlign w:val="center"/>
          </w:tcPr>
          <w:p w14:paraId="0D3EA8F6">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bidi="ar"/>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w:t>
            </w:r>
          </w:p>
        </w:tc>
        <w:tc>
          <w:tcPr>
            <w:tcW w:w="1591" w:type="dxa"/>
            <w:vAlign w:val="center"/>
          </w:tcPr>
          <w:p w14:paraId="07322787">
            <w:pPr>
              <w:pStyle w:val="115"/>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highlight w:val="none"/>
                <w:lang w:bidi="ar"/>
              </w:rPr>
            </w:pPr>
            <w:r>
              <w:rPr>
                <w:rFonts w:hint="eastAsia" w:ascii="宋体" w:hAnsi="宋体" w:eastAsia="宋体"/>
                <w:color w:val="auto"/>
                <w:sz w:val="24"/>
                <w:highlight w:val="none"/>
              </w:rPr>
              <w:t>详见招标需求</w:t>
            </w:r>
          </w:p>
        </w:tc>
        <w:tc>
          <w:tcPr>
            <w:tcW w:w="1375" w:type="dxa"/>
            <w:vAlign w:val="center"/>
          </w:tcPr>
          <w:p w14:paraId="63B141F4">
            <w:pPr>
              <w:pStyle w:val="115"/>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highlight w:val="none"/>
                <w:lang w:bidi="ar"/>
              </w:rPr>
            </w:pPr>
            <w:r>
              <w:rPr>
                <w:rFonts w:hint="eastAsia" w:ascii="宋体" w:hAnsi="宋体" w:eastAsia="宋体"/>
                <w:color w:val="auto"/>
                <w:sz w:val="24"/>
                <w:highlight w:val="none"/>
              </w:rPr>
              <w:t>采购人指定地点</w:t>
            </w:r>
          </w:p>
        </w:tc>
      </w:tr>
    </w:tbl>
    <w:p w14:paraId="237CA5BC">
      <w:pPr>
        <w:pStyle w:val="22"/>
        <w:snapToGrid w:val="0"/>
        <w:spacing w:before="0" w:beforeLines="0" w:after="0" w:afterLines="0" w:line="360" w:lineRule="auto"/>
        <w:rPr>
          <w:rFonts w:hAnsi="宋体"/>
          <w:color w:val="auto"/>
          <w:highlight w:val="none"/>
        </w:rPr>
      </w:pPr>
    </w:p>
    <w:p w14:paraId="60321525">
      <w:pPr>
        <w:pStyle w:val="22"/>
        <w:snapToGrid w:val="0"/>
        <w:spacing w:before="0" w:beforeLines="0" w:after="0" w:afterLines="0" w:line="360" w:lineRule="auto"/>
        <w:rPr>
          <w:rFonts w:hAnsi="宋体"/>
          <w:color w:val="auto"/>
          <w:highlight w:val="none"/>
        </w:rPr>
      </w:pPr>
      <w:r>
        <w:rPr>
          <w:rFonts w:hAnsi="宋体"/>
          <w:color w:val="auto"/>
          <w:highlight w:val="none"/>
        </w:rPr>
        <w:t>二、合同金额</w:t>
      </w:r>
    </w:p>
    <w:p w14:paraId="55C0E6A9">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本合同金额为（大写）：________________元（￥_______________元）人民币。</w:t>
      </w:r>
    </w:p>
    <w:p w14:paraId="15990CDF">
      <w:pPr>
        <w:pStyle w:val="22"/>
        <w:snapToGrid w:val="0"/>
        <w:spacing w:before="0" w:beforeLines="0" w:after="0" w:afterLines="0" w:line="360" w:lineRule="auto"/>
        <w:rPr>
          <w:rFonts w:hAnsi="宋体"/>
          <w:color w:val="auto"/>
          <w:highlight w:val="none"/>
        </w:rPr>
      </w:pPr>
      <w:r>
        <w:rPr>
          <w:rFonts w:hAnsi="宋体" w:cs="Arial"/>
          <w:color w:val="auto"/>
          <w:kern w:val="0"/>
          <w:highlight w:val="none"/>
        </w:rPr>
        <w:t>三、</w:t>
      </w:r>
      <w:r>
        <w:rPr>
          <w:rFonts w:hAnsi="宋体"/>
          <w:color w:val="auto"/>
          <w:highlight w:val="none"/>
        </w:rPr>
        <w:t>技术资料</w:t>
      </w:r>
    </w:p>
    <w:p w14:paraId="34D1B203">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1.乙方应按招标文件规定的时间向甲方提供有关技术资料。</w:t>
      </w:r>
    </w:p>
    <w:p w14:paraId="423B576A">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2.没有甲方事先书面同意，乙方不得将由甲方提供的有关合同或任何合同条文、规格、计划、资料提供给与履行本合同无关的任何其他人。即使向履行本合同有关的人员提供，也应注意保密并限于履行合同的必需范围。</w:t>
      </w:r>
    </w:p>
    <w:p w14:paraId="6453E6A9">
      <w:pPr>
        <w:pStyle w:val="22"/>
        <w:snapToGrid w:val="0"/>
        <w:spacing w:before="0" w:beforeLines="0" w:after="0" w:afterLines="0" w:line="360" w:lineRule="auto"/>
        <w:rPr>
          <w:rFonts w:hAnsi="宋体"/>
          <w:color w:val="auto"/>
          <w:highlight w:val="none"/>
        </w:rPr>
      </w:pPr>
      <w:r>
        <w:rPr>
          <w:rFonts w:hAnsi="宋体"/>
          <w:color w:val="auto"/>
          <w:highlight w:val="none"/>
        </w:rPr>
        <w:t>四、知识产权</w:t>
      </w:r>
    </w:p>
    <w:p w14:paraId="10210AB5">
      <w:pPr>
        <w:pStyle w:val="22"/>
        <w:snapToGrid w:val="0"/>
        <w:spacing w:before="0" w:beforeLines="0" w:after="0" w:afterLines="0" w:line="360" w:lineRule="auto"/>
        <w:ind w:firstLine="482" w:firstLineChars="200"/>
        <w:rPr>
          <w:rFonts w:hAnsi="宋体"/>
          <w:bCs/>
          <w:color w:val="auto"/>
          <w:highlight w:val="none"/>
        </w:rPr>
      </w:pPr>
      <w:r>
        <w:rPr>
          <w:rFonts w:hAnsi="宋体"/>
          <w:color w:val="auto"/>
          <w:highlight w:val="none"/>
        </w:rPr>
        <w:t>乙方应保证提供服务过程中不会侵犯任何第三方的知识产权、财产权和名誉权，否则乙方应承担由此产生的一切后果，甲方不承担任何责任。</w:t>
      </w:r>
    </w:p>
    <w:p w14:paraId="057ABCD1">
      <w:pPr>
        <w:pStyle w:val="22"/>
        <w:snapToGrid w:val="0"/>
        <w:spacing w:before="0" w:beforeLines="0" w:after="0" w:afterLines="0" w:line="360" w:lineRule="auto"/>
        <w:ind w:left="410" w:hanging="410" w:hangingChars="170"/>
        <w:rPr>
          <w:rFonts w:hAnsi="宋体"/>
          <w:color w:val="auto"/>
          <w:highlight w:val="none"/>
        </w:rPr>
      </w:pPr>
      <w:r>
        <w:rPr>
          <w:rFonts w:hAnsi="宋体"/>
          <w:color w:val="auto"/>
          <w:highlight w:val="none"/>
        </w:rPr>
        <w:t>五、履约保证金</w:t>
      </w:r>
    </w:p>
    <w:p w14:paraId="22EFFD1D">
      <w:pPr>
        <w:tabs>
          <w:tab w:val="left" w:pos="1418"/>
        </w:tabs>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本项目无履约保证金。</w:t>
      </w:r>
    </w:p>
    <w:p w14:paraId="22EEF76A">
      <w:pPr>
        <w:snapToGrid w:val="0"/>
        <w:spacing w:line="360" w:lineRule="auto"/>
        <w:rPr>
          <w:rFonts w:ascii="宋体" w:hAnsi="宋体"/>
          <w:b/>
          <w:color w:val="auto"/>
          <w:sz w:val="24"/>
          <w:highlight w:val="none"/>
        </w:rPr>
      </w:pPr>
      <w:r>
        <w:rPr>
          <w:rFonts w:hint="eastAsia" w:ascii="宋体" w:hAnsi="宋体"/>
          <w:b/>
          <w:color w:val="auto"/>
          <w:sz w:val="24"/>
          <w:highlight w:val="none"/>
        </w:rPr>
        <w:t>六、转包或分包</w:t>
      </w:r>
    </w:p>
    <w:p w14:paraId="66C6D3A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14:paraId="4ED2A10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14:paraId="7510444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.如有转让和未经甲方同意的分包行为，甲方有权解除合同，并追究乙方的违约责任。</w:t>
      </w:r>
    </w:p>
    <w:p w14:paraId="1F5D47C9">
      <w:pPr>
        <w:pStyle w:val="22"/>
        <w:snapToGrid w:val="0"/>
        <w:spacing w:before="0" w:beforeLines="0" w:after="0" w:afterLines="0" w:line="360" w:lineRule="auto"/>
        <w:rPr>
          <w:rFonts w:hint="default" w:hAnsi="宋体"/>
          <w:color w:val="auto"/>
          <w:highlight w:val="none"/>
        </w:rPr>
      </w:pPr>
      <w:r>
        <w:rPr>
          <w:rFonts w:hAnsi="宋体"/>
          <w:color w:val="auto"/>
          <w:highlight w:val="none"/>
        </w:rPr>
        <w:t xml:space="preserve">七、服务质量保证期    </w:t>
      </w:r>
    </w:p>
    <w:p w14:paraId="14CD468B">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1. 保证期</w:t>
      </w:r>
      <w:r>
        <w:rPr>
          <w:rFonts w:hAnsi="宋体"/>
          <w:color w:val="auto"/>
          <w:highlight w:val="none"/>
          <w:u w:val="single"/>
        </w:rPr>
        <w:t xml:space="preserve">  </w:t>
      </w:r>
      <w:r>
        <w:rPr>
          <w:rFonts w:hint="eastAsia" w:hAnsi="宋体"/>
          <w:color w:val="auto"/>
          <w:highlight w:val="none"/>
          <w:u w:val="single"/>
          <w:lang w:val="en-US" w:eastAsia="zh-CN"/>
        </w:rPr>
        <w:t>3</w:t>
      </w:r>
      <w:r>
        <w:rPr>
          <w:rFonts w:hAnsi="宋体"/>
          <w:color w:val="auto"/>
          <w:highlight w:val="none"/>
          <w:u w:val="single"/>
        </w:rPr>
        <w:t xml:space="preserve">  </w:t>
      </w:r>
      <w:r>
        <w:rPr>
          <w:rFonts w:hAnsi="宋体"/>
          <w:color w:val="auto"/>
          <w:highlight w:val="none"/>
        </w:rPr>
        <w:t>年。（自验收合格之日起计）</w:t>
      </w:r>
    </w:p>
    <w:p w14:paraId="553751D8">
      <w:pPr>
        <w:pStyle w:val="22"/>
        <w:snapToGrid w:val="0"/>
        <w:spacing w:before="0" w:beforeLines="0" w:after="0" w:afterLines="0" w:line="360" w:lineRule="auto"/>
        <w:rPr>
          <w:rFonts w:hAnsi="宋体"/>
          <w:color w:val="auto"/>
          <w:highlight w:val="none"/>
        </w:rPr>
      </w:pPr>
      <w:r>
        <w:rPr>
          <w:rFonts w:hAnsi="宋体"/>
          <w:color w:val="auto"/>
          <w:highlight w:val="none"/>
        </w:rPr>
        <w:t>八、合同履行时间及履行地点</w:t>
      </w:r>
    </w:p>
    <w:p w14:paraId="0637E0A3">
      <w:pPr>
        <w:pStyle w:val="22"/>
        <w:snapToGrid w:val="0"/>
        <w:spacing w:before="0" w:beforeLines="0" w:after="0" w:afterLines="0" w:line="360" w:lineRule="auto"/>
        <w:ind w:firstLine="482" w:firstLineChars="200"/>
        <w:rPr>
          <w:rFonts w:hAnsi="宋体"/>
          <w:bCs/>
          <w:color w:val="auto"/>
          <w:highlight w:val="none"/>
        </w:rPr>
      </w:pPr>
      <w:r>
        <w:rPr>
          <w:rFonts w:hAnsi="宋体"/>
          <w:bCs/>
          <w:color w:val="auto"/>
          <w:highlight w:val="none"/>
        </w:rPr>
        <w:t xml:space="preserve">1. </w:t>
      </w:r>
      <w:r>
        <w:rPr>
          <w:rFonts w:hAnsi="宋体"/>
          <w:color w:val="auto"/>
          <w:highlight w:val="none"/>
        </w:rPr>
        <w:t>履行时间</w:t>
      </w:r>
      <w:r>
        <w:rPr>
          <w:rFonts w:hAnsi="宋体"/>
          <w:bCs/>
          <w:color w:val="auto"/>
          <w:highlight w:val="none"/>
        </w:rPr>
        <w:t>：</w:t>
      </w:r>
      <w:r>
        <w:rPr>
          <w:rFonts w:hint="eastAsia" w:hAnsi="宋体"/>
          <w:bCs/>
          <w:color w:val="auto"/>
          <w:highlight w:val="none"/>
        </w:rPr>
        <w:t>合同签订后</w:t>
      </w:r>
      <w:r>
        <w:rPr>
          <w:rFonts w:hAnsi="宋体"/>
          <w:bCs/>
          <w:color w:val="auto"/>
          <w:highlight w:val="none"/>
        </w:rPr>
        <w:t>30</w:t>
      </w:r>
      <w:r>
        <w:rPr>
          <w:rFonts w:hint="eastAsia" w:hAnsi="宋体"/>
          <w:bCs/>
          <w:color w:val="auto"/>
          <w:highlight w:val="none"/>
        </w:rPr>
        <w:t>天内</w:t>
      </w:r>
    </w:p>
    <w:p w14:paraId="4E7857DA">
      <w:pPr>
        <w:pStyle w:val="22"/>
        <w:snapToGrid w:val="0"/>
        <w:spacing w:before="0" w:beforeLines="0" w:after="0" w:afterLines="0" w:line="360" w:lineRule="auto"/>
        <w:ind w:firstLine="482" w:firstLineChars="200"/>
        <w:rPr>
          <w:rFonts w:hAnsi="宋体"/>
          <w:color w:val="auto"/>
          <w:highlight w:val="none"/>
        </w:rPr>
      </w:pPr>
      <w:r>
        <w:rPr>
          <w:rFonts w:hAnsi="宋体"/>
          <w:bCs/>
          <w:color w:val="auto"/>
          <w:highlight w:val="none"/>
        </w:rPr>
        <w:t xml:space="preserve">2. </w:t>
      </w:r>
      <w:r>
        <w:rPr>
          <w:rFonts w:hAnsi="宋体"/>
          <w:color w:val="auto"/>
          <w:highlight w:val="none"/>
        </w:rPr>
        <w:t>履行地点</w:t>
      </w:r>
      <w:r>
        <w:rPr>
          <w:rFonts w:hAnsi="宋体"/>
          <w:bCs/>
          <w:color w:val="auto"/>
          <w:highlight w:val="none"/>
        </w:rPr>
        <w:t>：甲方指定地点</w:t>
      </w:r>
    </w:p>
    <w:p w14:paraId="03C61D9D">
      <w:pPr>
        <w:pStyle w:val="22"/>
        <w:snapToGrid w:val="0"/>
        <w:spacing w:before="0" w:beforeLines="0" w:after="0" w:afterLines="0" w:afterAutospacing="0" w:line="360" w:lineRule="auto"/>
        <w:rPr>
          <w:rFonts w:hAnsi="宋体"/>
          <w:color w:val="auto"/>
          <w:highlight w:val="none"/>
        </w:rPr>
      </w:pPr>
      <w:r>
        <w:rPr>
          <w:rFonts w:hint="eastAsia" w:hAnsi="宋体"/>
          <w:color w:val="auto"/>
          <w:highlight w:val="none"/>
          <w:lang w:val="en-US" w:eastAsia="zh-CN"/>
        </w:rPr>
        <w:t>九</w:t>
      </w:r>
      <w:r>
        <w:rPr>
          <w:rFonts w:hAnsi="宋体"/>
          <w:color w:val="auto"/>
          <w:highlight w:val="none"/>
        </w:rPr>
        <w:t>、款项支付</w:t>
      </w:r>
    </w:p>
    <w:p w14:paraId="641D1E41">
      <w:pPr>
        <w:widowControl/>
        <w:spacing w:beforeAutospacing="0" w:after="156" w:afterLines="50" w:line="44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合同签订后，甲方向乙方支付50%的合同款项作为预付款；乙方系统开发及设备安装调试完成并验收合格后，在乙方票证齐全，且符合甲方付款流程的前提下，甲方一次性付清剩余款项。否则甲方有权拒绝付款，不视为违约。</w:t>
      </w:r>
    </w:p>
    <w:p w14:paraId="1919FD06">
      <w:pPr>
        <w:snapToGrid w:val="0"/>
        <w:spacing w:line="360" w:lineRule="auto"/>
        <w:rPr>
          <w:rFonts w:ascii="宋体" w:hAnsi="宋体"/>
          <w:b/>
          <w:color w:val="auto"/>
          <w:sz w:val="24"/>
          <w:highlight w:val="none"/>
        </w:rPr>
      </w:pPr>
      <w:r>
        <w:rPr>
          <w:rFonts w:hint="eastAsia" w:ascii="宋体" w:hAnsi="宋体"/>
          <w:b/>
          <w:color w:val="auto"/>
          <w:sz w:val="24"/>
          <w:highlight w:val="none"/>
        </w:rPr>
        <w:t>十、税费</w:t>
      </w:r>
    </w:p>
    <w:p w14:paraId="6D78A56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本合同履行中相关的一切税费均由</w:t>
      </w:r>
      <w:r>
        <w:rPr>
          <w:rFonts w:ascii="宋体" w:hAnsi="宋体"/>
          <w:color w:val="auto"/>
          <w:sz w:val="24"/>
          <w:highlight w:val="none"/>
        </w:rPr>
        <w:t>乙</w:t>
      </w:r>
      <w:r>
        <w:rPr>
          <w:rFonts w:hint="eastAsia" w:ascii="宋体" w:hAnsi="宋体"/>
          <w:color w:val="auto"/>
          <w:sz w:val="24"/>
          <w:highlight w:val="none"/>
        </w:rPr>
        <w:t>方负担。</w:t>
      </w:r>
    </w:p>
    <w:p w14:paraId="6C25E6BF">
      <w:pPr>
        <w:pStyle w:val="22"/>
        <w:snapToGrid w:val="0"/>
        <w:spacing w:before="0" w:beforeLines="0" w:after="0" w:afterLines="0" w:line="360" w:lineRule="auto"/>
        <w:ind w:left="412" w:hanging="412" w:hangingChars="171"/>
        <w:rPr>
          <w:rFonts w:hAnsi="宋体"/>
          <w:color w:val="auto"/>
          <w:highlight w:val="none"/>
        </w:rPr>
      </w:pPr>
      <w:r>
        <w:rPr>
          <w:rFonts w:hAnsi="宋体"/>
          <w:color w:val="auto"/>
          <w:highlight w:val="none"/>
        </w:rPr>
        <w:t>十</w:t>
      </w:r>
      <w:r>
        <w:rPr>
          <w:rFonts w:hint="eastAsia" w:hAnsi="宋体"/>
          <w:color w:val="auto"/>
          <w:highlight w:val="none"/>
          <w:lang w:val="en-US" w:eastAsia="zh-CN"/>
        </w:rPr>
        <w:t>一</w:t>
      </w:r>
      <w:r>
        <w:rPr>
          <w:rFonts w:hAnsi="宋体"/>
          <w:color w:val="auto"/>
          <w:highlight w:val="none"/>
        </w:rPr>
        <w:t>、质量保证及后续服务</w:t>
      </w:r>
    </w:p>
    <w:p w14:paraId="4B7D6604">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1．乙方应按招标文件规定向甲方提供服务。</w:t>
      </w:r>
    </w:p>
    <w:p w14:paraId="5295A4DE">
      <w:pPr>
        <w:pStyle w:val="22"/>
        <w:snapToGrid w:val="0"/>
        <w:spacing w:before="0" w:beforeLines="0" w:after="0" w:afterLines="0" w:line="360" w:lineRule="auto"/>
        <w:ind w:firstLine="482" w:firstLineChars="200"/>
        <w:rPr>
          <w:rFonts w:hint="default" w:hAnsi="宋体"/>
          <w:color w:val="auto"/>
          <w:highlight w:val="none"/>
        </w:rPr>
      </w:pPr>
      <w:r>
        <w:rPr>
          <w:rFonts w:hAnsi="宋体"/>
          <w:color w:val="auto"/>
          <w:highlight w:val="none"/>
        </w:rPr>
        <w:t>2. 乙方应按投标时承诺的向甲方提供服务</w:t>
      </w:r>
    </w:p>
    <w:p w14:paraId="170A59AC">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3．乙方提供的服务成果在服务质量保证期内发生故障，乙方应负责免费提供后续服务。对达不到要求者，根据实际情况，经双方协商，可按以下办法处理：</w:t>
      </w:r>
    </w:p>
    <w:p w14:paraId="3A7532B3">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⑴重做：由乙方承担所发生的全部费用。</w:t>
      </w:r>
    </w:p>
    <w:p w14:paraId="23B2DF0F">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⑵贬值处理：由甲乙双方合议定价。</w:t>
      </w:r>
    </w:p>
    <w:p w14:paraId="458D05EB">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⑶解除合同。</w:t>
      </w:r>
    </w:p>
    <w:p w14:paraId="7D0E3ECE">
      <w:pPr>
        <w:pStyle w:val="22"/>
        <w:snapToGrid w:val="0"/>
        <w:spacing w:before="0" w:beforeLines="0" w:after="0" w:afterLines="0" w:line="360" w:lineRule="auto"/>
        <w:rPr>
          <w:rFonts w:hAnsi="宋体"/>
          <w:color w:val="auto"/>
          <w:highlight w:val="none"/>
        </w:rPr>
      </w:pPr>
      <w:r>
        <w:rPr>
          <w:rFonts w:hAnsi="宋体"/>
          <w:color w:val="auto"/>
          <w:highlight w:val="none"/>
        </w:rPr>
        <w:t>十</w:t>
      </w:r>
      <w:r>
        <w:rPr>
          <w:rFonts w:hint="eastAsia" w:hAnsi="宋体"/>
          <w:color w:val="auto"/>
          <w:highlight w:val="none"/>
          <w:lang w:val="en-US" w:eastAsia="zh-CN"/>
        </w:rPr>
        <w:t>二</w:t>
      </w:r>
      <w:r>
        <w:rPr>
          <w:rFonts w:hAnsi="宋体"/>
          <w:color w:val="auto"/>
          <w:highlight w:val="none"/>
        </w:rPr>
        <w:t>、违约责任</w:t>
      </w:r>
    </w:p>
    <w:p w14:paraId="00E0BDFE">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1．甲方无正当理由拒绝接受服务的，甲方向乙方偿付合同款项</w:t>
      </w:r>
      <w:r>
        <w:rPr>
          <w:rFonts w:hAnsi="宋体"/>
          <w:color w:val="auto"/>
          <w:highlight w:val="none"/>
          <w:u w:val="single"/>
        </w:rPr>
        <w:t>百分之五</w:t>
      </w:r>
      <w:r>
        <w:rPr>
          <w:rFonts w:hAnsi="宋体"/>
          <w:color w:val="auto"/>
          <w:highlight w:val="none"/>
        </w:rPr>
        <w:t>作为违约金。</w:t>
      </w:r>
    </w:p>
    <w:p w14:paraId="299132A1">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2．甲方无故逾期验收和办理款项支付手续的,甲方应按逾期付款总额</w:t>
      </w:r>
      <w:r>
        <w:rPr>
          <w:rFonts w:hAnsi="宋体"/>
          <w:color w:val="auto"/>
          <w:highlight w:val="none"/>
          <w:u w:val="single"/>
        </w:rPr>
        <w:t>每日万分之五</w:t>
      </w:r>
      <w:r>
        <w:rPr>
          <w:rFonts w:hAnsi="宋体"/>
          <w:color w:val="auto"/>
          <w:highlight w:val="none"/>
        </w:rPr>
        <w:t>向乙方支付违约金。</w:t>
      </w:r>
    </w:p>
    <w:p w14:paraId="7F0DD32F">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3． 乙方未能如期提供服务的，每日向甲方支付合同款项的</w:t>
      </w:r>
      <w:r>
        <w:rPr>
          <w:rFonts w:hAnsi="宋体"/>
          <w:color w:val="auto"/>
          <w:highlight w:val="none"/>
          <w:u w:val="single"/>
        </w:rPr>
        <w:t>千分之一</w:t>
      </w:r>
      <w:r>
        <w:rPr>
          <w:rFonts w:hAnsi="宋体"/>
          <w:color w:val="auto"/>
          <w:highlight w:val="none"/>
        </w:rPr>
        <w:t>作为违约金。乙方超过约定日期5个工作日仍不能提供服务的，甲方可解除本合同。乙方因未能如期提供服务或因其他违约行为导致甲方解除合同的，乙方应向甲方支付合同总值</w:t>
      </w:r>
      <w:r>
        <w:rPr>
          <w:rFonts w:hAnsi="宋体"/>
          <w:color w:val="auto"/>
          <w:highlight w:val="none"/>
          <w:u w:val="single"/>
        </w:rPr>
        <w:t>5%</w:t>
      </w:r>
      <w:r>
        <w:rPr>
          <w:rFonts w:hAnsi="宋体"/>
          <w:color w:val="auto"/>
          <w:highlight w:val="none"/>
        </w:rPr>
        <w:t xml:space="preserve">的违约金，如造成甲方损失超过违约金的，超出部分由乙方继续承担赔偿责任。 </w:t>
      </w:r>
    </w:p>
    <w:p w14:paraId="1E422C2E">
      <w:pPr>
        <w:pStyle w:val="22"/>
        <w:snapToGrid w:val="0"/>
        <w:spacing w:before="0" w:beforeLines="0" w:after="0" w:afterLines="0" w:line="360" w:lineRule="auto"/>
        <w:rPr>
          <w:rFonts w:hAnsi="宋体"/>
          <w:color w:val="auto"/>
          <w:highlight w:val="none"/>
        </w:rPr>
      </w:pPr>
      <w:r>
        <w:rPr>
          <w:rFonts w:hAnsi="宋体"/>
          <w:color w:val="auto"/>
          <w:highlight w:val="none"/>
        </w:rPr>
        <w:t>十</w:t>
      </w:r>
      <w:r>
        <w:rPr>
          <w:rFonts w:hint="eastAsia" w:hAnsi="宋体"/>
          <w:color w:val="auto"/>
          <w:highlight w:val="none"/>
          <w:lang w:val="en-US" w:eastAsia="zh-CN"/>
        </w:rPr>
        <w:t>三</w:t>
      </w:r>
      <w:r>
        <w:rPr>
          <w:rFonts w:hAnsi="宋体"/>
          <w:color w:val="auto"/>
          <w:highlight w:val="none"/>
        </w:rPr>
        <w:t>、不可抗力事件处理</w:t>
      </w:r>
    </w:p>
    <w:p w14:paraId="6039DB46">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1．在合同有效期内，任何一方因不可抗力事件导致不能履行合同，双方应通过友好协商，确定是否继续履行合同。</w:t>
      </w:r>
    </w:p>
    <w:p w14:paraId="3F2946D1">
      <w:pPr>
        <w:pStyle w:val="22"/>
        <w:snapToGrid w:val="0"/>
        <w:spacing w:before="0" w:beforeLines="0" w:after="0" w:afterLines="0" w:line="360" w:lineRule="auto"/>
        <w:rPr>
          <w:rFonts w:hAnsi="宋体"/>
          <w:color w:val="auto"/>
          <w:highlight w:val="none"/>
        </w:rPr>
      </w:pPr>
      <w:r>
        <w:rPr>
          <w:rFonts w:hAnsi="宋体"/>
          <w:color w:val="auto"/>
          <w:highlight w:val="none"/>
        </w:rPr>
        <w:t>十</w:t>
      </w:r>
      <w:r>
        <w:rPr>
          <w:rFonts w:hint="eastAsia" w:hAnsi="宋体"/>
          <w:color w:val="auto"/>
          <w:highlight w:val="none"/>
          <w:lang w:val="en-US" w:eastAsia="zh-CN"/>
        </w:rPr>
        <w:t>四</w:t>
      </w:r>
      <w:r>
        <w:rPr>
          <w:rFonts w:hAnsi="宋体"/>
          <w:color w:val="auto"/>
          <w:highlight w:val="none"/>
        </w:rPr>
        <w:t>、解决争议的方法</w:t>
      </w:r>
    </w:p>
    <w:p w14:paraId="3DA210A3">
      <w:pPr>
        <w:pStyle w:val="22"/>
        <w:snapToGrid w:val="0"/>
        <w:spacing w:before="0" w:beforeLines="0" w:after="0" w:afterLines="0" w:line="360" w:lineRule="auto"/>
        <w:ind w:firstLine="482" w:firstLineChars="200"/>
        <w:rPr>
          <w:rFonts w:hAnsi="宋体" w:cs="宋体"/>
          <w:color w:val="auto"/>
          <w:kern w:val="0"/>
          <w:highlight w:val="none"/>
        </w:rPr>
      </w:pPr>
      <w:r>
        <w:rPr>
          <w:rFonts w:hAnsi="宋体" w:cs="宋体"/>
          <w:color w:val="auto"/>
          <w:kern w:val="0"/>
          <w:highlight w:val="none"/>
        </w:rPr>
        <w:t>2. 如双方在履行合同时发生纠纷，应协商解决；协商不成的通过以下第</w:t>
      </w:r>
      <w:r>
        <w:rPr>
          <w:rFonts w:hAnsi="宋体" w:cs="宋体"/>
          <w:color w:val="auto"/>
          <w:kern w:val="0"/>
          <w:highlight w:val="none"/>
          <w:u w:val="single"/>
        </w:rPr>
        <w:t>（2）</w:t>
      </w:r>
      <w:r>
        <w:rPr>
          <w:rFonts w:hAnsi="宋体" w:cs="宋体"/>
          <w:color w:val="auto"/>
          <w:kern w:val="0"/>
          <w:highlight w:val="none"/>
        </w:rPr>
        <w:t>方式解决：</w:t>
      </w:r>
      <w:r>
        <w:rPr>
          <w:rFonts w:hAnsi="宋体" w:cs="宋体"/>
          <w:color w:val="auto"/>
          <w:kern w:val="0"/>
          <w:highlight w:val="none"/>
        </w:rPr>
        <w:br w:type="textWrapping"/>
      </w:r>
      <w:r>
        <w:rPr>
          <w:rFonts w:hAnsi="宋体" w:cs="宋体"/>
          <w:color w:val="auto"/>
          <w:kern w:val="0"/>
          <w:highlight w:val="none"/>
        </w:rPr>
        <w:t xml:space="preserve">  （1） 提交</w:t>
      </w:r>
      <w:r>
        <w:rPr>
          <w:rFonts w:hAnsi="宋体"/>
          <w:color w:val="auto"/>
          <w:highlight w:val="none"/>
          <w:u w:val="single"/>
        </w:rPr>
        <w:t>台州</w:t>
      </w:r>
      <w:r>
        <w:rPr>
          <w:rFonts w:hAnsi="宋体" w:cs="宋体"/>
          <w:color w:val="auto"/>
          <w:kern w:val="0"/>
          <w:highlight w:val="none"/>
        </w:rPr>
        <w:t>仲裁委员会仲裁。</w:t>
      </w:r>
      <w:r>
        <w:rPr>
          <w:rFonts w:hAnsi="宋体" w:cs="宋体"/>
          <w:color w:val="auto"/>
          <w:kern w:val="0"/>
          <w:highlight w:val="none"/>
        </w:rPr>
        <w:br w:type="textWrapping"/>
      </w:r>
      <w:r>
        <w:rPr>
          <w:rFonts w:hAnsi="宋体" w:cs="宋体"/>
          <w:color w:val="auto"/>
          <w:kern w:val="0"/>
          <w:highlight w:val="none"/>
        </w:rPr>
        <w:t xml:space="preserve">  （2） 依法向甲方所在地人民法院提起诉讼。</w:t>
      </w:r>
    </w:p>
    <w:p w14:paraId="6E6C8AB5">
      <w:pPr>
        <w:pStyle w:val="22"/>
        <w:snapToGrid w:val="0"/>
        <w:spacing w:before="0" w:beforeLines="0" w:after="0" w:afterLines="0" w:line="360" w:lineRule="auto"/>
        <w:rPr>
          <w:rFonts w:hAnsi="宋体"/>
          <w:color w:val="auto"/>
          <w:highlight w:val="none"/>
        </w:rPr>
      </w:pPr>
      <w:r>
        <w:rPr>
          <w:rFonts w:hAnsi="宋体"/>
          <w:color w:val="auto"/>
          <w:highlight w:val="none"/>
        </w:rPr>
        <w:t>十五、合同生效及其它</w:t>
      </w:r>
    </w:p>
    <w:p w14:paraId="0E230AE0">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1. 合同经双方法定代表人或授权代表签字并加盖单位公章后生效。</w:t>
      </w:r>
    </w:p>
    <w:p w14:paraId="6DAF5692">
      <w:pPr>
        <w:pStyle w:val="22"/>
        <w:snapToGrid w:val="0"/>
        <w:spacing w:before="0" w:beforeLines="0" w:after="0" w:afterLines="0" w:line="360" w:lineRule="auto"/>
        <w:ind w:firstLine="482" w:firstLineChars="200"/>
        <w:rPr>
          <w:rFonts w:hAnsi="宋体"/>
          <w:color w:val="auto"/>
          <w:highlight w:val="none"/>
        </w:rPr>
      </w:pPr>
      <w:r>
        <w:rPr>
          <w:rFonts w:hAnsi="宋体"/>
          <w:color w:val="auto"/>
          <w:highlight w:val="none"/>
        </w:rPr>
        <w:t>2. 本合同未尽事宜，遵照《民法典》有关条文执行。</w:t>
      </w:r>
    </w:p>
    <w:p w14:paraId="121DA340">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3. 本合同一式</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份。本项目未尽事宜以招标文件、投标文件及澄清文件等为准。</w:t>
      </w:r>
    </w:p>
    <w:p w14:paraId="61EFBD70">
      <w:pPr>
        <w:pStyle w:val="16"/>
        <w:widowControl/>
        <w:spacing w:line="360" w:lineRule="auto"/>
        <w:rPr>
          <w:rFonts w:hint="eastAsia" w:ascii="宋体" w:hAnsi="宋体" w:cs="宋体"/>
          <w:b/>
          <w:color w:val="auto"/>
          <w:sz w:val="24"/>
          <w:highlight w:val="none"/>
        </w:rPr>
      </w:pPr>
    </w:p>
    <w:tbl>
      <w:tblPr>
        <w:tblStyle w:val="41"/>
        <w:tblpPr w:leftFromText="180" w:rightFromText="180" w:vertAnchor="text" w:horzAnchor="page" w:tblpX="1859" w:tblpY="469"/>
        <w:tblOverlap w:val="never"/>
        <w:tblW w:w="8380" w:type="dxa"/>
        <w:tblInd w:w="0" w:type="dxa"/>
        <w:tblLayout w:type="fixed"/>
        <w:tblCellMar>
          <w:top w:w="0" w:type="dxa"/>
          <w:left w:w="0" w:type="dxa"/>
          <w:bottom w:w="0" w:type="dxa"/>
          <w:right w:w="0" w:type="dxa"/>
        </w:tblCellMar>
      </w:tblPr>
      <w:tblGrid>
        <w:gridCol w:w="2060"/>
        <w:gridCol w:w="720"/>
        <w:gridCol w:w="795"/>
        <w:gridCol w:w="915"/>
        <w:gridCol w:w="3890"/>
      </w:tblGrid>
      <w:tr w14:paraId="518CBB8B">
        <w:tblPrEx>
          <w:tblCellMar>
            <w:top w:w="0" w:type="dxa"/>
            <w:left w:w="0" w:type="dxa"/>
            <w:bottom w:w="0" w:type="dxa"/>
            <w:right w:w="0" w:type="dxa"/>
          </w:tblCellMar>
        </w:tblPrEx>
        <w:trPr>
          <w:trHeight w:val="354" w:hRule="atLeast"/>
        </w:trPr>
        <w:tc>
          <w:tcPr>
            <w:tcW w:w="2060" w:type="dxa"/>
            <w:noWrap w:val="0"/>
            <w:vAlign w:val="top"/>
          </w:tcPr>
          <w:p w14:paraId="2721B474">
            <w:pPr>
              <w:pStyle w:val="105"/>
              <w:keepNext w:val="0"/>
              <w:keepLines w:val="0"/>
              <w:suppressLineNumbers w:val="0"/>
              <w:spacing w:before="0" w:beforeAutospacing="0" w:after="0" w:afterAutospacing="0" w:line="334" w:lineRule="exact"/>
              <w:ind w:left="50" w:right="0"/>
              <w:rPr>
                <w:rFonts w:hint="default"/>
                <w:color w:val="auto"/>
                <w:sz w:val="24"/>
                <w:highlight w:val="none"/>
              </w:rPr>
            </w:pPr>
            <w:r>
              <w:rPr>
                <w:rFonts w:hint="eastAsia" w:eastAsia="宋体"/>
                <w:color w:val="auto"/>
                <w:sz w:val="24"/>
                <w:highlight w:val="none"/>
              </w:rPr>
              <w:t>甲</w:t>
            </w:r>
            <w:r>
              <w:rPr>
                <w:rFonts w:hint="default"/>
                <w:color w:val="auto"/>
                <w:sz w:val="24"/>
                <w:highlight w:val="none"/>
              </w:rPr>
              <w:t>方</w:t>
            </w:r>
            <w:r>
              <w:rPr>
                <w:rFonts w:hint="eastAsia"/>
                <w:color w:val="auto"/>
                <w:sz w:val="24"/>
                <w:highlight w:val="none"/>
              </w:rPr>
              <w:t>（公章）</w:t>
            </w:r>
            <w:r>
              <w:rPr>
                <w:rFonts w:hint="default"/>
                <w:color w:val="auto"/>
                <w:sz w:val="24"/>
                <w:highlight w:val="none"/>
              </w:rPr>
              <w:t>：</w:t>
            </w:r>
          </w:p>
        </w:tc>
        <w:tc>
          <w:tcPr>
            <w:tcW w:w="720" w:type="dxa"/>
            <w:noWrap w:val="0"/>
            <w:vAlign w:val="top"/>
          </w:tcPr>
          <w:p w14:paraId="29DBA006">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795" w:type="dxa"/>
            <w:noWrap w:val="0"/>
            <w:vAlign w:val="top"/>
          </w:tcPr>
          <w:p w14:paraId="22BD3A5C">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915" w:type="dxa"/>
            <w:noWrap w:val="0"/>
            <w:vAlign w:val="top"/>
          </w:tcPr>
          <w:p w14:paraId="3DFD2DF2">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3890" w:type="dxa"/>
            <w:noWrap w:val="0"/>
            <w:vAlign w:val="top"/>
          </w:tcPr>
          <w:p w14:paraId="7AD93188">
            <w:pPr>
              <w:pStyle w:val="105"/>
              <w:keepNext w:val="0"/>
              <w:keepLines w:val="0"/>
              <w:suppressLineNumbers w:val="0"/>
              <w:spacing w:before="0" w:beforeAutospacing="0" w:after="0" w:afterAutospacing="0" w:line="334" w:lineRule="exact"/>
              <w:ind w:left="0" w:right="0"/>
              <w:rPr>
                <w:rFonts w:hint="default"/>
                <w:color w:val="auto"/>
                <w:sz w:val="24"/>
                <w:highlight w:val="none"/>
              </w:rPr>
            </w:pPr>
            <w:r>
              <w:rPr>
                <w:rFonts w:hint="eastAsia" w:eastAsia="宋体"/>
                <w:color w:val="auto"/>
                <w:sz w:val="24"/>
                <w:highlight w:val="none"/>
              </w:rPr>
              <w:t>乙</w:t>
            </w:r>
            <w:r>
              <w:rPr>
                <w:rFonts w:hint="default"/>
                <w:color w:val="auto"/>
                <w:sz w:val="24"/>
                <w:highlight w:val="none"/>
              </w:rPr>
              <w:t>方</w:t>
            </w:r>
            <w:r>
              <w:rPr>
                <w:rFonts w:hint="eastAsia"/>
                <w:color w:val="auto"/>
                <w:sz w:val="24"/>
                <w:highlight w:val="none"/>
              </w:rPr>
              <w:t>（公章）</w:t>
            </w:r>
            <w:r>
              <w:rPr>
                <w:rFonts w:hint="default"/>
                <w:color w:val="auto"/>
                <w:sz w:val="24"/>
                <w:highlight w:val="none"/>
              </w:rPr>
              <w:t>：</w:t>
            </w:r>
          </w:p>
        </w:tc>
      </w:tr>
      <w:tr w14:paraId="54648939">
        <w:tblPrEx>
          <w:tblCellMar>
            <w:top w:w="0" w:type="dxa"/>
            <w:left w:w="0" w:type="dxa"/>
            <w:bottom w:w="0" w:type="dxa"/>
            <w:right w:w="0" w:type="dxa"/>
          </w:tblCellMar>
        </w:tblPrEx>
        <w:trPr>
          <w:trHeight w:val="467" w:hRule="atLeast"/>
        </w:trPr>
        <w:tc>
          <w:tcPr>
            <w:tcW w:w="2060" w:type="dxa"/>
            <w:noWrap w:val="0"/>
            <w:vAlign w:val="top"/>
          </w:tcPr>
          <w:p w14:paraId="3DB29487">
            <w:pPr>
              <w:pStyle w:val="105"/>
              <w:keepNext w:val="0"/>
              <w:keepLines w:val="0"/>
              <w:suppressLineNumbers w:val="0"/>
              <w:spacing w:before="0" w:beforeAutospacing="0" w:after="0" w:afterAutospacing="0" w:line="448" w:lineRule="exact"/>
              <w:ind w:left="50" w:right="0"/>
              <w:rPr>
                <w:rFonts w:hint="default"/>
                <w:color w:val="auto"/>
                <w:sz w:val="24"/>
                <w:highlight w:val="none"/>
              </w:rPr>
            </w:pPr>
            <w:r>
              <w:rPr>
                <w:rFonts w:hint="default"/>
                <w:color w:val="auto"/>
                <w:sz w:val="24"/>
                <w:highlight w:val="none"/>
              </w:rPr>
              <w:t>地址：</w:t>
            </w:r>
          </w:p>
        </w:tc>
        <w:tc>
          <w:tcPr>
            <w:tcW w:w="720" w:type="dxa"/>
            <w:noWrap w:val="0"/>
            <w:vAlign w:val="top"/>
          </w:tcPr>
          <w:p w14:paraId="4713DD20">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795" w:type="dxa"/>
            <w:noWrap w:val="0"/>
            <w:vAlign w:val="top"/>
          </w:tcPr>
          <w:p w14:paraId="43270331">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915" w:type="dxa"/>
            <w:noWrap w:val="0"/>
            <w:vAlign w:val="top"/>
          </w:tcPr>
          <w:p w14:paraId="35133409">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3890" w:type="dxa"/>
            <w:noWrap w:val="0"/>
            <w:vAlign w:val="top"/>
          </w:tcPr>
          <w:p w14:paraId="68038B1C">
            <w:pPr>
              <w:pStyle w:val="105"/>
              <w:keepNext w:val="0"/>
              <w:keepLines w:val="0"/>
              <w:suppressLineNumbers w:val="0"/>
              <w:spacing w:before="0" w:beforeAutospacing="0" w:after="0" w:afterAutospacing="0" w:line="448" w:lineRule="exact"/>
              <w:ind w:left="0" w:right="0"/>
              <w:jc w:val="left"/>
              <w:rPr>
                <w:rFonts w:hint="default"/>
                <w:color w:val="auto"/>
                <w:sz w:val="24"/>
                <w:highlight w:val="none"/>
              </w:rPr>
            </w:pPr>
            <w:r>
              <w:rPr>
                <w:rFonts w:hint="default"/>
                <w:color w:val="auto"/>
                <w:sz w:val="24"/>
                <w:highlight w:val="none"/>
              </w:rPr>
              <w:t>地址：</w:t>
            </w:r>
          </w:p>
        </w:tc>
      </w:tr>
      <w:tr w14:paraId="366B1750">
        <w:tblPrEx>
          <w:tblCellMar>
            <w:top w:w="0" w:type="dxa"/>
            <w:left w:w="0" w:type="dxa"/>
            <w:bottom w:w="0" w:type="dxa"/>
            <w:right w:w="0" w:type="dxa"/>
          </w:tblCellMar>
        </w:tblPrEx>
        <w:trPr>
          <w:trHeight w:val="468" w:hRule="atLeast"/>
        </w:trPr>
        <w:tc>
          <w:tcPr>
            <w:tcW w:w="2060" w:type="dxa"/>
            <w:noWrap w:val="0"/>
            <w:vAlign w:val="top"/>
          </w:tcPr>
          <w:p w14:paraId="705FF600">
            <w:pPr>
              <w:pStyle w:val="105"/>
              <w:keepNext w:val="0"/>
              <w:keepLines w:val="0"/>
              <w:suppressLineNumbers w:val="0"/>
              <w:spacing w:before="0" w:beforeAutospacing="0" w:after="0" w:afterAutospacing="0" w:line="448" w:lineRule="exact"/>
              <w:ind w:left="50" w:right="0"/>
              <w:rPr>
                <w:rFonts w:hint="default"/>
                <w:color w:val="auto"/>
                <w:sz w:val="24"/>
                <w:highlight w:val="none"/>
              </w:rPr>
            </w:pPr>
            <w:r>
              <w:rPr>
                <w:rFonts w:hint="default"/>
                <w:color w:val="auto"/>
                <w:sz w:val="24"/>
                <w:highlight w:val="none"/>
              </w:rPr>
              <w:t>法定代表人</w:t>
            </w:r>
            <w:r>
              <w:rPr>
                <w:rFonts w:hint="eastAsia"/>
                <w:color w:val="auto"/>
                <w:sz w:val="24"/>
                <w:highlight w:val="none"/>
              </w:rPr>
              <w:t>（签字或盖章）</w:t>
            </w:r>
            <w:r>
              <w:rPr>
                <w:rFonts w:hint="default"/>
                <w:color w:val="auto"/>
                <w:sz w:val="24"/>
                <w:highlight w:val="none"/>
              </w:rPr>
              <w:t>：</w:t>
            </w:r>
          </w:p>
        </w:tc>
        <w:tc>
          <w:tcPr>
            <w:tcW w:w="720" w:type="dxa"/>
            <w:noWrap w:val="0"/>
            <w:vAlign w:val="top"/>
          </w:tcPr>
          <w:p w14:paraId="38C1BE59">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795" w:type="dxa"/>
            <w:noWrap w:val="0"/>
            <w:vAlign w:val="top"/>
          </w:tcPr>
          <w:p w14:paraId="2BE8E93D">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915" w:type="dxa"/>
            <w:noWrap w:val="0"/>
            <w:vAlign w:val="top"/>
          </w:tcPr>
          <w:p w14:paraId="596265B4">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3890" w:type="dxa"/>
            <w:noWrap w:val="0"/>
            <w:vAlign w:val="top"/>
          </w:tcPr>
          <w:p w14:paraId="4DDC2757">
            <w:pPr>
              <w:pStyle w:val="105"/>
              <w:keepNext w:val="0"/>
              <w:keepLines w:val="0"/>
              <w:suppressLineNumbers w:val="0"/>
              <w:spacing w:before="0" w:beforeAutospacing="0" w:after="0" w:afterAutospacing="0" w:line="448" w:lineRule="exact"/>
              <w:ind w:left="0" w:right="0"/>
              <w:rPr>
                <w:rFonts w:hint="eastAsia"/>
                <w:color w:val="auto"/>
                <w:sz w:val="24"/>
                <w:highlight w:val="none"/>
              </w:rPr>
            </w:pPr>
            <w:r>
              <w:rPr>
                <w:rFonts w:hint="default"/>
                <w:color w:val="auto"/>
                <w:sz w:val="24"/>
                <w:highlight w:val="none"/>
              </w:rPr>
              <w:t>法定代表人（</w:t>
            </w:r>
            <w:r>
              <w:rPr>
                <w:rFonts w:hint="eastAsia"/>
                <w:color w:val="auto"/>
                <w:sz w:val="24"/>
                <w:highlight w:val="none"/>
              </w:rPr>
              <w:t>签字</w:t>
            </w:r>
          </w:p>
          <w:p w14:paraId="4FE47ECD">
            <w:pPr>
              <w:pStyle w:val="105"/>
              <w:keepNext w:val="0"/>
              <w:keepLines w:val="0"/>
              <w:suppressLineNumbers w:val="0"/>
              <w:spacing w:before="0" w:beforeAutospacing="0" w:after="0" w:afterAutospacing="0" w:line="448" w:lineRule="exact"/>
              <w:ind w:left="0" w:right="0"/>
              <w:rPr>
                <w:rFonts w:hint="default"/>
                <w:color w:val="auto"/>
                <w:sz w:val="24"/>
                <w:highlight w:val="none"/>
              </w:rPr>
            </w:pPr>
            <w:r>
              <w:rPr>
                <w:rFonts w:hint="eastAsia"/>
                <w:color w:val="auto"/>
                <w:sz w:val="24"/>
                <w:highlight w:val="none"/>
              </w:rPr>
              <w:t>或盖章）</w:t>
            </w:r>
            <w:r>
              <w:rPr>
                <w:rFonts w:hint="default"/>
                <w:color w:val="auto"/>
                <w:sz w:val="24"/>
                <w:highlight w:val="none"/>
              </w:rPr>
              <w:t>：</w:t>
            </w:r>
          </w:p>
        </w:tc>
      </w:tr>
      <w:tr w14:paraId="06970A74">
        <w:tblPrEx>
          <w:tblCellMar>
            <w:top w:w="0" w:type="dxa"/>
            <w:left w:w="0" w:type="dxa"/>
            <w:bottom w:w="0" w:type="dxa"/>
            <w:right w:w="0" w:type="dxa"/>
          </w:tblCellMar>
        </w:tblPrEx>
        <w:trPr>
          <w:trHeight w:val="468" w:hRule="atLeast"/>
        </w:trPr>
        <w:tc>
          <w:tcPr>
            <w:tcW w:w="2060" w:type="dxa"/>
            <w:noWrap w:val="0"/>
            <w:vAlign w:val="top"/>
          </w:tcPr>
          <w:p w14:paraId="7D0F7EC1">
            <w:pPr>
              <w:pStyle w:val="105"/>
              <w:keepNext w:val="0"/>
              <w:keepLines w:val="0"/>
              <w:suppressLineNumbers w:val="0"/>
              <w:spacing w:before="0" w:beforeAutospacing="0" w:after="0" w:afterAutospacing="0" w:line="448" w:lineRule="exact"/>
              <w:ind w:left="50" w:right="0"/>
              <w:rPr>
                <w:rFonts w:hint="default"/>
                <w:color w:val="auto"/>
                <w:sz w:val="24"/>
                <w:highlight w:val="none"/>
              </w:rPr>
            </w:pPr>
            <w:r>
              <w:rPr>
                <w:rFonts w:hint="default"/>
                <w:color w:val="auto"/>
                <w:sz w:val="24"/>
                <w:highlight w:val="none"/>
              </w:rPr>
              <w:t>联系方式：</w:t>
            </w:r>
          </w:p>
        </w:tc>
        <w:tc>
          <w:tcPr>
            <w:tcW w:w="720" w:type="dxa"/>
            <w:noWrap w:val="0"/>
            <w:vAlign w:val="top"/>
          </w:tcPr>
          <w:p w14:paraId="6C448817">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795" w:type="dxa"/>
            <w:noWrap w:val="0"/>
            <w:vAlign w:val="top"/>
          </w:tcPr>
          <w:p w14:paraId="44C6C922">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915" w:type="dxa"/>
            <w:noWrap w:val="0"/>
            <w:vAlign w:val="top"/>
          </w:tcPr>
          <w:p w14:paraId="2CA751F0">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3890" w:type="dxa"/>
            <w:noWrap w:val="0"/>
            <w:vAlign w:val="top"/>
          </w:tcPr>
          <w:p w14:paraId="4446EFBD">
            <w:pPr>
              <w:pStyle w:val="105"/>
              <w:keepNext w:val="0"/>
              <w:keepLines w:val="0"/>
              <w:suppressLineNumbers w:val="0"/>
              <w:spacing w:before="0" w:beforeAutospacing="0" w:after="0" w:afterAutospacing="0" w:line="448" w:lineRule="exact"/>
              <w:ind w:left="0" w:right="0"/>
              <w:rPr>
                <w:rFonts w:hint="default"/>
                <w:color w:val="auto"/>
                <w:sz w:val="24"/>
                <w:highlight w:val="none"/>
              </w:rPr>
            </w:pPr>
            <w:r>
              <w:rPr>
                <w:rFonts w:hint="default"/>
                <w:color w:val="auto"/>
                <w:sz w:val="24"/>
                <w:highlight w:val="none"/>
              </w:rPr>
              <w:t>联系方式：</w:t>
            </w:r>
          </w:p>
        </w:tc>
      </w:tr>
      <w:tr w14:paraId="6E7DB707">
        <w:tblPrEx>
          <w:tblCellMar>
            <w:top w:w="0" w:type="dxa"/>
            <w:left w:w="0" w:type="dxa"/>
            <w:bottom w:w="0" w:type="dxa"/>
            <w:right w:w="0" w:type="dxa"/>
          </w:tblCellMar>
        </w:tblPrEx>
        <w:trPr>
          <w:trHeight w:val="467" w:hRule="atLeast"/>
        </w:trPr>
        <w:tc>
          <w:tcPr>
            <w:tcW w:w="2060" w:type="dxa"/>
            <w:noWrap w:val="0"/>
            <w:vAlign w:val="top"/>
          </w:tcPr>
          <w:p w14:paraId="16E4A569">
            <w:pPr>
              <w:pStyle w:val="105"/>
              <w:keepNext w:val="0"/>
              <w:keepLines w:val="0"/>
              <w:suppressLineNumbers w:val="0"/>
              <w:spacing w:before="0" w:beforeAutospacing="0" w:after="0" w:afterAutospacing="0" w:line="448" w:lineRule="exact"/>
              <w:ind w:left="50" w:right="0"/>
              <w:rPr>
                <w:rFonts w:hint="default"/>
                <w:color w:val="auto"/>
                <w:sz w:val="24"/>
                <w:highlight w:val="none"/>
              </w:rPr>
            </w:pPr>
            <w:r>
              <w:rPr>
                <w:rFonts w:hint="default"/>
                <w:color w:val="auto"/>
                <w:sz w:val="24"/>
                <w:highlight w:val="none"/>
              </w:rPr>
              <w:t>开户行：</w:t>
            </w:r>
          </w:p>
        </w:tc>
        <w:tc>
          <w:tcPr>
            <w:tcW w:w="720" w:type="dxa"/>
            <w:noWrap w:val="0"/>
            <w:vAlign w:val="top"/>
          </w:tcPr>
          <w:p w14:paraId="11AD4F70">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795" w:type="dxa"/>
            <w:noWrap w:val="0"/>
            <w:vAlign w:val="top"/>
          </w:tcPr>
          <w:p w14:paraId="1907EF58">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915" w:type="dxa"/>
            <w:noWrap w:val="0"/>
            <w:vAlign w:val="top"/>
          </w:tcPr>
          <w:p w14:paraId="786D24ED">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3890" w:type="dxa"/>
            <w:noWrap w:val="0"/>
            <w:vAlign w:val="top"/>
          </w:tcPr>
          <w:p w14:paraId="78DC9010">
            <w:pPr>
              <w:pStyle w:val="105"/>
              <w:keepNext w:val="0"/>
              <w:keepLines w:val="0"/>
              <w:suppressLineNumbers w:val="0"/>
              <w:spacing w:before="0" w:beforeAutospacing="0" w:after="0" w:afterAutospacing="0" w:line="448" w:lineRule="exact"/>
              <w:ind w:left="0" w:right="0"/>
              <w:rPr>
                <w:rFonts w:hint="default"/>
                <w:color w:val="auto"/>
                <w:sz w:val="24"/>
                <w:highlight w:val="none"/>
              </w:rPr>
            </w:pPr>
            <w:r>
              <w:rPr>
                <w:rFonts w:hint="default"/>
                <w:color w:val="auto"/>
                <w:sz w:val="24"/>
                <w:highlight w:val="none"/>
              </w:rPr>
              <w:t>开户行：</w:t>
            </w:r>
          </w:p>
        </w:tc>
      </w:tr>
      <w:tr w14:paraId="1371D9CA">
        <w:tblPrEx>
          <w:tblCellMar>
            <w:top w:w="0" w:type="dxa"/>
            <w:left w:w="0" w:type="dxa"/>
            <w:bottom w:w="0" w:type="dxa"/>
            <w:right w:w="0" w:type="dxa"/>
          </w:tblCellMar>
        </w:tblPrEx>
        <w:trPr>
          <w:trHeight w:val="468" w:hRule="atLeast"/>
        </w:trPr>
        <w:tc>
          <w:tcPr>
            <w:tcW w:w="2060" w:type="dxa"/>
            <w:noWrap w:val="0"/>
            <w:vAlign w:val="top"/>
          </w:tcPr>
          <w:p w14:paraId="55EEEF29">
            <w:pPr>
              <w:pStyle w:val="105"/>
              <w:keepNext w:val="0"/>
              <w:keepLines w:val="0"/>
              <w:suppressLineNumbers w:val="0"/>
              <w:spacing w:before="0" w:beforeAutospacing="0" w:after="0" w:afterAutospacing="0" w:line="448" w:lineRule="exact"/>
              <w:ind w:left="50" w:right="0"/>
              <w:rPr>
                <w:rFonts w:hint="default"/>
                <w:color w:val="auto"/>
                <w:sz w:val="24"/>
                <w:highlight w:val="none"/>
              </w:rPr>
            </w:pPr>
            <w:r>
              <w:rPr>
                <w:rFonts w:hint="default"/>
                <w:color w:val="auto"/>
                <w:sz w:val="24"/>
                <w:highlight w:val="none"/>
              </w:rPr>
              <w:t>账号：</w:t>
            </w:r>
          </w:p>
        </w:tc>
        <w:tc>
          <w:tcPr>
            <w:tcW w:w="720" w:type="dxa"/>
            <w:noWrap w:val="0"/>
            <w:vAlign w:val="top"/>
          </w:tcPr>
          <w:p w14:paraId="5DA96F62">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795" w:type="dxa"/>
            <w:noWrap w:val="0"/>
            <w:vAlign w:val="top"/>
          </w:tcPr>
          <w:p w14:paraId="72D88EE7">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915" w:type="dxa"/>
            <w:noWrap w:val="0"/>
            <w:vAlign w:val="top"/>
          </w:tcPr>
          <w:p w14:paraId="4CC3893F">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c>
          <w:tcPr>
            <w:tcW w:w="3890" w:type="dxa"/>
            <w:noWrap w:val="0"/>
            <w:vAlign w:val="top"/>
          </w:tcPr>
          <w:p w14:paraId="14BEE6AC">
            <w:pPr>
              <w:pStyle w:val="105"/>
              <w:keepNext w:val="0"/>
              <w:keepLines w:val="0"/>
              <w:suppressLineNumbers w:val="0"/>
              <w:spacing w:before="0" w:beforeAutospacing="0" w:after="0" w:afterAutospacing="0" w:line="448" w:lineRule="exact"/>
              <w:ind w:left="0" w:right="0"/>
              <w:rPr>
                <w:rFonts w:hint="default"/>
                <w:color w:val="auto"/>
                <w:sz w:val="24"/>
                <w:highlight w:val="none"/>
              </w:rPr>
            </w:pPr>
            <w:r>
              <w:rPr>
                <w:rFonts w:hint="default"/>
                <w:color w:val="auto"/>
                <w:sz w:val="24"/>
                <w:highlight w:val="none"/>
              </w:rPr>
              <w:t>账号：</w:t>
            </w:r>
          </w:p>
        </w:tc>
      </w:tr>
      <w:tr w14:paraId="5B9AC5CD">
        <w:tblPrEx>
          <w:tblCellMar>
            <w:top w:w="0" w:type="dxa"/>
            <w:left w:w="0" w:type="dxa"/>
            <w:bottom w:w="0" w:type="dxa"/>
            <w:right w:w="0" w:type="dxa"/>
          </w:tblCellMar>
        </w:tblPrEx>
        <w:trPr>
          <w:trHeight w:val="354" w:hRule="atLeast"/>
        </w:trPr>
        <w:tc>
          <w:tcPr>
            <w:tcW w:w="2060" w:type="dxa"/>
            <w:noWrap w:val="0"/>
            <w:vAlign w:val="top"/>
          </w:tcPr>
          <w:p w14:paraId="2389C143">
            <w:pPr>
              <w:pStyle w:val="105"/>
              <w:keepNext w:val="0"/>
              <w:keepLines w:val="0"/>
              <w:suppressLineNumbers w:val="0"/>
              <w:spacing w:before="0" w:beforeAutospacing="0" w:after="0" w:afterAutospacing="0" w:line="334" w:lineRule="exact"/>
              <w:ind w:left="50" w:right="0"/>
              <w:rPr>
                <w:rFonts w:hint="default"/>
                <w:color w:val="auto"/>
                <w:sz w:val="24"/>
                <w:highlight w:val="none"/>
              </w:rPr>
            </w:pPr>
            <w:r>
              <w:rPr>
                <w:rFonts w:hint="default"/>
                <w:color w:val="auto"/>
                <w:sz w:val="24"/>
                <w:highlight w:val="none"/>
              </w:rPr>
              <w:t>签字日期：</w:t>
            </w:r>
          </w:p>
        </w:tc>
        <w:tc>
          <w:tcPr>
            <w:tcW w:w="720" w:type="dxa"/>
            <w:noWrap w:val="0"/>
            <w:vAlign w:val="top"/>
          </w:tcPr>
          <w:p w14:paraId="1EDBAF6F">
            <w:pPr>
              <w:pStyle w:val="105"/>
              <w:keepNext w:val="0"/>
              <w:keepLines w:val="0"/>
              <w:suppressLineNumbers w:val="0"/>
              <w:spacing w:before="0" w:beforeAutospacing="0" w:after="0" w:afterAutospacing="0" w:line="334" w:lineRule="exact"/>
              <w:ind w:left="179" w:right="0"/>
              <w:rPr>
                <w:rFonts w:hint="default"/>
                <w:color w:val="auto"/>
                <w:sz w:val="24"/>
                <w:highlight w:val="none"/>
              </w:rPr>
            </w:pPr>
            <w:r>
              <w:rPr>
                <w:rFonts w:hint="default"/>
                <w:color w:val="auto"/>
                <w:sz w:val="24"/>
                <w:highlight w:val="none"/>
              </w:rPr>
              <w:t>年</w:t>
            </w:r>
          </w:p>
        </w:tc>
        <w:tc>
          <w:tcPr>
            <w:tcW w:w="795" w:type="dxa"/>
            <w:noWrap w:val="0"/>
            <w:vAlign w:val="top"/>
          </w:tcPr>
          <w:p w14:paraId="3968936B">
            <w:pPr>
              <w:pStyle w:val="105"/>
              <w:keepNext w:val="0"/>
              <w:keepLines w:val="0"/>
              <w:suppressLineNumbers w:val="0"/>
              <w:spacing w:before="0" w:beforeAutospacing="0" w:after="0" w:afterAutospacing="0" w:line="334" w:lineRule="exact"/>
              <w:ind w:left="179" w:right="0"/>
              <w:rPr>
                <w:rFonts w:hint="default"/>
                <w:color w:val="auto"/>
                <w:sz w:val="24"/>
                <w:highlight w:val="none"/>
              </w:rPr>
            </w:pPr>
            <w:r>
              <w:rPr>
                <w:rFonts w:hint="default"/>
                <w:color w:val="auto"/>
                <w:sz w:val="24"/>
                <w:highlight w:val="none"/>
              </w:rPr>
              <w:t>月</w:t>
            </w:r>
          </w:p>
        </w:tc>
        <w:tc>
          <w:tcPr>
            <w:tcW w:w="915" w:type="dxa"/>
            <w:noWrap w:val="0"/>
            <w:vAlign w:val="top"/>
          </w:tcPr>
          <w:p w14:paraId="6D90C475">
            <w:pPr>
              <w:pStyle w:val="105"/>
              <w:keepNext w:val="0"/>
              <w:keepLines w:val="0"/>
              <w:suppressLineNumbers w:val="0"/>
              <w:spacing w:before="0" w:beforeAutospacing="0" w:after="0" w:afterAutospacing="0" w:line="334" w:lineRule="exact"/>
              <w:ind w:left="179" w:right="0"/>
              <w:rPr>
                <w:rFonts w:hint="default"/>
                <w:color w:val="auto"/>
                <w:sz w:val="24"/>
                <w:highlight w:val="none"/>
              </w:rPr>
            </w:pPr>
            <w:r>
              <w:rPr>
                <w:rFonts w:hint="default"/>
                <w:color w:val="auto"/>
                <w:sz w:val="24"/>
                <w:highlight w:val="none"/>
              </w:rPr>
              <w:t>日</w:t>
            </w:r>
          </w:p>
        </w:tc>
        <w:tc>
          <w:tcPr>
            <w:tcW w:w="3890" w:type="dxa"/>
            <w:noWrap w:val="0"/>
            <w:vAlign w:val="top"/>
          </w:tcPr>
          <w:p w14:paraId="3E955F8D">
            <w:pPr>
              <w:pStyle w:val="105"/>
              <w:keepNext w:val="0"/>
              <w:keepLines w:val="0"/>
              <w:suppressLineNumbers w:val="0"/>
              <w:spacing w:before="0" w:beforeAutospacing="0" w:after="0" w:afterAutospacing="0"/>
              <w:ind w:left="0" w:right="0"/>
              <w:rPr>
                <w:rFonts w:hint="default" w:ascii="Times New Roman"/>
                <w:color w:val="auto"/>
                <w:sz w:val="22"/>
                <w:highlight w:val="none"/>
              </w:rPr>
            </w:pPr>
          </w:p>
        </w:tc>
      </w:tr>
    </w:tbl>
    <w:p w14:paraId="79016D65">
      <w:pPr>
        <w:pStyle w:val="16"/>
        <w:widowControl/>
        <w:spacing w:line="360" w:lineRule="auto"/>
        <w:rPr>
          <w:rFonts w:hint="eastAsia" w:ascii="宋体" w:hAnsi="宋体" w:cs="宋体"/>
          <w:b/>
          <w:color w:val="auto"/>
          <w:sz w:val="24"/>
          <w:highlight w:val="none"/>
        </w:rPr>
      </w:pPr>
    </w:p>
    <w:p w14:paraId="632104E3">
      <w:pPr>
        <w:pStyle w:val="5"/>
        <w:spacing w:line="360" w:lineRule="auto"/>
        <w:jc w:val="center"/>
        <w:rPr>
          <w:rFonts w:hint="eastAsia" w:ascii="宋体" w:hAnsi="宋体" w:cs="宋体"/>
          <w:bCs w:val="0"/>
          <w:color w:val="auto"/>
          <w:szCs w:val="18"/>
          <w:highlight w:val="none"/>
        </w:rPr>
      </w:pPr>
      <w:r>
        <w:rPr>
          <w:rFonts w:hint="eastAsia" w:hAnsi="宋体"/>
          <w:color w:val="auto"/>
          <w:sz w:val="32"/>
          <w:szCs w:val="32"/>
          <w:highlight w:val="none"/>
        </w:rPr>
        <w:br w:type="page"/>
      </w:r>
      <w:r>
        <w:rPr>
          <w:rFonts w:hint="eastAsia" w:ascii="宋体" w:hAnsi="宋体" w:cs="宋体"/>
          <w:color w:val="auto"/>
          <w:highlight w:val="none"/>
        </w:rPr>
        <w:t>项目廉政责任书</w:t>
      </w:r>
    </w:p>
    <w:p w14:paraId="101CE858">
      <w:pPr>
        <w:spacing w:line="360" w:lineRule="auto"/>
        <w:ind w:right="-108"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台州市开发投资集团有限公司国产化适配项目</w:t>
      </w:r>
    </w:p>
    <w:p w14:paraId="58C6F3D0">
      <w:pPr>
        <w:spacing w:line="360" w:lineRule="auto"/>
        <w:ind w:right="-108"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项目地址：                                                           </w:t>
      </w:r>
    </w:p>
    <w:p w14:paraId="1CFABC66">
      <w:pPr>
        <w:pStyle w:val="15"/>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xml:space="preserve">采购单位（甲方）：台州市开发投资集团有限公司                              </w:t>
      </w:r>
    </w:p>
    <w:p w14:paraId="257C6023">
      <w:pPr>
        <w:pStyle w:val="15"/>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xml:space="preserve">中标单位（乙方）：                                                        </w:t>
      </w:r>
    </w:p>
    <w:p w14:paraId="083CAC49">
      <w:pPr>
        <w:pStyle w:val="15"/>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为加强采购过程中的廉政建设，规范项目双方的各项活动，防止发生各种谋取不正当利益的违法违纪行为，保护国家、集体和当事人的合法权益，根据国家有关的法律法规和廉政建设责任制规定，特订立本廉政责任书。</w:t>
      </w:r>
    </w:p>
    <w:p w14:paraId="23AD5029">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第一条 甲乙双方的责任</w:t>
      </w:r>
    </w:p>
    <w:p w14:paraId="24445D9A">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（一）应严格遵守国家关于市场准入、项目招标投标、市场活动等有关法律、法规，相关政策，以及廉政建设的各项规定。</w:t>
      </w:r>
    </w:p>
    <w:p w14:paraId="6A4BC70D">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（二）严格执行项目合同文件，自觉按合同办事。</w:t>
      </w:r>
    </w:p>
    <w:p w14:paraId="4358BDF9">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（三）业务活动必须坚持公开、公平、公正、诚信、透明的原则（除法律法规另有规定者外），不得为获取不正当的利益，损害国家、集体和对方利益。</w:t>
      </w:r>
    </w:p>
    <w:p w14:paraId="79FF581F">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（四）发现对方在业务活动中有违规、违纪、违法行为的，应及时提醒对方，情节严重的，应向其上级主管部门或纪检监察、司法等有关机关举报。</w:t>
      </w:r>
    </w:p>
    <w:p w14:paraId="271AB376">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第二条 甲方的责任</w:t>
      </w:r>
    </w:p>
    <w:p w14:paraId="0E652C5C">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甲方的领导和从事该项目的工作人员，在采购的事前、事中、事后应遵守以下规定：</w:t>
      </w:r>
    </w:p>
    <w:p w14:paraId="2E8576BC">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（一）不准向乙方和相关单位索要或接受回扣、礼金、有价证券、贵重物品和好处费、感谢费等。</w:t>
      </w:r>
    </w:p>
    <w:p w14:paraId="0C4C3F7C">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（二）不准在乙方和相关单位报销任何应由甲方或个人支付的费用。</w:t>
      </w:r>
    </w:p>
    <w:p w14:paraId="35C6E51C">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（三）不准要求、暗示和接受乙方和相关单位为个人装修住房、婚丧嫁娶、配偶子女的工作安排以及出国（境）、旅游等提供方便。</w:t>
      </w:r>
    </w:p>
    <w:p w14:paraId="29AE7416">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（四）不准参加有可能影响公正执行公务的乙方和相关单位的宴请和健身、娱乐等活动。</w:t>
      </w:r>
    </w:p>
    <w:p w14:paraId="381DBD82">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（五）不准向乙方介绍或为配偶、子女、亲属参与同甲方项目合同有关的设备、材料、项目分包、劳务等经济活动。不得以任何理由向乙方和相关单位要求购买项目合同规定以外的材料、设备等。</w:t>
      </w:r>
    </w:p>
    <w:p w14:paraId="23A400EE">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第三条 乙方的责任</w:t>
      </w:r>
    </w:p>
    <w:p w14:paraId="7C1225B2">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应与甲方保持正常的业务交往，按照有关法律法规和程序开展业务工作，严格执行项目建设的有关方针、政策，并遵守以下规定：</w:t>
      </w:r>
    </w:p>
    <w:p w14:paraId="058C2050">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（一）不准以任何理由向甲方、相关单位及其工作人员索要、接受或赠送礼金、有价证券、贵重物品和回扣、好处费、感谢费等。</w:t>
      </w:r>
    </w:p>
    <w:p w14:paraId="3A974A67">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（二）不准以任何理由为甲方和相关单位报销应由对方或个人支付的费用。</w:t>
      </w:r>
    </w:p>
    <w:p w14:paraId="62493B19">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（三）不准接受或暗示为甲方、相关单位或个人装修住房、婚丧嫁娶、配偶子女的工作安排以及出国（境）、旅游等提供方便。</w:t>
      </w:r>
    </w:p>
    <w:p w14:paraId="3BB33263">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（四）不准以任何理由为甲方、相关单位或个人组织有可能影响公正执行公务的宴请、健身、娱乐等活动。</w:t>
      </w:r>
    </w:p>
    <w:p w14:paraId="442BF0E8">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第四条 违约责任</w:t>
      </w:r>
    </w:p>
    <w:p w14:paraId="0E3F5CFB">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C37614A">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C840F02">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第五条 本责任书作为合同的附件，与合同具有同等法律效力。经双方签署后立即生效。</w:t>
      </w:r>
    </w:p>
    <w:p w14:paraId="620B5B7E">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第六条 本责任书的有效期为双方签署之日起至该项目验收合格时止。</w:t>
      </w:r>
    </w:p>
    <w:p w14:paraId="32914A70">
      <w:pPr>
        <w:pStyle w:val="15"/>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第七条 本责任书一式</w:t>
      </w:r>
      <w:r>
        <w:rPr>
          <w:rFonts w:hint="eastAsia" w:ascii="宋体" w:eastAsia="宋体" w:cs="宋体"/>
          <w:b w:val="0"/>
          <w:bCs w:val="0"/>
          <w:color w:val="auto"/>
          <w:szCs w:val="24"/>
          <w:highlight w:val="none"/>
          <w:u w:val="single"/>
        </w:rPr>
        <w:t xml:space="preserve">   </w:t>
      </w:r>
      <w:r>
        <w:rPr>
          <w:rFonts w:hint="eastAsia" w:ascii="宋体" w:eastAsia="宋体" w:cs="宋体"/>
          <w:b w:val="0"/>
          <w:bCs w:val="0"/>
          <w:color w:val="auto"/>
          <w:szCs w:val="24"/>
          <w:highlight w:val="none"/>
        </w:rPr>
        <w:t>份，由甲乙双方各执</w:t>
      </w:r>
      <w:r>
        <w:rPr>
          <w:rFonts w:hint="eastAsia" w:ascii="宋体" w:eastAsia="宋体" w:cs="宋体"/>
          <w:b w:val="0"/>
          <w:bCs w:val="0"/>
          <w:color w:val="auto"/>
          <w:szCs w:val="24"/>
          <w:highlight w:val="none"/>
          <w:u w:val="single"/>
        </w:rPr>
        <w:t xml:space="preserve">   </w:t>
      </w:r>
      <w:r>
        <w:rPr>
          <w:rFonts w:hint="eastAsia" w:ascii="宋体" w:eastAsia="宋体" w:cs="宋体"/>
          <w:b w:val="0"/>
          <w:bCs w:val="0"/>
          <w:color w:val="auto"/>
          <w:szCs w:val="24"/>
          <w:highlight w:val="none"/>
        </w:rPr>
        <w:t>份。</w:t>
      </w:r>
    </w:p>
    <w:p w14:paraId="61A3342A">
      <w:pPr>
        <w:pStyle w:val="15"/>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甲方单位：（盖章）　　　　　　　　             乙方单位：（盖章）</w:t>
      </w:r>
    </w:p>
    <w:p w14:paraId="4B065289">
      <w:pPr>
        <w:pStyle w:val="15"/>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法定代表人：　　　　　　　　　               　法定代表人：</w:t>
      </w:r>
    </w:p>
    <w:p w14:paraId="48FD8021">
      <w:pPr>
        <w:pStyle w:val="15"/>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地址：　　　　　　　　　　　　　               地址：</w:t>
      </w:r>
    </w:p>
    <w:p w14:paraId="3ECFAAB9">
      <w:pPr>
        <w:pStyle w:val="15"/>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电话：　　　　　　　　　　　　　　　           电话：</w:t>
      </w:r>
    </w:p>
    <w:p w14:paraId="687CBA83">
      <w:pPr>
        <w:pStyle w:val="15"/>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xml:space="preserve">   年　月　日　　　　　　　　　　　　　         　　年　月　日</w:t>
      </w:r>
    </w:p>
    <w:p w14:paraId="3CCE6224">
      <w:pPr>
        <w:pStyle w:val="16"/>
        <w:widowControl/>
        <w:spacing w:line="360" w:lineRule="auto"/>
        <w:rPr>
          <w:rFonts w:hint="eastAsia" w:ascii="宋体" w:hAnsi="宋体" w:cs="宋体"/>
          <w:b/>
          <w:color w:val="auto"/>
          <w:sz w:val="24"/>
          <w:highlight w:val="none"/>
        </w:rPr>
      </w:pPr>
    </w:p>
    <w:p w14:paraId="6124CF33">
      <w:pPr>
        <w:spacing w:line="400" w:lineRule="exact"/>
        <w:jc w:val="center"/>
        <w:rPr>
          <w:rFonts w:eastAsia="黑体"/>
          <w:b/>
          <w:bCs/>
          <w:color w:val="auto"/>
          <w:sz w:val="32"/>
          <w:highlight w:val="none"/>
        </w:rPr>
      </w:pPr>
      <w:r>
        <w:rPr>
          <w:rFonts w:hint="eastAsia" w:hAnsi="宋体"/>
          <w:color w:val="auto"/>
          <w:sz w:val="32"/>
          <w:szCs w:val="32"/>
          <w:highlight w:val="none"/>
        </w:rPr>
        <w:br w:type="page"/>
      </w:r>
      <w:bookmarkEnd w:id="26"/>
      <w:bookmarkStart w:id="27" w:name="_Toc152045786"/>
      <w:bookmarkStart w:id="28" w:name="_Toc152042575"/>
      <w:bookmarkStart w:id="29" w:name="_Toc144974855"/>
      <w:bookmarkStart w:id="30" w:name="_Toc184281693"/>
      <w:bookmarkStart w:id="31" w:name="_Toc343495772"/>
      <w:bookmarkStart w:id="32" w:name="_Toc184281694"/>
      <w:bookmarkStart w:id="33" w:name="_Toc386005314"/>
      <w:r>
        <w:rPr>
          <w:rFonts w:hint="eastAsia" w:eastAsia="黑体"/>
          <w:color w:val="auto"/>
          <w:sz w:val="32"/>
          <w:highlight w:val="none"/>
        </w:rPr>
        <w:t>第六章投标文件格式</w:t>
      </w:r>
      <w:bookmarkEnd w:id="27"/>
      <w:bookmarkEnd w:id="28"/>
      <w:bookmarkEnd w:id="29"/>
    </w:p>
    <w:p w14:paraId="4DAC4240">
      <w:pPr>
        <w:pStyle w:val="95"/>
        <w:ind w:firstLine="140" w:firstLineChars="50"/>
        <w:jc w:val="left"/>
        <w:rPr>
          <w:color w:val="auto"/>
          <w:highlight w:val="none"/>
        </w:rPr>
      </w:pPr>
      <w:bookmarkStart w:id="34" w:name="_Toc13212"/>
      <w:r>
        <w:rPr>
          <w:rFonts w:hint="eastAsia"/>
          <w:color w:val="auto"/>
          <w:highlight w:val="none"/>
        </w:rPr>
        <w:t>格式一</w:t>
      </w:r>
      <w:bookmarkEnd w:id="34"/>
    </w:p>
    <w:p w14:paraId="42437806">
      <w:pPr>
        <w:spacing w:line="360" w:lineRule="auto"/>
        <w:ind w:firstLine="480"/>
        <w:jc w:val="center"/>
        <w:rPr>
          <w:color w:val="auto"/>
          <w:sz w:val="24"/>
          <w:highlight w:val="none"/>
        </w:rPr>
      </w:pP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06CDDA2B">
      <w:pPr>
        <w:spacing w:line="360" w:lineRule="auto"/>
        <w:jc w:val="center"/>
        <w:rPr>
          <w:b/>
          <w:color w:val="auto"/>
          <w:sz w:val="32"/>
          <w:szCs w:val="32"/>
          <w:highlight w:val="none"/>
        </w:rPr>
      </w:pPr>
      <w:r>
        <w:rPr>
          <w:rFonts w:hint="eastAsia"/>
          <w:b/>
          <w:color w:val="auto"/>
          <w:sz w:val="32"/>
          <w:szCs w:val="32"/>
          <w:highlight w:val="none"/>
        </w:rPr>
        <w:t>诚信投标承诺书</w:t>
      </w:r>
    </w:p>
    <w:p w14:paraId="1F892F93">
      <w:pPr>
        <w:adjustRightInd w:val="0"/>
        <w:snapToGrid w:val="0"/>
        <w:spacing w:line="586" w:lineRule="exact"/>
        <w:ind w:firstLine="624" w:firstLineChars="223"/>
        <w:rPr>
          <w:color w:val="auto"/>
          <w:szCs w:val="28"/>
          <w:highlight w:val="none"/>
        </w:rPr>
      </w:pPr>
      <w:r>
        <w:rPr>
          <w:rFonts w:hint="eastAsia"/>
          <w:color w:val="auto"/>
          <w:szCs w:val="28"/>
          <w:highlight w:val="none"/>
        </w:rPr>
        <w:t>本人以企业法定代表人的身份郑重承诺：</w:t>
      </w:r>
    </w:p>
    <w:p w14:paraId="46945A5E">
      <w:pPr>
        <w:adjustRightInd w:val="0"/>
        <w:snapToGrid w:val="0"/>
        <w:spacing w:line="586" w:lineRule="exact"/>
        <w:ind w:left="599" w:leftChars="214"/>
        <w:jc w:val="left"/>
        <w:rPr>
          <w:color w:val="auto"/>
          <w:szCs w:val="28"/>
          <w:highlight w:val="none"/>
        </w:rPr>
      </w:pPr>
      <w:r>
        <w:rPr>
          <w:rFonts w:hint="eastAsia"/>
          <w:color w:val="auto"/>
          <w:szCs w:val="28"/>
          <w:highlight w:val="none"/>
        </w:rPr>
        <w:t>一、将遵循公开、公平、公正和诚实信用的原则参加</w:t>
      </w:r>
      <w:r>
        <w:rPr>
          <w:color w:val="auto"/>
          <w:szCs w:val="28"/>
          <w:highlight w:val="none"/>
          <w:u w:val="single"/>
        </w:rPr>
        <w:t xml:space="preserve">                  </w:t>
      </w:r>
      <w:r>
        <w:rPr>
          <w:rFonts w:hint="eastAsia"/>
          <w:color w:val="auto"/>
          <w:szCs w:val="28"/>
          <w:highlight w:val="none"/>
        </w:rPr>
        <w:t>（工程项目名称）的投标；</w:t>
      </w:r>
    </w:p>
    <w:p w14:paraId="1FBABA04">
      <w:pPr>
        <w:adjustRightInd w:val="0"/>
        <w:snapToGrid w:val="0"/>
        <w:spacing w:line="586" w:lineRule="exact"/>
        <w:ind w:firstLine="610" w:firstLineChars="218"/>
        <w:rPr>
          <w:color w:val="auto"/>
          <w:szCs w:val="28"/>
          <w:highlight w:val="none"/>
        </w:rPr>
      </w:pPr>
      <w:r>
        <w:rPr>
          <w:rFonts w:hint="eastAsia"/>
          <w:color w:val="auto"/>
          <w:szCs w:val="28"/>
          <w:highlight w:val="none"/>
        </w:rPr>
        <w:t>二、所提供的一切材料都是真实、有效、合法的；</w:t>
      </w:r>
    </w:p>
    <w:p w14:paraId="0F500AF4">
      <w:pPr>
        <w:adjustRightInd w:val="0"/>
        <w:snapToGrid w:val="0"/>
        <w:spacing w:line="586" w:lineRule="exact"/>
        <w:ind w:firstLine="624" w:firstLineChars="223"/>
        <w:rPr>
          <w:color w:val="auto"/>
          <w:szCs w:val="28"/>
          <w:highlight w:val="none"/>
        </w:rPr>
      </w:pPr>
      <w:r>
        <w:rPr>
          <w:rFonts w:hint="eastAsia"/>
          <w:color w:val="auto"/>
          <w:szCs w:val="28"/>
          <w:highlight w:val="none"/>
        </w:rPr>
        <w:t>三、不与其他投标人相互串通投标报价，不排挤其他投标人的公平竞争，不损害招标人或其他投标人的合法权益；</w:t>
      </w:r>
    </w:p>
    <w:p w14:paraId="7513EB51">
      <w:pPr>
        <w:adjustRightInd w:val="0"/>
        <w:snapToGrid w:val="0"/>
        <w:spacing w:line="586" w:lineRule="exact"/>
        <w:ind w:firstLine="646" w:firstLineChars="231"/>
        <w:rPr>
          <w:color w:val="auto"/>
          <w:szCs w:val="28"/>
          <w:highlight w:val="none"/>
        </w:rPr>
      </w:pPr>
      <w:r>
        <w:rPr>
          <w:rFonts w:hint="eastAsia"/>
          <w:color w:val="auto"/>
          <w:szCs w:val="28"/>
          <w:highlight w:val="none"/>
        </w:rPr>
        <w:t>四、不与招标人或招标代理机构串通投标，损害国家利益、社会公共利益或者他人的合法权益；</w:t>
      </w:r>
    </w:p>
    <w:p w14:paraId="0EE9DA40">
      <w:pPr>
        <w:adjustRightInd w:val="0"/>
        <w:snapToGrid w:val="0"/>
        <w:spacing w:line="586" w:lineRule="exact"/>
        <w:ind w:firstLine="646" w:firstLineChars="231"/>
        <w:rPr>
          <w:color w:val="auto"/>
          <w:szCs w:val="28"/>
          <w:highlight w:val="none"/>
        </w:rPr>
      </w:pPr>
      <w:r>
        <w:rPr>
          <w:rFonts w:hint="eastAsia"/>
          <w:color w:val="auto"/>
          <w:szCs w:val="28"/>
          <w:highlight w:val="none"/>
        </w:rPr>
        <w:t>五、不向招标人或者评标委员会成员行贿以牟取中标；</w:t>
      </w:r>
    </w:p>
    <w:p w14:paraId="5F43F95B">
      <w:pPr>
        <w:adjustRightInd w:val="0"/>
        <w:snapToGrid w:val="0"/>
        <w:spacing w:line="586" w:lineRule="exact"/>
        <w:ind w:firstLine="672" w:firstLineChars="240"/>
        <w:rPr>
          <w:color w:val="auto"/>
          <w:szCs w:val="28"/>
          <w:highlight w:val="none"/>
        </w:rPr>
      </w:pPr>
      <w:r>
        <w:rPr>
          <w:rFonts w:hint="eastAsia"/>
          <w:color w:val="auto"/>
          <w:szCs w:val="28"/>
          <w:highlight w:val="none"/>
        </w:rPr>
        <w:t>六、不以他人名义投标或者以其他方式弄虚作假，骗取中标。</w:t>
      </w:r>
    </w:p>
    <w:p w14:paraId="2983A6BC">
      <w:pPr>
        <w:adjustRightInd w:val="0"/>
        <w:snapToGrid w:val="0"/>
        <w:spacing w:line="586" w:lineRule="exact"/>
        <w:ind w:firstLine="672" w:firstLineChars="240"/>
        <w:rPr>
          <w:color w:val="auto"/>
          <w:szCs w:val="28"/>
          <w:highlight w:val="none"/>
        </w:rPr>
      </w:pPr>
      <w:r>
        <w:rPr>
          <w:rFonts w:hint="eastAsia"/>
          <w:color w:val="auto"/>
          <w:szCs w:val="28"/>
          <w:highlight w:val="none"/>
        </w:rPr>
        <w:t>七、本公司（如联合体投标，为联合体双方）的投标资格已按照招标文件约定的逐条自查，并如实填写。如招标人需要调查了解的，本公司负责本次投标的主管人员（分管经营的副总）将积极配合。</w:t>
      </w:r>
    </w:p>
    <w:p w14:paraId="718D8BA7">
      <w:pPr>
        <w:adjustRightInd w:val="0"/>
        <w:snapToGrid w:val="0"/>
        <w:spacing w:line="586" w:lineRule="exact"/>
        <w:ind w:firstLine="672" w:firstLineChars="240"/>
        <w:rPr>
          <w:color w:val="auto"/>
          <w:szCs w:val="28"/>
          <w:highlight w:val="none"/>
          <w:u w:val="single"/>
        </w:rPr>
      </w:pPr>
      <w:r>
        <w:rPr>
          <w:rFonts w:hint="eastAsia"/>
          <w:color w:val="auto"/>
          <w:szCs w:val="28"/>
          <w:highlight w:val="none"/>
        </w:rPr>
        <w:t>投标文件编制人员：</w:t>
      </w:r>
      <w:r>
        <w:rPr>
          <w:rFonts w:hint="eastAsia"/>
          <w:color w:val="auto"/>
          <w:szCs w:val="28"/>
          <w:highlight w:val="none"/>
          <w:u w:val="single"/>
        </w:rPr>
        <w:t xml:space="preserve">        </w:t>
      </w:r>
      <w:r>
        <w:rPr>
          <w:rFonts w:hint="eastAsia"/>
          <w:color w:val="auto"/>
          <w:szCs w:val="28"/>
          <w:highlight w:val="none"/>
        </w:rPr>
        <w:t>，手机号码：</w:t>
      </w:r>
      <w:r>
        <w:rPr>
          <w:rFonts w:hint="eastAsia"/>
          <w:color w:val="auto"/>
          <w:szCs w:val="28"/>
          <w:highlight w:val="none"/>
          <w:u w:val="single"/>
        </w:rPr>
        <w:t xml:space="preserve">         </w:t>
      </w:r>
      <w:r>
        <w:rPr>
          <w:rFonts w:hint="eastAsia"/>
          <w:color w:val="auto"/>
          <w:szCs w:val="28"/>
          <w:highlight w:val="none"/>
        </w:rPr>
        <w:t>。</w:t>
      </w:r>
    </w:p>
    <w:p w14:paraId="5EE44C05">
      <w:pPr>
        <w:adjustRightInd w:val="0"/>
        <w:snapToGrid w:val="0"/>
        <w:spacing w:line="586" w:lineRule="exact"/>
        <w:ind w:firstLine="672" w:firstLineChars="240"/>
        <w:rPr>
          <w:color w:val="auto"/>
          <w:szCs w:val="28"/>
          <w:highlight w:val="none"/>
        </w:rPr>
      </w:pPr>
      <w:r>
        <w:rPr>
          <w:rFonts w:hint="eastAsia"/>
          <w:color w:val="auto"/>
          <w:szCs w:val="28"/>
          <w:highlight w:val="none"/>
        </w:rPr>
        <w:t>本公司若有违反本承诺内容的行为，愿意承担法律责任，并愿意接受招投标行政监督部门的任何处理。如已中标的，自动放弃中标资格；给招标人造成损失的，依法承担赔偿责任。</w:t>
      </w:r>
    </w:p>
    <w:p w14:paraId="118AB34D">
      <w:pPr>
        <w:adjustRightInd w:val="0"/>
        <w:snapToGrid w:val="0"/>
        <w:spacing w:line="586" w:lineRule="exact"/>
        <w:rPr>
          <w:color w:val="auto"/>
          <w:szCs w:val="28"/>
          <w:highlight w:val="none"/>
        </w:rPr>
      </w:pPr>
      <w:r>
        <w:rPr>
          <w:rFonts w:hint="eastAsia"/>
          <w:color w:val="auto"/>
          <w:szCs w:val="28"/>
          <w:highlight w:val="none"/>
        </w:rPr>
        <w:t>法定代表人（签字或盖章）：</w:t>
      </w:r>
    </w:p>
    <w:p w14:paraId="230814E4">
      <w:pPr>
        <w:adjustRightInd w:val="0"/>
        <w:snapToGrid w:val="0"/>
        <w:spacing w:line="586" w:lineRule="exact"/>
        <w:rPr>
          <w:color w:val="auto"/>
          <w:szCs w:val="28"/>
          <w:highlight w:val="none"/>
        </w:rPr>
      </w:pPr>
      <w:r>
        <w:rPr>
          <w:rFonts w:hint="eastAsia"/>
          <w:color w:val="auto"/>
          <w:szCs w:val="28"/>
          <w:highlight w:val="none"/>
        </w:rPr>
        <w:t>投标人（盖章）：</w:t>
      </w:r>
    </w:p>
    <w:p w14:paraId="2CB53F4F">
      <w:pPr>
        <w:spacing w:line="360" w:lineRule="exact"/>
        <w:jc w:val="right"/>
        <w:textAlignment w:val="baseline"/>
        <w:rPr>
          <w:color w:val="auto"/>
          <w:szCs w:val="28"/>
          <w:highlight w:val="none"/>
        </w:rPr>
      </w:pPr>
      <w:r>
        <w:rPr>
          <w:rFonts w:hint="eastAsia"/>
          <w:color w:val="auto"/>
          <w:szCs w:val="28"/>
          <w:highlight w:val="none"/>
        </w:rPr>
        <w:t>年    月    日</w:t>
      </w:r>
    </w:p>
    <w:p w14:paraId="689E8188">
      <w:pPr>
        <w:pStyle w:val="95"/>
        <w:rPr>
          <w:rFonts w:hint="eastAsia"/>
          <w:color w:val="auto"/>
          <w:highlight w:val="none"/>
        </w:rPr>
      </w:pPr>
      <w:bookmarkStart w:id="35" w:name="_Toc1895"/>
      <w:r>
        <w:rPr>
          <w:rFonts w:hint="eastAsia"/>
          <w:color w:val="auto"/>
          <w:highlight w:val="none"/>
        </w:rPr>
        <w:t>格式</w:t>
      </w:r>
      <w:bookmarkEnd w:id="35"/>
      <w:r>
        <w:rPr>
          <w:rFonts w:hint="eastAsia"/>
          <w:color w:val="auto"/>
          <w:highlight w:val="none"/>
        </w:rPr>
        <w:t>二</w:t>
      </w:r>
    </w:p>
    <w:p w14:paraId="56CB493E">
      <w:pPr>
        <w:spacing w:line="360" w:lineRule="auto"/>
        <w:ind w:firstLine="480"/>
        <w:jc w:val="center"/>
        <w:rPr>
          <w:color w:val="auto"/>
          <w:sz w:val="24"/>
          <w:highlight w:val="none"/>
        </w:rPr>
      </w:pPr>
      <w:r>
        <w:rPr>
          <w:rFonts w:hint="eastAsia" w:ascii="宋体" w:hAnsi="宋体"/>
          <w:snapToGrid w:val="0"/>
          <w:color w:val="auto"/>
          <w:kern w:val="0"/>
          <w:highlight w:val="none"/>
        </w:rPr>
        <w:t xml:space="preserve">   </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60DAB1EC">
      <w:pPr>
        <w:pStyle w:val="109"/>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类似项目业绩一览表</w:t>
      </w:r>
    </w:p>
    <w:tbl>
      <w:tblPr>
        <w:tblStyle w:val="41"/>
        <w:tblW w:w="907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13"/>
        <w:gridCol w:w="1980"/>
        <w:gridCol w:w="1515"/>
        <w:gridCol w:w="1575"/>
        <w:gridCol w:w="1500"/>
        <w:gridCol w:w="1192"/>
      </w:tblGrid>
      <w:tr w14:paraId="2E9A1E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91" w:hRule="atLeast"/>
          <w:jc w:val="center"/>
        </w:trPr>
        <w:tc>
          <w:tcPr>
            <w:tcW w:w="1313" w:type="dxa"/>
            <w:tcBorders>
              <w:top w:val="single" w:color="auto" w:sz="12" w:space="0"/>
              <w:left w:val="single" w:color="auto" w:sz="12" w:space="0"/>
              <w:bottom w:val="single" w:color="auto" w:sz="8" w:space="0"/>
              <w:right w:val="single" w:color="auto" w:sz="8" w:space="0"/>
            </w:tcBorders>
            <w:noWrap w:val="0"/>
            <w:vAlign w:val="center"/>
          </w:tcPr>
          <w:p w14:paraId="1714A200">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color w:val="auto"/>
                <w:sz w:val="24"/>
                <w:highlight w:val="none"/>
              </w:rPr>
              <w:t>项目名称</w:t>
            </w:r>
          </w:p>
        </w:tc>
        <w:tc>
          <w:tcPr>
            <w:tcW w:w="1980" w:type="dxa"/>
            <w:tcBorders>
              <w:top w:val="single" w:color="auto" w:sz="12" w:space="0"/>
              <w:left w:val="single" w:color="auto" w:sz="8" w:space="0"/>
              <w:bottom w:val="single" w:color="auto" w:sz="8" w:space="0"/>
              <w:right w:val="single" w:color="auto" w:sz="8" w:space="0"/>
            </w:tcBorders>
            <w:noWrap w:val="0"/>
            <w:vAlign w:val="center"/>
          </w:tcPr>
          <w:p w14:paraId="2854F4A5">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ascii="宋体" w:hAnsi="宋体"/>
                <w:color w:val="auto"/>
                <w:spacing w:val="20"/>
                <w:sz w:val="24"/>
                <w:highlight w:val="none"/>
              </w:rPr>
              <w:t>合同</w:t>
            </w:r>
            <w:r>
              <w:rPr>
                <w:rFonts w:hint="eastAsia" w:ascii="宋体" w:hAnsi="宋体"/>
                <w:caps/>
                <w:color w:val="auto"/>
                <w:spacing w:val="20"/>
                <w:sz w:val="24"/>
                <w:highlight w:val="none"/>
              </w:rPr>
              <w:t>名称</w:t>
            </w:r>
          </w:p>
        </w:tc>
        <w:tc>
          <w:tcPr>
            <w:tcW w:w="1515" w:type="dxa"/>
            <w:tcBorders>
              <w:top w:val="single" w:color="auto" w:sz="12" w:space="0"/>
              <w:left w:val="single" w:color="auto" w:sz="8" w:space="0"/>
              <w:bottom w:val="single" w:color="auto" w:sz="8" w:space="0"/>
              <w:right w:val="single" w:color="auto" w:sz="8" w:space="0"/>
            </w:tcBorders>
            <w:noWrap w:val="0"/>
            <w:vAlign w:val="center"/>
          </w:tcPr>
          <w:p w14:paraId="60256B86">
            <w:pPr>
              <w:keepNext w:val="0"/>
              <w:keepLines w:val="0"/>
              <w:suppressLineNumbers w:val="0"/>
              <w:spacing w:before="0" w:beforeAutospacing="0" w:after="0" w:afterAutospacing="0"/>
              <w:ind w:left="0" w:right="0"/>
              <w:jc w:val="center"/>
              <w:rPr>
                <w:rFonts w:hint="default" w:ascii="宋体" w:hAnsi="宋体"/>
                <w:color w:val="auto"/>
                <w:spacing w:val="20"/>
                <w:sz w:val="24"/>
                <w:highlight w:val="none"/>
              </w:rPr>
            </w:pPr>
            <w:r>
              <w:rPr>
                <w:rFonts w:hint="eastAsia" w:ascii="宋体" w:hAnsi="宋体"/>
                <w:color w:val="auto"/>
                <w:spacing w:val="20"/>
                <w:sz w:val="24"/>
                <w:highlight w:val="none"/>
              </w:rPr>
              <w:t>合同金额（元）</w:t>
            </w:r>
          </w:p>
        </w:tc>
        <w:tc>
          <w:tcPr>
            <w:tcW w:w="1575" w:type="dxa"/>
            <w:tcBorders>
              <w:top w:val="single" w:color="auto" w:sz="12" w:space="0"/>
              <w:left w:val="single" w:color="auto" w:sz="8" w:space="0"/>
              <w:bottom w:val="single" w:color="auto" w:sz="8" w:space="0"/>
              <w:right w:val="single" w:color="auto" w:sz="8" w:space="0"/>
            </w:tcBorders>
            <w:noWrap w:val="0"/>
            <w:vAlign w:val="center"/>
          </w:tcPr>
          <w:p w14:paraId="33C16268">
            <w:pPr>
              <w:keepNext w:val="0"/>
              <w:keepLines w:val="0"/>
              <w:suppressLineNumbers w:val="0"/>
              <w:spacing w:before="0" w:beforeAutospacing="0" w:after="0" w:afterAutospacing="0"/>
              <w:ind w:left="-76" w:leftChars="-27" w:right="-87" w:rightChars="-31"/>
              <w:jc w:val="center"/>
              <w:rPr>
                <w:rFonts w:hint="default"/>
                <w:color w:val="auto"/>
                <w:sz w:val="24"/>
                <w:highlight w:val="none"/>
              </w:rPr>
            </w:pPr>
            <w:r>
              <w:rPr>
                <w:rFonts w:hint="eastAsia"/>
                <w:color w:val="auto"/>
                <w:sz w:val="24"/>
                <w:highlight w:val="none"/>
              </w:rPr>
              <w:t>合同签订日期</w:t>
            </w:r>
          </w:p>
        </w:tc>
        <w:tc>
          <w:tcPr>
            <w:tcW w:w="1500" w:type="dxa"/>
            <w:tcBorders>
              <w:top w:val="single" w:color="auto" w:sz="12" w:space="0"/>
              <w:left w:val="single" w:color="auto" w:sz="8" w:space="0"/>
              <w:bottom w:val="single" w:color="auto" w:sz="8" w:space="0"/>
              <w:right w:val="single" w:color="auto" w:sz="8" w:space="0"/>
            </w:tcBorders>
            <w:noWrap w:val="0"/>
            <w:vAlign w:val="center"/>
          </w:tcPr>
          <w:p w14:paraId="4B25E302">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color w:val="auto"/>
                <w:sz w:val="24"/>
                <w:highlight w:val="none"/>
              </w:rPr>
              <w:t>证明材料名称</w:t>
            </w:r>
          </w:p>
        </w:tc>
        <w:tc>
          <w:tcPr>
            <w:tcW w:w="1192" w:type="dxa"/>
            <w:tcBorders>
              <w:top w:val="single" w:color="auto" w:sz="12" w:space="0"/>
              <w:left w:val="single" w:color="auto" w:sz="8" w:space="0"/>
              <w:bottom w:val="single" w:color="auto" w:sz="8" w:space="0"/>
              <w:right w:val="single" w:color="auto" w:sz="12" w:space="0"/>
            </w:tcBorders>
            <w:noWrap w:val="0"/>
            <w:vAlign w:val="center"/>
          </w:tcPr>
          <w:p w14:paraId="2A291FB1">
            <w:pPr>
              <w:keepNext w:val="0"/>
              <w:keepLines w:val="0"/>
              <w:suppressLineNumbers w:val="0"/>
              <w:spacing w:before="0" w:beforeAutospacing="0" w:after="0" w:afterAutospacing="0"/>
              <w:ind w:left="0" w:right="0"/>
              <w:jc w:val="center"/>
              <w:rPr>
                <w:rFonts w:hint="default"/>
                <w:color w:val="auto"/>
                <w:sz w:val="24"/>
                <w:highlight w:val="none"/>
              </w:rPr>
            </w:pPr>
            <w:r>
              <w:rPr>
                <w:rFonts w:hint="eastAsia"/>
                <w:color w:val="auto"/>
                <w:sz w:val="24"/>
                <w:highlight w:val="none"/>
              </w:rPr>
              <w:t>备注</w:t>
            </w:r>
          </w:p>
        </w:tc>
      </w:tr>
      <w:tr w14:paraId="50EB54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2B2B845C">
            <w:pPr>
              <w:keepNext w:val="0"/>
              <w:keepLines w:val="0"/>
              <w:suppressLineNumbers w:val="0"/>
              <w:spacing w:before="0" w:beforeAutospacing="0" w:after="0" w:afterAutospacing="0"/>
              <w:ind w:left="0" w:right="0"/>
              <w:jc w:val="center"/>
              <w:rPr>
                <w:rFonts w:hint="default"/>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10461B9E">
            <w:pPr>
              <w:keepNext w:val="0"/>
              <w:keepLines w:val="0"/>
              <w:suppressLineNumbers w:val="0"/>
              <w:spacing w:before="0" w:beforeAutospacing="0" w:after="0" w:afterAutospacing="0"/>
              <w:ind w:left="0" w:right="0"/>
              <w:jc w:val="center"/>
              <w:rPr>
                <w:rFonts w:hint="default"/>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7922408E">
            <w:pPr>
              <w:keepNext w:val="0"/>
              <w:keepLines w:val="0"/>
              <w:suppressLineNumbers w:val="0"/>
              <w:spacing w:before="0" w:beforeAutospacing="0" w:after="0" w:afterAutospacing="0"/>
              <w:ind w:left="0" w:right="0"/>
              <w:jc w:val="center"/>
              <w:rPr>
                <w:rFonts w:hint="default"/>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2C35ED2A">
            <w:pPr>
              <w:keepNext w:val="0"/>
              <w:keepLines w:val="0"/>
              <w:suppressLineNumbers w:val="0"/>
              <w:spacing w:before="0" w:beforeAutospacing="0" w:after="0" w:afterAutospacing="0"/>
              <w:ind w:left="0" w:right="0"/>
              <w:jc w:val="center"/>
              <w:rPr>
                <w:rFonts w:hint="default"/>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62C4DA79">
            <w:pPr>
              <w:keepNext w:val="0"/>
              <w:keepLines w:val="0"/>
              <w:suppressLineNumbers w:val="0"/>
              <w:spacing w:before="0" w:beforeAutospacing="0" w:after="0" w:afterAutospacing="0"/>
              <w:ind w:left="0" w:right="0"/>
              <w:jc w:val="center"/>
              <w:rPr>
                <w:rFonts w:hint="default"/>
                <w:color w:val="auto"/>
                <w:highlight w:val="none"/>
              </w:rPr>
            </w:pPr>
          </w:p>
        </w:tc>
        <w:tc>
          <w:tcPr>
            <w:tcW w:w="1192" w:type="dxa"/>
            <w:tcBorders>
              <w:top w:val="single" w:color="auto" w:sz="8" w:space="0"/>
              <w:left w:val="single" w:color="auto" w:sz="8" w:space="0"/>
              <w:bottom w:val="single" w:color="auto" w:sz="8" w:space="0"/>
              <w:right w:val="single" w:color="auto" w:sz="12" w:space="0"/>
            </w:tcBorders>
            <w:noWrap w:val="0"/>
            <w:vAlign w:val="center"/>
          </w:tcPr>
          <w:p w14:paraId="65F58CB6">
            <w:pPr>
              <w:keepNext w:val="0"/>
              <w:keepLines w:val="0"/>
              <w:suppressLineNumbers w:val="0"/>
              <w:spacing w:before="0" w:beforeAutospacing="0" w:after="0" w:afterAutospacing="0"/>
              <w:ind w:left="0" w:right="0"/>
              <w:jc w:val="center"/>
              <w:rPr>
                <w:rFonts w:hint="default"/>
                <w:color w:val="auto"/>
                <w:highlight w:val="none"/>
              </w:rPr>
            </w:pPr>
          </w:p>
        </w:tc>
      </w:tr>
      <w:tr w14:paraId="743C11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30375578">
            <w:pPr>
              <w:keepNext w:val="0"/>
              <w:keepLines w:val="0"/>
              <w:suppressLineNumbers w:val="0"/>
              <w:spacing w:before="0" w:beforeAutospacing="0" w:after="0" w:afterAutospacing="0"/>
              <w:ind w:left="0" w:right="0"/>
              <w:jc w:val="center"/>
              <w:rPr>
                <w:rFonts w:hint="default"/>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5E0E3E4B">
            <w:pPr>
              <w:keepNext w:val="0"/>
              <w:keepLines w:val="0"/>
              <w:suppressLineNumbers w:val="0"/>
              <w:spacing w:before="0" w:beforeAutospacing="0" w:after="0" w:afterAutospacing="0"/>
              <w:ind w:left="0" w:right="0"/>
              <w:jc w:val="center"/>
              <w:rPr>
                <w:rFonts w:hint="default"/>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30CDB93B">
            <w:pPr>
              <w:keepNext w:val="0"/>
              <w:keepLines w:val="0"/>
              <w:suppressLineNumbers w:val="0"/>
              <w:spacing w:before="0" w:beforeAutospacing="0" w:after="0" w:afterAutospacing="0"/>
              <w:ind w:left="0" w:right="0"/>
              <w:jc w:val="center"/>
              <w:rPr>
                <w:rFonts w:hint="default"/>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4AF38F77">
            <w:pPr>
              <w:keepNext w:val="0"/>
              <w:keepLines w:val="0"/>
              <w:suppressLineNumbers w:val="0"/>
              <w:spacing w:before="0" w:beforeAutospacing="0" w:after="0" w:afterAutospacing="0"/>
              <w:ind w:left="0" w:right="0"/>
              <w:jc w:val="center"/>
              <w:rPr>
                <w:rFonts w:hint="default"/>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333182F3">
            <w:pPr>
              <w:keepNext w:val="0"/>
              <w:keepLines w:val="0"/>
              <w:suppressLineNumbers w:val="0"/>
              <w:spacing w:before="0" w:beforeAutospacing="0" w:after="0" w:afterAutospacing="0"/>
              <w:ind w:left="0" w:right="0"/>
              <w:jc w:val="center"/>
              <w:rPr>
                <w:rFonts w:hint="default"/>
                <w:color w:val="auto"/>
                <w:highlight w:val="none"/>
              </w:rPr>
            </w:pPr>
          </w:p>
        </w:tc>
        <w:tc>
          <w:tcPr>
            <w:tcW w:w="1192" w:type="dxa"/>
            <w:tcBorders>
              <w:top w:val="single" w:color="auto" w:sz="8" w:space="0"/>
              <w:left w:val="single" w:color="auto" w:sz="8" w:space="0"/>
              <w:bottom w:val="single" w:color="auto" w:sz="8" w:space="0"/>
              <w:right w:val="single" w:color="auto" w:sz="12" w:space="0"/>
            </w:tcBorders>
            <w:noWrap w:val="0"/>
            <w:vAlign w:val="center"/>
          </w:tcPr>
          <w:p w14:paraId="1005E2A5">
            <w:pPr>
              <w:keepNext w:val="0"/>
              <w:keepLines w:val="0"/>
              <w:suppressLineNumbers w:val="0"/>
              <w:spacing w:before="0" w:beforeAutospacing="0" w:after="0" w:afterAutospacing="0"/>
              <w:ind w:left="0" w:right="0"/>
              <w:jc w:val="center"/>
              <w:rPr>
                <w:rFonts w:hint="default"/>
                <w:color w:val="auto"/>
                <w:highlight w:val="none"/>
              </w:rPr>
            </w:pPr>
          </w:p>
        </w:tc>
      </w:tr>
      <w:tr w14:paraId="773C3E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326BF086">
            <w:pPr>
              <w:keepNext w:val="0"/>
              <w:keepLines w:val="0"/>
              <w:suppressLineNumbers w:val="0"/>
              <w:spacing w:before="0" w:beforeAutospacing="0" w:after="0" w:afterAutospacing="0"/>
              <w:ind w:left="0" w:right="0"/>
              <w:jc w:val="center"/>
              <w:rPr>
                <w:rFonts w:hint="default"/>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3449C619">
            <w:pPr>
              <w:keepNext w:val="0"/>
              <w:keepLines w:val="0"/>
              <w:suppressLineNumbers w:val="0"/>
              <w:spacing w:before="0" w:beforeAutospacing="0" w:after="0" w:afterAutospacing="0"/>
              <w:ind w:left="0" w:right="0"/>
              <w:jc w:val="center"/>
              <w:rPr>
                <w:rFonts w:hint="default"/>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2C0D317C">
            <w:pPr>
              <w:keepNext w:val="0"/>
              <w:keepLines w:val="0"/>
              <w:suppressLineNumbers w:val="0"/>
              <w:spacing w:before="0" w:beforeAutospacing="0" w:after="0" w:afterAutospacing="0"/>
              <w:ind w:left="0" w:right="0"/>
              <w:jc w:val="center"/>
              <w:rPr>
                <w:rFonts w:hint="default"/>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20E1E96E">
            <w:pPr>
              <w:keepNext w:val="0"/>
              <w:keepLines w:val="0"/>
              <w:suppressLineNumbers w:val="0"/>
              <w:spacing w:before="0" w:beforeAutospacing="0" w:after="0" w:afterAutospacing="0"/>
              <w:ind w:left="0" w:right="0"/>
              <w:jc w:val="center"/>
              <w:rPr>
                <w:rFonts w:hint="default"/>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79F2B4FB">
            <w:pPr>
              <w:keepNext w:val="0"/>
              <w:keepLines w:val="0"/>
              <w:suppressLineNumbers w:val="0"/>
              <w:spacing w:before="0" w:beforeAutospacing="0" w:after="0" w:afterAutospacing="0"/>
              <w:ind w:left="0" w:right="0"/>
              <w:jc w:val="center"/>
              <w:rPr>
                <w:rFonts w:hint="default"/>
                <w:color w:val="auto"/>
                <w:highlight w:val="none"/>
              </w:rPr>
            </w:pPr>
          </w:p>
        </w:tc>
        <w:tc>
          <w:tcPr>
            <w:tcW w:w="1192" w:type="dxa"/>
            <w:tcBorders>
              <w:top w:val="single" w:color="auto" w:sz="8" w:space="0"/>
              <w:left w:val="single" w:color="auto" w:sz="8" w:space="0"/>
              <w:bottom w:val="single" w:color="auto" w:sz="8" w:space="0"/>
              <w:right w:val="single" w:color="auto" w:sz="12" w:space="0"/>
            </w:tcBorders>
            <w:noWrap w:val="0"/>
            <w:vAlign w:val="center"/>
          </w:tcPr>
          <w:p w14:paraId="6B3AF751">
            <w:pPr>
              <w:keepNext w:val="0"/>
              <w:keepLines w:val="0"/>
              <w:suppressLineNumbers w:val="0"/>
              <w:spacing w:before="0" w:beforeAutospacing="0" w:after="0" w:afterAutospacing="0"/>
              <w:ind w:left="0" w:right="0"/>
              <w:jc w:val="center"/>
              <w:rPr>
                <w:rFonts w:hint="default"/>
                <w:color w:val="auto"/>
                <w:highlight w:val="none"/>
              </w:rPr>
            </w:pPr>
          </w:p>
        </w:tc>
      </w:tr>
      <w:tr w14:paraId="0D2B92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5593C0EF">
            <w:pPr>
              <w:keepNext w:val="0"/>
              <w:keepLines w:val="0"/>
              <w:suppressLineNumbers w:val="0"/>
              <w:spacing w:before="0" w:beforeAutospacing="0" w:after="0" w:afterAutospacing="0"/>
              <w:ind w:left="0" w:right="0"/>
              <w:jc w:val="center"/>
              <w:rPr>
                <w:rFonts w:hint="default"/>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6F100B91">
            <w:pPr>
              <w:keepNext w:val="0"/>
              <w:keepLines w:val="0"/>
              <w:suppressLineNumbers w:val="0"/>
              <w:spacing w:before="0" w:beforeAutospacing="0" w:after="0" w:afterAutospacing="0"/>
              <w:ind w:left="0" w:right="0"/>
              <w:jc w:val="center"/>
              <w:rPr>
                <w:rFonts w:hint="default"/>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12D8CDD9">
            <w:pPr>
              <w:keepNext w:val="0"/>
              <w:keepLines w:val="0"/>
              <w:suppressLineNumbers w:val="0"/>
              <w:spacing w:before="0" w:beforeAutospacing="0" w:after="0" w:afterAutospacing="0"/>
              <w:ind w:left="0" w:right="0"/>
              <w:jc w:val="center"/>
              <w:rPr>
                <w:rFonts w:hint="default"/>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7AEC057D">
            <w:pPr>
              <w:keepNext w:val="0"/>
              <w:keepLines w:val="0"/>
              <w:suppressLineNumbers w:val="0"/>
              <w:spacing w:before="0" w:beforeAutospacing="0" w:after="0" w:afterAutospacing="0"/>
              <w:ind w:left="0" w:right="0"/>
              <w:jc w:val="center"/>
              <w:rPr>
                <w:rFonts w:hint="default"/>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024D24DE">
            <w:pPr>
              <w:keepNext w:val="0"/>
              <w:keepLines w:val="0"/>
              <w:suppressLineNumbers w:val="0"/>
              <w:spacing w:before="0" w:beforeAutospacing="0" w:after="0" w:afterAutospacing="0"/>
              <w:ind w:left="0" w:right="0"/>
              <w:jc w:val="center"/>
              <w:rPr>
                <w:rFonts w:hint="default"/>
                <w:color w:val="auto"/>
                <w:highlight w:val="none"/>
              </w:rPr>
            </w:pPr>
          </w:p>
        </w:tc>
        <w:tc>
          <w:tcPr>
            <w:tcW w:w="1192" w:type="dxa"/>
            <w:tcBorders>
              <w:top w:val="single" w:color="auto" w:sz="8" w:space="0"/>
              <w:left w:val="single" w:color="auto" w:sz="8" w:space="0"/>
              <w:bottom w:val="single" w:color="auto" w:sz="8" w:space="0"/>
              <w:right w:val="single" w:color="auto" w:sz="12" w:space="0"/>
            </w:tcBorders>
            <w:noWrap w:val="0"/>
            <w:vAlign w:val="center"/>
          </w:tcPr>
          <w:p w14:paraId="03592987">
            <w:pPr>
              <w:keepNext w:val="0"/>
              <w:keepLines w:val="0"/>
              <w:suppressLineNumbers w:val="0"/>
              <w:spacing w:before="0" w:beforeAutospacing="0" w:after="0" w:afterAutospacing="0"/>
              <w:ind w:left="0" w:right="0"/>
              <w:jc w:val="center"/>
              <w:rPr>
                <w:rFonts w:hint="default"/>
                <w:color w:val="auto"/>
                <w:highlight w:val="none"/>
              </w:rPr>
            </w:pPr>
          </w:p>
        </w:tc>
      </w:tr>
      <w:tr w14:paraId="0F9A66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6997CF88">
            <w:pPr>
              <w:keepNext w:val="0"/>
              <w:keepLines w:val="0"/>
              <w:suppressLineNumbers w:val="0"/>
              <w:spacing w:before="0" w:beforeAutospacing="0" w:after="0" w:afterAutospacing="0"/>
              <w:ind w:left="0" w:right="0"/>
              <w:jc w:val="center"/>
              <w:rPr>
                <w:rFonts w:hint="default"/>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2F3410B2">
            <w:pPr>
              <w:keepNext w:val="0"/>
              <w:keepLines w:val="0"/>
              <w:suppressLineNumbers w:val="0"/>
              <w:spacing w:before="0" w:beforeAutospacing="0" w:after="0" w:afterAutospacing="0"/>
              <w:ind w:left="0" w:right="0"/>
              <w:jc w:val="center"/>
              <w:rPr>
                <w:rFonts w:hint="default"/>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57EA715D">
            <w:pPr>
              <w:keepNext w:val="0"/>
              <w:keepLines w:val="0"/>
              <w:suppressLineNumbers w:val="0"/>
              <w:spacing w:before="0" w:beforeAutospacing="0" w:after="0" w:afterAutospacing="0"/>
              <w:ind w:left="0" w:right="0"/>
              <w:jc w:val="center"/>
              <w:rPr>
                <w:rFonts w:hint="default"/>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599138F7">
            <w:pPr>
              <w:keepNext w:val="0"/>
              <w:keepLines w:val="0"/>
              <w:suppressLineNumbers w:val="0"/>
              <w:spacing w:before="0" w:beforeAutospacing="0" w:after="0" w:afterAutospacing="0"/>
              <w:ind w:left="0" w:right="0"/>
              <w:jc w:val="center"/>
              <w:rPr>
                <w:rFonts w:hint="default"/>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7EA67B35">
            <w:pPr>
              <w:keepNext w:val="0"/>
              <w:keepLines w:val="0"/>
              <w:suppressLineNumbers w:val="0"/>
              <w:spacing w:before="0" w:beforeAutospacing="0" w:after="0" w:afterAutospacing="0"/>
              <w:ind w:left="0" w:right="0"/>
              <w:jc w:val="center"/>
              <w:rPr>
                <w:rFonts w:hint="default"/>
                <w:color w:val="auto"/>
                <w:highlight w:val="none"/>
              </w:rPr>
            </w:pPr>
          </w:p>
        </w:tc>
        <w:tc>
          <w:tcPr>
            <w:tcW w:w="1192" w:type="dxa"/>
            <w:tcBorders>
              <w:top w:val="single" w:color="auto" w:sz="8" w:space="0"/>
              <w:left w:val="single" w:color="auto" w:sz="8" w:space="0"/>
              <w:bottom w:val="single" w:color="auto" w:sz="8" w:space="0"/>
              <w:right w:val="single" w:color="auto" w:sz="12" w:space="0"/>
            </w:tcBorders>
            <w:noWrap w:val="0"/>
            <w:vAlign w:val="center"/>
          </w:tcPr>
          <w:p w14:paraId="0F16E0CB">
            <w:pPr>
              <w:keepNext w:val="0"/>
              <w:keepLines w:val="0"/>
              <w:suppressLineNumbers w:val="0"/>
              <w:spacing w:before="0" w:beforeAutospacing="0" w:after="0" w:afterAutospacing="0"/>
              <w:ind w:left="0" w:right="0"/>
              <w:jc w:val="center"/>
              <w:rPr>
                <w:rFonts w:hint="default"/>
                <w:color w:val="auto"/>
                <w:highlight w:val="none"/>
              </w:rPr>
            </w:pPr>
          </w:p>
        </w:tc>
      </w:tr>
      <w:tr w14:paraId="2620A2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78934149">
            <w:pPr>
              <w:keepNext w:val="0"/>
              <w:keepLines w:val="0"/>
              <w:suppressLineNumbers w:val="0"/>
              <w:spacing w:before="0" w:beforeAutospacing="0" w:after="0" w:afterAutospacing="0"/>
              <w:ind w:left="0" w:right="0"/>
              <w:jc w:val="center"/>
              <w:rPr>
                <w:rFonts w:hint="default"/>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19EF53F1">
            <w:pPr>
              <w:keepNext w:val="0"/>
              <w:keepLines w:val="0"/>
              <w:suppressLineNumbers w:val="0"/>
              <w:spacing w:before="0" w:beforeAutospacing="0" w:after="0" w:afterAutospacing="0"/>
              <w:ind w:left="0" w:right="0"/>
              <w:jc w:val="center"/>
              <w:rPr>
                <w:rFonts w:hint="default"/>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49CFF4FE">
            <w:pPr>
              <w:keepNext w:val="0"/>
              <w:keepLines w:val="0"/>
              <w:suppressLineNumbers w:val="0"/>
              <w:spacing w:before="0" w:beforeAutospacing="0" w:after="0" w:afterAutospacing="0"/>
              <w:ind w:left="0" w:right="0"/>
              <w:jc w:val="center"/>
              <w:rPr>
                <w:rFonts w:hint="default"/>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2606A93C">
            <w:pPr>
              <w:keepNext w:val="0"/>
              <w:keepLines w:val="0"/>
              <w:suppressLineNumbers w:val="0"/>
              <w:spacing w:before="0" w:beforeAutospacing="0" w:after="0" w:afterAutospacing="0"/>
              <w:ind w:left="0" w:right="0"/>
              <w:jc w:val="center"/>
              <w:rPr>
                <w:rFonts w:hint="default"/>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1FCC310A">
            <w:pPr>
              <w:keepNext w:val="0"/>
              <w:keepLines w:val="0"/>
              <w:suppressLineNumbers w:val="0"/>
              <w:spacing w:before="0" w:beforeAutospacing="0" w:after="0" w:afterAutospacing="0"/>
              <w:ind w:left="0" w:right="0"/>
              <w:jc w:val="center"/>
              <w:rPr>
                <w:rFonts w:hint="default"/>
                <w:color w:val="auto"/>
                <w:highlight w:val="none"/>
              </w:rPr>
            </w:pPr>
          </w:p>
        </w:tc>
        <w:tc>
          <w:tcPr>
            <w:tcW w:w="1192" w:type="dxa"/>
            <w:tcBorders>
              <w:top w:val="single" w:color="auto" w:sz="8" w:space="0"/>
              <w:left w:val="single" w:color="auto" w:sz="8" w:space="0"/>
              <w:bottom w:val="single" w:color="auto" w:sz="8" w:space="0"/>
              <w:right w:val="single" w:color="auto" w:sz="12" w:space="0"/>
            </w:tcBorders>
            <w:noWrap w:val="0"/>
            <w:vAlign w:val="center"/>
          </w:tcPr>
          <w:p w14:paraId="16D60E53">
            <w:pPr>
              <w:keepNext w:val="0"/>
              <w:keepLines w:val="0"/>
              <w:suppressLineNumbers w:val="0"/>
              <w:spacing w:before="0" w:beforeAutospacing="0" w:after="0" w:afterAutospacing="0"/>
              <w:ind w:left="0" w:right="0"/>
              <w:jc w:val="center"/>
              <w:rPr>
                <w:rFonts w:hint="default"/>
                <w:color w:val="auto"/>
                <w:highlight w:val="none"/>
              </w:rPr>
            </w:pPr>
          </w:p>
        </w:tc>
      </w:tr>
      <w:tr w14:paraId="6B948A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313" w:type="dxa"/>
            <w:tcBorders>
              <w:top w:val="single" w:color="auto" w:sz="8" w:space="0"/>
              <w:left w:val="single" w:color="auto" w:sz="12" w:space="0"/>
              <w:bottom w:val="single" w:color="auto" w:sz="12" w:space="0"/>
              <w:right w:val="single" w:color="auto" w:sz="8" w:space="0"/>
            </w:tcBorders>
            <w:noWrap w:val="0"/>
            <w:vAlign w:val="center"/>
          </w:tcPr>
          <w:p w14:paraId="32505E9D">
            <w:pPr>
              <w:keepNext w:val="0"/>
              <w:keepLines w:val="0"/>
              <w:suppressLineNumbers w:val="0"/>
              <w:spacing w:before="0" w:beforeAutospacing="0" w:after="0" w:afterAutospacing="0"/>
              <w:ind w:left="0" w:right="0"/>
              <w:jc w:val="center"/>
              <w:rPr>
                <w:rFonts w:hint="default"/>
                <w:color w:val="auto"/>
                <w:highlight w:val="none"/>
              </w:rPr>
            </w:pPr>
          </w:p>
        </w:tc>
        <w:tc>
          <w:tcPr>
            <w:tcW w:w="1980" w:type="dxa"/>
            <w:tcBorders>
              <w:top w:val="single" w:color="auto" w:sz="8" w:space="0"/>
              <w:left w:val="single" w:color="auto" w:sz="8" w:space="0"/>
              <w:bottom w:val="single" w:color="auto" w:sz="12" w:space="0"/>
              <w:right w:val="single" w:color="auto" w:sz="8" w:space="0"/>
            </w:tcBorders>
            <w:noWrap w:val="0"/>
            <w:vAlign w:val="center"/>
          </w:tcPr>
          <w:p w14:paraId="49D3A8F8">
            <w:pPr>
              <w:keepNext w:val="0"/>
              <w:keepLines w:val="0"/>
              <w:suppressLineNumbers w:val="0"/>
              <w:spacing w:before="0" w:beforeAutospacing="0" w:after="0" w:afterAutospacing="0"/>
              <w:ind w:left="0" w:right="0"/>
              <w:jc w:val="center"/>
              <w:rPr>
                <w:rFonts w:hint="default"/>
                <w:color w:val="auto"/>
                <w:highlight w:val="none"/>
              </w:rPr>
            </w:pPr>
          </w:p>
        </w:tc>
        <w:tc>
          <w:tcPr>
            <w:tcW w:w="1515" w:type="dxa"/>
            <w:tcBorders>
              <w:top w:val="single" w:color="auto" w:sz="8" w:space="0"/>
              <w:left w:val="single" w:color="auto" w:sz="8" w:space="0"/>
              <w:bottom w:val="single" w:color="auto" w:sz="12" w:space="0"/>
              <w:right w:val="single" w:color="auto" w:sz="8" w:space="0"/>
            </w:tcBorders>
            <w:noWrap w:val="0"/>
            <w:vAlign w:val="center"/>
          </w:tcPr>
          <w:p w14:paraId="0C668ECD">
            <w:pPr>
              <w:keepNext w:val="0"/>
              <w:keepLines w:val="0"/>
              <w:suppressLineNumbers w:val="0"/>
              <w:spacing w:before="0" w:beforeAutospacing="0" w:after="0" w:afterAutospacing="0"/>
              <w:ind w:left="0" w:right="0"/>
              <w:jc w:val="center"/>
              <w:rPr>
                <w:rFonts w:hint="default"/>
                <w:color w:val="auto"/>
                <w:highlight w:val="none"/>
              </w:rPr>
            </w:pPr>
          </w:p>
        </w:tc>
        <w:tc>
          <w:tcPr>
            <w:tcW w:w="1575" w:type="dxa"/>
            <w:tcBorders>
              <w:top w:val="single" w:color="auto" w:sz="8" w:space="0"/>
              <w:left w:val="single" w:color="auto" w:sz="8" w:space="0"/>
              <w:bottom w:val="single" w:color="auto" w:sz="12" w:space="0"/>
              <w:right w:val="single" w:color="auto" w:sz="8" w:space="0"/>
            </w:tcBorders>
            <w:noWrap w:val="0"/>
            <w:vAlign w:val="center"/>
          </w:tcPr>
          <w:p w14:paraId="4AF8F2EC">
            <w:pPr>
              <w:keepNext w:val="0"/>
              <w:keepLines w:val="0"/>
              <w:suppressLineNumbers w:val="0"/>
              <w:spacing w:before="0" w:beforeAutospacing="0" w:after="0" w:afterAutospacing="0"/>
              <w:ind w:left="0" w:right="0"/>
              <w:jc w:val="center"/>
              <w:rPr>
                <w:rFonts w:hint="default"/>
                <w:color w:val="auto"/>
                <w:highlight w:val="none"/>
              </w:rPr>
            </w:pPr>
          </w:p>
        </w:tc>
        <w:tc>
          <w:tcPr>
            <w:tcW w:w="1500" w:type="dxa"/>
            <w:tcBorders>
              <w:top w:val="single" w:color="auto" w:sz="8" w:space="0"/>
              <w:left w:val="single" w:color="auto" w:sz="8" w:space="0"/>
              <w:bottom w:val="single" w:color="auto" w:sz="12" w:space="0"/>
              <w:right w:val="single" w:color="auto" w:sz="8" w:space="0"/>
            </w:tcBorders>
            <w:noWrap w:val="0"/>
            <w:vAlign w:val="center"/>
          </w:tcPr>
          <w:p w14:paraId="586E3552">
            <w:pPr>
              <w:keepNext w:val="0"/>
              <w:keepLines w:val="0"/>
              <w:suppressLineNumbers w:val="0"/>
              <w:spacing w:before="0" w:beforeAutospacing="0" w:after="0" w:afterAutospacing="0"/>
              <w:ind w:left="0" w:right="0"/>
              <w:jc w:val="center"/>
              <w:rPr>
                <w:rFonts w:hint="default"/>
                <w:color w:val="auto"/>
                <w:highlight w:val="none"/>
              </w:rPr>
            </w:pPr>
          </w:p>
        </w:tc>
        <w:tc>
          <w:tcPr>
            <w:tcW w:w="1192" w:type="dxa"/>
            <w:tcBorders>
              <w:top w:val="single" w:color="auto" w:sz="8" w:space="0"/>
              <w:left w:val="single" w:color="auto" w:sz="8" w:space="0"/>
              <w:bottom w:val="single" w:color="auto" w:sz="12" w:space="0"/>
              <w:right w:val="single" w:color="auto" w:sz="12" w:space="0"/>
            </w:tcBorders>
            <w:noWrap w:val="0"/>
            <w:vAlign w:val="center"/>
          </w:tcPr>
          <w:p w14:paraId="67DD328F">
            <w:pPr>
              <w:keepNext w:val="0"/>
              <w:keepLines w:val="0"/>
              <w:suppressLineNumbers w:val="0"/>
              <w:spacing w:before="0" w:beforeAutospacing="0" w:after="0" w:afterAutospacing="0"/>
              <w:ind w:left="0" w:right="0"/>
              <w:jc w:val="center"/>
              <w:rPr>
                <w:rFonts w:hint="default"/>
                <w:color w:val="auto"/>
                <w:highlight w:val="none"/>
              </w:rPr>
            </w:pPr>
          </w:p>
        </w:tc>
      </w:tr>
    </w:tbl>
    <w:p w14:paraId="3438AC5C">
      <w:pPr>
        <w:rPr>
          <w:rFonts w:ascii="宋体" w:hAnsi="宋体"/>
          <w:color w:val="auto"/>
          <w:szCs w:val="21"/>
          <w:highlight w:val="none"/>
        </w:rPr>
      </w:pPr>
      <w:r>
        <w:rPr>
          <w:rFonts w:hint="eastAsia" w:ascii="宋体" w:hAnsi="宋体"/>
          <w:color w:val="auto"/>
          <w:szCs w:val="21"/>
          <w:highlight w:val="none"/>
        </w:rPr>
        <w:t>注：（1）以上内容填写必须完整、真实。</w:t>
      </w:r>
    </w:p>
    <w:p w14:paraId="3CD511FE">
      <w:pPr>
        <w:ind w:firstLine="315"/>
        <w:rPr>
          <w:rFonts w:ascii="宋体" w:hAnsi="宋体"/>
          <w:color w:val="auto"/>
          <w:szCs w:val="21"/>
          <w:highlight w:val="none"/>
        </w:rPr>
      </w:pPr>
      <w:r>
        <w:rPr>
          <w:rFonts w:hint="eastAsia" w:ascii="宋体" w:hAnsi="宋体"/>
          <w:color w:val="auto"/>
          <w:szCs w:val="21"/>
          <w:highlight w:val="none"/>
        </w:rPr>
        <w:t>（2）评分以评标办法约定的合格证明材料为准。</w:t>
      </w:r>
    </w:p>
    <w:p w14:paraId="74663FF1">
      <w:pPr>
        <w:ind w:firstLine="315"/>
        <w:rPr>
          <w:rFonts w:hint="eastAsia" w:ascii="宋体" w:hAnsi="宋体"/>
          <w:color w:val="auto"/>
          <w:szCs w:val="21"/>
          <w:highlight w:val="none"/>
        </w:rPr>
      </w:pPr>
      <w:r>
        <w:rPr>
          <w:rFonts w:hint="eastAsia" w:ascii="宋体" w:hAnsi="宋体"/>
          <w:color w:val="auto"/>
          <w:szCs w:val="21"/>
          <w:highlight w:val="none"/>
        </w:rPr>
        <w:t>（3）后附证明材料影印件或扫描件。</w:t>
      </w:r>
    </w:p>
    <w:p w14:paraId="473AE430">
      <w:pPr>
        <w:jc w:val="left"/>
        <w:rPr>
          <w:color w:val="auto"/>
          <w:sz w:val="22"/>
          <w:highlight w:val="none"/>
        </w:rPr>
      </w:pPr>
    </w:p>
    <w:p w14:paraId="6DC47AEC">
      <w:pPr>
        <w:spacing w:line="320" w:lineRule="exact"/>
        <w:rPr>
          <w:rFonts w:ascii="宋体" w:hAnsi="宋体"/>
          <w:color w:val="auto"/>
          <w:sz w:val="24"/>
          <w:highlight w:val="none"/>
        </w:rPr>
      </w:pPr>
    </w:p>
    <w:p w14:paraId="1BC410E8">
      <w:pPr>
        <w:ind w:firstLine="315"/>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59C0F915">
      <w:pPr>
        <w:ind w:firstLine="315"/>
        <w:rPr>
          <w:rFonts w:hint="eastAsia" w:ascii="宋体" w:hAnsi="宋体"/>
          <w:color w:val="auto"/>
          <w:sz w:val="24"/>
          <w:highlight w:val="none"/>
        </w:rPr>
      </w:pPr>
    </w:p>
    <w:p w14:paraId="28929014">
      <w:pPr>
        <w:ind w:firstLine="315"/>
        <w:rPr>
          <w:rFonts w:hint="eastAsia" w:ascii="宋体" w:hAnsi="宋体"/>
          <w:color w:val="auto"/>
          <w:sz w:val="24"/>
          <w:highlight w:val="none"/>
        </w:rPr>
      </w:pPr>
      <w:r>
        <w:rPr>
          <w:rFonts w:hint="eastAsia" w:ascii="宋体" w:hAnsi="宋体"/>
          <w:color w:val="auto"/>
          <w:sz w:val="24"/>
          <w:highlight w:val="none"/>
        </w:rPr>
        <w:t xml:space="preserve">投 标 人（盖章）：  </w:t>
      </w:r>
    </w:p>
    <w:p w14:paraId="6E3AF27C">
      <w:pPr>
        <w:ind w:firstLine="315"/>
        <w:rPr>
          <w:rFonts w:hint="eastAsia" w:ascii="宋体" w:hAnsi="宋体"/>
          <w:color w:val="auto"/>
          <w:sz w:val="24"/>
          <w:highlight w:val="none"/>
        </w:rPr>
      </w:pPr>
    </w:p>
    <w:p w14:paraId="2DFB876E">
      <w:pPr>
        <w:ind w:firstLine="315"/>
        <w:rPr>
          <w:rFonts w:hint="eastAsia" w:ascii="宋体" w:hAnsi="宋体"/>
          <w:color w:val="auto"/>
          <w:sz w:val="24"/>
          <w:highlight w:val="none"/>
        </w:rPr>
      </w:pPr>
      <w:r>
        <w:rPr>
          <w:rFonts w:hint="eastAsia" w:ascii="宋体" w:hAnsi="宋体"/>
          <w:color w:val="auto"/>
          <w:sz w:val="24"/>
          <w:highlight w:val="none"/>
        </w:rPr>
        <w:t>日期：    年   月   日</w:t>
      </w:r>
    </w:p>
    <w:p w14:paraId="5EDE3553">
      <w:pPr>
        <w:pStyle w:val="95"/>
        <w:rPr>
          <w:rFonts w:hint="eastAsia"/>
          <w:color w:val="auto"/>
          <w:highlight w:val="none"/>
        </w:rPr>
        <w:sectPr>
          <w:pgSz w:w="11907" w:h="16840"/>
          <w:pgMar w:top="1417" w:right="1418" w:bottom="1417" w:left="1531" w:header="851" w:footer="992" w:gutter="0"/>
          <w:cols w:space="720" w:num="1"/>
          <w:docGrid w:type="lines" w:linePitch="312" w:charSpace="0"/>
        </w:sectPr>
      </w:pPr>
    </w:p>
    <w:p w14:paraId="1DA956FB">
      <w:pPr>
        <w:pStyle w:val="95"/>
        <w:rPr>
          <w:rFonts w:hint="eastAsia"/>
          <w:color w:val="auto"/>
          <w:highlight w:val="none"/>
        </w:rPr>
      </w:pPr>
      <w:bookmarkStart w:id="36" w:name="_Toc10074"/>
      <w:r>
        <w:rPr>
          <w:rFonts w:hint="eastAsia"/>
          <w:color w:val="auto"/>
          <w:highlight w:val="none"/>
        </w:rPr>
        <w:t>格式</w:t>
      </w:r>
      <w:bookmarkEnd w:id="36"/>
      <w:r>
        <w:rPr>
          <w:rFonts w:hint="eastAsia"/>
          <w:color w:val="auto"/>
          <w:highlight w:val="none"/>
        </w:rPr>
        <w:t>三</w:t>
      </w:r>
    </w:p>
    <w:p w14:paraId="59D2AB01">
      <w:pPr>
        <w:spacing w:line="360" w:lineRule="auto"/>
        <w:ind w:firstLine="480"/>
        <w:jc w:val="center"/>
        <w:rPr>
          <w:color w:val="auto"/>
          <w:sz w:val="24"/>
          <w:highlight w:val="none"/>
        </w:rPr>
      </w:pPr>
      <w:r>
        <w:rPr>
          <w:rFonts w:hint="eastAsia" w:ascii="宋体" w:hAnsi="宋体"/>
          <w:snapToGrid w:val="0"/>
          <w:color w:val="auto"/>
          <w:kern w:val="0"/>
          <w:highlight w:val="none"/>
        </w:rPr>
        <w:t xml:space="preserve">   </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398C5977">
      <w:pPr>
        <w:pStyle w:val="30"/>
        <w:adjustRightInd w:val="0"/>
        <w:snapToGrid w:val="0"/>
        <w:spacing w:line="288" w:lineRule="auto"/>
        <w:ind w:left="482" w:hanging="482"/>
        <w:jc w:val="center"/>
        <w:rPr>
          <w:b/>
          <w:color w:val="auto"/>
          <w:sz w:val="24"/>
          <w:highlight w:val="none"/>
        </w:rPr>
      </w:pPr>
      <w:r>
        <w:rPr>
          <w:rFonts w:hint="eastAsia"/>
          <w:b/>
          <w:color w:val="auto"/>
          <w:sz w:val="24"/>
          <w:highlight w:val="none"/>
        </w:rPr>
        <w:t>售后服务网点情况表</w:t>
      </w:r>
    </w:p>
    <w:tbl>
      <w:tblPr>
        <w:tblStyle w:val="4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6"/>
        <w:gridCol w:w="1622"/>
        <w:gridCol w:w="540"/>
        <w:gridCol w:w="1326"/>
        <w:gridCol w:w="706"/>
        <w:gridCol w:w="2442"/>
      </w:tblGrid>
      <w:tr w14:paraId="0CC67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center"/>
          </w:tcPr>
          <w:p w14:paraId="4FF2C404">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服务网点名称</w:t>
            </w:r>
          </w:p>
        </w:tc>
        <w:tc>
          <w:tcPr>
            <w:tcW w:w="6636" w:type="dxa"/>
            <w:gridSpan w:val="5"/>
            <w:tcBorders>
              <w:top w:val="single" w:color="auto" w:sz="4" w:space="0"/>
              <w:left w:val="single" w:color="auto" w:sz="4" w:space="0"/>
              <w:bottom w:val="single" w:color="auto" w:sz="4" w:space="0"/>
              <w:right w:val="single" w:color="auto" w:sz="4" w:space="0"/>
            </w:tcBorders>
            <w:noWrap w:val="0"/>
            <w:vAlign w:val="center"/>
          </w:tcPr>
          <w:p w14:paraId="261973D4">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67EF0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center"/>
          </w:tcPr>
          <w:p w14:paraId="7CEDB507">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地址</w:t>
            </w:r>
          </w:p>
        </w:tc>
        <w:tc>
          <w:tcPr>
            <w:tcW w:w="6636" w:type="dxa"/>
            <w:gridSpan w:val="5"/>
            <w:tcBorders>
              <w:top w:val="single" w:color="auto" w:sz="4" w:space="0"/>
              <w:left w:val="single" w:color="auto" w:sz="4" w:space="0"/>
              <w:bottom w:val="single" w:color="auto" w:sz="4" w:space="0"/>
              <w:right w:val="single" w:color="auto" w:sz="4" w:space="0"/>
            </w:tcBorders>
            <w:noWrap w:val="0"/>
            <w:vAlign w:val="center"/>
          </w:tcPr>
          <w:p w14:paraId="2A631752">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7267B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center"/>
          </w:tcPr>
          <w:p w14:paraId="2D9D75AB">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1671B887">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c>
          <w:tcPr>
            <w:tcW w:w="2572" w:type="dxa"/>
            <w:gridSpan w:val="3"/>
            <w:tcBorders>
              <w:top w:val="single" w:color="auto" w:sz="4" w:space="0"/>
              <w:left w:val="single" w:color="auto" w:sz="4" w:space="0"/>
              <w:bottom w:val="single" w:color="auto" w:sz="4" w:space="0"/>
              <w:right w:val="single" w:color="auto" w:sz="4" w:space="0"/>
            </w:tcBorders>
            <w:noWrap w:val="0"/>
            <w:vAlign w:val="center"/>
          </w:tcPr>
          <w:p w14:paraId="33CCC3FC">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其中：投标人出资比例</w:t>
            </w:r>
          </w:p>
        </w:tc>
        <w:tc>
          <w:tcPr>
            <w:tcW w:w="2442" w:type="dxa"/>
            <w:tcBorders>
              <w:top w:val="single" w:color="auto" w:sz="4" w:space="0"/>
              <w:left w:val="single" w:color="auto" w:sz="4" w:space="0"/>
              <w:bottom w:val="single" w:color="auto" w:sz="4" w:space="0"/>
              <w:right w:val="single" w:color="auto" w:sz="4" w:space="0"/>
            </w:tcBorders>
            <w:noWrap w:val="0"/>
            <w:vAlign w:val="center"/>
          </w:tcPr>
          <w:p w14:paraId="7C4A7CB3">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224DE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center"/>
          </w:tcPr>
          <w:p w14:paraId="2AE7363E">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58BE7081">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c>
          <w:tcPr>
            <w:tcW w:w="2572" w:type="dxa"/>
            <w:gridSpan w:val="3"/>
            <w:tcBorders>
              <w:top w:val="single" w:color="auto" w:sz="4" w:space="0"/>
              <w:left w:val="single" w:color="auto" w:sz="4" w:space="0"/>
              <w:bottom w:val="single" w:color="auto" w:sz="4" w:space="0"/>
              <w:right w:val="single" w:color="auto" w:sz="4" w:space="0"/>
            </w:tcBorders>
            <w:noWrap w:val="0"/>
            <w:vAlign w:val="center"/>
          </w:tcPr>
          <w:p w14:paraId="53BCADCC">
            <w:pPr>
              <w:keepNext w:val="0"/>
              <w:keepLines w:val="0"/>
              <w:suppressLineNumbers w:val="0"/>
              <w:adjustRightInd w:val="0"/>
              <w:snapToGrid w:val="0"/>
              <w:spacing w:before="0" w:beforeAutospacing="0" w:after="0" w:afterAutospacing="0" w:line="288" w:lineRule="auto"/>
              <w:ind w:left="120" w:right="0"/>
              <w:jc w:val="left"/>
              <w:rPr>
                <w:rFonts w:hint="default"/>
                <w:color w:val="auto"/>
                <w:sz w:val="24"/>
                <w:highlight w:val="none"/>
              </w:rPr>
            </w:pPr>
            <w:r>
              <w:rPr>
                <w:rFonts w:hint="eastAsia"/>
                <w:color w:val="auto"/>
                <w:sz w:val="24"/>
                <w:highlight w:val="none"/>
              </w:rPr>
              <w:t>其中：技术人员数</w:t>
            </w:r>
          </w:p>
        </w:tc>
        <w:tc>
          <w:tcPr>
            <w:tcW w:w="2442" w:type="dxa"/>
            <w:tcBorders>
              <w:top w:val="single" w:color="auto" w:sz="4" w:space="0"/>
              <w:left w:val="single" w:color="auto" w:sz="4" w:space="0"/>
              <w:bottom w:val="single" w:color="auto" w:sz="4" w:space="0"/>
              <w:right w:val="single" w:color="auto" w:sz="4" w:space="0"/>
            </w:tcBorders>
            <w:noWrap w:val="0"/>
            <w:vAlign w:val="center"/>
          </w:tcPr>
          <w:p w14:paraId="70DD3EC8">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087AE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center"/>
          </w:tcPr>
          <w:p w14:paraId="72450691">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经营期限</w:t>
            </w:r>
          </w:p>
        </w:tc>
        <w:tc>
          <w:tcPr>
            <w:tcW w:w="6636" w:type="dxa"/>
            <w:gridSpan w:val="5"/>
            <w:tcBorders>
              <w:top w:val="single" w:color="auto" w:sz="4" w:space="0"/>
              <w:left w:val="single" w:color="auto" w:sz="4" w:space="0"/>
              <w:bottom w:val="single" w:color="auto" w:sz="4" w:space="0"/>
              <w:right w:val="single" w:color="auto" w:sz="4" w:space="0"/>
            </w:tcBorders>
            <w:noWrap w:val="0"/>
            <w:vAlign w:val="center"/>
          </w:tcPr>
          <w:p w14:paraId="371DD850">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079BB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center"/>
          </w:tcPr>
          <w:p w14:paraId="5DC75AEA">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售后服务内容</w:t>
            </w:r>
          </w:p>
        </w:tc>
        <w:tc>
          <w:tcPr>
            <w:tcW w:w="6636" w:type="dxa"/>
            <w:gridSpan w:val="5"/>
            <w:tcBorders>
              <w:top w:val="single" w:color="auto" w:sz="4" w:space="0"/>
              <w:left w:val="single" w:color="auto" w:sz="4" w:space="0"/>
              <w:bottom w:val="single" w:color="auto" w:sz="4" w:space="0"/>
              <w:right w:val="single" w:color="auto" w:sz="4" w:space="0"/>
            </w:tcBorders>
            <w:noWrap w:val="0"/>
            <w:vAlign w:val="center"/>
          </w:tcPr>
          <w:p w14:paraId="63D1A2CF">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33348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center"/>
          </w:tcPr>
          <w:p w14:paraId="65A53F19">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工作业绩</w:t>
            </w:r>
          </w:p>
        </w:tc>
        <w:tc>
          <w:tcPr>
            <w:tcW w:w="6636" w:type="dxa"/>
            <w:gridSpan w:val="5"/>
            <w:tcBorders>
              <w:top w:val="single" w:color="auto" w:sz="4" w:space="0"/>
              <w:left w:val="single" w:color="auto" w:sz="4" w:space="0"/>
              <w:bottom w:val="single" w:color="auto" w:sz="4" w:space="0"/>
              <w:right w:val="single" w:color="auto" w:sz="4" w:space="0"/>
            </w:tcBorders>
            <w:noWrap w:val="0"/>
            <w:vAlign w:val="center"/>
          </w:tcPr>
          <w:p w14:paraId="262D23CF">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0B0C3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836" w:type="dxa"/>
            <w:tcBorders>
              <w:top w:val="single" w:color="auto" w:sz="4" w:space="0"/>
              <w:left w:val="single" w:color="auto" w:sz="4" w:space="0"/>
              <w:bottom w:val="single" w:color="auto" w:sz="4" w:space="0"/>
              <w:right w:val="single" w:color="auto" w:sz="4" w:space="0"/>
            </w:tcBorders>
            <w:noWrap w:val="0"/>
            <w:vAlign w:val="center"/>
          </w:tcPr>
          <w:p w14:paraId="1DA53F39">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质保期承诺</w:t>
            </w:r>
          </w:p>
        </w:tc>
        <w:tc>
          <w:tcPr>
            <w:tcW w:w="6636" w:type="dxa"/>
            <w:gridSpan w:val="5"/>
            <w:tcBorders>
              <w:top w:val="single" w:color="auto" w:sz="4" w:space="0"/>
              <w:left w:val="single" w:color="auto" w:sz="4" w:space="0"/>
              <w:bottom w:val="single" w:color="auto" w:sz="4" w:space="0"/>
              <w:right w:val="single" w:color="auto" w:sz="4" w:space="0"/>
            </w:tcBorders>
            <w:noWrap w:val="0"/>
            <w:vAlign w:val="center"/>
          </w:tcPr>
          <w:p w14:paraId="393C0FF5">
            <w:pPr>
              <w:keepNext w:val="0"/>
              <w:keepLines w:val="0"/>
              <w:suppressLineNumbers w:val="0"/>
              <w:spacing w:before="0" w:beforeAutospacing="0" w:after="0" w:afterAutospacing="0" w:line="360" w:lineRule="auto"/>
              <w:ind w:left="0" w:right="0"/>
              <w:rPr>
                <w:rFonts w:hint="default"/>
                <w:color w:val="auto"/>
                <w:sz w:val="24"/>
                <w:highlight w:val="none"/>
              </w:rPr>
            </w:pPr>
            <w:r>
              <w:rPr>
                <w:rFonts w:hint="eastAsia"/>
                <w:color w:val="auto"/>
                <w:sz w:val="24"/>
                <w:highlight w:val="none"/>
              </w:rPr>
              <w:t>我单位郑重承诺：</w:t>
            </w:r>
            <w:r>
              <w:rPr>
                <w:rFonts w:hint="eastAsia"/>
                <w:color w:val="auto"/>
                <w:sz w:val="24"/>
                <w:highlight w:val="none"/>
                <w:lang w:eastAsia="zh-CN"/>
              </w:rPr>
              <w:t>台州市开发投资集团有限公司国产化适配项目</w:t>
            </w:r>
            <w:r>
              <w:rPr>
                <w:rFonts w:hint="eastAsia"/>
                <w:color w:val="auto"/>
                <w:sz w:val="24"/>
                <w:highlight w:val="none"/>
              </w:rPr>
              <w:t>的免费质保期为</w:t>
            </w:r>
            <w:r>
              <w:rPr>
                <w:rFonts w:hint="eastAsia"/>
                <w:color w:val="auto"/>
                <w:sz w:val="24"/>
                <w:highlight w:val="none"/>
                <w:u w:val="single"/>
              </w:rPr>
              <w:t xml:space="preserve">       </w:t>
            </w:r>
            <w:r>
              <w:rPr>
                <w:rFonts w:hint="eastAsia"/>
                <w:color w:val="auto"/>
                <w:sz w:val="24"/>
                <w:highlight w:val="none"/>
              </w:rPr>
              <w:t>年，自项目验收合格之日起计。</w:t>
            </w:r>
          </w:p>
        </w:tc>
      </w:tr>
      <w:tr w14:paraId="40BD2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836" w:type="dxa"/>
            <w:tcBorders>
              <w:top w:val="single" w:color="auto" w:sz="4" w:space="0"/>
              <w:left w:val="single" w:color="auto" w:sz="4" w:space="0"/>
              <w:bottom w:val="single" w:color="auto" w:sz="4" w:space="0"/>
              <w:right w:val="single" w:color="auto" w:sz="4" w:space="0"/>
            </w:tcBorders>
            <w:noWrap w:val="0"/>
            <w:vAlign w:val="center"/>
          </w:tcPr>
          <w:p w14:paraId="071C5A2F">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服务承诺</w:t>
            </w:r>
          </w:p>
        </w:tc>
        <w:tc>
          <w:tcPr>
            <w:tcW w:w="6636" w:type="dxa"/>
            <w:gridSpan w:val="5"/>
            <w:tcBorders>
              <w:top w:val="single" w:color="auto" w:sz="4" w:space="0"/>
              <w:left w:val="single" w:color="auto" w:sz="4" w:space="0"/>
              <w:bottom w:val="single" w:color="auto" w:sz="4" w:space="0"/>
              <w:right w:val="single" w:color="auto" w:sz="4" w:space="0"/>
            </w:tcBorders>
            <w:noWrap w:val="0"/>
            <w:vAlign w:val="center"/>
          </w:tcPr>
          <w:p w14:paraId="247AEE4D">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365B6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836" w:type="dxa"/>
            <w:tcBorders>
              <w:top w:val="single" w:color="auto" w:sz="4" w:space="0"/>
              <w:left w:val="single" w:color="auto" w:sz="4" w:space="0"/>
              <w:bottom w:val="single" w:color="auto" w:sz="4" w:space="0"/>
              <w:right w:val="single" w:color="auto" w:sz="4" w:space="0"/>
            </w:tcBorders>
            <w:noWrap w:val="0"/>
            <w:vAlign w:val="center"/>
          </w:tcPr>
          <w:p w14:paraId="0E8CA3BE">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noWrap w:val="0"/>
            <w:vAlign w:val="center"/>
          </w:tcPr>
          <w:p w14:paraId="3AA1F48E">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c>
          <w:tcPr>
            <w:tcW w:w="1326" w:type="dxa"/>
            <w:tcBorders>
              <w:top w:val="single" w:color="auto" w:sz="4" w:space="0"/>
              <w:left w:val="single" w:color="auto" w:sz="2" w:space="0"/>
              <w:bottom w:val="single" w:color="auto" w:sz="4" w:space="0"/>
              <w:right w:val="single" w:color="auto" w:sz="2" w:space="0"/>
            </w:tcBorders>
            <w:noWrap w:val="0"/>
            <w:vAlign w:val="center"/>
          </w:tcPr>
          <w:p w14:paraId="33BCF87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4"/>
                <w:highlight w:val="none"/>
              </w:rPr>
            </w:pPr>
            <w:r>
              <w:rPr>
                <w:rFonts w:hint="eastAsia"/>
                <w:color w:val="auto"/>
                <w:sz w:val="24"/>
                <w:highlight w:val="none"/>
              </w:rPr>
              <w:t>传 真</w:t>
            </w:r>
          </w:p>
        </w:tc>
        <w:tc>
          <w:tcPr>
            <w:tcW w:w="3148" w:type="dxa"/>
            <w:gridSpan w:val="2"/>
            <w:tcBorders>
              <w:top w:val="single" w:color="auto" w:sz="4" w:space="0"/>
              <w:left w:val="single" w:color="auto" w:sz="2" w:space="0"/>
              <w:bottom w:val="single" w:color="auto" w:sz="4" w:space="0"/>
              <w:right w:val="single" w:color="auto" w:sz="2" w:space="0"/>
            </w:tcBorders>
            <w:noWrap w:val="0"/>
            <w:vAlign w:val="center"/>
          </w:tcPr>
          <w:p w14:paraId="37E1CAA5">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r w14:paraId="2626E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836" w:type="dxa"/>
            <w:tcBorders>
              <w:top w:val="single" w:color="auto" w:sz="4" w:space="0"/>
              <w:left w:val="single" w:color="auto" w:sz="4" w:space="0"/>
              <w:bottom w:val="single" w:color="auto" w:sz="4" w:space="0"/>
              <w:right w:val="single" w:color="auto" w:sz="4" w:space="0"/>
            </w:tcBorders>
            <w:noWrap w:val="0"/>
            <w:vAlign w:val="center"/>
          </w:tcPr>
          <w:p w14:paraId="3B21DE3D">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r>
              <w:rPr>
                <w:rFonts w:hint="eastAsia"/>
                <w:color w:val="auto"/>
                <w:sz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noWrap w:val="0"/>
            <w:vAlign w:val="center"/>
          </w:tcPr>
          <w:p w14:paraId="628FA112">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c>
          <w:tcPr>
            <w:tcW w:w="1326" w:type="dxa"/>
            <w:tcBorders>
              <w:top w:val="single" w:color="auto" w:sz="4" w:space="0"/>
              <w:left w:val="single" w:color="auto" w:sz="2" w:space="0"/>
              <w:bottom w:val="single" w:color="auto" w:sz="4" w:space="0"/>
              <w:right w:val="single" w:color="auto" w:sz="2" w:space="0"/>
            </w:tcBorders>
            <w:noWrap w:val="0"/>
            <w:vAlign w:val="center"/>
          </w:tcPr>
          <w:p w14:paraId="0DE835F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4"/>
                <w:highlight w:val="none"/>
              </w:rPr>
            </w:pPr>
            <w:r>
              <w:rPr>
                <w:rFonts w:hint="eastAsia"/>
                <w:color w:val="auto"/>
                <w:sz w:val="24"/>
                <w:highlight w:val="none"/>
              </w:rPr>
              <w:t>联系电话</w:t>
            </w:r>
          </w:p>
        </w:tc>
        <w:tc>
          <w:tcPr>
            <w:tcW w:w="3148" w:type="dxa"/>
            <w:gridSpan w:val="2"/>
            <w:tcBorders>
              <w:top w:val="single" w:color="auto" w:sz="4" w:space="0"/>
              <w:left w:val="single" w:color="auto" w:sz="2" w:space="0"/>
              <w:bottom w:val="single" w:color="auto" w:sz="4" w:space="0"/>
              <w:right w:val="single" w:color="auto" w:sz="4" w:space="0"/>
            </w:tcBorders>
            <w:noWrap w:val="0"/>
            <w:vAlign w:val="center"/>
          </w:tcPr>
          <w:p w14:paraId="2BC880AD">
            <w:pPr>
              <w:keepNext w:val="0"/>
              <w:keepLines w:val="0"/>
              <w:suppressLineNumbers w:val="0"/>
              <w:adjustRightInd w:val="0"/>
              <w:snapToGrid w:val="0"/>
              <w:spacing w:before="0" w:beforeAutospacing="0" w:after="0" w:afterAutospacing="0" w:line="288" w:lineRule="auto"/>
              <w:ind w:left="0" w:right="0"/>
              <w:jc w:val="left"/>
              <w:rPr>
                <w:rFonts w:hint="default"/>
                <w:color w:val="auto"/>
                <w:sz w:val="24"/>
                <w:highlight w:val="none"/>
              </w:rPr>
            </w:pPr>
          </w:p>
        </w:tc>
      </w:tr>
    </w:tbl>
    <w:p w14:paraId="26ABE767">
      <w:pPr>
        <w:pStyle w:val="30"/>
        <w:adjustRightInd w:val="0"/>
        <w:snapToGrid w:val="0"/>
        <w:spacing w:line="288" w:lineRule="auto"/>
        <w:ind w:left="199" w:hanging="199" w:hangingChars="83"/>
        <w:rPr>
          <w:color w:val="auto"/>
          <w:sz w:val="24"/>
          <w:highlight w:val="none"/>
        </w:rPr>
      </w:pPr>
    </w:p>
    <w:p w14:paraId="7FDC332C">
      <w:pPr>
        <w:ind w:firstLine="315"/>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580B21C0">
      <w:pPr>
        <w:ind w:firstLine="315"/>
        <w:rPr>
          <w:rFonts w:hint="eastAsia" w:ascii="宋体" w:hAnsi="宋体"/>
          <w:color w:val="auto"/>
          <w:sz w:val="24"/>
          <w:highlight w:val="none"/>
        </w:rPr>
      </w:pPr>
    </w:p>
    <w:p w14:paraId="560231EC">
      <w:pPr>
        <w:ind w:firstLine="315"/>
        <w:rPr>
          <w:rFonts w:hint="eastAsia" w:ascii="宋体" w:hAnsi="宋体"/>
          <w:color w:val="auto"/>
          <w:sz w:val="24"/>
          <w:highlight w:val="none"/>
        </w:rPr>
      </w:pPr>
      <w:r>
        <w:rPr>
          <w:rFonts w:hint="eastAsia" w:ascii="宋体" w:hAnsi="宋体"/>
          <w:color w:val="auto"/>
          <w:sz w:val="24"/>
          <w:highlight w:val="none"/>
        </w:rPr>
        <w:t xml:space="preserve">投 标 人（盖章）：  </w:t>
      </w:r>
    </w:p>
    <w:p w14:paraId="6C4ED052">
      <w:pPr>
        <w:ind w:firstLine="315"/>
        <w:rPr>
          <w:rFonts w:hint="eastAsia" w:ascii="宋体" w:hAnsi="宋体"/>
          <w:color w:val="auto"/>
          <w:sz w:val="24"/>
          <w:highlight w:val="none"/>
        </w:rPr>
      </w:pPr>
    </w:p>
    <w:p w14:paraId="4EFFC597">
      <w:pPr>
        <w:ind w:firstLine="315"/>
        <w:rPr>
          <w:rFonts w:hint="eastAsia" w:ascii="宋体" w:hAnsi="宋体"/>
          <w:color w:val="auto"/>
          <w:sz w:val="24"/>
          <w:highlight w:val="none"/>
        </w:rPr>
      </w:pPr>
      <w:r>
        <w:rPr>
          <w:rFonts w:hint="eastAsia" w:ascii="宋体" w:hAnsi="宋体"/>
          <w:color w:val="auto"/>
          <w:sz w:val="24"/>
          <w:highlight w:val="none"/>
        </w:rPr>
        <w:t>日期：    年   月   日</w:t>
      </w:r>
    </w:p>
    <w:p w14:paraId="41E1F951">
      <w:pPr>
        <w:widowControl/>
        <w:jc w:val="left"/>
        <w:rPr>
          <w:color w:val="auto"/>
          <w:highlight w:val="none"/>
        </w:rPr>
      </w:pPr>
      <w:r>
        <w:rPr>
          <w:color w:val="auto"/>
          <w:sz w:val="24"/>
          <w:highlight w:val="none"/>
        </w:rPr>
        <w:br w:type="page"/>
      </w:r>
      <w:r>
        <w:rPr>
          <w:rFonts w:hint="eastAsia" w:eastAsia="黑体" w:cs="宋体"/>
          <w:color w:val="auto"/>
          <w:szCs w:val="20"/>
          <w:highlight w:val="none"/>
        </w:rPr>
        <w:t>格式四</w:t>
      </w:r>
    </w:p>
    <w:p w14:paraId="6189B4C6">
      <w:pPr>
        <w:spacing w:line="360" w:lineRule="auto"/>
        <w:ind w:firstLine="480"/>
        <w:jc w:val="center"/>
        <w:rPr>
          <w:color w:val="auto"/>
          <w:sz w:val="24"/>
          <w:highlight w:val="none"/>
        </w:rPr>
      </w:pPr>
      <w:r>
        <w:rPr>
          <w:rFonts w:hint="eastAsia" w:ascii="宋体" w:hAnsi="宋体"/>
          <w:snapToGrid w:val="0"/>
          <w:color w:val="auto"/>
          <w:kern w:val="0"/>
          <w:highlight w:val="none"/>
        </w:rPr>
        <w:t xml:space="preserve">   </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7E2B7D03">
      <w:pPr>
        <w:spacing w:line="360" w:lineRule="auto"/>
        <w:ind w:left="480"/>
        <w:jc w:val="center"/>
        <w:rPr>
          <w:rFonts w:ascii="宋体" w:hAnsi="宋体"/>
          <w:b/>
          <w:color w:val="auto"/>
          <w:sz w:val="32"/>
          <w:szCs w:val="32"/>
          <w:highlight w:val="none"/>
        </w:rPr>
      </w:pPr>
      <w:r>
        <w:rPr>
          <w:rFonts w:ascii="宋体" w:hAnsi="宋体"/>
          <w:b/>
          <w:color w:val="auto"/>
          <w:sz w:val="32"/>
          <w:szCs w:val="32"/>
          <w:highlight w:val="none"/>
        </w:rPr>
        <w:t>技术</w:t>
      </w:r>
      <w:r>
        <w:rPr>
          <w:rFonts w:hint="eastAsia" w:ascii="宋体" w:hAnsi="宋体"/>
          <w:b/>
          <w:color w:val="auto"/>
          <w:sz w:val="32"/>
          <w:szCs w:val="32"/>
          <w:highlight w:val="none"/>
        </w:rPr>
        <w:t>需求</w:t>
      </w:r>
      <w:r>
        <w:rPr>
          <w:rFonts w:ascii="宋体" w:hAnsi="宋体"/>
          <w:b/>
          <w:color w:val="auto"/>
          <w:sz w:val="32"/>
          <w:szCs w:val="32"/>
          <w:highlight w:val="none"/>
        </w:rPr>
        <w:t>响应表</w:t>
      </w:r>
    </w:p>
    <w:p w14:paraId="2D021BB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在投标时应对于该部分给予充分的考虑。为了招标人评议的需要，投标人应将这些条款的任何偏差逐条提出或根据以下要求的格式提出偏差。未在此附件中写明的任何偏差，均按投标人响应了投标文件相应部分的要求。</w:t>
      </w:r>
    </w:p>
    <w:tbl>
      <w:tblPr>
        <w:tblStyle w:val="4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60"/>
        <w:gridCol w:w="1620"/>
        <w:gridCol w:w="1980"/>
        <w:gridCol w:w="1620"/>
      </w:tblGrid>
      <w:tr w14:paraId="06C3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double" w:color="auto" w:sz="2" w:space="0"/>
              <w:left w:val="double" w:color="auto" w:sz="2" w:space="0"/>
              <w:bottom w:val="single" w:color="auto" w:sz="4" w:space="0"/>
              <w:right w:val="single" w:color="auto" w:sz="4" w:space="0"/>
            </w:tcBorders>
            <w:noWrap w:val="0"/>
            <w:vAlign w:val="center"/>
          </w:tcPr>
          <w:p w14:paraId="260E5034">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highlight w:val="none"/>
              </w:rPr>
              <w:t>章 节 号</w:t>
            </w:r>
          </w:p>
        </w:tc>
        <w:tc>
          <w:tcPr>
            <w:tcW w:w="2160" w:type="dxa"/>
            <w:tcBorders>
              <w:top w:val="double" w:color="auto" w:sz="2" w:space="0"/>
              <w:left w:val="nil"/>
              <w:bottom w:val="single" w:color="auto" w:sz="4" w:space="0"/>
              <w:right w:val="single" w:color="auto" w:sz="4" w:space="0"/>
            </w:tcBorders>
            <w:noWrap w:val="0"/>
            <w:vAlign w:val="center"/>
          </w:tcPr>
          <w:p w14:paraId="47EE36BE">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highlight w:val="none"/>
              </w:rPr>
              <w:t>招标文件技术要求</w:t>
            </w:r>
          </w:p>
        </w:tc>
        <w:tc>
          <w:tcPr>
            <w:tcW w:w="1620" w:type="dxa"/>
            <w:tcBorders>
              <w:top w:val="double" w:color="auto" w:sz="2" w:space="0"/>
              <w:left w:val="nil"/>
              <w:bottom w:val="single" w:color="auto" w:sz="4" w:space="0"/>
              <w:right w:val="single" w:color="auto" w:sz="4" w:space="0"/>
            </w:tcBorders>
            <w:noWrap w:val="0"/>
            <w:vAlign w:val="center"/>
          </w:tcPr>
          <w:p w14:paraId="05ECC113">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highlight w:val="none"/>
              </w:rPr>
              <w:t>投标人的偏差</w:t>
            </w:r>
          </w:p>
        </w:tc>
        <w:tc>
          <w:tcPr>
            <w:tcW w:w="1980" w:type="dxa"/>
            <w:tcBorders>
              <w:top w:val="double" w:color="auto" w:sz="2" w:space="0"/>
              <w:left w:val="nil"/>
              <w:bottom w:val="single" w:color="auto" w:sz="4" w:space="0"/>
              <w:right w:val="single" w:color="auto" w:sz="4" w:space="0"/>
            </w:tcBorders>
            <w:noWrap w:val="0"/>
            <w:vAlign w:val="center"/>
          </w:tcPr>
          <w:p w14:paraId="759BFC8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highlight w:val="none"/>
              </w:rPr>
              <w:t>投标人偏差的理由</w:t>
            </w:r>
          </w:p>
        </w:tc>
        <w:tc>
          <w:tcPr>
            <w:tcW w:w="1620" w:type="dxa"/>
            <w:tcBorders>
              <w:top w:val="double" w:color="auto" w:sz="2" w:space="0"/>
              <w:left w:val="nil"/>
              <w:bottom w:val="single" w:color="auto" w:sz="4" w:space="0"/>
              <w:right w:val="double" w:color="auto" w:sz="2" w:space="0"/>
            </w:tcBorders>
            <w:noWrap w:val="0"/>
            <w:vAlign w:val="center"/>
          </w:tcPr>
          <w:p w14:paraId="0B78E5ED">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highlight w:val="none"/>
              </w:rPr>
              <w:t>备    注</w:t>
            </w:r>
          </w:p>
        </w:tc>
      </w:tr>
      <w:tr w14:paraId="6D0B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74ED87AA">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59C50E3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398ECE41">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6936EAD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766A291F">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6349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7449F2A3">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4C9BA416">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2B110F2B">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35C5A6DD">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60A81AC6">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2C93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1AC1D2CC">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0BFD4DC2">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71252C65">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5FBAB3AD">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0CD88E7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103E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0773561D">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3E312447">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040BD58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7A4FAFA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514972C5">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1452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010BC10F">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0F9DBFBA">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2C292C42">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1239D0A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635D448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7C29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double" w:color="auto" w:sz="2" w:space="0"/>
              <w:right w:val="single" w:color="auto" w:sz="4" w:space="0"/>
            </w:tcBorders>
            <w:noWrap w:val="0"/>
            <w:vAlign w:val="center"/>
          </w:tcPr>
          <w:p w14:paraId="3CDDC611">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2160" w:type="dxa"/>
            <w:tcBorders>
              <w:top w:val="single" w:color="auto" w:sz="4" w:space="0"/>
              <w:left w:val="nil"/>
              <w:bottom w:val="double" w:color="auto" w:sz="2" w:space="0"/>
              <w:right w:val="single" w:color="auto" w:sz="4" w:space="0"/>
            </w:tcBorders>
            <w:noWrap w:val="0"/>
            <w:vAlign w:val="center"/>
          </w:tcPr>
          <w:p w14:paraId="0873D24F">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double" w:color="auto" w:sz="2" w:space="0"/>
              <w:right w:val="single" w:color="auto" w:sz="4" w:space="0"/>
            </w:tcBorders>
            <w:noWrap w:val="0"/>
            <w:vAlign w:val="center"/>
          </w:tcPr>
          <w:p w14:paraId="1FF825F1">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980" w:type="dxa"/>
            <w:tcBorders>
              <w:top w:val="single" w:color="auto" w:sz="4" w:space="0"/>
              <w:left w:val="nil"/>
              <w:bottom w:val="double" w:color="auto" w:sz="2" w:space="0"/>
              <w:right w:val="single" w:color="auto" w:sz="4" w:space="0"/>
            </w:tcBorders>
            <w:noWrap w:val="0"/>
            <w:vAlign w:val="center"/>
          </w:tcPr>
          <w:p w14:paraId="4210A0AE">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1620" w:type="dxa"/>
            <w:tcBorders>
              <w:top w:val="single" w:color="auto" w:sz="4" w:space="0"/>
              <w:left w:val="nil"/>
              <w:bottom w:val="double" w:color="auto" w:sz="2" w:space="0"/>
              <w:right w:val="double" w:color="auto" w:sz="2" w:space="0"/>
            </w:tcBorders>
            <w:noWrap w:val="0"/>
            <w:vAlign w:val="center"/>
          </w:tcPr>
          <w:p w14:paraId="0F0B6271">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bl>
    <w:p w14:paraId="77995478">
      <w:pPr>
        <w:spacing w:line="360" w:lineRule="auto"/>
        <w:rPr>
          <w:rFonts w:ascii="宋体" w:hAnsi="宋体"/>
          <w:color w:val="auto"/>
          <w:sz w:val="24"/>
          <w:highlight w:val="none"/>
        </w:rPr>
      </w:pPr>
      <w:r>
        <w:rPr>
          <w:rFonts w:hint="eastAsia" w:ascii="宋体" w:hAnsi="宋体"/>
          <w:color w:val="auto"/>
          <w:sz w:val="24"/>
          <w:highlight w:val="none"/>
        </w:rPr>
        <w:t>注：如本页未填写或未提供，均视为完全满足采购文件要求，无偏差。</w:t>
      </w:r>
    </w:p>
    <w:p w14:paraId="5AC61F23">
      <w:pPr>
        <w:spacing w:line="360" w:lineRule="auto"/>
        <w:rPr>
          <w:rFonts w:ascii="宋体" w:hAnsi="宋体"/>
          <w:color w:val="auto"/>
          <w:sz w:val="24"/>
          <w:highlight w:val="none"/>
        </w:rPr>
      </w:pPr>
      <w:r>
        <w:rPr>
          <w:rFonts w:hint="eastAsia" w:ascii="宋体" w:hAnsi="宋体"/>
          <w:color w:val="auto"/>
          <w:sz w:val="24"/>
          <w:highlight w:val="none"/>
        </w:rPr>
        <w:t xml:space="preserve"> </w:t>
      </w:r>
    </w:p>
    <w:p w14:paraId="5CF7104F">
      <w:pPr>
        <w:ind w:firstLine="315"/>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5F2992B4">
      <w:pPr>
        <w:ind w:firstLine="315"/>
        <w:rPr>
          <w:rFonts w:hint="eastAsia" w:ascii="宋体" w:hAnsi="宋体"/>
          <w:color w:val="auto"/>
          <w:sz w:val="24"/>
          <w:highlight w:val="none"/>
        </w:rPr>
      </w:pPr>
    </w:p>
    <w:p w14:paraId="2B67BA7F">
      <w:pPr>
        <w:ind w:firstLine="315"/>
        <w:rPr>
          <w:rFonts w:hint="eastAsia" w:ascii="宋体" w:hAnsi="宋体"/>
          <w:color w:val="auto"/>
          <w:sz w:val="24"/>
          <w:highlight w:val="none"/>
        </w:rPr>
      </w:pPr>
      <w:r>
        <w:rPr>
          <w:rFonts w:hint="eastAsia" w:ascii="宋体" w:hAnsi="宋体"/>
          <w:color w:val="auto"/>
          <w:sz w:val="24"/>
          <w:highlight w:val="none"/>
        </w:rPr>
        <w:t xml:space="preserve">投 标 人（盖章）：  </w:t>
      </w:r>
    </w:p>
    <w:p w14:paraId="24D7D361">
      <w:pPr>
        <w:ind w:firstLine="315"/>
        <w:rPr>
          <w:rFonts w:hint="eastAsia" w:ascii="宋体" w:hAnsi="宋体"/>
          <w:color w:val="auto"/>
          <w:sz w:val="24"/>
          <w:highlight w:val="none"/>
        </w:rPr>
      </w:pPr>
    </w:p>
    <w:p w14:paraId="5C0CCD40">
      <w:pPr>
        <w:ind w:firstLine="315"/>
        <w:rPr>
          <w:rFonts w:eastAsia="黑体" w:cs="宋体"/>
          <w:color w:val="auto"/>
          <w:szCs w:val="20"/>
          <w:highlight w:val="none"/>
        </w:rPr>
        <w:sectPr>
          <w:pgSz w:w="11907" w:h="16840"/>
          <w:pgMar w:top="1417" w:right="1418" w:bottom="1417" w:left="1531" w:header="851" w:footer="992" w:gutter="0"/>
          <w:cols w:space="720" w:num="1"/>
          <w:docGrid w:type="lines" w:linePitch="312" w:charSpace="0"/>
        </w:sectPr>
      </w:pPr>
      <w:r>
        <w:rPr>
          <w:rFonts w:hint="eastAsia" w:ascii="宋体" w:hAnsi="宋体"/>
          <w:color w:val="auto"/>
          <w:sz w:val="24"/>
          <w:highlight w:val="none"/>
        </w:rPr>
        <w:t>日期：    年   月   日</w:t>
      </w:r>
    </w:p>
    <w:p w14:paraId="33C58638">
      <w:pPr>
        <w:pStyle w:val="95"/>
        <w:rPr>
          <w:rFonts w:hint="eastAsia"/>
          <w:color w:val="auto"/>
          <w:highlight w:val="none"/>
          <w:u w:val="single"/>
        </w:rPr>
      </w:pPr>
      <w:bookmarkStart w:id="37" w:name="_Toc15662"/>
      <w:r>
        <w:rPr>
          <w:rFonts w:hint="eastAsia"/>
          <w:color w:val="auto"/>
          <w:highlight w:val="none"/>
        </w:rPr>
        <w:t>格式</w:t>
      </w:r>
      <w:bookmarkEnd w:id="37"/>
      <w:r>
        <w:rPr>
          <w:rFonts w:hint="eastAsia"/>
          <w:color w:val="auto"/>
          <w:highlight w:val="none"/>
        </w:rPr>
        <w:t>五</w:t>
      </w:r>
    </w:p>
    <w:p w14:paraId="5D5D82CF">
      <w:pPr>
        <w:jc w:val="center"/>
        <w:rPr>
          <w:rFonts w:hint="default" w:eastAsia="宋体"/>
          <w:b/>
          <w:bCs w:val="0"/>
          <w:color w:val="auto"/>
          <w:sz w:val="30"/>
          <w:szCs w:val="30"/>
          <w:highlight w:val="none"/>
          <w:lang w:val="en-US" w:eastAsia="zh-CN"/>
        </w:rPr>
      </w:pPr>
      <w:r>
        <w:rPr>
          <w:rFonts w:hint="eastAsia"/>
          <w:b/>
          <w:bCs w:val="0"/>
          <w:color w:val="auto"/>
          <w:sz w:val="30"/>
          <w:szCs w:val="30"/>
          <w:highlight w:val="none"/>
          <w:lang w:val="en-US" w:eastAsia="zh-CN"/>
        </w:rPr>
        <w:t>开标一览表</w:t>
      </w:r>
    </w:p>
    <w:p w14:paraId="601A2ED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台州市开发投资集团有限公司</w:t>
      </w:r>
      <w:r>
        <w:rPr>
          <w:rFonts w:hint="eastAsia" w:ascii="宋体" w:hAnsi="宋体" w:cs="宋体"/>
          <w:color w:val="auto"/>
          <w:kern w:val="0"/>
          <w:sz w:val="24"/>
          <w:highlight w:val="none"/>
          <w:lang w:val="zh-CN"/>
        </w:rPr>
        <w:t>：</w:t>
      </w:r>
    </w:p>
    <w:p w14:paraId="78CF7F85">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18F840F">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41"/>
        <w:tblpPr w:leftFromText="180" w:rightFromText="180" w:vertAnchor="text" w:horzAnchor="page" w:tblpX="1805" w:tblpY="456"/>
        <w:tblOverlap w:val="never"/>
        <w:tblW w:w="48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537"/>
        <w:gridCol w:w="649"/>
        <w:gridCol w:w="649"/>
        <w:gridCol w:w="1339"/>
        <w:gridCol w:w="1591"/>
        <w:gridCol w:w="1375"/>
      </w:tblGrid>
      <w:tr w14:paraId="5E6C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44" w:type="pct"/>
            <w:vAlign w:val="center"/>
          </w:tcPr>
          <w:p w14:paraId="2074723B">
            <w:pPr>
              <w:pStyle w:val="98"/>
              <w:keepNext w:val="0"/>
              <w:keepLines w:val="0"/>
              <w:widowControl w:val="0"/>
              <w:suppressLineNumbers w:val="0"/>
              <w:spacing w:before="0" w:beforeAutospacing="0" w:after="0" w:afterAutospacing="0"/>
              <w:ind w:left="0" w:right="0"/>
              <w:jc w:val="center"/>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lang w:val="en-US" w:eastAsia="zh-CN"/>
              </w:rPr>
              <w:t>序号</w:t>
            </w:r>
          </w:p>
        </w:tc>
        <w:tc>
          <w:tcPr>
            <w:tcW w:w="1419" w:type="pct"/>
            <w:vAlign w:val="center"/>
          </w:tcPr>
          <w:p w14:paraId="0793EDD1">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项目名称</w:t>
            </w:r>
          </w:p>
        </w:tc>
        <w:tc>
          <w:tcPr>
            <w:tcW w:w="363" w:type="pct"/>
            <w:vAlign w:val="center"/>
          </w:tcPr>
          <w:p w14:paraId="0826B950">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数量</w:t>
            </w:r>
          </w:p>
        </w:tc>
        <w:tc>
          <w:tcPr>
            <w:tcW w:w="363" w:type="pct"/>
            <w:vAlign w:val="center"/>
          </w:tcPr>
          <w:p w14:paraId="61C517F4">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单位</w:t>
            </w:r>
          </w:p>
        </w:tc>
        <w:tc>
          <w:tcPr>
            <w:tcW w:w="749" w:type="pct"/>
            <w:vAlign w:val="center"/>
          </w:tcPr>
          <w:p w14:paraId="07CE0511">
            <w:pPr>
              <w:pStyle w:val="98"/>
              <w:keepNext w:val="0"/>
              <w:keepLines w:val="0"/>
              <w:widowControl w:val="0"/>
              <w:suppressLineNumbers w:val="0"/>
              <w:spacing w:before="0" w:beforeAutospacing="0" w:after="0" w:afterAutospacing="0"/>
              <w:ind w:left="0" w:right="0"/>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合计</w:t>
            </w:r>
          </w:p>
        </w:tc>
        <w:tc>
          <w:tcPr>
            <w:tcW w:w="890" w:type="pct"/>
            <w:vAlign w:val="center"/>
          </w:tcPr>
          <w:p w14:paraId="4B452584">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sz w:val="21"/>
                <w:szCs w:val="21"/>
                <w:highlight w:val="none"/>
              </w:rPr>
              <w:t>最高限价</w:t>
            </w:r>
            <w:r>
              <w:rPr>
                <w:rFonts w:hint="default" w:ascii="宋体" w:hAnsi="宋体" w:eastAsia="宋体" w:cs="Times New Roman"/>
                <w:b/>
                <w:bCs/>
                <w:color w:val="auto"/>
                <w:sz w:val="21"/>
                <w:szCs w:val="21"/>
                <w:highlight w:val="none"/>
                <w:lang w:eastAsia="zh-CN"/>
              </w:rPr>
              <w:t>（</w:t>
            </w:r>
            <w:r>
              <w:rPr>
                <w:rFonts w:hint="default" w:ascii="宋体" w:hAnsi="宋体" w:eastAsia="宋体" w:cs="Times New Roman"/>
                <w:b/>
                <w:bCs/>
                <w:color w:val="auto"/>
                <w:sz w:val="21"/>
                <w:szCs w:val="21"/>
                <w:highlight w:val="none"/>
                <w:lang w:val="en-US" w:eastAsia="zh-CN"/>
              </w:rPr>
              <w:t>总价</w:t>
            </w:r>
            <w:r>
              <w:rPr>
                <w:rFonts w:hint="default" w:ascii="宋体" w:hAnsi="宋体" w:eastAsia="宋体" w:cs="Times New Roman"/>
                <w:b/>
                <w:bCs/>
                <w:color w:val="auto"/>
                <w:sz w:val="21"/>
                <w:szCs w:val="21"/>
                <w:highlight w:val="none"/>
                <w:lang w:eastAsia="zh-CN"/>
              </w:rPr>
              <w:t>）</w:t>
            </w:r>
          </w:p>
        </w:tc>
        <w:tc>
          <w:tcPr>
            <w:tcW w:w="769" w:type="pct"/>
            <w:vAlign w:val="center"/>
          </w:tcPr>
          <w:p w14:paraId="7A484F49">
            <w:pPr>
              <w:pStyle w:val="98"/>
              <w:keepNext w:val="0"/>
              <w:keepLines w:val="0"/>
              <w:widowControl w:val="0"/>
              <w:suppressLineNumbers w:val="0"/>
              <w:spacing w:before="0" w:beforeAutospacing="0" w:after="0" w:afterAutospacing="0"/>
              <w:ind w:left="0" w:right="0"/>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sz w:val="21"/>
                <w:szCs w:val="21"/>
                <w:highlight w:val="none"/>
                <w:lang w:val="en-US" w:eastAsia="zh-CN"/>
              </w:rPr>
              <w:t>备注</w:t>
            </w:r>
          </w:p>
        </w:tc>
      </w:tr>
      <w:tr w14:paraId="73BF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444" w:type="pct"/>
            <w:vAlign w:val="center"/>
          </w:tcPr>
          <w:p w14:paraId="1A39B96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c>
          <w:tcPr>
            <w:tcW w:w="1419" w:type="pct"/>
            <w:vAlign w:val="center"/>
          </w:tcPr>
          <w:p w14:paraId="1BE104A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台州市开发投资集团有限公司国产化适配项目</w:t>
            </w:r>
          </w:p>
        </w:tc>
        <w:tc>
          <w:tcPr>
            <w:tcW w:w="363" w:type="pct"/>
            <w:vAlign w:val="center"/>
          </w:tcPr>
          <w:p w14:paraId="2E04FAD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c>
          <w:tcPr>
            <w:tcW w:w="363" w:type="pct"/>
            <w:vAlign w:val="center"/>
          </w:tcPr>
          <w:p w14:paraId="1312F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套</w:t>
            </w:r>
          </w:p>
        </w:tc>
        <w:tc>
          <w:tcPr>
            <w:tcW w:w="1339" w:type="dxa"/>
            <w:vAlign w:val="center"/>
          </w:tcPr>
          <w:p w14:paraId="15D0B04C">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bidi="ar"/>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元</w:t>
            </w:r>
          </w:p>
        </w:tc>
        <w:tc>
          <w:tcPr>
            <w:tcW w:w="1591" w:type="dxa"/>
            <w:vAlign w:val="center"/>
          </w:tcPr>
          <w:p w14:paraId="015952BF">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bidi="ar"/>
              </w:rPr>
            </w:pPr>
            <w:r>
              <w:rPr>
                <w:rFonts w:hint="eastAsia" w:ascii="宋体" w:hAnsi="宋体" w:cs="宋体"/>
                <w:color w:val="auto"/>
                <w:sz w:val="24"/>
                <w:highlight w:val="none"/>
                <w:lang w:val="en-US" w:eastAsia="zh-CN"/>
              </w:rPr>
              <w:t>82</w:t>
            </w:r>
            <w:r>
              <w:rPr>
                <w:rFonts w:hint="eastAsia" w:ascii="宋体" w:hAnsi="宋体" w:cs="宋体"/>
                <w:color w:val="auto"/>
                <w:sz w:val="24"/>
                <w:highlight w:val="none"/>
              </w:rPr>
              <w:t>万元</w:t>
            </w:r>
          </w:p>
        </w:tc>
        <w:tc>
          <w:tcPr>
            <w:tcW w:w="769" w:type="pct"/>
            <w:vAlign w:val="center"/>
          </w:tcPr>
          <w:p w14:paraId="530F4B2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default" w:ascii="宋体" w:hAnsi="宋体" w:cs="宋体"/>
                <w:color w:val="auto"/>
                <w:kern w:val="0"/>
                <w:sz w:val="21"/>
                <w:szCs w:val="21"/>
                <w:highlight w:val="none"/>
                <w:lang w:val="en-US" w:eastAsia="zh-CN" w:bidi="ar"/>
              </w:rPr>
              <w:t>保留整数</w:t>
            </w:r>
          </w:p>
        </w:tc>
      </w:tr>
    </w:tbl>
    <w:p w14:paraId="6A90A3E4">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5BC41E9">
      <w:pPr>
        <w:spacing w:line="360" w:lineRule="auto"/>
        <w:ind w:left="-3"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69E3E0D">
      <w:pPr>
        <w:rPr>
          <w:rFonts w:hint="eastAsia"/>
          <w:bCs/>
          <w:color w:val="auto"/>
          <w:szCs w:val="28"/>
          <w:highlight w:val="none"/>
        </w:rPr>
      </w:pPr>
    </w:p>
    <w:p w14:paraId="71AEE9D5">
      <w:pPr>
        <w:ind w:firstLine="315"/>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04B332F5">
      <w:pPr>
        <w:ind w:firstLine="315"/>
        <w:rPr>
          <w:rFonts w:hint="eastAsia" w:ascii="宋体" w:hAnsi="宋体"/>
          <w:color w:val="auto"/>
          <w:sz w:val="24"/>
          <w:highlight w:val="none"/>
        </w:rPr>
      </w:pPr>
    </w:p>
    <w:p w14:paraId="792C0585">
      <w:pPr>
        <w:ind w:firstLine="315"/>
        <w:rPr>
          <w:rFonts w:hint="eastAsia" w:ascii="宋体" w:hAnsi="宋体"/>
          <w:color w:val="auto"/>
          <w:sz w:val="24"/>
          <w:highlight w:val="none"/>
        </w:rPr>
      </w:pPr>
      <w:r>
        <w:rPr>
          <w:rFonts w:hint="eastAsia" w:ascii="宋体" w:hAnsi="宋体"/>
          <w:color w:val="auto"/>
          <w:sz w:val="24"/>
          <w:highlight w:val="none"/>
        </w:rPr>
        <w:t xml:space="preserve">投 标 人（盖章）：  </w:t>
      </w:r>
    </w:p>
    <w:p w14:paraId="7F08D944">
      <w:pPr>
        <w:ind w:firstLine="315"/>
        <w:rPr>
          <w:rFonts w:hint="eastAsia" w:ascii="宋体" w:hAnsi="宋体"/>
          <w:color w:val="auto"/>
          <w:sz w:val="24"/>
          <w:highlight w:val="none"/>
        </w:rPr>
      </w:pPr>
    </w:p>
    <w:p w14:paraId="621F1879">
      <w:pPr>
        <w:spacing w:before="0"/>
        <w:ind w:firstLine="315"/>
        <w:rPr>
          <w:rFonts w:hint="eastAsia" w:eastAsia="宋体"/>
          <w:b/>
          <w:bCs/>
          <w:color w:val="auto"/>
          <w:sz w:val="28"/>
          <w:szCs w:val="28"/>
          <w:highlight w:val="none"/>
        </w:rPr>
        <w:sectPr>
          <w:pgSz w:w="11907" w:h="16840"/>
          <w:pgMar w:top="1417" w:right="1418" w:bottom="1417" w:left="1531" w:header="851" w:footer="992" w:gutter="0"/>
          <w:cols w:space="720" w:num="1"/>
          <w:docGrid w:type="lines" w:linePitch="312" w:charSpace="0"/>
        </w:sectPr>
      </w:pPr>
      <w:r>
        <w:rPr>
          <w:rFonts w:hint="eastAsia" w:ascii="宋体" w:hAnsi="宋体"/>
          <w:color w:val="auto"/>
          <w:sz w:val="24"/>
          <w:highlight w:val="none"/>
        </w:rPr>
        <w:t>日期：    年   月   日</w:t>
      </w:r>
    </w:p>
    <w:p w14:paraId="75BA5D5D">
      <w:pPr>
        <w:pStyle w:val="37"/>
        <w:spacing w:before="0"/>
        <w:jc w:val="both"/>
        <w:rPr>
          <w:b w:val="0"/>
          <w:color w:val="auto"/>
          <w:sz w:val="28"/>
          <w:szCs w:val="28"/>
          <w:highlight w:val="none"/>
        </w:rPr>
      </w:pPr>
      <w:r>
        <w:rPr>
          <w:rFonts w:hint="eastAsia" w:eastAsia="宋体"/>
          <w:b w:val="0"/>
          <w:bCs/>
          <w:color w:val="auto"/>
          <w:sz w:val="28"/>
          <w:szCs w:val="28"/>
          <w:highlight w:val="none"/>
        </w:rPr>
        <w:t>格式七</w:t>
      </w:r>
      <w:r>
        <w:rPr>
          <w:rFonts w:hint="eastAsia"/>
          <w:b w:val="0"/>
          <w:bCs/>
          <w:color w:val="auto"/>
          <w:sz w:val="28"/>
          <w:szCs w:val="28"/>
          <w:highlight w:val="none"/>
        </w:rPr>
        <w:t>：</w:t>
      </w:r>
    </w:p>
    <w:p w14:paraId="758F8C6D">
      <w:pPr>
        <w:adjustRightInd w:val="0"/>
        <w:snapToGrid w:val="0"/>
        <w:spacing w:before="156" w:beforeLines="50" w:line="360" w:lineRule="auto"/>
        <w:jc w:val="center"/>
        <w:rPr>
          <w:rFonts w:ascii="黑体" w:eastAsia="黑体"/>
          <w:color w:val="auto"/>
          <w:sz w:val="44"/>
          <w:highlight w:val="none"/>
        </w:rPr>
      </w:pPr>
      <w:r>
        <w:rPr>
          <w:rFonts w:hint="eastAsia" w:ascii="黑体" w:eastAsia="黑体"/>
          <w:color w:val="auto"/>
          <w:sz w:val="44"/>
          <w:highlight w:val="none"/>
        </w:rPr>
        <w:t>法定代表人授权委托书</w:t>
      </w:r>
    </w:p>
    <w:p w14:paraId="518A613F">
      <w:pPr>
        <w:adjustRightInd w:val="0"/>
        <w:snapToGrid w:val="0"/>
        <w:spacing w:before="156" w:beforeLines="50" w:line="360" w:lineRule="auto"/>
        <w:jc w:val="center"/>
        <w:rPr>
          <w:rFonts w:ascii="宋体"/>
          <w:color w:val="auto"/>
          <w:sz w:val="28"/>
          <w:highlight w:val="none"/>
        </w:rPr>
      </w:pPr>
      <w:r>
        <w:rPr>
          <w:rFonts w:hint="eastAsia" w:ascii="宋体"/>
          <w:color w:val="auto"/>
          <w:sz w:val="28"/>
          <w:highlight w:val="none"/>
        </w:rPr>
        <w:t>（参考样张）</w:t>
      </w:r>
    </w:p>
    <w:p w14:paraId="3591145F">
      <w:pPr>
        <w:adjustRightInd w:val="0"/>
        <w:snapToGrid w:val="0"/>
        <w:spacing w:before="156" w:beforeLines="50" w:line="360" w:lineRule="auto"/>
        <w:ind w:left="1439" w:leftChars="514" w:firstLine="560" w:firstLineChars="200"/>
        <w:rPr>
          <w:rFonts w:ascii="宋体"/>
          <w:color w:val="auto"/>
          <w:sz w:val="28"/>
          <w:highlight w:val="none"/>
        </w:rPr>
      </w:pPr>
    </w:p>
    <w:p w14:paraId="336BE1F8">
      <w:pPr>
        <w:adjustRightInd w:val="0"/>
        <w:snapToGrid w:val="0"/>
        <w:spacing w:before="156" w:beforeLines="50" w:line="360" w:lineRule="auto"/>
        <w:ind w:left="1439" w:leftChars="514" w:firstLine="560" w:firstLineChars="200"/>
        <w:rPr>
          <w:rFonts w:ascii="宋体"/>
          <w:color w:val="auto"/>
          <w:sz w:val="28"/>
          <w:highlight w:val="none"/>
        </w:rPr>
      </w:pPr>
    </w:p>
    <w:p w14:paraId="13B6F9F4">
      <w:pPr>
        <w:adjustRightInd w:val="0"/>
        <w:snapToGrid w:val="0"/>
        <w:spacing w:before="156" w:beforeLines="50" w:line="360" w:lineRule="auto"/>
        <w:ind w:firstLine="600"/>
        <w:rPr>
          <w:rFonts w:ascii="宋体"/>
          <w:color w:val="auto"/>
          <w:sz w:val="28"/>
          <w:highlight w:val="none"/>
          <w:u w:val="single"/>
        </w:rPr>
      </w:pPr>
      <w:r>
        <w:rPr>
          <w:rFonts w:hint="eastAsia" w:ascii="宋体"/>
          <w:color w:val="auto"/>
          <w:sz w:val="28"/>
          <w:highlight w:val="none"/>
        </w:rPr>
        <w:t>本授权委托书声明：我</w:t>
      </w:r>
      <w:r>
        <w:rPr>
          <w:rFonts w:hint="eastAsia" w:ascii="宋体"/>
          <w:color w:val="auto"/>
          <w:sz w:val="28"/>
          <w:highlight w:val="none"/>
          <w:u w:val="single"/>
        </w:rPr>
        <w:t xml:space="preserve">         </w:t>
      </w:r>
      <w:r>
        <w:rPr>
          <w:rFonts w:hint="eastAsia" w:ascii="宋体"/>
          <w:color w:val="auto"/>
          <w:sz w:val="28"/>
          <w:highlight w:val="none"/>
        </w:rPr>
        <w:t>（姓名）系</w:t>
      </w:r>
      <w:r>
        <w:rPr>
          <w:rFonts w:hint="eastAsia" w:ascii="宋体"/>
          <w:color w:val="auto"/>
          <w:sz w:val="28"/>
          <w:highlight w:val="none"/>
          <w:u w:val="single"/>
        </w:rPr>
        <w:t xml:space="preserve">                        </w:t>
      </w:r>
    </w:p>
    <w:p w14:paraId="308C72A5">
      <w:pPr>
        <w:adjustRightInd w:val="0"/>
        <w:snapToGrid w:val="0"/>
        <w:spacing w:before="156" w:beforeLines="50" w:line="360" w:lineRule="auto"/>
        <w:rPr>
          <w:rFonts w:ascii="宋体" w:hAnsi="宋体"/>
          <w:snapToGrid w:val="0"/>
          <w:color w:val="auto"/>
          <w:kern w:val="0"/>
          <w:sz w:val="28"/>
          <w:highlight w:val="none"/>
          <w:u w:val="single"/>
        </w:rPr>
      </w:pPr>
      <w:r>
        <w:rPr>
          <w:rFonts w:hint="eastAsia" w:ascii="宋体"/>
          <w:color w:val="auto"/>
          <w:sz w:val="28"/>
          <w:highlight w:val="none"/>
          <w:u w:val="single"/>
        </w:rPr>
        <w:t xml:space="preserve">        </w:t>
      </w:r>
      <w:r>
        <w:rPr>
          <w:rFonts w:hint="eastAsia" w:ascii="宋体"/>
          <w:color w:val="auto"/>
          <w:sz w:val="28"/>
          <w:highlight w:val="none"/>
        </w:rPr>
        <w:t>（投标人）的法定代表人，现授权委托我单位</w:t>
      </w:r>
      <w:r>
        <w:rPr>
          <w:rFonts w:hint="eastAsia" w:ascii="宋体"/>
          <w:color w:val="auto"/>
          <w:sz w:val="28"/>
          <w:highlight w:val="none"/>
          <w:u w:val="single"/>
        </w:rPr>
        <w:t xml:space="preserve">         </w:t>
      </w:r>
      <w:r>
        <w:rPr>
          <w:rFonts w:hint="eastAsia" w:ascii="宋体"/>
          <w:color w:val="auto"/>
          <w:sz w:val="28"/>
          <w:highlight w:val="none"/>
        </w:rPr>
        <w:t>（姓名）为我的代理人，以本单位的名义参加</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color w:val="auto"/>
          <w:sz w:val="28"/>
          <w:highlight w:val="none"/>
        </w:rPr>
        <w:t>（招标人）的</w:t>
      </w:r>
      <w:r>
        <w:rPr>
          <w:rFonts w:hint="eastAsia" w:ascii="宋体"/>
          <w:color w:val="auto"/>
          <w:sz w:val="28"/>
          <w:highlight w:val="none"/>
          <w:u w:val="single"/>
          <w:lang w:eastAsia="zh-CN"/>
        </w:rPr>
        <w:t>台州市开发投资集团有限公司国产化适配项目</w:t>
      </w:r>
      <w:r>
        <w:rPr>
          <w:rFonts w:hint="eastAsia" w:ascii="宋体"/>
          <w:color w:val="auto"/>
          <w:sz w:val="28"/>
          <w:highlight w:val="none"/>
        </w:rPr>
        <w:t>（</w:t>
      </w:r>
      <w:r>
        <w:rPr>
          <w:rFonts w:hint="eastAsia" w:ascii="宋体"/>
          <w:color w:val="auto"/>
          <w:sz w:val="28"/>
          <w:highlight w:val="none"/>
          <w:lang w:val="en-US" w:eastAsia="zh-CN"/>
        </w:rPr>
        <w:t>项目</w:t>
      </w:r>
      <w:r>
        <w:rPr>
          <w:rFonts w:hint="eastAsia" w:ascii="宋体"/>
          <w:color w:val="auto"/>
          <w:sz w:val="28"/>
          <w:highlight w:val="none"/>
        </w:rPr>
        <w:t>名称）的投标。代理人在该工程招投标活动中的一切事务，我均予以承认。</w:t>
      </w:r>
    </w:p>
    <w:p w14:paraId="1303814D">
      <w:pPr>
        <w:adjustRightInd w:val="0"/>
        <w:snapToGrid w:val="0"/>
        <w:spacing w:before="156" w:beforeLines="50" w:line="360" w:lineRule="auto"/>
        <w:ind w:firstLine="560" w:firstLineChars="200"/>
        <w:rPr>
          <w:rFonts w:ascii="宋体"/>
          <w:color w:val="auto"/>
          <w:sz w:val="28"/>
          <w:highlight w:val="none"/>
        </w:rPr>
      </w:pPr>
      <w:r>
        <w:rPr>
          <w:rFonts w:hint="eastAsia" w:ascii="宋体"/>
          <w:color w:val="auto"/>
          <w:sz w:val="28"/>
          <w:highlight w:val="none"/>
        </w:rPr>
        <w:t>代理人无转委权，特此委托。</w:t>
      </w:r>
    </w:p>
    <w:p w14:paraId="3DA44A45">
      <w:pPr>
        <w:adjustRightInd w:val="0"/>
        <w:snapToGrid w:val="0"/>
        <w:spacing w:before="156" w:beforeLines="50" w:line="360" w:lineRule="auto"/>
        <w:rPr>
          <w:rFonts w:ascii="宋体"/>
          <w:color w:val="auto"/>
          <w:sz w:val="28"/>
          <w:highlight w:val="none"/>
        </w:rPr>
      </w:pPr>
    </w:p>
    <w:p w14:paraId="7E4A41BA">
      <w:pPr>
        <w:adjustRightInd w:val="0"/>
        <w:snapToGrid w:val="0"/>
        <w:spacing w:before="156" w:beforeLines="50" w:line="360" w:lineRule="auto"/>
        <w:rPr>
          <w:rFonts w:ascii="宋体"/>
          <w:color w:val="auto"/>
          <w:sz w:val="28"/>
          <w:highlight w:val="none"/>
        </w:rPr>
      </w:pPr>
    </w:p>
    <w:p w14:paraId="05707255">
      <w:pPr>
        <w:adjustRightInd w:val="0"/>
        <w:snapToGrid w:val="0"/>
        <w:spacing w:before="156" w:beforeLines="50" w:line="360" w:lineRule="auto"/>
        <w:rPr>
          <w:rFonts w:ascii="宋体"/>
          <w:color w:val="auto"/>
          <w:sz w:val="28"/>
          <w:highlight w:val="none"/>
        </w:rPr>
      </w:pPr>
      <w:r>
        <w:rPr>
          <w:rFonts w:hint="eastAsia" w:ascii="宋体"/>
          <w:color w:val="auto"/>
          <w:sz w:val="28"/>
          <w:highlight w:val="none"/>
        </w:rPr>
        <w:t>投标人（盖章）：</w:t>
      </w:r>
      <w:r>
        <w:rPr>
          <w:rFonts w:hint="eastAsia" w:ascii="宋体"/>
          <w:color w:val="auto"/>
          <w:sz w:val="28"/>
          <w:highlight w:val="none"/>
          <w:u w:val="single"/>
        </w:rPr>
        <w:t xml:space="preserve">                                         </w:t>
      </w:r>
    </w:p>
    <w:p w14:paraId="1AE51780">
      <w:pPr>
        <w:adjustRightInd w:val="0"/>
        <w:snapToGrid w:val="0"/>
        <w:spacing w:before="156" w:beforeLines="50" w:line="360" w:lineRule="auto"/>
        <w:rPr>
          <w:rFonts w:ascii="宋体"/>
          <w:color w:val="auto"/>
          <w:sz w:val="28"/>
          <w:highlight w:val="none"/>
        </w:rPr>
      </w:pPr>
      <w:r>
        <w:rPr>
          <w:rFonts w:hint="eastAsia" w:ascii="宋体"/>
          <w:color w:val="auto"/>
          <w:sz w:val="28"/>
          <w:highlight w:val="none"/>
        </w:rPr>
        <w:t>法定代表人（盖章）：</w:t>
      </w:r>
      <w:r>
        <w:rPr>
          <w:rFonts w:hint="eastAsia" w:ascii="宋体"/>
          <w:color w:val="auto"/>
          <w:sz w:val="28"/>
          <w:highlight w:val="none"/>
          <w:u w:val="single"/>
        </w:rPr>
        <w:t xml:space="preserve">                                     </w:t>
      </w:r>
    </w:p>
    <w:p w14:paraId="1ED58254">
      <w:pPr>
        <w:adjustRightInd w:val="0"/>
        <w:snapToGrid w:val="0"/>
        <w:spacing w:before="156" w:beforeLines="50" w:line="360" w:lineRule="auto"/>
        <w:rPr>
          <w:rFonts w:ascii="宋体"/>
          <w:color w:val="auto"/>
          <w:sz w:val="28"/>
          <w:highlight w:val="none"/>
          <w:u w:val="single"/>
        </w:rPr>
      </w:pPr>
      <w:r>
        <w:rPr>
          <w:rFonts w:hint="eastAsia" w:ascii="宋体"/>
          <w:color w:val="auto"/>
          <w:sz w:val="28"/>
          <w:highlight w:val="none"/>
        </w:rPr>
        <w:t>代理人：</w:t>
      </w:r>
      <w:r>
        <w:rPr>
          <w:rFonts w:hint="eastAsia" w:ascii="宋体"/>
          <w:color w:val="auto"/>
          <w:sz w:val="28"/>
          <w:highlight w:val="none"/>
          <w:u w:val="single"/>
        </w:rPr>
        <w:t xml:space="preserve">              </w:t>
      </w:r>
      <w:r>
        <w:rPr>
          <w:rFonts w:hint="eastAsia" w:ascii="宋体"/>
          <w:color w:val="auto"/>
          <w:sz w:val="28"/>
          <w:highlight w:val="none"/>
        </w:rPr>
        <w:t>性别：</w:t>
      </w:r>
      <w:r>
        <w:rPr>
          <w:rFonts w:hint="eastAsia" w:ascii="宋体"/>
          <w:color w:val="auto"/>
          <w:sz w:val="28"/>
          <w:highlight w:val="none"/>
          <w:u w:val="single"/>
        </w:rPr>
        <w:t xml:space="preserve">              </w:t>
      </w:r>
      <w:r>
        <w:rPr>
          <w:rFonts w:hint="eastAsia" w:ascii="宋体"/>
          <w:color w:val="auto"/>
          <w:sz w:val="28"/>
          <w:highlight w:val="none"/>
        </w:rPr>
        <w:t>年龄</w:t>
      </w:r>
      <w:r>
        <w:rPr>
          <w:rFonts w:hint="eastAsia" w:ascii="宋体"/>
          <w:color w:val="auto"/>
          <w:sz w:val="28"/>
          <w:highlight w:val="none"/>
          <w:u w:val="single"/>
        </w:rPr>
        <w:t xml:space="preserve">          </w:t>
      </w:r>
    </w:p>
    <w:p w14:paraId="24FD81A5">
      <w:pPr>
        <w:adjustRightInd w:val="0"/>
        <w:snapToGrid w:val="0"/>
        <w:spacing w:before="156" w:beforeLines="50" w:line="360" w:lineRule="auto"/>
        <w:rPr>
          <w:rFonts w:ascii="宋体"/>
          <w:color w:val="auto"/>
          <w:sz w:val="28"/>
          <w:highlight w:val="none"/>
          <w:u w:val="single"/>
        </w:rPr>
      </w:pPr>
      <w:r>
        <w:rPr>
          <w:rFonts w:hint="eastAsia" w:ascii="宋体"/>
          <w:color w:val="auto"/>
          <w:sz w:val="28"/>
          <w:highlight w:val="none"/>
        </w:rPr>
        <w:t>身份证号码：</w:t>
      </w:r>
      <w:r>
        <w:rPr>
          <w:rFonts w:hint="eastAsia" w:ascii="宋体"/>
          <w:color w:val="auto"/>
          <w:sz w:val="28"/>
          <w:highlight w:val="none"/>
          <w:u w:val="single"/>
        </w:rPr>
        <w:t xml:space="preserve">                  </w:t>
      </w:r>
      <w:r>
        <w:rPr>
          <w:rFonts w:hint="eastAsia" w:ascii="宋体"/>
          <w:color w:val="auto"/>
          <w:sz w:val="28"/>
          <w:highlight w:val="none"/>
        </w:rPr>
        <w:t>职务：</w:t>
      </w:r>
      <w:r>
        <w:rPr>
          <w:rFonts w:hint="eastAsia" w:ascii="宋体"/>
          <w:color w:val="auto"/>
          <w:sz w:val="28"/>
          <w:highlight w:val="none"/>
          <w:u w:val="single"/>
        </w:rPr>
        <w:t xml:space="preserve">                    </w:t>
      </w:r>
    </w:p>
    <w:p w14:paraId="6B0553B2">
      <w:pPr>
        <w:ind w:right="210"/>
        <w:rPr>
          <w:b/>
          <w:color w:val="auto"/>
          <w:szCs w:val="32"/>
          <w:highlight w:val="none"/>
        </w:rPr>
      </w:pPr>
      <w:r>
        <w:rPr>
          <w:rFonts w:hint="eastAsia" w:ascii="宋体"/>
          <w:color w:val="auto"/>
          <w:sz w:val="28"/>
          <w:highlight w:val="none"/>
        </w:rPr>
        <w:t>授权委托日期：</w:t>
      </w:r>
      <w:r>
        <w:rPr>
          <w:rFonts w:hint="eastAsia" w:ascii="宋体"/>
          <w:color w:val="auto"/>
          <w:sz w:val="28"/>
          <w:highlight w:val="none"/>
          <w:u w:val="single"/>
        </w:rPr>
        <w:t xml:space="preserve">            </w:t>
      </w:r>
      <w:r>
        <w:rPr>
          <w:rFonts w:hint="eastAsia" w:ascii="宋体"/>
          <w:color w:val="auto"/>
          <w:sz w:val="28"/>
          <w:highlight w:val="none"/>
        </w:rPr>
        <w:t>年</w:t>
      </w:r>
      <w:r>
        <w:rPr>
          <w:rFonts w:hint="eastAsia" w:ascii="宋体"/>
          <w:color w:val="auto"/>
          <w:sz w:val="28"/>
          <w:highlight w:val="none"/>
          <w:u w:val="single"/>
        </w:rPr>
        <w:t xml:space="preserve">            </w:t>
      </w:r>
      <w:r>
        <w:rPr>
          <w:rFonts w:hint="eastAsia" w:ascii="宋体"/>
          <w:color w:val="auto"/>
          <w:sz w:val="28"/>
          <w:highlight w:val="none"/>
        </w:rPr>
        <w:t>月</w:t>
      </w:r>
      <w:r>
        <w:rPr>
          <w:rFonts w:hint="eastAsia" w:ascii="宋体"/>
          <w:color w:val="auto"/>
          <w:sz w:val="28"/>
          <w:highlight w:val="none"/>
          <w:u w:val="single"/>
        </w:rPr>
        <w:t xml:space="preserve">             </w:t>
      </w:r>
      <w:r>
        <w:rPr>
          <w:rFonts w:hint="eastAsia" w:ascii="宋体"/>
          <w:color w:val="auto"/>
          <w:sz w:val="28"/>
          <w:highlight w:val="none"/>
        </w:rPr>
        <w:t>日</w:t>
      </w:r>
      <w:r>
        <w:rPr>
          <w:rFonts w:hint="eastAsia"/>
          <w:b/>
          <w:color w:val="auto"/>
          <w:szCs w:val="32"/>
          <w:highlight w:val="none"/>
        </w:rPr>
        <w:t xml:space="preserve"> </w:t>
      </w:r>
    </w:p>
    <w:p w14:paraId="7C12FFC3">
      <w:pPr>
        <w:widowControl/>
        <w:spacing w:line="360" w:lineRule="auto"/>
        <w:jc w:val="center"/>
        <w:rPr>
          <w:rFonts w:hint="eastAsia" w:ascii="黑体" w:hAnsi="黑体" w:eastAsia="黑体" w:cs="黑体"/>
          <w:b/>
          <w:bCs/>
          <w:color w:val="auto"/>
          <w:sz w:val="32"/>
          <w:szCs w:val="32"/>
          <w:highlight w:val="none"/>
        </w:rPr>
      </w:pPr>
    </w:p>
    <w:p w14:paraId="739D76A9">
      <w:pPr>
        <w:widowControl/>
        <w:spacing w:line="360" w:lineRule="auto"/>
        <w:jc w:val="center"/>
        <w:rPr>
          <w:rFonts w:hint="eastAsia" w:ascii="黑体" w:hAnsi="黑体" w:eastAsia="黑体" w:cs="黑体"/>
          <w:b/>
          <w:bCs/>
          <w:color w:val="auto"/>
          <w:sz w:val="32"/>
          <w:szCs w:val="32"/>
          <w:highlight w:val="none"/>
        </w:rPr>
      </w:pPr>
    </w:p>
    <w:p w14:paraId="1A0337C0">
      <w:pPr>
        <w:pStyle w:val="37"/>
        <w:spacing w:before="0"/>
        <w:jc w:val="both"/>
        <w:rPr>
          <w:b w:val="0"/>
          <w:color w:val="auto"/>
          <w:sz w:val="28"/>
          <w:szCs w:val="28"/>
          <w:highlight w:val="none"/>
        </w:rPr>
      </w:pPr>
      <w:r>
        <w:rPr>
          <w:rFonts w:hint="eastAsia" w:eastAsia="宋体"/>
          <w:b w:val="0"/>
          <w:bCs/>
          <w:color w:val="auto"/>
          <w:sz w:val="28"/>
          <w:szCs w:val="28"/>
          <w:highlight w:val="none"/>
        </w:rPr>
        <w:t>格式</w:t>
      </w:r>
      <w:r>
        <w:rPr>
          <w:rFonts w:hint="eastAsia" w:eastAsia="宋体"/>
          <w:b w:val="0"/>
          <w:bCs/>
          <w:color w:val="auto"/>
          <w:sz w:val="28"/>
          <w:szCs w:val="28"/>
          <w:highlight w:val="none"/>
          <w:lang w:val="en-US" w:eastAsia="zh-CN"/>
        </w:rPr>
        <w:t>八</w:t>
      </w:r>
      <w:r>
        <w:rPr>
          <w:rFonts w:hint="eastAsia"/>
          <w:b w:val="0"/>
          <w:bCs/>
          <w:color w:val="auto"/>
          <w:sz w:val="28"/>
          <w:szCs w:val="28"/>
          <w:highlight w:val="none"/>
        </w:rPr>
        <w:t>：</w:t>
      </w:r>
    </w:p>
    <w:p w14:paraId="1C469966">
      <w:pPr>
        <w:widowControl/>
        <w:spacing w:line="36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法定代表人身份证明</w:t>
      </w:r>
    </w:p>
    <w:p w14:paraId="27AB9F13">
      <w:pPr>
        <w:adjustRightInd w:val="0"/>
        <w:snapToGrid w:val="0"/>
        <w:spacing w:before="156" w:beforeLines="50" w:line="360" w:lineRule="auto"/>
        <w:jc w:val="center"/>
        <w:rPr>
          <w:rFonts w:hint="eastAsia"/>
          <w:color w:val="auto"/>
          <w:highlight w:val="none"/>
        </w:rPr>
      </w:pPr>
      <w:r>
        <w:rPr>
          <w:rFonts w:hint="eastAsia"/>
          <w:color w:val="auto"/>
          <w:highlight w:val="none"/>
        </w:rPr>
        <w:t>（参考样张）</w:t>
      </w:r>
    </w:p>
    <w:p w14:paraId="67E08D1D">
      <w:pPr>
        <w:widowControl/>
        <w:spacing w:line="360" w:lineRule="auto"/>
        <w:jc w:val="center"/>
        <w:rPr>
          <w:rFonts w:hint="eastAsia" w:ascii="方正小标宋简体" w:hAnsi="方正小标宋简体"/>
          <w:color w:val="auto"/>
          <w:sz w:val="44"/>
          <w:szCs w:val="44"/>
          <w:highlight w:val="none"/>
        </w:rPr>
      </w:pPr>
    </w:p>
    <w:p w14:paraId="7679235E">
      <w:pPr>
        <w:autoSpaceDE w:val="0"/>
        <w:autoSpaceDN w:val="0"/>
        <w:adjustRightInd w:val="0"/>
        <w:snapToGrid w:val="0"/>
        <w:spacing w:line="360" w:lineRule="auto"/>
        <w:ind w:firstLine="560" w:firstLineChars="200"/>
        <w:textAlignment w:val="baseline"/>
        <w:rPr>
          <w:rFonts w:ascii="宋体" w:hAnsi="宋体"/>
          <w:color w:val="auto"/>
          <w:kern w:val="0"/>
          <w:szCs w:val="28"/>
          <w:highlight w:val="none"/>
          <w:u w:val="single"/>
        </w:rPr>
      </w:pPr>
      <w:r>
        <w:rPr>
          <w:rFonts w:hint="eastAsia" w:ascii="宋体" w:hAnsi="宋体"/>
          <w:color w:val="auto"/>
          <w:kern w:val="0"/>
          <w:szCs w:val="28"/>
          <w:highlight w:val="none"/>
        </w:rPr>
        <w:t>投标人名称：</w:t>
      </w:r>
      <w:r>
        <w:rPr>
          <w:rFonts w:hint="eastAsia" w:ascii="宋体" w:hAnsi="宋体"/>
          <w:color w:val="auto"/>
          <w:kern w:val="0"/>
          <w:szCs w:val="28"/>
          <w:highlight w:val="none"/>
          <w:u w:val="single"/>
        </w:rPr>
        <w:t xml:space="preserve">                              </w:t>
      </w:r>
    </w:p>
    <w:p w14:paraId="0B7FC384">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单位性质：</w:t>
      </w:r>
      <w:r>
        <w:rPr>
          <w:rFonts w:hint="eastAsia" w:ascii="宋体" w:hAnsi="宋体"/>
          <w:color w:val="auto"/>
          <w:kern w:val="0"/>
          <w:szCs w:val="28"/>
          <w:highlight w:val="none"/>
          <w:u w:val="single"/>
        </w:rPr>
        <w:t xml:space="preserve">                                </w:t>
      </w:r>
    </w:p>
    <w:p w14:paraId="17E3F596">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地址：</w:t>
      </w:r>
      <w:r>
        <w:rPr>
          <w:rFonts w:hint="eastAsia" w:ascii="宋体" w:hAnsi="宋体"/>
          <w:color w:val="auto"/>
          <w:kern w:val="0"/>
          <w:szCs w:val="28"/>
          <w:highlight w:val="none"/>
          <w:u w:val="single"/>
        </w:rPr>
        <w:t xml:space="preserve">                                  </w:t>
      </w:r>
    </w:p>
    <w:p w14:paraId="0B0E885E">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成立时间：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月</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日</w:t>
      </w:r>
    </w:p>
    <w:p w14:paraId="38CA1C13">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经营期限：</w:t>
      </w:r>
      <w:r>
        <w:rPr>
          <w:rFonts w:hint="eastAsia" w:ascii="宋体" w:hAnsi="宋体"/>
          <w:color w:val="auto"/>
          <w:kern w:val="0"/>
          <w:szCs w:val="28"/>
          <w:highlight w:val="none"/>
          <w:u w:val="single"/>
        </w:rPr>
        <w:t xml:space="preserve">                                </w:t>
      </w:r>
    </w:p>
    <w:p w14:paraId="280ABC18">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姓名：</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性别：</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年龄：</w:t>
      </w:r>
      <w:r>
        <w:rPr>
          <w:rFonts w:hint="eastAsia" w:ascii="宋体" w:hAnsi="宋体"/>
          <w:color w:val="auto"/>
          <w:kern w:val="0"/>
          <w:szCs w:val="28"/>
          <w:highlight w:val="none"/>
          <w:u w:val="single"/>
        </w:rPr>
        <w:t xml:space="preserve">       </w:t>
      </w:r>
    </w:p>
    <w:p w14:paraId="1917EC43">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身份证号码：</w:t>
      </w:r>
      <w:r>
        <w:rPr>
          <w:rFonts w:hint="eastAsia" w:ascii="宋体" w:hAnsi="宋体"/>
          <w:color w:val="auto"/>
          <w:kern w:val="0"/>
          <w:szCs w:val="28"/>
          <w:highlight w:val="none"/>
          <w:u w:val="single"/>
        </w:rPr>
        <w:t xml:space="preserve">                              </w:t>
      </w:r>
    </w:p>
    <w:p w14:paraId="6860929A">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联系电话：</w:t>
      </w:r>
      <w:r>
        <w:rPr>
          <w:rFonts w:hint="eastAsia" w:ascii="宋体" w:hAnsi="宋体"/>
          <w:color w:val="auto"/>
          <w:kern w:val="0"/>
          <w:szCs w:val="28"/>
          <w:highlight w:val="none"/>
          <w:u w:val="single"/>
        </w:rPr>
        <w:t xml:space="preserve">                                </w:t>
      </w:r>
    </w:p>
    <w:p w14:paraId="3AE4C7C5">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职务：</w:t>
      </w:r>
      <w:r>
        <w:rPr>
          <w:rFonts w:hint="eastAsia" w:ascii="宋体" w:hAnsi="宋体"/>
          <w:color w:val="auto"/>
          <w:kern w:val="0"/>
          <w:szCs w:val="28"/>
          <w:highlight w:val="none"/>
          <w:u w:val="single"/>
        </w:rPr>
        <w:t xml:space="preserve">                </w:t>
      </w:r>
    </w:p>
    <w:p w14:paraId="5595961F">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p>
    <w:p w14:paraId="700A49CB">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系</w:t>
      </w:r>
      <w:r>
        <w:rPr>
          <w:rFonts w:hint="eastAsia" w:ascii="宋体" w:hAnsi="宋体"/>
          <w:color w:val="auto"/>
          <w:kern w:val="0"/>
          <w:szCs w:val="28"/>
          <w:highlight w:val="none"/>
          <w:u w:val="single"/>
        </w:rPr>
        <w:t xml:space="preserve">       （投标人名称）</w:t>
      </w:r>
      <w:r>
        <w:rPr>
          <w:rFonts w:hint="eastAsia" w:ascii="宋体" w:hAnsi="宋体"/>
          <w:color w:val="auto"/>
          <w:kern w:val="0"/>
          <w:szCs w:val="28"/>
          <w:highlight w:val="none"/>
        </w:rPr>
        <w:t>的法定代表人。</w:t>
      </w:r>
    </w:p>
    <w:p w14:paraId="164E2D68">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p>
    <w:p w14:paraId="6712B9B0">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特此证明。</w:t>
      </w:r>
    </w:p>
    <w:p w14:paraId="34EB0FC6">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p>
    <w:p w14:paraId="12278817">
      <w:pPr>
        <w:autoSpaceDE w:val="0"/>
        <w:autoSpaceDN w:val="0"/>
        <w:adjustRightInd w:val="0"/>
        <w:snapToGrid w:val="0"/>
        <w:spacing w:line="360" w:lineRule="auto"/>
        <w:textAlignment w:val="baseline"/>
        <w:rPr>
          <w:rFonts w:hint="eastAsia" w:ascii="宋体" w:hAnsi="宋体"/>
          <w:color w:val="auto"/>
          <w:kern w:val="0"/>
          <w:szCs w:val="28"/>
          <w:highlight w:val="none"/>
        </w:rPr>
      </w:pPr>
      <w:r>
        <w:rPr>
          <w:rFonts w:hint="eastAsia" w:ascii="宋体" w:hAnsi="宋体"/>
          <w:color w:val="auto"/>
          <w:kern w:val="0"/>
          <w:szCs w:val="28"/>
          <w:highlight w:val="none"/>
        </w:rPr>
        <w:t xml:space="preserve">                                      投标人：（盖单位公章）</w:t>
      </w:r>
    </w:p>
    <w:p w14:paraId="7E330076">
      <w:pPr>
        <w:jc w:val="right"/>
        <w:rPr>
          <w:rFonts w:hint="eastAsia" w:ascii="宋体" w:hAnsi="宋体" w:cs="宋体"/>
          <w:color w:val="auto"/>
          <w:kern w:val="0"/>
          <w:szCs w:val="28"/>
          <w:highlight w:val="none"/>
          <w:u w:val="single"/>
        </w:rPr>
      </w:pPr>
    </w:p>
    <w:p w14:paraId="0BE40B43">
      <w:pPr>
        <w:jc w:val="right"/>
        <w:rPr>
          <w:color w:val="auto"/>
          <w:highlight w:val="none"/>
        </w:rPr>
        <w:sectPr>
          <w:pgSz w:w="11907" w:h="16840"/>
          <w:pgMar w:top="1417" w:right="1418" w:bottom="1417" w:left="1531" w:header="851" w:footer="992" w:gutter="0"/>
          <w:cols w:space="720" w:num="1"/>
          <w:docGrid w:type="lines" w:linePitch="312" w:charSpace="0"/>
        </w:sectPr>
      </w:pP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年</w:t>
      </w: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月</w:t>
      </w:r>
      <w:r>
        <w:rPr>
          <w:rFonts w:hint="eastAsia" w:ascii="宋体" w:hAnsi="宋体" w:cs="宋体"/>
          <w:color w:val="auto"/>
          <w:kern w:val="0"/>
          <w:szCs w:val="28"/>
          <w:highlight w:val="none"/>
          <w:u w:val="single"/>
        </w:rPr>
        <w:t xml:space="preserve">      </w:t>
      </w:r>
    </w:p>
    <w:bookmarkEnd w:id="30"/>
    <w:bookmarkEnd w:id="31"/>
    <w:bookmarkEnd w:id="32"/>
    <w:bookmarkEnd w:id="33"/>
    <w:p w14:paraId="64896B55">
      <w:pPr>
        <w:pStyle w:val="121"/>
        <w:ind w:firstLine="0" w:firstLineChars="0"/>
        <w:rPr>
          <w:rFonts w:hint="eastAsia" w:ascii="宋体" w:hAnsi="宋体"/>
          <w:b/>
          <w:color w:val="auto"/>
          <w:highlight w:val="none"/>
        </w:rPr>
      </w:pPr>
    </w:p>
    <w:sectPr>
      <w:headerReference r:id="rId13" w:type="first"/>
      <w:headerReference r:id="rId12" w:type="default"/>
      <w:footerReference r:id="rId14" w:type="default"/>
      <w:pgSz w:w="11905" w:h="16838"/>
      <w:pgMar w:top="1134" w:right="1587" w:bottom="1134" w:left="158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bel">
    <w:altName w:val="Yu Gothic UI"/>
    <w:panose1 w:val="02000506030000020004"/>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Noto Sans Mono CJK JP Regular">
    <w:altName w:val="微软雅黑"/>
    <w:panose1 w:val="020B0604020202020204"/>
    <w:charset w:val="00"/>
    <w:family w:val="swiss"/>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方正书宋简体">
    <w:altName w:val="宋体"/>
    <w:panose1 w:val="020B0604020202020204"/>
    <w:charset w:val="86"/>
    <w:family w:val="script"/>
    <w:pitch w:val="default"/>
    <w:sig w:usb0="00000000" w:usb1="00000000" w:usb2="00000010" w:usb3="00000000" w:csb0="0004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067E">
    <w:pPr>
      <w:pStyle w:val="9"/>
      <w:tabs>
        <w:tab w:val="left" w:pos="1200"/>
        <w:tab w:val="clear" w:pos="900"/>
      </w:tabs>
      <w:spacing w:after="120"/>
      <w:ind w:left="480" w:right="360" w:firstLine="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271FCED2">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tzmD+1gEAAKEDAAAOAAAAAAAAAAEA&#10;IAAAACMBAABkcnMvZTJvRG9jLnhtbFBLBQYAAAAABgAGAFkBAABrBQAAAAA=&#10;">
              <v:fill on="f" focussize="0,0"/>
              <v:stroke on="f" weight="1.25pt"/>
              <v:imagedata o:title=""/>
              <o:lock v:ext="edit" aspectratio="f"/>
              <v:textbox inset="0mm,0mm,0mm,0mm" style="mso-fit-shape-to-text:t;">
                <w:txbxContent>
                  <w:p w14:paraId="271FCED2">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B08C">
    <w:pPr>
      <w:pStyle w:val="9"/>
      <w:framePr w:wrap="around" w:vAnchor="text" w:hAnchor="margin" w:xAlign="center" w:y="1"/>
      <w:tabs>
        <w:tab w:val="left" w:pos="1200"/>
        <w:tab w:val="clear" w:pos="900"/>
      </w:tabs>
      <w:spacing w:after="120"/>
      <w:rPr>
        <w:rStyle w:val="47"/>
      </w:rPr>
    </w:pPr>
    <w:r>
      <w:fldChar w:fldCharType="begin"/>
    </w:r>
    <w:r>
      <w:rPr>
        <w:rStyle w:val="47"/>
      </w:rPr>
      <w:instrText xml:space="preserve">PAGE  </w:instrText>
    </w:r>
    <w:r>
      <w:fldChar w:fldCharType="separate"/>
    </w:r>
    <w:r>
      <w:rPr>
        <w:rStyle w:val="47"/>
      </w:rPr>
      <w:t>10</w:t>
    </w:r>
    <w:r>
      <w:fldChar w:fldCharType="end"/>
    </w:r>
  </w:p>
  <w:p w14:paraId="0B01B0A2">
    <w:pPr>
      <w:pStyle w:val="9"/>
      <w:tabs>
        <w:tab w:val="left" w:pos="1200"/>
        <w:tab w:val="clear" w:pos="9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3FC65">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7D65083F">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rvEJ11gEAAKEDAAAOAAAAZHJzL2Uyb0RvYy54bWytU82O0zAQ&#10;viPxDpbvNE23hd2o6QpULUJCgLTwAK5jN5b8J4/bpC8Ab8CJC3eeq8+xYyfpou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3cJHk6DxVG3XuMi/071+PSTO+Aj4l1L4NJX+RD0I/ini7iij4SnpLK5c3VihKOrvKqXC5X&#10;CaV4TPYB4nvhDElGTQPOLkvKjh8hDqFTSKpl3Z3SOs9PW9Ih6Or6zSpnXFyIri0WSRyGXpMV+10/&#10;Etu55oS8OlyAmlrcd0r0B4v6pl2ZjDAZu8k4+KD2bV6m1Ar4t4eI7eQuU4UBdiyMk8s8xy1Lq/H3&#10;PUc9/lmb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rvEJ11gEAAKEDAAAOAAAAAAAAAAEA&#10;IAAAACMBAABkcnMvZTJvRG9jLnhtbFBLBQYAAAAABgAGAFkBAABrBQAAAAA=&#10;">
              <v:fill on="f" focussize="0,0"/>
              <v:stroke on="f" weight="1.25pt"/>
              <v:imagedata o:title=""/>
              <o:lock v:ext="edit" aspectratio="f"/>
              <v:textbox inset="0mm,0mm,0mm,0mm" style="mso-fit-shape-to-text:t;">
                <w:txbxContent>
                  <w:p w14:paraId="7D65083F">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EF7E4">
    <w:pPr>
      <w:pStyle w:val="26"/>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568B6977">
                          <w:pPr>
                            <w:pStyle w:val="2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5lP7HNcBAACiAwAADgAAAAAAAAAB&#10;ACAAAAAjAQAAZHJzL2Uyb0RvYy54bWxQSwUGAAAAAAYABgBZAQAAbAUAAAAA&#10;">
              <v:fill on="f" focussize="0,0"/>
              <v:stroke on="f" weight="1.25pt"/>
              <v:imagedata o:title=""/>
              <o:lock v:ext="edit" aspectratio="f"/>
              <v:textbox inset="0mm,0mm,0mm,0mm" style="mso-fit-shape-to-text:t;">
                <w:txbxContent>
                  <w:p w14:paraId="568B6977">
                    <w:pPr>
                      <w:pStyle w:val="2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C963">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3465E34B">
                          <w:pPr>
                            <w:pStyle w:val="2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1hjw1dcBAACiAwAADgAAAAAAAAAB&#10;ACAAAAAjAQAAZHJzL2Uyb0RvYy54bWxQSwUGAAAAAAYABgBZAQAAbAUAAAAA&#10;">
              <v:fill on="f" focussize="0,0"/>
              <v:stroke on="f" weight="1.25pt"/>
              <v:imagedata o:title=""/>
              <o:lock v:ext="edit" aspectratio="f"/>
              <v:textbox inset="0mm,0mm,0mm,0mm" style="mso-fit-shape-to-text:t;">
                <w:txbxContent>
                  <w:p w14:paraId="3465E34B">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3D11A">
    <w:pPr>
      <w:pStyle w:val="2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763127E7">
                          <w:pPr>
                            <w:pStyle w:val="26"/>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Dn4GIr1gEAAKIDAAAOAAAAAAAAAAEA&#10;IAAAACMBAABkcnMvZTJvRG9jLnhtbFBLBQYAAAAABgAGAFkBAABrBQAAAAA=&#10;">
              <v:fill on="f" focussize="0,0"/>
              <v:stroke on="f" weight="1.25pt"/>
              <v:imagedata o:title=""/>
              <o:lock v:ext="edit" aspectratio="f"/>
              <v:textbox inset="0mm,0mm,0mm,0mm" style="mso-fit-shape-to-text:t;">
                <w:txbxContent>
                  <w:p w14:paraId="763127E7">
                    <w:pPr>
                      <w:pStyle w:val="26"/>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kern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C4E9F">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7AA1F">
    <w:pPr>
      <w:pStyle w:val="27"/>
      <w:pBdr>
        <w:bottom w:val="single" w:color="auto" w:sz="4" w:space="1"/>
      </w:pBdr>
      <w:jc w:val="right"/>
      <w:rPr>
        <w:rFonts w:hint="eastAsia" w:ascii="宋体" w:hAnsi="宋体"/>
      </w:rPr>
    </w:pPr>
    <w:r>
      <w:rPr>
        <w:rFonts w:hint="eastAsia" w:ascii="宋体" w:hAnsi="宋体" w:cs="宋体"/>
        <w:bCs/>
        <w:lang w:eastAsia="zh-CN"/>
      </w:rPr>
      <w:t>台州市开发投资集团有限公司国产化适配项目</w:t>
    </w:r>
    <w:r>
      <w:rPr>
        <w:rFonts w:hint="eastAsia" w:ascii="宋体" w:hAnsi="宋体" w:cs="宋体"/>
        <w:bCs/>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47467">
    <w:pPr>
      <w:pStyle w:val="27"/>
      <w:pBdr>
        <w:bottom w:val="single" w:color="auto" w:sz="4" w:space="1"/>
      </w:pBdr>
      <w:jc w:val="right"/>
      <w:rPr>
        <w:rFonts w:ascii="宋体" w:hAnsi="宋体"/>
      </w:rPr>
    </w:pPr>
    <w:r>
      <w:rPr>
        <w:rFonts w:hint="eastAsia" w:ascii="宋体" w:hAnsi="宋体" w:cs="宋体"/>
        <w:bCs/>
        <w:lang w:eastAsia="zh-CN"/>
      </w:rPr>
      <w:t>台州市开发投资集团有限公司国产化适配项目</w:t>
    </w:r>
    <w:r>
      <w:rPr>
        <w:rFonts w:hint="eastAsia" w:ascii="宋体" w:hAnsi="宋体" w:cs="宋体"/>
        <w:bCs/>
      </w:rPr>
      <w:t>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4810">
    <w:pPr>
      <w:pStyle w:val="27"/>
      <w:rPr>
        <w:rFonts w:hint="eastAsia"/>
      </w:rPr>
    </w:pPr>
    <w:r>
      <w:rPr>
        <w:rFonts w:hint="eastAsia"/>
      </w:rPr>
      <w:t xml:space="preserve">                             </w:t>
    </w:r>
    <w:r>
      <w:rPr>
        <w:rFonts w:hint="eastAsia"/>
        <w:lang w:eastAsia="zh-CN"/>
      </w:rPr>
      <w:t>台州市开发投资集团有限公司国产化适配项目</w:t>
    </w:r>
    <w:r>
      <w:rPr>
        <w:rFonts w:hint="eastAsia"/>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B8000">
    <w:pPr>
      <w:spacing w:line="20" w:lineRule="atLeast"/>
      <w:rPr>
        <w:rFonts w:hint="eastAsia"/>
        <w:b/>
        <w:color w:val="808080"/>
        <w:w w:val="66"/>
        <w:sz w:val="10"/>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83FBD">
    <w:pPr>
      <w:pStyle w:val="2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18"/>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E"/>
    <w:multiLevelType w:val="singleLevel"/>
    <w:tmpl w:val="0000000E"/>
    <w:lvl w:ilvl="0" w:tentative="0">
      <w:start w:val="4"/>
      <w:numFmt w:val="chineseCounting"/>
      <w:suff w:val="space"/>
      <w:lvlText w:val="第%1章"/>
      <w:lvlJc w:val="left"/>
      <w:rPr>
        <w:rFonts w:hint="eastAsia"/>
      </w:rPr>
    </w:lvl>
  </w:abstractNum>
  <w:abstractNum w:abstractNumId="2">
    <w:nsid w:val="07CB1EF8"/>
    <w:multiLevelType w:val="multilevel"/>
    <w:tmpl w:val="07CB1EF8"/>
    <w:lvl w:ilvl="0" w:tentative="0">
      <w:start w:val="1"/>
      <w:numFmt w:val="decimal"/>
      <w:lvlText w:val="%1)"/>
      <w:lvlJc w:val="left"/>
      <w:pPr>
        <w:ind w:left="440" w:hanging="440"/>
      </w:pPr>
      <w:rPr>
        <w:rFonts w:hint="default" w:ascii="Times New Roman" w:hAnsi="Times New Roman"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3">
    <w:nsid w:val="0EA466AF"/>
    <w:multiLevelType w:val="multilevel"/>
    <w:tmpl w:val="0EA466AF"/>
    <w:lvl w:ilvl="0" w:tentative="0">
      <w:start w:val="1"/>
      <w:numFmt w:val="decimal"/>
      <w:lvlText w:val="%1)"/>
      <w:lvlJc w:val="left"/>
      <w:pPr>
        <w:ind w:left="440" w:hanging="440"/>
      </w:pPr>
      <w:rPr>
        <w:rFonts w:hint="default" w:ascii="Times New Roman" w:hAnsi="Times New Roman"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4">
    <w:nsid w:val="1ACB11E7"/>
    <w:multiLevelType w:val="multilevel"/>
    <w:tmpl w:val="1ACB11E7"/>
    <w:lvl w:ilvl="0" w:tentative="0">
      <w:start w:val="1"/>
      <w:numFmt w:val="chineseCountingThousand"/>
      <w:lvlText w:val="(%1)"/>
      <w:lvlJc w:val="left"/>
      <w:pPr>
        <w:ind w:left="440" w:hanging="440"/>
      </w:pPr>
      <w:rPr>
        <w:rFonts w:hint="default" w:ascii="Times New Roman" w:hAnsi="Times New Roman"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5">
    <w:nsid w:val="22357B37"/>
    <w:multiLevelType w:val="multilevel"/>
    <w:tmpl w:val="22357B37"/>
    <w:lvl w:ilvl="0" w:tentative="0">
      <w:start w:val="1"/>
      <w:numFmt w:val="decimal"/>
      <w:lvlText w:val="%1)"/>
      <w:lvlJc w:val="left"/>
      <w:pPr>
        <w:ind w:left="440" w:hanging="440"/>
      </w:pPr>
      <w:rPr>
        <w:rFonts w:hint="default" w:ascii="Times New Roman" w:hAnsi="Times New Roman"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6">
    <w:nsid w:val="26368315"/>
    <w:multiLevelType w:val="singleLevel"/>
    <w:tmpl w:val="26368315"/>
    <w:lvl w:ilvl="0" w:tentative="0">
      <w:start w:val="2"/>
      <w:numFmt w:val="chineseCounting"/>
      <w:suff w:val="space"/>
      <w:lvlText w:val="第%1章"/>
      <w:lvlJc w:val="left"/>
      <w:rPr>
        <w:rFonts w:hint="eastAsia"/>
      </w:rPr>
    </w:lvl>
  </w:abstractNum>
  <w:abstractNum w:abstractNumId="7">
    <w:nsid w:val="2B9F9580"/>
    <w:multiLevelType w:val="singleLevel"/>
    <w:tmpl w:val="2B9F9580"/>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8">
    <w:nsid w:val="425D1158"/>
    <w:multiLevelType w:val="singleLevel"/>
    <w:tmpl w:val="425D1158"/>
    <w:lvl w:ilvl="0" w:tentative="0">
      <w:start w:val="1"/>
      <w:numFmt w:val="bullet"/>
      <w:pStyle w:val="21"/>
      <w:lvlText w:val=""/>
      <w:lvlJc w:val="left"/>
      <w:pPr>
        <w:tabs>
          <w:tab w:val="left" w:pos="780"/>
        </w:tabs>
        <w:ind w:left="780" w:hanging="360"/>
      </w:pPr>
      <w:rPr>
        <w:rFonts w:hint="default" w:ascii="Wingdings" w:hAnsi="Wingdings"/>
      </w:rPr>
    </w:lvl>
  </w:abstractNum>
  <w:abstractNum w:abstractNumId="9">
    <w:nsid w:val="64D212D5"/>
    <w:multiLevelType w:val="multilevel"/>
    <w:tmpl w:val="64D212D5"/>
    <w:lvl w:ilvl="0" w:tentative="0">
      <w:start w:val="1"/>
      <w:numFmt w:val="decimal"/>
      <w:lvlText w:val="%1."/>
      <w:lvlJc w:val="left"/>
      <w:pPr>
        <w:ind w:left="440" w:hanging="440"/>
      </w:pPr>
      <w:rPr>
        <w:rFonts w:hint="eastAsia" w:ascii="宋体" w:hAnsi="宋体" w:eastAsia="宋体"/>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num w:numId="1">
    <w:abstractNumId w:val="7"/>
  </w:num>
  <w:num w:numId="2">
    <w:abstractNumId w:val="0"/>
  </w:num>
  <w:num w:numId="3">
    <w:abstractNumId w:val="8"/>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DY3MDkxNDIzMmZhYzE0ZjVmMGVjNzJkMTY0MzYifQ=="/>
  </w:docVars>
  <w:rsids>
    <w:rsidRoot w:val="00172A27"/>
    <w:rsid w:val="00022F61"/>
    <w:rsid w:val="00023E88"/>
    <w:rsid w:val="00025361"/>
    <w:rsid w:val="00026F8B"/>
    <w:rsid w:val="00033F4E"/>
    <w:rsid w:val="00042144"/>
    <w:rsid w:val="000442EE"/>
    <w:rsid w:val="00047125"/>
    <w:rsid w:val="000550F5"/>
    <w:rsid w:val="0006620D"/>
    <w:rsid w:val="00066544"/>
    <w:rsid w:val="000766B3"/>
    <w:rsid w:val="00076C6F"/>
    <w:rsid w:val="00077FB6"/>
    <w:rsid w:val="00082601"/>
    <w:rsid w:val="00087430"/>
    <w:rsid w:val="00091B71"/>
    <w:rsid w:val="00096B04"/>
    <w:rsid w:val="000A1056"/>
    <w:rsid w:val="000B025A"/>
    <w:rsid w:val="000B3FF9"/>
    <w:rsid w:val="000B69A0"/>
    <w:rsid w:val="000C1F0C"/>
    <w:rsid w:val="000C5B78"/>
    <w:rsid w:val="000C7955"/>
    <w:rsid w:val="000F21D7"/>
    <w:rsid w:val="00110258"/>
    <w:rsid w:val="0011285F"/>
    <w:rsid w:val="001151C2"/>
    <w:rsid w:val="001222EC"/>
    <w:rsid w:val="00150F15"/>
    <w:rsid w:val="00157DD7"/>
    <w:rsid w:val="0016032B"/>
    <w:rsid w:val="00167A04"/>
    <w:rsid w:val="00196718"/>
    <w:rsid w:val="001B3EF2"/>
    <w:rsid w:val="001E36E4"/>
    <w:rsid w:val="00201A4E"/>
    <w:rsid w:val="0020205E"/>
    <w:rsid w:val="00207C17"/>
    <w:rsid w:val="00221B46"/>
    <w:rsid w:val="00247CAE"/>
    <w:rsid w:val="00252005"/>
    <w:rsid w:val="0025594D"/>
    <w:rsid w:val="00272931"/>
    <w:rsid w:val="00272D55"/>
    <w:rsid w:val="00290C54"/>
    <w:rsid w:val="002B2A4F"/>
    <w:rsid w:val="002B431F"/>
    <w:rsid w:val="002C27E7"/>
    <w:rsid w:val="002C32A5"/>
    <w:rsid w:val="002C32BD"/>
    <w:rsid w:val="002D4C35"/>
    <w:rsid w:val="002E24DE"/>
    <w:rsid w:val="002E4834"/>
    <w:rsid w:val="002F4922"/>
    <w:rsid w:val="00302939"/>
    <w:rsid w:val="00307CFA"/>
    <w:rsid w:val="00325A01"/>
    <w:rsid w:val="00331287"/>
    <w:rsid w:val="003606A0"/>
    <w:rsid w:val="00380FB9"/>
    <w:rsid w:val="00381741"/>
    <w:rsid w:val="00386DAE"/>
    <w:rsid w:val="00390FE6"/>
    <w:rsid w:val="0039143B"/>
    <w:rsid w:val="003A502B"/>
    <w:rsid w:val="003B59AC"/>
    <w:rsid w:val="003C7BD8"/>
    <w:rsid w:val="003D396D"/>
    <w:rsid w:val="003D58FD"/>
    <w:rsid w:val="0040335B"/>
    <w:rsid w:val="00406FBD"/>
    <w:rsid w:val="004152E9"/>
    <w:rsid w:val="0041580A"/>
    <w:rsid w:val="004158D1"/>
    <w:rsid w:val="00420EB5"/>
    <w:rsid w:val="0042178D"/>
    <w:rsid w:val="004322FF"/>
    <w:rsid w:val="004373E5"/>
    <w:rsid w:val="00463C96"/>
    <w:rsid w:val="00477D0E"/>
    <w:rsid w:val="00480E67"/>
    <w:rsid w:val="00495440"/>
    <w:rsid w:val="004A0076"/>
    <w:rsid w:val="004B4993"/>
    <w:rsid w:val="004C3A05"/>
    <w:rsid w:val="004D7C0F"/>
    <w:rsid w:val="004E7187"/>
    <w:rsid w:val="004F219E"/>
    <w:rsid w:val="004F278E"/>
    <w:rsid w:val="004F32D2"/>
    <w:rsid w:val="005105A9"/>
    <w:rsid w:val="0051071B"/>
    <w:rsid w:val="00511753"/>
    <w:rsid w:val="00512300"/>
    <w:rsid w:val="0051450A"/>
    <w:rsid w:val="00515927"/>
    <w:rsid w:val="00532AEB"/>
    <w:rsid w:val="00535D78"/>
    <w:rsid w:val="00537497"/>
    <w:rsid w:val="00551308"/>
    <w:rsid w:val="005728B2"/>
    <w:rsid w:val="00582FF7"/>
    <w:rsid w:val="00592882"/>
    <w:rsid w:val="00597ABA"/>
    <w:rsid w:val="005A5F5B"/>
    <w:rsid w:val="005B449F"/>
    <w:rsid w:val="005C5D17"/>
    <w:rsid w:val="005D0F5A"/>
    <w:rsid w:val="005E2CA7"/>
    <w:rsid w:val="005F348C"/>
    <w:rsid w:val="005F541D"/>
    <w:rsid w:val="0061082D"/>
    <w:rsid w:val="00611BD0"/>
    <w:rsid w:val="006141F8"/>
    <w:rsid w:val="006325B8"/>
    <w:rsid w:val="00650A94"/>
    <w:rsid w:val="00664E54"/>
    <w:rsid w:val="00682808"/>
    <w:rsid w:val="006A2145"/>
    <w:rsid w:val="006A295E"/>
    <w:rsid w:val="006B42D1"/>
    <w:rsid w:val="006C6D2C"/>
    <w:rsid w:val="006D34C6"/>
    <w:rsid w:val="006D5483"/>
    <w:rsid w:val="006E158A"/>
    <w:rsid w:val="006E5864"/>
    <w:rsid w:val="006F3D7C"/>
    <w:rsid w:val="007030EB"/>
    <w:rsid w:val="0071122F"/>
    <w:rsid w:val="0073490D"/>
    <w:rsid w:val="00735B44"/>
    <w:rsid w:val="007432E2"/>
    <w:rsid w:val="007505A7"/>
    <w:rsid w:val="007600F2"/>
    <w:rsid w:val="007739BB"/>
    <w:rsid w:val="00790899"/>
    <w:rsid w:val="00794230"/>
    <w:rsid w:val="007A1223"/>
    <w:rsid w:val="007B3911"/>
    <w:rsid w:val="007E30F2"/>
    <w:rsid w:val="007F5D46"/>
    <w:rsid w:val="007F6097"/>
    <w:rsid w:val="00810485"/>
    <w:rsid w:val="0082390A"/>
    <w:rsid w:val="00824A0E"/>
    <w:rsid w:val="00826AB1"/>
    <w:rsid w:val="00835D3B"/>
    <w:rsid w:val="00856546"/>
    <w:rsid w:val="008577E0"/>
    <w:rsid w:val="008640D3"/>
    <w:rsid w:val="00871C14"/>
    <w:rsid w:val="00874F58"/>
    <w:rsid w:val="008A0789"/>
    <w:rsid w:val="008A1D00"/>
    <w:rsid w:val="008A3A52"/>
    <w:rsid w:val="008B0041"/>
    <w:rsid w:val="008B452D"/>
    <w:rsid w:val="008B7ADB"/>
    <w:rsid w:val="008C2449"/>
    <w:rsid w:val="008E3002"/>
    <w:rsid w:val="008E75E0"/>
    <w:rsid w:val="00904310"/>
    <w:rsid w:val="009100B1"/>
    <w:rsid w:val="00912467"/>
    <w:rsid w:val="00937FD1"/>
    <w:rsid w:val="00941CEF"/>
    <w:rsid w:val="00952B82"/>
    <w:rsid w:val="009577EF"/>
    <w:rsid w:val="00966550"/>
    <w:rsid w:val="00974E89"/>
    <w:rsid w:val="0098363B"/>
    <w:rsid w:val="00997848"/>
    <w:rsid w:val="009B3263"/>
    <w:rsid w:val="009B60A2"/>
    <w:rsid w:val="009D586D"/>
    <w:rsid w:val="009E007B"/>
    <w:rsid w:val="00A0229B"/>
    <w:rsid w:val="00A050EF"/>
    <w:rsid w:val="00A075A5"/>
    <w:rsid w:val="00A3757E"/>
    <w:rsid w:val="00A45D2B"/>
    <w:rsid w:val="00A52A3E"/>
    <w:rsid w:val="00A73CA8"/>
    <w:rsid w:val="00A747F2"/>
    <w:rsid w:val="00A75607"/>
    <w:rsid w:val="00A80B39"/>
    <w:rsid w:val="00A8691E"/>
    <w:rsid w:val="00A969DA"/>
    <w:rsid w:val="00AA18B8"/>
    <w:rsid w:val="00AA28BD"/>
    <w:rsid w:val="00B15929"/>
    <w:rsid w:val="00B31EA7"/>
    <w:rsid w:val="00B42EAF"/>
    <w:rsid w:val="00B6287A"/>
    <w:rsid w:val="00B64266"/>
    <w:rsid w:val="00B763DF"/>
    <w:rsid w:val="00B76EAB"/>
    <w:rsid w:val="00B837C6"/>
    <w:rsid w:val="00B90075"/>
    <w:rsid w:val="00BA02CA"/>
    <w:rsid w:val="00BA28B1"/>
    <w:rsid w:val="00BA5B28"/>
    <w:rsid w:val="00BB6862"/>
    <w:rsid w:val="00BB6A74"/>
    <w:rsid w:val="00BB70CC"/>
    <w:rsid w:val="00BD1413"/>
    <w:rsid w:val="00BE23FE"/>
    <w:rsid w:val="00BF2E18"/>
    <w:rsid w:val="00C1174C"/>
    <w:rsid w:val="00C13A44"/>
    <w:rsid w:val="00C16E3D"/>
    <w:rsid w:val="00C2322D"/>
    <w:rsid w:val="00C33AD1"/>
    <w:rsid w:val="00C41B07"/>
    <w:rsid w:val="00C44574"/>
    <w:rsid w:val="00C553FE"/>
    <w:rsid w:val="00C5603A"/>
    <w:rsid w:val="00C564EB"/>
    <w:rsid w:val="00C75586"/>
    <w:rsid w:val="00C75EE2"/>
    <w:rsid w:val="00C83C92"/>
    <w:rsid w:val="00C92E20"/>
    <w:rsid w:val="00CA03BD"/>
    <w:rsid w:val="00CA23F0"/>
    <w:rsid w:val="00CA52D2"/>
    <w:rsid w:val="00CB7F51"/>
    <w:rsid w:val="00CC51F0"/>
    <w:rsid w:val="00D002D6"/>
    <w:rsid w:val="00D04F67"/>
    <w:rsid w:val="00D05226"/>
    <w:rsid w:val="00D0564E"/>
    <w:rsid w:val="00D1050C"/>
    <w:rsid w:val="00D17A63"/>
    <w:rsid w:val="00D24718"/>
    <w:rsid w:val="00D3516F"/>
    <w:rsid w:val="00D45252"/>
    <w:rsid w:val="00D512D8"/>
    <w:rsid w:val="00D5562B"/>
    <w:rsid w:val="00D6029C"/>
    <w:rsid w:val="00D93984"/>
    <w:rsid w:val="00DA7BA7"/>
    <w:rsid w:val="00DC15E4"/>
    <w:rsid w:val="00DD4A30"/>
    <w:rsid w:val="00DE241C"/>
    <w:rsid w:val="00DF3A0E"/>
    <w:rsid w:val="00E0459D"/>
    <w:rsid w:val="00E04C31"/>
    <w:rsid w:val="00E13287"/>
    <w:rsid w:val="00E15A45"/>
    <w:rsid w:val="00E31E31"/>
    <w:rsid w:val="00E328E5"/>
    <w:rsid w:val="00E33521"/>
    <w:rsid w:val="00E41C2B"/>
    <w:rsid w:val="00E677C4"/>
    <w:rsid w:val="00EA256C"/>
    <w:rsid w:val="00EA5CA1"/>
    <w:rsid w:val="00EB1CB8"/>
    <w:rsid w:val="00EB594B"/>
    <w:rsid w:val="00EB6CA4"/>
    <w:rsid w:val="00EC7F27"/>
    <w:rsid w:val="00ED472A"/>
    <w:rsid w:val="00EE19B1"/>
    <w:rsid w:val="00EF3C16"/>
    <w:rsid w:val="00EF4667"/>
    <w:rsid w:val="00F06607"/>
    <w:rsid w:val="00F123D7"/>
    <w:rsid w:val="00F4647F"/>
    <w:rsid w:val="00F516AD"/>
    <w:rsid w:val="00F63855"/>
    <w:rsid w:val="00F667D3"/>
    <w:rsid w:val="00F66FA3"/>
    <w:rsid w:val="00F677E5"/>
    <w:rsid w:val="00F67A0A"/>
    <w:rsid w:val="00F7116A"/>
    <w:rsid w:val="00F7332B"/>
    <w:rsid w:val="00F85372"/>
    <w:rsid w:val="00F8617B"/>
    <w:rsid w:val="00F96566"/>
    <w:rsid w:val="00FC04E3"/>
    <w:rsid w:val="00FD2564"/>
    <w:rsid w:val="00FD2674"/>
    <w:rsid w:val="00FE5726"/>
    <w:rsid w:val="019874D1"/>
    <w:rsid w:val="01E36329"/>
    <w:rsid w:val="030D5B68"/>
    <w:rsid w:val="033F0A2C"/>
    <w:rsid w:val="03A74AAC"/>
    <w:rsid w:val="03D101EC"/>
    <w:rsid w:val="050564FC"/>
    <w:rsid w:val="06BC13FF"/>
    <w:rsid w:val="06C13ABA"/>
    <w:rsid w:val="07751477"/>
    <w:rsid w:val="088A3C0C"/>
    <w:rsid w:val="08A22B86"/>
    <w:rsid w:val="08DB055E"/>
    <w:rsid w:val="08F513DA"/>
    <w:rsid w:val="093F6086"/>
    <w:rsid w:val="0995027D"/>
    <w:rsid w:val="09A73232"/>
    <w:rsid w:val="09D803DC"/>
    <w:rsid w:val="0A8665B7"/>
    <w:rsid w:val="0AE0724A"/>
    <w:rsid w:val="0AFA42C5"/>
    <w:rsid w:val="0B3D5FCB"/>
    <w:rsid w:val="0BF62B16"/>
    <w:rsid w:val="0CAE2DE7"/>
    <w:rsid w:val="0CE13B3E"/>
    <w:rsid w:val="0CF044A5"/>
    <w:rsid w:val="0D4F2B8B"/>
    <w:rsid w:val="0DFC6E71"/>
    <w:rsid w:val="0EFE40CF"/>
    <w:rsid w:val="0F853A69"/>
    <w:rsid w:val="105559B3"/>
    <w:rsid w:val="113D7A62"/>
    <w:rsid w:val="114570F3"/>
    <w:rsid w:val="11CF4443"/>
    <w:rsid w:val="128505D7"/>
    <w:rsid w:val="129C766D"/>
    <w:rsid w:val="12A366F5"/>
    <w:rsid w:val="12CA21B0"/>
    <w:rsid w:val="12D405A0"/>
    <w:rsid w:val="130167D3"/>
    <w:rsid w:val="131E7408"/>
    <w:rsid w:val="13254054"/>
    <w:rsid w:val="136B6D03"/>
    <w:rsid w:val="13746B1F"/>
    <w:rsid w:val="13905BC1"/>
    <w:rsid w:val="14107D1A"/>
    <w:rsid w:val="143C6801"/>
    <w:rsid w:val="14891876"/>
    <w:rsid w:val="14E87377"/>
    <w:rsid w:val="15AA50E8"/>
    <w:rsid w:val="15B45EF5"/>
    <w:rsid w:val="161F6358"/>
    <w:rsid w:val="16344267"/>
    <w:rsid w:val="166958B5"/>
    <w:rsid w:val="16912669"/>
    <w:rsid w:val="172840D4"/>
    <w:rsid w:val="173E7BAD"/>
    <w:rsid w:val="1754074B"/>
    <w:rsid w:val="1798232A"/>
    <w:rsid w:val="17BC5B99"/>
    <w:rsid w:val="17FA2967"/>
    <w:rsid w:val="18502FFE"/>
    <w:rsid w:val="185C7304"/>
    <w:rsid w:val="1907573A"/>
    <w:rsid w:val="1A065DC3"/>
    <w:rsid w:val="1A375E71"/>
    <w:rsid w:val="1A5C63C4"/>
    <w:rsid w:val="1ADE7ECC"/>
    <w:rsid w:val="1BF10299"/>
    <w:rsid w:val="1D0B1018"/>
    <w:rsid w:val="1D11090B"/>
    <w:rsid w:val="1D3C254D"/>
    <w:rsid w:val="1E0508CE"/>
    <w:rsid w:val="1E2819A6"/>
    <w:rsid w:val="1F0D09DE"/>
    <w:rsid w:val="1FB6357B"/>
    <w:rsid w:val="1FE84E43"/>
    <w:rsid w:val="201A256D"/>
    <w:rsid w:val="201B0BB3"/>
    <w:rsid w:val="21434E72"/>
    <w:rsid w:val="219F6BD1"/>
    <w:rsid w:val="21B92876"/>
    <w:rsid w:val="21DC1180"/>
    <w:rsid w:val="22165FC1"/>
    <w:rsid w:val="222E6F7B"/>
    <w:rsid w:val="22757192"/>
    <w:rsid w:val="23864A5D"/>
    <w:rsid w:val="241636EE"/>
    <w:rsid w:val="244D4992"/>
    <w:rsid w:val="24757D5C"/>
    <w:rsid w:val="24920434"/>
    <w:rsid w:val="24A8700F"/>
    <w:rsid w:val="24BB6DB1"/>
    <w:rsid w:val="25493646"/>
    <w:rsid w:val="25606D56"/>
    <w:rsid w:val="25C35F76"/>
    <w:rsid w:val="25C74647"/>
    <w:rsid w:val="26021CBE"/>
    <w:rsid w:val="26505D4C"/>
    <w:rsid w:val="26516373"/>
    <w:rsid w:val="26F94E03"/>
    <w:rsid w:val="271A1F21"/>
    <w:rsid w:val="280E1ADD"/>
    <w:rsid w:val="290167D3"/>
    <w:rsid w:val="29344804"/>
    <w:rsid w:val="2A8C0EFA"/>
    <w:rsid w:val="2AC82FD4"/>
    <w:rsid w:val="2AD02EB1"/>
    <w:rsid w:val="2BDD5797"/>
    <w:rsid w:val="2C194708"/>
    <w:rsid w:val="2CC331FD"/>
    <w:rsid w:val="2CCA04A3"/>
    <w:rsid w:val="2CD83A18"/>
    <w:rsid w:val="2D1047FE"/>
    <w:rsid w:val="2D6C2CA7"/>
    <w:rsid w:val="2DED0D1F"/>
    <w:rsid w:val="2E15390D"/>
    <w:rsid w:val="2EC43793"/>
    <w:rsid w:val="2FD81D74"/>
    <w:rsid w:val="303632A7"/>
    <w:rsid w:val="30BB7FBB"/>
    <w:rsid w:val="30ED6442"/>
    <w:rsid w:val="31493A4D"/>
    <w:rsid w:val="317174A6"/>
    <w:rsid w:val="31E53DEC"/>
    <w:rsid w:val="31F005E4"/>
    <w:rsid w:val="32FF5E98"/>
    <w:rsid w:val="33003623"/>
    <w:rsid w:val="3364747B"/>
    <w:rsid w:val="336A38E6"/>
    <w:rsid w:val="34383BDA"/>
    <w:rsid w:val="34BD2FBF"/>
    <w:rsid w:val="34C630A6"/>
    <w:rsid w:val="34D6065A"/>
    <w:rsid w:val="35105AF3"/>
    <w:rsid w:val="35FF0824"/>
    <w:rsid w:val="367D2A73"/>
    <w:rsid w:val="36C02D33"/>
    <w:rsid w:val="36E447B9"/>
    <w:rsid w:val="371B0D28"/>
    <w:rsid w:val="37294BDE"/>
    <w:rsid w:val="375004A1"/>
    <w:rsid w:val="37A50775"/>
    <w:rsid w:val="37F92931"/>
    <w:rsid w:val="38352256"/>
    <w:rsid w:val="38E724B8"/>
    <w:rsid w:val="38FE1FBD"/>
    <w:rsid w:val="390F39AA"/>
    <w:rsid w:val="3A86400A"/>
    <w:rsid w:val="3A885DF8"/>
    <w:rsid w:val="3AFD2A24"/>
    <w:rsid w:val="3B12471E"/>
    <w:rsid w:val="3B543BE4"/>
    <w:rsid w:val="3D1C20F5"/>
    <w:rsid w:val="3D7D0244"/>
    <w:rsid w:val="3D7F0546"/>
    <w:rsid w:val="3F975E28"/>
    <w:rsid w:val="3FA20D7B"/>
    <w:rsid w:val="3FDF0D9C"/>
    <w:rsid w:val="41640EB6"/>
    <w:rsid w:val="42872B5D"/>
    <w:rsid w:val="42A06A3C"/>
    <w:rsid w:val="433B0B2A"/>
    <w:rsid w:val="435D160E"/>
    <w:rsid w:val="43E47813"/>
    <w:rsid w:val="444D4EF7"/>
    <w:rsid w:val="44641AC8"/>
    <w:rsid w:val="447079F7"/>
    <w:rsid w:val="44FE41E7"/>
    <w:rsid w:val="44FF513A"/>
    <w:rsid w:val="451F3698"/>
    <w:rsid w:val="45614EB8"/>
    <w:rsid w:val="45A602D1"/>
    <w:rsid w:val="45B6577B"/>
    <w:rsid w:val="460D5BCD"/>
    <w:rsid w:val="468278E6"/>
    <w:rsid w:val="46CE00FB"/>
    <w:rsid w:val="46DC0CE7"/>
    <w:rsid w:val="49165230"/>
    <w:rsid w:val="49234FAC"/>
    <w:rsid w:val="493041AC"/>
    <w:rsid w:val="4A5A3B51"/>
    <w:rsid w:val="4B3F510C"/>
    <w:rsid w:val="4BB65798"/>
    <w:rsid w:val="4BBC17AA"/>
    <w:rsid w:val="4BF10A2C"/>
    <w:rsid w:val="4C4208EE"/>
    <w:rsid w:val="4CFC296A"/>
    <w:rsid w:val="4D6107D4"/>
    <w:rsid w:val="4D800D3B"/>
    <w:rsid w:val="4D9F7710"/>
    <w:rsid w:val="4DB14BCF"/>
    <w:rsid w:val="4DCC2E9C"/>
    <w:rsid w:val="4DEE642A"/>
    <w:rsid w:val="4DF97B48"/>
    <w:rsid w:val="4E1543E8"/>
    <w:rsid w:val="4E40254C"/>
    <w:rsid w:val="4EF424FC"/>
    <w:rsid w:val="4F8110B7"/>
    <w:rsid w:val="4F933D0F"/>
    <w:rsid w:val="506D4592"/>
    <w:rsid w:val="507C62DD"/>
    <w:rsid w:val="50BF5731"/>
    <w:rsid w:val="50F90771"/>
    <w:rsid w:val="5172738F"/>
    <w:rsid w:val="51B77244"/>
    <w:rsid w:val="51D53635"/>
    <w:rsid w:val="52042243"/>
    <w:rsid w:val="52385729"/>
    <w:rsid w:val="52DA52F6"/>
    <w:rsid w:val="5317355C"/>
    <w:rsid w:val="53307101"/>
    <w:rsid w:val="53B80121"/>
    <w:rsid w:val="540029D4"/>
    <w:rsid w:val="54F872CD"/>
    <w:rsid w:val="550753CE"/>
    <w:rsid w:val="55163C52"/>
    <w:rsid w:val="552A296B"/>
    <w:rsid w:val="55482A3A"/>
    <w:rsid w:val="557F77F3"/>
    <w:rsid w:val="559E091D"/>
    <w:rsid w:val="564B6219"/>
    <w:rsid w:val="574036C7"/>
    <w:rsid w:val="574B068E"/>
    <w:rsid w:val="57B503D9"/>
    <w:rsid w:val="58053921"/>
    <w:rsid w:val="58D50AA5"/>
    <w:rsid w:val="58D91320"/>
    <w:rsid w:val="590803BD"/>
    <w:rsid w:val="591E2269"/>
    <w:rsid w:val="591F662B"/>
    <w:rsid w:val="595D173E"/>
    <w:rsid w:val="59C00D01"/>
    <w:rsid w:val="5A596738"/>
    <w:rsid w:val="5A64590F"/>
    <w:rsid w:val="5B016795"/>
    <w:rsid w:val="5C590A9F"/>
    <w:rsid w:val="5C5F7C1B"/>
    <w:rsid w:val="5CB34F40"/>
    <w:rsid w:val="5CED41B0"/>
    <w:rsid w:val="5D1C6C66"/>
    <w:rsid w:val="5D277D14"/>
    <w:rsid w:val="5D5552CD"/>
    <w:rsid w:val="5DBD392A"/>
    <w:rsid w:val="5DBD7262"/>
    <w:rsid w:val="5E133531"/>
    <w:rsid w:val="5E6131AA"/>
    <w:rsid w:val="5ECD5376"/>
    <w:rsid w:val="5FB827D3"/>
    <w:rsid w:val="5FC81660"/>
    <w:rsid w:val="5FE64E23"/>
    <w:rsid w:val="60395667"/>
    <w:rsid w:val="61634383"/>
    <w:rsid w:val="61931AD5"/>
    <w:rsid w:val="61965A39"/>
    <w:rsid w:val="61EA1256"/>
    <w:rsid w:val="62027DCB"/>
    <w:rsid w:val="62403F00"/>
    <w:rsid w:val="624B5B3C"/>
    <w:rsid w:val="62B40D3D"/>
    <w:rsid w:val="62EA3E6A"/>
    <w:rsid w:val="63BD68CB"/>
    <w:rsid w:val="63D2427C"/>
    <w:rsid w:val="63D87E03"/>
    <w:rsid w:val="647A73BB"/>
    <w:rsid w:val="647C1FC7"/>
    <w:rsid w:val="65081DEE"/>
    <w:rsid w:val="65843571"/>
    <w:rsid w:val="659B10A9"/>
    <w:rsid w:val="65C72CDF"/>
    <w:rsid w:val="66533FE7"/>
    <w:rsid w:val="666106F4"/>
    <w:rsid w:val="668043D1"/>
    <w:rsid w:val="66994371"/>
    <w:rsid w:val="67B42E09"/>
    <w:rsid w:val="67EE0225"/>
    <w:rsid w:val="68103613"/>
    <w:rsid w:val="69384FEB"/>
    <w:rsid w:val="69565452"/>
    <w:rsid w:val="6A401B90"/>
    <w:rsid w:val="6B7C4F42"/>
    <w:rsid w:val="6BE83DFD"/>
    <w:rsid w:val="6CE31D51"/>
    <w:rsid w:val="6CFB48B3"/>
    <w:rsid w:val="6D4A2BEE"/>
    <w:rsid w:val="6D582400"/>
    <w:rsid w:val="6D6A0801"/>
    <w:rsid w:val="6D7A1AA2"/>
    <w:rsid w:val="6DA700C4"/>
    <w:rsid w:val="6DD21EDE"/>
    <w:rsid w:val="6E7C0E27"/>
    <w:rsid w:val="6EE601AB"/>
    <w:rsid w:val="6F286FD3"/>
    <w:rsid w:val="6F4F2504"/>
    <w:rsid w:val="6F5140F5"/>
    <w:rsid w:val="6FBF2B9C"/>
    <w:rsid w:val="6FE21452"/>
    <w:rsid w:val="70103B63"/>
    <w:rsid w:val="70687A06"/>
    <w:rsid w:val="70D16C3A"/>
    <w:rsid w:val="70E97472"/>
    <w:rsid w:val="716F0B64"/>
    <w:rsid w:val="727017A2"/>
    <w:rsid w:val="72840F6C"/>
    <w:rsid w:val="72EB2B55"/>
    <w:rsid w:val="72FD6FCD"/>
    <w:rsid w:val="738D3A52"/>
    <w:rsid w:val="74B81834"/>
    <w:rsid w:val="74D908CB"/>
    <w:rsid w:val="751C396C"/>
    <w:rsid w:val="7564262A"/>
    <w:rsid w:val="75E81314"/>
    <w:rsid w:val="764E3D4E"/>
    <w:rsid w:val="765A449F"/>
    <w:rsid w:val="76D46F31"/>
    <w:rsid w:val="771630A2"/>
    <w:rsid w:val="77617AE9"/>
    <w:rsid w:val="785C6E37"/>
    <w:rsid w:val="78695823"/>
    <w:rsid w:val="78C64267"/>
    <w:rsid w:val="78C9450A"/>
    <w:rsid w:val="79786860"/>
    <w:rsid w:val="7A027AC4"/>
    <w:rsid w:val="7A803E13"/>
    <w:rsid w:val="7ADA6E5C"/>
    <w:rsid w:val="7B456551"/>
    <w:rsid w:val="7B9B33C3"/>
    <w:rsid w:val="7C087A46"/>
    <w:rsid w:val="7C813895"/>
    <w:rsid w:val="7CDE2ED7"/>
    <w:rsid w:val="7D0B18A8"/>
    <w:rsid w:val="7D6274A4"/>
    <w:rsid w:val="7E4360FD"/>
    <w:rsid w:val="7E6065D4"/>
    <w:rsid w:val="7E7F7F16"/>
    <w:rsid w:val="7F352976"/>
    <w:rsid w:val="7F5C4A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6">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9"/>
    <w:pPr>
      <w:widowControl w:val="0"/>
      <w:spacing w:line="271" w:lineRule="auto"/>
      <w:jc w:val="both"/>
      <w:outlineLvl w:val="3"/>
    </w:pPr>
    <w:rPr>
      <w:rFonts w:ascii="Times New Roman" w:hAnsi="Times New Roman" w:cs="Times New Roman"/>
      <w:b/>
      <w:bCs/>
      <w:spacing w:val="5"/>
      <w:kern w:val="2"/>
      <w:sz w:val="28"/>
    </w:rPr>
  </w:style>
  <w:style w:type="character" w:default="1" w:styleId="43">
    <w:name w:val="Default Paragraph Font"/>
    <w:qFormat/>
    <w:uiPriority w:val="0"/>
  </w:style>
  <w:style w:type="table" w:default="1" w:styleId="41">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customStyle="1" w:styleId="2">
    <w:name w:val="BodyText1I"/>
    <w:basedOn w:val="3"/>
    <w:next w:val="4"/>
    <w:qFormat/>
    <w:uiPriority w:val="0"/>
    <w:pPr>
      <w:spacing w:after="120"/>
      <w:ind w:firstLine="420" w:firstLineChars="100"/>
      <w:jc w:val="both"/>
      <w:textAlignment w:val="baseline"/>
    </w:pPr>
  </w:style>
  <w:style w:type="paragraph" w:customStyle="1" w:styleId="3">
    <w:name w:val="BodyText"/>
    <w:basedOn w:val="1"/>
    <w:qFormat/>
    <w:uiPriority w:val="0"/>
    <w:pPr>
      <w:spacing w:after="120"/>
      <w:jc w:val="both"/>
      <w:textAlignment w:val="baseline"/>
    </w:pPr>
  </w:style>
  <w:style w:type="paragraph" w:customStyle="1" w:styleId="4">
    <w:name w:val="TOC6"/>
    <w:basedOn w:val="1"/>
    <w:next w:val="1"/>
    <w:qFormat/>
    <w:uiPriority w:val="0"/>
    <w:pPr>
      <w:ind w:left="2100" w:leftChars="1000"/>
      <w:jc w:val="both"/>
      <w:textAlignment w:val="baseline"/>
    </w:pPr>
  </w:style>
  <w:style w:type="paragraph" w:styleId="9">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0">
    <w:name w:val="Normal Indent"/>
    <w:basedOn w:val="1"/>
    <w:next w:val="1"/>
    <w:qFormat/>
    <w:uiPriority w:val="0"/>
    <w:pPr>
      <w:ind w:firstLine="420"/>
    </w:pPr>
    <w:rPr>
      <w:sz w:val="21"/>
      <w:szCs w:val="20"/>
    </w:rPr>
  </w:style>
  <w:style w:type="paragraph" w:styleId="11">
    <w:name w:val="caption"/>
    <w:basedOn w:val="1"/>
    <w:next w:val="1"/>
    <w:qFormat/>
    <w:uiPriority w:val="0"/>
    <w:pPr>
      <w:spacing w:before="152" w:beforeLines="0" w:after="160" w:afterLines="0"/>
    </w:pPr>
    <w:rPr>
      <w:rFonts w:ascii="Arial" w:hAnsi="Arial" w:eastAsia="黑体" w:cs="Arial"/>
      <w:sz w:val="20"/>
      <w:szCs w:val="20"/>
    </w:rPr>
  </w:style>
  <w:style w:type="paragraph" w:styleId="12">
    <w:name w:val="List Bullet"/>
    <w:basedOn w:val="1"/>
    <w:next w:val="1"/>
    <w:unhideWhenUsed/>
    <w:qFormat/>
    <w:uiPriority w:val="99"/>
    <w:pPr>
      <w:numPr>
        <w:ilvl w:val="0"/>
        <w:numId w:val="1"/>
      </w:numPr>
    </w:pPr>
  </w:style>
  <w:style w:type="paragraph" w:styleId="13">
    <w:name w:val="Document Map"/>
    <w:basedOn w:val="1"/>
    <w:link w:val="51"/>
    <w:qFormat/>
    <w:uiPriority w:val="0"/>
    <w:pPr>
      <w:adjustRightInd w:val="0"/>
      <w:snapToGrid w:val="0"/>
      <w:jc w:val="center"/>
      <w:outlineLvl w:val="0"/>
    </w:pPr>
    <w:rPr>
      <w:rFonts w:ascii="宋体" w:hAnsi="宋体"/>
      <w:sz w:val="21"/>
      <w:szCs w:val="21"/>
    </w:rPr>
  </w:style>
  <w:style w:type="paragraph" w:styleId="14">
    <w:name w:val="annotation text"/>
    <w:basedOn w:val="1"/>
    <w:link w:val="52"/>
    <w:unhideWhenUsed/>
    <w:qFormat/>
    <w:uiPriority w:val="99"/>
    <w:pPr>
      <w:jc w:val="left"/>
    </w:pPr>
  </w:style>
  <w:style w:type="paragraph" w:styleId="15">
    <w:name w:val="Body Text 3"/>
    <w:basedOn w:val="1"/>
    <w:qFormat/>
    <w:uiPriority w:val="0"/>
    <w:pPr>
      <w:snapToGrid w:val="0"/>
      <w:spacing w:before="50" w:beforeLines="0" w:after="50" w:afterLines="0"/>
    </w:pPr>
    <w:rPr>
      <w:rFonts w:hAnsi="宋体" w:eastAsia="仿宋_GB2312"/>
      <w:b/>
      <w:bCs/>
      <w:sz w:val="24"/>
      <w:szCs w:val="20"/>
    </w:rPr>
  </w:style>
  <w:style w:type="paragraph" w:styleId="16">
    <w:name w:val="Body Text"/>
    <w:basedOn w:val="1"/>
    <w:next w:val="1"/>
    <w:link w:val="53"/>
    <w:qFormat/>
    <w:uiPriority w:val="0"/>
    <w:pPr>
      <w:spacing w:after="120" w:afterLines="0"/>
    </w:pPr>
    <w:rPr>
      <w:sz w:val="21"/>
    </w:rPr>
  </w:style>
  <w:style w:type="paragraph" w:styleId="17">
    <w:name w:val="Body Text Indent"/>
    <w:basedOn w:val="1"/>
    <w:next w:val="1"/>
    <w:link w:val="54"/>
    <w:qFormat/>
    <w:uiPriority w:val="0"/>
    <w:pPr>
      <w:spacing w:line="200" w:lineRule="atLeast"/>
      <w:ind w:firstLine="301"/>
    </w:pPr>
    <w:rPr>
      <w:sz w:val="21"/>
    </w:rPr>
  </w:style>
  <w:style w:type="paragraph" w:styleId="18">
    <w:name w:val="List Number 3"/>
    <w:basedOn w:val="1"/>
    <w:qFormat/>
    <w:uiPriority w:val="0"/>
    <w:pPr>
      <w:numPr>
        <w:ilvl w:val="0"/>
        <w:numId w:val="2"/>
      </w:numPr>
      <w:tabs>
        <w:tab w:val="left" w:pos="1200"/>
      </w:tabs>
      <w:ind w:left="720"/>
    </w:pPr>
    <w:rPr>
      <w:sz w:val="21"/>
    </w:rPr>
  </w:style>
  <w:style w:type="paragraph" w:styleId="19">
    <w:name w:val="List 2"/>
    <w:basedOn w:val="1"/>
    <w:qFormat/>
    <w:uiPriority w:val="0"/>
    <w:pPr>
      <w:ind w:leftChars="200" w:hanging="200" w:hangingChars="200"/>
    </w:pPr>
  </w:style>
  <w:style w:type="paragraph" w:styleId="20">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1">
    <w:name w:val="List Bullet 2"/>
    <w:basedOn w:val="1"/>
    <w:next w:val="12"/>
    <w:unhideWhenUsed/>
    <w:qFormat/>
    <w:uiPriority w:val="99"/>
    <w:pPr>
      <w:numPr>
        <w:ilvl w:val="0"/>
        <w:numId w:val="3"/>
      </w:numPr>
    </w:pPr>
  </w:style>
  <w:style w:type="paragraph" w:styleId="22">
    <w:name w:val="Plain Text"/>
    <w:basedOn w:val="1"/>
    <w:next w:val="23"/>
    <w:link w:val="55"/>
    <w:qFormat/>
    <w:uiPriority w:val="0"/>
    <w:pPr>
      <w:spacing w:before="156" w:beforeLines="50" w:after="156" w:afterLines="50" w:line="400" w:lineRule="atLeast"/>
    </w:pPr>
    <w:rPr>
      <w:rFonts w:hint="eastAsia" w:ascii="宋体" w:hAnsi="Courier New"/>
      <w:b/>
      <w:sz w:val="24"/>
    </w:rPr>
  </w:style>
  <w:style w:type="paragraph" w:styleId="23">
    <w:name w:val="Date"/>
    <w:basedOn w:val="1"/>
    <w:next w:val="1"/>
    <w:qFormat/>
    <w:uiPriority w:val="0"/>
    <w:pPr>
      <w:ind w:leftChars="2500"/>
    </w:pPr>
    <w:rPr>
      <w:rFonts w:eastAsia="楷体_GB2312"/>
      <w:sz w:val="32"/>
      <w:szCs w:val="20"/>
    </w:rPr>
  </w:style>
  <w:style w:type="paragraph" w:styleId="24">
    <w:name w:val="Body Text Indent 2"/>
    <w:basedOn w:val="1"/>
    <w:qFormat/>
    <w:uiPriority w:val="0"/>
    <w:pPr>
      <w:snapToGrid w:val="0"/>
      <w:ind w:firstLine="542" w:firstLineChars="225"/>
    </w:pPr>
    <w:rPr>
      <w:rFonts w:ascii="仿宋_GB2312" w:hAnsi="宋体" w:cs="Arial"/>
      <w:b/>
      <w:bCs/>
      <w:color w:val="000000"/>
      <w:sz w:val="24"/>
    </w:rPr>
  </w:style>
  <w:style w:type="paragraph" w:styleId="25">
    <w:name w:val="Balloon Text"/>
    <w:basedOn w:val="1"/>
    <w:link w:val="56"/>
    <w:qFormat/>
    <w:uiPriority w:val="0"/>
    <w:rPr>
      <w:sz w:val="18"/>
      <w:szCs w:val="18"/>
    </w:rPr>
  </w:style>
  <w:style w:type="paragraph" w:styleId="26">
    <w:name w:val="footer"/>
    <w:basedOn w:val="1"/>
    <w:link w:val="57"/>
    <w:qFormat/>
    <w:uiPriority w:val="0"/>
    <w:pPr>
      <w:tabs>
        <w:tab w:val="center" w:pos="4153"/>
        <w:tab w:val="right" w:pos="8306"/>
      </w:tabs>
      <w:snapToGrid w:val="0"/>
      <w:jc w:val="left"/>
    </w:pPr>
    <w:rPr>
      <w:sz w:val="18"/>
      <w:szCs w:val="18"/>
    </w:rPr>
  </w:style>
  <w:style w:type="paragraph" w:styleId="27">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rPr>
      <w:sz w:val="21"/>
    </w:rPr>
  </w:style>
  <w:style w:type="paragraph" w:styleId="29">
    <w:name w:val="Subtitle"/>
    <w:basedOn w:val="1"/>
    <w:next w:val="1"/>
    <w:qFormat/>
    <w:uiPriority w:val="11"/>
    <w:pPr>
      <w:spacing w:after="60"/>
      <w:jc w:val="center"/>
      <w:outlineLvl w:val="1"/>
    </w:pPr>
    <w:rPr>
      <w:rFonts w:ascii="Cambria" w:hAnsi="Cambria"/>
    </w:rPr>
  </w:style>
  <w:style w:type="paragraph" w:styleId="30">
    <w:name w:val="List"/>
    <w:basedOn w:val="1"/>
    <w:qFormat/>
    <w:uiPriority w:val="0"/>
    <w:pPr>
      <w:ind w:left="200" w:hanging="200" w:hangingChars="200"/>
    </w:pPr>
  </w:style>
  <w:style w:type="paragraph" w:styleId="31">
    <w:name w:val="footnote text"/>
    <w:basedOn w:val="1"/>
    <w:qFormat/>
    <w:uiPriority w:val="0"/>
    <w:pPr>
      <w:snapToGrid w:val="0"/>
      <w:jc w:val="left"/>
    </w:pPr>
    <w:rPr>
      <w:rFonts w:eastAsia="仿宋_GB2312"/>
      <w:sz w:val="18"/>
      <w:szCs w:val="20"/>
    </w:rPr>
  </w:style>
  <w:style w:type="paragraph" w:styleId="32">
    <w:name w:val="toc 6"/>
    <w:basedOn w:val="1"/>
    <w:next w:val="1"/>
    <w:qFormat/>
    <w:uiPriority w:val="39"/>
    <w:pPr>
      <w:ind w:left="1050"/>
      <w:jc w:val="left"/>
    </w:pPr>
    <w:rPr>
      <w:rFonts w:ascii="Calibri" w:hAnsi="Calibri" w:cs="Calibri"/>
      <w:sz w:val="18"/>
      <w:szCs w:val="18"/>
    </w:rPr>
  </w:style>
  <w:style w:type="paragraph" w:styleId="33">
    <w:name w:val="Body Text Indent 3"/>
    <w:basedOn w:val="1"/>
    <w:qFormat/>
    <w:uiPriority w:val="0"/>
    <w:pPr>
      <w:spacing w:after="120" w:afterLines="0"/>
      <w:ind w:left="420" w:leftChars="200"/>
    </w:pPr>
    <w:rPr>
      <w:sz w:val="16"/>
      <w:szCs w:val="16"/>
    </w:rPr>
  </w:style>
  <w:style w:type="paragraph" w:styleId="34">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6">
    <w:name w:val="Normal (Web)"/>
    <w:basedOn w:val="1"/>
    <w:link w:val="59"/>
    <w:qFormat/>
    <w:uiPriority w:val="0"/>
    <w:pPr>
      <w:widowControl/>
      <w:spacing w:before="100" w:beforeLines="0" w:beforeAutospacing="1" w:after="100" w:afterLines="0" w:afterAutospacing="1"/>
      <w:jc w:val="left"/>
    </w:pPr>
    <w:rPr>
      <w:rFonts w:hint="eastAsia" w:ascii="宋体" w:hAnsi="宋体"/>
      <w:kern w:val="0"/>
      <w:sz w:val="24"/>
    </w:rPr>
  </w:style>
  <w:style w:type="paragraph" w:styleId="37">
    <w:name w:val="Title"/>
    <w:basedOn w:val="1"/>
    <w:next w:val="1"/>
    <w:link w:val="60"/>
    <w:qFormat/>
    <w:uiPriority w:val="0"/>
    <w:pPr>
      <w:spacing w:before="240" w:beforeLines="0" w:after="60" w:afterLines="0"/>
      <w:jc w:val="center"/>
      <w:outlineLvl w:val="0"/>
    </w:pPr>
    <w:rPr>
      <w:rFonts w:ascii="Cambria" w:hAnsi="Cambria" w:eastAsia="Cambria"/>
      <w:b/>
      <w:sz w:val="32"/>
      <w:szCs w:val="32"/>
    </w:rPr>
  </w:style>
  <w:style w:type="paragraph" w:styleId="38">
    <w:name w:val="annotation subject"/>
    <w:basedOn w:val="14"/>
    <w:next w:val="14"/>
    <w:link w:val="61"/>
    <w:unhideWhenUsed/>
    <w:qFormat/>
    <w:uiPriority w:val="99"/>
    <w:rPr>
      <w:b/>
      <w:bCs/>
    </w:rPr>
  </w:style>
  <w:style w:type="paragraph" w:styleId="39">
    <w:name w:val="Body Text First Indent"/>
    <w:basedOn w:val="16"/>
    <w:next w:val="32"/>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40">
    <w:name w:val="Body Text First Indent 2"/>
    <w:basedOn w:val="17"/>
    <w:next w:val="1"/>
    <w:qFormat/>
    <w:uiPriority w:val="0"/>
    <w:pPr>
      <w:spacing w:after="120" w:afterLines="0" w:afterAutospacing="0" w:line="240" w:lineRule="auto"/>
      <w:ind w:left="420" w:leftChars="200" w:firstLine="420" w:firstLineChars="200"/>
    </w:pPr>
    <w:rPr>
      <w:rFonts w:ascii="等线" w:hAnsi="等线" w:eastAsia="等线"/>
      <w:sz w:val="21"/>
    </w:rPr>
  </w:style>
  <w:style w:type="table" w:styleId="42">
    <w:name w:val="Table Grid"/>
    <w:basedOn w:val="4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qFormat/>
    <w:uiPriority w:val="22"/>
    <w:rPr>
      <w:b/>
      <w:color w:val="000000"/>
    </w:rPr>
  </w:style>
  <w:style w:type="character" w:styleId="45">
    <w:name w:val="page number"/>
    <w:qFormat/>
    <w:uiPriority w:val="0"/>
  </w:style>
  <w:style w:type="character" w:styleId="46">
    <w:name w:val="FollowedHyperlink"/>
    <w:unhideWhenUsed/>
    <w:qFormat/>
    <w:uiPriority w:val="99"/>
    <w:rPr>
      <w:color w:val="800080"/>
      <w:u w:val="single"/>
    </w:rPr>
  </w:style>
  <w:style w:type="character" w:styleId="47">
    <w:name w:val="Hyperlink"/>
    <w:qFormat/>
    <w:uiPriority w:val="99"/>
    <w:rPr>
      <w:color w:val="0000FF"/>
      <w:u w:val="single"/>
    </w:rPr>
  </w:style>
  <w:style w:type="character" w:styleId="48">
    <w:name w:val="annotation reference"/>
    <w:unhideWhenUsed/>
    <w:qFormat/>
    <w:uiPriority w:val="99"/>
    <w:rPr>
      <w:sz w:val="21"/>
      <w:szCs w:val="21"/>
    </w:rPr>
  </w:style>
  <w:style w:type="character" w:styleId="49">
    <w:name w:val="footnote reference"/>
    <w:qFormat/>
    <w:uiPriority w:val="0"/>
    <w:rPr>
      <w:vertAlign w:val="superscript"/>
    </w:rPr>
  </w:style>
  <w:style w:type="paragraph" w:customStyle="1" w:styleId="50">
    <w:name w:val="样式 10 磅31114"/>
    <w:qFormat/>
    <w:uiPriority w:val="0"/>
    <w:pPr>
      <w:widowControl w:val="0"/>
      <w:jc w:val="both"/>
    </w:pPr>
    <w:rPr>
      <w:rFonts w:ascii="Calibri" w:hAnsi="Calibri" w:eastAsia="宋体" w:cs="Times New Roman"/>
      <w:kern w:val="2"/>
      <w:sz w:val="21"/>
      <w:szCs w:val="24"/>
      <w:lang w:val="en-US" w:eastAsia="zh-CN" w:bidi="ar-SA"/>
    </w:rPr>
  </w:style>
  <w:style w:type="character" w:customStyle="1" w:styleId="51">
    <w:name w:val="文档结构图 字符1"/>
    <w:link w:val="13"/>
    <w:qFormat/>
    <w:uiPriority w:val="0"/>
    <w:rPr>
      <w:rFonts w:ascii="宋体" w:hAnsi="宋体"/>
      <w:kern w:val="2"/>
      <w:sz w:val="21"/>
      <w:szCs w:val="21"/>
    </w:rPr>
  </w:style>
  <w:style w:type="character" w:customStyle="1" w:styleId="52">
    <w:name w:val="批注文字 字符"/>
    <w:link w:val="14"/>
    <w:semiHidden/>
    <w:qFormat/>
    <w:uiPriority w:val="99"/>
    <w:rPr>
      <w:kern w:val="2"/>
      <w:sz w:val="28"/>
      <w:szCs w:val="24"/>
    </w:rPr>
  </w:style>
  <w:style w:type="character" w:customStyle="1" w:styleId="53">
    <w:name w:val="正文文本 字符1"/>
    <w:link w:val="16"/>
    <w:qFormat/>
    <w:uiPriority w:val="0"/>
    <w:rPr>
      <w:kern w:val="2"/>
      <w:sz w:val="21"/>
      <w:szCs w:val="24"/>
    </w:rPr>
  </w:style>
  <w:style w:type="character" w:customStyle="1" w:styleId="54">
    <w:name w:val="正文文本缩进 字符"/>
    <w:link w:val="17"/>
    <w:qFormat/>
    <w:uiPriority w:val="0"/>
    <w:rPr>
      <w:kern w:val="2"/>
      <w:sz w:val="21"/>
      <w:szCs w:val="24"/>
    </w:rPr>
  </w:style>
  <w:style w:type="character" w:customStyle="1" w:styleId="55">
    <w:name w:val="纯文本 字符"/>
    <w:link w:val="22"/>
    <w:qFormat/>
    <w:uiPriority w:val="0"/>
    <w:rPr>
      <w:rFonts w:hint="eastAsia" w:ascii="宋体" w:hAnsi="Courier New" w:eastAsia="宋体" w:cs="宋体"/>
      <w:b/>
      <w:kern w:val="2"/>
      <w:sz w:val="24"/>
      <w:szCs w:val="24"/>
    </w:rPr>
  </w:style>
  <w:style w:type="character" w:customStyle="1" w:styleId="56">
    <w:name w:val="批注框文本 字符"/>
    <w:link w:val="25"/>
    <w:qFormat/>
    <w:uiPriority w:val="0"/>
    <w:rPr>
      <w:kern w:val="2"/>
      <w:sz w:val="18"/>
      <w:szCs w:val="18"/>
    </w:rPr>
  </w:style>
  <w:style w:type="character" w:customStyle="1" w:styleId="57">
    <w:name w:val="页脚 字符"/>
    <w:link w:val="26"/>
    <w:qFormat/>
    <w:uiPriority w:val="0"/>
    <w:rPr>
      <w:kern w:val="2"/>
      <w:sz w:val="18"/>
      <w:szCs w:val="18"/>
    </w:rPr>
  </w:style>
  <w:style w:type="character" w:customStyle="1" w:styleId="58">
    <w:name w:val="页眉 字符"/>
    <w:link w:val="27"/>
    <w:qFormat/>
    <w:uiPriority w:val="0"/>
    <w:rPr>
      <w:kern w:val="2"/>
      <w:sz w:val="18"/>
      <w:szCs w:val="18"/>
    </w:rPr>
  </w:style>
  <w:style w:type="character" w:customStyle="1" w:styleId="59">
    <w:name w:val="普通(网站) 字符"/>
    <w:link w:val="36"/>
    <w:qFormat/>
    <w:uiPriority w:val="0"/>
    <w:rPr>
      <w:rFonts w:hint="eastAsia" w:ascii="宋体" w:hAnsi="宋体" w:eastAsia="宋体" w:cs="宋体"/>
      <w:sz w:val="24"/>
      <w:szCs w:val="24"/>
    </w:rPr>
  </w:style>
  <w:style w:type="character" w:customStyle="1" w:styleId="60">
    <w:name w:val="标题 字符1"/>
    <w:link w:val="37"/>
    <w:qFormat/>
    <w:uiPriority w:val="0"/>
    <w:rPr>
      <w:rFonts w:ascii="Cambria" w:hAnsi="Cambria" w:eastAsia="Cambria" w:cs="Times New Roman"/>
      <w:b/>
      <w:kern w:val="2"/>
      <w:sz w:val="32"/>
      <w:szCs w:val="32"/>
    </w:rPr>
  </w:style>
  <w:style w:type="character" w:customStyle="1" w:styleId="61">
    <w:name w:val="批注主题 字符"/>
    <w:link w:val="38"/>
    <w:semiHidden/>
    <w:qFormat/>
    <w:uiPriority w:val="99"/>
    <w:rPr>
      <w:b/>
      <w:bCs/>
      <w:kern w:val="2"/>
      <w:sz w:val="28"/>
      <w:szCs w:val="24"/>
    </w:rPr>
  </w:style>
  <w:style w:type="character" w:customStyle="1" w:styleId="62">
    <w:name w:val="标题 字符"/>
    <w:qFormat/>
    <w:uiPriority w:val="0"/>
    <w:rPr>
      <w:rFonts w:ascii="Arial" w:hAnsi="Arial" w:eastAsia="宋体" w:cs="Arial"/>
      <w:b/>
      <w:bCs/>
      <w:kern w:val="2"/>
      <w:sz w:val="32"/>
      <w:szCs w:val="32"/>
      <w:lang w:val="en-US" w:eastAsia="zh-CN" w:bidi="ar-SA"/>
    </w:rPr>
  </w:style>
  <w:style w:type="character" w:customStyle="1" w:styleId="63">
    <w:name w:val="font31"/>
    <w:qFormat/>
    <w:uiPriority w:val="0"/>
    <w:rPr>
      <w:rFonts w:hint="eastAsia" w:ascii="宋体" w:hAnsi="宋体" w:eastAsia="宋体" w:cs="宋体"/>
      <w:color w:val="FF0000"/>
      <w:sz w:val="18"/>
      <w:szCs w:val="18"/>
      <w:u w:val="none"/>
    </w:rPr>
  </w:style>
  <w:style w:type="character" w:customStyle="1" w:styleId="64">
    <w:name w:val="font11"/>
    <w:qFormat/>
    <w:uiPriority w:val="0"/>
    <w:rPr>
      <w:rFonts w:hint="eastAsia" w:ascii="宋体" w:hAnsi="宋体" w:eastAsia="宋体" w:cs="宋体"/>
      <w:color w:val="000000"/>
      <w:sz w:val="20"/>
      <w:szCs w:val="20"/>
      <w:u w:val="none"/>
    </w:rPr>
  </w:style>
  <w:style w:type="character" w:customStyle="1" w:styleId="65">
    <w:name w:val="正文文本 字符"/>
    <w:qFormat/>
    <w:uiPriority w:val="0"/>
    <w:rPr>
      <w:kern w:val="2"/>
      <w:sz w:val="21"/>
      <w:szCs w:val="24"/>
    </w:rPr>
  </w:style>
  <w:style w:type="character" w:customStyle="1" w:styleId="66">
    <w:name w:val="文档结构图 字符"/>
    <w:semiHidden/>
    <w:qFormat/>
    <w:uiPriority w:val="99"/>
    <w:rPr>
      <w:rFonts w:ascii="Abel" w:hAnsi="Abel"/>
      <w:kern w:val="2"/>
      <w:sz w:val="26"/>
      <w:szCs w:val="26"/>
    </w:rPr>
  </w:style>
  <w:style w:type="character" w:customStyle="1" w:styleId="67">
    <w:name w:val="font81"/>
    <w:qFormat/>
    <w:uiPriority w:val="0"/>
    <w:rPr>
      <w:rFonts w:hint="eastAsia" w:ascii="宋体" w:hAnsi="宋体" w:eastAsia="宋体" w:cs="宋体"/>
      <w:color w:val="FF0000"/>
      <w:sz w:val="18"/>
      <w:szCs w:val="18"/>
      <w:u w:val="none"/>
    </w:rPr>
  </w:style>
  <w:style w:type="character" w:customStyle="1" w:styleId="68">
    <w:name w:val="纯文本 Char"/>
    <w:qFormat/>
    <w:uiPriority w:val="0"/>
    <w:rPr>
      <w:rFonts w:hint="eastAsia" w:ascii="宋体" w:hAnsi="Courier New" w:eastAsia="宋体" w:cs="宋体"/>
      <w:sz w:val="24"/>
      <w:szCs w:val="24"/>
    </w:rPr>
  </w:style>
  <w:style w:type="character" w:customStyle="1" w:styleId="69">
    <w:name w:val="纯文本 Char1"/>
    <w:qFormat/>
    <w:uiPriority w:val="0"/>
    <w:rPr>
      <w:rFonts w:hint="eastAsia" w:ascii="宋体" w:hAnsi="Courier New" w:eastAsia="宋体" w:cs="Courier New"/>
      <w:kern w:val="2"/>
      <w:sz w:val="21"/>
      <w:szCs w:val="21"/>
    </w:rPr>
  </w:style>
  <w:style w:type="character" w:customStyle="1" w:styleId="70">
    <w:name w:val="纯文本 Char11"/>
    <w:qFormat/>
    <w:uiPriority w:val="0"/>
    <w:rPr>
      <w:rFonts w:ascii="宋体" w:hAnsi="Courier New" w:eastAsia="宋体"/>
      <w:kern w:val="2"/>
      <w:sz w:val="24"/>
      <w:szCs w:val="24"/>
      <w:lang w:val="en-US" w:eastAsia="zh-CN" w:bidi="ar-SA"/>
    </w:rPr>
  </w:style>
  <w:style w:type="character" w:customStyle="1" w:styleId="71">
    <w:name w:val="font51"/>
    <w:qFormat/>
    <w:uiPriority w:val="0"/>
    <w:rPr>
      <w:rFonts w:hint="eastAsia" w:ascii="宋体" w:hAnsi="宋体" w:eastAsia="宋体" w:cs="宋体"/>
      <w:color w:val="000000"/>
      <w:sz w:val="20"/>
      <w:szCs w:val="20"/>
      <w:u w:val="none"/>
    </w:rPr>
  </w:style>
  <w:style w:type="character" w:customStyle="1" w:styleId="72">
    <w:name w:val="font61"/>
    <w:qFormat/>
    <w:uiPriority w:val="0"/>
    <w:rPr>
      <w:rFonts w:hint="eastAsia" w:ascii="宋体" w:hAnsi="宋体" w:eastAsia="宋体" w:cs="宋体"/>
      <w:b/>
      <w:color w:val="FF0000"/>
      <w:sz w:val="20"/>
      <w:szCs w:val="20"/>
      <w:u w:val="none"/>
    </w:rPr>
  </w:style>
  <w:style w:type="character" w:customStyle="1" w:styleId="73">
    <w:name w:val="font01"/>
    <w:qFormat/>
    <w:uiPriority w:val="0"/>
    <w:rPr>
      <w:rFonts w:hint="eastAsia" w:ascii="宋体" w:hAnsi="宋体" w:eastAsia="宋体" w:cs="宋体"/>
      <w:b/>
      <w:color w:val="FF0000"/>
      <w:sz w:val="18"/>
      <w:szCs w:val="18"/>
      <w:u w:val="none"/>
    </w:rPr>
  </w:style>
  <w:style w:type="character" w:customStyle="1" w:styleId="74">
    <w:name w:val="无"/>
    <w:qFormat/>
    <w:uiPriority w:val="0"/>
  </w:style>
  <w:style w:type="character" w:customStyle="1" w:styleId="75">
    <w:name w:val="标题 1 Char Char"/>
    <w:qFormat/>
    <w:uiPriority w:val="0"/>
    <w:rPr>
      <w:rFonts w:eastAsia="宋体"/>
      <w:b/>
      <w:spacing w:val="-2"/>
      <w:sz w:val="24"/>
      <w:lang w:val="en-US" w:eastAsia="zh-CN" w:bidi="ar-SA"/>
    </w:rPr>
  </w:style>
  <w:style w:type="character" w:customStyle="1" w:styleId="76">
    <w:name w:val="_Style 72"/>
    <w:unhideWhenUsed/>
    <w:qFormat/>
    <w:uiPriority w:val="99"/>
    <w:rPr>
      <w:color w:val="605E5C"/>
      <w:shd w:val="clear" w:color="auto" w:fill="E1DFDD"/>
    </w:rPr>
  </w:style>
  <w:style w:type="character" w:customStyle="1" w:styleId="77">
    <w:name w:val="正文缩进 Char"/>
    <w:qFormat/>
    <w:uiPriority w:val="0"/>
  </w:style>
  <w:style w:type="character" w:customStyle="1" w:styleId="78">
    <w:name w:val="font112"/>
    <w:qFormat/>
    <w:uiPriority w:val="0"/>
    <w:rPr>
      <w:rFonts w:hint="eastAsia" w:ascii="宋体" w:hAnsi="宋体" w:eastAsia="宋体" w:cs="宋体"/>
      <w:color w:val="FF0000"/>
      <w:sz w:val="18"/>
      <w:szCs w:val="18"/>
      <w:u w:val="none"/>
    </w:rPr>
  </w:style>
  <w:style w:type="character" w:customStyle="1" w:styleId="79">
    <w:name w:val="font21"/>
    <w:qFormat/>
    <w:uiPriority w:val="0"/>
    <w:rPr>
      <w:rFonts w:hint="eastAsia" w:ascii="宋体" w:hAnsi="宋体" w:eastAsia="宋体" w:cs="宋体"/>
      <w:color w:val="000000"/>
      <w:sz w:val="18"/>
      <w:szCs w:val="18"/>
      <w:u w:val="none"/>
    </w:rPr>
  </w:style>
  <w:style w:type="character" w:customStyle="1" w:styleId="80">
    <w:name w:val="正文文本缩进 Char1"/>
    <w:qFormat/>
    <w:uiPriority w:val="0"/>
    <w:rPr>
      <w:kern w:val="2"/>
      <w:sz w:val="21"/>
      <w:szCs w:val="24"/>
    </w:rPr>
  </w:style>
  <w:style w:type="character" w:customStyle="1" w:styleId="81">
    <w:name w:val="纯文本 Char2"/>
    <w:qFormat/>
    <w:uiPriority w:val="0"/>
    <w:rPr>
      <w:rFonts w:ascii="宋体" w:hAnsi="Courier New" w:eastAsia="宋体"/>
      <w:kern w:val="2"/>
      <w:sz w:val="24"/>
      <w:szCs w:val="24"/>
      <w:lang w:val="en-US" w:eastAsia="zh-CN" w:bidi="ar-SA"/>
    </w:rPr>
  </w:style>
  <w:style w:type="character" w:customStyle="1" w:styleId="82">
    <w:name w:val="font41"/>
    <w:qFormat/>
    <w:uiPriority w:val="0"/>
    <w:rPr>
      <w:rFonts w:hint="eastAsia" w:ascii="宋体" w:hAnsi="宋体" w:eastAsia="宋体" w:cs="宋体"/>
      <w:color w:val="000000"/>
      <w:sz w:val="18"/>
      <w:szCs w:val="18"/>
      <w:u w:val="none"/>
    </w:rPr>
  </w:style>
  <w:style w:type="paragraph" w:customStyle="1" w:styleId="83">
    <w:name w:val="正文段"/>
    <w:basedOn w:val="1"/>
    <w:qFormat/>
    <w:uiPriority w:val="0"/>
    <w:pPr>
      <w:widowControl/>
      <w:snapToGrid w:val="0"/>
      <w:spacing w:after="156" w:afterLines="50"/>
      <w:ind w:firstLine="200" w:firstLineChars="200"/>
    </w:pPr>
    <w:rPr>
      <w:kern w:val="0"/>
      <w:sz w:val="24"/>
      <w:szCs w:val="20"/>
    </w:rPr>
  </w:style>
  <w:style w:type="paragraph" w:customStyle="1" w:styleId="84">
    <w:name w:val="_Style 1"/>
    <w:qFormat/>
    <w:uiPriority w:val="99"/>
    <w:rPr>
      <w:rFonts w:ascii="Calibri" w:hAnsi="Calibri" w:eastAsia="宋体" w:cs="Times New Roman"/>
      <w:kern w:val="2"/>
      <w:sz w:val="28"/>
      <w:szCs w:val="22"/>
      <w:lang w:val="en-US" w:eastAsia="zh-CN" w:bidi="ar-SA"/>
    </w:rPr>
  </w:style>
  <w:style w:type="paragraph" w:customStyle="1" w:styleId="85">
    <w:name w:val="Char1"/>
    <w:basedOn w:val="1"/>
    <w:qFormat/>
    <w:uiPriority w:val="0"/>
    <w:rPr>
      <w:rFonts w:ascii="Tahoma" w:hAnsi="Tahoma"/>
      <w:sz w:val="24"/>
      <w:szCs w:val="20"/>
    </w:rPr>
  </w:style>
  <w:style w:type="paragraph" w:customStyle="1" w:styleId="86">
    <w:name w:val="Char"/>
    <w:basedOn w:val="1"/>
    <w:qFormat/>
    <w:uiPriority w:val="0"/>
    <w:rPr>
      <w:sz w:val="21"/>
    </w:rPr>
  </w:style>
  <w:style w:type="paragraph" w:customStyle="1" w:styleId="87">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8">
    <w:name w:val="标准中文版式_正文"/>
    <w:basedOn w:val="1"/>
    <w:qFormat/>
    <w:uiPriority w:val="0"/>
    <w:pPr>
      <w:spacing w:before="30" w:beforeLines="0" w:line="360" w:lineRule="auto"/>
      <w:ind w:firstLineChars="200"/>
    </w:pPr>
    <w:rPr>
      <w:rFonts w:ascii="Arial" w:hAnsi="Arial"/>
      <w:sz w:val="24"/>
    </w:rPr>
  </w:style>
  <w:style w:type="paragraph" w:customStyle="1" w:styleId="89">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90">
    <w:name w:val="纯文本1"/>
    <w:basedOn w:val="91"/>
    <w:qFormat/>
    <w:uiPriority w:val="0"/>
    <w:pPr>
      <w:widowControl/>
      <w:jc w:val="left"/>
    </w:pPr>
    <w:rPr>
      <w:rFonts w:ascii="宋体" w:hAnsi="Courier New"/>
    </w:rPr>
  </w:style>
  <w:style w:type="paragraph" w:customStyle="1" w:styleId="9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 Char1"/>
    <w:basedOn w:val="1"/>
    <w:qFormat/>
    <w:uiPriority w:val="0"/>
    <w:pPr>
      <w:jc w:val="center"/>
    </w:pPr>
    <w:rPr>
      <w:rFonts w:ascii="仿宋_GB2312" w:eastAsia="仿宋_GB2312"/>
      <w:b/>
      <w:kern w:val="0"/>
      <w:sz w:val="32"/>
      <w:szCs w:val="32"/>
      <w:lang w:val="en-GB"/>
    </w:rPr>
  </w:style>
  <w:style w:type="paragraph" w:customStyle="1" w:styleId="9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4">
    <w:name w:val=" Char Char Char1"/>
    <w:basedOn w:val="1"/>
    <w:qFormat/>
    <w:uiPriority w:val="0"/>
    <w:rPr>
      <w:sz w:val="21"/>
    </w:rPr>
  </w:style>
  <w:style w:type="paragraph" w:customStyle="1" w:styleId="95">
    <w:name w:val="样式 标题 2 + Times New Roman 四号 非加粗 段前: 5 磅 段后: 0 磅 行距: 固定值 20..."/>
    <w:basedOn w:val="6"/>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96">
    <w:name w:val="4、正文"/>
    <w:basedOn w:val="1"/>
    <w:qFormat/>
    <w:uiPriority w:val="0"/>
    <w:pPr>
      <w:ind w:firstLine="200" w:firstLineChars="200"/>
    </w:pPr>
    <w:rPr>
      <w:rFonts w:ascii="宋体"/>
      <w:sz w:val="24"/>
      <w:szCs w:val="28"/>
    </w:rPr>
  </w:style>
  <w:style w:type="paragraph" w:customStyle="1" w:styleId="97">
    <w:name w:val="列出段落2"/>
    <w:basedOn w:val="1"/>
    <w:qFormat/>
    <w:uiPriority w:val="0"/>
    <w:pPr>
      <w:widowControl w:val="0"/>
      <w:ind w:firstLine="420" w:firstLineChars="200"/>
      <w:jc w:val="both"/>
    </w:pPr>
    <w:rPr>
      <w:rFonts w:ascii="Calibri" w:hAnsi="Calibri" w:cs="黑体"/>
      <w:kern w:val="2"/>
      <w:sz w:val="20"/>
    </w:rPr>
  </w:style>
  <w:style w:type="paragraph" w:customStyle="1" w:styleId="9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99">
    <w:name w:val="_Style 95"/>
    <w:unhideWhenUsed/>
    <w:qFormat/>
    <w:uiPriority w:val="99"/>
    <w:rPr>
      <w:rFonts w:ascii="Times New Roman" w:hAnsi="Times New Roman" w:eastAsia="宋体" w:cs="Times New Roman"/>
      <w:kern w:val="2"/>
      <w:sz w:val="28"/>
      <w:szCs w:val="24"/>
      <w:lang w:val="en-US" w:eastAsia="zh-CN" w:bidi="ar-SA"/>
    </w:rPr>
  </w:style>
  <w:style w:type="paragraph" w:customStyle="1" w:styleId="100">
    <w:name w:val=" Char"/>
    <w:basedOn w:val="1"/>
    <w:qFormat/>
    <w:uiPriority w:val="0"/>
    <w:rPr>
      <w:sz w:val="24"/>
    </w:rPr>
  </w:style>
  <w:style w:type="paragraph" w:customStyle="1" w:styleId="101">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10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 Char2"/>
    <w:basedOn w:val="1"/>
    <w:next w:val="1"/>
    <w:qFormat/>
    <w:uiPriority w:val="0"/>
    <w:pPr>
      <w:spacing w:before="120" w:beforeLines="0" w:line="360" w:lineRule="auto"/>
      <w:ind w:firstLine="425"/>
    </w:pPr>
    <w:rPr>
      <w:sz w:val="24"/>
    </w:rPr>
  </w:style>
  <w:style w:type="paragraph" w:customStyle="1" w:styleId="104">
    <w:name w:val="模板普通正文"/>
    <w:basedOn w:val="17"/>
    <w:qFormat/>
    <w:uiPriority w:val="0"/>
    <w:pPr>
      <w:spacing w:beforeLines="50" w:after="10"/>
      <w:ind w:firstLine="490" w:firstLineChars="175"/>
    </w:pPr>
  </w:style>
  <w:style w:type="paragraph" w:customStyle="1" w:styleId="105">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10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08">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10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1">
    <w:name w:val="toc 11"/>
    <w:next w:val="1"/>
    <w:qFormat/>
    <w:uiPriority w:val="0"/>
    <w:pPr>
      <w:wordWrap w:val="0"/>
      <w:jc w:val="both"/>
    </w:pPr>
    <w:rPr>
      <w:rFonts w:ascii="Times New Roman" w:hAnsi="Times New Roman" w:eastAsia="宋体" w:cs="Times New Roman"/>
      <w:sz w:val="21"/>
      <w:lang w:val="en-US" w:eastAsia="zh-CN" w:bidi="ar-SA"/>
    </w:rPr>
  </w:style>
  <w:style w:type="paragraph" w:styleId="112">
    <w:name w:val="List Paragraph"/>
    <w:basedOn w:val="1"/>
    <w:qFormat/>
    <w:uiPriority w:val="0"/>
    <w:pPr>
      <w:ind w:firstLine="420" w:firstLineChars="200"/>
    </w:pPr>
    <w:rPr>
      <w:rFonts w:ascii="Calibri" w:hAnsi="Calibri"/>
      <w:szCs w:val="22"/>
    </w:rPr>
  </w:style>
  <w:style w:type="paragraph" w:customStyle="1" w:styleId="113">
    <w:name w:val="默认段落字体 Para Char Char Char Char Char Char Char Char Char1 Char Char Char Char"/>
    <w:basedOn w:val="1"/>
    <w:qFormat/>
    <w:uiPriority w:val="0"/>
    <w:rPr>
      <w:rFonts w:ascii="Tahoma" w:hAnsi="Tahoma"/>
      <w:sz w:val="24"/>
      <w:szCs w:val="20"/>
    </w:rPr>
  </w:style>
  <w:style w:type="paragraph" w:customStyle="1" w:styleId="11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1.正文首行缩进2字符"/>
    <w:basedOn w:val="1"/>
    <w:qFormat/>
    <w:uiPriority w:val="0"/>
    <w:pPr>
      <w:widowControl w:val="0"/>
      <w:snapToGrid w:val="0"/>
      <w:spacing w:line="360" w:lineRule="auto"/>
      <w:ind w:firstLine="482"/>
    </w:pPr>
    <w:rPr>
      <w:rFonts w:ascii="仿宋" w:hAnsi="仿宋" w:eastAsia="仿宋" w:cs="等线"/>
      <w:sz w:val="28"/>
    </w:rPr>
  </w:style>
  <w:style w:type="paragraph" w:customStyle="1" w:styleId="116">
    <w:name w:val="列出段落1"/>
    <w:basedOn w:val="1"/>
    <w:qFormat/>
    <w:uiPriority w:val="0"/>
    <w:pPr>
      <w:widowControl w:val="0"/>
      <w:ind w:firstLine="420" w:firstLineChars="200"/>
      <w:jc w:val="both"/>
    </w:pPr>
    <w:rPr>
      <w:rFonts w:ascii="Calibri" w:hAnsi="Calibri" w:cs="Times New Roman"/>
      <w:sz w:val="28"/>
      <w:szCs w:val="20"/>
    </w:rPr>
  </w:style>
  <w:style w:type="paragraph" w:customStyle="1" w:styleId="117">
    <w:name w:val="表格文字"/>
    <w:basedOn w:val="1"/>
    <w:next w:val="16"/>
    <w:qFormat/>
    <w:uiPriority w:val="0"/>
    <w:pPr>
      <w:adjustRightInd w:val="0"/>
      <w:spacing w:line="420" w:lineRule="atLeast"/>
      <w:jc w:val="left"/>
      <w:textAlignment w:val="baseline"/>
    </w:pPr>
    <w:rPr>
      <w:kern w:val="0"/>
    </w:rPr>
  </w:style>
  <w:style w:type="paragraph" w:customStyle="1" w:styleId="118">
    <w:name w:val="WPSOffice手动目录 1"/>
    <w:qFormat/>
    <w:uiPriority w:val="0"/>
    <w:rPr>
      <w:rFonts w:ascii="Times New Roman" w:hAnsi="Times New Roman" w:eastAsia="宋体" w:cs="Times New Roman"/>
      <w:lang w:val="en-US" w:eastAsia="zh-CN" w:bidi="ar-SA"/>
    </w:rPr>
  </w:style>
  <w:style w:type="paragraph" w:customStyle="1" w:styleId="119">
    <w:name w:val="无间隔1"/>
    <w:basedOn w:val="1"/>
    <w:qFormat/>
    <w:uiPriority w:val="0"/>
    <w:pPr>
      <w:widowControl/>
      <w:adjustRightInd w:val="0"/>
      <w:snapToGrid w:val="0"/>
      <w:jc w:val="left"/>
    </w:pPr>
    <w:rPr>
      <w:rFonts w:ascii="Tahoma" w:hAnsi="Tahoma" w:eastAsia="微软雅黑"/>
      <w:kern w:val="0"/>
      <w:sz w:val="22"/>
      <w:szCs w:val="22"/>
    </w:rPr>
  </w:style>
  <w:style w:type="paragraph" w:customStyle="1" w:styleId="120">
    <w:name w:val="正文_1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121">
    <w:name w:val="正文（首行缩进2字符）"/>
    <w:basedOn w:val="1"/>
    <w:qFormat/>
    <w:uiPriority w:val="0"/>
    <w:pPr>
      <w:spacing w:line="360" w:lineRule="auto"/>
      <w:ind w:firstLine="420" w:firstLineChars="200"/>
    </w:pPr>
    <w:rPr>
      <w:szCs w:val="21"/>
    </w:rPr>
  </w:style>
  <w:style w:type="paragraph" w:customStyle="1" w:styleId="12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23">
    <w:name w:val="_Style 10"/>
    <w:basedOn w:val="1"/>
    <w:qFormat/>
    <w:uiPriority w:val="0"/>
    <w:rPr>
      <w:rFonts w:ascii="Tahoma" w:hAnsi="Tahoma"/>
      <w:sz w:val="24"/>
      <w:szCs w:val="20"/>
    </w:rPr>
  </w:style>
  <w:style w:type="paragraph" w:customStyle="1" w:styleId="124">
    <w:name w:val="List Paragraph1"/>
    <w:basedOn w:val="1"/>
    <w:qFormat/>
    <w:uiPriority w:val="0"/>
    <w:pPr>
      <w:ind w:firstLine="420" w:firstLineChars="20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48</Pages>
  <Words>3650</Words>
  <Characters>3974</Characters>
  <Lines>248</Lines>
  <Paragraphs>69</Paragraphs>
  <TotalTime>10</TotalTime>
  <ScaleCrop>false</ScaleCrop>
  <LinksUpToDate>false</LinksUpToDate>
  <CharactersWithSpaces>4138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2023-11-23T09:44:00Z</dcterms:created>
  <dc:creator>费国炎</dc:creator>
  <cp:lastModifiedBy>ZERO</cp:lastModifiedBy>
  <cp:lastPrinted>2024-09-03T07:54:00Z</cp:lastPrinted>
  <dcterms:modified xsi:type="dcterms:W3CDTF">2024-09-29T01:45:25Z</dcterms:modified>
  <dc:title>浙江省政府采购招标文件（范本）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0F4D0A651FA0431C860A9A61694F0BB7_13</vt:lpwstr>
  </property>
</Properties>
</file>