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3C858">
      <w:pPr>
        <w:shd w:val="clear" w:color="auto" w:fill="FFFFFF"/>
        <w:jc w:val="center"/>
        <w:textAlignment w:val="bottom"/>
        <w:rPr>
          <w:rFonts w:ascii="宋体"/>
          <w:b/>
          <w:color w:val="000000" w:themeColor="text1"/>
          <w:kern w:val="0"/>
          <w:sz w:val="52"/>
          <w:szCs w:val="52"/>
          <w:highlight w:val="none"/>
          <w14:textFill>
            <w14:solidFill>
              <w14:schemeClr w14:val="tx1"/>
            </w14:solidFill>
          </w14:textFill>
        </w:rPr>
      </w:pPr>
      <w:bookmarkStart w:id="0" w:name="_Toc32435_WPSOffice_Type1"/>
    </w:p>
    <w:p w14:paraId="15F2FDB0">
      <w:pPr>
        <w:shd w:val="clear" w:color="auto" w:fill="FFFFFF"/>
        <w:spacing w:line="360" w:lineRule="auto"/>
        <w:jc w:val="center"/>
        <w:textAlignment w:val="bottom"/>
        <w:rPr>
          <w:rFonts w:hint="eastAsia" w:ascii="宋体" w:hAnsi="宋体" w:cs="宋体"/>
          <w:b/>
          <w:bCs/>
          <w:color w:val="000000" w:themeColor="text1"/>
          <w:sz w:val="36"/>
          <w:szCs w:val="36"/>
          <w:highlight w:val="none"/>
          <w:lang w:eastAsia="zh-CN"/>
          <w14:textFill>
            <w14:solidFill>
              <w14:schemeClr w14:val="tx1"/>
            </w14:solidFill>
          </w14:textFill>
        </w:rPr>
      </w:pPr>
    </w:p>
    <w:p w14:paraId="023D18C0">
      <w:pPr>
        <w:shd w:val="clear" w:color="auto" w:fill="FFFFFF"/>
        <w:spacing w:line="360" w:lineRule="auto"/>
        <w:jc w:val="center"/>
        <w:textAlignment w:val="bottom"/>
        <w:rPr>
          <w:rFonts w:hint="eastAsia" w:ascii="宋体" w:hAnsi="宋体" w:eastAsia="宋体" w:cs="宋体"/>
          <w:b/>
          <w:bCs/>
          <w:color w:val="000000" w:themeColor="text1"/>
          <w:sz w:val="44"/>
          <w:szCs w:val="44"/>
          <w:highlight w:val="none"/>
          <w:lang w:eastAsia="zh-CN"/>
          <w14:textFill>
            <w14:solidFill>
              <w14:schemeClr w14:val="tx1"/>
            </w14:solidFill>
          </w14:textFill>
        </w:rPr>
      </w:pPr>
      <w:r>
        <w:rPr>
          <w:rFonts w:hint="eastAsia" w:ascii="宋体" w:hAnsi="宋体" w:cs="宋体"/>
          <w:b/>
          <w:bCs/>
          <w:color w:val="000000" w:themeColor="text1"/>
          <w:sz w:val="44"/>
          <w:szCs w:val="44"/>
          <w:highlight w:val="none"/>
          <w:lang w:eastAsia="zh-CN"/>
          <w14:textFill>
            <w14:solidFill>
              <w14:schemeClr w14:val="tx1"/>
            </w14:solidFill>
          </w14:textFill>
        </w:rPr>
        <w:t xml:space="preserve"> </w:t>
      </w:r>
      <w:bookmarkStart w:id="1" w:name="OLE_LINK2"/>
      <w:r>
        <w:rPr>
          <w:rFonts w:hint="eastAsia" w:ascii="宋体" w:hAnsi="宋体" w:cs="宋体"/>
          <w:b/>
          <w:bCs/>
          <w:color w:val="000000" w:themeColor="text1"/>
          <w:sz w:val="44"/>
          <w:szCs w:val="44"/>
          <w:highlight w:val="none"/>
          <w:lang w:eastAsia="zh-CN"/>
          <w14:textFill>
            <w14:solidFill>
              <w14:schemeClr w14:val="tx1"/>
            </w14:solidFill>
          </w14:textFill>
        </w:rPr>
        <w:t>台州方特熊出没水上休闲游乐度假中心（一期）窗帘采购</w:t>
      </w:r>
    </w:p>
    <w:bookmarkEnd w:id="1"/>
    <w:p w14:paraId="75830F40">
      <w:pPr>
        <w:shd w:val="clear" w:color="auto" w:fill="FFFFFF"/>
        <w:spacing w:line="500" w:lineRule="exact"/>
        <w:jc w:val="center"/>
        <w:textAlignment w:val="bottom"/>
        <w:rPr>
          <w:rFonts w:ascii="宋体"/>
          <w:b/>
          <w:color w:val="000000" w:themeColor="text1"/>
          <w:kern w:val="0"/>
          <w:sz w:val="52"/>
          <w:szCs w:val="52"/>
          <w:highlight w:val="none"/>
          <w14:textFill>
            <w14:solidFill>
              <w14:schemeClr w14:val="tx1"/>
            </w14:solidFill>
          </w14:textFill>
        </w:rPr>
      </w:pPr>
    </w:p>
    <w:p w14:paraId="7E679D2C">
      <w:pPr>
        <w:shd w:val="clear" w:color="auto" w:fill="FFFFFF"/>
        <w:spacing w:line="1000" w:lineRule="exact"/>
        <w:jc w:val="center"/>
        <w:textAlignment w:val="bottom"/>
        <w:rPr>
          <w:rFonts w:hint="eastAsia" w:ascii="宋体"/>
          <w:b/>
          <w:color w:val="000000" w:themeColor="text1"/>
          <w:kern w:val="0"/>
          <w:sz w:val="72"/>
          <w:szCs w:val="72"/>
          <w:highlight w:val="none"/>
          <w14:textFill>
            <w14:solidFill>
              <w14:schemeClr w14:val="tx1"/>
            </w14:solidFill>
          </w14:textFill>
        </w:rPr>
      </w:pPr>
    </w:p>
    <w:p w14:paraId="564CAEE4">
      <w:pPr>
        <w:shd w:val="clear" w:color="auto" w:fill="FFFFFF"/>
        <w:spacing w:line="1000" w:lineRule="exact"/>
        <w:jc w:val="center"/>
        <w:textAlignment w:val="bottom"/>
        <w:rPr>
          <w:rFonts w:ascii="宋体" w:hAnsi="宋体" w:cs="宋体"/>
          <w:b/>
          <w:color w:val="000000" w:themeColor="text1"/>
          <w:sz w:val="72"/>
          <w:szCs w:val="72"/>
          <w:highlight w:val="none"/>
          <w14:textFill>
            <w14:solidFill>
              <w14:schemeClr w14:val="tx1"/>
            </w14:solidFill>
          </w14:textFill>
        </w:rPr>
      </w:pPr>
      <w:r>
        <w:rPr>
          <w:rFonts w:hint="eastAsia" w:ascii="宋体"/>
          <w:b/>
          <w:color w:val="000000" w:themeColor="text1"/>
          <w:kern w:val="0"/>
          <w:sz w:val="72"/>
          <w:szCs w:val="72"/>
          <w:highlight w:val="none"/>
          <w14:textFill>
            <w14:solidFill>
              <w14:schemeClr w14:val="tx1"/>
            </w14:solidFill>
          </w14:textFill>
        </w:rPr>
        <w:t>采 购 文 件</w:t>
      </w:r>
    </w:p>
    <w:p w14:paraId="1138D399">
      <w:pPr>
        <w:pStyle w:val="153"/>
        <w:ind w:firstLine="2880" w:firstLineChars="900"/>
        <w:rPr>
          <w:rFonts w:hAnsi="宋体" w:cs="宋体"/>
          <w:bCs/>
          <w:color w:val="000000" w:themeColor="text1"/>
          <w:sz w:val="32"/>
          <w:szCs w:val="32"/>
          <w:highlight w:val="none"/>
          <w14:textFill>
            <w14:solidFill>
              <w14:schemeClr w14:val="tx1"/>
            </w14:solidFill>
          </w14:textFill>
        </w:rPr>
      </w:pPr>
    </w:p>
    <w:p w14:paraId="08708DD1">
      <w:pPr>
        <w:pStyle w:val="153"/>
        <w:rPr>
          <w:rFonts w:ascii="楷体_GB2312" w:hAnsi="宋体" w:eastAsia="楷体_GB2312" w:cs="楷体_GB2312"/>
          <w:b/>
          <w:bCs/>
          <w:color w:val="000000" w:themeColor="text1"/>
          <w:sz w:val="30"/>
          <w:szCs w:val="30"/>
          <w:highlight w:val="none"/>
          <w14:textFill>
            <w14:solidFill>
              <w14:schemeClr w14:val="tx1"/>
            </w14:solidFill>
          </w14:textFill>
        </w:rPr>
      </w:pPr>
    </w:p>
    <w:p w14:paraId="31F04AC5">
      <w:pPr>
        <w:pStyle w:val="153"/>
        <w:rPr>
          <w:rFonts w:ascii="楷体_GB2312" w:hAnsi="宋体" w:eastAsia="楷体_GB2312" w:cs="楷体_GB2312"/>
          <w:b/>
          <w:bCs/>
          <w:color w:val="000000" w:themeColor="text1"/>
          <w:sz w:val="30"/>
          <w:szCs w:val="30"/>
          <w:highlight w:val="none"/>
          <w14:textFill>
            <w14:solidFill>
              <w14:schemeClr w14:val="tx1"/>
            </w14:solidFill>
          </w14:textFill>
        </w:rPr>
      </w:pPr>
    </w:p>
    <w:p w14:paraId="7A54CA98">
      <w:pPr>
        <w:pStyle w:val="12"/>
        <w:rPr>
          <w:color w:val="000000" w:themeColor="text1"/>
          <w:highlight w:val="none"/>
          <w14:textFill>
            <w14:solidFill>
              <w14:schemeClr w14:val="tx1"/>
            </w14:solidFill>
          </w14:textFill>
        </w:rPr>
      </w:pPr>
    </w:p>
    <w:p w14:paraId="0C9E47FA">
      <w:pPr>
        <w:pStyle w:val="13"/>
        <w:ind w:firstLine="210"/>
        <w:rPr>
          <w:color w:val="000000" w:themeColor="text1"/>
          <w:highlight w:val="none"/>
          <w14:textFill>
            <w14:solidFill>
              <w14:schemeClr w14:val="tx1"/>
            </w14:solidFill>
          </w14:textFill>
        </w:rPr>
      </w:pPr>
    </w:p>
    <w:p w14:paraId="0779340F">
      <w:pPr>
        <w:rPr>
          <w:color w:val="000000" w:themeColor="text1"/>
          <w:highlight w:val="none"/>
          <w14:textFill>
            <w14:solidFill>
              <w14:schemeClr w14:val="tx1"/>
            </w14:solidFill>
          </w14:textFill>
        </w:rPr>
      </w:pPr>
    </w:p>
    <w:p w14:paraId="2D09A1C9">
      <w:pPr>
        <w:pStyle w:val="12"/>
        <w:rPr>
          <w:color w:val="000000" w:themeColor="text1"/>
          <w:highlight w:val="none"/>
          <w14:textFill>
            <w14:solidFill>
              <w14:schemeClr w14:val="tx1"/>
            </w14:solidFill>
          </w14:textFill>
        </w:rPr>
      </w:pPr>
    </w:p>
    <w:p w14:paraId="32313284">
      <w:pPr>
        <w:pStyle w:val="13"/>
        <w:ind w:firstLine="210"/>
        <w:rPr>
          <w:color w:val="000000" w:themeColor="text1"/>
          <w:highlight w:val="none"/>
          <w14:textFill>
            <w14:solidFill>
              <w14:schemeClr w14:val="tx1"/>
            </w14:solidFill>
          </w14:textFill>
        </w:rPr>
      </w:pPr>
    </w:p>
    <w:p w14:paraId="026453E2">
      <w:pPr>
        <w:rPr>
          <w:rFonts w:ascii="楷体_GB2312" w:hAnsi="宋体" w:eastAsia="楷体_GB2312" w:cs="楷体_GB2312"/>
          <w:b/>
          <w:bCs/>
          <w:color w:val="000000" w:themeColor="text1"/>
          <w:sz w:val="30"/>
          <w:szCs w:val="30"/>
          <w:highlight w:val="none"/>
          <w14:textFill>
            <w14:solidFill>
              <w14:schemeClr w14:val="tx1"/>
            </w14:solidFill>
          </w14:textFill>
        </w:rPr>
      </w:pPr>
    </w:p>
    <w:p w14:paraId="53309C82">
      <w:pPr>
        <w:pStyle w:val="20"/>
        <w:tabs>
          <w:tab w:val="left" w:pos="1620"/>
        </w:tabs>
        <w:snapToGrid w:val="0"/>
        <w:spacing w:before="0" w:beforeLines="0" w:after="0" w:afterLines="0" w:line="480" w:lineRule="auto"/>
        <w:ind w:firstLine="1120" w:firstLineChars="400"/>
        <w:outlineLvl w:val="0"/>
        <w:rPr>
          <w:rFonts w:hint="default" w:hAnsi="宋体"/>
          <w:b w:val="0"/>
          <w:color w:val="000000" w:themeColor="text1"/>
          <w:sz w:val="28"/>
          <w:highlight w:val="none"/>
          <w14:textFill>
            <w14:solidFill>
              <w14:schemeClr w14:val="tx1"/>
            </w14:solidFill>
          </w14:textFill>
        </w:rPr>
      </w:pPr>
      <w:bookmarkStart w:id="2" w:name="_Toc12417"/>
      <w:r>
        <w:rPr>
          <w:rFonts w:hAnsi="宋体"/>
          <w:b w:val="0"/>
          <w:color w:val="000000" w:themeColor="text1"/>
          <w:sz w:val="28"/>
          <w:highlight w:val="none"/>
          <w14:textFill>
            <w14:solidFill>
              <w14:schemeClr w14:val="tx1"/>
            </w14:solidFill>
          </w14:textFill>
        </w:rPr>
        <w:t>采购单位：</w:t>
      </w:r>
      <w:r>
        <w:rPr>
          <w:rFonts w:hint="eastAsia" w:hAnsi="宋体"/>
          <w:b w:val="0"/>
          <w:color w:val="000000" w:themeColor="text1"/>
          <w:sz w:val="28"/>
          <w:highlight w:val="none"/>
          <w:u w:val="single"/>
          <w:lang w:eastAsia="zh-CN"/>
          <w14:textFill>
            <w14:solidFill>
              <w14:schemeClr w14:val="tx1"/>
            </w14:solidFill>
          </w14:textFill>
        </w:rPr>
        <w:t>台州东游文化旅游发展有限公司</w:t>
      </w:r>
      <w:r>
        <w:rPr>
          <w:rFonts w:hAnsi="宋体"/>
          <w:b w:val="0"/>
          <w:color w:val="000000" w:themeColor="text1"/>
          <w:sz w:val="28"/>
          <w:highlight w:val="none"/>
          <w14:textFill>
            <w14:solidFill>
              <w14:schemeClr w14:val="tx1"/>
            </w14:solidFill>
          </w14:textFill>
        </w:rPr>
        <w:t>（盖章）</w:t>
      </w:r>
      <w:bookmarkEnd w:id="2"/>
    </w:p>
    <w:p w14:paraId="00A58BE4">
      <w:pPr>
        <w:pStyle w:val="20"/>
        <w:tabs>
          <w:tab w:val="left" w:pos="1620"/>
        </w:tabs>
        <w:snapToGrid w:val="0"/>
        <w:spacing w:before="0" w:beforeLines="0" w:after="0" w:afterLines="0" w:line="480" w:lineRule="auto"/>
        <w:ind w:firstLine="1120" w:firstLineChars="400"/>
        <w:outlineLvl w:val="0"/>
        <w:rPr>
          <w:rFonts w:hint="default" w:hAnsi="宋体"/>
          <w:b w:val="0"/>
          <w:color w:val="000000" w:themeColor="text1"/>
          <w:sz w:val="28"/>
          <w:highlight w:val="none"/>
          <w14:textFill>
            <w14:solidFill>
              <w14:schemeClr w14:val="tx1"/>
            </w14:solidFill>
          </w14:textFill>
        </w:rPr>
      </w:pPr>
      <w:bookmarkStart w:id="3" w:name="_Toc24937"/>
      <w:r>
        <w:rPr>
          <w:rFonts w:hAnsi="宋体"/>
          <w:b w:val="0"/>
          <w:color w:val="000000" w:themeColor="text1"/>
          <w:sz w:val="28"/>
          <w:highlight w:val="none"/>
          <w14:textFill>
            <w14:solidFill>
              <w14:schemeClr w14:val="tx1"/>
            </w14:solidFill>
          </w14:textFill>
        </w:rPr>
        <w:t>联系人：</w:t>
      </w:r>
      <w:r>
        <w:rPr>
          <w:rFonts w:hAnsi="宋体"/>
          <w:b w:val="0"/>
          <w:color w:val="000000" w:themeColor="text1"/>
          <w:sz w:val="28"/>
          <w:highlight w:val="none"/>
          <w:u w:val="single"/>
          <w14:textFill>
            <w14:solidFill>
              <w14:schemeClr w14:val="tx1"/>
            </w14:solidFill>
          </w14:textFill>
        </w:rPr>
        <w:t xml:space="preserve"> </w:t>
      </w:r>
      <w:r>
        <w:rPr>
          <w:b w:val="0"/>
          <w:color w:val="000000" w:themeColor="text1"/>
          <w:sz w:val="28"/>
          <w:highlight w:val="none"/>
          <w:u w:val="single"/>
          <w14:textFill>
            <w14:solidFill>
              <w14:schemeClr w14:val="tx1"/>
            </w14:solidFill>
          </w14:textFill>
        </w:rPr>
        <w:t xml:space="preserve"> </w:t>
      </w:r>
      <w:r>
        <w:rPr>
          <w:rFonts w:hint="eastAsia" w:hAnsi="宋体"/>
          <w:b w:val="0"/>
          <w:color w:val="000000" w:themeColor="text1"/>
          <w:sz w:val="28"/>
          <w:highlight w:val="none"/>
          <w:u w:val="single"/>
          <w:lang w:val="en-US" w:eastAsia="zh-CN"/>
          <w14:textFill>
            <w14:solidFill>
              <w14:schemeClr w14:val="tx1"/>
            </w14:solidFill>
          </w14:textFill>
        </w:rPr>
        <w:t>张女士</w:t>
      </w:r>
      <w:r>
        <w:rPr>
          <w:b w:val="0"/>
          <w:color w:val="000000" w:themeColor="text1"/>
          <w:sz w:val="28"/>
          <w:highlight w:val="none"/>
          <w:u w:val="single"/>
          <w14:textFill>
            <w14:solidFill>
              <w14:schemeClr w14:val="tx1"/>
            </w14:solidFill>
          </w14:textFill>
        </w:rPr>
        <w:t xml:space="preserve">  </w:t>
      </w:r>
      <w:r>
        <w:rPr>
          <w:rFonts w:hAnsi="宋体"/>
          <w:b w:val="0"/>
          <w:color w:val="000000" w:themeColor="text1"/>
          <w:sz w:val="28"/>
          <w:highlight w:val="none"/>
          <w14:textFill>
            <w14:solidFill>
              <w14:schemeClr w14:val="tx1"/>
            </w14:solidFill>
          </w14:textFill>
        </w:rPr>
        <w:t xml:space="preserve">  联系电话：</w:t>
      </w:r>
      <w:r>
        <w:rPr>
          <w:b w:val="0"/>
          <w:color w:val="000000" w:themeColor="text1"/>
          <w:sz w:val="28"/>
          <w:highlight w:val="none"/>
          <w:u w:val="single"/>
          <w14:textFill>
            <w14:solidFill>
              <w14:schemeClr w14:val="tx1"/>
            </w14:solidFill>
          </w14:textFill>
        </w:rPr>
        <w:t xml:space="preserve"> </w:t>
      </w:r>
      <w:r>
        <w:rPr>
          <w:rFonts w:hint="eastAsia"/>
          <w:b w:val="0"/>
          <w:color w:val="000000" w:themeColor="text1"/>
          <w:sz w:val="28"/>
          <w:highlight w:val="none"/>
          <w:u w:val="single"/>
          <w:lang w:val="en-US" w:eastAsia="zh-CN"/>
          <w14:textFill>
            <w14:solidFill>
              <w14:schemeClr w14:val="tx1"/>
            </w14:solidFill>
          </w14:textFill>
        </w:rPr>
        <w:t>0576-88909028</w:t>
      </w:r>
      <w:bookmarkEnd w:id="3"/>
      <w:r>
        <w:rPr>
          <w:b w:val="0"/>
          <w:color w:val="000000" w:themeColor="text1"/>
          <w:sz w:val="28"/>
          <w:highlight w:val="none"/>
          <w:u w:val="single"/>
          <w14:textFill>
            <w14:solidFill>
              <w14:schemeClr w14:val="tx1"/>
            </w14:solidFill>
          </w14:textFill>
        </w:rPr>
        <w:t xml:space="preserve"> </w:t>
      </w:r>
      <w:r>
        <w:rPr>
          <w:rFonts w:hAnsi="宋体"/>
          <w:b w:val="0"/>
          <w:color w:val="000000" w:themeColor="text1"/>
          <w:sz w:val="28"/>
          <w:highlight w:val="none"/>
          <w14:textFill>
            <w14:solidFill>
              <w14:schemeClr w14:val="tx1"/>
            </w14:solidFill>
          </w14:textFill>
        </w:rPr>
        <w:t xml:space="preserve">    </w:t>
      </w:r>
    </w:p>
    <w:p w14:paraId="11746B35">
      <w:pPr>
        <w:pStyle w:val="20"/>
        <w:tabs>
          <w:tab w:val="left" w:pos="1620"/>
        </w:tabs>
        <w:snapToGrid w:val="0"/>
        <w:spacing w:before="0" w:beforeLines="0" w:after="0" w:afterLines="0" w:line="480" w:lineRule="auto"/>
        <w:ind w:firstLine="1120" w:firstLineChars="400"/>
        <w:outlineLvl w:val="0"/>
        <w:rPr>
          <w:rFonts w:hint="default" w:hAnsi="宋体"/>
          <w:b w:val="0"/>
          <w:color w:val="000000" w:themeColor="text1"/>
          <w:sz w:val="28"/>
          <w:highlight w:val="none"/>
          <w14:textFill>
            <w14:solidFill>
              <w14:schemeClr w14:val="tx1"/>
            </w14:solidFill>
          </w14:textFill>
        </w:rPr>
      </w:pPr>
      <w:bookmarkStart w:id="4" w:name="_Toc27593"/>
      <w:r>
        <w:rPr>
          <w:rFonts w:hAnsi="宋体"/>
          <w:b w:val="0"/>
          <w:color w:val="000000" w:themeColor="text1"/>
          <w:sz w:val="28"/>
          <w:highlight w:val="none"/>
          <w14:textFill>
            <w14:solidFill>
              <w14:schemeClr w14:val="tx1"/>
            </w14:solidFill>
          </w14:textFill>
        </w:rPr>
        <w:t>代理机构：</w:t>
      </w:r>
      <w:r>
        <w:rPr>
          <w:rFonts w:hint="eastAsia" w:hAnsi="宋体"/>
          <w:b w:val="0"/>
          <w:color w:val="000000" w:themeColor="text1"/>
          <w:sz w:val="28"/>
          <w:highlight w:val="none"/>
          <w:u w:val="single"/>
          <w:lang w:eastAsia="zh-CN"/>
          <w14:textFill>
            <w14:solidFill>
              <w14:schemeClr w14:val="tx1"/>
            </w14:solidFill>
          </w14:textFill>
        </w:rPr>
        <w:t>建经投资咨询有限公司</w:t>
      </w:r>
      <w:r>
        <w:rPr>
          <w:rFonts w:hAnsi="宋体"/>
          <w:b w:val="0"/>
          <w:color w:val="000000" w:themeColor="text1"/>
          <w:sz w:val="28"/>
          <w:highlight w:val="none"/>
          <w14:textFill>
            <w14:solidFill>
              <w14:schemeClr w14:val="tx1"/>
            </w14:solidFill>
          </w14:textFill>
        </w:rPr>
        <w:t>（盖章）</w:t>
      </w:r>
      <w:bookmarkEnd w:id="4"/>
    </w:p>
    <w:p w14:paraId="28DC8733">
      <w:pPr>
        <w:spacing w:line="480" w:lineRule="auto"/>
        <w:ind w:firstLine="1120" w:firstLineChars="400"/>
        <w:rPr>
          <w:rFonts w:hint="default"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代理项目</w:t>
      </w:r>
      <w:r>
        <w:rPr>
          <w:rFonts w:hint="eastAsia" w:ascii="宋体" w:hAnsi="宋体"/>
          <w:color w:val="000000" w:themeColor="text1"/>
          <w:highlight w:val="none"/>
          <w:lang w:val="en-US" w:eastAsia="zh-CN"/>
          <w14:textFill>
            <w14:solidFill>
              <w14:schemeClr w14:val="tx1"/>
            </w14:solidFill>
          </w14:textFill>
        </w:rPr>
        <w:t>联系人</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戴萍</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联系电话：</w:t>
      </w:r>
      <w:r>
        <w:rPr>
          <w:rFonts w:hint="eastAsia" w:ascii="宋体" w:hAnsi="宋体"/>
          <w:color w:val="000000" w:themeColor="text1"/>
          <w:highlight w:val="none"/>
          <w:u w:val="single"/>
          <w:lang w:eastAsia="zh-CN"/>
          <w14:textFill>
            <w14:solidFill>
              <w14:schemeClr w14:val="tx1"/>
            </w14:solidFill>
          </w14:textFill>
        </w:rPr>
        <w:t>0576-</w:t>
      </w:r>
      <w:r>
        <w:rPr>
          <w:rFonts w:hint="eastAsia" w:ascii="宋体" w:hAnsi="宋体"/>
          <w:color w:val="000000" w:themeColor="text1"/>
          <w:highlight w:val="none"/>
          <w:u w:val="single"/>
          <w:lang w:val="en-US" w:eastAsia="zh-CN"/>
          <w14:textFill>
            <w14:solidFill>
              <w14:schemeClr w14:val="tx1"/>
            </w14:solidFill>
          </w14:textFill>
        </w:rPr>
        <w:t>88550073</w:t>
      </w:r>
    </w:p>
    <w:p w14:paraId="42C0061B">
      <w:pPr>
        <w:adjustRightInd w:val="0"/>
        <w:snapToGrid w:val="0"/>
        <w:spacing w:line="480" w:lineRule="auto"/>
        <w:ind w:left="2890" w:leftChars="532" w:hanging="1400" w:hangingChars="500"/>
        <w:rPr>
          <w:rFonts w:ascii="宋体" w:hAnsi="宋体" w:cs="宋体"/>
          <w:color w:val="000000" w:themeColor="text1"/>
          <w:kern w:val="0"/>
          <w:szCs w:val="28"/>
          <w:highlight w:val="none"/>
          <w:lang w:bidi="ar"/>
          <w14:textFill>
            <w14:solidFill>
              <w14:schemeClr w14:val="tx1"/>
            </w14:solidFill>
          </w14:textFill>
        </w:rPr>
      </w:pPr>
    </w:p>
    <w:p w14:paraId="00FEA47B">
      <w:pPr>
        <w:pStyle w:val="12"/>
        <w:rPr>
          <w:color w:val="000000" w:themeColor="text1"/>
          <w:highlight w:val="none"/>
          <w14:textFill>
            <w14:solidFill>
              <w14:schemeClr w14:val="tx1"/>
            </w14:solidFill>
          </w14:textFill>
        </w:rPr>
      </w:pPr>
    </w:p>
    <w:p w14:paraId="34D4DB77">
      <w:pPr>
        <w:adjustRightInd w:val="0"/>
        <w:snapToGrid w:val="0"/>
        <w:spacing w:line="480" w:lineRule="auto"/>
        <w:jc w:val="left"/>
        <w:rPr>
          <w:rFonts w:ascii="宋体" w:hAnsi="宋体" w:cs="宋体"/>
          <w:color w:val="000000" w:themeColor="text1"/>
          <w:kern w:val="0"/>
          <w:szCs w:val="28"/>
          <w:highlight w:val="none"/>
          <w14:textFill>
            <w14:solidFill>
              <w14:schemeClr w14:val="tx1"/>
            </w14:solidFill>
          </w14:textFill>
        </w:rPr>
      </w:pPr>
      <w:r>
        <w:rPr>
          <w:rFonts w:hint="eastAsia" w:ascii="宋体" w:hAnsi="宋体" w:cs="宋体"/>
          <w:color w:val="000000" w:themeColor="text1"/>
          <w:kern w:val="0"/>
          <w:szCs w:val="28"/>
          <w:highlight w:val="none"/>
          <w:lang w:bidi="ar"/>
          <w14:textFill>
            <w14:solidFill>
              <w14:schemeClr w14:val="tx1"/>
            </w14:solidFill>
          </w14:textFill>
        </w:rPr>
        <w:t xml:space="preserve"> </w:t>
      </w:r>
    </w:p>
    <w:p w14:paraId="49B1EB32">
      <w:pPr>
        <w:spacing w:line="360" w:lineRule="auto"/>
        <w:ind w:left="-280" w:leftChars="-100" w:right="-57"/>
        <w:jc w:val="center"/>
        <w:rPr>
          <w:rFonts w:hint="eastAsia" w:ascii="等线" w:hAnsi="等线" w:cs="宋体"/>
          <w:color w:val="000000" w:themeColor="text1"/>
          <w:sz w:val="30"/>
          <w:szCs w:val="30"/>
          <w:highlight w:val="none"/>
          <w:lang w:bidi="ar"/>
          <w14:textFill>
            <w14:solidFill>
              <w14:schemeClr w14:val="tx1"/>
            </w14:solidFill>
          </w14:textFill>
        </w:rPr>
      </w:pPr>
      <w:r>
        <w:rPr>
          <w:rFonts w:hint="eastAsia" w:ascii="等线" w:hAnsi="等线" w:cs="宋体"/>
          <w:color w:val="000000" w:themeColor="text1"/>
          <w:sz w:val="30"/>
          <w:szCs w:val="30"/>
          <w:highlight w:val="none"/>
          <w:lang w:bidi="ar"/>
          <w14:textFill>
            <w14:solidFill>
              <w14:schemeClr w14:val="tx1"/>
            </w14:solidFill>
          </w14:textFill>
        </w:rPr>
        <w:t>二〇二</w:t>
      </w:r>
      <w:r>
        <w:rPr>
          <w:rFonts w:hint="eastAsia" w:ascii="等线" w:hAnsi="等线" w:cs="宋体"/>
          <w:color w:val="000000" w:themeColor="text1"/>
          <w:sz w:val="30"/>
          <w:szCs w:val="30"/>
          <w:highlight w:val="none"/>
          <w:lang w:val="en-US" w:eastAsia="zh-CN" w:bidi="ar"/>
          <w14:textFill>
            <w14:solidFill>
              <w14:schemeClr w14:val="tx1"/>
            </w14:solidFill>
          </w14:textFill>
        </w:rPr>
        <w:t>四</w:t>
      </w:r>
      <w:r>
        <w:rPr>
          <w:rFonts w:hint="eastAsia" w:ascii="等线" w:hAnsi="等线" w:cs="宋体"/>
          <w:color w:val="000000" w:themeColor="text1"/>
          <w:sz w:val="30"/>
          <w:szCs w:val="30"/>
          <w:highlight w:val="none"/>
          <w:lang w:bidi="ar"/>
          <w14:textFill>
            <w14:solidFill>
              <w14:schemeClr w14:val="tx1"/>
            </w14:solidFill>
          </w14:textFill>
        </w:rPr>
        <w:t>年</w:t>
      </w:r>
      <w:r>
        <w:rPr>
          <w:rFonts w:hint="eastAsia" w:ascii="等线" w:hAnsi="等线" w:cs="宋体"/>
          <w:color w:val="000000" w:themeColor="text1"/>
          <w:sz w:val="30"/>
          <w:szCs w:val="30"/>
          <w:highlight w:val="none"/>
          <w:lang w:val="en-US" w:eastAsia="zh-CN" w:bidi="ar"/>
          <w14:textFill>
            <w14:solidFill>
              <w14:schemeClr w14:val="tx1"/>
            </w14:solidFill>
          </w14:textFill>
        </w:rPr>
        <w:t>十</w:t>
      </w:r>
      <w:r>
        <w:rPr>
          <w:rFonts w:hint="eastAsia" w:ascii="等线" w:hAnsi="等线" w:cs="宋体"/>
          <w:color w:val="000000" w:themeColor="text1"/>
          <w:sz w:val="30"/>
          <w:szCs w:val="30"/>
          <w:highlight w:val="none"/>
          <w:lang w:bidi="ar"/>
          <w14:textFill>
            <w14:solidFill>
              <w14:schemeClr w14:val="tx1"/>
            </w14:solidFill>
          </w14:textFill>
        </w:rPr>
        <w:t>月</w:t>
      </w:r>
    </w:p>
    <w:bookmarkEnd w:id="0"/>
    <w:p w14:paraId="08DFDFA0">
      <w:pPr>
        <w:pStyle w:val="20"/>
        <w:snapToGrid w:val="0"/>
        <w:spacing w:before="120" w:beforeLines="0" w:after="120" w:afterLines="0" w:line="240" w:lineRule="auto"/>
        <w:outlineLvl w:val="9"/>
        <w:rPr>
          <w:rFonts w:hint="default" w:hAnsi="宋体" w:cs="宋体"/>
          <w:color w:val="000000" w:themeColor="text1"/>
          <w:sz w:val="28"/>
          <w:szCs w:val="28"/>
          <w:highlight w:val="none"/>
          <w14:textFill>
            <w14:solidFill>
              <w14:schemeClr w14:val="tx1"/>
            </w14:solidFill>
          </w14:textFill>
        </w:rPr>
      </w:pPr>
      <w:bookmarkStart w:id="5" w:name="_Toc10354_WPSOffice_Level1"/>
    </w:p>
    <w:p w14:paraId="45422661">
      <w:pPr>
        <w:pStyle w:val="20"/>
        <w:snapToGrid w:val="0"/>
        <w:spacing w:before="120" w:beforeLines="0" w:after="120" w:afterLines="0" w:line="240" w:lineRule="auto"/>
        <w:outlineLvl w:val="9"/>
        <w:rPr>
          <w:rFonts w:hint="default" w:hAnsi="宋体" w:cs="宋体"/>
          <w:color w:val="000000" w:themeColor="text1"/>
          <w:sz w:val="28"/>
          <w:szCs w:val="28"/>
          <w:highlight w:val="none"/>
          <w14:textFill>
            <w14:solidFill>
              <w14:schemeClr w14:val="tx1"/>
            </w14:solidFill>
          </w14:textFill>
        </w:rPr>
      </w:pPr>
    </w:p>
    <w:sdt>
      <w:sdtPr>
        <w:rPr>
          <w:rFonts w:ascii="宋体" w:hAnsi="宋体" w:eastAsia="宋体" w:cs="Times New Roman"/>
          <w:kern w:val="2"/>
          <w:sz w:val="52"/>
          <w:szCs w:val="52"/>
          <w:highlight w:val="none"/>
          <w:lang w:val="en-US" w:eastAsia="zh-CN" w:bidi="ar-SA"/>
        </w:rPr>
        <w:id w:val="147462105"/>
        <w15:color w:val="DBDBDB"/>
        <w:docPartObj>
          <w:docPartGallery w:val="Table of Contents"/>
          <w:docPartUnique/>
        </w:docPartObj>
      </w:sdtPr>
      <w:sdtEndPr>
        <w:rPr>
          <w:rFonts w:hint="default" w:ascii="宋体" w:hAnsi="宋体" w:eastAsia="宋体" w:cs="宋体"/>
          <w:b/>
          <w:color w:val="000000" w:themeColor="text1"/>
          <w:kern w:val="2"/>
          <w:sz w:val="24"/>
          <w:szCs w:val="30"/>
          <w:highlight w:val="none"/>
          <w:lang w:val="en-US" w:eastAsia="zh-CN" w:bidi="ar-SA"/>
          <w14:textFill>
            <w14:solidFill>
              <w14:schemeClr w14:val="tx1"/>
            </w14:solidFill>
          </w14:textFill>
        </w:rPr>
      </w:sdtEndPr>
      <w:sdtContent>
        <w:p w14:paraId="3C98F8F3">
          <w:pPr>
            <w:spacing w:before="0" w:beforeLines="0" w:after="0" w:afterLines="0" w:line="240" w:lineRule="auto"/>
            <w:ind w:left="0" w:leftChars="0" w:right="0" w:rightChars="0" w:firstLine="0" w:firstLineChars="0"/>
            <w:jc w:val="center"/>
            <w:rPr>
              <w:rFonts w:ascii="宋体" w:hAnsi="宋体" w:eastAsia="宋体"/>
              <w:sz w:val="52"/>
              <w:szCs w:val="52"/>
              <w:highlight w:val="none"/>
            </w:rPr>
          </w:pPr>
          <w:r>
            <w:rPr>
              <w:rFonts w:ascii="宋体" w:hAnsi="宋体" w:eastAsia="宋体"/>
              <w:sz w:val="52"/>
              <w:szCs w:val="52"/>
              <w:highlight w:val="none"/>
            </w:rPr>
            <w:t>目录</w:t>
          </w:r>
        </w:p>
        <w:p w14:paraId="55BDAAB4">
          <w:pPr>
            <w:spacing w:before="0" w:beforeLines="0" w:after="0" w:afterLines="0" w:line="240" w:lineRule="auto"/>
            <w:ind w:left="0" w:leftChars="0" w:right="0" w:rightChars="0" w:firstLine="0" w:firstLineChars="0"/>
            <w:jc w:val="center"/>
            <w:rPr>
              <w:rFonts w:ascii="宋体" w:hAnsi="宋体" w:eastAsia="宋体"/>
              <w:sz w:val="52"/>
              <w:szCs w:val="52"/>
              <w:highlight w:val="none"/>
            </w:rPr>
          </w:pPr>
        </w:p>
        <w:p w14:paraId="2378FE45">
          <w:pPr>
            <w:pStyle w:val="101"/>
            <w:tabs>
              <w:tab w:val="right" w:leader="dot" w:pos="8732"/>
            </w:tabs>
            <w:rPr>
              <w:highlight w:val="none"/>
            </w:rPr>
          </w:pPr>
          <w:r>
            <w:rPr>
              <w:rFonts w:hint="default" w:hAnsi="宋体" w:cs="宋体"/>
              <w:color w:val="000000" w:themeColor="text1"/>
              <w:sz w:val="30"/>
              <w:szCs w:val="30"/>
              <w:highlight w:val="none"/>
              <w14:textFill>
                <w14:solidFill>
                  <w14:schemeClr w14:val="tx1"/>
                </w14:solidFill>
              </w14:textFill>
            </w:rPr>
            <w:fldChar w:fldCharType="begin"/>
          </w:r>
          <w:r>
            <w:rPr>
              <w:rFonts w:hint="default" w:hAnsi="宋体" w:cs="宋体"/>
              <w:color w:val="000000" w:themeColor="text1"/>
              <w:sz w:val="30"/>
              <w:szCs w:val="30"/>
              <w:highlight w:val="none"/>
              <w14:textFill>
                <w14:solidFill>
                  <w14:schemeClr w14:val="tx1"/>
                </w14:solidFill>
              </w14:textFill>
            </w:rPr>
            <w:instrText xml:space="preserve">TOC \o "1-1" \h \u </w:instrText>
          </w:r>
          <w:r>
            <w:rPr>
              <w:rFonts w:hint="default" w:hAnsi="宋体" w:cs="宋体"/>
              <w:color w:val="000000" w:themeColor="text1"/>
              <w:sz w:val="30"/>
              <w:szCs w:val="30"/>
              <w:highlight w:val="none"/>
              <w14:textFill>
                <w14:solidFill>
                  <w14:schemeClr w14:val="tx1"/>
                </w14:solidFill>
              </w14:textFill>
            </w:rPr>
            <w:fldChar w:fldCharType="separate"/>
          </w:r>
        </w:p>
        <w:p w14:paraId="7CC8B3FC">
          <w:pPr>
            <w:pStyle w:val="101"/>
            <w:keepNext w:val="0"/>
            <w:keepLines w:val="0"/>
            <w:pageBreakBefore w:val="0"/>
            <w:widowControl/>
            <w:tabs>
              <w:tab w:val="right" w:leader="dot" w:pos="8732"/>
            </w:tabs>
            <w:kinsoku/>
            <w:wordWrap/>
            <w:overflowPunct/>
            <w:topLinePunct w:val="0"/>
            <w:autoSpaceDE/>
            <w:autoSpaceDN/>
            <w:bidi w:val="0"/>
            <w:adjustRightInd/>
            <w:snapToGrid/>
            <w:spacing w:before="157" w:beforeLines="50" w:after="157" w:afterLines="50" w:line="480" w:lineRule="auto"/>
            <w:textAlignment w:val="auto"/>
            <w:rPr>
              <w:sz w:val="32"/>
              <w:szCs w:val="32"/>
              <w:highlight w:val="none"/>
            </w:rPr>
          </w:pPr>
          <w:r>
            <w:rPr>
              <w:rFonts w:hint="default" w:hAnsi="宋体" w:cs="宋体"/>
              <w:color w:val="000000" w:themeColor="text1"/>
              <w:sz w:val="32"/>
              <w:szCs w:val="32"/>
              <w:highlight w:val="none"/>
              <w14:textFill>
                <w14:solidFill>
                  <w14:schemeClr w14:val="tx1"/>
                </w14:solidFill>
              </w14:textFill>
            </w:rPr>
            <w:fldChar w:fldCharType="begin"/>
          </w:r>
          <w:r>
            <w:rPr>
              <w:rFonts w:hint="default" w:hAnsi="宋体" w:cs="宋体"/>
              <w:sz w:val="32"/>
              <w:szCs w:val="32"/>
              <w:highlight w:val="none"/>
            </w:rPr>
            <w:instrText xml:space="preserve"> HYPERLINK \l _Toc14482 </w:instrText>
          </w:r>
          <w:r>
            <w:rPr>
              <w:rFonts w:hint="default" w:hAnsi="宋体" w:cs="宋体"/>
              <w:sz w:val="32"/>
              <w:szCs w:val="32"/>
              <w:highlight w:val="none"/>
            </w:rPr>
            <w:fldChar w:fldCharType="separate"/>
          </w:r>
          <w:r>
            <w:rPr>
              <w:rFonts w:hAnsi="宋体" w:cs="宋体"/>
              <w:sz w:val="32"/>
              <w:szCs w:val="32"/>
              <w:highlight w:val="none"/>
            </w:rPr>
            <w:t>第一章 公开招标采购公告</w:t>
          </w:r>
          <w:r>
            <w:rPr>
              <w:sz w:val="32"/>
              <w:szCs w:val="32"/>
              <w:highlight w:val="none"/>
            </w:rPr>
            <w:tab/>
          </w:r>
          <w:r>
            <w:rPr>
              <w:sz w:val="32"/>
              <w:szCs w:val="32"/>
              <w:highlight w:val="none"/>
            </w:rPr>
            <w:fldChar w:fldCharType="begin"/>
          </w:r>
          <w:r>
            <w:rPr>
              <w:sz w:val="32"/>
              <w:szCs w:val="32"/>
              <w:highlight w:val="none"/>
            </w:rPr>
            <w:instrText xml:space="preserve"> PAGEREF _Toc14482 \h </w:instrText>
          </w:r>
          <w:r>
            <w:rPr>
              <w:sz w:val="32"/>
              <w:szCs w:val="32"/>
              <w:highlight w:val="none"/>
            </w:rPr>
            <w:fldChar w:fldCharType="separate"/>
          </w:r>
          <w:r>
            <w:rPr>
              <w:sz w:val="32"/>
              <w:szCs w:val="32"/>
              <w:highlight w:val="none"/>
            </w:rPr>
            <w:t>1</w:t>
          </w:r>
          <w:r>
            <w:rPr>
              <w:sz w:val="32"/>
              <w:szCs w:val="32"/>
              <w:highlight w:val="none"/>
            </w:rPr>
            <w:fldChar w:fldCharType="end"/>
          </w:r>
          <w:r>
            <w:rPr>
              <w:rFonts w:hint="default" w:hAnsi="宋体" w:cs="宋体"/>
              <w:color w:val="000000" w:themeColor="text1"/>
              <w:sz w:val="32"/>
              <w:szCs w:val="32"/>
              <w:highlight w:val="none"/>
              <w14:textFill>
                <w14:solidFill>
                  <w14:schemeClr w14:val="tx1"/>
                </w14:solidFill>
              </w14:textFill>
            </w:rPr>
            <w:fldChar w:fldCharType="end"/>
          </w:r>
        </w:p>
        <w:p w14:paraId="5D458B1B">
          <w:pPr>
            <w:pStyle w:val="101"/>
            <w:keepNext w:val="0"/>
            <w:keepLines w:val="0"/>
            <w:pageBreakBefore w:val="0"/>
            <w:widowControl/>
            <w:tabs>
              <w:tab w:val="right" w:leader="dot" w:pos="8732"/>
            </w:tabs>
            <w:kinsoku/>
            <w:wordWrap/>
            <w:overflowPunct/>
            <w:topLinePunct w:val="0"/>
            <w:autoSpaceDE/>
            <w:autoSpaceDN/>
            <w:bidi w:val="0"/>
            <w:adjustRightInd/>
            <w:snapToGrid/>
            <w:spacing w:before="157" w:beforeLines="50" w:after="157" w:afterLines="50" w:line="480" w:lineRule="auto"/>
            <w:textAlignment w:val="auto"/>
            <w:rPr>
              <w:sz w:val="32"/>
              <w:szCs w:val="32"/>
              <w:highlight w:val="none"/>
            </w:rPr>
          </w:pPr>
          <w:r>
            <w:rPr>
              <w:rFonts w:hint="default" w:hAnsi="宋体" w:cs="宋体"/>
              <w:color w:val="000000" w:themeColor="text1"/>
              <w:sz w:val="32"/>
              <w:szCs w:val="32"/>
              <w:highlight w:val="none"/>
              <w14:textFill>
                <w14:solidFill>
                  <w14:schemeClr w14:val="tx1"/>
                </w14:solidFill>
              </w14:textFill>
            </w:rPr>
            <w:fldChar w:fldCharType="begin"/>
          </w:r>
          <w:r>
            <w:rPr>
              <w:rFonts w:hint="default" w:hAnsi="宋体" w:cs="宋体"/>
              <w:sz w:val="32"/>
              <w:szCs w:val="32"/>
              <w:highlight w:val="none"/>
            </w:rPr>
            <w:instrText xml:space="preserve"> HYPERLINK \l _Toc1257 </w:instrText>
          </w:r>
          <w:r>
            <w:rPr>
              <w:rFonts w:hint="default" w:hAnsi="宋体" w:cs="宋体"/>
              <w:sz w:val="32"/>
              <w:szCs w:val="32"/>
              <w:highlight w:val="none"/>
            </w:rPr>
            <w:fldChar w:fldCharType="separate"/>
          </w:r>
          <w:r>
            <w:rPr>
              <w:rFonts w:hAnsi="宋体" w:cs="宋体"/>
              <w:sz w:val="32"/>
              <w:szCs w:val="32"/>
              <w:highlight w:val="none"/>
            </w:rPr>
            <w:t xml:space="preserve">第二章 </w:t>
          </w:r>
          <w:r>
            <w:rPr>
              <w:rFonts w:hint="eastAsia" w:hAnsi="宋体" w:cs="宋体"/>
              <w:sz w:val="32"/>
              <w:szCs w:val="32"/>
              <w:highlight w:val="none"/>
              <w:lang w:val="en-US" w:eastAsia="zh-CN"/>
            </w:rPr>
            <w:t>招标</w:t>
          </w:r>
          <w:r>
            <w:rPr>
              <w:rFonts w:hAnsi="宋体" w:cs="宋体"/>
              <w:sz w:val="32"/>
              <w:szCs w:val="32"/>
              <w:highlight w:val="none"/>
            </w:rPr>
            <w:t>需求</w:t>
          </w:r>
          <w:r>
            <w:rPr>
              <w:sz w:val="32"/>
              <w:szCs w:val="32"/>
              <w:highlight w:val="none"/>
            </w:rPr>
            <w:tab/>
          </w:r>
          <w:r>
            <w:rPr>
              <w:sz w:val="32"/>
              <w:szCs w:val="32"/>
              <w:highlight w:val="none"/>
            </w:rPr>
            <w:fldChar w:fldCharType="begin"/>
          </w:r>
          <w:r>
            <w:rPr>
              <w:sz w:val="32"/>
              <w:szCs w:val="32"/>
              <w:highlight w:val="none"/>
            </w:rPr>
            <w:instrText xml:space="preserve"> PAGEREF _Toc1257 \h </w:instrText>
          </w:r>
          <w:r>
            <w:rPr>
              <w:sz w:val="32"/>
              <w:szCs w:val="32"/>
              <w:highlight w:val="none"/>
            </w:rPr>
            <w:fldChar w:fldCharType="separate"/>
          </w:r>
          <w:r>
            <w:rPr>
              <w:sz w:val="32"/>
              <w:szCs w:val="32"/>
              <w:highlight w:val="none"/>
            </w:rPr>
            <w:t>5</w:t>
          </w:r>
          <w:r>
            <w:rPr>
              <w:sz w:val="32"/>
              <w:szCs w:val="32"/>
              <w:highlight w:val="none"/>
            </w:rPr>
            <w:fldChar w:fldCharType="end"/>
          </w:r>
          <w:r>
            <w:rPr>
              <w:rFonts w:hint="default" w:hAnsi="宋体" w:cs="宋体"/>
              <w:color w:val="000000" w:themeColor="text1"/>
              <w:sz w:val="32"/>
              <w:szCs w:val="32"/>
              <w:highlight w:val="none"/>
              <w14:textFill>
                <w14:solidFill>
                  <w14:schemeClr w14:val="tx1"/>
                </w14:solidFill>
              </w14:textFill>
            </w:rPr>
            <w:fldChar w:fldCharType="end"/>
          </w:r>
        </w:p>
        <w:p w14:paraId="356A2B65">
          <w:pPr>
            <w:pStyle w:val="101"/>
            <w:keepNext w:val="0"/>
            <w:keepLines w:val="0"/>
            <w:pageBreakBefore w:val="0"/>
            <w:widowControl/>
            <w:tabs>
              <w:tab w:val="right" w:leader="dot" w:pos="8732"/>
            </w:tabs>
            <w:kinsoku/>
            <w:wordWrap/>
            <w:overflowPunct/>
            <w:topLinePunct w:val="0"/>
            <w:autoSpaceDE/>
            <w:autoSpaceDN/>
            <w:bidi w:val="0"/>
            <w:adjustRightInd/>
            <w:snapToGrid/>
            <w:spacing w:before="157" w:beforeLines="50" w:after="157" w:afterLines="50" w:line="480" w:lineRule="auto"/>
            <w:textAlignment w:val="auto"/>
            <w:rPr>
              <w:sz w:val="32"/>
              <w:szCs w:val="32"/>
              <w:highlight w:val="none"/>
            </w:rPr>
          </w:pPr>
          <w:r>
            <w:rPr>
              <w:rFonts w:hint="default" w:hAnsi="宋体" w:cs="宋体"/>
              <w:color w:val="000000" w:themeColor="text1"/>
              <w:sz w:val="32"/>
              <w:szCs w:val="32"/>
              <w:highlight w:val="none"/>
              <w14:textFill>
                <w14:solidFill>
                  <w14:schemeClr w14:val="tx1"/>
                </w14:solidFill>
              </w14:textFill>
            </w:rPr>
            <w:fldChar w:fldCharType="begin"/>
          </w:r>
          <w:r>
            <w:rPr>
              <w:rFonts w:hint="default" w:hAnsi="宋体" w:cs="宋体"/>
              <w:sz w:val="32"/>
              <w:szCs w:val="32"/>
              <w:highlight w:val="none"/>
            </w:rPr>
            <w:instrText xml:space="preserve"> HYPERLINK \l _Toc25734 </w:instrText>
          </w:r>
          <w:r>
            <w:rPr>
              <w:rFonts w:hint="default" w:hAnsi="宋体" w:cs="宋体"/>
              <w:sz w:val="32"/>
              <w:szCs w:val="32"/>
              <w:highlight w:val="none"/>
            </w:rPr>
            <w:fldChar w:fldCharType="separate"/>
          </w:r>
          <w:r>
            <w:rPr>
              <w:rFonts w:ascii="宋体" w:hAnsi="宋体"/>
              <w:bCs/>
              <w:sz w:val="32"/>
              <w:szCs w:val="32"/>
              <w:highlight w:val="none"/>
            </w:rPr>
            <w:t>第三章 投标人须知</w:t>
          </w:r>
          <w:r>
            <w:rPr>
              <w:sz w:val="32"/>
              <w:szCs w:val="32"/>
              <w:highlight w:val="none"/>
            </w:rPr>
            <w:tab/>
          </w:r>
          <w:r>
            <w:rPr>
              <w:sz w:val="32"/>
              <w:szCs w:val="32"/>
              <w:highlight w:val="none"/>
            </w:rPr>
            <w:fldChar w:fldCharType="begin"/>
          </w:r>
          <w:r>
            <w:rPr>
              <w:sz w:val="32"/>
              <w:szCs w:val="32"/>
              <w:highlight w:val="none"/>
            </w:rPr>
            <w:instrText xml:space="preserve"> PAGEREF _Toc25734 \h </w:instrText>
          </w:r>
          <w:r>
            <w:rPr>
              <w:sz w:val="32"/>
              <w:szCs w:val="32"/>
              <w:highlight w:val="none"/>
            </w:rPr>
            <w:fldChar w:fldCharType="separate"/>
          </w:r>
          <w:r>
            <w:rPr>
              <w:sz w:val="32"/>
              <w:szCs w:val="32"/>
              <w:highlight w:val="none"/>
            </w:rPr>
            <w:t>12</w:t>
          </w:r>
          <w:r>
            <w:rPr>
              <w:sz w:val="32"/>
              <w:szCs w:val="32"/>
              <w:highlight w:val="none"/>
            </w:rPr>
            <w:fldChar w:fldCharType="end"/>
          </w:r>
          <w:r>
            <w:rPr>
              <w:rFonts w:hint="default" w:hAnsi="宋体" w:cs="宋体"/>
              <w:color w:val="000000" w:themeColor="text1"/>
              <w:sz w:val="32"/>
              <w:szCs w:val="32"/>
              <w:highlight w:val="none"/>
              <w14:textFill>
                <w14:solidFill>
                  <w14:schemeClr w14:val="tx1"/>
                </w14:solidFill>
              </w14:textFill>
            </w:rPr>
            <w:fldChar w:fldCharType="end"/>
          </w:r>
        </w:p>
        <w:p w14:paraId="18E7CD9A">
          <w:pPr>
            <w:pStyle w:val="101"/>
            <w:keepNext w:val="0"/>
            <w:keepLines w:val="0"/>
            <w:pageBreakBefore w:val="0"/>
            <w:widowControl/>
            <w:tabs>
              <w:tab w:val="right" w:leader="dot" w:pos="8732"/>
            </w:tabs>
            <w:kinsoku/>
            <w:wordWrap/>
            <w:overflowPunct/>
            <w:topLinePunct w:val="0"/>
            <w:autoSpaceDE/>
            <w:autoSpaceDN/>
            <w:bidi w:val="0"/>
            <w:adjustRightInd/>
            <w:snapToGrid/>
            <w:spacing w:before="157" w:beforeLines="50" w:after="157" w:afterLines="50" w:line="480" w:lineRule="auto"/>
            <w:textAlignment w:val="auto"/>
            <w:rPr>
              <w:sz w:val="32"/>
              <w:szCs w:val="32"/>
              <w:highlight w:val="none"/>
            </w:rPr>
          </w:pPr>
          <w:r>
            <w:rPr>
              <w:rFonts w:hint="default" w:hAnsi="宋体" w:cs="宋体"/>
              <w:color w:val="000000" w:themeColor="text1"/>
              <w:sz w:val="32"/>
              <w:szCs w:val="32"/>
              <w:highlight w:val="none"/>
              <w14:textFill>
                <w14:solidFill>
                  <w14:schemeClr w14:val="tx1"/>
                </w14:solidFill>
              </w14:textFill>
            </w:rPr>
            <w:fldChar w:fldCharType="begin"/>
          </w:r>
          <w:r>
            <w:rPr>
              <w:rFonts w:hint="default" w:hAnsi="宋体" w:cs="宋体"/>
              <w:sz w:val="32"/>
              <w:szCs w:val="32"/>
              <w:highlight w:val="none"/>
            </w:rPr>
            <w:instrText xml:space="preserve"> HYPERLINK \l _Toc4790 </w:instrText>
          </w:r>
          <w:r>
            <w:rPr>
              <w:rFonts w:hint="default" w:hAnsi="宋体" w:cs="宋体"/>
              <w:sz w:val="32"/>
              <w:szCs w:val="32"/>
              <w:highlight w:val="none"/>
            </w:rPr>
            <w:fldChar w:fldCharType="separate"/>
          </w:r>
          <w:r>
            <w:rPr>
              <w:rFonts w:hAnsi="宋体"/>
              <w:sz w:val="32"/>
              <w:szCs w:val="32"/>
              <w:highlight w:val="none"/>
            </w:rPr>
            <w:t>第四章 评标办法及评分标准</w:t>
          </w:r>
          <w:r>
            <w:rPr>
              <w:sz w:val="32"/>
              <w:szCs w:val="32"/>
              <w:highlight w:val="none"/>
            </w:rPr>
            <w:tab/>
          </w:r>
          <w:r>
            <w:rPr>
              <w:sz w:val="32"/>
              <w:szCs w:val="32"/>
              <w:highlight w:val="none"/>
            </w:rPr>
            <w:fldChar w:fldCharType="begin"/>
          </w:r>
          <w:r>
            <w:rPr>
              <w:sz w:val="32"/>
              <w:szCs w:val="32"/>
              <w:highlight w:val="none"/>
            </w:rPr>
            <w:instrText xml:space="preserve"> PAGEREF _Toc4790 \h </w:instrText>
          </w:r>
          <w:r>
            <w:rPr>
              <w:sz w:val="32"/>
              <w:szCs w:val="32"/>
              <w:highlight w:val="none"/>
            </w:rPr>
            <w:fldChar w:fldCharType="separate"/>
          </w:r>
          <w:r>
            <w:rPr>
              <w:sz w:val="32"/>
              <w:szCs w:val="32"/>
              <w:highlight w:val="none"/>
            </w:rPr>
            <w:t>24</w:t>
          </w:r>
          <w:r>
            <w:rPr>
              <w:sz w:val="32"/>
              <w:szCs w:val="32"/>
              <w:highlight w:val="none"/>
            </w:rPr>
            <w:fldChar w:fldCharType="end"/>
          </w:r>
          <w:r>
            <w:rPr>
              <w:rFonts w:hint="default" w:hAnsi="宋体" w:cs="宋体"/>
              <w:color w:val="000000" w:themeColor="text1"/>
              <w:sz w:val="32"/>
              <w:szCs w:val="32"/>
              <w:highlight w:val="none"/>
              <w14:textFill>
                <w14:solidFill>
                  <w14:schemeClr w14:val="tx1"/>
                </w14:solidFill>
              </w14:textFill>
            </w:rPr>
            <w:fldChar w:fldCharType="end"/>
          </w:r>
        </w:p>
        <w:p w14:paraId="6421A2C3">
          <w:pPr>
            <w:pStyle w:val="101"/>
            <w:keepNext w:val="0"/>
            <w:keepLines w:val="0"/>
            <w:pageBreakBefore w:val="0"/>
            <w:widowControl/>
            <w:tabs>
              <w:tab w:val="right" w:leader="dot" w:pos="8732"/>
            </w:tabs>
            <w:kinsoku/>
            <w:wordWrap/>
            <w:overflowPunct/>
            <w:topLinePunct w:val="0"/>
            <w:autoSpaceDE/>
            <w:autoSpaceDN/>
            <w:bidi w:val="0"/>
            <w:adjustRightInd/>
            <w:snapToGrid/>
            <w:spacing w:before="157" w:beforeLines="50" w:after="157" w:afterLines="50" w:line="480" w:lineRule="auto"/>
            <w:textAlignment w:val="auto"/>
            <w:rPr>
              <w:sz w:val="32"/>
              <w:szCs w:val="32"/>
              <w:highlight w:val="none"/>
            </w:rPr>
          </w:pPr>
          <w:r>
            <w:rPr>
              <w:rFonts w:hint="default" w:hAnsi="宋体" w:cs="宋体"/>
              <w:color w:val="000000" w:themeColor="text1"/>
              <w:sz w:val="32"/>
              <w:szCs w:val="32"/>
              <w:highlight w:val="none"/>
              <w14:textFill>
                <w14:solidFill>
                  <w14:schemeClr w14:val="tx1"/>
                </w14:solidFill>
              </w14:textFill>
            </w:rPr>
            <w:fldChar w:fldCharType="begin"/>
          </w:r>
          <w:r>
            <w:rPr>
              <w:rFonts w:hint="default" w:hAnsi="宋体" w:cs="宋体"/>
              <w:sz w:val="32"/>
              <w:szCs w:val="32"/>
              <w:highlight w:val="none"/>
            </w:rPr>
            <w:instrText xml:space="preserve"> HYPERLINK \l _Toc17728 </w:instrText>
          </w:r>
          <w:r>
            <w:rPr>
              <w:rFonts w:hint="default" w:hAnsi="宋体" w:cs="宋体"/>
              <w:sz w:val="32"/>
              <w:szCs w:val="32"/>
              <w:highlight w:val="none"/>
            </w:rPr>
            <w:fldChar w:fldCharType="separate"/>
          </w:r>
          <w:r>
            <w:rPr>
              <w:rFonts w:hint="eastAsia" w:ascii="宋体" w:hAnsi="宋体" w:cs="宋体"/>
              <w:bCs/>
              <w:sz w:val="32"/>
              <w:szCs w:val="32"/>
              <w:highlight w:val="none"/>
            </w:rPr>
            <w:t>第五章 合同主要条款</w:t>
          </w:r>
          <w:r>
            <w:rPr>
              <w:sz w:val="32"/>
              <w:szCs w:val="32"/>
              <w:highlight w:val="none"/>
            </w:rPr>
            <w:tab/>
          </w:r>
          <w:r>
            <w:rPr>
              <w:sz w:val="32"/>
              <w:szCs w:val="32"/>
              <w:highlight w:val="none"/>
            </w:rPr>
            <w:fldChar w:fldCharType="begin"/>
          </w:r>
          <w:r>
            <w:rPr>
              <w:sz w:val="32"/>
              <w:szCs w:val="32"/>
              <w:highlight w:val="none"/>
            </w:rPr>
            <w:instrText xml:space="preserve"> PAGEREF _Toc17728 \h </w:instrText>
          </w:r>
          <w:r>
            <w:rPr>
              <w:sz w:val="32"/>
              <w:szCs w:val="32"/>
              <w:highlight w:val="none"/>
            </w:rPr>
            <w:fldChar w:fldCharType="separate"/>
          </w:r>
          <w:r>
            <w:rPr>
              <w:sz w:val="32"/>
              <w:szCs w:val="32"/>
              <w:highlight w:val="none"/>
            </w:rPr>
            <w:t>27</w:t>
          </w:r>
          <w:r>
            <w:rPr>
              <w:sz w:val="32"/>
              <w:szCs w:val="32"/>
              <w:highlight w:val="none"/>
            </w:rPr>
            <w:fldChar w:fldCharType="end"/>
          </w:r>
          <w:r>
            <w:rPr>
              <w:rFonts w:hint="default" w:hAnsi="宋体" w:cs="宋体"/>
              <w:color w:val="000000" w:themeColor="text1"/>
              <w:sz w:val="32"/>
              <w:szCs w:val="32"/>
              <w:highlight w:val="none"/>
              <w14:textFill>
                <w14:solidFill>
                  <w14:schemeClr w14:val="tx1"/>
                </w14:solidFill>
              </w14:textFill>
            </w:rPr>
            <w:fldChar w:fldCharType="end"/>
          </w:r>
        </w:p>
        <w:p w14:paraId="45BF5E6D">
          <w:pPr>
            <w:pStyle w:val="101"/>
            <w:keepNext w:val="0"/>
            <w:keepLines w:val="0"/>
            <w:pageBreakBefore w:val="0"/>
            <w:widowControl/>
            <w:tabs>
              <w:tab w:val="right" w:leader="dot" w:pos="8732"/>
            </w:tabs>
            <w:kinsoku/>
            <w:wordWrap/>
            <w:overflowPunct/>
            <w:topLinePunct w:val="0"/>
            <w:autoSpaceDE/>
            <w:autoSpaceDN/>
            <w:bidi w:val="0"/>
            <w:adjustRightInd/>
            <w:snapToGrid/>
            <w:spacing w:before="157" w:beforeLines="50" w:after="157" w:afterLines="50" w:line="480" w:lineRule="auto"/>
            <w:textAlignment w:val="auto"/>
            <w:rPr>
              <w:sz w:val="32"/>
              <w:szCs w:val="32"/>
              <w:highlight w:val="none"/>
            </w:rPr>
          </w:pPr>
          <w:r>
            <w:rPr>
              <w:rFonts w:hint="default" w:hAnsi="宋体" w:cs="宋体"/>
              <w:color w:val="000000" w:themeColor="text1"/>
              <w:sz w:val="32"/>
              <w:szCs w:val="32"/>
              <w:highlight w:val="none"/>
              <w14:textFill>
                <w14:solidFill>
                  <w14:schemeClr w14:val="tx1"/>
                </w14:solidFill>
              </w14:textFill>
            </w:rPr>
            <w:fldChar w:fldCharType="begin"/>
          </w:r>
          <w:r>
            <w:rPr>
              <w:rFonts w:hint="default" w:hAnsi="宋体" w:cs="宋体"/>
              <w:sz w:val="32"/>
              <w:szCs w:val="32"/>
              <w:highlight w:val="none"/>
            </w:rPr>
            <w:instrText xml:space="preserve"> HYPERLINK \l _Toc4865 </w:instrText>
          </w:r>
          <w:r>
            <w:rPr>
              <w:rFonts w:hint="default" w:hAnsi="宋体" w:cs="宋体"/>
              <w:sz w:val="32"/>
              <w:szCs w:val="32"/>
              <w:highlight w:val="none"/>
            </w:rPr>
            <w:fldChar w:fldCharType="separate"/>
          </w:r>
          <w:r>
            <w:rPr>
              <w:rFonts w:hAnsi="宋体"/>
              <w:sz w:val="32"/>
              <w:szCs w:val="32"/>
              <w:highlight w:val="none"/>
            </w:rPr>
            <w:t>第六章投标文件格式</w:t>
          </w:r>
          <w:r>
            <w:rPr>
              <w:sz w:val="32"/>
              <w:szCs w:val="32"/>
              <w:highlight w:val="none"/>
            </w:rPr>
            <w:tab/>
          </w:r>
          <w:r>
            <w:rPr>
              <w:sz w:val="32"/>
              <w:szCs w:val="32"/>
              <w:highlight w:val="none"/>
            </w:rPr>
            <w:fldChar w:fldCharType="begin"/>
          </w:r>
          <w:r>
            <w:rPr>
              <w:sz w:val="32"/>
              <w:szCs w:val="32"/>
              <w:highlight w:val="none"/>
            </w:rPr>
            <w:instrText xml:space="preserve"> PAGEREF _Toc4865 \h </w:instrText>
          </w:r>
          <w:r>
            <w:rPr>
              <w:sz w:val="32"/>
              <w:szCs w:val="32"/>
              <w:highlight w:val="none"/>
            </w:rPr>
            <w:fldChar w:fldCharType="separate"/>
          </w:r>
          <w:r>
            <w:rPr>
              <w:sz w:val="32"/>
              <w:szCs w:val="32"/>
              <w:highlight w:val="none"/>
            </w:rPr>
            <w:t>33</w:t>
          </w:r>
          <w:r>
            <w:rPr>
              <w:sz w:val="32"/>
              <w:szCs w:val="32"/>
              <w:highlight w:val="none"/>
            </w:rPr>
            <w:fldChar w:fldCharType="end"/>
          </w:r>
          <w:r>
            <w:rPr>
              <w:rFonts w:hint="default" w:hAnsi="宋体" w:cs="宋体"/>
              <w:color w:val="000000" w:themeColor="text1"/>
              <w:sz w:val="32"/>
              <w:szCs w:val="32"/>
              <w:highlight w:val="none"/>
              <w14:textFill>
                <w14:solidFill>
                  <w14:schemeClr w14:val="tx1"/>
                </w14:solidFill>
              </w14:textFill>
            </w:rPr>
            <w:fldChar w:fldCharType="end"/>
          </w:r>
        </w:p>
        <w:p w14:paraId="68B2B4E6">
          <w:pPr>
            <w:pStyle w:val="20"/>
            <w:snapToGrid w:val="0"/>
            <w:spacing w:before="120" w:beforeLines="0" w:after="120" w:afterLines="0" w:line="240" w:lineRule="auto"/>
            <w:outlineLvl w:val="9"/>
            <w:rPr>
              <w:rFonts w:hint="default" w:hAnsi="宋体" w:cs="宋体"/>
              <w:color w:val="000000" w:themeColor="text1"/>
              <w:sz w:val="30"/>
              <w:szCs w:val="30"/>
              <w:highlight w:val="none"/>
              <w14:textFill>
                <w14:solidFill>
                  <w14:schemeClr w14:val="tx1"/>
                </w14:solidFill>
              </w14:textFill>
            </w:rPr>
          </w:pPr>
          <w:r>
            <w:rPr>
              <w:rFonts w:hint="default" w:hAnsi="宋体" w:cs="宋体"/>
              <w:color w:val="000000" w:themeColor="text1"/>
              <w:szCs w:val="30"/>
              <w:highlight w:val="none"/>
              <w14:textFill>
                <w14:solidFill>
                  <w14:schemeClr w14:val="tx1"/>
                </w14:solidFill>
              </w14:textFill>
            </w:rPr>
            <w:fldChar w:fldCharType="end"/>
          </w:r>
        </w:p>
      </w:sdtContent>
    </w:sdt>
    <w:p w14:paraId="4D2BBA93">
      <w:pPr>
        <w:pStyle w:val="20"/>
        <w:snapToGrid w:val="0"/>
        <w:spacing w:before="120" w:beforeLines="0" w:after="120" w:afterLines="0" w:line="240" w:lineRule="auto"/>
        <w:outlineLvl w:val="9"/>
        <w:rPr>
          <w:rFonts w:hint="default" w:hAnsi="宋体" w:cs="宋体"/>
          <w:color w:val="000000" w:themeColor="text1"/>
          <w:sz w:val="30"/>
          <w:szCs w:val="30"/>
          <w:highlight w:val="none"/>
          <w14:textFill>
            <w14:solidFill>
              <w14:schemeClr w14:val="tx1"/>
            </w14:solidFill>
          </w14:textFill>
        </w:rPr>
      </w:pPr>
    </w:p>
    <w:p w14:paraId="516E590D">
      <w:pPr>
        <w:pStyle w:val="20"/>
        <w:snapToGrid w:val="0"/>
        <w:spacing w:before="120" w:beforeLines="0" w:after="120" w:afterLines="0" w:line="240" w:lineRule="auto"/>
        <w:outlineLvl w:val="9"/>
        <w:rPr>
          <w:rFonts w:hint="default" w:hAnsi="宋体" w:cs="宋体"/>
          <w:color w:val="000000" w:themeColor="text1"/>
          <w:sz w:val="30"/>
          <w:szCs w:val="30"/>
          <w:highlight w:val="none"/>
          <w14:textFill>
            <w14:solidFill>
              <w14:schemeClr w14:val="tx1"/>
            </w14:solidFill>
          </w14:textFill>
        </w:rPr>
      </w:pPr>
    </w:p>
    <w:p w14:paraId="23F66087">
      <w:pPr>
        <w:pStyle w:val="20"/>
        <w:snapToGrid w:val="0"/>
        <w:spacing w:before="120" w:beforeLines="0" w:after="120" w:afterLines="0" w:line="240" w:lineRule="auto"/>
        <w:outlineLvl w:val="9"/>
        <w:rPr>
          <w:rFonts w:hint="default" w:hAnsi="宋体" w:cs="宋体"/>
          <w:color w:val="000000" w:themeColor="text1"/>
          <w:sz w:val="30"/>
          <w:szCs w:val="30"/>
          <w:highlight w:val="none"/>
          <w14:textFill>
            <w14:solidFill>
              <w14:schemeClr w14:val="tx1"/>
            </w14:solidFill>
          </w14:textFill>
        </w:rPr>
      </w:pPr>
    </w:p>
    <w:p w14:paraId="139B65B4">
      <w:pPr>
        <w:pStyle w:val="21"/>
        <w:ind w:left="7000"/>
        <w:rPr>
          <w:color w:val="000000" w:themeColor="text1"/>
          <w:highlight w:val="none"/>
          <w14:textFill>
            <w14:solidFill>
              <w14:schemeClr w14:val="tx1"/>
            </w14:solidFill>
          </w14:textFill>
        </w:rPr>
      </w:pPr>
    </w:p>
    <w:p w14:paraId="0EC619E9">
      <w:pPr>
        <w:pStyle w:val="20"/>
        <w:snapToGrid w:val="0"/>
        <w:spacing w:before="120" w:beforeLines="0" w:after="120" w:afterLines="0" w:line="240" w:lineRule="auto"/>
        <w:outlineLvl w:val="9"/>
        <w:rPr>
          <w:rFonts w:hint="default" w:hAnsi="宋体" w:cs="宋体"/>
          <w:color w:val="000000" w:themeColor="text1"/>
          <w:sz w:val="30"/>
          <w:szCs w:val="30"/>
          <w:highlight w:val="none"/>
          <w14:textFill>
            <w14:solidFill>
              <w14:schemeClr w14:val="tx1"/>
            </w14:solidFill>
          </w14:textFill>
        </w:rPr>
      </w:pPr>
    </w:p>
    <w:p w14:paraId="392C7339">
      <w:pPr>
        <w:pStyle w:val="20"/>
        <w:snapToGrid w:val="0"/>
        <w:spacing w:before="120" w:beforeLines="0" w:after="120" w:afterLines="0" w:line="240" w:lineRule="auto"/>
        <w:outlineLvl w:val="9"/>
        <w:rPr>
          <w:rFonts w:hint="default" w:hAnsi="宋体" w:cs="宋体"/>
          <w:color w:val="000000" w:themeColor="text1"/>
          <w:sz w:val="30"/>
          <w:szCs w:val="30"/>
          <w:highlight w:val="none"/>
          <w14:textFill>
            <w14:solidFill>
              <w14:schemeClr w14:val="tx1"/>
            </w14:solidFill>
          </w14:textFill>
        </w:rPr>
      </w:pPr>
    </w:p>
    <w:p w14:paraId="12E62728">
      <w:pPr>
        <w:pStyle w:val="20"/>
        <w:snapToGrid w:val="0"/>
        <w:spacing w:before="120" w:beforeLines="0" w:after="120" w:afterLines="0" w:line="240" w:lineRule="auto"/>
        <w:outlineLvl w:val="9"/>
        <w:rPr>
          <w:rFonts w:hint="default" w:hAnsi="宋体" w:cs="宋体"/>
          <w:color w:val="000000" w:themeColor="text1"/>
          <w:sz w:val="30"/>
          <w:szCs w:val="30"/>
          <w:highlight w:val="none"/>
          <w14:textFill>
            <w14:solidFill>
              <w14:schemeClr w14:val="tx1"/>
            </w14:solidFill>
          </w14:textFill>
        </w:rPr>
      </w:pPr>
    </w:p>
    <w:p w14:paraId="51ACBACC">
      <w:pPr>
        <w:pStyle w:val="20"/>
        <w:snapToGrid w:val="0"/>
        <w:spacing w:before="120" w:beforeLines="0" w:after="120" w:afterLines="0" w:line="240" w:lineRule="auto"/>
        <w:outlineLvl w:val="9"/>
        <w:rPr>
          <w:rFonts w:hint="default" w:hAnsi="宋体" w:cs="宋体"/>
          <w:color w:val="000000" w:themeColor="text1"/>
          <w:sz w:val="30"/>
          <w:szCs w:val="30"/>
          <w:highlight w:val="none"/>
          <w14:textFill>
            <w14:solidFill>
              <w14:schemeClr w14:val="tx1"/>
            </w14:solidFill>
          </w14:textFill>
        </w:rPr>
      </w:pPr>
    </w:p>
    <w:p w14:paraId="49B40E69">
      <w:pPr>
        <w:pStyle w:val="20"/>
        <w:snapToGrid w:val="0"/>
        <w:spacing w:before="120" w:beforeLines="0" w:after="120" w:afterLines="0" w:line="240" w:lineRule="auto"/>
        <w:outlineLvl w:val="9"/>
        <w:rPr>
          <w:rFonts w:hint="default" w:hAnsi="宋体" w:cs="宋体"/>
          <w:color w:val="000000" w:themeColor="text1"/>
          <w:sz w:val="30"/>
          <w:szCs w:val="30"/>
          <w:highlight w:val="none"/>
          <w14:textFill>
            <w14:solidFill>
              <w14:schemeClr w14:val="tx1"/>
            </w14:solidFill>
          </w14:textFill>
        </w:rPr>
      </w:pPr>
    </w:p>
    <w:p w14:paraId="34E78C94">
      <w:pPr>
        <w:pStyle w:val="20"/>
        <w:snapToGrid w:val="0"/>
        <w:spacing w:before="120" w:beforeLines="0" w:after="120" w:afterLines="0" w:line="240" w:lineRule="auto"/>
        <w:outlineLvl w:val="9"/>
        <w:rPr>
          <w:rFonts w:hint="default" w:hAnsi="宋体" w:cs="宋体"/>
          <w:color w:val="000000" w:themeColor="text1"/>
          <w:sz w:val="30"/>
          <w:szCs w:val="30"/>
          <w:highlight w:val="none"/>
          <w14:textFill>
            <w14:solidFill>
              <w14:schemeClr w14:val="tx1"/>
            </w14:solidFill>
          </w14:textFill>
        </w:rPr>
        <w:sectPr>
          <w:headerReference r:id="rId3" w:type="default"/>
          <w:footerReference r:id="rId4" w:type="default"/>
          <w:pgSz w:w="11906" w:h="16838"/>
          <w:pgMar w:top="1134" w:right="1587" w:bottom="1134" w:left="1587" w:header="851" w:footer="850" w:gutter="0"/>
          <w:pgBorders>
            <w:top w:val="none" w:sz="0" w:space="0"/>
            <w:left w:val="none" w:sz="0" w:space="0"/>
            <w:bottom w:val="none" w:sz="0" w:space="0"/>
            <w:right w:val="none" w:sz="0" w:space="0"/>
          </w:pgBorders>
          <w:pgNumType w:fmt="decimal" w:start="1"/>
          <w:cols w:space="0" w:num="1"/>
          <w:rtlGutter w:val="0"/>
          <w:docGrid w:linePitch="312" w:charSpace="0"/>
        </w:sectPr>
      </w:pPr>
    </w:p>
    <w:p w14:paraId="04F05114">
      <w:pPr>
        <w:pStyle w:val="20"/>
        <w:snapToGrid w:val="0"/>
        <w:spacing w:before="120" w:beforeLines="0" w:after="120" w:afterLines="0" w:line="240" w:lineRule="auto"/>
        <w:outlineLvl w:val="9"/>
        <w:rPr>
          <w:rFonts w:hint="default" w:hAnsi="宋体" w:cs="宋体"/>
          <w:color w:val="000000" w:themeColor="text1"/>
          <w:sz w:val="30"/>
          <w:szCs w:val="30"/>
          <w:highlight w:val="none"/>
          <w14:textFill>
            <w14:solidFill>
              <w14:schemeClr w14:val="tx1"/>
            </w14:solidFill>
          </w14:textFill>
        </w:rPr>
      </w:pPr>
    </w:p>
    <w:p w14:paraId="1F2F3C8E">
      <w:pPr>
        <w:pStyle w:val="20"/>
        <w:snapToGrid w:val="0"/>
        <w:spacing w:before="120" w:beforeLines="0" w:after="120" w:afterLines="0" w:line="240" w:lineRule="auto"/>
        <w:jc w:val="center"/>
        <w:outlineLvl w:val="9"/>
        <w:rPr>
          <w:rFonts w:hAnsi="宋体" w:cs="宋体"/>
          <w:color w:val="000000" w:themeColor="text1"/>
          <w:sz w:val="20"/>
          <w:szCs w:val="20"/>
          <w:highlight w:val="none"/>
          <w14:textFill>
            <w14:solidFill>
              <w14:schemeClr w14:val="tx1"/>
            </w14:solidFill>
          </w14:textFill>
        </w:rPr>
      </w:pPr>
      <w:bookmarkStart w:id="6" w:name="第一章"/>
    </w:p>
    <w:p w14:paraId="63A71F71">
      <w:pPr>
        <w:pStyle w:val="20"/>
        <w:snapToGrid w:val="0"/>
        <w:spacing w:before="120" w:beforeLines="0" w:after="120" w:afterLines="0" w:line="240" w:lineRule="auto"/>
        <w:jc w:val="center"/>
        <w:outlineLvl w:val="0"/>
        <w:rPr>
          <w:rFonts w:hint="default" w:hAnsi="宋体" w:cs="宋体"/>
          <w:color w:val="000000" w:themeColor="text1"/>
          <w:sz w:val="32"/>
          <w:szCs w:val="32"/>
          <w:highlight w:val="none"/>
          <w14:textFill>
            <w14:solidFill>
              <w14:schemeClr w14:val="tx1"/>
            </w14:solidFill>
          </w14:textFill>
        </w:rPr>
      </w:pPr>
      <w:bookmarkStart w:id="7" w:name="_Toc14482"/>
      <w:r>
        <w:rPr>
          <w:rFonts w:hAnsi="宋体" w:cs="宋体"/>
          <w:color w:val="000000" w:themeColor="text1"/>
          <w:sz w:val="32"/>
          <w:szCs w:val="32"/>
          <w:highlight w:val="none"/>
          <w14:textFill>
            <w14:solidFill>
              <w14:schemeClr w14:val="tx1"/>
            </w14:solidFill>
          </w14:textFill>
        </w:rPr>
        <w:t xml:space="preserve">第一章 </w:t>
      </w:r>
      <w:r>
        <w:rPr>
          <w:rFonts w:hint="eastAsia" w:hAnsi="宋体" w:cs="宋体"/>
          <w:color w:val="000000" w:themeColor="text1"/>
          <w:sz w:val="32"/>
          <w:szCs w:val="32"/>
          <w:highlight w:val="none"/>
          <w:lang w:val="en-US" w:eastAsia="zh-CN"/>
          <w14:textFill>
            <w14:solidFill>
              <w14:schemeClr w14:val="tx1"/>
            </w14:solidFill>
          </w14:textFill>
        </w:rPr>
        <w:t xml:space="preserve"> </w:t>
      </w:r>
      <w:r>
        <w:rPr>
          <w:rFonts w:hAnsi="宋体" w:cs="宋体"/>
          <w:color w:val="000000" w:themeColor="text1"/>
          <w:sz w:val="32"/>
          <w:szCs w:val="32"/>
          <w:highlight w:val="none"/>
          <w14:textFill>
            <w14:solidFill>
              <w14:schemeClr w14:val="tx1"/>
            </w14:solidFill>
          </w14:textFill>
        </w:rPr>
        <w:t xml:space="preserve"> 公开招标采购公告</w:t>
      </w:r>
      <w:bookmarkEnd w:id="5"/>
      <w:bookmarkEnd w:id="6"/>
      <w:r>
        <w:rPr>
          <w:color w:val="000000" w:themeColor="text1"/>
          <w:sz w:val="32"/>
          <w:szCs w:val="32"/>
          <w:highlight w:val="none"/>
          <w14:textFill>
            <w14:solidFill>
              <w14:schemeClr w14:val="tx1"/>
            </w14:solidFill>
          </w14:textFill>
        </w:rPr>
        <w:fldChar w:fldCharType="begin"/>
      </w:r>
      <w:r>
        <w:rPr>
          <w:rFonts w:hAnsi="宋体" w:cs="宋体"/>
          <w:color w:val="000000" w:themeColor="text1"/>
          <w:sz w:val="32"/>
          <w:szCs w:val="32"/>
          <w:highlight w:val="none"/>
          <w14:textFill>
            <w14:solidFill>
              <w14:schemeClr w14:val="tx1"/>
            </w14:solidFill>
          </w14:textFill>
        </w:rPr>
        <w:instrText xml:space="preserve"> XE "第一章  公开招标采购公告" </w:instrText>
      </w:r>
      <w:r>
        <w:rPr>
          <w:rFonts w:hAnsi="宋体" w:cs="宋体"/>
          <w:color w:val="000000" w:themeColor="text1"/>
          <w:sz w:val="32"/>
          <w:szCs w:val="32"/>
          <w:highlight w:val="none"/>
          <w14:textFill>
            <w14:solidFill>
              <w14:schemeClr w14:val="tx1"/>
            </w14:solidFill>
          </w14:textFill>
        </w:rPr>
        <w:fldChar w:fldCharType="end"/>
      </w:r>
      <w:r>
        <w:rPr>
          <w:color w:val="000000" w:themeColor="text1"/>
          <w:sz w:val="32"/>
          <w:szCs w:val="32"/>
          <w:highlight w:val="none"/>
          <w14:textFill>
            <w14:solidFill>
              <w14:schemeClr w14:val="tx1"/>
            </w14:solidFill>
          </w14:textFill>
        </w:rPr>
        <w:fldChar w:fldCharType="begin"/>
      </w:r>
      <w:r>
        <w:rPr>
          <w:rFonts w:hAnsi="宋体" w:cs="宋体"/>
          <w:color w:val="000000" w:themeColor="text1"/>
          <w:sz w:val="32"/>
          <w:szCs w:val="32"/>
          <w:highlight w:val="none"/>
          <w14:textFill>
            <w14:solidFill>
              <w14:schemeClr w14:val="tx1"/>
            </w14:solidFill>
          </w14:textFill>
        </w:rPr>
        <w:instrText xml:space="preserve"> XE "第一章  公开招标采购公告" </w:instrText>
      </w:r>
      <w:r>
        <w:rPr>
          <w:rFonts w:hAnsi="宋体" w:cs="宋体"/>
          <w:color w:val="000000" w:themeColor="text1"/>
          <w:sz w:val="32"/>
          <w:szCs w:val="32"/>
          <w:highlight w:val="none"/>
          <w14:textFill>
            <w14:solidFill>
              <w14:schemeClr w14:val="tx1"/>
            </w14:solidFill>
          </w14:textFill>
        </w:rPr>
        <w:fldChar w:fldCharType="end"/>
      </w:r>
      <w:r>
        <w:rPr>
          <w:color w:val="000000" w:themeColor="text1"/>
          <w:sz w:val="32"/>
          <w:szCs w:val="32"/>
          <w:highlight w:val="none"/>
          <w14:textFill>
            <w14:solidFill>
              <w14:schemeClr w14:val="tx1"/>
            </w14:solidFill>
          </w14:textFill>
        </w:rPr>
        <w:fldChar w:fldCharType="begin"/>
      </w:r>
      <w:r>
        <w:rPr>
          <w:rFonts w:hAnsi="宋体" w:cs="宋体"/>
          <w:color w:val="000000" w:themeColor="text1"/>
          <w:sz w:val="32"/>
          <w:szCs w:val="32"/>
          <w:highlight w:val="none"/>
          <w14:textFill>
            <w14:solidFill>
              <w14:schemeClr w14:val="tx1"/>
            </w14:solidFill>
          </w14:textFill>
        </w:rPr>
        <w:instrText xml:space="preserve"> XE "第一章  公开招标采购公告" </w:instrText>
      </w:r>
      <w:r>
        <w:rPr>
          <w:rFonts w:hAnsi="宋体" w:cs="宋体"/>
          <w:color w:val="000000" w:themeColor="text1"/>
          <w:sz w:val="32"/>
          <w:szCs w:val="32"/>
          <w:highlight w:val="none"/>
          <w14:textFill>
            <w14:solidFill>
              <w14:schemeClr w14:val="tx1"/>
            </w14:solidFill>
          </w14:textFill>
        </w:rPr>
        <w:fldChar w:fldCharType="end"/>
      </w:r>
      <w:r>
        <w:rPr>
          <w:color w:val="000000" w:themeColor="text1"/>
          <w:sz w:val="32"/>
          <w:szCs w:val="32"/>
          <w:highlight w:val="none"/>
          <w14:textFill>
            <w14:solidFill>
              <w14:schemeClr w14:val="tx1"/>
            </w14:solidFill>
          </w14:textFill>
        </w:rPr>
        <w:fldChar w:fldCharType="begin"/>
      </w:r>
      <w:r>
        <w:rPr>
          <w:rFonts w:hAnsi="宋体" w:cs="宋体"/>
          <w:color w:val="000000" w:themeColor="text1"/>
          <w:sz w:val="32"/>
          <w:szCs w:val="32"/>
          <w:highlight w:val="none"/>
          <w14:textFill>
            <w14:solidFill>
              <w14:schemeClr w14:val="tx1"/>
            </w14:solidFill>
          </w14:textFill>
        </w:rPr>
        <w:instrText xml:space="preserve"> XE "第一章  公开招标采购公告" </w:instrText>
      </w:r>
      <w:r>
        <w:rPr>
          <w:rFonts w:hAnsi="宋体" w:cs="宋体"/>
          <w:color w:val="000000" w:themeColor="text1"/>
          <w:sz w:val="32"/>
          <w:szCs w:val="32"/>
          <w:highlight w:val="none"/>
          <w14:textFill>
            <w14:solidFill>
              <w14:schemeClr w14:val="tx1"/>
            </w14:solidFill>
          </w14:textFill>
        </w:rPr>
        <w:fldChar w:fldCharType="end"/>
      </w:r>
      <w:bookmarkEnd w:id="7"/>
    </w:p>
    <w:p w14:paraId="1D600EB5">
      <w:pPr>
        <w:pStyle w:val="103"/>
        <w:widowControl w:val="0"/>
        <w:spacing w:after="0" w:afterLines="0" w:line="360" w:lineRule="auto"/>
        <w:ind w:firstLine="480"/>
        <w:rPr>
          <w:rFonts w:ascii="宋体" w:hAnsi="宋体" w:cs="宋体"/>
          <w:color w:val="000000" w:themeColor="text1"/>
          <w:szCs w:val="24"/>
          <w:highlight w:val="none"/>
          <w14:textFill>
            <w14:solidFill>
              <w14:schemeClr w14:val="tx1"/>
            </w14:solidFill>
          </w14:textFill>
        </w:rPr>
      </w:pPr>
      <w:r>
        <w:rPr>
          <w:rFonts w:hint="eastAsia" w:cs="宋体"/>
          <w:color w:val="auto"/>
          <w:szCs w:val="24"/>
          <w:highlight w:val="none"/>
          <w:lang w:val="en-US"/>
        </w:rPr>
        <w:t>根据《中华人民共和国招标投标法》等有关规定</w:t>
      </w:r>
      <w:r>
        <w:rPr>
          <w:rFonts w:hint="eastAsia" w:ascii="宋体" w:hAnsi="宋体" w:cs="宋体"/>
          <w:color w:val="000000" w:themeColor="text1"/>
          <w:szCs w:val="24"/>
          <w:highlight w:val="none"/>
          <w14:textFill>
            <w14:solidFill>
              <w14:schemeClr w14:val="tx1"/>
            </w14:solidFill>
          </w14:textFill>
        </w:rPr>
        <w:t>，受采购人委托，现就</w:t>
      </w:r>
      <w:r>
        <w:rPr>
          <w:rFonts w:hint="eastAsia" w:ascii="宋体" w:hAnsi="宋体" w:cs="宋体"/>
          <w:color w:val="000000" w:themeColor="text1"/>
          <w:szCs w:val="24"/>
          <w:highlight w:val="none"/>
          <w:u w:val="single"/>
          <w:lang w:eastAsia="zh-CN"/>
          <w14:textFill>
            <w14:solidFill>
              <w14:schemeClr w14:val="tx1"/>
            </w14:solidFill>
          </w14:textFill>
        </w:rPr>
        <w:t xml:space="preserve"> 台州方特熊出没水上休闲游乐度假中心（一期）窗帘采购</w:t>
      </w:r>
      <w:r>
        <w:rPr>
          <w:rFonts w:hint="eastAsia" w:ascii="宋体" w:hAnsi="宋体" w:cs="宋体"/>
          <w:color w:val="000000" w:themeColor="text1"/>
          <w:szCs w:val="24"/>
          <w:highlight w:val="none"/>
          <w14:textFill>
            <w14:solidFill>
              <w14:schemeClr w14:val="tx1"/>
            </w14:solidFill>
          </w14:textFill>
        </w:rPr>
        <w:t>进行公开招标采购，欢迎合格供应商前来投标：</w:t>
      </w:r>
    </w:p>
    <w:p w14:paraId="14788626">
      <w:pPr>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一</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采购组织类型：</w:t>
      </w:r>
      <w:r>
        <w:rPr>
          <w:rFonts w:hint="eastAsia" w:ascii="宋体" w:hAnsi="宋体" w:cs="宋体"/>
          <w:color w:val="000000" w:themeColor="text1"/>
          <w:sz w:val="24"/>
          <w:highlight w:val="none"/>
          <w14:textFill>
            <w14:solidFill>
              <w14:schemeClr w14:val="tx1"/>
            </w14:solidFill>
          </w14:textFill>
        </w:rPr>
        <w:t>分散采购委托代理</w:t>
      </w:r>
    </w:p>
    <w:p w14:paraId="57BF7A4D">
      <w:pPr>
        <w:snapToGrid w:val="0"/>
        <w:spacing w:line="360" w:lineRule="auto"/>
        <w:ind w:firstLine="482"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二</w:t>
      </w:r>
      <w:r>
        <w:rPr>
          <w:rFonts w:hint="eastAsia" w:ascii="宋体" w:hAnsi="宋体" w:cs="宋体"/>
          <w:b/>
          <w:color w:val="000000" w:themeColor="text1"/>
          <w:sz w:val="24"/>
          <w:highlight w:val="none"/>
          <w14:textFill>
            <w14:solidFill>
              <w14:schemeClr w14:val="tx1"/>
            </w14:solidFill>
          </w14:textFill>
        </w:rPr>
        <w:t>、采购方式：</w:t>
      </w:r>
      <w:r>
        <w:rPr>
          <w:rFonts w:hint="eastAsia" w:ascii="宋体" w:hAnsi="宋体" w:cs="宋体"/>
          <w:color w:val="000000" w:themeColor="text1"/>
          <w:sz w:val="24"/>
          <w:highlight w:val="none"/>
          <w14:textFill>
            <w14:solidFill>
              <w14:schemeClr w14:val="tx1"/>
            </w14:solidFill>
          </w14:textFill>
        </w:rPr>
        <w:t>公开招标</w:t>
      </w:r>
    </w:p>
    <w:p w14:paraId="63A857CB">
      <w:pPr>
        <w:snapToGrid w:val="0"/>
        <w:spacing w:line="360" w:lineRule="auto"/>
        <w:ind w:firstLine="482" w:firstLineChars="200"/>
        <w:rPr>
          <w:rFonts w:ascii="宋体" w:hAnsi="宋体" w:cs="宋体"/>
          <w:b/>
          <w:bCs/>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三</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采购内容及数量</w:t>
      </w:r>
    </w:p>
    <w:tbl>
      <w:tblPr>
        <w:tblStyle w:val="37"/>
        <w:tblW w:w="10389" w:type="dxa"/>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2264"/>
        <w:gridCol w:w="660"/>
        <w:gridCol w:w="795"/>
        <w:gridCol w:w="1230"/>
        <w:gridCol w:w="2385"/>
        <w:gridCol w:w="2363"/>
      </w:tblGrid>
      <w:tr w14:paraId="3095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op w:val="single" w:color="auto" w:sz="4" w:space="0"/>
              <w:left w:val="single" w:color="auto" w:sz="4" w:space="0"/>
              <w:bottom w:val="single" w:color="auto" w:sz="4" w:space="0"/>
              <w:right w:val="single" w:color="auto" w:sz="4" w:space="0"/>
            </w:tcBorders>
            <w:vAlign w:val="center"/>
          </w:tcPr>
          <w:p w14:paraId="205E36DD">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序号</w:t>
            </w:r>
          </w:p>
        </w:tc>
        <w:tc>
          <w:tcPr>
            <w:tcW w:w="2264" w:type="dxa"/>
            <w:tcBorders>
              <w:top w:val="single" w:color="auto" w:sz="4" w:space="0"/>
              <w:left w:val="single" w:color="auto" w:sz="4" w:space="0"/>
              <w:bottom w:val="single" w:color="auto" w:sz="4" w:space="0"/>
              <w:right w:val="single" w:color="auto" w:sz="4" w:space="0"/>
            </w:tcBorders>
            <w:vAlign w:val="center"/>
          </w:tcPr>
          <w:p w14:paraId="01DA93EB">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项目名称</w:t>
            </w:r>
          </w:p>
        </w:tc>
        <w:tc>
          <w:tcPr>
            <w:tcW w:w="660" w:type="dxa"/>
            <w:tcBorders>
              <w:top w:val="single" w:color="auto" w:sz="4" w:space="0"/>
              <w:left w:val="single" w:color="auto" w:sz="4" w:space="0"/>
              <w:bottom w:val="single" w:color="auto" w:sz="4" w:space="0"/>
              <w:right w:val="single" w:color="auto" w:sz="4" w:space="0"/>
            </w:tcBorders>
            <w:vAlign w:val="center"/>
          </w:tcPr>
          <w:p w14:paraId="23F77555">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数量</w:t>
            </w:r>
          </w:p>
        </w:tc>
        <w:tc>
          <w:tcPr>
            <w:tcW w:w="795" w:type="dxa"/>
            <w:tcBorders>
              <w:top w:val="single" w:color="auto" w:sz="4" w:space="0"/>
              <w:left w:val="single" w:color="auto" w:sz="4" w:space="0"/>
              <w:bottom w:val="single" w:color="auto" w:sz="4" w:space="0"/>
              <w:right w:val="single" w:color="auto" w:sz="4" w:space="0"/>
            </w:tcBorders>
            <w:vAlign w:val="center"/>
          </w:tcPr>
          <w:p w14:paraId="40A5A8C5">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单位</w:t>
            </w:r>
          </w:p>
        </w:tc>
        <w:tc>
          <w:tcPr>
            <w:tcW w:w="1230" w:type="dxa"/>
            <w:tcBorders>
              <w:top w:val="single" w:color="auto" w:sz="4" w:space="0"/>
              <w:left w:val="single" w:color="auto" w:sz="4" w:space="0"/>
              <w:bottom w:val="single" w:color="auto" w:sz="4" w:space="0"/>
              <w:right w:val="single" w:color="auto" w:sz="4" w:space="0"/>
            </w:tcBorders>
            <w:vAlign w:val="center"/>
          </w:tcPr>
          <w:p w14:paraId="43AFAF28">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上限价</w:t>
            </w:r>
          </w:p>
        </w:tc>
        <w:tc>
          <w:tcPr>
            <w:tcW w:w="2385" w:type="dxa"/>
            <w:tcBorders>
              <w:top w:val="single" w:color="auto" w:sz="4" w:space="0"/>
              <w:left w:val="single" w:color="auto" w:sz="4" w:space="0"/>
              <w:bottom w:val="single" w:color="auto" w:sz="4" w:space="0"/>
              <w:right w:val="single" w:color="auto" w:sz="4" w:space="0"/>
            </w:tcBorders>
            <w:vAlign w:val="center"/>
          </w:tcPr>
          <w:p w14:paraId="1C5D1FD7">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简要规格描述</w:t>
            </w:r>
          </w:p>
        </w:tc>
        <w:tc>
          <w:tcPr>
            <w:tcW w:w="2363" w:type="dxa"/>
            <w:tcBorders>
              <w:top w:val="single" w:color="auto" w:sz="4" w:space="0"/>
              <w:left w:val="single" w:color="auto" w:sz="4" w:space="0"/>
              <w:bottom w:val="single" w:color="auto" w:sz="4" w:space="0"/>
              <w:right w:val="single" w:color="auto" w:sz="4" w:space="0"/>
            </w:tcBorders>
            <w:vAlign w:val="center"/>
          </w:tcPr>
          <w:p w14:paraId="695D434E">
            <w:pPr>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rPr>
              <w:t>交货期</w:t>
            </w:r>
          </w:p>
        </w:tc>
      </w:tr>
      <w:tr w14:paraId="6F71C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92" w:type="dxa"/>
            <w:tcBorders>
              <w:top w:val="single" w:color="auto" w:sz="4" w:space="0"/>
              <w:left w:val="single" w:color="auto" w:sz="4" w:space="0"/>
              <w:bottom w:val="single" w:color="auto" w:sz="4" w:space="0"/>
              <w:right w:val="single" w:color="auto" w:sz="4" w:space="0"/>
            </w:tcBorders>
            <w:vAlign w:val="center"/>
          </w:tcPr>
          <w:p w14:paraId="41FDEF66">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1</w:t>
            </w:r>
          </w:p>
        </w:tc>
        <w:tc>
          <w:tcPr>
            <w:tcW w:w="2264" w:type="dxa"/>
            <w:tcBorders>
              <w:top w:val="single" w:color="auto" w:sz="4" w:space="0"/>
              <w:left w:val="single" w:color="auto" w:sz="4" w:space="0"/>
              <w:right w:val="single" w:color="auto" w:sz="4" w:space="0"/>
            </w:tcBorders>
            <w:vAlign w:val="center"/>
          </w:tcPr>
          <w:p w14:paraId="61DC573A">
            <w:pPr>
              <w:pStyle w:val="103"/>
              <w:widowControl w:val="0"/>
              <w:spacing w:after="0" w:afterLines="0"/>
              <w:ind w:firstLine="0" w:firstLineChars="0"/>
              <w:jc w:val="center"/>
              <w:rPr>
                <w:rFonts w:hint="eastAsia" w:ascii="宋体" w:hAnsi="宋体" w:eastAsia="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 xml:space="preserve"> 台州方特熊出没水上休闲游乐度假中心（一期）窗帘采购</w:t>
            </w:r>
          </w:p>
        </w:tc>
        <w:tc>
          <w:tcPr>
            <w:tcW w:w="660" w:type="dxa"/>
            <w:tcBorders>
              <w:top w:val="single" w:color="auto" w:sz="4" w:space="0"/>
              <w:left w:val="single" w:color="auto" w:sz="4" w:space="0"/>
              <w:right w:val="single" w:color="auto" w:sz="4" w:space="0"/>
            </w:tcBorders>
            <w:vAlign w:val="center"/>
          </w:tcPr>
          <w:p w14:paraId="0E3ECE4F">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1</w:t>
            </w:r>
          </w:p>
        </w:tc>
        <w:tc>
          <w:tcPr>
            <w:tcW w:w="795" w:type="dxa"/>
            <w:tcBorders>
              <w:top w:val="single" w:color="auto" w:sz="4" w:space="0"/>
              <w:left w:val="single" w:color="auto" w:sz="4" w:space="0"/>
              <w:right w:val="single" w:color="auto" w:sz="4" w:space="0"/>
            </w:tcBorders>
            <w:vAlign w:val="center"/>
          </w:tcPr>
          <w:p w14:paraId="59A0BBA6">
            <w:pPr>
              <w:pStyle w:val="103"/>
              <w:widowControl w:val="0"/>
              <w:spacing w:after="0" w:afterLines="0"/>
              <w:ind w:firstLine="0" w:firstLineChars="0"/>
              <w:jc w:val="cente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宋体" w:hAnsi="宋体"/>
                <w:color w:val="000000" w:themeColor="text1"/>
                <w:szCs w:val="24"/>
                <w:highlight w:val="none"/>
                <w:lang w:val="en-US" w:eastAsia="zh-CN"/>
                <w14:textFill>
                  <w14:solidFill>
                    <w14:schemeClr w14:val="tx1"/>
                  </w14:solidFill>
                </w14:textFill>
              </w:rPr>
              <w:t>批</w:t>
            </w:r>
          </w:p>
        </w:tc>
        <w:tc>
          <w:tcPr>
            <w:tcW w:w="1230" w:type="dxa"/>
            <w:tcBorders>
              <w:top w:val="single" w:color="auto" w:sz="4" w:space="0"/>
              <w:left w:val="single" w:color="auto" w:sz="4" w:space="0"/>
              <w:right w:val="single" w:color="auto" w:sz="4" w:space="0"/>
            </w:tcBorders>
            <w:vAlign w:val="center"/>
          </w:tcPr>
          <w:p w14:paraId="1D2099F6">
            <w:pPr>
              <w:pStyle w:val="103"/>
              <w:widowControl w:val="0"/>
              <w:spacing w:after="0" w:afterLines="0"/>
              <w:ind w:firstLine="0" w:firstLineChars="0"/>
              <w:jc w:val="center"/>
              <w:rPr>
                <w:rFonts w:hint="default" w:ascii="宋体" w:hAnsi="宋体" w:eastAsia="宋体"/>
                <w:color w:val="000000" w:themeColor="text1"/>
                <w:szCs w:val="24"/>
                <w:highlight w:val="none"/>
                <w:lang w:val="en-US" w:eastAsia="zh-CN"/>
                <w14:textFill>
                  <w14:solidFill>
                    <w14:schemeClr w14:val="tx1"/>
                  </w14:solidFill>
                </w14:textFill>
              </w:rPr>
            </w:pPr>
            <w:r>
              <w:rPr>
                <w:rFonts w:hint="eastAsia" w:ascii="宋体" w:hAnsi="宋体"/>
                <w:color w:val="000000" w:themeColor="text1"/>
                <w:szCs w:val="24"/>
                <w:highlight w:val="none"/>
                <w:lang w:val="en-US" w:eastAsia="zh-CN"/>
                <w14:textFill>
                  <w14:solidFill>
                    <w14:schemeClr w14:val="tx1"/>
                  </w14:solidFill>
                </w14:textFill>
              </w:rPr>
              <w:t>1530304元</w:t>
            </w:r>
          </w:p>
        </w:tc>
        <w:tc>
          <w:tcPr>
            <w:tcW w:w="2385" w:type="dxa"/>
            <w:tcBorders>
              <w:top w:val="single" w:color="auto" w:sz="4" w:space="0"/>
              <w:left w:val="single" w:color="auto" w:sz="4" w:space="0"/>
              <w:right w:val="single" w:color="auto" w:sz="4" w:space="0"/>
            </w:tcBorders>
            <w:vAlign w:val="center"/>
          </w:tcPr>
          <w:p w14:paraId="0C30F091">
            <w:pPr>
              <w:pStyle w:val="103"/>
              <w:widowControl w:val="0"/>
              <w:spacing w:after="0" w:afterLines="0"/>
              <w:ind w:firstLine="0" w:firstLineChars="0"/>
              <w:jc w:val="center"/>
              <w:rPr>
                <w:rFonts w:hint="eastAsia"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招标范围为台州方特熊出没水上休闲游乐度假中心（一期）窗帘采购的供货、安装、调试、验收、保修、售后服务等及其相关的其他服务。</w:t>
            </w:r>
          </w:p>
        </w:tc>
        <w:tc>
          <w:tcPr>
            <w:tcW w:w="2363" w:type="dxa"/>
            <w:tcBorders>
              <w:top w:val="single" w:color="auto" w:sz="4" w:space="0"/>
              <w:left w:val="single" w:color="auto" w:sz="4" w:space="0"/>
              <w:right w:val="single" w:color="auto" w:sz="4" w:space="0"/>
            </w:tcBorders>
            <w:vAlign w:val="center"/>
          </w:tcPr>
          <w:p w14:paraId="6CE1B090">
            <w:pPr>
              <w:numPr>
                <w:ilvl w:val="0"/>
                <w:numId w:val="4"/>
              </w:numPr>
              <w:spacing w:line="440" w:lineRule="exact"/>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合同签订后30日历天内提供样品；</w:t>
            </w:r>
          </w:p>
          <w:p w14:paraId="33DE4158">
            <w:pPr>
              <w:numPr>
                <w:ilvl w:val="0"/>
                <w:numId w:val="0"/>
              </w:numPr>
              <w:spacing w:line="44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2、招标人确认后30日历天内完成供货及安装。</w:t>
            </w:r>
          </w:p>
        </w:tc>
      </w:tr>
    </w:tbl>
    <w:p w14:paraId="7CAEDB32">
      <w:pPr>
        <w:snapToGrid w:val="0"/>
        <w:spacing w:before="120" w:beforeLines="50" w:line="360" w:lineRule="auto"/>
        <w:ind w:firstLine="482" w:firstLineChars="200"/>
        <w:rPr>
          <w:rFonts w:ascii="宋体" w:hAnsi="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、合</w:t>
      </w:r>
      <w:r>
        <w:rPr>
          <w:rFonts w:hint="eastAsia" w:ascii="宋体" w:hAnsi="宋体" w:cs="宋体"/>
          <w:b/>
          <w:bCs/>
          <w:color w:val="000000" w:themeColor="text1"/>
          <w:sz w:val="24"/>
          <w:highlight w:val="none"/>
          <w14:textFill>
            <w14:solidFill>
              <w14:schemeClr w14:val="tx1"/>
            </w14:solidFill>
          </w14:textFill>
        </w:rPr>
        <w:t>格投标人的资格要求：</w:t>
      </w:r>
    </w:p>
    <w:p w14:paraId="58511E71">
      <w:pPr>
        <w:snapToGrid w:val="0"/>
        <w:spacing w:line="360" w:lineRule="auto"/>
        <w:ind w:firstLine="540" w:firstLineChars="22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（一）具有</w:t>
      </w:r>
      <w:r>
        <w:rPr>
          <w:rFonts w:hint="eastAsia" w:ascii="宋体" w:hAnsi="宋体" w:cs="宋体"/>
          <w:color w:val="000000" w:themeColor="text1"/>
          <w:sz w:val="24"/>
          <w:highlight w:val="none"/>
          <w:lang w:val="en-US" w:eastAsia="zh-CN"/>
          <w14:textFill>
            <w14:solidFill>
              <w14:schemeClr w14:val="tx1"/>
            </w14:solidFill>
          </w14:textFill>
        </w:rPr>
        <w:t>独立法人资格</w:t>
      </w:r>
      <w:r>
        <w:rPr>
          <w:rFonts w:hint="eastAsia" w:ascii="宋体" w:hAnsi="宋体" w:cs="宋体"/>
          <w:color w:val="000000" w:themeColor="text1"/>
          <w:sz w:val="24"/>
          <w:highlight w:val="none"/>
          <w14:textFill>
            <w14:solidFill>
              <w14:schemeClr w14:val="tx1"/>
            </w14:solidFill>
          </w14:textFill>
        </w:rPr>
        <w:t xml:space="preserve">； </w:t>
      </w:r>
    </w:p>
    <w:p w14:paraId="7C644E95">
      <w:pPr>
        <w:snapToGrid w:val="0"/>
        <w:spacing w:line="360" w:lineRule="auto"/>
        <w:ind w:firstLine="540" w:firstLineChars="225"/>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二</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本项目不接受联合体投标。</w:t>
      </w:r>
      <w:r>
        <w:rPr>
          <w:rFonts w:hint="eastAsia" w:ascii="宋体" w:hAnsi="宋体" w:cs="宋体"/>
          <w:color w:val="000000" w:themeColor="text1"/>
          <w:sz w:val="24"/>
          <w:highlight w:val="none"/>
          <w:lang w:val="en-US" w:eastAsia="zh-CN"/>
          <w14:textFill>
            <w14:solidFill>
              <w14:schemeClr w14:val="tx1"/>
            </w14:solidFill>
          </w14:textFill>
        </w:rPr>
        <w:t xml:space="preserve"> </w:t>
      </w:r>
    </w:p>
    <w:p w14:paraId="67663DBF">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lang w:val="en-US" w:eastAsia="zh-CN"/>
          <w14:textFill>
            <w14:solidFill>
              <w14:schemeClr w14:val="tx1"/>
            </w14:solidFill>
          </w14:textFill>
        </w:rPr>
        <w:t>五</w:t>
      </w:r>
      <w:r>
        <w:rPr>
          <w:rFonts w:hint="eastAsia" w:ascii="宋体" w:hAnsi="宋体" w:cs="宋体"/>
          <w:b/>
          <w:color w:val="000000" w:themeColor="text1"/>
          <w:kern w:val="0"/>
          <w:sz w:val="24"/>
          <w:highlight w:val="none"/>
          <w14:textFill>
            <w14:solidFill>
              <w14:schemeClr w14:val="tx1"/>
            </w14:solidFill>
          </w14:textFill>
        </w:rPr>
        <w:t>、获取招标文件方式：</w:t>
      </w:r>
    </w:p>
    <w:p w14:paraId="46F9B1DB">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网上下载-台州湾新区小额工程电子交易平台（</w:t>
      </w:r>
      <w:r>
        <w:rPr>
          <w:rFonts w:ascii="宋体" w:hAnsi="宋体" w:cs="宋体"/>
          <w:b/>
          <w:color w:val="000000" w:themeColor="text1"/>
          <w:kern w:val="0"/>
          <w:sz w:val="24"/>
          <w:highlight w:val="none"/>
          <w14:textFill>
            <w14:solidFill>
              <w14:schemeClr w14:val="tx1"/>
            </w14:solidFill>
          </w14:textFill>
        </w:rPr>
        <w:t>http://www.tzwztb.com/</w:t>
      </w:r>
      <w:r>
        <w:rPr>
          <w:rFonts w:hint="eastAsia" w:ascii="宋体" w:hAnsi="宋体" w:cs="宋体"/>
          <w:b/>
          <w:color w:val="000000" w:themeColor="text1"/>
          <w:kern w:val="0"/>
          <w:sz w:val="24"/>
          <w:highlight w:val="none"/>
          <w14:textFill>
            <w14:solidFill>
              <w14:schemeClr w14:val="tx1"/>
            </w14:solidFill>
          </w14:textFill>
        </w:rPr>
        <w:t>，输入平台注册的账号及密码再下载)</w:t>
      </w:r>
    </w:p>
    <w:p w14:paraId="088BED7E">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lang w:val="en-US" w:eastAsia="zh-CN"/>
          <w14:textFill>
            <w14:solidFill>
              <w14:schemeClr w14:val="tx1"/>
            </w14:solidFill>
          </w14:textFill>
        </w:rPr>
        <w:t>六</w:t>
      </w:r>
      <w:r>
        <w:rPr>
          <w:rFonts w:hint="eastAsia" w:ascii="宋体" w:hAnsi="宋体" w:cs="宋体"/>
          <w:b/>
          <w:color w:val="000000" w:themeColor="text1"/>
          <w:kern w:val="0"/>
          <w:sz w:val="24"/>
          <w:highlight w:val="none"/>
          <w14:textFill>
            <w14:solidFill>
              <w14:schemeClr w14:val="tx1"/>
            </w14:solidFill>
          </w14:textFill>
        </w:rPr>
        <w:t>、招标答疑会：</w:t>
      </w:r>
      <w:r>
        <w:rPr>
          <w:rFonts w:hint="eastAsia" w:ascii="宋体" w:hAnsi="宋体" w:cs="宋体"/>
          <w:color w:val="000000" w:themeColor="text1"/>
          <w:sz w:val="24"/>
          <w:highlight w:val="none"/>
          <w14:textFill>
            <w14:solidFill>
              <w14:schemeClr w14:val="tx1"/>
            </w14:solidFill>
          </w14:textFill>
        </w:rPr>
        <w:t>无。</w:t>
      </w:r>
    </w:p>
    <w:p w14:paraId="347BB165">
      <w:pPr>
        <w:snapToGrid w:val="0"/>
        <w:spacing w:line="360" w:lineRule="auto"/>
        <w:ind w:firstLine="482" w:firstLineChars="200"/>
        <w:jc w:val="left"/>
        <w:rPr>
          <w:rFonts w:ascii="宋体" w:hAnsi="宋体" w:cs="宋体"/>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七</w:t>
      </w:r>
      <w:r>
        <w:rPr>
          <w:rFonts w:hint="eastAsia" w:ascii="宋体" w:hAnsi="宋体" w:cs="宋体"/>
          <w:b/>
          <w:bCs/>
          <w:color w:val="000000" w:themeColor="text1"/>
          <w:sz w:val="24"/>
          <w:highlight w:val="none"/>
          <w14:textFill>
            <w14:solidFill>
              <w14:schemeClr w14:val="tx1"/>
            </w14:solidFill>
          </w14:textFill>
        </w:rPr>
        <w:t>、投标截止及时间和地点</w:t>
      </w:r>
      <w:r>
        <w:rPr>
          <w:rFonts w:hint="eastAsia" w:ascii="宋体" w:hAnsi="宋体" w:cs="宋体"/>
          <w:color w:val="000000" w:themeColor="text1"/>
          <w:sz w:val="24"/>
          <w:highlight w:val="none"/>
          <w14:textFill>
            <w14:solidFill>
              <w14:schemeClr w14:val="tx1"/>
            </w14:solidFill>
          </w14:textFill>
        </w:rPr>
        <w:t>：</w:t>
      </w:r>
    </w:p>
    <w:p w14:paraId="629E02DF">
      <w:pPr>
        <w:pStyle w:val="7"/>
        <w:snapToGrid w:val="0"/>
        <w:spacing w:before="0" w:beforeLines="0" w:after="0" w:afterLines="0"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1.投标人应于</w:t>
      </w:r>
      <w:r>
        <w:rPr>
          <w:rFonts w:hint="eastAsia" w:ascii="宋体" w:hAnsi="宋体" w:cs="宋体"/>
          <w:b/>
          <w:color w:val="auto"/>
          <w:sz w:val="24"/>
          <w:szCs w:val="24"/>
          <w:highlight w:val="none"/>
          <w:u w:val="single"/>
        </w:rPr>
        <w:t xml:space="preserve"> 202</w:t>
      </w:r>
      <w:r>
        <w:rPr>
          <w:rFonts w:hint="eastAsia" w:ascii="宋体" w:hAnsi="宋体" w:cs="宋体"/>
          <w:b/>
          <w:color w:val="auto"/>
          <w:sz w:val="24"/>
          <w:szCs w:val="24"/>
          <w:highlight w:val="none"/>
          <w:u w:val="single"/>
          <w:lang w:val="en-US" w:eastAsia="zh-CN"/>
        </w:rPr>
        <w:t>4</w:t>
      </w:r>
      <w:r>
        <w:rPr>
          <w:rFonts w:hint="eastAsia" w:ascii="宋体" w:hAnsi="宋体" w:cs="宋体"/>
          <w:b/>
          <w:color w:val="auto"/>
          <w:sz w:val="24"/>
          <w:szCs w:val="24"/>
          <w:highlight w:val="none"/>
        </w:rPr>
        <w:t>年</w:t>
      </w:r>
      <w:r>
        <w:rPr>
          <w:rFonts w:hint="eastAsia" w:ascii="宋体" w:hAnsi="宋体" w:cs="宋体"/>
          <w:b/>
          <w:color w:val="auto"/>
          <w:sz w:val="24"/>
          <w:szCs w:val="24"/>
          <w:highlight w:val="none"/>
          <w:u w:val="single"/>
          <w:lang w:val="en-US" w:eastAsia="zh-CN"/>
        </w:rPr>
        <w:t xml:space="preserve">  10  </w:t>
      </w:r>
      <w:r>
        <w:rPr>
          <w:rFonts w:hint="eastAsia" w:ascii="宋体" w:hAnsi="宋体" w:cs="宋体"/>
          <w:b/>
          <w:color w:val="auto"/>
          <w:sz w:val="24"/>
          <w:szCs w:val="24"/>
          <w:highlight w:val="none"/>
        </w:rPr>
        <w:t>月</w:t>
      </w:r>
      <w:r>
        <w:rPr>
          <w:rFonts w:hint="eastAsia" w:ascii="宋体" w:hAnsi="宋体" w:cs="宋体"/>
          <w:b/>
          <w:color w:val="auto"/>
          <w:sz w:val="24"/>
          <w:szCs w:val="24"/>
          <w:highlight w:val="none"/>
          <w:u w:val="single"/>
          <w:lang w:val="en-US" w:eastAsia="zh-CN"/>
        </w:rPr>
        <w:t xml:space="preserve"> 18  </w:t>
      </w:r>
      <w:r>
        <w:rPr>
          <w:rFonts w:hint="eastAsia" w:ascii="宋体" w:hAnsi="宋体" w:cs="宋体"/>
          <w:b/>
          <w:color w:val="auto"/>
          <w:sz w:val="24"/>
          <w:szCs w:val="24"/>
          <w:highlight w:val="none"/>
        </w:rPr>
        <w:t>日</w:t>
      </w:r>
      <w:r>
        <w:rPr>
          <w:rFonts w:hint="eastAsia" w:ascii="宋体" w:hAnsi="宋体" w:cs="宋体"/>
          <w:b/>
          <w:color w:val="auto"/>
          <w:sz w:val="24"/>
          <w:szCs w:val="24"/>
          <w:highlight w:val="none"/>
          <w:lang w:val="en-US" w:eastAsia="zh-CN"/>
        </w:rPr>
        <w:t>14</w:t>
      </w:r>
      <w:r>
        <w:rPr>
          <w:rFonts w:hint="eastAsia" w:ascii="宋体" w:hAnsi="宋体" w:cs="宋体"/>
          <w:b/>
          <w:color w:val="auto"/>
          <w:sz w:val="24"/>
          <w:szCs w:val="24"/>
          <w:highlight w:val="none"/>
        </w:rPr>
        <w:t>时</w:t>
      </w:r>
      <w:r>
        <w:rPr>
          <w:rFonts w:hint="eastAsia" w:ascii="宋体" w:hAnsi="宋体" w:cs="宋体"/>
          <w:b/>
          <w:color w:val="auto"/>
          <w:sz w:val="24"/>
          <w:szCs w:val="24"/>
          <w:highlight w:val="none"/>
          <w:lang w:val="en-US" w:eastAsia="zh-CN"/>
        </w:rPr>
        <w:t>30</w:t>
      </w:r>
      <w:r>
        <w:rPr>
          <w:rFonts w:hint="eastAsia" w:ascii="宋体" w:hAnsi="宋体" w:cs="宋体"/>
          <w:b/>
          <w:color w:val="auto"/>
          <w:sz w:val="24"/>
          <w:szCs w:val="24"/>
          <w:highlight w:val="none"/>
        </w:rPr>
        <w:t>分</w:t>
      </w:r>
      <w:r>
        <w:rPr>
          <w:rFonts w:hint="eastAsia" w:ascii="宋体" w:hAnsi="宋体" w:cs="宋体"/>
          <w:color w:val="auto"/>
          <w:sz w:val="24"/>
          <w:szCs w:val="24"/>
          <w:highlight w:val="none"/>
        </w:rPr>
        <w:t>（开标时间）之前将投标文件在台州湾新区小额工程电子交易平台（网址：</w:t>
      </w:r>
      <w:r>
        <w:rPr>
          <w:color w:val="auto"/>
          <w:sz w:val="24"/>
          <w:szCs w:val="24"/>
          <w:highlight w:val="none"/>
        </w:rPr>
        <w:fldChar w:fldCharType="begin"/>
      </w:r>
      <w:r>
        <w:rPr>
          <w:color w:val="auto"/>
          <w:sz w:val="24"/>
          <w:szCs w:val="24"/>
          <w:highlight w:val="none"/>
        </w:rPr>
        <w:instrText xml:space="preserve"> HYPERLINK "http://www.tzwztb.com/）进行在线提交；（样品须在投标截止时间前送至台州市椒江区开发大道东梦想园区海虹街道一楼大厅。" </w:instrText>
      </w:r>
      <w:r>
        <w:rPr>
          <w:color w:val="auto"/>
          <w:sz w:val="24"/>
          <w:szCs w:val="24"/>
          <w:highlight w:val="none"/>
        </w:rPr>
        <w:fldChar w:fldCharType="separate"/>
      </w:r>
      <w:r>
        <w:rPr>
          <w:rStyle w:val="43"/>
          <w:color w:val="auto"/>
          <w:sz w:val="24"/>
          <w:szCs w:val="24"/>
          <w:highlight w:val="none"/>
        </w:rPr>
        <w:t>http://www.tzwztb.com/</w:t>
      </w:r>
      <w:r>
        <w:rPr>
          <w:rStyle w:val="43"/>
          <w:rFonts w:hint="eastAsia" w:ascii="宋体" w:hAnsi="宋体" w:cs="宋体"/>
          <w:color w:val="auto"/>
          <w:sz w:val="24"/>
          <w:szCs w:val="24"/>
          <w:highlight w:val="none"/>
        </w:rPr>
        <w:t>）进行在线提交；样品须在投标截止时间前送至台州市椒江区开发大道东梦想园区海虹街道一楼大厅</w:t>
      </w:r>
      <w:r>
        <w:rPr>
          <w:rStyle w:val="43"/>
          <w:rFonts w:hint="eastAsia" w:ascii="宋体" w:hAnsi="宋体" w:cs="宋体"/>
          <w:color w:val="auto"/>
          <w:sz w:val="24"/>
          <w:szCs w:val="24"/>
          <w:highlight w:val="none"/>
          <w:lang w:eastAsia="zh-CN"/>
        </w:rPr>
        <w:t>。</w:t>
      </w:r>
      <w:r>
        <w:rPr>
          <w:color w:val="auto"/>
          <w:sz w:val="24"/>
          <w:szCs w:val="24"/>
          <w:highlight w:val="none"/>
        </w:rPr>
        <w:fldChar w:fldCharType="end"/>
      </w:r>
      <w:r>
        <w:rPr>
          <w:rFonts w:hint="eastAsia"/>
          <w:color w:val="auto"/>
          <w:sz w:val="24"/>
          <w:szCs w:val="24"/>
          <w:highlight w:val="none"/>
          <w:lang w:val="en-US" w:eastAsia="zh-CN"/>
        </w:rPr>
        <w:t>样品递交时间：</w:t>
      </w:r>
      <w:r>
        <w:rPr>
          <w:rFonts w:hint="eastAsia" w:ascii="宋体" w:hAnsi="宋体" w:cs="宋体"/>
          <w:bCs/>
          <w:color w:val="auto"/>
          <w:kern w:val="0"/>
          <w:sz w:val="24"/>
          <w:highlight w:val="none"/>
        </w:rPr>
        <w:t>202</w:t>
      </w:r>
      <w:r>
        <w:rPr>
          <w:rFonts w:hint="eastAsia" w:ascii="宋体" w:hAnsi="宋体" w:cs="宋体"/>
          <w:bCs/>
          <w:color w:val="auto"/>
          <w:kern w:val="0"/>
          <w:sz w:val="24"/>
          <w:highlight w:val="none"/>
          <w:lang w:val="en-US" w:eastAsia="zh-CN"/>
        </w:rPr>
        <w:t>4</w:t>
      </w:r>
      <w:r>
        <w:rPr>
          <w:rFonts w:hint="eastAsia" w:ascii="宋体" w:hAnsi="宋体" w:cs="宋体"/>
          <w:bCs/>
          <w:color w:val="auto"/>
          <w:kern w:val="0"/>
          <w:sz w:val="24"/>
          <w:highlight w:val="none"/>
        </w:rPr>
        <w:t>年</w:t>
      </w:r>
      <w:r>
        <w:rPr>
          <w:rFonts w:hint="eastAsia" w:ascii="宋体" w:hAnsi="宋体" w:cs="宋体"/>
          <w:bCs/>
          <w:color w:val="auto"/>
          <w:kern w:val="0"/>
          <w:sz w:val="24"/>
          <w:highlight w:val="none"/>
          <w:lang w:val="en-US" w:eastAsia="zh-CN"/>
        </w:rPr>
        <w:t xml:space="preserve"> 10 </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 xml:space="preserve"> 18 </w:t>
      </w:r>
      <w:r>
        <w:rPr>
          <w:rFonts w:hint="eastAsia" w:ascii="宋体" w:hAnsi="宋体" w:cs="宋体"/>
          <w:bCs/>
          <w:color w:val="auto"/>
          <w:kern w:val="0"/>
          <w:sz w:val="24"/>
          <w:highlight w:val="none"/>
        </w:rPr>
        <w:t>日</w:t>
      </w:r>
      <w:r>
        <w:rPr>
          <w:rFonts w:hint="eastAsia" w:ascii="宋体" w:hAnsi="宋体" w:cs="宋体"/>
          <w:bCs/>
          <w:color w:val="auto"/>
          <w:kern w:val="0"/>
          <w:sz w:val="24"/>
          <w:highlight w:val="none"/>
          <w:lang w:val="en-US" w:eastAsia="zh-CN"/>
        </w:rPr>
        <w:t>14：00</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14</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30</w:t>
      </w:r>
    </w:p>
    <w:p w14:paraId="4185C4B7">
      <w:pPr>
        <w:pStyle w:val="7"/>
        <w:snapToGrid w:val="0"/>
        <w:spacing w:before="0" w:beforeLines="0" w:after="0" w:afterLines="0"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①样品</w:t>
      </w:r>
      <w:r>
        <w:rPr>
          <w:rFonts w:hint="eastAsia" w:ascii="宋体" w:hAnsi="宋体" w:cs="宋体"/>
          <w:color w:val="auto"/>
          <w:sz w:val="24"/>
          <w:szCs w:val="24"/>
          <w:highlight w:val="none"/>
          <w:lang w:val="en-US" w:eastAsia="zh-CN"/>
        </w:rPr>
        <w:t>密封不作要求</w:t>
      </w:r>
      <w:r>
        <w:rPr>
          <w:rFonts w:hint="eastAsia" w:ascii="宋体" w:hAnsi="宋体" w:cs="宋体"/>
          <w:color w:val="auto"/>
          <w:sz w:val="24"/>
          <w:szCs w:val="24"/>
          <w:highlight w:val="none"/>
          <w:lang w:eastAsia="zh-CN"/>
        </w:rPr>
        <w:t>，样品</w:t>
      </w:r>
      <w:r>
        <w:rPr>
          <w:rFonts w:hint="eastAsia" w:ascii="宋体" w:hAnsi="宋体" w:cs="宋体"/>
          <w:color w:val="auto"/>
          <w:sz w:val="24"/>
          <w:szCs w:val="24"/>
          <w:highlight w:val="none"/>
          <w:lang w:val="en-US" w:eastAsia="zh-CN"/>
        </w:rPr>
        <w:t>建议备注</w:t>
      </w:r>
      <w:r>
        <w:rPr>
          <w:rFonts w:hint="eastAsia" w:ascii="宋体" w:hAnsi="宋体" w:cs="宋体"/>
          <w:color w:val="auto"/>
          <w:sz w:val="24"/>
          <w:szCs w:val="24"/>
          <w:highlight w:val="none"/>
          <w:lang w:eastAsia="zh-CN"/>
        </w:rPr>
        <w:t>单位名称、样品名称。由于质量不合格或运输等原因所造成的一切后果均由投标人自行承担。</w:t>
      </w:r>
    </w:p>
    <w:p w14:paraId="2D5B0A43">
      <w:pPr>
        <w:pStyle w:val="7"/>
        <w:snapToGrid w:val="0"/>
        <w:spacing w:before="0" w:beforeLines="0" w:after="0" w:afterLines="0"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②投标人未在上述规定时间内递交样品的，其样品将不予接收。</w:t>
      </w:r>
    </w:p>
    <w:p w14:paraId="357A4C4D">
      <w:pPr>
        <w:pStyle w:val="7"/>
        <w:snapToGrid w:val="0"/>
        <w:spacing w:before="0" w:beforeLines="0" w:after="0" w:afterLines="0"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③中标单位样品由采购人封存，供验收参考。未中标的样品由投标人在评标结束当天自行取回。送样品一切费用，由投标方自行承担。</w:t>
      </w:r>
    </w:p>
    <w:p w14:paraId="2E0E4287">
      <w:pPr>
        <w:pStyle w:val="7"/>
        <w:snapToGrid w:val="0"/>
        <w:spacing w:before="0" w:beforeLines="0" w:after="0" w:afterLines="0"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auto"/>
          <w:sz w:val="24"/>
          <w:szCs w:val="24"/>
          <w:highlight w:val="none"/>
          <w:lang w:eastAsia="zh-CN"/>
        </w:rPr>
        <w:t>联系人:蔡永正、</w:t>
      </w:r>
      <w:r>
        <w:rPr>
          <w:rFonts w:hint="eastAsia" w:ascii="宋体" w:hAnsi="宋体" w:cs="宋体"/>
          <w:color w:val="auto"/>
          <w:sz w:val="24"/>
          <w:szCs w:val="24"/>
          <w:highlight w:val="none"/>
          <w:lang w:val="en-US" w:eastAsia="zh-CN"/>
        </w:rPr>
        <w:t>戴萍</w:t>
      </w:r>
      <w:r>
        <w:rPr>
          <w:rFonts w:hint="eastAsia" w:ascii="宋体" w:hAnsi="宋体" w:cs="宋体"/>
          <w:color w:val="auto"/>
          <w:sz w:val="24"/>
          <w:szCs w:val="24"/>
          <w:highlight w:val="none"/>
          <w:lang w:eastAsia="zh-CN"/>
        </w:rPr>
        <w:t>，联系方式:13454667697、0576-</w:t>
      </w:r>
      <w:r>
        <w:rPr>
          <w:rFonts w:hint="eastAsia" w:ascii="宋体" w:hAnsi="宋体" w:cs="宋体"/>
          <w:color w:val="auto"/>
          <w:sz w:val="24"/>
          <w:szCs w:val="24"/>
          <w:highlight w:val="none"/>
          <w:lang w:val="en-US" w:eastAsia="zh-CN"/>
        </w:rPr>
        <w:t>88550073</w:t>
      </w:r>
      <w:r>
        <w:rPr>
          <w:rFonts w:hint="eastAsia" w:ascii="宋体" w:hAnsi="宋体" w:cs="宋体"/>
          <w:color w:val="auto"/>
          <w:sz w:val="24"/>
          <w:szCs w:val="24"/>
          <w:highlight w:val="none"/>
        </w:rPr>
        <w:t>）</w:t>
      </w:r>
    </w:p>
    <w:p w14:paraId="57F3870F">
      <w:pPr>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投标人应在投标截止时间前缴纳保证金（或购买电子保函，电子保函截止时间为开标前一工作日下午16点前）。</w:t>
      </w:r>
    </w:p>
    <w:p w14:paraId="17CCC03B">
      <w:pPr>
        <w:snapToGrid w:val="0"/>
        <w:spacing w:line="360" w:lineRule="auto"/>
        <w:ind w:firstLine="482"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八</w:t>
      </w:r>
      <w:r>
        <w:rPr>
          <w:rFonts w:hint="eastAsia" w:ascii="宋体" w:hAnsi="宋体" w:cs="宋体"/>
          <w:b/>
          <w:bCs/>
          <w:color w:val="000000" w:themeColor="text1"/>
          <w:sz w:val="24"/>
          <w:highlight w:val="none"/>
          <w14:textFill>
            <w14:solidFill>
              <w14:schemeClr w14:val="tx1"/>
            </w14:solidFill>
          </w14:textFill>
        </w:rPr>
        <w:t>、开标时间及地点</w:t>
      </w:r>
      <w:r>
        <w:rPr>
          <w:rFonts w:hint="eastAsia" w:ascii="宋体" w:hAnsi="宋体" w:cs="宋体"/>
          <w:color w:val="000000" w:themeColor="text1"/>
          <w:sz w:val="24"/>
          <w:highlight w:val="none"/>
          <w14:textFill>
            <w14:solidFill>
              <w14:schemeClr w14:val="tx1"/>
            </w14:solidFill>
          </w14:textFill>
        </w:rPr>
        <w:t>：</w:t>
      </w:r>
    </w:p>
    <w:p w14:paraId="2AE4A9EB">
      <w:pPr>
        <w:snapToGrid w:val="0"/>
        <w:spacing w:line="360" w:lineRule="auto"/>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开标时间与投标截止时间相同。（投标人代表一律不参加现场开标，开标过程中投标人、招标人可通过在线直播参与监督开标过程。直播网络地址：www.tzwztb.com/live/。</w:t>
      </w:r>
    </w:p>
    <w:p w14:paraId="18CD3AF5">
      <w:pPr>
        <w:snapToGrid w:val="0"/>
        <w:spacing w:line="360" w:lineRule="auto"/>
        <w:ind w:firstLine="482"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九</w:t>
      </w:r>
      <w:r>
        <w:rPr>
          <w:rFonts w:hint="eastAsia" w:ascii="宋体" w:hAnsi="宋体" w:cs="宋体"/>
          <w:b/>
          <w:bCs/>
          <w:color w:val="000000" w:themeColor="text1"/>
          <w:sz w:val="24"/>
          <w:highlight w:val="none"/>
          <w14:textFill>
            <w14:solidFill>
              <w14:schemeClr w14:val="tx1"/>
            </w14:solidFill>
          </w14:textFill>
        </w:rPr>
        <w:t>、投标保证金</w:t>
      </w:r>
      <w:r>
        <w:rPr>
          <w:rFonts w:hint="eastAsia" w:ascii="宋体" w:hAnsi="宋体" w:cs="宋体"/>
          <w:color w:val="000000" w:themeColor="text1"/>
          <w:sz w:val="24"/>
          <w:highlight w:val="none"/>
          <w14:textFill>
            <w14:solidFill>
              <w14:schemeClr w14:val="tx1"/>
            </w14:solidFill>
          </w14:textFill>
        </w:rPr>
        <w:t>：</w:t>
      </w:r>
    </w:p>
    <w:p w14:paraId="5B7D5CC0">
      <w:pPr>
        <w:tabs>
          <w:tab w:val="left" w:pos="180"/>
          <w:tab w:val="left" w:pos="360"/>
          <w:tab w:val="left" w:pos="540"/>
          <w:tab w:val="left" w:pos="8280"/>
        </w:tabs>
        <w:autoSpaceDE w:val="0"/>
        <w:autoSpaceDN w:val="0"/>
        <w:adjustRightInd w:val="0"/>
        <w:spacing w:line="360" w:lineRule="auto"/>
        <w:ind w:firstLine="480" w:firstLineChars="200"/>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w:t>
      </w:r>
      <w:r>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t>投标保证金金额：</w:t>
      </w:r>
      <w:r>
        <w:rPr>
          <w:rFonts w:hint="eastAsia" w:ascii="宋体" w:hAnsi="宋体" w:cs="宋体"/>
          <w:b/>
          <w:bCs w:val="0"/>
          <w:color w:val="000000" w:themeColor="text1"/>
          <w:kern w:val="0"/>
          <w:sz w:val="24"/>
          <w:szCs w:val="24"/>
          <w:highlight w:val="none"/>
          <w:lang w:val="en-US" w:eastAsia="zh-CN" w:bidi="ar-SA"/>
          <w14:textFill>
            <w14:solidFill>
              <w14:schemeClr w14:val="tx1"/>
            </w14:solidFill>
          </w14:textFill>
        </w:rPr>
        <w:t>30000</w:t>
      </w:r>
      <w:r>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t>元。</w:t>
      </w:r>
    </w:p>
    <w:p w14:paraId="1BCB30B9">
      <w:pPr>
        <w:pStyle w:val="36"/>
        <w:spacing w:after="0" w:line="360" w:lineRule="auto"/>
        <w:ind w:left="0" w:leftChars="0" w:firstLine="480"/>
        <w:rPr>
          <w:rFonts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2.投标保证金缴纳方式（任选一种）：现金转账、银行保函、保险机构保证保险保单、融资担保公司保函。</w:t>
      </w:r>
    </w:p>
    <w:p w14:paraId="728A481B">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（1）现金转账</w:t>
      </w:r>
    </w:p>
    <w:p w14:paraId="5A78F266">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14:paraId="4BA6D1E0">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②投标人缴纳的投标保证金必须在投标截止时间前到达上述指定账户，否则导致投标无效等后果由投标人自行承担。另外须注意双休日银行柜台休息对公对公转账的影响。开标结束后，未中标投标单位及时返还;中标人的投标保证金由招标人暂时保管，待履约担保办理完毕并签订施工合同后，招标人返还中标人。</w:t>
      </w:r>
    </w:p>
    <w:p w14:paraId="535E6117">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（2）银行保函、保险机构保证保险保单、融资担保公司保函（以下合称“工程保函”）</w:t>
      </w:r>
    </w:p>
    <w:p w14:paraId="6331CAFE">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①工程保函的受益人</w:t>
      </w:r>
      <w:r>
        <w:rPr>
          <w:rFonts w:hint="eastAsia" w:ascii="宋体" w:hAnsi="宋体" w:eastAsia="宋体" w:cs="宋体"/>
          <w:bCs/>
          <w:kern w:val="0"/>
          <w:sz w:val="24"/>
          <w:highlight w:val="none"/>
          <w:u w:val="single"/>
        </w:rPr>
        <w:t>：</w:t>
      </w:r>
      <w:r>
        <w:rPr>
          <w:rFonts w:hint="eastAsia" w:ascii="宋体" w:hAnsi="宋体" w:cs="宋体"/>
          <w:bCs/>
          <w:kern w:val="0"/>
          <w:sz w:val="24"/>
          <w:highlight w:val="none"/>
          <w:u w:val="single"/>
          <w:lang w:eastAsia="zh-CN"/>
        </w:rPr>
        <w:t>台州东游文化旅游发展有限公司</w:t>
      </w:r>
      <w:r>
        <w:rPr>
          <w:rFonts w:hint="eastAsia" w:ascii="宋体" w:hAnsi="宋体" w:cs="宋体"/>
          <w:bCs/>
          <w:kern w:val="0"/>
          <w:sz w:val="24"/>
          <w:highlight w:val="none"/>
        </w:rPr>
        <w:t>（招标人名称）；</w:t>
      </w:r>
    </w:p>
    <w:p w14:paraId="23E744C4">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②工程保函的有效期为1年；</w:t>
      </w:r>
    </w:p>
    <w:p w14:paraId="3CA1A825">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③递交方式：</w:t>
      </w:r>
    </w:p>
    <w:p w14:paraId="0C735971">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递交方式一（电子保函系统）：</w:t>
      </w:r>
    </w:p>
    <w:p w14:paraId="2CB8FC1B">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通过台州湾新区小额工程电子交易平台选择“电子保函”递交方式，并按系统流程进行操作、购买电子保函。</w:t>
      </w:r>
    </w:p>
    <w:p w14:paraId="75A482CA">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u w:val="single"/>
        </w:rPr>
      </w:pPr>
      <w:r>
        <w:rPr>
          <w:rFonts w:hint="eastAsia" w:ascii="宋体" w:hAnsi="宋体" w:cs="宋体"/>
          <w:bCs/>
          <w:kern w:val="0"/>
          <w:sz w:val="24"/>
          <w:highlight w:val="none"/>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p>
    <w:p w14:paraId="5C4B1655">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递交方式二（非电子保函系统）：</w:t>
      </w:r>
    </w:p>
    <w:p w14:paraId="50FD4B56">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 xml:space="preserve">投标人须在投标截止时间前将工程保函纸质原件、基本账户证明材料复印件（加盖公章）、保费支付的银行回单一并按要求递交。 </w:t>
      </w:r>
    </w:p>
    <w:p w14:paraId="0DC2524E">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递交方式：现场递交。</w:t>
      </w:r>
    </w:p>
    <w:p w14:paraId="329FA6FA">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提交地点：</w:t>
      </w:r>
      <w:r>
        <w:rPr>
          <w:rFonts w:hint="eastAsia" w:ascii="宋体" w:hAnsi="宋体" w:cs="宋体"/>
          <w:bCs/>
          <w:kern w:val="0"/>
          <w:sz w:val="24"/>
          <w:highlight w:val="none"/>
          <w:u w:val="single"/>
        </w:rPr>
        <w:t>台州湾新区海虹街道一楼大厅</w:t>
      </w:r>
    </w:p>
    <w:p w14:paraId="2A0C4970">
      <w:pPr>
        <w:tabs>
          <w:tab w:val="left" w:pos="180"/>
          <w:tab w:val="left" w:pos="360"/>
          <w:tab w:val="left" w:pos="540"/>
          <w:tab w:val="left" w:pos="8280"/>
        </w:tabs>
        <w:autoSpaceDE w:val="0"/>
        <w:autoSpaceDN w:val="0"/>
        <w:adjustRightInd w:val="0"/>
        <w:spacing w:line="360" w:lineRule="auto"/>
        <w:ind w:firstLine="480" w:firstLineChars="200"/>
        <w:jc w:val="left"/>
        <w:rPr>
          <w:rFonts w:hint="default" w:ascii="宋体" w:hAnsi="宋体" w:eastAsia="宋体" w:cs="宋体"/>
          <w:bCs/>
          <w:kern w:val="0"/>
          <w:sz w:val="24"/>
          <w:highlight w:val="none"/>
          <w:lang w:val="en-US" w:eastAsia="zh-CN"/>
        </w:rPr>
      </w:pPr>
      <w:r>
        <w:rPr>
          <w:rFonts w:hint="eastAsia" w:ascii="宋体" w:hAnsi="宋体" w:cs="宋体"/>
          <w:bCs/>
          <w:kern w:val="0"/>
          <w:sz w:val="24"/>
          <w:highlight w:val="none"/>
        </w:rPr>
        <w:t>提交时间：</w:t>
      </w:r>
      <w:r>
        <w:rPr>
          <w:rFonts w:ascii="宋体" w:hAnsi="宋体" w:cs="宋体"/>
          <w:bCs/>
          <w:kern w:val="0"/>
          <w:sz w:val="24"/>
          <w:highlight w:val="none"/>
          <w:u w:val="single"/>
        </w:rPr>
        <w:t>202</w:t>
      </w:r>
      <w:r>
        <w:rPr>
          <w:rFonts w:hint="eastAsia" w:ascii="宋体" w:hAnsi="宋体" w:cs="宋体"/>
          <w:bCs/>
          <w:kern w:val="0"/>
          <w:sz w:val="24"/>
          <w:highlight w:val="none"/>
          <w:u w:val="single"/>
          <w:lang w:val="en-US" w:eastAsia="zh-CN"/>
        </w:rPr>
        <w:t>4</w:t>
      </w:r>
      <w:r>
        <w:rPr>
          <w:rFonts w:ascii="宋体" w:hAnsi="宋体" w:cs="宋体"/>
          <w:bCs/>
          <w:kern w:val="0"/>
          <w:sz w:val="24"/>
          <w:highlight w:val="none"/>
          <w:u w:val="single"/>
        </w:rPr>
        <w:t>年</w:t>
      </w:r>
      <w:r>
        <w:rPr>
          <w:rFonts w:hint="eastAsia" w:ascii="宋体" w:hAnsi="宋体" w:cs="宋体"/>
          <w:bCs/>
          <w:kern w:val="0"/>
          <w:sz w:val="24"/>
          <w:highlight w:val="none"/>
          <w:u w:val="single"/>
          <w:lang w:val="en-US" w:eastAsia="zh-CN"/>
        </w:rPr>
        <w:t xml:space="preserve"> 10 </w:t>
      </w:r>
      <w:r>
        <w:rPr>
          <w:rFonts w:ascii="宋体" w:hAnsi="宋体" w:cs="宋体"/>
          <w:bCs/>
          <w:kern w:val="0"/>
          <w:sz w:val="24"/>
          <w:highlight w:val="none"/>
          <w:u w:val="single"/>
        </w:rPr>
        <w:t>月</w:t>
      </w:r>
      <w:r>
        <w:rPr>
          <w:rFonts w:hint="eastAsia" w:ascii="宋体" w:hAnsi="宋体" w:cs="宋体"/>
          <w:bCs/>
          <w:kern w:val="0"/>
          <w:sz w:val="24"/>
          <w:highlight w:val="none"/>
          <w:u w:val="single"/>
          <w:lang w:val="en-US" w:eastAsia="zh-CN"/>
        </w:rPr>
        <w:t xml:space="preserve"> 18 </w:t>
      </w:r>
      <w:r>
        <w:rPr>
          <w:rFonts w:ascii="宋体" w:hAnsi="宋体" w:cs="宋体"/>
          <w:bCs/>
          <w:kern w:val="0"/>
          <w:sz w:val="24"/>
          <w:highlight w:val="none"/>
          <w:u w:val="single"/>
        </w:rPr>
        <w:t>日</w:t>
      </w:r>
      <w:r>
        <w:rPr>
          <w:rFonts w:hint="eastAsia" w:ascii="宋体" w:hAnsi="宋体" w:cs="宋体"/>
          <w:bCs/>
          <w:kern w:val="0"/>
          <w:sz w:val="24"/>
          <w:highlight w:val="none"/>
          <w:u w:val="single"/>
          <w:lang w:val="en-US" w:eastAsia="zh-CN"/>
        </w:rPr>
        <w:t>14</w:t>
      </w:r>
      <w:r>
        <w:rPr>
          <w:rFonts w:ascii="宋体" w:hAnsi="宋体" w:cs="宋体"/>
          <w:bCs/>
          <w:kern w:val="0"/>
          <w:sz w:val="24"/>
          <w:highlight w:val="none"/>
          <w:u w:val="single"/>
        </w:rPr>
        <w:t>：</w:t>
      </w:r>
      <w:r>
        <w:rPr>
          <w:rFonts w:hint="eastAsia" w:ascii="宋体" w:hAnsi="宋体" w:cs="宋体"/>
          <w:bCs/>
          <w:kern w:val="0"/>
          <w:sz w:val="24"/>
          <w:highlight w:val="none"/>
          <w:u w:val="single"/>
          <w:lang w:val="en-US" w:eastAsia="zh-CN"/>
        </w:rPr>
        <w:t>00</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14</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30</w:t>
      </w:r>
    </w:p>
    <w:p w14:paraId="5F5B3B14">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接收人：</w:t>
      </w:r>
      <w:r>
        <w:rPr>
          <w:rFonts w:hint="eastAsia" w:ascii="宋体" w:hAnsi="宋体" w:cs="宋体"/>
          <w:bCs/>
          <w:kern w:val="0"/>
          <w:sz w:val="24"/>
          <w:highlight w:val="none"/>
          <w:u w:val="single"/>
          <w:lang w:eastAsia="zh-CN"/>
        </w:rPr>
        <w:t>建经投资咨询有限公司</w:t>
      </w:r>
      <w:r>
        <w:rPr>
          <w:rFonts w:hint="eastAsia" w:ascii="宋体" w:hAnsi="宋体" w:cs="宋体"/>
          <w:bCs/>
          <w:kern w:val="0"/>
          <w:sz w:val="24"/>
          <w:highlight w:val="none"/>
        </w:rPr>
        <w:t>（代理机构）</w:t>
      </w:r>
    </w:p>
    <w:p w14:paraId="53B25827">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接收人联系方式：</w:t>
      </w:r>
      <w:r>
        <w:rPr>
          <w:rFonts w:hint="eastAsia" w:ascii="宋体" w:hAnsi="宋体" w:cs="宋体"/>
          <w:bCs/>
          <w:kern w:val="0"/>
          <w:sz w:val="24"/>
          <w:highlight w:val="none"/>
          <w:u w:val="single"/>
        </w:rPr>
        <w:t>0576-</w:t>
      </w:r>
      <w:r>
        <w:rPr>
          <w:rFonts w:hint="eastAsia" w:ascii="宋体" w:hAnsi="宋体" w:cs="宋体"/>
          <w:bCs/>
          <w:kern w:val="0"/>
          <w:sz w:val="24"/>
          <w:highlight w:val="none"/>
          <w:u w:val="single"/>
          <w:lang w:val="en-US" w:eastAsia="zh-CN"/>
        </w:rPr>
        <w:t>88550073</w:t>
      </w:r>
      <w:r>
        <w:rPr>
          <w:rFonts w:ascii="宋体" w:hAnsi="宋体" w:cs="宋体"/>
          <w:bCs/>
          <w:kern w:val="0"/>
          <w:sz w:val="24"/>
          <w:highlight w:val="none"/>
          <w:u w:val="single"/>
        </w:rPr>
        <w:t xml:space="preserve"> </w:t>
      </w:r>
      <w:r>
        <w:rPr>
          <w:rFonts w:hint="eastAsia" w:ascii="宋体" w:hAnsi="宋体" w:cs="宋体"/>
          <w:bCs/>
          <w:kern w:val="0"/>
          <w:sz w:val="24"/>
          <w:highlight w:val="none"/>
        </w:rPr>
        <w:t xml:space="preserve"> </w:t>
      </w:r>
    </w:p>
    <w:p w14:paraId="441D43BC">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
          <w:kern w:val="0"/>
          <w:sz w:val="24"/>
          <w:highlight w:val="none"/>
        </w:rPr>
      </w:pPr>
      <w:r>
        <w:rPr>
          <w:rFonts w:hint="eastAsia" w:ascii="宋体" w:hAnsi="宋体" w:cs="宋体"/>
          <w:bCs/>
          <w:kern w:val="0"/>
          <w:sz w:val="24"/>
          <w:highlight w:val="none"/>
        </w:rPr>
        <w:t>注：投标保函文件中必须包含投标企业的信息，包含但不仅限于投标企业名称、保证方式、保证金额、保函获得时间、保证项目名称、保函有效期限、保费标准、费用支付账户（基本账户）等。工程保函的保险（保证）责任必须包括本招标文件“投标人须知三（</w:t>
      </w:r>
      <w:r>
        <w:rPr>
          <w:rFonts w:hint="eastAsia" w:ascii="宋体" w:hAnsi="宋体" w:cs="宋体"/>
          <w:bCs/>
          <w:kern w:val="0"/>
          <w:sz w:val="24"/>
          <w:highlight w:val="none"/>
          <w:lang w:val="en-US" w:eastAsia="zh-CN"/>
        </w:rPr>
        <w:t>五</w:t>
      </w:r>
      <w:r>
        <w:rPr>
          <w:rFonts w:hint="eastAsia" w:ascii="宋体" w:hAnsi="宋体" w:cs="宋体"/>
          <w:bCs/>
          <w:kern w:val="0"/>
          <w:sz w:val="24"/>
          <w:highlight w:val="none"/>
        </w:rPr>
        <w:t>）4”所列条款。</w:t>
      </w:r>
    </w:p>
    <w:p w14:paraId="2C6C6E7C">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bCs/>
          <w:kern w:val="0"/>
          <w:sz w:val="24"/>
          <w:highlight w:val="none"/>
        </w:rPr>
      </w:pPr>
      <w:r>
        <w:rPr>
          <w:rFonts w:hint="eastAsia" w:ascii="宋体" w:hAnsi="宋体" w:eastAsia="宋体" w:cs="宋体"/>
          <w:bCs/>
          <w:kern w:val="0"/>
          <w:sz w:val="24"/>
          <w:highlight w:val="none"/>
        </w:rPr>
        <w:t>3、注意事项</w:t>
      </w:r>
    </w:p>
    <w:p w14:paraId="6365B2E8">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eastAsia="宋体" w:cs="宋体"/>
          <w:b/>
          <w:bCs w:val="0"/>
          <w:kern w:val="0"/>
          <w:sz w:val="24"/>
          <w:highlight w:val="none"/>
        </w:rPr>
      </w:pPr>
      <w:r>
        <w:rPr>
          <w:rFonts w:hint="eastAsia" w:ascii="宋体" w:hAnsi="宋体" w:eastAsia="宋体" w:cs="宋体"/>
          <w:b/>
          <w:bCs w:val="0"/>
          <w:kern w:val="0"/>
          <w:sz w:val="24"/>
          <w:highlight w:val="none"/>
        </w:rPr>
        <w:t>①若招标文件允许联合体投标且投标人以联合体身份投标的，由联合体牵头人提交投标保证金；</w:t>
      </w:r>
    </w:p>
    <w:p w14:paraId="72F4E313">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eastAsia="宋体" w:cs="宋体"/>
          <w:b/>
          <w:bCs w:val="0"/>
          <w:kern w:val="0"/>
          <w:sz w:val="24"/>
          <w:highlight w:val="none"/>
        </w:rPr>
      </w:pPr>
      <w:r>
        <w:rPr>
          <w:rFonts w:hint="eastAsia" w:ascii="宋体" w:hAnsi="宋体" w:eastAsia="宋体" w:cs="宋体"/>
          <w:b/>
          <w:bCs w:val="0"/>
          <w:kern w:val="0"/>
          <w:sz w:val="24"/>
          <w:highlight w:val="none"/>
        </w:rPr>
        <w:t>②以银行转账形式提交的投标保证金应当从投标人基本账户转出，购买工程保函的费用应当从投标人基本账户支付；</w:t>
      </w:r>
    </w:p>
    <w:p w14:paraId="44968D9F">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eastAsia="宋体" w:cs="宋体"/>
          <w:b/>
          <w:bCs w:val="0"/>
          <w:kern w:val="0"/>
          <w:sz w:val="24"/>
          <w:highlight w:val="none"/>
        </w:rPr>
      </w:pPr>
      <w:r>
        <w:rPr>
          <w:rFonts w:hint="eastAsia" w:ascii="宋体" w:hAnsi="宋体" w:eastAsia="宋体" w:cs="宋体"/>
          <w:b/>
          <w:bCs w:val="0"/>
          <w:kern w:val="0"/>
          <w:sz w:val="24"/>
          <w:highlight w:val="none"/>
        </w:rPr>
        <w:t>③若有疑问，请咨询技术服务热线：13454667697</w:t>
      </w:r>
    </w:p>
    <w:p w14:paraId="05E15D77">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eastAsia="宋体" w:cs="宋体"/>
          <w:b/>
          <w:bCs w:val="0"/>
          <w:kern w:val="0"/>
          <w:sz w:val="24"/>
          <w:highlight w:val="none"/>
        </w:rPr>
      </w:pPr>
      <w:r>
        <w:rPr>
          <w:rFonts w:hint="eastAsia" w:ascii="宋体" w:hAnsi="宋体" w:eastAsia="宋体" w:cs="宋体"/>
          <w:b/>
          <w:bCs w:val="0"/>
          <w:kern w:val="0"/>
          <w:sz w:val="24"/>
          <w:highlight w:val="none"/>
        </w:rPr>
        <w:t>④以上未按要求提供或提供不清晰的，评标委员会可能做出不利于投标人的评审结果，由此造成的风险由投标人自行承担。</w:t>
      </w:r>
    </w:p>
    <w:p w14:paraId="6B13CEB4">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color w:val="000000"/>
          <w:kern w:val="0"/>
          <w:sz w:val="24"/>
          <w:highlight w:val="none"/>
        </w:rPr>
      </w:pPr>
      <w:r>
        <w:rPr>
          <w:rFonts w:hint="eastAsia" w:ascii="宋体" w:hAnsi="宋体" w:cs="宋体"/>
          <w:b/>
          <w:kern w:val="0"/>
          <w:sz w:val="24"/>
          <w:highlight w:val="none"/>
        </w:rPr>
        <w:t>4、</w:t>
      </w:r>
      <w:r>
        <w:rPr>
          <w:rFonts w:hint="eastAsia" w:ascii="宋体" w:hAnsi="宋体" w:cs="宋体"/>
          <w:bCs/>
          <w:kern w:val="0"/>
          <w:sz w:val="24"/>
          <w:highlight w:val="none"/>
        </w:rPr>
        <w:t>购买工程电子保函截止时间：</w:t>
      </w:r>
      <w:r>
        <w:rPr>
          <w:rFonts w:hint="eastAsia" w:ascii="宋体" w:hAnsi="宋体" w:cs="宋体"/>
          <w:b/>
          <w:bCs/>
          <w:color w:val="000000"/>
          <w:kern w:val="0"/>
          <w:sz w:val="24"/>
          <w:highlight w:val="none"/>
          <w:u w:val="single"/>
        </w:rPr>
        <w:t xml:space="preserve"> 202</w:t>
      </w:r>
      <w:r>
        <w:rPr>
          <w:rFonts w:hint="eastAsia" w:ascii="宋体" w:hAnsi="宋体" w:cs="宋体"/>
          <w:b/>
          <w:bCs/>
          <w:color w:val="000000"/>
          <w:kern w:val="0"/>
          <w:sz w:val="24"/>
          <w:highlight w:val="none"/>
          <w:u w:val="single"/>
          <w:lang w:val="en-US" w:eastAsia="zh-CN"/>
        </w:rPr>
        <w:t>4</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rPr>
        <w:t>年</w:t>
      </w:r>
      <w:r>
        <w:rPr>
          <w:rFonts w:hint="eastAsia" w:ascii="宋体" w:hAnsi="宋体" w:cs="宋体"/>
          <w:b/>
          <w:bCs/>
          <w:color w:val="000000"/>
          <w:kern w:val="0"/>
          <w:sz w:val="24"/>
          <w:highlight w:val="none"/>
          <w:u w:val="single"/>
          <w:lang w:val="en-US" w:eastAsia="zh-CN"/>
        </w:rPr>
        <w:t xml:space="preserve">  10 </w:t>
      </w:r>
      <w:r>
        <w:rPr>
          <w:rFonts w:hint="eastAsia" w:ascii="宋体" w:hAnsi="宋体" w:cs="宋体"/>
          <w:b/>
          <w:bCs/>
          <w:color w:val="000000"/>
          <w:kern w:val="0"/>
          <w:sz w:val="24"/>
          <w:highlight w:val="none"/>
        </w:rPr>
        <w:t>月</w:t>
      </w:r>
      <w:r>
        <w:rPr>
          <w:rFonts w:hint="eastAsia" w:ascii="宋体" w:hAnsi="宋体" w:cs="宋体"/>
          <w:b/>
          <w:bCs/>
          <w:color w:val="000000"/>
          <w:kern w:val="0"/>
          <w:sz w:val="24"/>
          <w:highlight w:val="none"/>
          <w:u w:val="single"/>
          <w:lang w:val="en-US" w:eastAsia="zh-CN"/>
        </w:rPr>
        <w:t xml:space="preserve"> 17 </w:t>
      </w:r>
      <w:r>
        <w:rPr>
          <w:rFonts w:hint="eastAsia" w:ascii="宋体" w:hAnsi="宋体" w:cs="宋体"/>
          <w:b/>
          <w:bCs/>
          <w:color w:val="000000"/>
          <w:kern w:val="0"/>
          <w:sz w:val="24"/>
          <w:highlight w:val="none"/>
        </w:rPr>
        <w:t>下午16点前</w:t>
      </w:r>
    </w:p>
    <w:p w14:paraId="76AD6335">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十、相关注意事项：</w:t>
      </w:r>
    </w:p>
    <w:p w14:paraId="497AFA2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1、投标人通过在交易场所（发布</w:t>
      </w:r>
      <w:r>
        <w:rPr>
          <w:rFonts w:hint="eastAsia" w:ascii="宋体" w:hAnsi="宋体" w:cs="宋体"/>
          <w:sz w:val="24"/>
          <w:highlight w:val="none"/>
          <w:lang w:val="en-US" w:eastAsia="zh-CN"/>
        </w:rPr>
        <w:t>采购</w:t>
      </w:r>
      <w:r>
        <w:rPr>
          <w:rFonts w:hint="eastAsia" w:ascii="宋体" w:hAnsi="宋体" w:cs="宋体"/>
          <w:sz w:val="24"/>
          <w:highlight w:val="none"/>
        </w:rPr>
        <w:t>公告的媒体上）自行下载的方式获取</w:t>
      </w:r>
      <w:r>
        <w:rPr>
          <w:rFonts w:hint="eastAsia" w:ascii="宋体" w:hAnsi="宋体" w:cs="宋体"/>
          <w:sz w:val="24"/>
          <w:highlight w:val="none"/>
          <w:lang w:val="en-US" w:eastAsia="zh-CN"/>
        </w:rPr>
        <w:t>采购</w:t>
      </w:r>
      <w:r>
        <w:rPr>
          <w:rFonts w:hint="eastAsia" w:ascii="宋体" w:hAnsi="宋体" w:cs="宋体"/>
          <w:sz w:val="24"/>
          <w:highlight w:val="none"/>
        </w:rPr>
        <w:t>文件及相关附件。投标人在获取</w:t>
      </w:r>
      <w:r>
        <w:rPr>
          <w:rFonts w:hint="eastAsia" w:ascii="宋体" w:hAnsi="宋体" w:cs="宋体"/>
          <w:sz w:val="24"/>
          <w:highlight w:val="none"/>
          <w:lang w:val="en-US" w:eastAsia="zh-CN"/>
        </w:rPr>
        <w:t>采购</w:t>
      </w:r>
      <w:r>
        <w:rPr>
          <w:rFonts w:hint="eastAsia" w:ascii="宋体" w:hAnsi="宋体" w:cs="宋体"/>
          <w:sz w:val="24"/>
          <w:highlight w:val="none"/>
        </w:rPr>
        <w:t>文件后，应仔细检查招标文件的所有内容，如有残缺等问题建议自</w:t>
      </w:r>
      <w:r>
        <w:rPr>
          <w:rFonts w:hint="eastAsia" w:ascii="宋体" w:hAnsi="宋体" w:cs="宋体"/>
          <w:sz w:val="24"/>
          <w:highlight w:val="none"/>
          <w:lang w:val="en-US" w:eastAsia="zh-CN"/>
        </w:rPr>
        <w:t>采购</w:t>
      </w:r>
      <w:r>
        <w:rPr>
          <w:rFonts w:hint="eastAsia" w:ascii="宋体" w:hAnsi="宋体" w:cs="宋体"/>
          <w:sz w:val="24"/>
          <w:highlight w:val="none"/>
        </w:rPr>
        <w:t>文件发布在交易场所（发布</w:t>
      </w:r>
      <w:r>
        <w:rPr>
          <w:rFonts w:hint="eastAsia" w:ascii="宋体" w:hAnsi="宋体" w:cs="宋体"/>
          <w:sz w:val="24"/>
          <w:highlight w:val="none"/>
          <w:lang w:val="en-US" w:eastAsia="zh-CN"/>
        </w:rPr>
        <w:t>采购</w:t>
      </w:r>
      <w:r>
        <w:rPr>
          <w:rFonts w:hint="eastAsia" w:ascii="宋体" w:hAnsi="宋体" w:cs="宋体"/>
          <w:sz w:val="24"/>
          <w:highlight w:val="none"/>
        </w:rPr>
        <w:t>公告的媒体上）</w:t>
      </w:r>
      <w:r>
        <w:rPr>
          <w:rFonts w:hint="eastAsia" w:ascii="宋体" w:hAnsi="宋体" w:cs="宋体"/>
          <w:sz w:val="24"/>
          <w:highlight w:val="none"/>
          <w:lang w:val="en-US" w:eastAsia="zh-CN"/>
        </w:rPr>
        <w:t>3</w:t>
      </w:r>
      <w:r>
        <w:rPr>
          <w:rFonts w:hint="eastAsia" w:ascii="宋体" w:hAnsi="宋体" w:cs="宋体"/>
          <w:sz w:val="24"/>
          <w:highlight w:val="none"/>
        </w:rPr>
        <w:t>日内向</w:t>
      </w:r>
      <w:r>
        <w:rPr>
          <w:rFonts w:hint="eastAsia" w:ascii="宋体" w:hAnsi="宋体" w:cs="宋体"/>
          <w:sz w:val="24"/>
          <w:highlight w:val="none"/>
          <w:lang w:eastAsia="zh-CN"/>
        </w:rPr>
        <w:t>招标人</w:t>
      </w:r>
      <w:r>
        <w:rPr>
          <w:rFonts w:hint="eastAsia" w:ascii="宋体" w:hAnsi="宋体" w:cs="宋体"/>
          <w:sz w:val="24"/>
          <w:highlight w:val="none"/>
        </w:rPr>
        <w:t>提出，否则，由此引起的损失由投标人自己承担。</w:t>
      </w:r>
    </w:p>
    <w:p w14:paraId="0DDD6663">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招标人</w:t>
      </w:r>
      <w:r>
        <w:rPr>
          <w:rFonts w:hint="eastAsia" w:ascii="宋体" w:hAnsi="宋体" w:cs="宋体"/>
          <w:sz w:val="24"/>
          <w:highlight w:val="none"/>
        </w:rPr>
        <w:t>及招标代理机构的任何工作人员对投标人所作的任何口头解释、介绍、答复，只能供投标人参考，对</w:t>
      </w:r>
      <w:r>
        <w:rPr>
          <w:rFonts w:hint="eastAsia" w:ascii="宋体" w:hAnsi="宋体" w:cs="宋体"/>
          <w:sz w:val="24"/>
          <w:highlight w:val="none"/>
          <w:lang w:eastAsia="zh-CN"/>
        </w:rPr>
        <w:t>招标人</w:t>
      </w:r>
      <w:r>
        <w:rPr>
          <w:rFonts w:hint="eastAsia" w:ascii="宋体" w:hAnsi="宋体" w:cs="宋体"/>
          <w:sz w:val="24"/>
          <w:highlight w:val="none"/>
        </w:rPr>
        <w:t>无任何约束力。</w:t>
      </w:r>
    </w:p>
    <w:p w14:paraId="67FF648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z w:val="24"/>
          <w:highlight w:val="none"/>
        </w:rPr>
        <w:t>2、本项目所有公告发布网站：“台州湾新区小额工程电子交易平台</w:t>
      </w:r>
      <w:r>
        <w:rPr>
          <w:rFonts w:ascii="宋体" w:hAnsi="宋体" w:cs="宋体"/>
          <w:sz w:val="24"/>
          <w:highlight w:val="none"/>
        </w:rPr>
        <w:t>”</w:t>
      </w:r>
      <w:r>
        <w:rPr>
          <w:rFonts w:hint="eastAsia" w:ascii="宋体" w:hAnsi="宋体" w:cs="宋体"/>
          <w:sz w:val="24"/>
          <w:highlight w:val="none"/>
        </w:rPr>
        <w:t>（http://www.tzwztb.com）及“浙江省政府采购网”（http:// www.zjzfcg.gov.cn）。</w:t>
      </w:r>
    </w:p>
    <w:p w14:paraId="26BD3069">
      <w:pPr>
        <w:snapToGrid w:val="0"/>
        <w:spacing w:line="360" w:lineRule="auto"/>
        <w:ind w:firstLine="241" w:firstLineChars="100"/>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十</w:t>
      </w:r>
      <w:r>
        <w:rPr>
          <w:rFonts w:hint="eastAsia" w:ascii="宋体" w:hAnsi="宋体" w:cs="宋体"/>
          <w:b/>
          <w:color w:val="000000" w:themeColor="text1"/>
          <w:sz w:val="24"/>
          <w:highlight w:val="none"/>
          <w:lang w:val="en-US" w:eastAsia="zh-CN"/>
          <w14:textFill>
            <w14:solidFill>
              <w14:schemeClr w14:val="tx1"/>
            </w14:solidFill>
          </w14:textFill>
        </w:rPr>
        <w:t>一</w:t>
      </w:r>
      <w:r>
        <w:rPr>
          <w:rFonts w:hint="eastAsia" w:ascii="宋体" w:hAnsi="宋体" w:cs="宋体"/>
          <w:b/>
          <w:color w:val="000000" w:themeColor="text1"/>
          <w:sz w:val="24"/>
          <w:highlight w:val="none"/>
          <w14:textFill>
            <w14:solidFill>
              <w14:schemeClr w14:val="tx1"/>
            </w14:solidFill>
          </w14:textFill>
        </w:rPr>
        <w:t>、联系方式：</w:t>
      </w:r>
    </w:p>
    <w:p w14:paraId="618D36B1">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（一）采购代理机构</w:t>
      </w:r>
    </w:p>
    <w:p w14:paraId="18546CBD">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lang w:eastAsia="zh-CN"/>
          <w14:textFill>
            <w14:solidFill>
              <w14:schemeClr w14:val="tx1"/>
            </w14:solidFill>
          </w14:textFill>
        </w:rPr>
        <w:t>建经投资咨询有限公司</w:t>
      </w:r>
    </w:p>
    <w:p w14:paraId="11DB81F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w:t>
      </w:r>
      <w:r>
        <w:rPr>
          <w:rFonts w:hint="eastAsia" w:ascii="宋体" w:hAnsi="宋体" w:cs="宋体"/>
          <w:color w:val="000000" w:themeColor="text1"/>
          <w:sz w:val="24"/>
          <w:highlight w:val="none"/>
          <w:lang w:eastAsia="zh-CN"/>
          <w14:textFill>
            <w14:solidFill>
              <w14:schemeClr w14:val="tx1"/>
            </w14:solidFill>
          </w14:textFill>
        </w:rPr>
        <w:t>戴萍</w:t>
      </w:r>
      <w:r>
        <w:rPr>
          <w:rFonts w:hint="eastAsia" w:ascii="宋体" w:hAnsi="宋体" w:cs="宋体"/>
          <w:color w:val="000000" w:themeColor="text1"/>
          <w:sz w:val="24"/>
          <w:highlight w:val="none"/>
          <w14:textFill>
            <w14:solidFill>
              <w14:schemeClr w14:val="tx1"/>
            </w14:solidFill>
          </w14:textFill>
        </w:rPr>
        <w:t>　</w:t>
      </w:r>
    </w:p>
    <w:p w14:paraId="709858A2">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lang w:eastAsia="zh-CN"/>
          <w14:textFill>
            <w14:solidFill>
              <w14:schemeClr w14:val="tx1"/>
            </w14:solidFill>
          </w14:textFill>
        </w:rPr>
        <w:t>0576-88550073</w:t>
      </w:r>
    </w:p>
    <w:p w14:paraId="2BA6038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地址：台州市椒江区爱华·新台州大厦16A</w:t>
      </w:r>
    </w:p>
    <w:p w14:paraId="6605228C">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（二）采购人</w:t>
      </w:r>
    </w:p>
    <w:p w14:paraId="58706B2F">
      <w:pPr>
        <w:spacing w:line="360" w:lineRule="auto"/>
        <w:ind w:firstLine="480" w:firstLineChars="200"/>
        <w:rPr>
          <w:rFonts w:hint="eastAsia" w:ascii="宋体" w:hAnsi="宋体" w:eastAsia="宋体" w:cs="宋体"/>
          <w:b w:val="0"/>
          <w:bCs w:val="0"/>
          <w:color w:val="000000" w:themeColor="text1"/>
          <w:sz w:val="24"/>
          <w:highlight w:val="none"/>
          <w:lang w:eastAsia="zh-CN"/>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采购人名称：</w:t>
      </w:r>
      <w:r>
        <w:rPr>
          <w:rFonts w:hint="eastAsia" w:ascii="宋体" w:hAnsi="宋体" w:cs="宋体"/>
          <w:b w:val="0"/>
          <w:bCs w:val="0"/>
          <w:color w:val="000000" w:themeColor="text1"/>
          <w:sz w:val="24"/>
          <w:highlight w:val="none"/>
          <w:lang w:eastAsia="zh-CN"/>
          <w14:textFill>
            <w14:solidFill>
              <w14:schemeClr w14:val="tx1"/>
            </w14:solidFill>
          </w14:textFill>
        </w:rPr>
        <w:t>台州东游文化旅游发展有限公司</w:t>
      </w:r>
    </w:p>
    <w:p w14:paraId="5C133D12">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b w:val="0"/>
          <w:bCs w:val="0"/>
          <w:color w:val="000000" w:themeColor="text1"/>
          <w:kern w:val="0"/>
          <w:sz w:val="24"/>
          <w:highlight w:val="none"/>
          <w14:textFill>
            <w14:solidFill>
              <w14:schemeClr w14:val="tx1"/>
            </w14:solidFill>
          </w14:textFill>
        </w:rPr>
      </w:pPr>
      <w:r>
        <w:rPr>
          <w:rFonts w:hint="eastAsia" w:ascii="宋体" w:hAnsi="宋体" w:eastAsia="宋体" w:cs="宋体"/>
          <w:b w:val="0"/>
          <w:bCs w:val="0"/>
          <w:color w:val="000000" w:themeColor="text1"/>
          <w:kern w:val="0"/>
          <w:sz w:val="24"/>
          <w:highlight w:val="none"/>
          <w14:textFill>
            <w14:solidFill>
              <w14:schemeClr w14:val="tx1"/>
            </w14:solidFill>
          </w14:textFill>
        </w:rPr>
        <w:t>联系人：</w:t>
      </w:r>
      <w:r>
        <w:rPr>
          <w:rFonts w:hint="eastAsia" w:ascii="宋体" w:hAnsi="宋体" w:eastAsia="宋体" w:cs="宋体"/>
          <w:b w:val="0"/>
          <w:bCs w:val="0"/>
          <w:color w:val="000000" w:themeColor="text1"/>
          <w:kern w:val="0"/>
          <w:sz w:val="24"/>
          <w:highlight w:val="none"/>
          <w:lang w:val="en-US" w:eastAsia="zh-CN"/>
          <w14:textFill>
            <w14:solidFill>
              <w14:schemeClr w14:val="tx1"/>
            </w14:solidFill>
          </w14:textFill>
        </w:rPr>
        <w:t>张女士</w:t>
      </w:r>
      <w:r>
        <w:rPr>
          <w:rFonts w:hint="eastAsia" w:ascii="宋体" w:hAnsi="宋体" w:eastAsia="宋体" w:cs="宋体"/>
          <w:b w:val="0"/>
          <w:bCs w:val="0"/>
          <w:color w:val="000000" w:themeColor="text1"/>
          <w:kern w:val="0"/>
          <w:sz w:val="24"/>
          <w:highlight w:val="none"/>
          <w14:textFill>
            <w14:solidFill>
              <w14:schemeClr w14:val="tx1"/>
            </w14:solidFill>
          </w14:textFill>
        </w:rPr>
        <w:t xml:space="preserve">  </w:t>
      </w:r>
    </w:p>
    <w:p w14:paraId="5B276AB2">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b w:val="0"/>
          <w:bCs w:val="0"/>
          <w:color w:val="000000" w:themeColor="text1"/>
          <w:kern w:val="0"/>
          <w:sz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highlight w:val="none"/>
          <w14:textFill>
            <w14:solidFill>
              <w14:schemeClr w14:val="tx1"/>
            </w14:solidFill>
          </w14:textFill>
        </w:rPr>
        <w:t>联系电话：</w:t>
      </w:r>
      <w:bookmarkStart w:id="8" w:name="OLE_LINK1"/>
      <w:r>
        <w:rPr>
          <w:rFonts w:hint="eastAsia" w:ascii="宋体" w:hAnsi="宋体" w:eastAsia="宋体" w:cs="宋体"/>
          <w:b w:val="0"/>
          <w:bCs w:val="0"/>
          <w:color w:val="000000" w:themeColor="text1"/>
          <w:kern w:val="0"/>
          <w:sz w:val="24"/>
          <w:highlight w:val="none"/>
          <w:lang w:eastAsia="zh-CN"/>
          <w14:textFill>
            <w14:solidFill>
              <w14:schemeClr w14:val="tx1"/>
            </w14:solidFill>
          </w14:textFill>
        </w:rPr>
        <w:t>0576-88909028</w:t>
      </w:r>
      <w:bookmarkEnd w:id="8"/>
    </w:p>
    <w:p w14:paraId="7FC32BC4">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b w:val="0"/>
          <w:bCs w:val="0"/>
          <w:color w:val="000000" w:themeColor="text1"/>
          <w:kern w:val="0"/>
          <w:sz w:val="24"/>
          <w:highlight w:val="none"/>
          <w14:textFill>
            <w14:solidFill>
              <w14:schemeClr w14:val="tx1"/>
            </w14:solidFill>
          </w14:textFill>
        </w:rPr>
      </w:pPr>
      <w:r>
        <w:rPr>
          <w:rFonts w:hint="eastAsia" w:ascii="宋体" w:hAnsi="宋体" w:eastAsia="宋体" w:cs="宋体"/>
          <w:b w:val="0"/>
          <w:bCs w:val="0"/>
          <w:color w:val="000000" w:themeColor="text1"/>
          <w:kern w:val="0"/>
          <w:sz w:val="24"/>
          <w:highlight w:val="none"/>
          <w14:textFill>
            <w14:solidFill>
              <w14:schemeClr w14:val="tx1"/>
            </w14:solidFill>
          </w14:textFill>
        </w:rPr>
        <w:t>采购人地址：台州湾新区甲南大道东段9号</w:t>
      </w:r>
    </w:p>
    <w:p w14:paraId="77465956">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（三）同级政府采购监管机构</w:t>
      </w:r>
    </w:p>
    <w:p w14:paraId="7FA82964">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名 称：台州湾新区行政审批与投资服务局</w:t>
      </w:r>
    </w:p>
    <w:p w14:paraId="6C77E1BD">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地 址：台州市甲南大道东段9号</w:t>
      </w:r>
    </w:p>
    <w:p w14:paraId="49C451F4">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联系人：徐先生            </w:t>
      </w:r>
    </w:p>
    <w:p w14:paraId="1CB8D0F0">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电  话：0576-88538849</w:t>
      </w:r>
    </w:p>
    <w:p w14:paraId="2A8E2E9C">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（四）台州湾新区小额工程电子交易平台</w:t>
      </w:r>
    </w:p>
    <w:p w14:paraId="359D7E52">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联系人：蔡永正、王明月</w:t>
      </w:r>
    </w:p>
    <w:p w14:paraId="40EC6E0D">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联系电话：13454667697、13757680207</w:t>
      </w:r>
    </w:p>
    <w:p w14:paraId="1DF98C66">
      <w:pPr>
        <w:spacing w:line="360" w:lineRule="auto"/>
        <w:ind w:firstLine="480" w:firstLineChars="200"/>
        <w:jc w:val="right"/>
        <w:rPr>
          <w:rFonts w:ascii="宋体" w:hAnsi="宋体" w:cs="宋体"/>
          <w:color w:val="000000" w:themeColor="text1"/>
          <w:sz w:val="24"/>
          <w:highlight w:val="none"/>
          <w14:textFill>
            <w14:solidFill>
              <w14:schemeClr w14:val="tx1"/>
            </w14:solidFill>
          </w14:textFill>
        </w:rPr>
      </w:pPr>
    </w:p>
    <w:p w14:paraId="799F54D4">
      <w:pPr>
        <w:snapToGrid w:val="0"/>
        <w:spacing w:line="360" w:lineRule="auto"/>
        <w:jc w:val="center"/>
        <w:rPr>
          <w:rFonts w:hint="eastAsia" w:ascii="宋体" w:hAnsi="宋体" w:eastAsia="宋体" w:cs="宋体"/>
          <w:color w:val="000000" w:themeColor="text1"/>
          <w:sz w:val="24"/>
          <w:szCs w:val="20"/>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建经投资咨询有限公司</w:t>
      </w:r>
    </w:p>
    <w:p w14:paraId="3895B8FD">
      <w:pPr>
        <w:snapToGrid w:val="0"/>
        <w:spacing w:line="360" w:lineRule="auto"/>
        <w:ind w:left="238" w:firstLine="4980" w:firstLineChars="207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月</w:t>
      </w:r>
      <w:bookmarkStart w:id="46" w:name="_GoBack"/>
      <w:bookmarkEnd w:id="46"/>
    </w:p>
    <w:p w14:paraId="6CD6ADA4">
      <w:pPr>
        <w:pStyle w:val="20"/>
        <w:tabs>
          <w:tab w:val="left" w:pos="1620"/>
        </w:tabs>
        <w:snapToGrid w:val="0"/>
        <w:spacing w:before="120" w:beforeLines="0" w:after="120" w:afterLines="0"/>
        <w:jc w:val="center"/>
        <w:rPr>
          <w:rFonts w:hint="default" w:hAnsi="宋体" w:cs="宋体"/>
          <w:color w:val="000000" w:themeColor="text1"/>
          <w:sz w:val="36"/>
          <w:szCs w:val="36"/>
          <w:highlight w:val="none"/>
          <w14:textFill>
            <w14:solidFill>
              <w14:schemeClr w14:val="tx1"/>
            </w14:solidFill>
          </w14:textFill>
        </w:rPr>
        <w:sectPr>
          <w:footerReference r:id="rId5" w:type="default"/>
          <w:pgSz w:w="11906" w:h="16838"/>
          <w:pgMar w:top="1134" w:right="1587" w:bottom="1134" w:left="1587" w:header="851" w:footer="850" w:gutter="0"/>
          <w:pgBorders>
            <w:top w:val="none" w:sz="0" w:space="0"/>
            <w:left w:val="none" w:sz="0" w:space="0"/>
            <w:bottom w:val="none" w:sz="0" w:space="0"/>
            <w:right w:val="none" w:sz="0" w:space="0"/>
          </w:pgBorders>
          <w:pgNumType w:fmt="decimal" w:start="1"/>
          <w:cols w:space="0" w:num="1"/>
          <w:rtlGutter w:val="0"/>
          <w:docGrid w:linePitch="312" w:charSpace="0"/>
        </w:sectPr>
      </w:pPr>
    </w:p>
    <w:p w14:paraId="3F7BBF15">
      <w:pPr>
        <w:pStyle w:val="20"/>
        <w:snapToGrid w:val="0"/>
        <w:spacing w:before="120" w:beforeLines="0" w:after="120" w:afterLines="0" w:line="240" w:lineRule="auto"/>
        <w:jc w:val="center"/>
        <w:outlineLvl w:val="0"/>
        <w:rPr>
          <w:rFonts w:hint="default" w:hAnsi="宋体" w:cs="宋体"/>
          <w:color w:val="000000" w:themeColor="text1"/>
          <w:sz w:val="32"/>
          <w:szCs w:val="32"/>
          <w:highlight w:val="none"/>
          <w14:textFill>
            <w14:solidFill>
              <w14:schemeClr w14:val="tx1"/>
            </w14:solidFill>
          </w14:textFill>
        </w:rPr>
      </w:pPr>
      <w:bookmarkStart w:id="9" w:name="_Toc1257"/>
      <w:bookmarkStart w:id="10" w:name="_Toc28376_WPSOffice_Level1"/>
      <w:bookmarkStart w:id="11" w:name="第三章"/>
      <w:r>
        <w:rPr>
          <w:rFonts w:hAnsi="宋体" w:cs="宋体"/>
          <w:color w:val="000000" w:themeColor="text1"/>
          <w:sz w:val="32"/>
          <w:szCs w:val="32"/>
          <w:highlight w:val="none"/>
          <w14:textFill>
            <w14:solidFill>
              <w14:schemeClr w14:val="tx1"/>
            </w14:solidFill>
          </w14:textFill>
        </w:rPr>
        <w:t xml:space="preserve">第二章  </w:t>
      </w:r>
      <w:bookmarkStart w:id="12" w:name="_Toc373154496"/>
      <w:r>
        <w:rPr>
          <w:rFonts w:hint="eastAsia" w:hAnsi="宋体" w:cs="宋体"/>
          <w:color w:val="000000" w:themeColor="text1"/>
          <w:sz w:val="32"/>
          <w:szCs w:val="32"/>
          <w:highlight w:val="none"/>
          <w:lang w:val="en-US" w:eastAsia="zh-CN"/>
          <w14:textFill>
            <w14:solidFill>
              <w14:schemeClr w14:val="tx1"/>
            </w14:solidFill>
          </w14:textFill>
        </w:rPr>
        <w:t>招标</w:t>
      </w:r>
      <w:r>
        <w:rPr>
          <w:rFonts w:hAnsi="宋体" w:cs="宋体"/>
          <w:color w:val="000000" w:themeColor="text1"/>
          <w:sz w:val="32"/>
          <w:szCs w:val="32"/>
          <w:highlight w:val="none"/>
          <w14:textFill>
            <w14:solidFill>
              <w14:schemeClr w14:val="tx1"/>
            </w14:solidFill>
          </w14:textFill>
        </w:rPr>
        <w:t>需求</w:t>
      </w:r>
      <w:bookmarkEnd w:id="9"/>
    </w:p>
    <w:bookmarkEnd w:id="12"/>
    <w:p w14:paraId="78A0E231">
      <w:pPr>
        <w:keepNext w:val="0"/>
        <w:keepLines w:val="0"/>
        <w:pageBreakBefore w:val="0"/>
        <w:tabs>
          <w:tab w:val="left" w:pos="8280"/>
        </w:tabs>
        <w:kinsoku/>
        <w:wordWrap/>
        <w:overflowPunct/>
        <w:topLinePunct w:val="0"/>
        <w:autoSpaceDE w:val="0"/>
        <w:autoSpaceDN w:val="0"/>
        <w:bidi w:val="0"/>
        <w:adjustRightInd w:val="0"/>
        <w:spacing w:line="288" w:lineRule="auto"/>
        <w:ind w:right="25"/>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一、招标项目一览表</w:t>
      </w:r>
    </w:p>
    <w:p w14:paraId="37AE6D53">
      <w:pPr>
        <w:keepNext w:val="0"/>
        <w:keepLines w:val="0"/>
        <w:pageBreakBefore w:val="0"/>
        <w:tabs>
          <w:tab w:val="left" w:pos="8280"/>
        </w:tabs>
        <w:kinsoku/>
        <w:wordWrap/>
        <w:overflowPunct/>
        <w:topLinePunct w:val="0"/>
        <w:autoSpaceDE w:val="0"/>
        <w:autoSpaceDN w:val="0"/>
        <w:bidi w:val="0"/>
        <w:adjustRightInd w:val="0"/>
        <w:spacing w:line="288" w:lineRule="auto"/>
        <w:ind w:right="25" w:firstLine="2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本次招标共</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个标段，具体内容如下表：</w:t>
      </w:r>
    </w:p>
    <w:tbl>
      <w:tblPr>
        <w:tblStyle w:val="37"/>
        <w:tblW w:w="10389" w:type="dxa"/>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2264"/>
        <w:gridCol w:w="660"/>
        <w:gridCol w:w="795"/>
        <w:gridCol w:w="1230"/>
        <w:gridCol w:w="2385"/>
        <w:gridCol w:w="2363"/>
      </w:tblGrid>
      <w:tr w14:paraId="638BA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op w:val="single" w:color="auto" w:sz="4" w:space="0"/>
              <w:left w:val="single" w:color="auto" w:sz="4" w:space="0"/>
              <w:bottom w:val="single" w:color="auto" w:sz="4" w:space="0"/>
              <w:right w:val="single" w:color="auto" w:sz="4" w:space="0"/>
            </w:tcBorders>
            <w:vAlign w:val="center"/>
          </w:tcPr>
          <w:p w14:paraId="6E0412FA">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序号</w:t>
            </w:r>
          </w:p>
        </w:tc>
        <w:tc>
          <w:tcPr>
            <w:tcW w:w="2264" w:type="dxa"/>
            <w:tcBorders>
              <w:top w:val="single" w:color="auto" w:sz="4" w:space="0"/>
              <w:left w:val="single" w:color="auto" w:sz="4" w:space="0"/>
              <w:bottom w:val="single" w:color="auto" w:sz="4" w:space="0"/>
              <w:right w:val="single" w:color="auto" w:sz="4" w:space="0"/>
            </w:tcBorders>
            <w:vAlign w:val="center"/>
          </w:tcPr>
          <w:p w14:paraId="0864A45F">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项目名称</w:t>
            </w:r>
          </w:p>
        </w:tc>
        <w:tc>
          <w:tcPr>
            <w:tcW w:w="660" w:type="dxa"/>
            <w:tcBorders>
              <w:top w:val="single" w:color="auto" w:sz="4" w:space="0"/>
              <w:left w:val="single" w:color="auto" w:sz="4" w:space="0"/>
              <w:bottom w:val="single" w:color="auto" w:sz="4" w:space="0"/>
              <w:right w:val="single" w:color="auto" w:sz="4" w:space="0"/>
            </w:tcBorders>
            <w:vAlign w:val="center"/>
          </w:tcPr>
          <w:p w14:paraId="059EAB4D">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数量</w:t>
            </w:r>
          </w:p>
        </w:tc>
        <w:tc>
          <w:tcPr>
            <w:tcW w:w="795" w:type="dxa"/>
            <w:tcBorders>
              <w:top w:val="single" w:color="auto" w:sz="4" w:space="0"/>
              <w:left w:val="single" w:color="auto" w:sz="4" w:space="0"/>
              <w:bottom w:val="single" w:color="auto" w:sz="4" w:space="0"/>
              <w:right w:val="single" w:color="auto" w:sz="4" w:space="0"/>
            </w:tcBorders>
            <w:vAlign w:val="center"/>
          </w:tcPr>
          <w:p w14:paraId="46FA9E00">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单位</w:t>
            </w:r>
          </w:p>
        </w:tc>
        <w:tc>
          <w:tcPr>
            <w:tcW w:w="1230" w:type="dxa"/>
            <w:tcBorders>
              <w:top w:val="single" w:color="auto" w:sz="4" w:space="0"/>
              <w:left w:val="single" w:color="auto" w:sz="4" w:space="0"/>
              <w:bottom w:val="single" w:color="auto" w:sz="4" w:space="0"/>
              <w:right w:val="single" w:color="auto" w:sz="4" w:space="0"/>
            </w:tcBorders>
            <w:vAlign w:val="center"/>
          </w:tcPr>
          <w:p w14:paraId="220804B0">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上限价</w:t>
            </w:r>
          </w:p>
        </w:tc>
        <w:tc>
          <w:tcPr>
            <w:tcW w:w="2385" w:type="dxa"/>
            <w:tcBorders>
              <w:top w:val="single" w:color="auto" w:sz="4" w:space="0"/>
              <w:left w:val="single" w:color="auto" w:sz="4" w:space="0"/>
              <w:bottom w:val="single" w:color="auto" w:sz="4" w:space="0"/>
              <w:right w:val="single" w:color="auto" w:sz="4" w:space="0"/>
            </w:tcBorders>
            <w:vAlign w:val="center"/>
          </w:tcPr>
          <w:p w14:paraId="05E5E8BD">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简要规格描述</w:t>
            </w:r>
          </w:p>
        </w:tc>
        <w:tc>
          <w:tcPr>
            <w:tcW w:w="2363" w:type="dxa"/>
            <w:tcBorders>
              <w:top w:val="single" w:color="auto" w:sz="4" w:space="0"/>
              <w:left w:val="single" w:color="auto" w:sz="4" w:space="0"/>
              <w:bottom w:val="single" w:color="auto" w:sz="4" w:space="0"/>
              <w:right w:val="single" w:color="auto" w:sz="4" w:space="0"/>
            </w:tcBorders>
            <w:vAlign w:val="center"/>
          </w:tcPr>
          <w:p w14:paraId="5D650E93">
            <w:pPr>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rPr>
              <w:t>交货期</w:t>
            </w:r>
          </w:p>
        </w:tc>
      </w:tr>
      <w:tr w14:paraId="06D5D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92" w:type="dxa"/>
            <w:tcBorders>
              <w:top w:val="single" w:color="auto" w:sz="4" w:space="0"/>
              <w:left w:val="single" w:color="auto" w:sz="4" w:space="0"/>
              <w:bottom w:val="single" w:color="auto" w:sz="4" w:space="0"/>
              <w:right w:val="single" w:color="auto" w:sz="4" w:space="0"/>
            </w:tcBorders>
            <w:vAlign w:val="center"/>
          </w:tcPr>
          <w:p w14:paraId="3B442E3B">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1</w:t>
            </w:r>
          </w:p>
        </w:tc>
        <w:tc>
          <w:tcPr>
            <w:tcW w:w="2264" w:type="dxa"/>
            <w:tcBorders>
              <w:top w:val="single" w:color="auto" w:sz="4" w:space="0"/>
              <w:left w:val="single" w:color="auto" w:sz="4" w:space="0"/>
              <w:right w:val="single" w:color="auto" w:sz="4" w:space="0"/>
            </w:tcBorders>
            <w:vAlign w:val="center"/>
          </w:tcPr>
          <w:p w14:paraId="5D22C329">
            <w:pPr>
              <w:pStyle w:val="103"/>
              <w:widowControl w:val="0"/>
              <w:spacing w:after="0" w:afterLines="0"/>
              <w:ind w:firstLine="0" w:firstLineChars="0"/>
              <w:jc w:val="center"/>
              <w:rPr>
                <w:rFonts w:hint="eastAsia" w:ascii="宋体" w:hAnsi="宋体" w:eastAsia="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 xml:space="preserve"> 台州方特熊出没水上休闲游乐度假中心（一期）窗帘采购</w:t>
            </w:r>
          </w:p>
        </w:tc>
        <w:tc>
          <w:tcPr>
            <w:tcW w:w="660" w:type="dxa"/>
            <w:tcBorders>
              <w:top w:val="single" w:color="auto" w:sz="4" w:space="0"/>
              <w:left w:val="single" w:color="auto" w:sz="4" w:space="0"/>
              <w:right w:val="single" w:color="auto" w:sz="4" w:space="0"/>
            </w:tcBorders>
            <w:vAlign w:val="center"/>
          </w:tcPr>
          <w:p w14:paraId="535BE4B8">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1</w:t>
            </w:r>
          </w:p>
        </w:tc>
        <w:tc>
          <w:tcPr>
            <w:tcW w:w="795" w:type="dxa"/>
            <w:tcBorders>
              <w:top w:val="single" w:color="auto" w:sz="4" w:space="0"/>
              <w:left w:val="single" w:color="auto" w:sz="4" w:space="0"/>
              <w:right w:val="single" w:color="auto" w:sz="4" w:space="0"/>
            </w:tcBorders>
            <w:vAlign w:val="center"/>
          </w:tcPr>
          <w:p w14:paraId="36693889">
            <w:pPr>
              <w:pStyle w:val="103"/>
              <w:widowControl w:val="0"/>
              <w:spacing w:after="0" w:afterLines="0"/>
              <w:ind w:firstLine="0" w:firstLineChars="0"/>
              <w:jc w:val="cente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宋体" w:hAnsi="宋体"/>
                <w:color w:val="000000" w:themeColor="text1"/>
                <w:szCs w:val="24"/>
                <w:highlight w:val="none"/>
                <w:lang w:val="en-US" w:eastAsia="zh-CN"/>
                <w14:textFill>
                  <w14:solidFill>
                    <w14:schemeClr w14:val="tx1"/>
                  </w14:solidFill>
                </w14:textFill>
              </w:rPr>
              <w:t>批</w:t>
            </w:r>
          </w:p>
        </w:tc>
        <w:tc>
          <w:tcPr>
            <w:tcW w:w="1230" w:type="dxa"/>
            <w:tcBorders>
              <w:top w:val="single" w:color="auto" w:sz="4" w:space="0"/>
              <w:left w:val="single" w:color="auto" w:sz="4" w:space="0"/>
              <w:right w:val="single" w:color="auto" w:sz="4" w:space="0"/>
            </w:tcBorders>
            <w:vAlign w:val="center"/>
          </w:tcPr>
          <w:p w14:paraId="3C9DA39D">
            <w:pPr>
              <w:pStyle w:val="103"/>
              <w:widowControl w:val="0"/>
              <w:spacing w:after="0" w:afterLines="0"/>
              <w:ind w:firstLine="0" w:firstLineChars="0"/>
              <w:jc w:val="center"/>
              <w:rPr>
                <w:rFonts w:hint="default" w:ascii="宋体" w:hAnsi="宋体" w:eastAsia="宋体"/>
                <w:color w:val="000000" w:themeColor="text1"/>
                <w:szCs w:val="24"/>
                <w:highlight w:val="none"/>
                <w:lang w:val="en-US" w:eastAsia="zh-CN"/>
                <w14:textFill>
                  <w14:solidFill>
                    <w14:schemeClr w14:val="tx1"/>
                  </w14:solidFill>
                </w14:textFill>
              </w:rPr>
            </w:pPr>
            <w:r>
              <w:rPr>
                <w:rFonts w:hint="eastAsia" w:ascii="宋体" w:hAnsi="宋体"/>
                <w:color w:val="000000" w:themeColor="text1"/>
                <w:szCs w:val="24"/>
                <w:highlight w:val="none"/>
                <w:lang w:val="en-US" w:eastAsia="zh-CN"/>
                <w14:textFill>
                  <w14:solidFill>
                    <w14:schemeClr w14:val="tx1"/>
                  </w14:solidFill>
                </w14:textFill>
              </w:rPr>
              <w:t>1530304元</w:t>
            </w:r>
          </w:p>
        </w:tc>
        <w:tc>
          <w:tcPr>
            <w:tcW w:w="2385" w:type="dxa"/>
            <w:tcBorders>
              <w:top w:val="single" w:color="auto" w:sz="4" w:space="0"/>
              <w:left w:val="single" w:color="auto" w:sz="4" w:space="0"/>
              <w:right w:val="single" w:color="auto" w:sz="4" w:space="0"/>
            </w:tcBorders>
            <w:vAlign w:val="center"/>
          </w:tcPr>
          <w:p w14:paraId="0D694462">
            <w:pPr>
              <w:pStyle w:val="103"/>
              <w:widowControl w:val="0"/>
              <w:spacing w:after="0" w:afterLines="0"/>
              <w:ind w:firstLine="0" w:firstLineChars="0"/>
              <w:jc w:val="center"/>
              <w:rPr>
                <w:rFonts w:hint="eastAsia"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招标范围为台州方特熊出没水上休闲游乐度假中心（一期）窗帘采购的供货、安装、调试、验收、保修、售后服务等及其相关的其他服务。</w:t>
            </w:r>
          </w:p>
        </w:tc>
        <w:tc>
          <w:tcPr>
            <w:tcW w:w="2363" w:type="dxa"/>
            <w:tcBorders>
              <w:top w:val="single" w:color="auto" w:sz="4" w:space="0"/>
              <w:left w:val="single" w:color="auto" w:sz="4" w:space="0"/>
              <w:right w:val="single" w:color="auto" w:sz="4" w:space="0"/>
            </w:tcBorders>
            <w:vAlign w:val="center"/>
          </w:tcPr>
          <w:p w14:paraId="17DD4792">
            <w:pPr>
              <w:numPr>
                <w:ilvl w:val="0"/>
                <w:numId w:val="0"/>
              </w:numPr>
              <w:spacing w:line="440" w:lineRule="exact"/>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宋体" w:hAnsi="宋体" w:cs="Times New Roman"/>
                <w:color w:val="000000" w:themeColor="text1"/>
                <w:kern w:val="0"/>
                <w:sz w:val="24"/>
                <w:szCs w:val="24"/>
                <w:highlight w:val="none"/>
                <w:lang w:val="en-US" w:eastAsia="zh-CN" w:bidi="ar-SA"/>
                <w14:textFill>
                  <w14:solidFill>
                    <w14:schemeClr w14:val="tx1"/>
                  </w14:solidFill>
                </w14:textFill>
              </w:rPr>
              <w:t>1、</w:t>
            </w: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合同签订后30日历天内提供样品；</w:t>
            </w:r>
          </w:p>
          <w:p w14:paraId="4BF2F7FE">
            <w:pPr>
              <w:numPr>
                <w:ilvl w:val="0"/>
                <w:numId w:val="0"/>
              </w:numPr>
              <w:spacing w:line="44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2、招标人确认后30日历天内完成供货及安装。</w:t>
            </w:r>
          </w:p>
        </w:tc>
      </w:tr>
    </w:tbl>
    <w:p w14:paraId="4BC0785A">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sz w:val="24"/>
          <w:szCs w:val="24"/>
          <w:highlight w:val="none"/>
        </w:rPr>
      </w:pPr>
    </w:p>
    <w:p w14:paraId="77C62643">
      <w:pPr>
        <w:keepNext w:val="0"/>
        <w:keepLines w:val="0"/>
        <w:pageBreakBefore w:val="0"/>
        <w:numPr>
          <w:ilvl w:val="0"/>
          <w:numId w:val="5"/>
        </w:numPr>
        <w:tabs>
          <w:tab w:val="left" w:pos="8280"/>
        </w:tabs>
        <w:kinsoku/>
        <w:wordWrap/>
        <w:overflowPunct/>
        <w:topLinePunct w:val="0"/>
        <w:autoSpaceDE w:val="0"/>
        <w:autoSpaceDN w:val="0"/>
        <w:bidi w:val="0"/>
        <w:adjustRightInd w:val="0"/>
        <w:spacing w:line="288" w:lineRule="auto"/>
        <w:ind w:right="25"/>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技术需求</w:t>
      </w:r>
    </w:p>
    <w:tbl>
      <w:tblPr>
        <w:tblStyle w:val="37"/>
        <w:tblW w:w="10905" w:type="dxa"/>
        <w:tblInd w:w="-6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0"/>
        <w:gridCol w:w="720"/>
        <w:gridCol w:w="1305"/>
        <w:gridCol w:w="2550"/>
        <w:gridCol w:w="4230"/>
        <w:gridCol w:w="480"/>
        <w:gridCol w:w="990"/>
      </w:tblGrid>
      <w:tr w14:paraId="291CD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FF3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4F2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位置</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6B1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品名</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94C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产品图片</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C10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材质说明</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BF9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A2A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r>
      <w:tr w14:paraId="2F970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2E2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35B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客房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48C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蓝绿色窗帘(BN7560-4 仲夏夜之梦 )CU-01</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93A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-55880</wp:posOffset>
                  </wp:positionH>
                  <wp:positionV relativeFrom="paragraph">
                    <wp:posOffset>170815</wp:posOffset>
                  </wp:positionV>
                  <wp:extent cx="1520190" cy="815340"/>
                  <wp:effectExtent l="0" t="0" r="3810" b="3810"/>
                  <wp:wrapNone/>
                  <wp:docPr id="7" name="图片_11"/>
                  <wp:cNvGraphicFramePr/>
                  <a:graphic xmlns:a="http://schemas.openxmlformats.org/drawingml/2006/main">
                    <a:graphicData uri="http://schemas.openxmlformats.org/drawingml/2006/picture">
                      <pic:pic xmlns:pic="http://schemas.openxmlformats.org/drawingml/2006/picture">
                        <pic:nvPicPr>
                          <pic:cNvPr id="7" name="图片_11"/>
                          <pic:cNvPicPr/>
                        </pic:nvPicPr>
                        <pic:blipFill>
                          <a:blip r:embed="rId14"/>
                          <a:stretch>
                            <a:fillRect/>
                          </a:stretch>
                        </pic:blipFill>
                        <pic:spPr>
                          <a:xfrm>
                            <a:off x="0" y="0"/>
                            <a:ext cx="1520190" cy="815340"/>
                          </a:xfrm>
                          <a:prstGeom prst="rect">
                            <a:avLst/>
                          </a:prstGeom>
                          <a:noFill/>
                          <a:ln>
                            <a:noFill/>
                          </a:ln>
                        </pic:spPr>
                      </pic:pic>
                    </a:graphicData>
                  </a:graphic>
                </wp:anchor>
              </w:drawing>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B4E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1、面料成分：100%聚酯纤维；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2、面料克重：≥456克/㎡；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3、燃烧性能达到国标B1级；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4、织物密度：经密182根/10cm±10根，纬密240根/10cm±10根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5、透光率≤0.1%；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6、耐光色牢度：≥4级；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7、帘布采用2倍褶皱(1:2打摺)，工程量按实际展开面积以“m2”计取，施工损耗、运输损耗、拼接及卷边的材料损耗、配套魔术贴、挂钩等配件等计入单价，不单独计量；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8、魔术贴个数及设置位置参照各层各区域平面图要求，需满足设计要求；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9、具体材质样式，采购前需经建设单位确认。</w:t>
            </w:r>
          </w:p>
        </w:tc>
        <w:tc>
          <w:tcPr>
            <w:tcW w:w="480" w:type="dxa"/>
            <w:tcBorders>
              <w:top w:val="single" w:color="000000" w:sz="4" w:space="0"/>
              <w:left w:val="nil"/>
              <w:bottom w:val="single" w:color="000000" w:sz="4" w:space="0"/>
              <w:right w:val="single" w:color="000000" w:sz="4" w:space="0"/>
            </w:tcBorders>
            <w:shd w:val="clear" w:color="auto" w:fill="auto"/>
            <w:vAlign w:val="center"/>
          </w:tcPr>
          <w:p w14:paraId="269EDF7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6C8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2354.00 </w:t>
            </w:r>
          </w:p>
        </w:tc>
      </w:tr>
      <w:tr w14:paraId="76637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AAC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618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客房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329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窗纱CU-02</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E2F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-35560</wp:posOffset>
                  </wp:positionH>
                  <wp:positionV relativeFrom="paragraph">
                    <wp:posOffset>133985</wp:posOffset>
                  </wp:positionV>
                  <wp:extent cx="1492885" cy="656590"/>
                  <wp:effectExtent l="0" t="0" r="12065" b="10160"/>
                  <wp:wrapNone/>
                  <wp:docPr id="14" name="图片_12"/>
                  <wp:cNvGraphicFramePr/>
                  <a:graphic xmlns:a="http://schemas.openxmlformats.org/drawingml/2006/main">
                    <a:graphicData uri="http://schemas.openxmlformats.org/drawingml/2006/picture">
                      <pic:pic xmlns:pic="http://schemas.openxmlformats.org/drawingml/2006/picture">
                        <pic:nvPicPr>
                          <pic:cNvPr id="14" name="图片_12"/>
                          <pic:cNvPicPr/>
                        </pic:nvPicPr>
                        <pic:blipFill>
                          <a:blip r:embed="rId15"/>
                          <a:stretch>
                            <a:fillRect/>
                          </a:stretch>
                        </pic:blipFill>
                        <pic:spPr>
                          <a:xfrm>
                            <a:off x="0" y="0"/>
                            <a:ext cx="1492885" cy="656590"/>
                          </a:xfrm>
                          <a:prstGeom prst="rect">
                            <a:avLst/>
                          </a:prstGeom>
                          <a:noFill/>
                          <a:ln>
                            <a:noFill/>
                          </a:ln>
                        </pic:spPr>
                      </pic:pic>
                    </a:graphicData>
                  </a:graphic>
                </wp:anchor>
              </w:drawing>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FE8D">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1、面料成份：100%聚酯纤维；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2、面料克重≥125g/㎡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3、燃烧性能达到国标B1级；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4、织物密度：经向：150根/10cm±5根，纬向114根/10cm±5根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5、耐光色牢度：≥5级；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6、透光率：≤50%；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7、帘布采用2倍褶皱(1:2打摺)，工程量按实际展开面积以“m2”计取，施工损耗、运输损耗、拼接及卷边的材料损耗、配套魔术贴、挂钩等计入单价，不单独计量；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8、魔术贴个数及设置位置参照各层各区域平面图要求，需满足设计要求；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9、具体材质样式，采购前需经建设单位确认。</w:t>
            </w:r>
          </w:p>
        </w:tc>
        <w:tc>
          <w:tcPr>
            <w:tcW w:w="480" w:type="dxa"/>
            <w:tcBorders>
              <w:top w:val="single" w:color="000000" w:sz="4" w:space="0"/>
              <w:left w:val="nil"/>
              <w:bottom w:val="single" w:color="000000" w:sz="4" w:space="0"/>
              <w:right w:val="single" w:color="000000" w:sz="4" w:space="0"/>
            </w:tcBorders>
            <w:shd w:val="clear" w:color="auto" w:fill="auto"/>
            <w:vAlign w:val="center"/>
          </w:tcPr>
          <w:p w14:paraId="03F34FE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BB5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8744.00 </w:t>
            </w:r>
          </w:p>
        </w:tc>
      </w:tr>
      <w:tr w14:paraId="0EB1E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EBF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988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客房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EF5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橙黄色窗帘 (ON0069-3 南海诗人 )CU-03</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A82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146050</wp:posOffset>
                  </wp:positionV>
                  <wp:extent cx="1638935" cy="714375"/>
                  <wp:effectExtent l="0" t="0" r="18415" b="9525"/>
                  <wp:wrapNone/>
                  <wp:docPr id="13" name="图片_13"/>
                  <wp:cNvGraphicFramePr/>
                  <a:graphic xmlns:a="http://schemas.openxmlformats.org/drawingml/2006/main">
                    <a:graphicData uri="http://schemas.openxmlformats.org/drawingml/2006/picture">
                      <pic:pic xmlns:pic="http://schemas.openxmlformats.org/drawingml/2006/picture">
                        <pic:nvPicPr>
                          <pic:cNvPr id="13" name="图片_13"/>
                          <pic:cNvPicPr/>
                        </pic:nvPicPr>
                        <pic:blipFill>
                          <a:blip r:embed="rId16"/>
                          <a:stretch>
                            <a:fillRect/>
                          </a:stretch>
                        </pic:blipFill>
                        <pic:spPr>
                          <a:xfrm>
                            <a:off x="0" y="0"/>
                            <a:ext cx="1638935" cy="714375"/>
                          </a:xfrm>
                          <a:prstGeom prst="rect">
                            <a:avLst/>
                          </a:prstGeom>
                          <a:noFill/>
                          <a:ln>
                            <a:noFill/>
                          </a:ln>
                        </pic:spPr>
                      </pic:pic>
                    </a:graphicData>
                  </a:graphic>
                </wp:anchor>
              </w:drawing>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9BD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1、面料成份：100%聚酯纤维；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2、面料克重：≥400克/㎡；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3、燃烧性能达到国标B1级；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4、织物密度：经向密度≥1050根/10cm，纬向≥750根/10cm；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5、耐光色牢度/级≥4级；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6、透光率≤0.1%；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7、帘布采用2倍褶皱(1:2打摺)，工程量按实际展开面积以“m2”计取，施工损耗、运输损耗、拼接及卷边的材料损耗、配套魔术贴、挂钩等计入单价，不单独计量；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8、魔术贴个数及设置位置参照各层各区域平面图要求，需满足设计要求；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9、具体材质样式，采购前需经建设单位确认。</w:t>
            </w:r>
          </w:p>
        </w:tc>
        <w:tc>
          <w:tcPr>
            <w:tcW w:w="480" w:type="dxa"/>
            <w:tcBorders>
              <w:top w:val="single" w:color="000000" w:sz="4" w:space="0"/>
              <w:left w:val="nil"/>
              <w:bottom w:val="single" w:color="000000" w:sz="4" w:space="0"/>
              <w:right w:val="single" w:color="000000" w:sz="4" w:space="0"/>
            </w:tcBorders>
            <w:shd w:val="clear" w:color="auto" w:fill="auto"/>
            <w:vAlign w:val="center"/>
          </w:tcPr>
          <w:p w14:paraId="7659C04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444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6440.00 </w:t>
            </w:r>
          </w:p>
        </w:tc>
      </w:tr>
      <w:tr w14:paraId="6FBC0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1"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8AC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E9D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客房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4C0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沐浴窗帘CU-04</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7A1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302260</wp:posOffset>
                  </wp:positionH>
                  <wp:positionV relativeFrom="paragraph">
                    <wp:posOffset>38100</wp:posOffset>
                  </wp:positionV>
                  <wp:extent cx="937260" cy="955675"/>
                  <wp:effectExtent l="0" t="0" r="15240" b="15875"/>
                  <wp:wrapNone/>
                  <wp:docPr id="12" name="图片_14"/>
                  <wp:cNvGraphicFramePr/>
                  <a:graphic xmlns:a="http://schemas.openxmlformats.org/drawingml/2006/main">
                    <a:graphicData uri="http://schemas.openxmlformats.org/drawingml/2006/picture">
                      <pic:pic xmlns:pic="http://schemas.openxmlformats.org/drawingml/2006/picture">
                        <pic:nvPicPr>
                          <pic:cNvPr id="12" name="图片_14"/>
                          <pic:cNvPicPr/>
                        </pic:nvPicPr>
                        <pic:blipFill>
                          <a:blip r:embed="rId17"/>
                          <a:stretch>
                            <a:fillRect/>
                          </a:stretch>
                        </pic:blipFill>
                        <pic:spPr>
                          <a:xfrm>
                            <a:off x="0" y="0"/>
                            <a:ext cx="937260" cy="955675"/>
                          </a:xfrm>
                          <a:prstGeom prst="rect">
                            <a:avLst/>
                          </a:prstGeom>
                          <a:noFill/>
                          <a:ln>
                            <a:noFill/>
                          </a:ln>
                        </pic:spPr>
                      </pic:pic>
                    </a:graphicData>
                  </a:graphic>
                </wp:anchor>
              </w:drawing>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788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1、面料成份：100%聚酯纤维；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2、经纬密度：210T±3%；</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3、面料防水等级：≥4级；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4、水洗尺寸变化率：经向：-1.0～+1.0%，纬向≤-1.0～+1.0%；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5、帘布采用2倍褶皱(1:2打摺)，工程量按实际展开面积以“m2”计取，施工损耗、运输损耗、拼接及卷边的材料损耗、配套魔术贴、挂钩等计入单价，不单独计量；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6、魔术贴个数及设置位置参照各层各区域平面图要求，需满足设计要求；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7、具体材质样式，采购前需经建设单位确认。</w:t>
            </w:r>
          </w:p>
        </w:tc>
        <w:tc>
          <w:tcPr>
            <w:tcW w:w="480" w:type="dxa"/>
            <w:tcBorders>
              <w:top w:val="single" w:color="000000" w:sz="4" w:space="0"/>
              <w:left w:val="nil"/>
              <w:bottom w:val="single" w:color="000000" w:sz="4" w:space="0"/>
              <w:right w:val="single" w:color="000000" w:sz="4" w:space="0"/>
            </w:tcBorders>
            <w:shd w:val="clear" w:color="auto" w:fill="auto"/>
            <w:vAlign w:val="center"/>
          </w:tcPr>
          <w:p w14:paraId="49946DC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E51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12.00 </w:t>
            </w:r>
          </w:p>
        </w:tc>
      </w:tr>
      <w:tr w14:paraId="533AE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8B5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071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7C4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窗纱CU-101</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CD5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-43180</wp:posOffset>
                  </wp:positionH>
                  <wp:positionV relativeFrom="paragraph">
                    <wp:posOffset>38735</wp:posOffset>
                  </wp:positionV>
                  <wp:extent cx="1562100" cy="755650"/>
                  <wp:effectExtent l="0" t="0" r="0" b="6350"/>
                  <wp:wrapNone/>
                  <wp:docPr id="10" name="图片_15"/>
                  <wp:cNvGraphicFramePr/>
                  <a:graphic xmlns:a="http://schemas.openxmlformats.org/drawingml/2006/main">
                    <a:graphicData uri="http://schemas.openxmlformats.org/drawingml/2006/picture">
                      <pic:pic xmlns:pic="http://schemas.openxmlformats.org/drawingml/2006/picture">
                        <pic:nvPicPr>
                          <pic:cNvPr id="10" name="图片_15"/>
                          <pic:cNvPicPr/>
                        </pic:nvPicPr>
                        <pic:blipFill>
                          <a:blip r:embed="rId18"/>
                          <a:stretch>
                            <a:fillRect/>
                          </a:stretch>
                        </pic:blipFill>
                        <pic:spPr>
                          <a:xfrm>
                            <a:off x="0" y="0"/>
                            <a:ext cx="1562100" cy="755650"/>
                          </a:xfrm>
                          <a:prstGeom prst="rect">
                            <a:avLst/>
                          </a:prstGeom>
                          <a:noFill/>
                          <a:ln>
                            <a:noFill/>
                          </a:ln>
                        </pic:spPr>
                      </pic:pic>
                    </a:graphicData>
                  </a:graphic>
                </wp:anchor>
              </w:drawing>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103C">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1、面料成份：100%聚酯纤维；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2、面料克重≥125g/㎡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3、燃烧性能达到国标B1级；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4、织物密度：经向：150根/10cm±5根，纬向114根/10cm±5根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5、透光率：≤50%；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6、耐光色牢度：≥5级；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7、帘布采用2倍褶皱(1:2打摺)，工程量按实际展开面积以“m2”计取，施工损耗、运输损耗、拼接及卷边的材料损耗、配套魔术贴、挂钩等计入单价，不单独计量；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8、魔术贴个数及设置位置参照各层各区域平面图要求，需满足设计要求；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9、具体材质样式，采购前需经建设单位确认。</w:t>
            </w:r>
          </w:p>
        </w:tc>
        <w:tc>
          <w:tcPr>
            <w:tcW w:w="480" w:type="dxa"/>
            <w:tcBorders>
              <w:top w:val="single" w:color="000000" w:sz="4" w:space="0"/>
              <w:left w:val="nil"/>
              <w:bottom w:val="single" w:color="000000" w:sz="4" w:space="0"/>
              <w:right w:val="single" w:color="000000" w:sz="4" w:space="0"/>
            </w:tcBorders>
            <w:shd w:val="clear" w:color="auto" w:fill="auto"/>
            <w:vAlign w:val="center"/>
          </w:tcPr>
          <w:p w14:paraId="4658D18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383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570.00 </w:t>
            </w:r>
          </w:p>
        </w:tc>
      </w:tr>
      <w:tr w14:paraId="5B1FA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913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835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AB8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窗帘 (GN0012-2 若草色 )CU-102</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950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-34925</wp:posOffset>
                  </wp:positionH>
                  <wp:positionV relativeFrom="paragraph">
                    <wp:posOffset>93980</wp:posOffset>
                  </wp:positionV>
                  <wp:extent cx="1619885" cy="817880"/>
                  <wp:effectExtent l="0" t="0" r="18415" b="1270"/>
                  <wp:wrapNone/>
                  <wp:docPr id="8" name="图片_16"/>
                  <wp:cNvGraphicFramePr/>
                  <a:graphic xmlns:a="http://schemas.openxmlformats.org/drawingml/2006/main">
                    <a:graphicData uri="http://schemas.openxmlformats.org/drawingml/2006/picture">
                      <pic:pic xmlns:pic="http://schemas.openxmlformats.org/drawingml/2006/picture">
                        <pic:nvPicPr>
                          <pic:cNvPr id="8" name="图片_16"/>
                          <pic:cNvPicPr/>
                        </pic:nvPicPr>
                        <pic:blipFill>
                          <a:blip r:embed="rId19"/>
                          <a:stretch>
                            <a:fillRect/>
                          </a:stretch>
                        </pic:blipFill>
                        <pic:spPr>
                          <a:xfrm>
                            <a:off x="0" y="0"/>
                            <a:ext cx="1619885" cy="817880"/>
                          </a:xfrm>
                          <a:prstGeom prst="rect">
                            <a:avLst/>
                          </a:prstGeom>
                          <a:noFill/>
                          <a:ln>
                            <a:noFill/>
                          </a:ln>
                        </pic:spPr>
                      </pic:pic>
                    </a:graphicData>
                  </a:graphic>
                </wp:anchor>
              </w:drawing>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0A7E">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1、面料成份：100%聚酯纤维；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2、面料克重：≥300g/㎡；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3、燃烧性能达到国标B1级；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4、织物密度：经向密度≥1050根/10cm，纬向≥750根/10cm；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5、透光率：≤0.1%；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6、耐光色牢度/级≥4级；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7、帘布采用2倍褶皱(1:2打摺)，工程量按实际展开面积以“m2”计取，施工损耗、运输损耗、拼接及卷边的材料损耗、配套魔术贴、挂钩等计入单价，不单独计量；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8、魔术贴个数及设置位置参照各层各区域平面图要求，需满足设计要求；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9、具体材质样式，采购前需经建设单位确认。</w:t>
            </w:r>
          </w:p>
        </w:tc>
        <w:tc>
          <w:tcPr>
            <w:tcW w:w="480" w:type="dxa"/>
            <w:tcBorders>
              <w:top w:val="single" w:color="000000" w:sz="4" w:space="0"/>
              <w:left w:val="nil"/>
              <w:bottom w:val="single" w:color="000000" w:sz="4" w:space="0"/>
              <w:right w:val="single" w:color="000000" w:sz="4" w:space="0"/>
            </w:tcBorders>
            <w:shd w:val="clear" w:color="auto" w:fill="auto"/>
            <w:vAlign w:val="center"/>
          </w:tcPr>
          <w:p w14:paraId="5A0D843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489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30.00 </w:t>
            </w:r>
          </w:p>
        </w:tc>
      </w:tr>
      <w:tr w14:paraId="3E934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E5B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769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AFE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PVC 窗帘CU-103</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09C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-59055</wp:posOffset>
                  </wp:positionH>
                  <wp:positionV relativeFrom="paragraph">
                    <wp:posOffset>99060</wp:posOffset>
                  </wp:positionV>
                  <wp:extent cx="1600835" cy="785495"/>
                  <wp:effectExtent l="0" t="0" r="18415" b="14605"/>
                  <wp:wrapNone/>
                  <wp:docPr id="11" name="图片_17"/>
                  <wp:cNvGraphicFramePr/>
                  <a:graphic xmlns:a="http://schemas.openxmlformats.org/drawingml/2006/main">
                    <a:graphicData uri="http://schemas.openxmlformats.org/drawingml/2006/picture">
                      <pic:pic xmlns:pic="http://schemas.openxmlformats.org/drawingml/2006/picture">
                        <pic:nvPicPr>
                          <pic:cNvPr id="11" name="图片_17"/>
                          <pic:cNvPicPr/>
                        </pic:nvPicPr>
                        <pic:blipFill>
                          <a:blip r:embed="rId20"/>
                          <a:stretch>
                            <a:fillRect/>
                          </a:stretch>
                        </pic:blipFill>
                        <pic:spPr>
                          <a:xfrm>
                            <a:off x="0" y="0"/>
                            <a:ext cx="1600835" cy="785495"/>
                          </a:xfrm>
                          <a:prstGeom prst="rect">
                            <a:avLst/>
                          </a:prstGeom>
                          <a:noFill/>
                          <a:ln>
                            <a:noFill/>
                          </a:ln>
                        </pic:spPr>
                      </pic:pic>
                    </a:graphicData>
                  </a:graphic>
                </wp:anchor>
              </w:drawing>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B55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1、材质：35%聚酯纤维、65%聚氯乙烯；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2、开孔率：3%；</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3、面料克重≥400 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4、燃烧性能达到国标B1级；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5、透光率≤25%；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6、耐光色牢度≥6级；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7、工程量按实际展开面积以“m2”计取，施工损耗、运输损耗、卷边的材料损耗等计入单价，不单独计量；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8、具体材质样式，采购前需经建设单位确认。</w:t>
            </w:r>
          </w:p>
        </w:tc>
        <w:tc>
          <w:tcPr>
            <w:tcW w:w="480" w:type="dxa"/>
            <w:tcBorders>
              <w:top w:val="single" w:color="000000" w:sz="4" w:space="0"/>
              <w:left w:val="nil"/>
              <w:bottom w:val="single" w:color="000000" w:sz="4" w:space="0"/>
              <w:right w:val="single" w:color="000000" w:sz="4" w:space="0"/>
            </w:tcBorders>
            <w:shd w:val="clear" w:color="auto" w:fill="auto"/>
            <w:vAlign w:val="center"/>
          </w:tcPr>
          <w:p w14:paraId="395BA2C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DC0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800.00 </w:t>
            </w:r>
          </w:p>
        </w:tc>
      </w:tr>
      <w:tr w14:paraId="650B9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088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3C8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6B2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窗帘 (NN1120-3 面包布丁 )CU-104</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94F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161925</wp:posOffset>
                  </wp:positionV>
                  <wp:extent cx="1625600" cy="829945"/>
                  <wp:effectExtent l="0" t="0" r="12700" b="8255"/>
                  <wp:wrapNone/>
                  <wp:docPr id="2" name="图片_18"/>
                  <wp:cNvGraphicFramePr/>
                  <a:graphic xmlns:a="http://schemas.openxmlformats.org/drawingml/2006/main">
                    <a:graphicData uri="http://schemas.openxmlformats.org/drawingml/2006/picture">
                      <pic:pic xmlns:pic="http://schemas.openxmlformats.org/drawingml/2006/picture">
                        <pic:nvPicPr>
                          <pic:cNvPr id="2" name="图片_18"/>
                          <pic:cNvPicPr/>
                        </pic:nvPicPr>
                        <pic:blipFill>
                          <a:blip r:embed="rId21"/>
                          <a:stretch>
                            <a:fillRect/>
                          </a:stretch>
                        </pic:blipFill>
                        <pic:spPr>
                          <a:xfrm>
                            <a:off x="0" y="0"/>
                            <a:ext cx="1625600" cy="829945"/>
                          </a:xfrm>
                          <a:prstGeom prst="rect">
                            <a:avLst/>
                          </a:prstGeom>
                          <a:noFill/>
                          <a:ln>
                            <a:noFill/>
                          </a:ln>
                        </pic:spPr>
                      </pic:pic>
                    </a:graphicData>
                  </a:graphic>
                </wp:anchor>
              </w:drawing>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F7A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1、面料成分：100%聚酯纤维；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2、面料克重≥350g/㎡；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3、燃烧性能达到国标B1级；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4、织物密度：经向≥1050根/10cm，纬向≥750根/10cm；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5、透光率：≤0.1%；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6、耐光色牢度≥4级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7、帘布采用2倍褶皱(1:2打摺)，工程量按实际展开面积以“m2”计取，施工损耗、运输损耗、拼接及卷边的材料损耗、配套魔术贴、挂钩等计入单价，不单独计量；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8、魔术贴个数及设置位置参照各层各区域平面图要求，需满足设计要求；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9、具体材质样式，采购前需经建设单位确认。</w:t>
            </w:r>
          </w:p>
        </w:tc>
        <w:tc>
          <w:tcPr>
            <w:tcW w:w="480" w:type="dxa"/>
            <w:tcBorders>
              <w:top w:val="single" w:color="000000" w:sz="4" w:space="0"/>
              <w:left w:val="nil"/>
              <w:bottom w:val="single" w:color="000000" w:sz="4" w:space="0"/>
              <w:right w:val="single" w:color="000000" w:sz="4" w:space="0"/>
            </w:tcBorders>
            <w:shd w:val="clear" w:color="auto" w:fill="auto"/>
            <w:vAlign w:val="center"/>
          </w:tcPr>
          <w:p w14:paraId="45F55B1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E06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450.00 </w:t>
            </w:r>
          </w:p>
        </w:tc>
      </w:tr>
      <w:tr w14:paraId="5B5B0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B3A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566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286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窗帘 (NN0136-1 土星环 )CU-105</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72F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28575</wp:posOffset>
                  </wp:positionV>
                  <wp:extent cx="1609725" cy="793115"/>
                  <wp:effectExtent l="0" t="0" r="9525" b="6985"/>
                  <wp:wrapNone/>
                  <wp:docPr id="6" name="图片_19"/>
                  <wp:cNvGraphicFramePr/>
                  <a:graphic xmlns:a="http://schemas.openxmlformats.org/drawingml/2006/main">
                    <a:graphicData uri="http://schemas.openxmlformats.org/drawingml/2006/picture">
                      <pic:pic xmlns:pic="http://schemas.openxmlformats.org/drawingml/2006/picture">
                        <pic:nvPicPr>
                          <pic:cNvPr id="6" name="图片_19"/>
                          <pic:cNvPicPr/>
                        </pic:nvPicPr>
                        <pic:blipFill>
                          <a:blip r:embed="rId22"/>
                          <a:stretch>
                            <a:fillRect/>
                          </a:stretch>
                        </pic:blipFill>
                        <pic:spPr>
                          <a:xfrm>
                            <a:off x="0" y="0"/>
                            <a:ext cx="1609725" cy="793115"/>
                          </a:xfrm>
                          <a:prstGeom prst="rect">
                            <a:avLst/>
                          </a:prstGeom>
                          <a:noFill/>
                          <a:ln>
                            <a:noFill/>
                          </a:ln>
                        </pic:spPr>
                      </pic:pic>
                    </a:graphicData>
                  </a:graphic>
                </wp:anchor>
              </w:drawing>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DCF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1、面料成分：100%聚酯纤维；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2、面料克重：≥320g/㎡；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3、燃烧性能：达到国标 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4、织物密度：经向≥1050根/10cm，纬向≥750根/10cm；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5、透光率：≤0.1%；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6、耐光色牢度：≥4级；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7、帘布采用2倍褶皱(1:2打摺)，工程量按实际展开面积以“m2”计取，施工损耗、运输损耗、拼接及卷边的材料损耗、配套魔术贴、挂钩等计入单价，不单独计量；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8、魔术贴个数及设置位置参照各层各区域平面图要求，需满足设计要求；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9、具体材质样式，采购前需经建设单位确认。</w:t>
            </w:r>
          </w:p>
        </w:tc>
        <w:tc>
          <w:tcPr>
            <w:tcW w:w="480" w:type="dxa"/>
            <w:tcBorders>
              <w:top w:val="single" w:color="000000" w:sz="4" w:space="0"/>
              <w:left w:val="nil"/>
              <w:bottom w:val="single" w:color="000000" w:sz="4" w:space="0"/>
              <w:right w:val="single" w:color="000000" w:sz="4" w:space="0"/>
            </w:tcBorders>
            <w:shd w:val="clear" w:color="auto" w:fill="auto"/>
            <w:vAlign w:val="center"/>
          </w:tcPr>
          <w:p w14:paraId="4C41F71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1DB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65.00 </w:t>
            </w:r>
          </w:p>
        </w:tc>
      </w:tr>
      <w:tr w14:paraId="100C6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B80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587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4B1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缎面窗帘CU-106</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2B6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328930</wp:posOffset>
                  </wp:positionH>
                  <wp:positionV relativeFrom="paragraph">
                    <wp:posOffset>26035</wp:posOffset>
                  </wp:positionV>
                  <wp:extent cx="628650" cy="957580"/>
                  <wp:effectExtent l="0" t="0" r="0" b="13970"/>
                  <wp:wrapNone/>
                  <wp:docPr id="9" name="图片_20"/>
                  <wp:cNvGraphicFramePr/>
                  <a:graphic xmlns:a="http://schemas.openxmlformats.org/drawingml/2006/main">
                    <a:graphicData uri="http://schemas.openxmlformats.org/drawingml/2006/picture">
                      <pic:pic xmlns:pic="http://schemas.openxmlformats.org/drawingml/2006/picture">
                        <pic:nvPicPr>
                          <pic:cNvPr id="9" name="图片_20"/>
                          <pic:cNvPicPr/>
                        </pic:nvPicPr>
                        <pic:blipFill>
                          <a:blip r:embed="rId23"/>
                          <a:stretch>
                            <a:fillRect/>
                          </a:stretch>
                        </pic:blipFill>
                        <pic:spPr>
                          <a:xfrm>
                            <a:off x="0" y="0"/>
                            <a:ext cx="628650" cy="957580"/>
                          </a:xfrm>
                          <a:prstGeom prst="rect">
                            <a:avLst/>
                          </a:prstGeom>
                          <a:noFill/>
                          <a:ln>
                            <a:noFill/>
                          </a:ln>
                        </pic:spPr>
                      </pic:pic>
                    </a:graphicData>
                  </a:graphic>
                </wp:anchor>
              </w:drawing>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9E7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1、面料成分：100%聚酯纤维；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2、面料克重：≥343克g/㎡；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3、燃烧性能达到国标 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4、织物密度：经向≥1050根/10cm，纬向≥750根/10cm；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5、透光率：≤0.1%；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6、耐光色牢度：≥4级；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7、帘布采用2倍褶皱(1:2打摺)，工程量按实际展开面积以“m2”计取，施工损耗、运输损耗、拼接及卷边的材料损耗、配套魔术贴、挂钩等计入单价，不单独计量；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8、魔术贴个数及设置位置参照各层各区域平面图要求，需满足设计要求；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9、具体材质样式，采购前需经建设单位确认。</w:t>
            </w:r>
          </w:p>
        </w:tc>
        <w:tc>
          <w:tcPr>
            <w:tcW w:w="480" w:type="dxa"/>
            <w:tcBorders>
              <w:top w:val="single" w:color="000000" w:sz="4" w:space="0"/>
              <w:left w:val="nil"/>
              <w:bottom w:val="single" w:color="000000" w:sz="4" w:space="0"/>
              <w:right w:val="single" w:color="000000" w:sz="4" w:space="0"/>
            </w:tcBorders>
            <w:shd w:val="clear" w:color="auto" w:fill="auto"/>
            <w:vAlign w:val="center"/>
          </w:tcPr>
          <w:p w14:paraId="68E3BF6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017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30.00 </w:t>
            </w:r>
          </w:p>
        </w:tc>
      </w:tr>
      <w:tr w14:paraId="27D30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A96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017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客房/公区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F4A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成品手动卷帘布窗帘（灰色）</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A352">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1"/>
                <w:szCs w:val="21"/>
                <w:highlight w:val="none"/>
                <w:u w:val="none"/>
              </w:rPr>
            </w:pP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9A0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一、基本要求：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1、含卷管、封头、升降拉珠等配件，含钻孔、安装等费用；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2、具体材质样式，采购前需经建设单位确认；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二、技术要求：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1、面料成分：成份：30%聚酯纤维、70%聚氯乙烯；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2、开孔率：0%；厚度：≥0.6；幅宽：≤250CM；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3、克重：≥450 g/㎡；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4、燃烧性能达到国标B1级；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三、计算规则：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1、工程量按实际展开面积以“m2”计取。</w:t>
            </w:r>
          </w:p>
        </w:tc>
        <w:tc>
          <w:tcPr>
            <w:tcW w:w="480" w:type="dxa"/>
            <w:tcBorders>
              <w:top w:val="single" w:color="000000" w:sz="4" w:space="0"/>
              <w:left w:val="nil"/>
              <w:bottom w:val="single" w:color="000000" w:sz="4" w:space="0"/>
              <w:right w:val="single" w:color="000000" w:sz="4" w:space="0"/>
            </w:tcBorders>
            <w:shd w:val="clear" w:color="auto" w:fill="auto"/>
            <w:vAlign w:val="center"/>
          </w:tcPr>
          <w:p w14:paraId="0864939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990" w:type="dxa"/>
            <w:tcBorders>
              <w:top w:val="nil"/>
              <w:left w:val="single" w:color="000000" w:sz="4" w:space="0"/>
              <w:bottom w:val="single" w:color="000000" w:sz="4" w:space="0"/>
              <w:right w:val="single" w:color="000000" w:sz="4" w:space="0"/>
            </w:tcBorders>
            <w:shd w:val="clear" w:color="auto" w:fill="auto"/>
            <w:vAlign w:val="center"/>
          </w:tcPr>
          <w:p w14:paraId="642A89A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290.00 </w:t>
            </w:r>
          </w:p>
        </w:tc>
      </w:tr>
      <w:tr w14:paraId="557F8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3C3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8D0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客房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F65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沐浴拉帘配套轨道</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C6DB">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1"/>
                <w:szCs w:val="21"/>
                <w:highlight w:val="none"/>
                <w:u w:val="none"/>
              </w:rPr>
            </w:pP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36FB">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一、基本要求：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1、含配件等，含钻孔、安装等费用；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2、具体材质样式，采购前需经建设单位确认；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二、技术要求：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1、材质，304不锈钢；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2、浴帘法兰底座直径8cm-9cm，高4cm-4.5cm, 壁厚≥1.0mm；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3、浴帘管内径≥25mm，壁厚≥1.0mm；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三、计算规则：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1、工程量按实际长度以“m”计取。</w:t>
            </w:r>
          </w:p>
        </w:tc>
        <w:tc>
          <w:tcPr>
            <w:tcW w:w="480" w:type="dxa"/>
            <w:tcBorders>
              <w:top w:val="single" w:color="000000" w:sz="4" w:space="0"/>
              <w:left w:val="nil"/>
              <w:bottom w:val="single" w:color="000000" w:sz="4" w:space="0"/>
              <w:right w:val="single" w:color="000000" w:sz="4" w:space="0"/>
            </w:tcBorders>
            <w:shd w:val="clear" w:color="auto" w:fill="auto"/>
            <w:vAlign w:val="center"/>
          </w:tcPr>
          <w:p w14:paraId="4C7BB97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990" w:type="dxa"/>
            <w:tcBorders>
              <w:top w:val="nil"/>
              <w:left w:val="single" w:color="000000" w:sz="4" w:space="0"/>
              <w:bottom w:val="single" w:color="000000" w:sz="4" w:space="0"/>
              <w:right w:val="single" w:color="000000" w:sz="4" w:space="0"/>
            </w:tcBorders>
            <w:shd w:val="clear" w:color="auto" w:fill="auto"/>
            <w:vAlign w:val="center"/>
          </w:tcPr>
          <w:p w14:paraId="14FBC89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3.00 </w:t>
            </w:r>
          </w:p>
        </w:tc>
      </w:tr>
      <w:tr w14:paraId="56432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8C7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62B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36F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窗帘双轨道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（手动，适用于窗纱窗布）</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A0DC">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1"/>
                <w:szCs w:val="21"/>
                <w:highlight w:val="none"/>
                <w:u w:val="none"/>
              </w:rPr>
            </w:pP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13D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1、材质：铝合金。型材表面清洁，涂层均匀，无皱纹、流痕、发黏、凹陷、暗斑、针孔、划伤、裂纹、鼓泡等可视缺陷；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2、每米克重：≥460g/m;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3、壁厚≥2.0mm；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4、宽度≥25mm；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5、高度≥20mm；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6、抗拉强度：≥210MPa；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7、轨道承重：施加≥50Kg载荷，变形或未破坏；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8、工程量按实际长度以“m”计取。</w:t>
            </w:r>
          </w:p>
        </w:tc>
        <w:tc>
          <w:tcPr>
            <w:tcW w:w="480" w:type="dxa"/>
            <w:tcBorders>
              <w:top w:val="single" w:color="000000" w:sz="4" w:space="0"/>
              <w:left w:val="nil"/>
              <w:bottom w:val="single" w:color="000000" w:sz="4" w:space="0"/>
              <w:right w:val="single" w:color="000000" w:sz="4" w:space="0"/>
            </w:tcBorders>
            <w:shd w:val="clear" w:color="auto" w:fill="auto"/>
            <w:vAlign w:val="center"/>
          </w:tcPr>
          <w:p w14:paraId="5EE7B07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990" w:type="dxa"/>
            <w:tcBorders>
              <w:top w:val="nil"/>
              <w:left w:val="single" w:color="000000" w:sz="4" w:space="0"/>
              <w:bottom w:val="single" w:color="000000" w:sz="4" w:space="0"/>
              <w:right w:val="single" w:color="000000" w:sz="4" w:space="0"/>
            </w:tcBorders>
            <w:shd w:val="clear" w:color="auto" w:fill="auto"/>
            <w:vAlign w:val="center"/>
          </w:tcPr>
          <w:p w14:paraId="3B26E0D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8.00 </w:t>
            </w:r>
          </w:p>
        </w:tc>
      </w:tr>
      <w:tr w14:paraId="7E7EB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76A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337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CF2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窗帘双轨道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（电动，适用于窗纱窗布）</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229D">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1"/>
                <w:szCs w:val="21"/>
                <w:highlight w:val="none"/>
                <w:u w:val="none"/>
              </w:rPr>
            </w:pP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A88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1、材质：铝合金。型材表面清洁，涂层均匀，无皱纹、流痕、发黏、凹陷、暗斑、针孔、划伤、裂纹、鼓泡等可视缺陷；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2、每米克重：≥450g/m;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3、壁厚≥2.0mm；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4、宽度≥25mm；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5、高度≥20mm；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6、抗拉强度：≥200MPa；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7、轨道承重：施加≥50Kg载荷，未变形或破坏；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8、工程量按实际长度以“m”计取。</w:t>
            </w:r>
          </w:p>
        </w:tc>
        <w:tc>
          <w:tcPr>
            <w:tcW w:w="480" w:type="dxa"/>
            <w:tcBorders>
              <w:top w:val="single" w:color="000000" w:sz="4" w:space="0"/>
              <w:left w:val="nil"/>
              <w:bottom w:val="single" w:color="000000" w:sz="4" w:space="0"/>
              <w:right w:val="single" w:color="000000" w:sz="4" w:space="0"/>
            </w:tcBorders>
            <w:shd w:val="clear" w:color="auto" w:fill="auto"/>
            <w:vAlign w:val="center"/>
          </w:tcPr>
          <w:p w14:paraId="2005EB3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990" w:type="dxa"/>
            <w:tcBorders>
              <w:top w:val="nil"/>
              <w:left w:val="single" w:color="000000" w:sz="4" w:space="0"/>
              <w:bottom w:val="single" w:color="000000" w:sz="4" w:space="0"/>
              <w:right w:val="single" w:color="000000" w:sz="4" w:space="0"/>
            </w:tcBorders>
            <w:shd w:val="clear" w:color="auto" w:fill="auto"/>
            <w:vAlign w:val="center"/>
          </w:tcPr>
          <w:p w14:paraId="67FD34A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35.00 </w:t>
            </w:r>
          </w:p>
        </w:tc>
      </w:tr>
      <w:tr w14:paraId="1D2D7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730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0B1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5B6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PVC卷帘窗帘配件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（电动）</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3214">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1"/>
                <w:szCs w:val="21"/>
                <w:highlight w:val="none"/>
                <w:u w:val="none"/>
              </w:rPr>
            </w:pP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36F5">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一、基本要求：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1、含配件等，含钻孔、安装等费用；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2、具体材质样式，采购前需经建设单位确认；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二、技术要求：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（一）上管：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采用高强度6063-T5铝合金材质卷管；内置加强筋≥6根，表面阳极氧化处理；管材外表面带插槽；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1、壁厚≥1.7mm；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2、直径：≥54mm；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3、内置加强筋根数：≥6根；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4、米克重≥950g/m；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5、卷管承重：对卷管施加≥50kg的荷载，卷管未变形；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6、规定非比例延伸强度：≥200MPa；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7、抗拉强度：≥230MPa；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8、断后伸长率：≥13%；</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9、韦氏硬度≥14；</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10、维氏硬度≥85；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11、漆膜硬度≥6H；</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（二）下杆：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采用高强度6063-T5铝合金材质下杆；下杆封口采用胀紧式封口，表面电泳氧化处理；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1、尺寸：壁厚≥2.0mm；宽度≥40mm；高度≥16mm；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2、米克重≥620g/m；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3、拉伸试验：规定非比例延伸强度：≥210MPa；抗拉强度：≥230MPa；断后伸长率：≥11%；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4、硬度试验：韦氏硬度≥13；维氏硬度≥80；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5、漆膜硬度≥6H；</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三、计算规则：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1、工程量按实际长度以“m”计取。</w:t>
            </w:r>
          </w:p>
        </w:tc>
        <w:tc>
          <w:tcPr>
            <w:tcW w:w="480" w:type="dxa"/>
            <w:tcBorders>
              <w:top w:val="single" w:color="000000" w:sz="4" w:space="0"/>
              <w:left w:val="nil"/>
              <w:bottom w:val="single" w:color="000000" w:sz="4" w:space="0"/>
              <w:right w:val="single" w:color="000000" w:sz="4" w:space="0"/>
            </w:tcBorders>
            <w:shd w:val="clear" w:color="auto" w:fill="auto"/>
            <w:vAlign w:val="center"/>
          </w:tcPr>
          <w:p w14:paraId="0DEB7F4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990" w:type="dxa"/>
            <w:tcBorders>
              <w:top w:val="nil"/>
              <w:left w:val="single" w:color="000000" w:sz="4" w:space="0"/>
              <w:bottom w:val="single" w:color="000000" w:sz="4" w:space="0"/>
              <w:right w:val="single" w:color="000000" w:sz="4" w:space="0"/>
            </w:tcBorders>
            <w:shd w:val="clear" w:color="auto" w:fill="auto"/>
            <w:vAlign w:val="center"/>
          </w:tcPr>
          <w:p w14:paraId="2C70386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185.00 </w:t>
            </w:r>
          </w:p>
        </w:tc>
      </w:tr>
      <w:tr w14:paraId="0B545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9C7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5DD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CDE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窗帘电机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（开合帘电机）</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7FFF">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1"/>
                <w:szCs w:val="21"/>
                <w:highlight w:val="none"/>
                <w:u w:val="none"/>
              </w:rPr>
            </w:pP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F0DB">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一、电机参数：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采用静音电机，电机具备对码功能、具备换向功能、具备遇阻停止功能、具备遇阻删行程功能、具备电子行程记忆、具备带电手拉启动、断电手拉开合、可设置第三限位点功能、具备缓启缓停功能、可以RS485协议控制、具备弱电干触点功能、具备强电；</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控制功能；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2、电压：AC110-240V,50Hz/60Hz；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3、扭矩≥1.2NM；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4、电机线速度≥12cm/s；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5、工作温度-15℃ to +55℃；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6、额定功率≥18W；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7、负载≥50Kg；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8、运行声音：≤30dB；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9、需结合现场实际情况、卷帘的高度宽幅综合考虑报价，满足正常开合使用需求。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二、计算规则：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1、工程量按实际数量以“台”计取。</w:t>
            </w:r>
          </w:p>
        </w:tc>
        <w:tc>
          <w:tcPr>
            <w:tcW w:w="480" w:type="dxa"/>
            <w:tcBorders>
              <w:top w:val="single" w:color="000000" w:sz="4" w:space="0"/>
              <w:left w:val="nil"/>
              <w:bottom w:val="single" w:color="000000" w:sz="4" w:space="0"/>
              <w:right w:val="single" w:color="000000" w:sz="4" w:space="0"/>
            </w:tcBorders>
            <w:shd w:val="clear" w:color="auto" w:fill="auto"/>
            <w:vAlign w:val="center"/>
          </w:tcPr>
          <w:p w14:paraId="4C08406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90" w:type="dxa"/>
            <w:tcBorders>
              <w:top w:val="nil"/>
              <w:left w:val="single" w:color="000000" w:sz="4" w:space="0"/>
              <w:bottom w:val="single" w:color="000000" w:sz="4" w:space="0"/>
              <w:right w:val="single" w:color="000000" w:sz="4" w:space="0"/>
            </w:tcBorders>
            <w:shd w:val="clear" w:color="auto" w:fill="auto"/>
            <w:vAlign w:val="center"/>
          </w:tcPr>
          <w:p w14:paraId="53A7266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20.00 </w:t>
            </w:r>
          </w:p>
        </w:tc>
      </w:tr>
      <w:tr w14:paraId="7BD28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6A1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752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BF5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窗帘电机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（内置卷管电机）</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D92A">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1"/>
                <w:szCs w:val="21"/>
                <w:highlight w:val="none"/>
                <w:u w:val="none"/>
              </w:rPr>
            </w:pP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9C9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一、电机参数：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1、噪音≤30db，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2、负载≥16kg，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3、带干触点功能，可外接干触点控制，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4、额定扭矩≥8n·m，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5、额定转速≥17rpm，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6、额定电压220/230v，</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7、连续工作时间：≥4min；</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8、需结合现场实际情况、卷帘的高度宽幅综合考虑报价，满足正常升降使用需求。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二、计算规则：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1、工程量按实际数量以“台”计取。</w:t>
            </w:r>
          </w:p>
        </w:tc>
        <w:tc>
          <w:tcPr>
            <w:tcW w:w="480" w:type="dxa"/>
            <w:tcBorders>
              <w:top w:val="single" w:color="000000" w:sz="4" w:space="0"/>
              <w:left w:val="nil"/>
              <w:bottom w:val="single" w:color="000000" w:sz="4" w:space="0"/>
              <w:right w:val="single" w:color="000000" w:sz="4" w:space="0"/>
            </w:tcBorders>
            <w:shd w:val="clear" w:color="auto" w:fill="auto"/>
            <w:vAlign w:val="center"/>
          </w:tcPr>
          <w:p w14:paraId="7EE6B6C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990" w:type="dxa"/>
            <w:tcBorders>
              <w:top w:val="nil"/>
              <w:left w:val="single" w:color="000000" w:sz="4" w:space="0"/>
              <w:bottom w:val="single" w:color="000000" w:sz="4" w:space="0"/>
              <w:right w:val="single" w:color="000000" w:sz="4" w:space="0"/>
            </w:tcBorders>
            <w:shd w:val="clear" w:color="auto" w:fill="auto"/>
            <w:vAlign w:val="center"/>
          </w:tcPr>
          <w:p w14:paraId="3779452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31.00 </w:t>
            </w:r>
          </w:p>
        </w:tc>
      </w:tr>
      <w:tr w14:paraId="0E1C6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7"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CCC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CC9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DC1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手持遥控器</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BD27">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1"/>
                <w:szCs w:val="21"/>
                <w:highlight w:val="none"/>
                <w:u w:val="none"/>
              </w:rPr>
            </w:pP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4C5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1、四频发射器；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2、四频共有5组单独的频道，可分别控制5组电机运行；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3、电池使用寿命：3年（每天4次）；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4、工作温度：正常0℃至+60℃，极限-20℃至+70℃；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5、遥控距离：空旷处200米；室内隔2道混凝土墙20米；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6、材质：ABS和SEBS；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7、工程量按实际数量以“个”计取。</w:t>
            </w:r>
          </w:p>
        </w:tc>
        <w:tc>
          <w:tcPr>
            <w:tcW w:w="480" w:type="dxa"/>
            <w:tcBorders>
              <w:top w:val="single" w:color="000000" w:sz="4" w:space="0"/>
              <w:left w:val="nil"/>
              <w:bottom w:val="single" w:color="000000" w:sz="4" w:space="0"/>
              <w:right w:val="single" w:color="000000" w:sz="4" w:space="0"/>
            </w:tcBorders>
            <w:shd w:val="clear" w:color="auto" w:fill="auto"/>
            <w:vAlign w:val="center"/>
          </w:tcPr>
          <w:p w14:paraId="0151BCC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90" w:type="dxa"/>
            <w:tcBorders>
              <w:top w:val="nil"/>
              <w:left w:val="single" w:color="000000" w:sz="4" w:space="0"/>
              <w:bottom w:val="single" w:color="000000" w:sz="4" w:space="0"/>
              <w:right w:val="single" w:color="000000" w:sz="4" w:space="0"/>
            </w:tcBorders>
            <w:shd w:val="clear" w:color="auto" w:fill="auto"/>
            <w:vAlign w:val="center"/>
          </w:tcPr>
          <w:p w14:paraId="2D2EE1C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11.00 </w:t>
            </w:r>
          </w:p>
        </w:tc>
      </w:tr>
    </w:tbl>
    <w:p w14:paraId="289725B7">
      <w:pPr>
        <w:pStyle w:val="20"/>
        <w:keepNext w:val="0"/>
        <w:keepLines w:val="0"/>
        <w:pageBreakBefore w:val="0"/>
        <w:kinsoku/>
        <w:wordWrap/>
        <w:overflowPunct/>
        <w:topLinePunct w:val="0"/>
        <w:bidi w:val="0"/>
        <w:snapToGrid w:val="0"/>
        <w:spacing w:before="0" w:beforeLines="0" w:after="0" w:afterLines="0" w:line="288"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注：1、实际供货数量以采购人发出的定单为准；</w:t>
      </w:r>
    </w:p>
    <w:p w14:paraId="4BACDD15">
      <w:pPr>
        <w:pStyle w:val="20"/>
        <w:keepNext w:val="0"/>
        <w:keepLines w:val="0"/>
        <w:pageBreakBefore w:val="0"/>
        <w:numPr>
          <w:ilvl w:val="0"/>
          <w:numId w:val="6"/>
        </w:numPr>
        <w:kinsoku/>
        <w:wordWrap/>
        <w:overflowPunct/>
        <w:topLinePunct w:val="0"/>
        <w:bidi w:val="0"/>
        <w:snapToGrid w:val="0"/>
        <w:spacing w:before="0" w:beforeLines="0" w:after="0" w:afterLines="0" w:line="288"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▲工程量清单数量按照招标文件提供的数量报价，不得增减。</w:t>
      </w:r>
    </w:p>
    <w:p w14:paraId="60B73969">
      <w:pPr>
        <w:pStyle w:val="20"/>
        <w:keepNext w:val="0"/>
        <w:keepLines w:val="0"/>
        <w:pageBreakBefore w:val="0"/>
        <w:numPr>
          <w:ilvl w:val="0"/>
          <w:numId w:val="6"/>
        </w:numPr>
        <w:kinsoku/>
        <w:wordWrap/>
        <w:overflowPunct/>
        <w:topLinePunct w:val="0"/>
        <w:bidi w:val="0"/>
        <w:snapToGrid w:val="0"/>
        <w:spacing w:before="0" w:beforeLines="0" w:after="0" w:afterLines="0" w:line="288"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中标供应商</w:t>
      </w:r>
      <w:r>
        <w:rPr>
          <w:rFonts w:hint="eastAsia" w:ascii="宋体" w:hAnsi="宋体" w:eastAsia="宋体" w:cs="宋体"/>
          <w:b w:val="0"/>
          <w:bCs w:val="0"/>
          <w:color w:val="auto"/>
          <w:sz w:val="24"/>
          <w:szCs w:val="24"/>
          <w:highlight w:val="none"/>
        </w:rPr>
        <w:t>供货前，需根据投标承诺及招标文件技术要求提供货物供</w:t>
      </w:r>
      <w:r>
        <w:rPr>
          <w:rFonts w:hint="eastAsia" w:ascii="宋体" w:hAns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rPr>
        <w:t>选样校对，</w:t>
      </w:r>
      <w:r>
        <w:rPr>
          <w:rFonts w:hint="eastAsia" w:ascii="宋体" w:hAns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rPr>
        <w:t>选样校对完成后，</w:t>
      </w:r>
      <w:r>
        <w:rPr>
          <w:rFonts w:hint="eastAsia" w:ascii="宋体" w:hAnsi="宋体" w:eastAsia="宋体" w:cs="宋体"/>
          <w:b w:val="0"/>
          <w:bCs w:val="0"/>
          <w:color w:val="auto"/>
          <w:sz w:val="24"/>
          <w:szCs w:val="24"/>
          <w:highlight w:val="none"/>
          <w:lang w:val="en-US" w:eastAsia="zh-CN"/>
        </w:rPr>
        <w:t>中标供应商</w:t>
      </w:r>
      <w:r>
        <w:rPr>
          <w:rFonts w:hint="eastAsia" w:ascii="宋体" w:hAnsi="宋体" w:eastAsia="宋体" w:cs="宋体"/>
          <w:b w:val="0"/>
          <w:bCs w:val="0"/>
          <w:color w:val="auto"/>
          <w:sz w:val="24"/>
          <w:szCs w:val="24"/>
          <w:highlight w:val="none"/>
        </w:rPr>
        <w:t>可正常供货；若</w:t>
      </w:r>
      <w:r>
        <w:rPr>
          <w:rFonts w:hint="eastAsia" w:ascii="宋体" w:hAnsi="宋体" w:eastAsia="宋体" w:cs="宋体"/>
          <w:b w:val="0"/>
          <w:bCs w:val="0"/>
          <w:color w:val="auto"/>
          <w:sz w:val="24"/>
          <w:szCs w:val="24"/>
          <w:highlight w:val="none"/>
          <w:lang w:val="en-US" w:eastAsia="zh-CN"/>
        </w:rPr>
        <w:t>中标供应商</w:t>
      </w:r>
      <w:r>
        <w:rPr>
          <w:rFonts w:hint="eastAsia" w:ascii="宋体" w:hAnsi="宋体" w:eastAsia="宋体" w:cs="宋体"/>
          <w:b w:val="0"/>
          <w:bCs w:val="0"/>
          <w:color w:val="auto"/>
          <w:sz w:val="24"/>
          <w:szCs w:val="24"/>
          <w:highlight w:val="none"/>
        </w:rPr>
        <w:t>未按投标承诺及招标文件技术要求提供货物的，须无条件进行更换。</w:t>
      </w:r>
    </w:p>
    <w:p w14:paraId="21A0E021">
      <w:pPr>
        <w:pStyle w:val="20"/>
        <w:keepNext w:val="0"/>
        <w:keepLines w:val="0"/>
        <w:pageBreakBefore w:val="0"/>
        <w:numPr>
          <w:ilvl w:val="0"/>
          <w:numId w:val="6"/>
        </w:numPr>
        <w:kinsoku/>
        <w:wordWrap/>
        <w:overflowPunct/>
        <w:topLinePunct w:val="0"/>
        <w:bidi w:val="0"/>
        <w:snapToGrid w:val="0"/>
        <w:spacing w:before="0" w:beforeLines="0" w:after="0" w:afterLines="0" w:line="288"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样品情况：</w:t>
      </w:r>
    </w:p>
    <w:p w14:paraId="297F8984">
      <w:pPr>
        <w:pStyle w:val="20"/>
        <w:keepNext w:val="0"/>
        <w:keepLines w:val="0"/>
        <w:pageBreakBefore w:val="0"/>
        <w:numPr>
          <w:ilvl w:val="0"/>
          <w:numId w:val="7"/>
        </w:numPr>
        <w:kinsoku/>
        <w:wordWrap/>
        <w:overflowPunct/>
        <w:topLinePunct w:val="0"/>
        <w:bidi w:val="0"/>
        <w:snapToGrid w:val="0"/>
        <w:spacing w:before="0" w:beforeLines="0" w:after="0" w:afterLines="0" w:line="288"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按照采购清单标注提供以下样品：</w:t>
      </w:r>
    </w:p>
    <w:tbl>
      <w:tblPr>
        <w:tblStyle w:val="38"/>
        <w:tblW w:w="89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88"/>
        <w:gridCol w:w="3917"/>
        <w:gridCol w:w="3916"/>
      </w:tblGrid>
      <w:tr w14:paraId="6B71F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088" w:type="dxa"/>
            <w:vAlign w:val="center"/>
          </w:tcPr>
          <w:p w14:paraId="2E4C330C">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序号</w:t>
            </w:r>
          </w:p>
        </w:tc>
        <w:tc>
          <w:tcPr>
            <w:tcW w:w="3917" w:type="dxa"/>
            <w:vAlign w:val="center"/>
          </w:tcPr>
          <w:p w14:paraId="58034457">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产品类型</w:t>
            </w:r>
          </w:p>
        </w:tc>
        <w:tc>
          <w:tcPr>
            <w:tcW w:w="3916" w:type="dxa"/>
            <w:vAlign w:val="center"/>
          </w:tcPr>
          <w:p w14:paraId="13B80BD5">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成品样品大小要求</w:t>
            </w:r>
          </w:p>
        </w:tc>
      </w:tr>
      <w:tr w14:paraId="400B9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088" w:type="dxa"/>
            <w:vAlign w:val="center"/>
          </w:tcPr>
          <w:p w14:paraId="40D3869D">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1</w:t>
            </w:r>
          </w:p>
        </w:tc>
        <w:tc>
          <w:tcPr>
            <w:tcW w:w="3917" w:type="dxa"/>
            <w:vAlign w:val="center"/>
          </w:tcPr>
          <w:p w14:paraId="631AE448">
            <w:pPr>
              <w:keepNext w:val="0"/>
              <w:keepLines w:val="0"/>
              <w:pageBreakBefore w:val="0"/>
              <w:widowControl/>
              <w:kinsoku/>
              <w:wordWrap/>
              <w:overflowPunct/>
              <w:topLinePunct w:val="0"/>
              <w:bidi w:val="0"/>
              <w:spacing w:line="288"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蓝绿色窗帘</w:t>
            </w:r>
          </w:p>
        </w:tc>
        <w:tc>
          <w:tcPr>
            <w:tcW w:w="3916" w:type="dxa"/>
            <w:vAlign w:val="center"/>
          </w:tcPr>
          <w:p w14:paraId="370EED64">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≥100cm*100cm</w:t>
            </w:r>
          </w:p>
        </w:tc>
      </w:tr>
      <w:tr w14:paraId="20A59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088" w:type="dxa"/>
            <w:vAlign w:val="center"/>
          </w:tcPr>
          <w:p w14:paraId="725546AF">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2</w:t>
            </w:r>
          </w:p>
        </w:tc>
        <w:tc>
          <w:tcPr>
            <w:tcW w:w="3917" w:type="dxa"/>
            <w:vAlign w:val="center"/>
          </w:tcPr>
          <w:p w14:paraId="0DA13947">
            <w:pPr>
              <w:keepNext w:val="0"/>
              <w:keepLines w:val="0"/>
              <w:pageBreakBefore w:val="0"/>
              <w:widowControl/>
              <w:kinsoku/>
              <w:wordWrap/>
              <w:overflowPunct/>
              <w:topLinePunct w:val="0"/>
              <w:bidi w:val="0"/>
              <w:spacing w:line="288"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cs="宋体"/>
                <w:b/>
                <w:bCs w:val="0"/>
                <w:color w:val="auto"/>
                <w:kern w:val="2"/>
                <w:sz w:val="24"/>
                <w:szCs w:val="24"/>
                <w:highlight w:val="none"/>
                <w:lang w:val="en-US" w:eastAsia="zh-CN" w:bidi="ar-SA"/>
              </w:rPr>
              <w:t>客房</w:t>
            </w:r>
            <w:r>
              <w:rPr>
                <w:rFonts w:hint="eastAsia" w:ascii="宋体" w:hAnsi="宋体" w:eastAsia="宋体" w:cs="宋体"/>
                <w:b/>
                <w:bCs w:val="0"/>
                <w:color w:val="auto"/>
                <w:kern w:val="2"/>
                <w:sz w:val="24"/>
                <w:szCs w:val="24"/>
                <w:highlight w:val="none"/>
                <w:lang w:val="en-US" w:eastAsia="zh-CN" w:bidi="ar-SA"/>
              </w:rPr>
              <w:t>窗纱</w:t>
            </w:r>
          </w:p>
        </w:tc>
        <w:tc>
          <w:tcPr>
            <w:tcW w:w="3916" w:type="dxa"/>
            <w:vAlign w:val="center"/>
          </w:tcPr>
          <w:p w14:paraId="5AA0D8D0">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≥100cm*100cm</w:t>
            </w:r>
          </w:p>
        </w:tc>
      </w:tr>
      <w:tr w14:paraId="65FEC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088" w:type="dxa"/>
            <w:vAlign w:val="center"/>
          </w:tcPr>
          <w:p w14:paraId="45BC87B6">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3</w:t>
            </w:r>
          </w:p>
        </w:tc>
        <w:tc>
          <w:tcPr>
            <w:tcW w:w="3917" w:type="dxa"/>
            <w:vAlign w:val="center"/>
          </w:tcPr>
          <w:p w14:paraId="49BBE408">
            <w:pPr>
              <w:keepNext w:val="0"/>
              <w:keepLines w:val="0"/>
              <w:pageBreakBefore w:val="0"/>
              <w:widowControl/>
              <w:kinsoku/>
              <w:wordWrap/>
              <w:overflowPunct/>
              <w:topLinePunct w:val="0"/>
              <w:bidi w:val="0"/>
              <w:spacing w:line="288"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橙黄色窗帘</w:t>
            </w:r>
          </w:p>
        </w:tc>
        <w:tc>
          <w:tcPr>
            <w:tcW w:w="3916" w:type="dxa"/>
            <w:vAlign w:val="center"/>
          </w:tcPr>
          <w:p w14:paraId="4E0AC5EF">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≥100cm*100cm</w:t>
            </w:r>
          </w:p>
        </w:tc>
      </w:tr>
      <w:tr w14:paraId="12B79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088" w:type="dxa"/>
            <w:vAlign w:val="center"/>
          </w:tcPr>
          <w:p w14:paraId="72EA31CC">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4</w:t>
            </w:r>
          </w:p>
        </w:tc>
        <w:tc>
          <w:tcPr>
            <w:tcW w:w="3917" w:type="dxa"/>
            <w:vAlign w:val="center"/>
          </w:tcPr>
          <w:p w14:paraId="0F6A47EC">
            <w:pPr>
              <w:keepNext w:val="0"/>
              <w:keepLines w:val="0"/>
              <w:pageBreakBefore w:val="0"/>
              <w:widowControl/>
              <w:kinsoku/>
              <w:wordWrap/>
              <w:overflowPunct/>
              <w:topLinePunct w:val="0"/>
              <w:bidi w:val="0"/>
              <w:spacing w:line="288"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PVC 窗帘</w:t>
            </w:r>
          </w:p>
        </w:tc>
        <w:tc>
          <w:tcPr>
            <w:tcW w:w="3916" w:type="dxa"/>
            <w:vAlign w:val="center"/>
          </w:tcPr>
          <w:p w14:paraId="783CD504">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≥100cm*100cm</w:t>
            </w:r>
          </w:p>
        </w:tc>
      </w:tr>
      <w:tr w14:paraId="00CA2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88" w:type="dxa"/>
            <w:vAlign w:val="center"/>
          </w:tcPr>
          <w:p w14:paraId="10E7E6DE">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5</w:t>
            </w:r>
          </w:p>
        </w:tc>
        <w:tc>
          <w:tcPr>
            <w:tcW w:w="3917" w:type="dxa"/>
            <w:vAlign w:val="center"/>
          </w:tcPr>
          <w:p w14:paraId="3E9CF75A">
            <w:pPr>
              <w:keepNext w:val="0"/>
              <w:keepLines w:val="0"/>
              <w:pageBreakBefore w:val="0"/>
              <w:widowControl/>
              <w:kinsoku/>
              <w:wordWrap/>
              <w:overflowPunct/>
              <w:topLinePunct w:val="0"/>
              <w:bidi w:val="0"/>
              <w:spacing w:line="288"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窗帘 (面包布丁)</w:t>
            </w:r>
          </w:p>
        </w:tc>
        <w:tc>
          <w:tcPr>
            <w:tcW w:w="3916" w:type="dxa"/>
            <w:vAlign w:val="center"/>
          </w:tcPr>
          <w:p w14:paraId="617CF1DD">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≥100cm*100cm</w:t>
            </w:r>
          </w:p>
        </w:tc>
      </w:tr>
      <w:tr w14:paraId="7FDE4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088" w:type="dxa"/>
            <w:vAlign w:val="center"/>
          </w:tcPr>
          <w:p w14:paraId="5C0AFA3F">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6</w:t>
            </w:r>
          </w:p>
        </w:tc>
        <w:tc>
          <w:tcPr>
            <w:tcW w:w="3917" w:type="dxa"/>
            <w:vAlign w:val="center"/>
          </w:tcPr>
          <w:p w14:paraId="14537981">
            <w:pPr>
              <w:keepNext w:val="0"/>
              <w:keepLines w:val="0"/>
              <w:pageBreakBefore w:val="0"/>
              <w:widowControl/>
              <w:kinsoku/>
              <w:wordWrap/>
              <w:overflowPunct/>
              <w:topLinePunct w:val="0"/>
              <w:bidi w:val="0"/>
              <w:spacing w:line="288"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成品手动卷帘布窗帘（灰色）</w:t>
            </w:r>
          </w:p>
        </w:tc>
        <w:tc>
          <w:tcPr>
            <w:tcW w:w="3916" w:type="dxa"/>
            <w:vAlign w:val="center"/>
          </w:tcPr>
          <w:p w14:paraId="4A739F04">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≥100cm*100cm</w:t>
            </w:r>
          </w:p>
        </w:tc>
      </w:tr>
      <w:tr w14:paraId="74A49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1088" w:type="dxa"/>
            <w:vAlign w:val="center"/>
          </w:tcPr>
          <w:p w14:paraId="25466B2D">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7</w:t>
            </w:r>
          </w:p>
        </w:tc>
        <w:tc>
          <w:tcPr>
            <w:tcW w:w="3917" w:type="dxa"/>
            <w:vAlign w:val="center"/>
          </w:tcPr>
          <w:p w14:paraId="27FAAD8E">
            <w:pPr>
              <w:keepNext w:val="0"/>
              <w:keepLines w:val="0"/>
              <w:pageBreakBefore w:val="0"/>
              <w:widowControl/>
              <w:kinsoku/>
              <w:wordWrap/>
              <w:overflowPunct/>
              <w:topLinePunct w:val="0"/>
              <w:bidi w:val="0"/>
              <w:spacing w:line="288"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明装窗帘轨（PVC窗帘用）</w:t>
            </w:r>
          </w:p>
        </w:tc>
        <w:tc>
          <w:tcPr>
            <w:tcW w:w="3916" w:type="dxa"/>
            <w:vAlign w:val="center"/>
          </w:tcPr>
          <w:p w14:paraId="78A1173B">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≥100cm一根</w:t>
            </w:r>
          </w:p>
        </w:tc>
      </w:tr>
    </w:tbl>
    <w:p w14:paraId="6FE6BF14">
      <w:pPr>
        <w:pStyle w:val="20"/>
        <w:keepNext w:val="0"/>
        <w:keepLines w:val="0"/>
        <w:pageBreakBefore w:val="0"/>
        <w:kinsoku/>
        <w:wordWrap/>
        <w:overflowPunct/>
        <w:topLinePunct w:val="0"/>
        <w:bidi w:val="0"/>
        <w:snapToGrid w:val="0"/>
        <w:spacing w:before="0" w:beforeLines="0" w:after="0" w:afterLines="0" w:line="288" w:lineRule="auto"/>
        <w:ind w:firstLine="482"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）投标人请在投标文件递交截止时间前将样品送到达台州湾矛盾纠纷调解中心1楼，投标文件递交截止时间后将不再接收样品。</w:t>
      </w:r>
    </w:p>
    <w:p w14:paraId="705F36E3">
      <w:pPr>
        <w:pStyle w:val="20"/>
        <w:keepNext w:val="0"/>
        <w:keepLines w:val="0"/>
        <w:pageBreakBefore w:val="0"/>
        <w:kinsoku/>
        <w:wordWrap/>
        <w:overflowPunct/>
        <w:topLinePunct w:val="0"/>
        <w:bidi w:val="0"/>
        <w:snapToGrid w:val="0"/>
        <w:spacing w:before="0" w:beforeLines="0" w:after="0" w:afterLines="0" w:line="288"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w:t>
      </w:r>
      <w:r>
        <w:rPr>
          <w:rFonts w:hint="eastAsia"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）中标人的样品将封存，作为供货验收时参照，未中标人的样品当场退还。</w:t>
      </w:r>
    </w:p>
    <w:p w14:paraId="45DBE96D">
      <w:pPr>
        <w:keepNext w:val="0"/>
        <w:keepLines w:val="0"/>
        <w:pageBreakBefore w:val="0"/>
        <w:kinsoku/>
        <w:wordWrap/>
        <w:overflowPunct/>
        <w:topLinePunct w:val="0"/>
        <w:autoSpaceDE w:val="0"/>
        <w:autoSpaceDN w:val="0"/>
        <w:bidi w:val="0"/>
        <w:adjustRightInd w:val="0"/>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三、工作范围：</w:t>
      </w:r>
    </w:p>
    <w:p w14:paraId="4B9F034D">
      <w:pPr>
        <w:keepNext w:val="0"/>
        <w:keepLines w:val="0"/>
        <w:pageBreakBefore w:val="0"/>
        <w:kinsoku/>
        <w:wordWrap/>
        <w:overflowPunct/>
        <w:topLinePunct w:val="0"/>
        <w:autoSpaceDE w:val="0"/>
        <w:autoSpaceDN w:val="0"/>
        <w:bidi w:val="0"/>
        <w:adjustRightIn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根据招标文件要求，投标人须按国家有关标准及规范完成下列工作：</w:t>
      </w:r>
    </w:p>
    <w:p w14:paraId="0B295256">
      <w:pPr>
        <w:keepNext w:val="0"/>
        <w:keepLines w:val="0"/>
        <w:pageBreakBefore w:val="0"/>
        <w:kinsoku/>
        <w:wordWrap/>
        <w:overflowPunct/>
        <w:topLinePunct w:val="0"/>
        <w:autoSpaceDE w:val="0"/>
        <w:autoSpaceDN w:val="0"/>
        <w:bidi w:val="0"/>
        <w:adjustRightIn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（一）材料及相关附件的提供、运输、安装、检验、通过验收，供应商须按国家有关规定及标准完成本次招标设备的提供、运输、安装、检验、通过有关部门验收。</w:t>
      </w:r>
    </w:p>
    <w:p w14:paraId="3F038C78">
      <w:pPr>
        <w:keepNext w:val="0"/>
        <w:keepLines w:val="0"/>
        <w:pageBreakBefore w:val="0"/>
        <w:kinsoku/>
        <w:wordWrap/>
        <w:overflowPunct/>
        <w:topLinePunct w:val="0"/>
        <w:autoSpaceDE w:val="0"/>
        <w:autoSpaceDN w:val="0"/>
        <w:bidi w:val="0"/>
        <w:adjustRightIn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（二）售后服务的措施及承诺，</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上门服务、</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终身维修等各项工作，并保证</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使用的安全性能与检测结果的可靠性。</w:t>
      </w:r>
    </w:p>
    <w:p w14:paraId="4B9EA9CC">
      <w:pPr>
        <w:keepNext w:val="0"/>
        <w:keepLines w:val="0"/>
        <w:pageBreakBefore w:val="0"/>
        <w:kinsoku/>
        <w:wordWrap/>
        <w:overflowPunct/>
        <w:topLinePunct w:val="0"/>
        <w:bidi w:val="0"/>
        <w:spacing w:line="288" w:lineRule="auto"/>
        <w:textAlignment w:val="auto"/>
        <w:rPr>
          <w:rFonts w:hint="eastAsia" w:ascii="宋体" w:hAnsi="宋体" w:eastAsia="宋体" w:cs="宋体"/>
          <w:b/>
          <w:color w:val="auto"/>
          <w:kern w:val="0"/>
          <w:sz w:val="24"/>
          <w:szCs w:val="24"/>
          <w:highlight w:val="none"/>
          <w:lang w:bidi="ar"/>
        </w:rPr>
      </w:pPr>
      <w:r>
        <w:rPr>
          <w:rFonts w:hint="eastAsia" w:ascii="宋体" w:hAnsi="宋体" w:eastAsia="宋体" w:cs="宋体"/>
          <w:b/>
          <w:color w:val="auto"/>
          <w:kern w:val="0"/>
          <w:sz w:val="24"/>
          <w:szCs w:val="24"/>
          <w:highlight w:val="none"/>
          <w:lang w:bidi="ar"/>
        </w:rPr>
        <w:t>四、质量保证</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3933AC67">
      <w:pPr>
        <w:keepNext w:val="0"/>
        <w:keepLines w:val="0"/>
        <w:pageBreakBefore w:val="0"/>
        <w:kinsoku/>
        <w:wordWrap/>
        <w:overflowPunct/>
        <w:topLinePunct w:val="0"/>
        <w:bidi w:val="0"/>
        <w:spacing w:line="288" w:lineRule="auto"/>
        <w:ind w:firstLine="480" w:firstLineChars="200"/>
        <w:textAlignment w:val="auto"/>
        <w:rPr>
          <w:rFonts w:hint="eastAsia" w:ascii="宋体" w:hAnsi="宋体" w:eastAsia="宋体" w:cs="宋体"/>
          <w:color w:val="auto"/>
          <w:kern w:val="0"/>
          <w:sz w:val="24"/>
          <w:szCs w:val="24"/>
          <w:highlight w:val="none"/>
        </w:rPr>
      </w:pPr>
      <w:bookmarkStart w:id="13" w:name="_Toc525049748"/>
      <w:r>
        <w:rPr>
          <w:rFonts w:hint="eastAsia" w:ascii="宋体" w:hAnsi="宋体" w:eastAsia="宋体" w:cs="宋体"/>
          <w:color w:val="auto"/>
          <w:kern w:val="0"/>
          <w:sz w:val="24"/>
          <w:szCs w:val="24"/>
          <w:highlight w:val="none"/>
          <w:lang w:bidi="ar"/>
        </w:rPr>
        <w:t>中标单位须按国家有关规定及标准完成本次采购</w:t>
      </w:r>
      <w:r>
        <w:rPr>
          <w:rFonts w:hint="eastAsia" w:ascii="宋体" w:hAnsi="宋体" w:eastAsia="宋体" w:cs="宋体"/>
          <w:color w:val="auto"/>
          <w:kern w:val="0"/>
          <w:sz w:val="24"/>
          <w:szCs w:val="24"/>
          <w:highlight w:val="none"/>
          <w:lang w:eastAsia="zh-CN" w:bidi="ar"/>
        </w:rPr>
        <w:t>货物</w:t>
      </w:r>
      <w:r>
        <w:rPr>
          <w:rFonts w:hint="eastAsia" w:ascii="宋体" w:hAnsi="宋体" w:eastAsia="宋体" w:cs="宋体"/>
          <w:color w:val="auto"/>
          <w:kern w:val="0"/>
          <w:sz w:val="24"/>
          <w:szCs w:val="24"/>
          <w:highlight w:val="none"/>
          <w:lang w:bidi="ar"/>
        </w:rPr>
        <w:t>的供货、运输、安装、调试、检验、通过有关部门验收、培训、质保期上门服务、</w:t>
      </w:r>
      <w:r>
        <w:rPr>
          <w:rFonts w:hint="eastAsia" w:ascii="宋体" w:hAnsi="宋体" w:eastAsia="宋体" w:cs="宋体"/>
          <w:color w:val="auto"/>
          <w:kern w:val="0"/>
          <w:sz w:val="24"/>
          <w:szCs w:val="24"/>
          <w:highlight w:val="none"/>
          <w:lang w:eastAsia="zh-CN" w:bidi="ar"/>
        </w:rPr>
        <w:t>货物</w:t>
      </w:r>
      <w:r>
        <w:rPr>
          <w:rFonts w:hint="eastAsia" w:ascii="宋体" w:hAnsi="宋体" w:eastAsia="宋体" w:cs="宋体"/>
          <w:color w:val="auto"/>
          <w:kern w:val="0"/>
          <w:sz w:val="24"/>
          <w:szCs w:val="24"/>
          <w:highlight w:val="none"/>
          <w:lang w:bidi="ar"/>
        </w:rPr>
        <w:t>终身维修等各项工作，并保证</w:t>
      </w:r>
      <w:r>
        <w:rPr>
          <w:rFonts w:hint="eastAsia" w:ascii="宋体" w:hAnsi="宋体" w:eastAsia="宋体" w:cs="宋体"/>
          <w:color w:val="auto"/>
          <w:kern w:val="0"/>
          <w:sz w:val="24"/>
          <w:szCs w:val="24"/>
          <w:highlight w:val="none"/>
          <w:lang w:eastAsia="zh-CN" w:bidi="ar"/>
        </w:rPr>
        <w:t>货物</w:t>
      </w:r>
      <w:r>
        <w:rPr>
          <w:rFonts w:hint="eastAsia" w:ascii="宋体" w:hAnsi="宋体" w:eastAsia="宋体" w:cs="宋体"/>
          <w:color w:val="auto"/>
          <w:kern w:val="0"/>
          <w:sz w:val="24"/>
          <w:szCs w:val="24"/>
          <w:highlight w:val="none"/>
          <w:lang w:bidi="ar"/>
        </w:rPr>
        <w:t>使用的安全性能与检测结果的可靠性。</w:t>
      </w:r>
      <w:r>
        <w:rPr>
          <w:rFonts w:hint="eastAsia" w:ascii="宋体" w:hAnsi="宋体" w:eastAsia="宋体" w:cs="宋体"/>
          <w:color w:val="auto"/>
          <w:kern w:val="0"/>
          <w:sz w:val="24"/>
          <w:szCs w:val="24"/>
          <w:highlight w:val="none"/>
          <w:lang w:val="en-US" w:eastAsia="zh-CN" w:bidi="ar"/>
        </w:rPr>
        <w:t>货物</w:t>
      </w:r>
      <w:r>
        <w:rPr>
          <w:rFonts w:hint="eastAsia" w:ascii="宋体" w:hAnsi="宋体" w:eastAsia="宋体" w:cs="宋体"/>
          <w:color w:val="auto"/>
          <w:kern w:val="0"/>
          <w:sz w:val="24"/>
          <w:szCs w:val="24"/>
          <w:highlight w:val="none"/>
          <w:lang w:bidi="ar"/>
        </w:rPr>
        <w:t>验收过程中，由于质量不合格或运输等原因所造成的一切费用均由中标单位负责。</w:t>
      </w:r>
    </w:p>
    <w:p w14:paraId="1C7A697F">
      <w:pPr>
        <w:keepNext w:val="0"/>
        <w:keepLines w:val="0"/>
        <w:pageBreakBefore w:val="0"/>
        <w:kinsoku/>
        <w:wordWrap/>
        <w:overflowPunct/>
        <w:topLinePunct w:val="0"/>
        <w:bidi w:val="0"/>
        <w:spacing w:line="288" w:lineRule="auto"/>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bidi="ar"/>
        </w:rPr>
        <w:t>五</w:t>
      </w:r>
      <w:r>
        <w:rPr>
          <w:rFonts w:hint="eastAsia" w:ascii="宋体" w:hAnsi="宋体" w:eastAsia="宋体" w:cs="宋体"/>
          <w:b/>
          <w:color w:val="auto"/>
          <w:kern w:val="0"/>
          <w:sz w:val="24"/>
          <w:szCs w:val="24"/>
          <w:highlight w:val="none"/>
          <w:lang w:bidi="ar"/>
        </w:rPr>
        <w:t>、项目质保与售后服务要求</w:t>
      </w:r>
      <w:bookmarkEnd w:id="13"/>
      <w:r>
        <w:rPr>
          <w:rFonts w:hint="eastAsia" w:ascii="宋体" w:hAnsi="宋体" w:eastAsia="宋体" w:cs="宋体"/>
          <w:b/>
          <w:bCs/>
          <w:color w:val="auto"/>
          <w:sz w:val="24"/>
          <w:szCs w:val="24"/>
          <w:highlight w:val="none"/>
          <w:lang w:eastAsia="zh-CN"/>
        </w:rPr>
        <w:t>：</w:t>
      </w:r>
    </w:p>
    <w:p w14:paraId="38D400DA">
      <w:pPr>
        <w:keepNext w:val="0"/>
        <w:keepLines w:val="0"/>
        <w:pageBreakBefore w:val="0"/>
        <w:kinsoku/>
        <w:wordWrap/>
        <w:overflowPunct/>
        <w:topLinePunct w:val="0"/>
        <w:bidi w:val="0"/>
        <w:adjustRightInd w:val="0"/>
        <w:snapToGrid w:val="0"/>
        <w:spacing w:line="288" w:lineRule="auto"/>
        <w:ind w:firstLine="559" w:firstLineChars="23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1、免费质保期：自验收合格之日起</w:t>
      </w:r>
      <w:r>
        <w:rPr>
          <w:rFonts w:hint="eastAsia" w:ascii="宋体" w:hAnsi="宋体" w:eastAsia="宋体" w:cs="宋体"/>
          <w:b/>
          <w:bCs/>
          <w:color w:val="auto"/>
          <w:sz w:val="24"/>
          <w:szCs w:val="24"/>
          <w:highlight w:val="none"/>
          <w:u w:val="single"/>
        </w:rPr>
        <w:t>不少于</w:t>
      </w:r>
      <w:r>
        <w:rPr>
          <w:rFonts w:hint="eastAsia" w:ascii="宋体" w:hAnsi="宋体" w:eastAsia="宋体" w:cs="宋体"/>
          <w:b/>
          <w:bCs/>
          <w:color w:val="auto"/>
          <w:sz w:val="24"/>
          <w:szCs w:val="24"/>
          <w:highlight w:val="none"/>
          <w:u w:val="single"/>
          <w:lang w:val="en-US" w:eastAsia="zh-CN"/>
        </w:rPr>
        <w:t>2</w:t>
      </w:r>
      <w:r>
        <w:rPr>
          <w:rFonts w:hint="eastAsia" w:ascii="宋体" w:hAnsi="宋体" w:eastAsia="宋体" w:cs="宋体"/>
          <w:b/>
          <w:bCs/>
          <w:color w:val="auto"/>
          <w:sz w:val="24"/>
          <w:szCs w:val="24"/>
          <w:highlight w:val="none"/>
          <w:u w:val="single"/>
        </w:rPr>
        <w:t>年</w:t>
      </w:r>
      <w:r>
        <w:rPr>
          <w:rFonts w:hint="eastAsia" w:ascii="宋体" w:hAnsi="宋体" w:eastAsia="宋体" w:cs="宋体"/>
          <w:color w:val="auto"/>
          <w:sz w:val="24"/>
          <w:szCs w:val="24"/>
          <w:highlight w:val="none"/>
        </w:rPr>
        <w:t>，质保期内免费维修、免费更换缺陷部件，投标人不得对此提出异议。</w:t>
      </w:r>
    </w:p>
    <w:p w14:paraId="004FCD62">
      <w:pPr>
        <w:keepNext w:val="0"/>
        <w:keepLines w:val="0"/>
        <w:pageBreakBefore w:val="0"/>
        <w:kinsoku/>
        <w:wordWrap/>
        <w:overflowPunct/>
        <w:topLinePunct w:val="0"/>
        <w:bidi w:val="0"/>
        <w:adjustRightInd w:val="0"/>
        <w:snapToGrid w:val="0"/>
        <w:spacing w:line="288" w:lineRule="auto"/>
        <w:ind w:firstLine="559" w:firstLineChars="23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、安装前洗烫一次，并通知采购方联系人。</w:t>
      </w:r>
    </w:p>
    <w:p w14:paraId="46F2C07A">
      <w:pPr>
        <w:keepNext w:val="0"/>
        <w:keepLines w:val="0"/>
        <w:pageBreakBefore w:val="0"/>
        <w:kinsoku/>
        <w:wordWrap/>
        <w:overflowPunct/>
        <w:topLinePunct w:val="0"/>
        <w:bidi w:val="0"/>
        <w:adjustRightInd w:val="0"/>
        <w:snapToGrid w:val="0"/>
        <w:spacing w:line="288" w:lineRule="auto"/>
        <w:ind w:firstLine="559" w:firstLineChars="23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所有尺寸根据实际情况合理优化。所有颜色、</w:t>
      </w:r>
      <w:r>
        <w:rPr>
          <w:rFonts w:hint="eastAsia" w:ascii="宋体" w:hAnsi="宋体" w:eastAsia="宋体" w:cs="宋体"/>
          <w:color w:val="auto"/>
          <w:sz w:val="24"/>
          <w:szCs w:val="24"/>
          <w:highlight w:val="none"/>
        </w:rPr>
        <w:t>样式</w:t>
      </w:r>
      <w:r>
        <w:rPr>
          <w:rFonts w:hint="eastAsia" w:ascii="宋体" w:hAnsi="宋体" w:eastAsia="宋体" w:cs="宋体"/>
          <w:color w:val="auto"/>
          <w:sz w:val="24"/>
          <w:szCs w:val="24"/>
          <w:highlight w:val="none"/>
          <w:lang w:val="zh-CN"/>
        </w:rPr>
        <w:t>由采购人在供货前予以确认。</w:t>
      </w:r>
    </w:p>
    <w:p w14:paraId="06D923A0">
      <w:pPr>
        <w:keepNext w:val="0"/>
        <w:keepLines w:val="0"/>
        <w:pageBreakBefore w:val="0"/>
        <w:kinsoku/>
        <w:wordWrap/>
        <w:overflowPunct/>
        <w:topLinePunct w:val="0"/>
        <w:bidi w:val="0"/>
        <w:adjustRightInd w:val="0"/>
        <w:snapToGrid w:val="0"/>
        <w:spacing w:line="288" w:lineRule="auto"/>
        <w:ind w:firstLine="559" w:firstLineChars="233"/>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4、本项目预算考虑的产品数量为暂估量，结算应结合合同约定条款根据实际数量按实结算；</w:t>
      </w:r>
    </w:p>
    <w:p w14:paraId="5995235A">
      <w:pPr>
        <w:keepNext w:val="0"/>
        <w:keepLines w:val="0"/>
        <w:pageBreakBefore w:val="0"/>
        <w:kinsoku/>
        <w:wordWrap/>
        <w:overflowPunct/>
        <w:topLinePunct w:val="0"/>
        <w:bidi w:val="0"/>
        <w:adjustRightInd w:val="0"/>
        <w:snapToGrid w:val="0"/>
        <w:spacing w:line="288" w:lineRule="auto"/>
        <w:ind w:firstLine="559" w:firstLineChars="23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5、履约保</w:t>
      </w:r>
      <w:r>
        <w:rPr>
          <w:rFonts w:hint="eastAsia" w:ascii="宋体" w:hAnsi="宋体" w:eastAsia="宋体" w:cs="宋体"/>
          <w:color w:val="auto"/>
          <w:sz w:val="24"/>
          <w:szCs w:val="24"/>
          <w:highlight w:val="none"/>
        </w:rPr>
        <w:t>证金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中标价的</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%，在中标通知书发出7日内以现金的形式缴纳至甲方指定账户或者以见索即付保函的形式提交至甲方。合同履行完毕（验收合格）后5日内无息退还。</w:t>
      </w:r>
    </w:p>
    <w:p w14:paraId="31DAFD42">
      <w:pPr>
        <w:keepNext w:val="0"/>
        <w:keepLines w:val="0"/>
        <w:pageBreakBefore w:val="0"/>
        <w:kinsoku/>
        <w:wordWrap/>
        <w:overflowPunct/>
        <w:topLinePunct w:val="0"/>
        <w:bidi w:val="0"/>
        <w:adjustRightInd w:val="0"/>
        <w:snapToGrid w:val="0"/>
        <w:spacing w:line="288" w:lineRule="auto"/>
        <w:ind w:firstLine="559" w:firstLineChars="233"/>
        <w:textAlignment w:val="auto"/>
        <w:rPr>
          <w:rFonts w:hint="eastAsia" w:ascii="宋体" w:hAnsi="宋体" w:cs="宋体"/>
          <w:color w:val="auto"/>
          <w:sz w:val="24"/>
          <w:highlight w:val="none"/>
        </w:rPr>
      </w:pPr>
      <w:r>
        <w:rPr>
          <w:rFonts w:hint="eastAsia" w:ascii="宋体" w:hAnsi="宋体" w:eastAsia="宋体" w:cs="宋体"/>
          <w:color w:val="auto"/>
          <w:sz w:val="24"/>
          <w:szCs w:val="24"/>
          <w:highlight w:val="none"/>
          <w:lang w:val="en-US" w:eastAsia="zh-CN"/>
        </w:rPr>
        <w:t>6、供应商在接到招标人通知后，响应时间少于1小时，并在2小时内赶到现场，6小时内排除故障。如6小时内无法排除故障，则免费质保期内免费更换产品。</w:t>
      </w:r>
      <w:r>
        <w:rPr>
          <w:rFonts w:hint="eastAsia" w:ascii="宋体" w:hAnsi="宋体" w:cs="宋体"/>
          <w:color w:val="auto"/>
          <w:sz w:val="24"/>
          <w:highlight w:val="none"/>
        </w:rPr>
        <w:br w:type="page"/>
      </w:r>
    </w:p>
    <w:p w14:paraId="46CC5D3F">
      <w:pPr>
        <w:snapToGrid w:val="0"/>
        <w:spacing w:before="120" w:beforeLines="50" w:after="120" w:afterLines="50"/>
        <w:jc w:val="center"/>
        <w:outlineLvl w:val="0"/>
        <w:rPr>
          <w:rFonts w:ascii="宋体" w:hAnsi="宋体"/>
          <w:b/>
          <w:bCs/>
          <w:color w:val="000000" w:themeColor="text1"/>
          <w:sz w:val="36"/>
          <w:szCs w:val="36"/>
          <w:highlight w:val="none"/>
          <w14:textFill>
            <w14:solidFill>
              <w14:schemeClr w14:val="tx1"/>
            </w14:solidFill>
          </w14:textFill>
        </w:rPr>
      </w:pPr>
      <w:bookmarkStart w:id="14" w:name="_Toc25734"/>
      <w:r>
        <w:rPr>
          <w:rFonts w:ascii="宋体" w:hAnsi="宋体"/>
          <w:b/>
          <w:bCs/>
          <w:color w:val="000000" w:themeColor="text1"/>
          <w:sz w:val="36"/>
          <w:szCs w:val="36"/>
          <w:highlight w:val="none"/>
          <w14:textFill>
            <w14:solidFill>
              <w14:schemeClr w14:val="tx1"/>
            </w14:solidFill>
          </w14:textFill>
        </w:rPr>
        <w:t xml:space="preserve">第三章  </w:t>
      </w:r>
      <w:r>
        <w:rPr>
          <w:rFonts w:hint="eastAsia" w:ascii="宋体" w:hAnsi="宋体"/>
          <w:b/>
          <w:bCs/>
          <w:color w:val="000000" w:themeColor="text1"/>
          <w:sz w:val="36"/>
          <w:szCs w:val="36"/>
          <w:highlight w:val="none"/>
          <w:lang w:val="en-US" w:eastAsia="zh-CN"/>
          <w14:textFill>
            <w14:solidFill>
              <w14:schemeClr w14:val="tx1"/>
            </w14:solidFill>
          </w14:textFill>
        </w:rPr>
        <w:t xml:space="preserve">  </w:t>
      </w:r>
      <w:r>
        <w:rPr>
          <w:rFonts w:ascii="宋体" w:hAnsi="宋体"/>
          <w:b/>
          <w:bCs/>
          <w:color w:val="000000" w:themeColor="text1"/>
          <w:sz w:val="36"/>
          <w:szCs w:val="36"/>
          <w:highlight w:val="none"/>
          <w14:textFill>
            <w14:solidFill>
              <w14:schemeClr w14:val="tx1"/>
            </w14:solidFill>
          </w14:textFill>
        </w:rPr>
        <w:t>投标人须知</w:t>
      </w:r>
      <w:bookmarkEnd w:id="10"/>
      <w:bookmarkEnd w:id="14"/>
    </w:p>
    <w:bookmarkEnd w:id="11"/>
    <w:p w14:paraId="55A868C1">
      <w:pPr>
        <w:snapToGrid w:val="0"/>
        <w:spacing w:before="120" w:beforeLines="50" w:after="120" w:afterLines="50"/>
        <w:ind w:left="238"/>
        <w:jc w:val="center"/>
        <w:outlineLvl w:val="1"/>
        <w:rPr>
          <w:rFonts w:ascii="宋体" w:hAnsi="宋体"/>
          <w:b/>
          <w:color w:val="000000" w:themeColor="text1"/>
          <w:szCs w:val="28"/>
          <w:highlight w:val="none"/>
          <w14:textFill>
            <w14:solidFill>
              <w14:schemeClr w14:val="tx1"/>
            </w14:solidFill>
          </w14:textFill>
        </w:rPr>
      </w:pPr>
      <w:r>
        <w:rPr>
          <w:rFonts w:hint="eastAsia" w:ascii="宋体" w:hAnsi="宋体"/>
          <w:b/>
          <w:color w:val="000000" w:themeColor="text1"/>
          <w:szCs w:val="28"/>
          <w:highlight w:val="none"/>
          <w14:textFill>
            <w14:solidFill>
              <w14:schemeClr w14:val="tx1"/>
            </w14:solidFill>
          </w14:textFill>
        </w:rPr>
        <w:t>前 附 表</w:t>
      </w:r>
    </w:p>
    <w:tbl>
      <w:tblPr>
        <w:tblStyle w:val="37"/>
        <w:tblW w:w="95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8"/>
        <w:gridCol w:w="8661"/>
      </w:tblGrid>
      <w:tr w14:paraId="55FE0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02F69BAA">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8661" w:type="dxa"/>
            <w:tcBorders>
              <w:top w:val="single" w:color="auto" w:sz="4" w:space="0"/>
              <w:left w:val="single" w:color="auto" w:sz="4" w:space="0"/>
              <w:bottom w:val="single" w:color="auto" w:sz="4" w:space="0"/>
              <w:right w:val="single" w:color="auto" w:sz="4" w:space="0"/>
            </w:tcBorders>
            <w:vAlign w:val="center"/>
          </w:tcPr>
          <w:p w14:paraId="798A2F0E">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内容、要求</w:t>
            </w:r>
          </w:p>
        </w:tc>
      </w:tr>
      <w:tr w14:paraId="6E8DF9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53DB2B2D">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8661" w:type="dxa"/>
            <w:tcBorders>
              <w:top w:val="single" w:color="auto" w:sz="4" w:space="0"/>
              <w:left w:val="single" w:color="auto" w:sz="4" w:space="0"/>
              <w:bottom w:val="single" w:color="auto" w:sz="4" w:space="0"/>
              <w:right w:val="single" w:color="auto" w:sz="4" w:space="0"/>
            </w:tcBorders>
            <w:vAlign w:val="center"/>
          </w:tcPr>
          <w:p w14:paraId="107910C1">
            <w:pPr>
              <w:keepNext w:val="0"/>
              <w:keepLines w:val="0"/>
              <w:pageBreakBefore w:val="0"/>
              <w:kinsoku/>
              <w:wordWrap/>
              <w:overflowPunct/>
              <w:topLinePunct w:val="0"/>
              <w:bidi w:val="0"/>
              <w:adjustRightInd/>
              <w:snapToGrid w:val="0"/>
              <w:spacing w:line="264" w:lineRule="auto"/>
              <w:ind w:left="1200" w:hanging="1200" w:hangingChars="5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cs="宋体"/>
                <w:color w:val="000000" w:themeColor="text1"/>
                <w:sz w:val="24"/>
                <w:szCs w:val="24"/>
                <w:highlight w:val="none"/>
                <w:lang w:eastAsia="zh-CN"/>
                <w14:textFill>
                  <w14:solidFill>
                    <w14:schemeClr w14:val="tx1"/>
                  </w14:solidFill>
                </w14:textFill>
              </w:rPr>
              <w:t>台州方特熊出没水上休闲游乐度假中心（一期）窗帘采购</w:t>
            </w:r>
          </w:p>
        </w:tc>
      </w:tr>
      <w:tr w14:paraId="20B0E7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50B8C89D">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8661" w:type="dxa"/>
            <w:tcBorders>
              <w:top w:val="single" w:color="auto" w:sz="4" w:space="0"/>
              <w:left w:val="single" w:color="auto" w:sz="4" w:space="0"/>
              <w:bottom w:val="single" w:color="auto" w:sz="4" w:space="0"/>
              <w:right w:val="single" w:color="auto" w:sz="4" w:space="0"/>
            </w:tcBorders>
            <w:vAlign w:val="center"/>
          </w:tcPr>
          <w:p w14:paraId="4F6D5161">
            <w:pPr>
              <w:keepNext w:val="0"/>
              <w:keepLines w:val="0"/>
              <w:pageBreakBefore w:val="0"/>
              <w:kinsoku/>
              <w:wordWrap/>
              <w:overflowPunct/>
              <w:topLinePunct w:val="0"/>
              <w:bidi w:val="0"/>
              <w:adjustRightInd/>
              <w:snapToGrid w:val="0"/>
              <w:spacing w:line="26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采购内容及数量：详见第二章“招标需求”</w:t>
            </w:r>
          </w:p>
        </w:tc>
      </w:tr>
      <w:tr w14:paraId="7F417D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3CFB6DA9">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3</w:t>
            </w:r>
          </w:p>
        </w:tc>
        <w:tc>
          <w:tcPr>
            <w:tcW w:w="8661" w:type="dxa"/>
            <w:tcBorders>
              <w:top w:val="single" w:color="auto" w:sz="4" w:space="0"/>
              <w:left w:val="single" w:color="auto" w:sz="4" w:space="0"/>
              <w:bottom w:val="single" w:color="auto" w:sz="4" w:space="0"/>
              <w:right w:val="single" w:color="auto" w:sz="4" w:space="0"/>
            </w:tcBorders>
            <w:vAlign w:val="center"/>
          </w:tcPr>
          <w:p w14:paraId="6D8DF151">
            <w:pPr>
              <w:pStyle w:val="34"/>
              <w:keepNext w:val="0"/>
              <w:keepLines w:val="0"/>
              <w:pageBreakBefore w:val="0"/>
              <w:kinsoku/>
              <w:wordWrap/>
              <w:overflowPunct/>
              <w:topLinePunct w:val="0"/>
              <w:bidi w:val="0"/>
              <w:adjustRightInd/>
              <w:spacing w:before="0" w:beforeAutospacing="0" w:after="0" w:afterAutospacing="0" w:line="264" w:lineRule="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14:textFill>
                  <w14:solidFill>
                    <w14:schemeClr w14:val="tx1"/>
                  </w14:solidFill>
                </w14:textFill>
              </w:rPr>
              <w:t>交货期：</w:t>
            </w:r>
          </w:p>
          <w:p w14:paraId="774E092C">
            <w:pPr>
              <w:pStyle w:val="34"/>
              <w:keepNext w:val="0"/>
              <w:keepLines w:val="0"/>
              <w:pageBreakBefore w:val="0"/>
              <w:kinsoku/>
              <w:wordWrap/>
              <w:overflowPunct/>
              <w:topLinePunct w:val="0"/>
              <w:bidi w:val="0"/>
              <w:adjustRightInd/>
              <w:spacing w:before="0" w:beforeAutospacing="0" w:after="0" w:afterAutospacing="0" w:line="264" w:lineRule="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1、合同签订后30日历天内提供样品；</w:t>
            </w:r>
          </w:p>
          <w:p w14:paraId="0CCCD631">
            <w:pPr>
              <w:pStyle w:val="34"/>
              <w:keepNext w:val="0"/>
              <w:keepLines w:val="0"/>
              <w:pageBreakBefore w:val="0"/>
              <w:kinsoku/>
              <w:wordWrap/>
              <w:overflowPunct/>
              <w:topLinePunct w:val="0"/>
              <w:bidi w:val="0"/>
              <w:adjustRightInd/>
              <w:spacing w:before="0" w:beforeAutospacing="0" w:after="0" w:afterAutospacing="0" w:line="264" w:lineRule="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2、招标人确认后30日历天内完成供货及安装。</w:t>
            </w:r>
          </w:p>
        </w:tc>
      </w:tr>
      <w:tr w14:paraId="1E8DA7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3FE0B950">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8661" w:type="dxa"/>
            <w:tcBorders>
              <w:top w:val="single" w:color="auto" w:sz="4" w:space="0"/>
              <w:left w:val="single" w:color="auto" w:sz="4" w:space="0"/>
              <w:bottom w:val="single" w:color="auto" w:sz="4" w:space="0"/>
              <w:right w:val="single" w:color="auto" w:sz="4" w:space="0"/>
            </w:tcBorders>
            <w:vAlign w:val="center"/>
          </w:tcPr>
          <w:p w14:paraId="5097F243">
            <w:pPr>
              <w:keepNext w:val="0"/>
              <w:keepLines w:val="0"/>
              <w:pageBreakBefore w:val="0"/>
              <w:kinsoku/>
              <w:wordWrap/>
              <w:overflowPunct/>
              <w:topLinePunct w:val="0"/>
              <w:bidi w:val="0"/>
              <w:adjustRightInd/>
              <w:snapToGrid w:val="0"/>
              <w:spacing w:line="26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投标报价及费用：</w:t>
            </w:r>
          </w:p>
          <w:p w14:paraId="72ADD0D3">
            <w:pPr>
              <w:keepNext w:val="0"/>
              <w:keepLines w:val="0"/>
              <w:pageBreakBefore w:val="0"/>
              <w:kinsoku/>
              <w:wordWrap/>
              <w:overflowPunct/>
              <w:topLinePunct w:val="0"/>
              <w:bidi w:val="0"/>
              <w:adjustRightInd/>
              <w:snapToGrid w:val="0"/>
              <w:spacing w:line="26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1、本项目投标应以人民币报价；</w:t>
            </w:r>
          </w:p>
          <w:p w14:paraId="27234560">
            <w:pPr>
              <w:keepNext w:val="0"/>
              <w:keepLines w:val="0"/>
              <w:pageBreakBefore w:val="0"/>
              <w:kinsoku/>
              <w:wordWrap/>
              <w:overflowPunct/>
              <w:topLinePunct w:val="0"/>
              <w:bidi w:val="0"/>
              <w:adjustRightInd/>
              <w:snapToGrid w:val="0"/>
              <w:spacing w:line="264"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2、不论投标结果如何，投标人均应自行承担所有与投标有关的全部费用</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65CA4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07FB430E">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8661" w:type="dxa"/>
            <w:tcBorders>
              <w:top w:val="single" w:color="auto" w:sz="4" w:space="0"/>
              <w:left w:val="single" w:color="auto" w:sz="4" w:space="0"/>
              <w:bottom w:val="single" w:color="auto" w:sz="4" w:space="0"/>
              <w:right w:val="single" w:color="auto" w:sz="4" w:space="0"/>
            </w:tcBorders>
            <w:vAlign w:val="center"/>
          </w:tcPr>
          <w:p w14:paraId="6EB954AA">
            <w:pPr>
              <w:keepNext w:val="0"/>
              <w:keepLines w:val="0"/>
              <w:pageBreakBefore w:val="0"/>
              <w:kinsoku/>
              <w:wordWrap/>
              <w:overflowPunct/>
              <w:topLinePunct w:val="0"/>
              <w:bidi w:val="0"/>
              <w:adjustRightInd/>
              <w:spacing w:line="264"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投标保证金：</w:t>
            </w:r>
            <w:r>
              <w:rPr>
                <w:rFonts w:hint="eastAsia" w:ascii="宋体" w:hAnsi="宋体" w:eastAsia="宋体" w:cs="宋体"/>
                <w:color w:val="000000" w:themeColor="text1"/>
                <w:sz w:val="24"/>
                <w:szCs w:val="24"/>
                <w:highlight w:val="none"/>
                <w:lang w:val="en-US" w:eastAsia="zh-CN"/>
                <w14:textFill>
                  <w14:solidFill>
                    <w14:schemeClr w14:val="tx1"/>
                  </w14:solidFill>
                </w14:textFill>
              </w:rPr>
              <w:t>详见招标公告</w:t>
            </w:r>
          </w:p>
        </w:tc>
      </w:tr>
      <w:tr w14:paraId="4707F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0874300F">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8661" w:type="dxa"/>
            <w:tcBorders>
              <w:top w:val="single" w:color="auto" w:sz="4" w:space="0"/>
              <w:left w:val="single" w:color="auto" w:sz="4" w:space="0"/>
              <w:bottom w:val="single" w:color="auto" w:sz="4" w:space="0"/>
              <w:right w:val="single" w:color="auto" w:sz="4" w:space="0"/>
            </w:tcBorders>
            <w:vAlign w:val="center"/>
          </w:tcPr>
          <w:p w14:paraId="7E899C9C">
            <w:pPr>
              <w:keepNext w:val="0"/>
              <w:keepLines w:val="0"/>
              <w:pageBreakBefore w:val="0"/>
              <w:kinsoku/>
              <w:wordWrap/>
              <w:overflowPunct/>
              <w:topLinePunct w:val="0"/>
              <w:bidi w:val="0"/>
              <w:adjustRightInd/>
              <w:snapToGrid w:val="0"/>
              <w:spacing w:line="26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现场踏勘：</w:t>
            </w:r>
            <w:r>
              <w:rPr>
                <w:rFonts w:hint="eastAsia" w:ascii="宋体" w:hAnsi="宋体" w:eastAsia="宋体" w:cs="宋体"/>
                <w:sz w:val="24"/>
                <w:szCs w:val="24"/>
                <w:highlight w:val="none"/>
              </w:rPr>
              <w:t>本项目不设置现场踏勘</w:t>
            </w:r>
            <w:r>
              <w:rPr>
                <w:rFonts w:hint="eastAsia" w:ascii="宋体" w:hAnsi="宋体" w:eastAsia="宋体" w:cs="宋体"/>
                <w:color w:val="000000" w:themeColor="text1"/>
                <w:sz w:val="24"/>
                <w:szCs w:val="24"/>
                <w:highlight w:val="none"/>
                <w14:textFill>
                  <w14:solidFill>
                    <w14:schemeClr w14:val="tx1"/>
                  </w14:solidFill>
                </w14:textFill>
              </w:rPr>
              <w:t>。</w:t>
            </w:r>
          </w:p>
        </w:tc>
      </w:tr>
      <w:tr w14:paraId="2D0E80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4F8E1C50">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8661" w:type="dxa"/>
            <w:tcBorders>
              <w:top w:val="single" w:color="auto" w:sz="4" w:space="0"/>
              <w:left w:val="single" w:color="auto" w:sz="4" w:space="0"/>
              <w:bottom w:val="single" w:color="auto" w:sz="4" w:space="0"/>
              <w:right w:val="single" w:color="auto" w:sz="4" w:space="0"/>
            </w:tcBorders>
            <w:vAlign w:val="center"/>
          </w:tcPr>
          <w:p w14:paraId="48A1CB68">
            <w:pPr>
              <w:keepNext w:val="0"/>
              <w:keepLines w:val="0"/>
              <w:pageBreakBefore w:val="0"/>
              <w:kinsoku/>
              <w:wordWrap/>
              <w:overflowPunct/>
              <w:topLinePunct w:val="0"/>
              <w:bidi w:val="0"/>
              <w:adjustRightInd/>
              <w:snapToGrid w:val="0"/>
              <w:spacing w:line="26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招标文件的澄清：投标人获取招标文件后，若有问题需要澄清，应自招标文件发布在交易场所（发布招标公告的媒体上）3日内，通过台州湾新区小额工程电子交易平台（</w:t>
            </w:r>
            <w:r>
              <w:rPr>
                <w:rFonts w:hint="eastAsia" w:ascii="宋体" w:hAnsi="宋体" w:eastAsia="宋体" w:cs="宋体"/>
                <w:color w:val="000000" w:themeColor="text1"/>
                <w:sz w:val="24"/>
                <w:szCs w:val="24"/>
                <w:highlight w:val="none"/>
                <w14:textFill>
                  <w14:solidFill>
                    <w14:schemeClr w14:val="tx1"/>
                  </w14:solidFill>
                </w14:textFill>
              </w:rPr>
              <w:t>http://www.tzwztb.com</w:t>
            </w:r>
            <w:r>
              <w:rPr>
                <w:rFonts w:hint="eastAsia" w:ascii="宋体" w:hAnsi="宋体" w:eastAsia="宋体" w:cs="宋体"/>
                <w:bCs/>
                <w:color w:val="000000" w:themeColor="text1"/>
                <w:sz w:val="24"/>
                <w:szCs w:val="24"/>
                <w:highlight w:val="none"/>
                <w:lang w:bidi="ar"/>
                <w14:textFill>
                  <w14:solidFill>
                    <w14:schemeClr w14:val="tx1"/>
                  </w14:solidFill>
                </w14:textFill>
              </w:rPr>
              <w:t>)向招标人（招标代理）提出。</w:t>
            </w:r>
          </w:p>
        </w:tc>
      </w:tr>
      <w:tr w14:paraId="23E90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exact"/>
          <w:jc w:val="center"/>
        </w:trPr>
        <w:tc>
          <w:tcPr>
            <w:tcW w:w="898" w:type="dxa"/>
            <w:tcBorders>
              <w:top w:val="single" w:color="auto" w:sz="4" w:space="0"/>
              <w:left w:val="single" w:color="auto" w:sz="4" w:space="0"/>
              <w:bottom w:val="single" w:color="auto" w:sz="4" w:space="0"/>
              <w:right w:val="single" w:color="auto" w:sz="4" w:space="0"/>
            </w:tcBorders>
            <w:vAlign w:val="center"/>
          </w:tcPr>
          <w:p w14:paraId="5302F90F">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8661" w:type="dxa"/>
            <w:tcBorders>
              <w:top w:val="single" w:color="auto" w:sz="4" w:space="0"/>
              <w:left w:val="single" w:color="auto" w:sz="4" w:space="0"/>
              <w:bottom w:val="single" w:color="auto" w:sz="4" w:space="0"/>
              <w:right w:val="single" w:color="auto" w:sz="4" w:space="0"/>
            </w:tcBorders>
            <w:vAlign w:val="center"/>
          </w:tcPr>
          <w:p w14:paraId="3DA8D1F3">
            <w:pPr>
              <w:keepNext w:val="0"/>
              <w:keepLines w:val="0"/>
              <w:pageBreakBefore w:val="0"/>
              <w:kinsoku/>
              <w:wordWrap/>
              <w:overflowPunct/>
              <w:topLinePunct w:val="0"/>
              <w:bidi w:val="0"/>
              <w:adjustRightInd/>
              <w:snapToGrid w:val="0"/>
              <w:spacing w:line="264"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投标截止时间及地点：</w:t>
            </w:r>
            <w:r>
              <w:rPr>
                <w:rFonts w:hint="eastAsia" w:ascii="宋体" w:hAnsi="宋体" w:eastAsia="宋体" w:cs="宋体"/>
                <w:color w:val="000000" w:themeColor="text1"/>
                <w:sz w:val="24"/>
                <w:szCs w:val="24"/>
                <w:highlight w:val="none"/>
                <w:u w:val="single"/>
                <w14:textFill>
                  <w14:solidFill>
                    <w14:schemeClr w14:val="tx1"/>
                  </w14:solidFill>
                </w14:textFill>
              </w:rPr>
              <w:t>见招标公告；</w:t>
            </w:r>
          </w:p>
        </w:tc>
      </w:tr>
      <w:tr w14:paraId="1F6588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898" w:type="dxa"/>
            <w:tcBorders>
              <w:top w:val="single" w:color="auto" w:sz="4" w:space="0"/>
              <w:left w:val="single" w:color="auto" w:sz="4" w:space="0"/>
              <w:bottom w:val="single" w:color="auto" w:sz="4" w:space="0"/>
              <w:right w:val="single" w:color="auto" w:sz="4" w:space="0"/>
            </w:tcBorders>
            <w:vAlign w:val="center"/>
          </w:tcPr>
          <w:p w14:paraId="2A9609A2">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8661" w:type="dxa"/>
            <w:tcBorders>
              <w:top w:val="single" w:color="auto" w:sz="4" w:space="0"/>
              <w:left w:val="single" w:color="auto" w:sz="4" w:space="0"/>
              <w:bottom w:val="single" w:color="auto" w:sz="4" w:space="0"/>
              <w:right w:val="single" w:color="auto" w:sz="4" w:space="0"/>
            </w:tcBorders>
            <w:vAlign w:val="center"/>
          </w:tcPr>
          <w:p w14:paraId="55425CE7">
            <w:pPr>
              <w:keepNext w:val="0"/>
              <w:keepLines w:val="0"/>
              <w:pageBreakBefore w:val="0"/>
              <w:kinsoku/>
              <w:wordWrap/>
              <w:overflowPunct/>
              <w:topLinePunct w:val="0"/>
              <w:bidi w:val="0"/>
              <w:adjustRightInd/>
              <w:snapToGrid w:val="0"/>
              <w:spacing w:line="264"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开标时间及地点：</w:t>
            </w:r>
            <w:r>
              <w:rPr>
                <w:rFonts w:hint="eastAsia" w:ascii="宋体" w:hAnsi="宋体" w:eastAsia="宋体" w:cs="宋体"/>
                <w:color w:val="000000" w:themeColor="text1"/>
                <w:sz w:val="24"/>
                <w:szCs w:val="24"/>
                <w:highlight w:val="none"/>
                <w:u w:val="single"/>
                <w14:textFill>
                  <w14:solidFill>
                    <w14:schemeClr w14:val="tx1"/>
                  </w14:solidFill>
                </w14:textFill>
              </w:rPr>
              <w:t>见招标公告；</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r>
      <w:tr w14:paraId="51995C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6" w:hRule="exact"/>
          <w:jc w:val="center"/>
        </w:trPr>
        <w:tc>
          <w:tcPr>
            <w:tcW w:w="898" w:type="dxa"/>
            <w:tcBorders>
              <w:top w:val="single" w:color="auto" w:sz="4" w:space="0"/>
              <w:left w:val="single" w:color="auto" w:sz="4" w:space="0"/>
              <w:bottom w:val="single" w:color="auto" w:sz="4" w:space="0"/>
              <w:right w:val="single" w:color="auto" w:sz="4" w:space="0"/>
            </w:tcBorders>
            <w:vAlign w:val="center"/>
          </w:tcPr>
          <w:p w14:paraId="239BD6AF">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8661" w:type="dxa"/>
            <w:tcBorders>
              <w:top w:val="single" w:color="auto" w:sz="4" w:space="0"/>
              <w:left w:val="single" w:color="auto" w:sz="4" w:space="0"/>
              <w:bottom w:val="single" w:color="auto" w:sz="4" w:space="0"/>
              <w:right w:val="single" w:color="auto" w:sz="4" w:space="0"/>
            </w:tcBorders>
            <w:vAlign w:val="center"/>
          </w:tcPr>
          <w:p w14:paraId="7C2AB636">
            <w:pPr>
              <w:keepNext w:val="0"/>
              <w:keepLines w:val="0"/>
              <w:pageBreakBefore w:val="0"/>
              <w:kinsoku/>
              <w:wordWrap/>
              <w:overflowPunct/>
              <w:topLinePunct w:val="0"/>
              <w:autoSpaceDE w:val="0"/>
              <w:autoSpaceDN w:val="0"/>
              <w:bidi w:val="0"/>
              <w:adjustRightInd/>
              <w:snapToGrid w:val="0"/>
              <w:spacing w:line="264" w:lineRule="auto"/>
              <w:textAlignment w:val="bottom"/>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评标办法及评分标准：详见本招标文件第四章《评标办法及评分标准》</w:t>
            </w:r>
          </w:p>
        </w:tc>
      </w:tr>
      <w:tr w14:paraId="78850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6AEEA09B">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8661" w:type="dxa"/>
            <w:tcBorders>
              <w:top w:val="single" w:color="auto" w:sz="4" w:space="0"/>
              <w:left w:val="single" w:color="auto" w:sz="4" w:space="0"/>
              <w:bottom w:val="single" w:color="auto" w:sz="4" w:space="0"/>
              <w:right w:val="single" w:color="auto" w:sz="4" w:space="0"/>
            </w:tcBorders>
            <w:vAlign w:val="center"/>
          </w:tcPr>
          <w:p w14:paraId="2C888287">
            <w:pPr>
              <w:keepNext w:val="0"/>
              <w:keepLines w:val="0"/>
              <w:pageBreakBefore w:val="0"/>
              <w:kinsoku/>
              <w:wordWrap/>
              <w:overflowPunct/>
              <w:topLinePunct w:val="0"/>
              <w:bidi w:val="0"/>
              <w:adjustRightInd/>
              <w:spacing w:line="26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▲投标有效期：自投标截止日起 90 天投标文件应保持有效</w:t>
            </w:r>
            <w:r>
              <w:rPr>
                <w:rFonts w:hint="eastAsia" w:ascii="宋体" w:hAnsi="宋体" w:eastAsia="宋体" w:cs="宋体"/>
                <w:color w:val="000000" w:themeColor="text1"/>
                <w:sz w:val="24"/>
                <w:szCs w:val="24"/>
                <w:highlight w:val="none"/>
                <w14:textFill>
                  <w14:solidFill>
                    <w14:schemeClr w14:val="tx1"/>
                  </w14:solidFill>
                </w14:textFill>
              </w:rPr>
              <w:tab/>
            </w:r>
          </w:p>
        </w:tc>
      </w:tr>
      <w:tr w14:paraId="5E892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6DCE54EE">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12</w:t>
            </w:r>
          </w:p>
        </w:tc>
        <w:tc>
          <w:tcPr>
            <w:tcW w:w="8661" w:type="dxa"/>
            <w:tcBorders>
              <w:top w:val="single" w:color="auto" w:sz="4" w:space="0"/>
              <w:left w:val="single" w:color="auto" w:sz="4" w:space="0"/>
              <w:bottom w:val="single" w:color="auto" w:sz="4" w:space="0"/>
              <w:right w:val="single" w:color="auto" w:sz="4" w:space="0"/>
            </w:tcBorders>
            <w:vAlign w:val="center"/>
          </w:tcPr>
          <w:p w14:paraId="0F209250">
            <w:pPr>
              <w:keepNext w:val="0"/>
              <w:keepLines w:val="0"/>
              <w:pageBreakBefore w:val="0"/>
              <w:kinsoku/>
              <w:wordWrap/>
              <w:overflowPunct/>
              <w:topLinePunct w:val="0"/>
              <w:autoSpaceDE w:val="0"/>
              <w:autoSpaceDN w:val="0"/>
              <w:bidi w:val="0"/>
              <w:adjustRightInd/>
              <w:snapToGrid w:val="0"/>
              <w:spacing w:line="264" w:lineRule="auto"/>
              <w:textAlignment w:val="bottom"/>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实质性条款：带▲是实质性条款，投标人不得负偏离，否则为无效标。</w:t>
            </w:r>
          </w:p>
        </w:tc>
      </w:tr>
      <w:tr w14:paraId="0B94C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exact"/>
          <w:jc w:val="center"/>
        </w:trPr>
        <w:tc>
          <w:tcPr>
            <w:tcW w:w="898" w:type="dxa"/>
            <w:tcBorders>
              <w:top w:val="single" w:color="auto" w:sz="4" w:space="0"/>
              <w:left w:val="single" w:color="auto" w:sz="4" w:space="0"/>
              <w:bottom w:val="single" w:color="auto" w:sz="4" w:space="0"/>
              <w:right w:val="single" w:color="auto" w:sz="4" w:space="0"/>
            </w:tcBorders>
            <w:vAlign w:val="center"/>
          </w:tcPr>
          <w:p w14:paraId="75718EAB">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w:t>
            </w:r>
          </w:p>
        </w:tc>
        <w:tc>
          <w:tcPr>
            <w:tcW w:w="8661" w:type="dxa"/>
            <w:tcBorders>
              <w:top w:val="single" w:color="auto" w:sz="4" w:space="0"/>
              <w:left w:val="single" w:color="auto" w:sz="4" w:space="0"/>
              <w:bottom w:val="single" w:color="auto" w:sz="4" w:space="0"/>
              <w:right w:val="single" w:color="auto" w:sz="4" w:space="0"/>
            </w:tcBorders>
            <w:vAlign w:val="center"/>
          </w:tcPr>
          <w:p w14:paraId="177F53A1">
            <w:pPr>
              <w:keepNext w:val="0"/>
              <w:keepLines w:val="0"/>
              <w:pageBreakBefore w:val="0"/>
              <w:kinsoku/>
              <w:wordWrap/>
              <w:overflowPunct/>
              <w:topLinePunct w:val="0"/>
              <w:autoSpaceDE w:val="0"/>
              <w:autoSpaceDN w:val="0"/>
              <w:bidi w:val="0"/>
              <w:adjustRightInd/>
              <w:snapToGrid w:val="0"/>
              <w:spacing w:line="264" w:lineRule="auto"/>
              <w:textAlignment w:val="bottom"/>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签订合同时间：中标通知书发出后30日内。</w:t>
            </w:r>
          </w:p>
        </w:tc>
      </w:tr>
      <w:tr w14:paraId="1CF9B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29B32A4A">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w:t>
            </w:r>
          </w:p>
        </w:tc>
        <w:tc>
          <w:tcPr>
            <w:tcW w:w="8661" w:type="dxa"/>
            <w:tcBorders>
              <w:top w:val="single" w:color="auto" w:sz="4" w:space="0"/>
              <w:left w:val="single" w:color="auto" w:sz="4" w:space="0"/>
              <w:bottom w:val="single" w:color="auto" w:sz="4" w:space="0"/>
              <w:right w:val="single" w:color="auto" w:sz="4" w:space="0"/>
            </w:tcBorders>
            <w:vAlign w:val="center"/>
          </w:tcPr>
          <w:p w14:paraId="0ED5A55C">
            <w:pPr>
              <w:keepNext w:val="0"/>
              <w:keepLines w:val="0"/>
              <w:pageBreakBefore w:val="0"/>
              <w:kinsoku/>
              <w:wordWrap/>
              <w:overflowPunct/>
              <w:topLinePunct w:val="0"/>
              <w:autoSpaceDE w:val="0"/>
              <w:autoSpaceDN w:val="0"/>
              <w:bidi w:val="0"/>
              <w:adjustRightInd/>
              <w:snapToGrid w:val="0"/>
              <w:spacing w:line="264" w:lineRule="auto"/>
              <w:textAlignment w:val="bottom"/>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履约担保金额为中标合同金额的2%，如不能办理工程保函采用现金的，中标人必须通过其基本账户转出，以转帐、电汇或银行汇票方式存入招标人指定帐户。</w:t>
            </w:r>
          </w:p>
        </w:tc>
      </w:tr>
      <w:tr w14:paraId="4F6BB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5" w:hRule="exact"/>
          <w:jc w:val="center"/>
        </w:trPr>
        <w:tc>
          <w:tcPr>
            <w:tcW w:w="898" w:type="dxa"/>
            <w:tcBorders>
              <w:top w:val="single" w:color="auto" w:sz="4" w:space="0"/>
              <w:left w:val="single" w:color="auto" w:sz="4" w:space="0"/>
              <w:bottom w:val="single" w:color="auto" w:sz="4" w:space="0"/>
              <w:right w:val="single" w:color="auto" w:sz="4" w:space="0"/>
            </w:tcBorders>
            <w:vAlign w:val="center"/>
          </w:tcPr>
          <w:p w14:paraId="40BF0B3C">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w:t>
            </w:r>
          </w:p>
        </w:tc>
        <w:tc>
          <w:tcPr>
            <w:tcW w:w="8661" w:type="dxa"/>
            <w:tcBorders>
              <w:top w:val="single" w:color="auto" w:sz="4" w:space="0"/>
              <w:left w:val="single" w:color="auto" w:sz="4" w:space="0"/>
              <w:bottom w:val="single" w:color="auto" w:sz="4" w:space="0"/>
              <w:right w:val="single" w:color="auto" w:sz="4" w:space="0"/>
            </w:tcBorders>
            <w:vAlign w:val="center"/>
          </w:tcPr>
          <w:p w14:paraId="0BD68807">
            <w:pPr>
              <w:pStyle w:val="7"/>
              <w:keepNext w:val="0"/>
              <w:keepLines w:val="0"/>
              <w:pageBreakBefore w:val="0"/>
              <w:kinsoku/>
              <w:wordWrap/>
              <w:overflowPunct/>
              <w:topLinePunct w:val="0"/>
              <w:bidi w:val="0"/>
              <w:adjustRightInd/>
              <w:snapToGrid w:val="0"/>
              <w:spacing w:line="264" w:lineRule="auto"/>
              <w:ind w:firstLine="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投标文件递交要求：</w:t>
            </w:r>
          </w:p>
          <w:p w14:paraId="0F754224">
            <w:pPr>
              <w:pStyle w:val="7"/>
              <w:keepNext w:val="0"/>
              <w:keepLines w:val="0"/>
              <w:pageBreakBefore w:val="0"/>
              <w:kinsoku/>
              <w:wordWrap/>
              <w:overflowPunct/>
              <w:topLinePunct w:val="0"/>
              <w:bidi w:val="0"/>
              <w:adjustRightInd/>
              <w:snapToGrid w:val="0"/>
              <w:spacing w:line="264"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1、投标人无需到开标现场，电子投标文件上传至台州湾新区小额工程电子交易平台。如遇有问题的请联系蔡先生，13454667697；王女士，13757680207。</w:t>
            </w:r>
          </w:p>
          <w:p w14:paraId="6EBA9E59">
            <w:pPr>
              <w:pStyle w:val="7"/>
              <w:keepNext w:val="0"/>
              <w:keepLines w:val="0"/>
              <w:pageBreakBefore w:val="0"/>
              <w:kinsoku/>
              <w:wordWrap/>
              <w:overflowPunct/>
              <w:topLinePunct w:val="0"/>
              <w:bidi w:val="0"/>
              <w:adjustRightInd/>
              <w:snapToGrid w:val="0"/>
              <w:spacing w:line="264"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2、电子投标文件上传步骤：</w:t>
            </w:r>
          </w:p>
          <w:p w14:paraId="3E3A86B7">
            <w:pPr>
              <w:pStyle w:val="7"/>
              <w:keepNext w:val="0"/>
              <w:keepLines w:val="0"/>
              <w:pageBreakBefore w:val="0"/>
              <w:kinsoku/>
              <w:wordWrap/>
              <w:overflowPunct/>
              <w:topLinePunct w:val="0"/>
              <w:bidi w:val="0"/>
              <w:adjustRightInd/>
              <w:snapToGrid w:val="0"/>
              <w:spacing w:line="264"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台州湾新区小额工程电子交易平台（网址：http://www.tzwztb.com/）；</w:t>
            </w:r>
          </w:p>
          <w:p w14:paraId="6ECCB192">
            <w:pPr>
              <w:pStyle w:val="7"/>
              <w:keepNext w:val="0"/>
              <w:keepLines w:val="0"/>
              <w:pageBreakBefore w:val="0"/>
              <w:kinsoku/>
              <w:wordWrap/>
              <w:overflowPunct/>
              <w:topLinePunct w:val="0"/>
              <w:bidi w:val="0"/>
              <w:adjustRightInd/>
              <w:snapToGrid w:val="0"/>
              <w:spacing w:line="264"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 投标人应提前办好ca锁（办理网址：http://www.tseal.cn/tcloud/common.xhtml?projId=295），绑定平台账户。</w:t>
            </w:r>
          </w:p>
          <w:p w14:paraId="7F6B4D60">
            <w:pPr>
              <w:pStyle w:val="7"/>
              <w:keepNext w:val="0"/>
              <w:keepLines w:val="0"/>
              <w:pageBreakBefore w:val="0"/>
              <w:kinsoku/>
              <w:wordWrap/>
              <w:overflowPunct/>
              <w:topLinePunct w:val="0"/>
              <w:bidi w:val="0"/>
              <w:adjustRightInd/>
              <w:snapToGrid w:val="0"/>
              <w:spacing w:line="264"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3)缴纳保证金（或购买、上传电子保函）后，点击“电子投标文件制作工具”，进入制作页面，签章并加密上传电子投标文件。</w:t>
            </w:r>
          </w:p>
        </w:tc>
      </w:tr>
      <w:tr w14:paraId="69CFB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exact"/>
          <w:jc w:val="center"/>
        </w:trPr>
        <w:tc>
          <w:tcPr>
            <w:tcW w:w="898" w:type="dxa"/>
            <w:tcBorders>
              <w:top w:val="single" w:color="auto" w:sz="4" w:space="0"/>
              <w:left w:val="single" w:color="auto" w:sz="4" w:space="0"/>
              <w:bottom w:val="single" w:color="auto" w:sz="4" w:space="0"/>
              <w:right w:val="single" w:color="auto" w:sz="4" w:space="0"/>
            </w:tcBorders>
            <w:vAlign w:val="center"/>
          </w:tcPr>
          <w:p w14:paraId="728C48DD">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w:t>
            </w:r>
          </w:p>
        </w:tc>
        <w:tc>
          <w:tcPr>
            <w:tcW w:w="8661" w:type="dxa"/>
            <w:tcBorders>
              <w:top w:val="single" w:color="auto" w:sz="4" w:space="0"/>
              <w:left w:val="single" w:color="auto" w:sz="4" w:space="0"/>
              <w:bottom w:val="single" w:color="auto" w:sz="4" w:space="0"/>
              <w:right w:val="single" w:color="auto" w:sz="4" w:space="0"/>
            </w:tcBorders>
            <w:vAlign w:val="center"/>
          </w:tcPr>
          <w:p w14:paraId="4F77EAE6">
            <w:pPr>
              <w:keepNext w:val="0"/>
              <w:keepLines w:val="0"/>
              <w:pageBreakBefore w:val="0"/>
              <w:kinsoku/>
              <w:wordWrap/>
              <w:overflowPunct/>
              <w:topLinePunct w:val="0"/>
              <w:autoSpaceDE w:val="0"/>
              <w:autoSpaceDN w:val="0"/>
              <w:bidi w:val="0"/>
              <w:adjustRightInd/>
              <w:snapToGrid w:val="0"/>
              <w:spacing w:line="264" w:lineRule="auto"/>
              <w:textAlignment w:val="bottom"/>
              <w:rPr>
                <w:rFonts w:hint="eastAsia" w:ascii="宋体" w:hAnsi="宋体" w:eastAsia="宋体" w:cs="宋体"/>
                <w:kern w:val="2"/>
                <w:sz w:val="24"/>
                <w:szCs w:val="24"/>
                <w:highlight w:val="none"/>
                <w:lang w:val="en-US" w:eastAsia="zh-CN" w:bidi="ar-SA"/>
              </w:rPr>
            </w:pPr>
            <w:r>
              <w:rPr>
                <w:rFonts w:hint="eastAsia" w:ascii="宋体" w:hAnsi="宋体" w:eastAsia="宋体" w:cs="宋体"/>
                <w:b/>
                <w:sz w:val="24"/>
                <w:szCs w:val="24"/>
                <w:highlight w:val="none"/>
              </w:rPr>
              <w:t>本工程为电子招投标，电子投标文件格式中注明盖章的，均应按要求使用CA锁加盖公章和法定代表人章。</w:t>
            </w:r>
          </w:p>
        </w:tc>
      </w:tr>
      <w:tr w14:paraId="14BEB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exact"/>
          <w:jc w:val="center"/>
        </w:trPr>
        <w:tc>
          <w:tcPr>
            <w:tcW w:w="898" w:type="dxa"/>
            <w:tcBorders>
              <w:top w:val="single" w:color="auto" w:sz="4" w:space="0"/>
              <w:left w:val="single" w:color="auto" w:sz="4" w:space="0"/>
              <w:bottom w:val="single" w:color="auto" w:sz="4" w:space="0"/>
              <w:right w:val="single" w:color="auto" w:sz="4" w:space="0"/>
            </w:tcBorders>
            <w:vAlign w:val="center"/>
          </w:tcPr>
          <w:p w14:paraId="339B5F9E">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w:t>
            </w:r>
          </w:p>
        </w:tc>
        <w:tc>
          <w:tcPr>
            <w:tcW w:w="8661" w:type="dxa"/>
            <w:tcBorders>
              <w:top w:val="single" w:color="auto" w:sz="4" w:space="0"/>
              <w:left w:val="single" w:color="auto" w:sz="4" w:space="0"/>
              <w:bottom w:val="single" w:color="auto" w:sz="4" w:space="0"/>
              <w:right w:val="single" w:color="auto" w:sz="4" w:space="0"/>
            </w:tcBorders>
            <w:vAlign w:val="center"/>
          </w:tcPr>
          <w:p w14:paraId="74D16BAF">
            <w:pPr>
              <w:keepNext w:val="0"/>
              <w:keepLines w:val="0"/>
              <w:pageBreakBefore w:val="0"/>
              <w:kinsoku/>
              <w:wordWrap/>
              <w:overflowPunct/>
              <w:topLinePunct w:val="0"/>
              <w:autoSpaceDE w:val="0"/>
              <w:autoSpaceDN w:val="0"/>
              <w:bidi w:val="0"/>
              <w:adjustRightInd/>
              <w:snapToGrid w:val="0"/>
              <w:spacing w:line="264" w:lineRule="auto"/>
              <w:textAlignment w:val="bottom"/>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解释：本招标文件的解释权属于招标采购单位。</w:t>
            </w:r>
          </w:p>
        </w:tc>
      </w:tr>
    </w:tbl>
    <w:p w14:paraId="0075CF18">
      <w:pPr>
        <w:keepNext w:val="0"/>
        <w:keepLines w:val="0"/>
        <w:pageBreakBefore w:val="0"/>
        <w:kinsoku/>
        <w:wordWrap/>
        <w:overflowPunct/>
        <w:topLinePunct w:val="0"/>
        <w:bidi w:val="0"/>
        <w:snapToGrid w:val="0"/>
        <w:spacing w:line="312" w:lineRule="auto"/>
        <w:ind w:firstLine="60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Ansi="宋体"/>
          <w:b w:val="0"/>
          <w:color w:val="000000" w:themeColor="text1"/>
          <w:sz w:val="30"/>
          <w:szCs w:val="30"/>
          <w:highlight w:val="none"/>
          <w14:textFill>
            <w14:solidFill>
              <w14:schemeClr w14:val="tx1"/>
            </w14:solidFill>
          </w14:textFill>
        </w:rPr>
        <w:br w:type="page"/>
      </w:r>
      <w:r>
        <w:rPr>
          <w:rFonts w:hint="eastAsia" w:ascii="宋体" w:hAnsi="宋体" w:eastAsia="宋体" w:cs="宋体"/>
          <w:b/>
          <w:bCs w:val="0"/>
          <w:color w:val="000000" w:themeColor="text1"/>
          <w:sz w:val="24"/>
          <w:szCs w:val="24"/>
          <w:highlight w:val="none"/>
          <w14:textFill>
            <w14:solidFill>
              <w14:schemeClr w14:val="tx1"/>
            </w14:solidFill>
          </w14:textFill>
        </w:rPr>
        <w:t>一、总  则</w:t>
      </w:r>
    </w:p>
    <w:p w14:paraId="21EAA1CD">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（一） 适用范围</w:t>
      </w:r>
    </w:p>
    <w:p w14:paraId="378CD611">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本招标文件适用于本项目的招标、投标、评标、定标、验收、合同履约、付款等行为（法律、法规另有规定的，从其规定）。</w:t>
      </w:r>
    </w:p>
    <w:p w14:paraId="18F021B7">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（二）定义</w:t>
      </w:r>
    </w:p>
    <w:p w14:paraId="5332C3B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1.招标采购单位系指组织本次招标的代理机构（“招标人”）和采购人。</w:t>
      </w:r>
    </w:p>
    <w:p w14:paraId="212C0DFE">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2.“投标人”系指向招标方提交投标文件的单位或个人。</w:t>
      </w:r>
    </w:p>
    <w:p w14:paraId="2AC0E601">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3.“产品”系指供方按招标文件规定，须向采购人提供的一切设备、保险、税金、备品备件、工具、手册及其它有关技术资料和材料。</w:t>
      </w:r>
    </w:p>
    <w:p w14:paraId="702955C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4.“服务”系指招标文件规定投标人须承担的安装、调试、技术协助、校准、培训、技术指导以及其他类似的义务。</w:t>
      </w:r>
    </w:p>
    <w:p w14:paraId="349E525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5.“项目”系指投标人按招标文件规定向采购人提供的产品和服务。</w:t>
      </w:r>
    </w:p>
    <w:p w14:paraId="6B3510A4">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6.“书面形式”包括信函、传真、电报等。</w:t>
      </w:r>
    </w:p>
    <w:p w14:paraId="4E42CBAC">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7.“▲”系指实质性要求条款。</w:t>
      </w:r>
    </w:p>
    <w:p w14:paraId="44DA2BE1">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（三）招标方式</w:t>
      </w:r>
    </w:p>
    <w:p w14:paraId="22B59B73">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本次招标采用公开招标方式进行。</w:t>
      </w:r>
    </w:p>
    <w:p w14:paraId="1020A61C">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（四）投标委托</w:t>
      </w:r>
    </w:p>
    <w:p w14:paraId="5426710F">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投标人代表须提供有效身份证件。如投标人代表不是法定代表人，须有法定代表人出具的授权委托书。</w:t>
      </w:r>
    </w:p>
    <w:p w14:paraId="4762AA08">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（五）投标费用及结算</w:t>
      </w:r>
    </w:p>
    <w:p w14:paraId="00E7E5C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1）不论投标结果如何，投标人均应自行承担所有与投标有关的全部费用。</w:t>
      </w:r>
    </w:p>
    <w:p w14:paraId="254D4DEA">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2）投标时工程量按照招标文件中提供的工程量进行投标报价，结算时数量按实结算。</w:t>
      </w:r>
    </w:p>
    <w:p w14:paraId="106212A8">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（六）联合体投标</w:t>
      </w:r>
    </w:p>
    <w:p w14:paraId="047659B9">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本项目不接受联合体投标。</w:t>
      </w:r>
    </w:p>
    <w:p w14:paraId="4DF16BE3">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（七）转包与分包</w:t>
      </w:r>
    </w:p>
    <w:p w14:paraId="19723B42">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1.本项目不允许转包。</w:t>
      </w:r>
    </w:p>
    <w:p w14:paraId="2524C9C1">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（八）特别说明：</w:t>
      </w:r>
    </w:p>
    <w:p w14:paraId="2F199069">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非单一产品采购项目，采购人应当根据采购项目技术构成、产品价格比重等合理确定核心产品，并在招标文件中载明，多家投标人提供的核心产品品牌相同的，按一家投标人认定。评审时，取其综合得分最高的一家为有效投标人；综合得分相同时，按抽签确定，多家投标供应商提供的核心产品品牌相同的，按前两款规定处理。本项目无核心产品。</w:t>
      </w:r>
    </w:p>
    <w:p w14:paraId="2BEBB724">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2、投标人投标所使用的资格、信誉、荣誉、业绩与企业认证必须为本法人所拥有。投标人投标所使用的采购项目实施人员必须为本法人员工（或必须为本法人或控股公司正式员工）。</w:t>
      </w:r>
    </w:p>
    <w:p w14:paraId="4023BB1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3、投标人应仔细阅读招标文件的所有内容，按照招标文件的要求提交投标文件，并对所提供的全部资料的真实性承担法律责任。</w:t>
      </w:r>
    </w:p>
    <w:p w14:paraId="78F8FDE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投标人在投标活动中提供任何虚假材料,其投标无效，并报监管部门查处；中标后发现的,根据《中华人民共和国招标投标法》，有违法所得的，并处没收违法所得，情节严重的，由工商行政管理机关吊销营业执照；构成犯罪的，依法追究刑事责任。</w:t>
      </w:r>
    </w:p>
    <w:p w14:paraId="02FEE830">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（九）质疑和投诉</w:t>
      </w:r>
    </w:p>
    <w:p w14:paraId="14C5477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1.投标人认为招标文件、招标过程或中标结果使自己的合法权益受到损害的，应当在知道或者应知其权益受到损害之日起</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b w:val="0"/>
          <w:bCs/>
          <w:color w:val="000000" w:themeColor="text1"/>
          <w:sz w:val="24"/>
          <w:szCs w:val="24"/>
          <w:highlight w:val="none"/>
          <w14:textFill>
            <w14:solidFill>
              <w14:schemeClr w14:val="tx1"/>
            </w14:solidFill>
          </w14:textFill>
        </w:rPr>
        <w:t>个工作日内，以书面形式向采购人、采购代理机构提出质疑。</w:t>
      </w:r>
    </w:p>
    <w:p w14:paraId="26411C8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2.质疑应当采用书面形式，质疑书应明确阐述招标文件、招标过程或中标结果中使自己合法权益受到损害的实质性内容，提供相关事实、依据和证据及其来源或线索，便于有关单位调查、答复和处理。</w:t>
      </w:r>
    </w:p>
    <w:p w14:paraId="25ECFD80">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二、招标文件</w:t>
      </w:r>
    </w:p>
    <w:p w14:paraId="3035DAB6">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（一）招标文件的构成。本招标文件由以下部份组成：</w:t>
      </w:r>
    </w:p>
    <w:p w14:paraId="5B223148">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1.招标公告</w:t>
      </w:r>
    </w:p>
    <w:p w14:paraId="5970B1FC">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2.招标需求</w:t>
      </w:r>
    </w:p>
    <w:p w14:paraId="028FAE5E">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3.投标人须知</w:t>
      </w:r>
    </w:p>
    <w:p w14:paraId="120083F2">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4.评标办法及标准</w:t>
      </w:r>
    </w:p>
    <w:p w14:paraId="6880D9B8">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5合同主要条款</w:t>
      </w:r>
    </w:p>
    <w:p w14:paraId="4F6AA00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6.投标文件格式</w:t>
      </w:r>
    </w:p>
    <w:p w14:paraId="2899BE0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7.本项目招标文件的澄清、答复、修改、补充的内容</w:t>
      </w:r>
    </w:p>
    <w:p w14:paraId="22AFA625">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（二）投标人的风险</w:t>
      </w:r>
    </w:p>
    <w:p w14:paraId="7BF6798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投标人没有按照招标文件要求提供全部资料，或者投标人没有对招标文件在各方面作出实质性响应是投标人的风险，并可能导致其投标被拒绝。</w:t>
      </w:r>
    </w:p>
    <w:p w14:paraId="6FBD9D04">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 xml:space="preserve">（三）招标文件的澄清与修改 </w:t>
      </w:r>
    </w:p>
    <w:p w14:paraId="07E3A46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14:textFill>
            <w14:solidFill>
              <w14:schemeClr w14:val="tx1"/>
            </w14:solidFill>
          </w14:textFill>
        </w:rPr>
        <w:t>投标人获取招标文件后，若有问题需要澄清，应自招标文件发布在交易场所（发布招标公告的媒体上）、浙江省政府采购网”（http:// www.zjzfcg.gov.cn）3日内，通过台州湾新区小额工程电子交易平台（http://www.tzwztb.com/)向招标人（招标代理）提出。招标人的答复将发布在台州湾新区小额工程电子交易平台（http://www.tzwztb.com/)、浙江省政府采购网”（http:// www.zjzfcg.gov.cn）。如在该时间后提出问题需要澄清的，招标人不作答复。招标人及招标代理机构的任何工作人员对投标人所作的任何口头解释、介绍、答复，只能供投标人参考，对招标人无任何约束力。投标人应认真阅读本招标文件，发现其中有误或有不合理要求的，投标人必须在前附表规定的时间内以书面形式要求招标采购单位澄清。采购代理机构对已发出的招标文件进行必要澄清、答复、修改或补充的，应当在招标文件要求提交投标文件截止时间</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14:textFill>
            <w14:solidFill>
              <w14:schemeClr w14:val="tx1"/>
            </w14:solidFill>
          </w14:textFill>
        </w:rPr>
        <w:t>日前，发布更正公告，并以书面形式通知所有招标文件收受人。</w:t>
      </w:r>
    </w:p>
    <w:p w14:paraId="74325F3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2.采购代理机构必须以书面形式答复投标人要求澄清的问题，并将不包含问题来源的答复书面通知所有购买招标文件的投标人；除书面答复以外的其他澄清方式及澄清内容均无效。</w:t>
      </w:r>
    </w:p>
    <w:p w14:paraId="3B7E2F1E">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66E92FD4">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4.招标文件的澄清、答复、修改或补充都应该通过本代理机构以法定形式发布，采购人非通过本机构，不得擅自澄清、答复、修改或补充招标文件。</w:t>
      </w:r>
    </w:p>
    <w:p w14:paraId="20784E83">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三、投标文件的编制</w:t>
      </w:r>
    </w:p>
    <w:p w14:paraId="5745E118">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bookmarkStart w:id="15" w:name="_Toc8633"/>
      <w:r>
        <w:rPr>
          <w:rFonts w:hint="eastAsia" w:ascii="宋体" w:hAnsi="宋体" w:eastAsia="宋体" w:cs="宋体"/>
          <w:b/>
          <w:bCs w:val="0"/>
          <w:color w:val="000000" w:themeColor="text1"/>
          <w:sz w:val="24"/>
          <w:szCs w:val="24"/>
          <w:highlight w:val="none"/>
          <w14:textFill>
            <w14:solidFill>
              <w14:schemeClr w14:val="tx1"/>
            </w14:solidFill>
          </w14:textFill>
        </w:rPr>
        <w:t>（一）投标文件的组成</w:t>
      </w:r>
      <w:bookmarkEnd w:id="15"/>
    </w:p>
    <w:p w14:paraId="7B2D0A8A">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资格标</w:t>
      </w:r>
    </w:p>
    <w:p w14:paraId="53E6DDD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（1）法定代表人身份</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证明</w:t>
      </w:r>
      <w:r>
        <w:rPr>
          <w:rFonts w:hint="eastAsia" w:ascii="宋体" w:hAnsi="宋体" w:eastAsia="宋体" w:cs="宋体"/>
          <w:b w:val="0"/>
          <w:bCs/>
          <w:color w:val="000000" w:themeColor="text1"/>
          <w:sz w:val="24"/>
          <w:szCs w:val="24"/>
          <w:highlight w:val="none"/>
          <w14:textFill>
            <w14:solidFill>
              <w14:schemeClr w14:val="tx1"/>
            </w14:solidFill>
          </w14:textFill>
        </w:rPr>
        <w:t>或法定代表人授权委托书（格式见附件）；</w:t>
      </w:r>
    </w:p>
    <w:p w14:paraId="246D9E19">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（2）投标人诚信投标承诺书（格式见附件）； </w:t>
      </w:r>
    </w:p>
    <w:p w14:paraId="345C133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（3）营业执照</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p>
    <w:p w14:paraId="614FCF67">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投标声明书</w:t>
      </w:r>
      <w:r>
        <w:rPr>
          <w:rFonts w:hint="eastAsia" w:ascii="宋体" w:hAnsi="宋体" w:eastAsia="宋体" w:cs="宋体"/>
          <w:b w:val="0"/>
          <w:bCs/>
          <w:color w:val="000000" w:themeColor="text1"/>
          <w:sz w:val="24"/>
          <w:szCs w:val="24"/>
          <w:highlight w:val="none"/>
          <w14:textFill>
            <w14:solidFill>
              <w14:schemeClr w14:val="tx1"/>
            </w14:solidFill>
          </w14:textFill>
        </w:rPr>
        <w:t>（格式见附件）；</w:t>
      </w:r>
    </w:p>
    <w:p w14:paraId="5F76DE4C">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技术标</w:t>
      </w:r>
    </w:p>
    <w:p w14:paraId="48E6F7D1">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14:textFill>
            <w14:solidFill>
              <w14:schemeClr w14:val="tx1"/>
            </w14:solidFill>
          </w14:textFill>
        </w:rPr>
        <w:t>）业绩一览表（格式见附件，如有）；</w:t>
      </w:r>
    </w:p>
    <w:p w14:paraId="54C7FD73">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）质保期承诺表（</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格式详见附件</w:t>
      </w:r>
      <w:r>
        <w:rPr>
          <w:rFonts w:hint="eastAsia" w:ascii="宋体" w:hAnsi="宋体" w:eastAsia="宋体" w:cs="宋体"/>
          <w:b w:val="0"/>
          <w:bCs/>
          <w:color w:val="000000" w:themeColor="text1"/>
          <w:sz w:val="24"/>
          <w:szCs w:val="24"/>
          <w:highlight w:val="none"/>
          <w14:textFill>
            <w14:solidFill>
              <w14:schemeClr w14:val="tx1"/>
            </w14:solidFill>
          </w14:textFill>
        </w:rPr>
        <w:t>）；</w:t>
      </w:r>
    </w:p>
    <w:p w14:paraId="6EBB8AB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14:textFill>
            <w14:solidFill>
              <w14:schemeClr w14:val="tx1"/>
            </w14:solidFill>
          </w14:textFill>
        </w:rPr>
        <w:t>）投标人</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根据评标办法编制技术标</w:t>
      </w:r>
      <w:r>
        <w:rPr>
          <w:rFonts w:hint="eastAsia" w:ascii="宋体" w:hAnsi="宋体" w:eastAsia="宋体" w:cs="宋体"/>
          <w:b w:val="0"/>
          <w:bCs/>
          <w:color w:val="000000" w:themeColor="text1"/>
          <w:sz w:val="24"/>
          <w:szCs w:val="24"/>
          <w:highlight w:val="none"/>
          <w14:textFill>
            <w14:solidFill>
              <w14:schemeClr w14:val="tx1"/>
            </w14:solidFill>
          </w14:textFill>
        </w:rPr>
        <w:t>。</w:t>
      </w:r>
    </w:p>
    <w:p w14:paraId="359A4DA1">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（4）样品（如有）；</w:t>
      </w:r>
    </w:p>
    <w:tbl>
      <w:tblPr>
        <w:tblStyle w:val="38"/>
        <w:tblW w:w="89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88"/>
        <w:gridCol w:w="3917"/>
        <w:gridCol w:w="3916"/>
      </w:tblGrid>
      <w:tr w14:paraId="358FB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 w:hRule="atLeast"/>
          <w:jc w:val="center"/>
        </w:trPr>
        <w:tc>
          <w:tcPr>
            <w:tcW w:w="1088" w:type="dxa"/>
            <w:vAlign w:val="center"/>
          </w:tcPr>
          <w:p w14:paraId="135C4937">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val="0"/>
                <w:bCs/>
                <w:color w:val="auto"/>
                <w:kern w:val="2"/>
                <w:sz w:val="24"/>
                <w:szCs w:val="24"/>
                <w:highlight w:val="none"/>
                <w:lang w:val="en-US" w:eastAsia="zh-CN" w:bidi="ar-SA"/>
              </w:rPr>
            </w:pPr>
            <w:bookmarkStart w:id="16" w:name="_Toc6190"/>
            <w:r>
              <w:rPr>
                <w:rFonts w:hint="eastAsia" w:ascii="宋体" w:hAnsi="宋体" w:eastAsia="宋体" w:cs="宋体"/>
                <w:b w:val="0"/>
                <w:bCs/>
                <w:color w:val="auto"/>
                <w:kern w:val="2"/>
                <w:sz w:val="24"/>
                <w:szCs w:val="24"/>
                <w:highlight w:val="none"/>
                <w:lang w:val="en-US" w:eastAsia="zh-CN" w:bidi="ar-SA"/>
              </w:rPr>
              <w:t>序号</w:t>
            </w:r>
          </w:p>
        </w:tc>
        <w:tc>
          <w:tcPr>
            <w:tcW w:w="3917" w:type="dxa"/>
            <w:vAlign w:val="center"/>
          </w:tcPr>
          <w:p w14:paraId="33AB6DA1">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产品类型</w:t>
            </w:r>
          </w:p>
        </w:tc>
        <w:tc>
          <w:tcPr>
            <w:tcW w:w="3916" w:type="dxa"/>
            <w:vAlign w:val="center"/>
          </w:tcPr>
          <w:p w14:paraId="5A75E083">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成品样品大小要求</w:t>
            </w:r>
          </w:p>
        </w:tc>
      </w:tr>
      <w:tr w14:paraId="0D551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088" w:type="dxa"/>
            <w:vAlign w:val="center"/>
          </w:tcPr>
          <w:p w14:paraId="0CC99978">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w:t>
            </w:r>
          </w:p>
        </w:tc>
        <w:tc>
          <w:tcPr>
            <w:tcW w:w="3917" w:type="dxa"/>
            <w:vAlign w:val="center"/>
          </w:tcPr>
          <w:p w14:paraId="7265AED1">
            <w:pPr>
              <w:keepNext w:val="0"/>
              <w:keepLines w:val="0"/>
              <w:pageBreakBefore w:val="0"/>
              <w:widowControl/>
              <w:kinsoku/>
              <w:wordWrap/>
              <w:overflowPunct/>
              <w:topLinePunct w:val="0"/>
              <w:bidi w:val="0"/>
              <w:spacing w:line="288"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蓝绿色窗帘</w:t>
            </w:r>
          </w:p>
        </w:tc>
        <w:tc>
          <w:tcPr>
            <w:tcW w:w="3916" w:type="dxa"/>
            <w:vAlign w:val="center"/>
          </w:tcPr>
          <w:p w14:paraId="2A38C8CC">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≥100cm*100cm</w:t>
            </w:r>
          </w:p>
        </w:tc>
      </w:tr>
      <w:tr w14:paraId="62B08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088" w:type="dxa"/>
            <w:vAlign w:val="center"/>
          </w:tcPr>
          <w:p w14:paraId="6A9B8595">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w:t>
            </w:r>
          </w:p>
        </w:tc>
        <w:tc>
          <w:tcPr>
            <w:tcW w:w="3917" w:type="dxa"/>
            <w:vAlign w:val="center"/>
          </w:tcPr>
          <w:p w14:paraId="6FF8B6F1">
            <w:pPr>
              <w:keepNext w:val="0"/>
              <w:keepLines w:val="0"/>
              <w:pageBreakBefore w:val="0"/>
              <w:widowControl/>
              <w:kinsoku/>
              <w:wordWrap/>
              <w:overflowPunct/>
              <w:topLinePunct w:val="0"/>
              <w:bidi w:val="0"/>
              <w:spacing w:line="288"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客房</w:t>
            </w:r>
            <w:r>
              <w:rPr>
                <w:rFonts w:hint="eastAsia" w:ascii="宋体" w:hAnsi="宋体" w:eastAsia="宋体" w:cs="宋体"/>
                <w:b w:val="0"/>
                <w:bCs/>
                <w:color w:val="auto"/>
                <w:kern w:val="2"/>
                <w:sz w:val="24"/>
                <w:szCs w:val="24"/>
                <w:highlight w:val="none"/>
                <w:lang w:val="en-US" w:eastAsia="zh-CN" w:bidi="ar-SA"/>
              </w:rPr>
              <w:t>窗纱</w:t>
            </w:r>
          </w:p>
        </w:tc>
        <w:tc>
          <w:tcPr>
            <w:tcW w:w="3916" w:type="dxa"/>
            <w:vAlign w:val="center"/>
          </w:tcPr>
          <w:p w14:paraId="0718E2D7">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≥100cm*100cm</w:t>
            </w:r>
          </w:p>
        </w:tc>
      </w:tr>
      <w:tr w14:paraId="4B4D9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088" w:type="dxa"/>
            <w:vAlign w:val="center"/>
          </w:tcPr>
          <w:p w14:paraId="4C7985C3">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3</w:t>
            </w:r>
          </w:p>
        </w:tc>
        <w:tc>
          <w:tcPr>
            <w:tcW w:w="3917" w:type="dxa"/>
            <w:vAlign w:val="center"/>
          </w:tcPr>
          <w:p w14:paraId="04F2E8BA">
            <w:pPr>
              <w:keepNext w:val="0"/>
              <w:keepLines w:val="0"/>
              <w:pageBreakBefore w:val="0"/>
              <w:widowControl/>
              <w:kinsoku/>
              <w:wordWrap/>
              <w:overflowPunct/>
              <w:topLinePunct w:val="0"/>
              <w:bidi w:val="0"/>
              <w:spacing w:line="288"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橙黄色窗帘</w:t>
            </w:r>
          </w:p>
        </w:tc>
        <w:tc>
          <w:tcPr>
            <w:tcW w:w="3916" w:type="dxa"/>
            <w:vAlign w:val="center"/>
          </w:tcPr>
          <w:p w14:paraId="642864AC">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≥100cm*100cm</w:t>
            </w:r>
          </w:p>
        </w:tc>
      </w:tr>
      <w:tr w14:paraId="0E888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088" w:type="dxa"/>
            <w:vAlign w:val="center"/>
          </w:tcPr>
          <w:p w14:paraId="69CA6EB8">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4</w:t>
            </w:r>
          </w:p>
        </w:tc>
        <w:tc>
          <w:tcPr>
            <w:tcW w:w="3917" w:type="dxa"/>
            <w:vAlign w:val="center"/>
          </w:tcPr>
          <w:p w14:paraId="6253FD34">
            <w:pPr>
              <w:keepNext w:val="0"/>
              <w:keepLines w:val="0"/>
              <w:pageBreakBefore w:val="0"/>
              <w:widowControl/>
              <w:kinsoku/>
              <w:wordWrap/>
              <w:overflowPunct/>
              <w:topLinePunct w:val="0"/>
              <w:bidi w:val="0"/>
              <w:spacing w:line="288"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PVC 窗帘</w:t>
            </w:r>
          </w:p>
        </w:tc>
        <w:tc>
          <w:tcPr>
            <w:tcW w:w="3916" w:type="dxa"/>
            <w:vAlign w:val="center"/>
          </w:tcPr>
          <w:p w14:paraId="4B070ED5">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≥100cm*100cm</w:t>
            </w:r>
          </w:p>
        </w:tc>
      </w:tr>
      <w:tr w14:paraId="7D602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88" w:type="dxa"/>
            <w:vAlign w:val="center"/>
          </w:tcPr>
          <w:p w14:paraId="1F97E48D">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w:t>
            </w:r>
          </w:p>
        </w:tc>
        <w:tc>
          <w:tcPr>
            <w:tcW w:w="3917" w:type="dxa"/>
            <w:vAlign w:val="center"/>
          </w:tcPr>
          <w:p w14:paraId="422625FF">
            <w:pPr>
              <w:keepNext w:val="0"/>
              <w:keepLines w:val="0"/>
              <w:pageBreakBefore w:val="0"/>
              <w:widowControl/>
              <w:kinsoku/>
              <w:wordWrap/>
              <w:overflowPunct/>
              <w:topLinePunct w:val="0"/>
              <w:bidi w:val="0"/>
              <w:spacing w:line="288"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窗帘 (面包布丁)</w:t>
            </w:r>
          </w:p>
        </w:tc>
        <w:tc>
          <w:tcPr>
            <w:tcW w:w="3916" w:type="dxa"/>
            <w:vAlign w:val="center"/>
          </w:tcPr>
          <w:p w14:paraId="16CC3C5C">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≥100cm*100cm</w:t>
            </w:r>
          </w:p>
        </w:tc>
      </w:tr>
      <w:tr w14:paraId="0375F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088" w:type="dxa"/>
            <w:vAlign w:val="center"/>
          </w:tcPr>
          <w:p w14:paraId="06542A8F">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6</w:t>
            </w:r>
          </w:p>
        </w:tc>
        <w:tc>
          <w:tcPr>
            <w:tcW w:w="3917" w:type="dxa"/>
            <w:vAlign w:val="center"/>
          </w:tcPr>
          <w:p w14:paraId="4873F4C5">
            <w:pPr>
              <w:keepNext w:val="0"/>
              <w:keepLines w:val="0"/>
              <w:pageBreakBefore w:val="0"/>
              <w:widowControl/>
              <w:kinsoku/>
              <w:wordWrap/>
              <w:overflowPunct/>
              <w:topLinePunct w:val="0"/>
              <w:bidi w:val="0"/>
              <w:spacing w:line="288"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成品手动卷帘布窗帘（灰色）</w:t>
            </w:r>
          </w:p>
        </w:tc>
        <w:tc>
          <w:tcPr>
            <w:tcW w:w="3916" w:type="dxa"/>
            <w:vAlign w:val="center"/>
          </w:tcPr>
          <w:p w14:paraId="2211F68F">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≥100cm*100cm</w:t>
            </w:r>
          </w:p>
        </w:tc>
      </w:tr>
      <w:tr w14:paraId="0F6F6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1088" w:type="dxa"/>
            <w:vAlign w:val="center"/>
          </w:tcPr>
          <w:p w14:paraId="53CF75BE">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7</w:t>
            </w:r>
          </w:p>
        </w:tc>
        <w:tc>
          <w:tcPr>
            <w:tcW w:w="3917" w:type="dxa"/>
            <w:vAlign w:val="center"/>
          </w:tcPr>
          <w:p w14:paraId="35F7611E">
            <w:pPr>
              <w:keepNext w:val="0"/>
              <w:keepLines w:val="0"/>
              <w:pageBreakBefore w:val="0"/>
              <w:widowControl/>
              <w:kinsoku/>
              <w:wordWrap/>
              <w:overflowPunct/>
              <w:topLinePunct w:val="0"/>
              <w:bidi w:val="0"/>
              <w:spacing w:line="288"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明装窗帘轨（PVC窗帘用）</w:t>
            </w:r>
          </w:p>
        </w:tc>
        <w:tc>
          <w:tcPr>
            <w:tcW w:w="3916" w:type="dxa"/>
            <w:vAlign w:val="center"/>
          </w:tcPr>
          <w:p w14:paraId="1250C6D2">
            <w:pPr>
              <w:keepNext w:val="0"/>
              <w:keepLines w:val="0"/>
              <w:pageBreakBefore w:val="0"/>
              <w:kinsoku/>
              <w:wordWrap/>
              <w:overflowPunct/>
              <w:topLinePunct w:val="0"/>
              <w:bidi w:val="0"/>
              <w:adjustRightInd w:val="0"/>
              <w:spacing w:line="288"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≥100cm一根</w:t>
            </w:r>
          </w:p>
        </w:tc>
      </w:tr>
    </w:tbl>
    <w:p w14:paraId="2C3E6CD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商务标</w:t>
      </w:r>
      <w:bookmarkEnd w:id="16"/>
    </w:p>
    <w:p w14:paraId="3742765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（1）开标一览表（格式见附件）；</w:t>
      </w:r>
    </w:p>
    <w:p w14:paraId="03F3ED5F">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）投标报价明细清单（格式见附件）；</w:t>
      </w:r>
    </w:p>
    <w:p w14:paraId="161F45A0">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b/>
          <w:bCs w:val="0"/>
          <w:color w:val="000000" w:themeColor="text1"/>
          <w:sz w:val="24"/>
          <w:szCs w:val="24"/>
          <w:highlight w:val="none"/>
          <w14:textFill>
            <w14:solidFill>
              <w14:schemeClr w14:val="tx1"/>
            </w14:solidFill>
          </w14:textFill>
        </w:rPr>
        <w:t>）投标文件的语言及计量</w:t>
      </w:r>
    </w:p>
    <w:p w14:paraId="4EAA80F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1、投标文件以及投标人与招标人就有关投标事宜的所有来往函电，均应以中文汉语书写。除签名、盖章、专用名称等特殊情形外，以中文汉语以外的文字表述的投标文件视同未提供。</w:t>
      </w:r>
    </w:p>
    <w:p w14:paraId="6D34591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2、投标计量单位，招标文件已有明确规定的，使用招标文件规定的计量单位；招标文件没有规定的，应采用中华人民共和国法定计量单位（货币单位：人民币元），否则视同未响应。</w:t>
      </w:r>
    </w:p>
    <w:p w14:paraId="229C96AC">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bCs w:val="0"/>
          <w:color w:val="000000" w:themeColor="text1"/>
          <w:sz w:val="24"/>
          <w:szCs w:val="24"/>
          <w:highlight w:val="none"/>
          <w14:textFill>
            <w14:solidFill>
              <w14:schemeClr w14:val="tx1"/>
            </w14:solidFill>
          </w14:textFill>
        </w:rPr>
        <w:t>）投标报价</w:t>
      </w:r>
    </w:p>
    <w:p w14:paraId="0CCD3D1E">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1.投标报价应按招标文件中相关附表格式填写。</w:t>
      </w:r>
    </w:p>
    <w:p w14:paraId="5ED9EE02">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▲2.投标报价是履行合同的最终价格，</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该费用</w:t>
      </w:r>
      <w:r>
        <w:rPr>
          <w:rFonts w:hint="eastAsia" w:ascii="宋体" w:hAnsi="宋体" w:eastAsia="宋体" w:cs="宋体"/>
          <w:b w:val="0"/>
          <w:bCs/>
          <w:color w:val="000000" w:themeColor="text1"/>
          <w:sz w:val="24"/>
          <w:szCs w:val="24"/>
          <w:highlight w:val="none"/>
          <w14:textFill>
            <w14:solidFill>
              <w14:schemeClr w14:val="tx1"/>
            </w14:solidFill>
          </w14:textFill>
        </w:rPr>
        <w:t>已包含本项目货物设计、原材料、成品制作、材料费</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含窗帘挂钩</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人工费、服务费、运输费、装卸、安装前的清洗费、保管费、安装调试费、税费、利润、维修、质量保修、管理费用、完成合同所需的一切本身和不可或缺的所有工作开支、政策性文件规定及合同包含的所有风险、责任等各项全部费用。该单价中已综合考虑了在合同有效期内的材料设备、机械、人工等所有市场价格波动的风险，在合同有效期内不做任何调整。</w:t>
      </w:r>
    </w:p>
    <w:p w14:paraId="69CAFA17">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▲3.投标文件只允许有一个报价，有选择的或有条件的报价将不予接受。</w:t>
      </w:r>
    </w:p>
    <w:p w14:paraId="0B512DF1">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b/>
          <w:bCs w:val="0"/>
          <w:color w:val="000000" w:themeColor="text1"/>
          <w:sz w:val="24"/>
          <w:szCs w:val="24"/>
          <w:highlight w:val="none"/>
          <w14:textFill>
            <w14:solidFill>
              <w14:schemeClr w14:val="tx1"/>
            </w14:solidFill>
          </w14:textFill>
        </w:rPr>
        <w:t>）投标文件的有效期</w:t>
      </w:r>
    </w:p>
    <w:p w14:paraId="17B889A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▲1.自投标截止日起 90天投标文件应保持有效。中标人投标文件有效期延长至合同有效期。有效期不足的投标文件将被拒绝。</w:t>
      </w:r>
    </w:p>
    <w:p w14:paraId="6472573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2.在特殊情况下，招标人可与投标人协商延长投标书的有效期，这种要求和答复均以书面形式进行。</w:t>
      </w:r>
    </w:p>
    <w:p w14:paraId="74E9D333">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3.投标人可拒绝接受延期要求而不会导致投标保证金不被退回。同意延长有效期的投标人需要相应延长投标保证金的有效期，但不能修改投标文件内容。 </w:t>
      </w:r>
    </w:p>
    <w:p w14:paraId="27D6770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4.中标人的投标文件自开标之日起至合同履行完毕止均应保持有效。</w:t>
      </w:r>
    </w:p>
    <w:p w14:paraId="0262DB84">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b/>
          <w:bCs w:val="0"/>
          <w:color w:val="000000" w:themeColor="text1"/>
          <w:sz w:val="24"/>
          <w:szCs w:val="24"/>
          <w:highlight w:val="none"/>
          <w14:textFill>
            <w14:solidFill>
              <w14:schemeClr w14:val="tx1"/>
            </w14:solidFill>
          </w14:textFill>
        </w:rPr>
        <w:t>）投标保证金</w:t>
      </w:r>
    </w:p>
    <w:p w14:paraId="04CAA582">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1.投标人须按规定提交投标保证金。否则，其投标将被拒绝。</w:t>
      </w:r>
    </w:p>
    <w:p w14:paraId="67F5B10A">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2.保证金形式：</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详见公告</w:t>
      </w:r>
      <w:r>
        <w:rPr>
          <w:rFonts w:hint="eastAsia" w:ascii="宋体" w:hAnsi="宋体" w:eastAsia="宋体" w:cs="宋体"/>
          <w:b w:val="0"/>
          <w:bCs/>
          <w:color w:val="000000" w:themeColor="text1"/>
          <w:sz w:val="24"/>
          <w:szCs w:val="24"/>
          <w:highlight w:val="none"/>
          <w14:textFill>
            <w14:solidFill>
              <w14:schemeClr w14:val="tx1"/>
            </w14:solidFill>
          </w14:textFill>
        </w:rPr>
        <w:t>。</w:t>
      </w:r>
    </w:p>
    <w:p w14:paraId="70224969">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3.保证金不计息。</w:t>
      </w:r>
    </w:p>
    <w:p w14:paraId="01E27061">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4.投标人有下列情形之一的，投标保证金将不予退还：</w:t>
      </w:r>
    </w:p>
    <w:p w14:paraId="7703C02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（1）投标人在投标有效期内撤回投标文件的；</w:t>
      </w:r>
    </w:p>
    <w:p w14:paraId="6438FFEF">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（2）未按规定提交履约保证金的；</w:t>
      </w:r>
    </w:p>
    <w:p w14:paraId="1219FF8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（3）投标人在投标过程中弄虚作假，提供虚假材料的；</w:t>
      </w:r>
    </w:p>
    <w:p w14:paraId="050DF3A4">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（4）中标人无正当理由不与采购单位签订合同的；</w:t>
      </w:r>
    </w:p>
    <w:p w14:paraId="08C1BA4E">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（5）将中标项目转让给他人或者在投标文件中未说明且未经招标人同意，将中标项目分包给他人的；</w:t>
      </w:r>
    </w:p>
    <w:p w14:paraId="6019660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（6）拒绝履行合同义务的；</w:t>
      </w:r>
    </w:p>
    <w:p w14:paraId="1B48F69C">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（7）有《关于印发&lt;台州市工程建设投标保函管理规定&gt;的通知》（台公管办〔2022〕2号）第十一条规定情形的。</w:t>
      </w:r>
    </w:p>
    <w:p w14:paraId="79E875B2">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bookmarkStart w:id="17" w:name="_Toc9233"/>
      <w:r>
        <w:rPr>
          <w:rFonts w:hint="eastAsia" w:ascii="宋体" w:hAnsi="宋体" w:eastAsia="宋体" w:cs="宋体"/>
          <w:b/>
          <w:bCs w:val="0"/>
          <w:color w:val="000000" w:themeColor="text1"/>
          <w:sz w:val="24"/>
          <w:szCs w:val="24"/>
          <w:highlight w:val="none"/>
          <w14:textFill>
            <w14:solidFill>
              <w14:schemeClr w14:val="tx1"/>
            </w14:solidFill>
          </w14:textFill>
        </w:rPr>
        <w:t>（</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b/>
          <w:bCs w:val="0"/>
          <w:color w:val="000000" w:themeColor="text1"/>
          <w:sz w:val="24"/>
          <w:szCs w:val="24"/>
          <w:highlight w:val="none"/>
          <w14:textFill>
            <w14:solidFill>
              <w14:schemeClr w14:val="tx1"/>
            </w14:solidFill>
          </w14:textFill>
        </w:rPr>
        <w:t>）投标文件的签署和份数</w:t>
      </w:r>
      <w:bookmarkEnd w:id="17"/>
    </w:p>
    <w:p w14:paraId="44D41CEC">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1.投标人按本招标文件规定的要求使用电子投标文件，投标文件内容不完整、编排混乱导致投标文件被误读、漏读或者查找不到相关内容的，是投标人的责任。</w:t>
      </w:r>
    </w:p>
    <w:p w14:paraId="792C5AA2">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2.投标文件须由投标人在规定位置盖章并由法定代表人或法定代表人的授权委托人签署或盖章，投标人应写全称。</w:t>
      </w:r>
    </w:p>
    <w:p w14:paraId="06E322E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3.投标文件不得涂改，若有修改错漏处，须加盖单位公章或者法定代表人或授权委托人签字或盖章。投标文件因字迹潦草或表达不清所引起的后果由投标人负责。</w:t>
      </w:r>
    </w:p>
    <w:p w14:paraId="42ABBDB5">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bookmarkStart w:id="18" w:name="_Toc1620"/>
      <w:r>
        <w:rPr>
          <w:rFonts w:hint="eastAsia" w:ascii="宋体" w:hAnsi="宋体" w:eastAsia="宋体" w:cs="宋体"/>
          <w:b/>
          <w:bCs w:val="0"/>
          <w:color w:val="000000" w:themeColor="text1"/>
          <w:sz w:val="24"/>
          <w:szCs w:val="24"/>
          <w:highlight w:val="none"/>
          <w14:textFill>
            <w14:solidFill>
              <w14:schemeClr w14:val="tx1"/>
            </w14:solidFill>
          </w14:textFill>
        </w:rPr>
        <w:t>（</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b/>
          <w:bCs w:val="0"/>
          <w:color w:val="000000" w:themeColor="text1"/>
          <w:sz w:val="24"/>
          <w:szCs w:val="24"/>
          <w:highlight w:val="none"/>
          <w14:textFill>
            <w14:solidFill>
              <w14:schemeClr w14:val="tx1"/>
            </w14:solidFill>
          </w14:textFill>
        </w:rPr>
        <w:t>）投标文件的包装、递交、修改和撤回</w:t>
      </w:r>
      <w:bookmarkEnd w:id="18"/>
    </w:p>
    <w:p w14:paraId="3E359AF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1.本工程采用电子投标，无需纸质投标文件；</w:t>
      </w:r>
    </w:p>
    <w:p w14:paraId="2F0D7858">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2.投标人应在投标截止时间前上传投标文件。逾期上传的或者未上传指定系统的，视为投标文件未送达。</w:t>
      </w:r>
    </w:p>
    <w:p w14:paraId="0E1BAE2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3.在规定的投标截止时间前，投标人可以修改或撤回已递交的电子投标文件；修改好后重新上传加密电子投标文件。</w:t>
      </w:r>
    </w:p>
    <w:p w14:paraId="6B4A8E7E">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4.在投标截止时间至投标有效期满之前，投标人不得撤回其投标文件，否则其投标担保将被没收。投标人已现场签到但未解密的，等同于撤回。</w:t>
      </w:r>
    </w:p>
    <w:p w14:paraId="5168ACC8">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八</w:t>
      </w:r>
      <w:r>
        <w:rPr>
          <w:rFonts w:hint="eastAsia" w:ascii="宋体" w:hAnsi="宋体" w:eastAsia="宋体" w:cs="宋体"/>
          <w:b/>
          <w:bCs w:val="0"/>
          <w:color w:val="000000" w:themeColor="text1"/>
          <w:sz w:val="24"/>
          <w:szCs w:val="24"/>
          <w:highlight w:val="none"/>
          <w14:textFill>
            <w14:solidFill>
              <w14:schemeClr w14:val="tx1"/>
            </w14:solidFill>
          </w14:textFill>
        </w:rPr>
        <w:t>）投标无效的情形</w:t>
      </w:r>
    </w:p>
    <w:p w14:paraId="63437C82">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4B925B5A">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1.在符合性审查和</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资格、</w:t>
      </w:r>
      <w:r>
        <w:rPr>
          <w:rFonts w:hint="eastAsia" w:ascii="宋体" w:hAnsi="宋体" w:eastAsia="宋体" w:cs="宋体"/>
          <w:b w:val="0"/>
          <w:bCs/>
          <w:color w:val="000000" w:themeColor="text1"/>
          <w:sz w:val="24"/>
          <w:szCs w:val="24"/>
          <w:highlight w:val="none"/>
          <w14:textFill>
            <w14:solidFill>
              <w14:schemeClr w14:val="tx1"/>
            </w14:solidFill>
          </w14:textFill>
        </w:rPr>
        <w:t>技术评审时，如发现下列情形之一的，投标文件将被视为无效：</w:t>
      </w:r>
    </w:p>
    <w:p w14:paraId="3216A4E9">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（1）资格证明文件不全的，或者不符合招标文件标明的资格要求的；</w:t>
      </w:r>
    </w:p>
    <w:p w14:paraId="6B050F31">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（2）投标文件在指定页面无法定代表人或授权委托人盖章或签字、未在指定页面盖公章；</w:t>
      </w:r>
    </w:p>
    <w:p w14:paraId="48E51544">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（3）投标代表人未能出具</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法人</w:t>
      </w:r>
      <w:r>
        <w:rPr>
          <w:rFonts w:hint="eastAsia" w:ascii="宋体" w:hAnsi="宋体" w:eastAsia="宋体" w:cs="宋体"/>
          <w:b w:val="0"/>
          <w:bCs/>
          <w:color w:val="000000" w:themeColor="text1"/>
          <w:sz w:val="24"/>
          <w:szCs w:val="24"/>
          <w:highlight w:val="none"/>
          <w14:textFill>
            <w14:solidFill>
              <w14:schemeClr w14:val="tx1"/>
            </w14:solidFill>
          </w14:textFill>
        </w:rPr>
        <w:t>身份证明或与法定代表人授权委托</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书</w:t>
      </w:r>
      <w:r>
        <w:rPr>
          <w:rFonts w:hint="eastAsia" w:ascii="宋体" w:hAnsi="宋体" w:eastAsia="宋体" w:cs="宋体"/>
          <w:b w:val="0"/>
          <w:bCs/>
          <w:color w:val="000000" w:themeColor="text1"/>
          <w:sz w:val="24"/>
          <w:szCs w:val="24"/>
          <w:highlight w:val="none"/>
          <w14:textFill>
            <w14:solidFill>
              <w14:schemeClr w14:val="tx1"/>
            </w14:solidFill>
          </w14:textFill>
        </w:rPr>
        <w:t xml:space="preserve">的； </w:t>
      </w:r>
    </w:p>
    <w:p w14:paraId="46B30299">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（4）投标文件的实质性内容未使用中文表述、意思表述不明确、前后矛盾或者使用计量单位不符合招标文件要求的（经评标委员会认定并允许其当场更正的笔误除外）</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p w14:paraId="68E9726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（5）投标有效期、服务时间等条款不能满足招标文件要求的；</w:t>
      </w:r>
    </w:p>
    <w:p w14:paraId="4E7EABE7">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（6）未实质性响应招标文件要求或者投标文件有采购人不能接受的附加条件的；</w:t>
      </w:r>
    </w:p>
    <w:p w14:paraId="500A80C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（7）两家或两家以上投标单位上传投标文件的ip地址（或工程清单锁地址）相同</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b w:val="0"/>
          <w:bCs/>
          <w:color w:val="000000" w:themeColor="text1"/>
          <w:sz w:val="24"/>
          <w:szCs w:val="24"/>
          <w:highlight w:val="none"/>
          <w14:textFill>
            <w14:solidFill>
              <w14:schemeClr w14:val="tx1"/>
            </w14:solidFill>
          </w14:textFill>
        </w:rPr>
        <w:t>，视为串标行为，取消评标资格。</w:t>
      </w:r>
    </w:p>
    <w:p w14:paraId="24F0926E">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（8）投标文件</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组成或格式</w:t>
      </w:r>
      <w:r>
        <w:rPr>
          <w:rFonts w:hint="eastAsia" w:ascii="宋体" w:hAnsi="宋体" w:eastAsia="宋体" w:cs="宋体"/>
          <w:b w:val="0"/>
          <w:bCs/>
          <w:color w:val="000000" w:themeColor="text1"/>
          <w:sz w:val="24"/>
          <w:szCs w:val="24"/>
          <w:highlight w:val="none"/>
          <w14:textFill>
            <w14:solidFill>
              <w14:schemeClr w14:val="tx1"/>
            </w14:solidFill>
          </w14:textFill>
        </w:rPr>
        <w:t>不符合招标文件要求的</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p w14:paraId="4FD6B2AC">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（9）法律法规或规章规定属无效标情形的。</w:t>
      </w:r>
    </w:p>
    <w:p w14:paraId="37C33C02">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2.在</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商务标</w:t>
      </w:r>
      <w:r>
        <w:rPr>
          <w:rFonts w:hint="eastAsia" w:ascii="宋体" w:hAnsi="宋体" w:eastAsia="宋体" w:cs="宋体"/>
          <w:b w:val="0"/>
          <w:bCs/>
          <w:color w:val="000000" w:themeColor="text1"/>
          <w:sz w:val="24"/>
          <w:szCs w:val="24"/>
          <w:highlight w:val="none"/>
          <w14:textFill>
            <w14:solidFill>
              <w14:schemeClr w14:val="tx1"/>
            </w14:solidFill>
          </w14:textFill>
        </w:rPr>
        <w:t>评审时，如发现下列情形之一的，投标文件将被视为无效：</w:t>
      </w:r>
    </w:p>
    <w:p w14:paraId="2428933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（1）未采用人民币报价或者未按照招标文件标明的币种报价的；</w:t>
      </w:r>
    </w:p>
    <w:p w14:paraId="0066A8D4">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（2）投标报价具有选择性，或者开标价格与投标文件承诺的优惠（折扣）价格不一致的；</w:t>
      </w:r>
    </w:p>
    <w:p w14:paraId="30670BC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（3）投标文件</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组成或格式</w:t>
      </w:r>
      <w:r>
        <w:rPr>
          <w:rFonts w:hint="eastAsia" w:ascii="宋体" w:hAnsi="宋体" w:eastAsia="宋体" w:cs="宋体"/>
          <w:b w:val="0"/>
          <w:bCs/>
          <w:color w:val="000000" w:themeColor="text1"/>
          <w:sz w:val="24"/>
          <w:szCs w:val="24"/>
          <w:highlight w:val="none"/>
          <w14:textFill>
            <w14:solidFill>
              <w14:schemeClr w14:val="tx1"/>
            </w14:solidFill>
          </w14:textFill>
        </w:rPr>
        <w:t>不符合招标文件要求的</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p w14:paraId="24C5B6E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投标报价高于最高投标限价的。</w:t>
      </w:r>
    </w:p>
    <w:p w14:paraId="6F40390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3.被拒绝的投标文件为无效。</w:t>
      </w:r>
    </w:p>
    <w:p w14:paraId="27FCC246">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四、开标</w:t>
      </w:r>
    </w:p>
    <w:p w14:paraId="445FFE3E">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（一）开标</w:t>
      </w:r>
    </w:p>
    <w:p w14:paraId="0D3A647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投标人代表一律不参加现场开标，通过在线直播参与监督开标过程。直播网络地址：</w:t>
      </w:r>
      <w:r>
        <w:rPr>
          <w:rFonts w:hint="eastAsia" w:ascii="宋体" w:hAnsi="宋体" w:eastAsia="宋体" w:cs="宋体"/>
          <w:b w:val="0"/>
          <w:bCs/>
          <w:color w:val="000000" w:themeColor="text1"/>
          <w:sz w:val="24"/>
          <w:szCs w:val="24"/>
          <w:highlight w:val="none"/>
          <w14:textFill>
            <w14:solidFill>
              <w14:schemeClr w14:val="tx1"/>
            </w14:solidFill>
          </w14:textFill>
        </w:rPr>
        <w:fldChar w:fldCharType="begin"/>
      </w:r>
      <w:r>
        <w:rPr>
          <w:rFonts w:hint="eastAsia" w:ascii="宋体" w:hAnsi="宋体" w:eastAsia="宋体" w:cs="宋体"/>
          <w:b w:val="0"/>
          <w:bCs/>
          <w:color w:val="000000" w:themeColor="text1"/>
          <w:sz w:val="24"/>
          <w:szCs w:val="24"/>
          <w:highlight w:val="none"/>
          <w14:textFill>
            <w14:solidFill>
              <w14:schemeClr w14:val="tx1"/>
            </w14:solidFill>
          </w14:textFill>
        </w:rPr>
        <w:instrText xml:space="preserve"> HYPERLINK "http://www.tzwztb.com/live/" </w:instrText>
      </w:r>
      <w:r>
        <w:rPr>
          <w:rFonts w:hint="eastAsia" w:ascii="宋体" w:hAnsi="宋体" w:eastAsia="宋体" w:cs="宋体"/>
          <w:b w:val="0"/>
          <w:bCs/>
          <w:color w:val="000000" w:themeColor="text1"/>
          <w:sz w:val="24"/>
          <w:szCs w:val="24"/>
          <w:highlight w:val="none"/>
          <w14:textFill>
            <w14:solidFill>
              <w14:schemeClr w14:val="tx1"/>
            </w14:solidFill>
          </w14:textFill>
        </w:rPr>
        <w:fldChar w:fldCharType="separate"/>
      </w:r>
      <w:r>
        <w:rPr>
          <w:rFonts w:hint="eastAsia" w:ascii="宋体" w:hAnsi="宋体" w:eastAsia="宋体" w:cs="宋体"/>
          <w:b w:val="0"/>
          <w:bCs/>
          <w:color w:val="000000" w:themeColor="text1"/>
          <w:sz w:val="24"/>
          <w:szCs w:val="24"/>
          <w:highlight w:val="none"/>
          <w14:textFill>
            <w14:solidFill>
              <w14:schemeClr w14:val="tx1"/>
            </w14:solidFill>
          </w14:textFill>
        </w:rPr>
        <w:t>http://www.tzwztb.com/live/</w:t>
      </w:r>
      <w:r>
        <w:rPr>
          <w:rFonts w:hint="eastAsia" w:ascii="宋体" w:hAnsi="宋体" w:eastAsia="宋体" w:cs="宋体"/>
          <w:b w:val="0"/>
          <w:bCs/>
          <w:color w:val="000000" w:themeColor="text1"/>
          <w:sz w:val="24"/>
          <w:szCs w:val="24"/>
          <w:highlight w:val="none"/>
          <w14:textFill>
            <w14:solidFill>
              <w14:schemeClr w14:val="tx1"/>
            </w14:solidFill>
          </w14:textFill>
        </w:rPr>
        <w:fldChar w:fldCharType="end"/>
      </w:r>
      <w:r>
        <w:rPr>
          <w:rFonts w:hint="eastAsia" w:ascii="宋体" w:hAnsi="宋体" w:eastAsia="宋体" w:cs="宋体"/>
          <w:b w:val="0"/>
          <w:bCs/>
          <w:color w:val="000000" w:themeColor="text1"/>
          <w:sz w:val="24"/>
          <w:szCs w:val="24"/>
          <w:highlight w:val="none"/>
          <w14:textFill>
            <w14:solidFill>
              <w14:schemeClr w14:val="tx1"/>
            </w14:solidFill>
          </w14:textFill>
        </w:rPr>
        <w:t xml:space="preserve"> 。</w:t>
      </w:r>
    </w:p>
    <w:p w14:paraId="2BAD4E2F">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（二） 开标程序：</w:t>
      </w:r>
    </w:p>
    <w:p w14:paraId="35502B6E">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1、开标由采购代理机构工作人员主持。</w:t>
      </w:r>
    </w:p>
    <w:p w14:paraId="68C4F4E7">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2、投标人可进行在线沟通。</w:t>
      </w:r>
    </w:p>
    <w:p w14:paraId="4DC2B35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3、评标委员会对投标文件符合性审查。</w:t>
      </w:r>
    </w:p>
    <w:p w14:paraId="6619B329">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4、符合性审查完成后，评标委员会对</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资格标、技术标</w:t>
      </w:r>
      <w:r>
        <w:rPr>
          <w:rFonts w:hint="eastAsia" w:ascii="宋体" w:hAnsi="宋体" w:eastAsia="宋体" w:cs="宋体"/>
          <w:b w:val="0"/>
          <w:bCs/>
          <w:color w:val="000000" w:themeColor="text1"/>
          <w:sz w:val="24"/>
          <w:szCs w:val="24"/>
          <w:highlight w:val="none"/>
          <w14:textFill>
            <w14:solidFill>
              <w14:schemeClr w14:val="tx1"/>
            </w14:solidFill>
          </w14:textFill>
        </w:rPr>
        <w:t>进行评审，主持人宣告</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资格标、技术标</w:t>
      </w:r>
      <w:r>
        <w:rPr>
          <w:rFonts w:hint="eastAsia" w:ascii="宋体" w:hAnsi="宋体" w:eastAsia="宋体" w:cs="宋体"/>
          <w:b w:val="0"/>
          <w:bCs/>
          <w:color w:val="000000" w:themeColor="text1"/>
          <w:sz w:val="24"/>
          <w:szCs w:val="24"/>
          <w:highlight w:val="none"/>
          <w14:textFill>
            <w14:solidFill>
              <w14:schemeClr w14:val="tx1"/>
            </w14:solidFill>
          </w14:textFill>
        </w:rPr>
        <w:t>评审无效投标人名称及理由，公布经</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资格标、技术标</w:t>
      </w:r>
      <w:r>
        <w:rPr>
          <w:rFonts w:hint="eastAsia" w:ascii="宋体" w:hAnsi="宋体" w:eastAsia="宋体" w:cs="宋体"/>
          <w:b w:val="0"/>
          <w:bCs/>
          <w:color w:val="000000" w:themeColor="text1"/>
          <w:sz w:val="24"/>
          <w:szCs w:val="24"/>
          <w:highlight w:val="none"/>
          <w14:textFill>
            <w14:solidFill>
              <w14:schemeClr w14:val="tx1"/>
            </w14:solidFill>
          </w14:textFill>
        </w:rPr>
        <w:t>评审符合采购需求的投标人名单以及</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技术</w:t>
      </w:r>
      <w:r>
        <w:rPr>
          <w:rFonts w:hint="eastAsia" w:ascii="宋体" w:hAnsi="宋体" w:eastAsia="宋体" w:cs="宋体"/>
          <w:b w:val="0"/>
          <w:bCs/>
          <w:color w:val="000000" w:themeColor="text1"/>
          <w:sz w:val="24"/>
          <w:szCs w:val="24"/>
          <w:highlight w:val="none"/>
          <w14:textFill>
            <w14:solidFill>
              <w14:schemeClr w14:val="tx1"/>
            </w14:solidFill>
          </w14:textFill>
        </w:rPr>
        <w:t>得分情况。</w:t>
      </w:r>
    </w:p>
    <w:p w14:paraId="4CE6D3CE">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5、开启各投标人商务标。</w:t>
      </w:r>
    </w:p>
    <w:p w14:paraId="39DD907F">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6、当场制作并打印开标记录表，由唱标人、记录人、监督人当场签字确认。唱标结束后，由评标委员会对报价的合理性、准确性等进行审查核实。</w:t>
      </w:r>
    </w:p>
    <w:p w14:paraId="1C2DEF59">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7、评标结束后，主持人公布投标商务标得分、综合得分以及推荐中标候选人排序名单。</w:t>
      </w:r>
    </w:p>
    <w:p w14:paraId="6A5DA68E">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8、开标会议结束。</w:t>
      </w:r>
    </w:p>
    <w:p w14:paraId="3145A13C">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9、其他注意事项：</w:t>
      </w:r>
    </w:p>
    <w:p w14:paraId="551C58D3">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1）、投标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14:paraId="1ECF3731">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14:paraId="5A32E85A">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5CFBE24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重要事项说明：</w:t>
      </w:r>
    </w:p>
    <w:p w14:paraId="540F340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（1）开标项目的时间均以国家授时中心发布的时间为准。</w:t>
      </w:r>
    </w:p>
    <w:p w14:paraId="7834A13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（2）若投标人已申请多把CA锁，请注意使用差别。因ca锁使用错误引发的问题，由投标人自己负责。</w:t>
      </w:r>
    </w:p>
    <w:p w14:paraId="2A53C6D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（3）如有疑问，请咨询平台技术服务电话：蔡先生，13454667697；王女士，</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13757680207</w:t>
      </w:r>
      <w:r>
        <w:rPr>
          <w:rFonts w:hint="eastAsia" w:ascii="宋体" w:hAnsi="宋体" w:eastAsia="宋体" w:cs="宋体"/>
          <w:b w:val="0"/>
          <w:bCs/>
          <w:color w:val="000000" w:themeColor="text1"/>
          <w:sz w:val="24"/>
          <w:szCs w:val="24"/>
          <w:highlight w:val="none"/>
          <w14:textFill>
            <w14:solidFill>
              <w14:schemeClr w14:val="tx1"/>
            </w14:solidFill>
          </w14:textFill>
        </w:rPr>
        <w:t>。QQ “台州湾新区小额工程交易平台交流”（群号：435057190），进行业务咨询。此群也作为不见面开标的备用远程交互群。</w:t>
      </w:r>
    </w:p>
    <w:p w14:paraId="2FBCF4E1">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（三） 异常情况处理：</w:t>
      </w:r>
    </w:p>
    <w:p w14:paraId="58232CF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14:paraId="39ADE887">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1、电子交易平台发生故障而无法登录访问的；</w:t>
      </w:r>
    </w:p>
    <w:p w14:paraId="6F76828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2、电子交易平台应用或数据库出现错误，不能进行正常操作的；</w:t>
      </w:r>
    </w:p>
    <w:p w14:paraId="01D2342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3、电子交易平台发现严重安全漏洞，有潜在泄密危险的；</w:t>
      </w:r>
    </w:p>
    <w:p w14:paraId="44855E6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4、病毒发作导致不能进行正常操作的；</w:t>
      </w:r>
    </w:p>
    <w:p w14:paraId="65FC6D9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5、其他无法保证电子交易的公平、公正和安全的情况。</w:t>
      </w:r>
    </w:p>
    <w:p w14:paraId="35A922F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出现前款规定情形，不影响采购公平、公正性的，采购组织机构可以待上述情形消除后继续组织电子交易活动。</w:t>
      </w:r>
    </w:p>
    <w:p w14:paraId="17242553">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五、评标</w:t>
      </w:r>
    </w:p>
    <w:p w14:paraId="55888F47">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（一）组建评标委员会</w:t>
      </w:r>
    </w:p>
    <w:p w14:paraId="58437AD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评标由招标人依法组建的评标委员会负责。</w:t>
      </w:r>
    </w:p>
    <w:p w14:paraId="37E866E1">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（二）评标的方式</w:t>
      </w:r>
    </w:p>
    <w:p w14:paraId="725028F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本项目采用不公开方式评标，评标的依据为招标文件和投标文件。</w:t>
      </w:r>
    </w:p>
    <w:p w14:paraId="60EF5693">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（三）评标程序</w:t>
      </w:r>
    </w:p>
    <w:p w14:paraId="0F8F11D4">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1.形式审查</w:t>
      </w:r>
    </w:p>
    <w:p w14:paraId="79780F07">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采购人代表和代理机构工作人员协助评标委员会对投标人的资格和投标文件的完整性、合法性等进行审查。</w:t>
      </w:r>
    </w:p>
    <w:p w14:paraId="6384894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2.实质审查与比较</w:t>
      </w:r>
    </w:p>
    <w:p w14:paraId="0ECE4132">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（1）评标委员会审查投标文件的实质性内容是否符合招标文件的实质性要求。</w:t>
      </w:r>
    </w:p>
    <w:p w14:paraId="42A9C4F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评标委员会将根据投标人的投标文件进行审查、核对,如有疑问,将对投标人进行询标,投标人要向评标委员会澄清有关问题,并最终以书面形式进行答复。投标人代表未到场或者拒绝澄清或者澄清的内容改变了投标文件的实质性内容的，评标委员会有权对该投标文件作出不利于投标人的评判。</w:t>
      </w:r>
    </w:p>
    <w:p w14:paraId="78B80F5E">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（3）代理机构工作人员协助评标委员会根据本项目的评分标准计算各投标人的</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技术标、</w:t>
      </w:r>
      <w:r>
        <w:rPr>
          <w:rFonts w:hint="eastAsia" w:ascii="宋体" w:hAnsi="宋体" w:eastAsia="宋体" w:cs="宋体"/>
          <w:b w:val="0"/>
          <w:bCs/>
          <w:color w:val="000000" w:themeColor="text1"/>
          <w:sz w:val="24"/>
          <w:szCs w:val="24"/>
          <w:highlight w:val="none"/>
          <w14:textFill>
            <w14:solidFill>
              <w14:schemeClr w14:val="tx1"/>
            </w14:solidFill>
          </w14:textFill>
        </w:rPr>
        <w:t>商务报价得分。</w:t>
      </w:r>
    </w:p>
    <w:p w14:paraId="76BB4FE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（4）评标委员会完成评标后,评委对各部分得分汇总,计算出本项目最终得分。评标委员会按评标原则推荐中标候选人同时起草评标报告。</w:t>
      </w:r>
    </w:p>
    <w:p w14:paraId="71D22620">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（四）澄清问题的形式</w:t>
      </w:r>
    </w:p>
    <w:p w14:paraId="4619643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6C314F7F">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（五）错误修正</w:t>
      </w:r>
    </w:p>
    <w:p w14:paraId="18E48BD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投标文件报价出现前后不一致的，除招标文件另有规定外，按照下列规定修正：</w:t>
      </w:r>
    </w:p>
    <w:p w14:paraId="22576FC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1、台州湾新区小额工程电子交易平台”上开启的投标报价与电子投标文件中开标一览表内容不一致的，以电子投标文件中开标一览表为准；</w:t>
      </w:r>
    </w:p>
    <w:p w14:paraId="0F3D1169">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2、投标文件中开标一览表内容与投标文件中相应内容不一致的，以开标一览表为准；</w:t>
      </w:r>
    </w:p>
    <w:p w14:paraId="09E10691">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3、大写金额和小写金额不一致的，以大写金额为准；</w:t>
      </w:r>
    </w:p>
    <w:p w14:paraId="06DBC20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4、单价金额小数点或者百分比有明显错位的，以开标一览表的总价为准，并修改单价；</w:t>
      </w:r>
    </w:p>
    <w:p w14:paraId="261555B9">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、总价金额与按单价汇总金额不一致的，以总价金额为准，合理调整单价。</w:t>
      </w:r>
    </w:p>
    <w:p w14:paraId="06AB47A8">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同时出现两种以上不一致的，按照前款规定的顺序修正。修正应当采用书面形式，并加盖公章或者由法定代表人或其授权的代表签字确认。修正后的报价经投标人确认后产生约束力，投标人不确认的，其投标无效。</w:t>
      </w:r>
    </w:p>
    <w:p w14:paraId="628AE8E8">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（六）有下列情况之一的，本次招标作为废标处理，除采购任务取消外，由采购人重新组织招标：</w:t>
      </w:r>
    </w:p>
    <w:p w14:paraId="54CA2DC3">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1、符合专业条件的供应商或者对招标文件作实质响应的供应商不足三家，评标委员会认定投标明显缺乏竞争的；</w:t>
      </w:r>
    </w:p>
    <w:p w14:paraId="23389EB2">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2、出现影响采购公正的违法、违规行为的；</w:t>
      </w:r>
    </w:p>
    <w:p w14:paraId="6CA50C6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3、投标人的报价均超过了采购预算，采购人不能支付的；</w:t>
      </w:r>
    </w:p>
    <w:p w14:paraId="13221AAA">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4、因重大变故，采购任务取消的。</w:t>
      </w:r>
    </w:p>
    <w:p w14:paraId="6786EFE3">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（七）评标原则和评标办法</w:t>
      </w:r>
    </w:p>
    <w:p w14:paraId="48D5D6D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694B05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2、评标办法。具体评标内容及评分标准等详见《第四章：评标办法及评分标准》。</w:t>
      </w:r>
    </w:p>
    <w:p w14:paraId="2327F27B">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（八）评标过程的监控</w:t>
      </w:r>
    </w:p>
    <w:p w14:paraId="15D96128">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本项目评标过程实行全程录音、录像监控，投标人在评标过程中所进行的试图影响评标结果的不公正活动，可能导致其投标被拒绝。</w:t>
      </w:r>
    </w:p>
    <w:p w14:paraId="33027D2C">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六、定标</w:t>
      </w:r>
    </w:p>
    <w:p w14:paraId="79FBE723">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bCs w:val="0"/>
          <w:color w:val="000000" w:themeColor="text1"/>
          <w:sz w:val="24"/>
          <w:szCs w:val="24"/>
          <w:highlight w:val="none"/>
          <w14:textFill>
            <w14:solidFill>
              <w14:schemeClr w14:val="tx1"/>
            </w14:solidFill>
          </w14:textFill>
        </w:rPr>
        <w:t>中标候选人公示</w:t>
      </w:r>
    </w:p>
    <w:p w14:paraId="657DD05C">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招标人</w:t>
      </w:r>
      <w:r>
        <w:rPr>
          <w:rFonts w:hint="eastAsia" w:ascii="宋体" w:hAnsi="宋体" w:eastAsia="宋体" w:cs="宋体"/>
          <w:b w:val="0"/>
          <w:bCs/>
          <w:color w:val="000000" w:themeColor="text1"/>
          <w:sz w:val="24"/>
          <w:szCs w:val="24"/>
          <w:highlight w:val="none"/>
          <w14:textFill>
            <w14:solidFill>
              <w14:schemeClr w14:val="tx1"/>
            </w14:solidFill>
          </w14:textFill>
        </w:rPr>
        <w:t>应当将评标委员会推荐的中标候选人在交易场所（发布招标公告的媒体上）进行公示，公示期不得少于3日（最后一日为工作日）。</w:t>
      </w:r>
    </w:p>
    <w:p w14:paraId="552C6924">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属于《中华人民共和国招标投标法实施条例》第二十二条、第四十四条、第五十四条规定事项投诉的，应当向</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招标人</w:t>
      </w:r>
      <w:r>
        <w:rPr>
          <w:rFonts w:hint="eastAsia" w:ascii="宋体" w:hAnsi="宋体" w:eastAsia="宋体" w:cs="宋体"/>
          <w:b w:val="0"/>
          <w:bCs/>
          <w:color w:val="000000" w:themeColor="text1"/>
          <w:sz w:val="24"/>
          <w:szCs w:val="24"/>
          <w:highlight w:val="none"/>
          <w14:textFill>
            <w14:solidFill>
              <w14:schemeClr w14:val="tx1"/>
            </w14:solidFill>
          </w14:textFill>
        </w:rPr>
        <w:t>（招标代理机构）提出（附相关有效证明材料），</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招标人</w:t>
      </w:r>
      <w:r>
        <w:rPr>
          <w:rFonts w:hint="eastAsia" w:ascii="宋体" w:hAnsi="宋体" w:eastAsia="宋体" w:cs="宋体"/>
          <w:b w:val="0"/>
          <w:bCs/>
          <w:color w:val="000000" w:themeColor="text1"/>
          <w:sz w:val="24"/>
          <w:szCs w:val="24"/>
          <w:highlight w:val="none"/>
          <w14:textFill>
            <w14:solidFill>
              <w14:schemeClr w14:val="tx1"/>
            </w14:solidFill>
          </w14:textFill>
        </w:rPr>
        <w:t>（招标代理机构）应给予答复。投标人对答复不服或认为</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招标人</w:t>
      </w:r>
      <w:r>
        <w:rPr>
          <w:rFonts w:hint="eastAsia" w:ascii="宋体" w:hAnsi="宋体" w:eastAsia="宋体" w:cs="宋体"/>
          <w:b w:val="0"/>
          <w:bCs/>
          <w:color w:val="000000" w:themeColor="text1"/>
          <w:sz w:val="24"/>
          <w:szCs w:val="24"/>
          <w:highlight w:val="none"/>
          <w14:textFill>
            <w14:solidFill>
              <w14:schemeClr w14:val="tx1"/>
            </w14:solidFill>
          </w14:textFill>
        </w:rPr>
        <w:t>（招标代理机构）有违反有关规定及其他弄虚作假情形的，可在接到答复之日起3日内向相关机构书面申请核查，并提交相关材料。</w:t>
      </w:r>
    </w:p>
    <w:p w14:paraId="79B9498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14:textFill>
            <w14:solidFill>
              <w14:schemeClr w14:val="tx1"/>
            </w14:solidFill>
          </w14:textFill>
        </w:rPr>
        <w:t>涉及中标候选人投标资格等情形的，</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招标人</w:t>
      </w:r>
      <w:r>
        <w:rPr>
          <w:rFonts w:hint="eastAsia" w:ascii="宋体" w:hAnsi="宋体" w:eastAsia="宋体" w:cs="宋体"/>
          <w:b w:val="0"/>
          <w:bCs/>
          <w:color w:val="000000" w:themeColor="text1"/>
          <w:sz w:val="24"/>
          <w:szCs w:val="24"/>
          <w:highlight w:val="none"/>
          <w14:textFill>
            <w14:solidFill>
              <w14:schemeClr w14:val="tx1"/>
            </w14:solidFill>
          </w14:textFill>
        </w:rPr>
        <w:t>（招标代理机构）可以书面形式要求其进行澄清或说明。中标候选人应自收到书面通知之日起3日内进行澄清或说明。</w:t>
      </w:r>
    </w:p>
    <w:p w14:paraId="3A9EA3D1">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sz w:val="24"/>
          <w:szCs w:val="24"/>
          <w:highlight w:val="none"/>
          <w14:textFill>
            <w14:solidFill>
              <w14:schemeClr w14:val="tx1"/>
            </w14:solidFill>
          </w14:textFill>
        </w:rPr>
        <w:t>中标候选人有以下情形之一的，其资格无效：</w:t>
      </w:r>
    </w:p>
    <w:p w14:paraId="2F4691B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（1）投标资格不符合</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招标公告第四条</w:t>
      </w:r>
      <w:r>
        <w:rPr>
          <w:rFonts w:hint="eastAsia" w:ascii="宋体" w:hAnsi="宋体" w:eastAsia="宋体" w:cs="宋体"/>
          <w:b w:val="0"/>
          <w:bCs/>
          <w:color w:val="000000" w:themeColor="text1"/>
          <w:sz w:val="24"/>
          <w:szCs w:val="24"/>
          <w:highlight w:val="none"/>
          <w14:textFill>
            <w14:solidFill>
              <w14:schemeClr w14:val="tx1"/>
            </w14:solidFill>
          </w14:textFill>
        </w:rPr>
        <w:t>规定的；</w:t>
      </w:r>
    </w:p>
    <w:p w14:paraId="43386E5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（2）投标人提供虚假材料骗取投标资格的；</w:t>
      </w:r>
    </w:p>
    <w:p w14:paraId="3F293943">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招标文件</w:t>
      </w:r>
      <w:r>
        <w:rPr>
          <w:rFonts w:hint="eastAsia" w:ascii="宋体" w:hAnsi="宋体" w:eastAsia="宋体" w:cs="宋体"/>
          <w:b w:val="0"/>
          <w:bCs/>
          <w:color w:val="000000" w:themeColor="text1"/>
          <w:sz w:val="24"/>
          <w:szCs w:val="24"/>
          <w:highlight w:val="none"/>
          <w14:textFill>
            <w14:solidFill>
              <w14:schemeClr w14:val="tx1"/>
            </w14:solidFill>
          </w14:textFill>
        </w:rPr>
        <w:t>规定应作无效标处理的；</w:t>
      </w:r>
    </w:p>
    <w:p w14:paraId="323A34E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（4）拒绝按本章第</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b w:val="0"/>
          <w:bCs/>
          <w:color w:val="000000" w:themeColor="text1"/>
          <w:sz w:val="24"/>
          <w:szCs w:val="24"/>
          <w:highlight w:val="none"/>
          <w14:textFill>
            <w14:solidFill>
              <w14:schemeClr w14:val="tx1"/>
            </w14:solidFill>
          </w14:textFill>
        </w:rPr>
        <w:t>款</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3条</w:t>
      </w:r>
      <w:r>
        <w:rPr>
          <w:rFonts w:hint="eastAsia" w:ascii="宋体" w:hAnsi="宋体" w:eastAsia="宋体" w:cs="宋体"/>
          <w:b w:val="0"/>
          <w:bCs/>
          <w:color w:val="000000" w:themeColor="text1"/>
          <w:sz w:val="24"/>
          <w:szCs w:val="24"/>
          <w:highlight w:val="none"/>
          <w14:textFill>
            <w14:solidFill>
              <w14:schemeClr w14:val="tx1"/>
            </w14:solidFill>
          </w14:textFill>
        </w:rPr>
        <w:t>规定进行说明或不能合理说明理由的；</w:t>
      </w:r>
    </w:p>
    <w:p w14:paraId="6BBD37B7">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（5）法律法规规定作无效标处理的其它情形。</w:t>
      </w:r>
    </w:p>
    <w:p w14:paraId="4A3B2876">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bCs w:val="0"/>
          <w:color w:val="000000" w:themeColor="text1"/>
          <w:sz w:val="24"/>
          <w:szCs w:val="24"/>
          <w:highlight w:val="none"/>
          <w14:textFill>
            <w14:solidFill>
              <w14:schemeClr w14:val="tx1"/>
            </w14:solidFill>
          </w14:textFill>
        </w:rPr>
        <w:t>中标通知书</w:t>
      </w:r>
    </w:p>
    <w:p w14:paraId="3B4870E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1、招标人应当确定中标候选人为中标人。如涉及其他投标人资格无效的，评标结果不作调整。</w:t>
      </w:r>
    </w:p>
    <w:p w14:paraId="29609E8F">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中标候选人放弃中标，或者因不可抗力提出不能履行合同，或者因违反本章第7.1.4项规定造成其资格无效的，本次招标失败，重新组织招标。</w:t>
      </w:r>
    </w:p>
    <w:p w14:paraId="0C9F144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中标人确定后，</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招标人</w:t>
      </w:r>
      <w:r>
        <w:rPr>
          <w:rFonts w:hint="eastAsia" w:ascii="宋体" w:hAnsi="宋体" w:eastAsia="宋体" w:cs="宋体"/>
          <w:b w:val="0"/>
          <w:bCs/>
          <w:color w:val="000000" w:themeColor="text1"/>
          <w:sz w:val="24"/>
          <w:szCs w:val="24"/>
          <w:highlight w:val="none"/>
          <w14:textFill>
            <w14:solidFill>
              <w14:schemeClr w14:val="tx1"/>
            </w14:solidFill>
          </w14:textFill>
        </w:rPr>
        <w:t>应当向中标人发出《中标通知书》。</w:t>
      </w:r>
    </w:p>
    <w:p w14:paraId="3AF6773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招标人</w:t>
      </w:r>
      <w:r>
        <w:rPr>
          <w:rFonts w:hint="eastAsia" w:ascii="宋体" w:hAnsi="宋体" w:eastAsia="宋体" w:cs="宋体"/>
          <w:b w:val="0"/>
          <w:bCs/>
          <w:color w:val="000000" w:themeColor="text1"/>
          <w:sz w:val="24"/>
          <w:szCs w:val="24"/>
          <w:highlight w:val="none"/>
          <w14:textFill>
            <w14:solidFill>
              <w14:schemeClr w14:val="tx1"/>
            </w14:solidFill>
          </w14:textFill>
        </w:rPr>
        <w:t>在发出《中标通知书》的同时，应当将中标结果以书面形式通知所有未中标的投标人。</w:t>
      </w:r>
    </w:p>
    <w:p w14:paraId="427CC862">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4、《中标通知书》对</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招标人</w:t>
      </w:r>
      <w:r>
        <w:rPr>
          <w:rFonts w:hint="eastAsia" w:ascii="宋体" w:hAnsi="宋体" w:eastAsia="宋体" w:cs="宋体"/>
          <w:b w:val="0"/>
          <w:bCs/>
          <w:color w:val="000000" w:themeColor="text1"/>
          <w:sz w:val="24"/>
          <w:szCs w:val="24"/>
          <w:highlight w:val="none"/>
          <w14:textFill>
            <w14:solidFill>
              <w14:schemeClr w14:val="tx1"/>
            </w14:solidFill>
          </w14:textFill>
        </w:rPr>
        <w:t>和中标人具有法律约束力。《中标通知书》发出后，如中标人因违反法律法规规定而中标无效的，应承担相应的法律责任，本次招标失败，应重新组织招标。</w:t>
      </w:r>
    </w:p>
    <w:p w14:paraId="627CFBF6">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七、合同授予</w:t>
      </w:r>
    </w:p>
    <w:p w14:paraId="731FE639">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（一）签订合同</w:t>
      </w:r>
    </w:p>
    <w:p w14:paraId="4ABCD467">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1、采购人应当自中标通知书发出之日起30日内，按照招标文件和中标人投标文件的规定，与中标人签订书面合同。所签订的合同不得对招标文件确定的事项和中标人投标文件作实质性修改。</w:t>
      </w:r>
    </w:p>
    <w:p w14:paraId="152982D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2、采购人不得向中标人提出任何不合理的要求作为签订合同的条件。</w:t>
      </w:r>
    </w:p>
    <w:p w14:paraId="52BD649C">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3、中标供应商无故拖延、拒签合同的,投标保证金将不予退回并取消中标资格。</w:t>
      </w:r>
    </w:p>
    <w:p w14:paraId="6544B7F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中标供应商拒绝与采购人签订合同的，采购人可以按照评审报告推荐的中标候选人名单排序，确定下一候选人为中标供应商，也可以重新开展采购活动。同时，拒绝与采购人签订合同的供应商，由同级监管部门依法作出处理。</w:t>
      </w:r>
    </w:p>
    <w:p w14:paraId="0361637A">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14:paraId="64747E40">
      <w:pPr>
        <w:pStyle w:val="20"/>
        <w:snapToGrid w:val="0"/>
        <w:spacing w:before="120" w:after="120" w:line="240" w:lineRule="auto"/>
        <w:ind w:firstLine="600" w:firstLineChars="200"/>
        <w:jc w:val="center"/>
        <w:outlineLvl w:val="0"/>
        <w:rPr>
          <w:rFonts w:hint="default" w:hAnsi="宋体"/>
          <w:color w:val="000000" w:themeColor="text1"/>
          <w:highlight w:val="none"/>
          <w14:textFill>
            <w14:solidFill>
              <w14:schemeClr w14:val="tx1"/>
            </w14:solidFill>
          </w14:textFill>
        </w:rPr>
      </w:pPr>
      <w:r>
        <w:rPr>
          <w:rFonts w:hAnsi="宋体"/>
          <w:b w:val="0"/>
          <w:color w:val="000000" w:themeColor="text1"/>
          <w:sz w:val="30"/>
          <w:szCs w:val="30"/>
          <w:highlight w:val="none"/>
          <w14:textFill>
            <w14:solidFill>
              <w14:schemeClr w14:val="tx1"/>
            </w14:solidFill>
          </w14:textFill>
        </w:rPr>
        <w:br w:type="page"/>
      </w:r>
      <w:r>
        <w:rPr>
          <w:rFonts w:hAnsi="宋体"/>
          <w:color w:val="000000" w:themeColor="text1"/>
          <w:sz w:val="30"/>
          <w:szCs w:val="30"/>
          <w:highlight w:val="none"/>
          <w14:textFill>
            <w14:solidFill>
              <w14:schemeClr w14:val="tx1"/>
            </w14:solidFill>
          </w14:textFill>
        </w:rPr>
        <w:t xml:space="preserve"> </w:t>
      </w:r>
      <w:bookmarkStart w:id="19" w:name="_Toc4790"/>
      <w:r>
        <w:rPr>
          <w:rFonts w:hAnsi="宋体"/>
          <w:color w:val="000000" w:themeColor="text1"/>
          <w:sz w:val="30"/>
          <w:szCs w:val="30"/>
          <w:highlight w:val="none"/>
          <w14:textFill>
            <w14:solidFill>
              <w14:schemeClr w14:val="tx1"/>
            </w14:solidFill>
          </w14:textFill>
        </w:rPr>
        <w:t>第四章  评标办法及评分标准</w:t>
      </w:r>
      <w:bookmarkEnd w:id="19"/>
    </w:p>
    <w:p w14:paraId="3BDF3BC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一、总则</w:t>
      </w:r>
    </w:p>
    <w:p w14:paraId="4E491F6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评标工作应遵循公开、公平、公正、科学、择优原则，科学、严谨的态度，认真进行评标，推进技术进步，确保工程质量、</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供货</w:t>
      </w:r>
      <w:r>
        <w:rPr>
          <w:rFonts w:hint="eastAsia" w:ascii="宋体" w:hAnsi="宋体" w:eastAsia="宋体" w:cs="宋体"/>
          <w:b w:val="0"/>
          <w:bCs/>
          <w:color w:val="000000" w:themeColor="text1"/>
          <w:sz w:val="24"/>
          <w:szCs w:val="24"/>
          <w:highlight w:val="none"/>
          <w14:textFill>
            <w14:solidFill>
              <w14:schemeClr w14:val="tx1"/>
            </w14:solidFill>
          </w14:textFill>
        </w:rPr>
        <w:t>期，节约投资，最大限度地保护当事人权益。严格按照招标文件的商务、技术要求，对投标文件进行评定，编写评标报告。对落标单位，评委会不作任何落标解释。投标供应商不得以任何方式干扰招投标工作的进行，一经发现其投标文件将被拒绝。</w:t>
      </w:r>
    </w:p>
    <w:p w14:paraId="5DDFB32A">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二、评标内容及标准</w:t>
      </w:r>
    </w:p>
    <w:p w14:paraId="390BA93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（一）资格审查：</w:t>
      </w:r>
    </w:p>
    <w:p w14:paraId="4C0937A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评标委员会按照招标文件载明的资格后审条款，对投标人的企业资质、投标文件组成等进行审查，凡不符合资格后审要求的，以无效标处理，不再进入下一阶段评审。</w:t>
      </w:r>
    </w:p>
    <w:p w14:paraId="5DAAD9F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技术标评审（</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14:textFill>
            <w14:solidFill>
              <w14:schemeClr w14:val="tx1"/>
            </w14:solidFill>
          </w14:textFill>
        </w:rPr>
        <w:t>0分）</w:t>
      </w:r>
    </w:p>
    <w:p w14:paraId="34F96AC3">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（1）评审步骤</w:t>
      </w:r>
    </w:p>
    <w:p w14:paraId="78838C39">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在所有经评审的有效投标文件（S家）中，评标委员会成员针对投标人的技术标进行独立评审。具体评分步骤如下：</w:t>
      </w:r>
    </w:p>
    <w:p w14:paraId="6D3A7D53">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1、评标委员会成员视其科学性、针对性、可行性、先进性、完善程度对投标人的技术标给出评审意见。</w:t>
      </w:r>
    </w:p>
    <w:p w14:paraId="46B899A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2、评标委员会成员按技术评分标准，经评标委员会讨论</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统一</w:t>
      </w:r>
      <w:r>
        <w:rPr>
          <w:rFonts w:hint="eastAsia" w:ascii="宋体" w:hAnsi="宋体" w:eastAsia="宋体" w:cs="宋体"/>
          <w:b w:val="0"/>
          <w:bCs/>
          <w:color w:val="000000" w:themeColor="text1"/>
          <w:sz w:val="24"/>
          <w:szCs w:val="24"/>
          <w:highlight w:val="none"/>
          <w14:textFill>
            <w14:solidFill>
              <w14:schemeClr w14:val="tx1"/>
            </w14:solidFill>
          </w14:textFill>
        </w:rPr>
        <w:t>类别后，然后在该类别的分值范围内由评标委员会成员分别打分（小数点后保留1位），评标委员会成员对应的合计得分的平均值作为投标人技术标的得分（小数点后保留2位，第3位四舍五入）。如对某项类别划档意见分歧较大的，可以记名投票方式确定。</w:t>
      </w:r>
    </w:p>
    <w:p w14:paraId="2FC1E8FE">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评标委员会按投标人技术标得分从高到低进行排名。如此时3≤S≤6时，所有经评审有效投标人的技术标均予以通过，其投标文件进入下一阶段评审；如此时S＞6时，取排名前六的投标人进入下一阶段评审（若有投标人得分与第六名并列时，则一并进入下一阶段评审），剩余投标人予以淘汰，其投标文件不再进入下一阶段评审，投标文件作无效标处理。</w:t>
      </w:r>
    </w:p>
    <w:tbl>
      <w:tblPr>
        <w:tblStyle w:val="37"/>
        <w:tblW w:w="51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188"/>
        <w:gridCol w:w="833"/>
        <w:gridCol w:w="6926"/>
      </w:tblGrid>
      <w:tr w14:paraId="24F9B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5763B8E6">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技术</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标</w:t>
            </w:r>
            <w:r>
              <w:rPr>
                <w:rFonts w:hint="eastAsia" w:ascii="宋体" w:hAnsi="宋体" w:eastAsia="宋体" w:cs="宋体"/>
                <w:b w:val="0"/>
                <w:bCs/>
                <w:color w:val="000000" w:themeColor="text1"/>
                <w:sz w:val="24"/>
                <w:szCs w:val="24"/>
                <w:highlight w:val="none"/>
                <w14:textFill>
                  <w14:solidFill>
                    <w14:schemeClr w14:val="tx1"/>
                  </w14:solidFill>
                </w14:textFill>
              </w:rPr>
              <w:t>评审</w:t>
            </w:r>
          </w:p>
        </w:tc>
      </w:tr>
      <w:tr w14:paraId="2C71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370" w:type="pct"/>
            <w:tcBorders>
              <w:top w:val="single" w:color="auto" w:sz="4" w:space="0"/>
              <w:left w:val="single" w:color="auto" w:sz="4" w:space="0"/>
              <w:bottom w:val="single" w:color="auto" w:sz="4" w:space="0"/>
              <w:right w:val="single" w:color="auto" w:sz="4" w:space="0"/>
            </w:tcBorders>
            <w:noWrap w:val="0"/>
            <w:vAlign w:val="center"/>
          </w:tcPr>
          <w:p w14:paraId="7AAA57B5">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序号</w:t>
            </w:r>
          </w:p>
        </w:tc>
        <w:tc>
          <w:tcPr>
            <w:tcW w:w="615" w:type="pct"/>
            <w:tcBorders>
              <w:top w:val="single" w:color="auto" w:sz="4" w:space="0"/>
              <w:left w:val="single" w:color="auto" w:sz="4" w:space="0"/>
              <w:bottom w:val="single" w:color="auto" w:sz="4" w:space="0"/>
              <w:right w:val="single" w:color="auto" w:sz="4" w:space="0"/>
            </w:tcBorders>
            <w:noWrap w:val="0"/>
            <w:vAlign w:val="center"/>
          </w:tcPr>
          <w:p w14:paraId="31605851">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评分内容</w:t>
            </w:r>
          </w:p>
        </w:tc>
        <w:tc>
          <w:tcPr>
            <w:tcW w:w="431" w:type="pct"/>
            <w:tcBorders>
              <w:top w:val="single" w:color="auto" w:sz="4" w:space="0"/>
              <w:left w:val="single" w:color="auto" w:sz="4" w:space="0"/>
              <w:bottom w:val="single" w:color="auto" w:sz="4" w:space="0"/>
              <w:right w:val="single" w:color="auto" w:sz="4" w:space="0"/>
            </w:tcBorders>
            <w:noWrap w:val="0"/>
            <w:vAlign w:val="center"/>
          </w:tcPr>
          <w:p w14:paraId="394213B7">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分值</w:t>
            </w:r>
          </w:p>
        </w:tc>
        <w:tc>
          <w:tcPr>
            <w:tcW w:w="3582" w:type="pct"/>
            <w:tcBorders>
              <w:top w:val="single" w:color="auto" w:sz="4" w:space="0"/>
              <w:left w:val="single" w:color="auto" w:sz="4" w:space="0"/>
              <w:bottom w:val="single" w:color="auto" w:sz="4" w:space="0"/>
              <w:right w:val="single" w:color="auto" w:sz="4" w:space="0"/>
            </w:tcBorders>
            <w:noWrap w:val="0"/>
            <w:vAlign w:val="center"/>
          </w:tcPr>
          <w:p w14:paraId="316D35CD">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评  分  标  准</w:t>
            </w:r>
          </w:p>
        </w:tc>
      </w:tr>
      <w:tr w14:paraId="6BD4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0" w:type="pct"/>
            <w:tcBorders>
              <w:top w:val="single" w:color="auto" w:sz="4" w:space="0"/>
              <w:left w:val="single" w:color="auto" w:sz="4" w:space="0"/>
              <w:right w:val="single" w:color="auto" w:sz="4" w:space="0"/>
            </w:tcBorders>
            <w:noWrap w:val="0"/>
            <w:vAlign w:val="center"/>
          </w:tcPr>
          <w:p w14:paraId="2F91C7FA">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615" w:type="pct"/>
            <w:tcBorders>
              <w:top w:val="single" w:color="auto" w:sz="4" w:space="0"/>
              <w:left w:val="single" w:color="auto" w:sz="4" w:space="0"/>
              <w:right w:val="single" w:color="auto" w:sz="4" w:space="0"/>
            </w:tcBorders>
            <w:noWrap w:val="0"/>
            <w:vAlign w:val="center"/>
          </w:tcPr>
          <w:p w14:paraId="76EBD809">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产品相关认证及检测</w:t>
            </w:r>
          </w:p>
        </w:tc>
        <w:tc>
          <w:tcPr>
            <w:tcW w:w="431" w:type="pct"/>
            <w:tcBorders>
              <w:top w:val="single" w:color="auto" w:sz="4" w:space="0"/>
              <w:left w:val="single" w:color="auto" w:sz="4" w:space="0"/>
              <w:right w:val="single" w:color="auto" w:sz="4" w:space="0"/>
            </w:tcBorders>
            <w:noWrap w:val="0"/>
            <w:vAlign w:val="center"/>
          </w:tcPr>
          <w:p w14:paraId="5D07546D">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p>
        </w:tc>
        <w:tc>
          <w:tcPr>
            <w:tcW w:w="3582" w:type="pct"/>
            <w:tcBorders>
              <w:top w:val="single" w:color="auto" w:sz="4" w:space="0"/>
              <w:left w:val="single" w:color="auto" w:sz="4" w:space="0"/>
              <w:bottom w:val="single" w:color="auto" w:sz="4" w:space="0"/>
              <w:right w:val="single" w:color="auto" w:sz="4" w:space="0"/>
            </w:tcBorders>
            <w:noWrap w:val="0"/>
            <w:vAlign w:val="center"/>
          </w:tcPr>
          <w:p w14:paraId="1467D516">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提供</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所投</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产品厂家</w:t>
            </w:r>
            <w:r>
              <w:rPr>
                <w:rFonts w:hint="eastAsia" w:ascii="宋体" w:hAnsi="宋体" w:eastAsia="宋体" w:cs="宋体"/>
                <w:b w:val="0"/>
                <w:bCs/>
                <w:color w:val="000000" w:themeColor="text1"/>
                <w:sz w:val="24"/>
                <w:szCs w:val="24"/>
                <w:highlight w:val="none"/>
                <w14:textFill>
                  <w14:solidFill>
                    <w14:schemeClr w14:val="tx1"/>
                  </w14:solidFill>
                </w14:textFill>
              </w:rPr>
              <w:t>有效的环境管理体系认证证书</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质量保证体系认证证书</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职业健康安全管理体系认证证书（需提供证书</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扫描件并加盖公章</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每提供1项得1分，该项满分为3分。</w:t>
            </w:r>
          </w:p>
        </w:tc>
      </w:tr>
      <w:tr w14:paraId="51AA7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8" w:hRule="atLeast"/>
          <w:jc w:val="center"/>
        </w:trPr>
        <w:tc>
          <w:tcPr>
            <w:tcW w:w="370" w:type="pct"/>
            <w:tcBorders>
              <w:top w:val="single" w:color="auto" w:sz="4" w:space="0"/>
              <w:left w:val="single" w:color="auto" w:sz="4" w:space="0"/>
              <w:right w:val="single" w:color="auto" w:sz="4" w:space="0"/>
            </w:tcBorders>
            <w:noWrap w:val="0"/>
            <w:vAlign w:val="center"/>
          </w:tcPr>
          <w:p w14:paraId="28B277FB">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p>
        </w:tc>
        <w:tc>
          <w:tcPr>
            <w:tcW w:w="615" w:type="pct"/>
            <w:tcBorders>
              <w:top w:val="single" w:color="auto" w:sz="4" w:space="0"/>
              <w:left w:val="single" w:color="auto" w:sz="4" w:space="0"/>
              <w:right w:val="single" w:color="auto" w:sz="4" w:space="0"/>
            </w:tcBorders>
            <w:noWrap w:val="0"/>
            <w:vAlign w:val="center"/>
          </w:tcPr>
          <w:p w14:paraId="40A2B662">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类似项目业绩</w:t>
            </w:r>
          </w:p>
        </w:tc>
        <w:tc>
          <w:tcPr>
            <w:tcW w:w="431" w:type="pct"/>
            <w:tcBorders>
              <w:top w:val="single" w:color="auto" w:sz="4" w:space="0"/>
              <w:left w:val="single" w:color="auto" w:sz="4" w:space="0"/>
              <w:right w:val="single" w:color="auto" w:sz="4" w:space="0"/>
            </w:tcBorders>
            <w:noWrap w:val="0"/>
            <w:vAlign w:val="center"/>
          </w:tcPr>
          <w:p w14:paraId="03E6B403">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6</w:t>
            </w:r>
          </w:p>
        </w:tc>
        <w:tc>
          <w:tcPr>
            <w:tcW w:w="3582" w:type="pct"/>
            <w:tcBorders>
              <w:top w:val="single" w:color="auto" w:sz="4" w:space="0"/>
              <w:left w:val="single" w:color="auto" w:sz="4" w:space="0"/>
              <w:bottom w:val="single" w:color="auto" w:sz="4" w:space="0"/>
              <w:right w:val="single" w:color="auto" w:sz="4" w:space="0"/>
            </w:tcBorders>
            <w:noWrap w:val="0"/>
            <w:vAlign w:val="center"/>
          </w:tcPr>
          <w:p w14:paraId="538B8FE2">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提供投标人自2021年1月1日(以合同签订时间为准)以来承接过单个项目金额在</w:t>
            </w:r>
            <w:r>
              <w:rPr>
                <w:rFonts w:hint="eastAsia" w:ascii="宋体" w:hAnsi="宋体" w:cs="宋体"/>
                <w:b w:val="0"/>
                <w:bCs/>
                <w:color w:val="000000" w:themeColor="text1"/>
                <w:sz w:val="24"/>
                <w:szCs w:val="24"/>
                <w:highlight w:val="none"/>
                <w:lang w:val="en-US" w:eastAsia="zh-CN"/>
                <w14:textFill>
                  <w14:solidFill>
                    <w14:schemeClr w14:val="tx1"/>
                  </w14:solidFill>
                </w14:textFill>
              </w:rPr>
              <w:t>45</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万元及以上的类似本项目采购内容的供货业绩。每提供1个业绩得2分，该项满分为6分。</w:t>
            </w:r>
          </w:p>
          <w:p w14:paraId="7422C08E">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业绩评分要求说明：</w:t>
            </w:r>
          </w:p>
          <w:p w14:paraId="58163F91">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1.提供供货合同业绩材料清晰扫描件，否则该业绩不予认可；</w:t>
            </w:r>
          </w:p>
          <w:p w14:paraId="66254051">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2.以合同签订时间为准，未能体现签订时间该业绩不予认可；</w:t>
            </w:r>
          </w:p>
          <w:p w14:paraId="57C158E4">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3.金额以签约合同价为准，未能体现签约合同价的该业绩不予认可；</w:t>
            </w:r>
          </w:p>
          <w:p w14:paraId="0F309CEE">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业绩材料中供货方的单位名称必须与投标人名称一致[投标人法人机构发生合法变更或重组或法人名称变更时，应提供相关部门的合法批件或其他相关证明材料的扫描件，证明其所附业绩的继承性]，否则该业绩不予认可；</w:t>
            </w:r>
          </w:p>
          <w:p w14:paraId="07C51DFA">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5.提供该合同任意一次对应的发票及该发票对应的银行出具的凭证（如银行回单、银行承兑汇票等），否则该业绩不予认可。</w:t>
            </w:r>
          </w:p>
        </w:tc>
      </w:tr>
      <w:tr w14:paraId="5E483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370" w:type="pct"/>
            <w:tcBorders>
              <w:left w:val="single" w:color="auto" w:sz="4" w:space="0"/>
              <w:right w:val="single" w:color="auto" w:sz="4" w:space="0"/>
            </w:tcBorders>
            <w:noWrap w:val="0"/>
            <w:vAlign w:val="center"/>
          </w:tcPr>
          <w:p w14:paraId="790A257E">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p>
        </w:tc>
        <w:tc>
          <w:tcPr>
            <w:tcW w:w="615" w:type="pct"/>
            <w:tcBorders>
              <w:left w:val="single" w:color="auto" w:sz="4" w:space="0"/>
              <w:right w:val="single" w:color="auto" w:sz="4" w:space="0"/>
            </w:tcBorders>
            <w:noWrap w:val="0"/>
            <w:vAlign w:val="center"/>
          </w:tcPr>
          <w:p w14:paraId="4F295821">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综合实力</w:t>
            </w:r>
          </w:p>
        </w:tc>
        <w:tc>
          <w:tcPr>
            <w:tcW w:w="431" w:type="pct"/>
            <w:tcBorders>
              <w:top w:val="single" w:color="auto" w:sz="4" w:space="0"/>
              <w:left w:val="single" w:color="auto" w:sz="4" w:space="0"/>
              <w:right w:val="single" w:color="auto" w:sz="4" w:space="0"/>
            </w:tcBorders>
            <w:noWrap w:val="0"/>
            <w:vAlign w:val="center"/>
          </w:tcPr>
          <w:p w14:paraId="127DE736">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w:t>
            </w:r>
          </w:p>
        </w:tc>
        <w:tc>
          <w:tcPr>
            <w:tcW w:w="3582" w:type="pct"/>
            <w:tcBorders>
              <w:top w:val="single" w:color="auto" w:sz="4" w:space="0"/>
              <w:left w:val="single" w:color="auto" w:sz="4" w:space="0"/>
              <w:bottom w:val="single" w:color="auto" w:sz="4" w:space="0"/>
              <w:right w:val="single" w:color="auto" w:sz="4" w:space="0"/>
            </w:tcBorders>
            <w:noWrap w:val="0"/>
            <w:vAlign w:val="center"/>
          </w:tcPr>
          <w:p w14:paraId="00C83385">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根据所投产品厂家的综合实力进行横向评定。</w:t>
            </w:r>
          </w:p>
          <w:p w14:paraId="7DC7AC82">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一类：5.0～4.0；二类：3.9～3.0；三类：2.9～1.0。</w:t>
            </w:r>
          </w:p>
        </w:tc>
      </w:tr>
      <w:tr w14:paraId="28B65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370" w:type="pct"/>
            <w:tcBorders>
              <w:top w:val="single" w:color="auto" w:sz="4" w:space="0"/>
              <w:left w:val="single" w:color="auto" w:sz="4" w:space="0"/>
              <w:bottom w:val="single" w:color="auto" w:sz="4" w:space="0"/>
              <w:right w:val="single" w:color="auto" w:sz="4" w:space="0"/>
            </w:tcBorders>
            <w:noWrap w:val="0"/>
            <w:vAlign w:val="center"/>
          </w:tcPr>
          <w:p w14:paraId="7BCD7758">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w:t>
            </w:r>
          </w:p>
        </w:tc>
        <w:tc>
          <w:tcPr>
            <w:tcW w:w="615" w:type="pct"/>
            <w:tcBorders>
              <w:top w:val="single" w:color="auto" w:sz="4" w:space="0"/>
              <w:left w:val="single" w:color="auto" w:sz="4" w:space="0"/>
              <w:bottom w:val="single" w:color="auto" w:sz="4" w:space="0"/>
              <w:right w:val="single" w:color="auto" w:sz="4" w:space="0"/>
            </w:tcBorders>
            <w:noWrap w:val="0"/>
            <w:vAlign w:val="center"/>
          </w:tcPr>
          <w:p w14:paraId="3C5DAA2A">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生产加工及</w:t>
            </w:r>
            <w:r>
              <w:rPr>
                <w:rFonts w:hint="eastAsia" w:ascii="宋体" w:hAnsi="宋体" w:eastAsia="宋体" w:cs="宋体"/>
                <w:b w:val="0"/>
                <w:bCs/>
                <w:color w:val="000000" w:themeColor="text1"/>
                <w:sz w:val="24"/>
                <w:szCs w:val="24"/>
                <w:highlight w:val="none"/>
                <w14:textFill>
                  <w14:solidFill>
                    <w14:schemeClr w14:val="tx1"/>
                  </w14:solidFill>
                </w14:textFill>
              </w:rPr>
              <w:t>供货方案</w:t>
            </w:r>
          </w:p>
        </w:tc>
        <w:tc>
          <w:tcPr>
            <w:tcW w:w="431" w:type="pct"/>
            <w:tcBorders>
              <w:top w:val="single" w:color="auto" w:sz="4" w:space="0"/>
              <w:left w:val="single" w:color="auto" w:sz="4" w:space="0"/>
              <w:bottom w:val="single" w:color="auto" w:sz="4" w:space="0"/>
              <w:right w:val="single" w:color="auto" w:sz="4" w:space="0"/>
            </w:tcBorders>
            <w:noWrap w:val="0"/>
            <w:vAlign w:val="center"/>
          </w:tcPr>
          <w:p w14:paraId="78D4E47B">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w:t>
            </w:r>
          </w:p>
        </w:tc>
        <w:tc>
          <w:tcPr>
            <w:tcW w:w="3582" w:type="pct"/>
            <w:tcBorders>
              <w:top w:val="single" w:color="auto" w:sz="4" w:space="0"/>
              <w:left w:val="single" w:color="auto" w:sz="4" w:space="0"/>
              <w:bottom w:val="single" w:color="auto" w:sz="4" w:space="0"/>
              <w:right w:val="single" w:color="auto" w:sz="4" w:space="0"/>
            </w:tcBorders>
            <w:noWrap w:val="0"/>
            <w:vAlign w:val="center"/>
          </w:tcPr>
          <w:p w14:paraId="644A6FF4">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投标人根据本项实际情况，从生产、加工、制造工艺控制、质量控制、运输保障及供货时间等方面编写方案，专家根据实际情况横向评定。</w:t>
            </w:r>
          </w:p>
          <w:p w14:paraId="41FB57DB">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一类：5.0～4.0；二类：3.9～3.0；三类：2.9～1.0。</w:t>
            </w:r>
          </w:p>
        </w:tc>
      </w:tr>
      <w:tr w14:paraId="303E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370" w:type="pct"/>
            <w:tcBorders>
              <w:top w:val="single" w:color="auto" w:sz="4" w:space="0"/>
              <w:left w:val="single" w:color="auto" w:sz="4" w:space="0"/>
              <w:bottom w:val="single" w:color="auto" w:sz="4" w:space="0"/>
              <w:right w:val="single" w:color="auto" w:sz="4" w:space="0"/>
            </w:tcBorders>
            <w:noWrap w:val="0"/>
            <w:vAlign w:val="center"/>
          </w:tcPr>
          <w:p w14:paraId="019D28B8">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w:t>
            </w:r>
          </w:p>
        </w:tc>
        <w:tc>
          <w:tcPr>
            <w:tcW w:w="615" w:type="pct"/>
            <w:tcBorders>
              <w:top w:val="single" w:color="auto" w:sz="4" w:space="0"/>
              <w:left w:val="single" w:color="auto" w:sz="4" w:space="0"/>
              <w:bottom w:val="single" w:color="auto" w:sz="4" w:space="0"/>
              <w:right w:val="single" w:color="auto" w:sz="4" w:space="0"/>
            </w:tcBorders>
            <w:noWrap w:val="0"/>
            <w:vAlign w:val="center"/>
          </w:tcPr>
          <w:p w14:paraId="3F85A867">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质保</w:t>
            </w:r>
          </w:p>
        </w:tc>
        <w:tc>
          <w:tcPr>
            <w:tcW w:w="431" w:type="pct"/>
            <w:tcBorders>
              <w:top w:val="single" w:color="auto" w:sz="4" w:space="0"/>
              <w:left w:val="single" w:color="auto" w:sz="4" w:space="0"/>
              <w:bottom w:val="single" w:color="auto" w:sz="4" w:space="0"/>
              <w:right w:val="single" w:color="auto" w:sz="4" w:space="0"/>
            </w:tcBorders>
            <w:noWrap w:val="0"/>
            <w:vAlign w:val="center"/>
          </w:tcPr>
          <w:p w14:paraId="6996C098">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p>
        </w:tc>
        <w:tc>
          <w:tcPr>
            <w:tcW w:w="3582" w:type="pct"/>
            <w:tcBorders>
              <w:top w:val="single" w:color="auto" w:sz="4" w:space="0"/>
              <w:left w:val="single" w:color="auto" w:sz="4" w:space="0"/>
              <w:bottom w:val="single" w:color="auto" w:sz="4" w:space="0"/>
              <w:right w:val="single" w:color="auto" w:sz="4" w:space="0"/>
            </w:tcBorders>
            <w:noWrap w:val="0"/>
            <w:vAlign w:val="center"/>
          </w:tcPr>
          <w:p w14:paraId="6CDDDF19">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本项目质量保证期最低为2年，每增加1年得1分，最高得3分。</w:t>
            </w:r>
          </w:p>
          <w:p w14:paraId="62D5805A">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注：技术标中未承诺或承诺时间少于2年的，均按2年计。</w:t>
            </w:r>
          </w:p>
        </w:tc>
      </w:tr>
      <w:tr w14:paraId="1F11D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70"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1DB66D5D">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w:t>
            </w:r>
          </w:p>
        </w:tc>
        <w:tc>
          <w:tcPr>
            <w:tcW w:w="615"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128A2C1B">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样品工艺、质量</w:t>
            </w:r>
          </w:p>
        </w:tc>
        <w:tc>
          <w:tcPr>
            <w:tcW w:w="431"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58A5B55C">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8</w:t>
            </w:r>
          </w:p>
        </w:tc>
        <w:tc>
          <w:tcPr>
            <w:tcW w:w="358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2B6E89B1">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根据投标人提供样品的色泽、样式纹路、制作工艺、材料重量等：</w:t>
            </w:r>
          </w:p>
          <w:p w14:paraId="7C995C6E">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窗帘、窗纱：根据面料的手感舒适度、面料编织平整均匀度（如面料平整度、触感、抗皱性、遮光效果）等横向比较打分，</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一类：</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7.0～5.0；二类：4.9～3.0；三类：2.9～1.0。</w:t>
            </w:r>
          </w:p>
          <w:p w14:paraId="28247D83">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2、明装窗帘轨：根据材质、拉升是否顺畅、工艺等横向比较打分，一类：1.0～0.7；二类：0.6～0.3；三类：</w:t>
            </w:r>
            <w:r>
              <w:rPr>
                <w:rFonts w:hint="eastAsia" w:ascii="宋体" w:hAnsi="宋体" w:cs="宋体"/>
                <w:b w:val="0"/>
                <w:bCs/>
                <w:color w:val="000000" w:themeColor="text1"/>
                <w:sz w:val="24"/>
                <w:szCs w:val="24"/>
                <w:highlight w:val="none"/>
                <w:lang w:val="en-US" w:eastAsia="zh-CN"/>
                <w14:textFill>
                  <w14:solidFill>
                    <w14:schemeClr w14:val="tx1"/>
                  </w14:solidFill>
                </w14:textFill>
              </w:rPr>
              <w:t>0.2</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～0.1。</w:t>
            </w:r>
          </w:p>
          <w:p w14:paraId="0CCFA60C">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注：未提供样品的得0分。</w:t>
            </w:r>
          </w:p>
        </w:tc>
      </w:tr>
    </w:tbl>
    <w:p w14:paraId="3FB37884">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（三）商务标评定分值为</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color w:val="000000" w:themeColor="text1"/>
          <w:sz w:val="24"/>
          <w:szCs w:val="24"/>
          <w:highlight w:val="none"/>
          <w14:textFill>
            <w14:solidFill>
              <w14:schemeClr w14:val="tx1"/>
            </w14:solidFill>
          </w14:textFill>
        </w:rPr>
        <w:t>0分。（以下除注明外，计算结果小数点后保留2位，第3位四舍五入）。</w:t>
      </w:r>
    </w:p>
    <w:p w14:paraId="0F753FBF">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1）取所有有效报价的平均价作为评标基准价（通过商务标符合性审查的投标报价=3家，按所有有效投标报价的算术平均值作为评标基准价；通过商务标符合性审查的投标报价=4家，去掉有效投标报价中的最高的一个报价后，取剩余有效投标报价的的算术平均值作为评标基准价；通过商务标符合性审查的投标报价≥5家，去掉</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一家</w:t>
      </w:r>
      <w:r>
        <w:rPr>
          <w:rFonts w:hint="eastAsia" w:ascii="宋体" w:hAnsi="宋体" w:eastAsia="宋体" w:cs="宋体"/>
          <w:b w:val="0"/>
          <w:bCs/>
          <w:color w:val="000000" w:themeColor="text1"/>
          <w:sz w:val="24"/>
          <w:szCs w:val="24"/>
          <w:highlight w:val="none"/>
          <w14:textFill>
            <w14:solidFill>
              <w14:schemeClr w14:val="tx1"/>
            </w14:solidFill>
          </w14:textFill>
        </w:rPr>
        <w:t>最高</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和一家</w:t>
      </w:r>
      <w:r>
        <w:rPr>
          <w:rFonts w:hint="eastAsia" w:ascii="宋体" w:hAnsi="宋体" w:eastAsia="宋体" w:cs="宋体"/>
          <w:b w:val="0"/>
          <w:bCs/>
          <w:color w:val="000000" w:themeColor="text1"/>
          <w:sz w:val="24"/>
          <w:szCs w:val="24"/>
          <w:highlight w:val="none"/>
          <w14:textFill>
            <w14:solidFill>
              <w14:schemeClr w14:val="tx1"/>
            </w14:solidFill>
          </w14:textFill>
        </w:rPr>
        <w:t>最</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低的有效投标报价</w:t>
      </w:r>
      <w:r>
        <w:rPr>
          <w:rFonts w:hint="eastAsia" w:ascii="宋体" w:hAnsi="宋体" w:eastAsia="宋体" w:cs="宋体"/>
          <w:b w:val="0"/>
          <w:bCs/>
          <w:color w:val="000000" w:themeColor="text1"/>
          <w:sz w:val="24"/>
          <w:szCs w:val="24"/>
          <w:highlight w:val="none"/>
          <w14:textFill>
            <w14:solidFill>
              <w14:schemeClr w14:val="tx1"/>
            </w14:solidFill>
          </w14:textFill>
        </w:rPr>
        <w:t>后，取剩余有效投标报价的算术平均值作为评标基准价）投标人的投标报价得分按下列方式计算：</w:t>
      </w:r>
    </w:p>
    <w:p w14:paraId="02B69B4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①投标评标价等于</w:t>
      </w:r>
      <w:r>
        <w:rPr>
          <w:rFonts w:hint="eastAsia" w:ascii="宋体" w:hAnsi="宋体" w:eastAsia="宋体" w:cs="宋体"/>
          <w:b w:val="0"/>
          <w:bCs/>
          <w:color w:val="000000" w:themeColor="text1"/>
          <w:sz w:val="24"/>
          <w:szCs w:val="24"/>
          <w:highlight w:val="none"/>
          <w14:textFill>
            <w14:solidFill>
              <w14:schemeClr w14:val="tx1"/>
            </w14:solidFill>
          </w14:textFill>
        </w:rPr>
        <w:t>评标基准价</w:t>
      </w: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时，得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70</w:t>
      </w: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分；</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 </w:t>
      </w:r>
    </w:p>
    <w:p w14:paraId="0E06B07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②投标评标价每低于</w:t>
      </w:r>
      <w:r>
        <w:rPr>
          <w:rFonts w:hint="eastAsia" w:ascii="宋体" w:hAnsi="宋体" w:eastAsia="宋体" w:cs="宋体"/>
          <w:b w:val="0"/>
          <w:bCs/>
          <w:color w:val="000000" w:themeColor="text1"/>
          <w:sz w:val="24"/>
          <w:szCs w:val="24"/>
          <w:highlight w:val="none"/>
          <w14:textFill>
            <w14:solidFill>
              <w14:schemeClr w14:val="tx1"/>
            </w14:solidFill>
          </w14:textFill>
        </w:rPr>
        <w:t>评标基准价</w:t>
      </w: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1个百分点，扣</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0.5</w:t>
      </w: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分，</w:t>
      </w:r>
      <w:r>
        <w:rPr>
          <w:rFonts w:hint="eastAsia" w:ascii="宋体" w:hAnsi="宋体" w:eastAsia="宋体" w:cs="宋体"/>
          <w:b w:val="0"/>
          <w:bCs/>
          <w:color w:val="000000" w:themeColor="text1"/>
          <w:sz w:val="24"/>
          <w:szCs w:val="24"/>
          <w:highlight w:val="none"/>
          <w14:textFill>
            <w14:solidFill>
              <w14:schemeClr w14:val="tx1"/>
            </w14:solidFill>
          </w14:textFill>
        </w:rPr>
        <w:t>即报价分=</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color w:val="000000" w:themeColor="text1"/>
          <w:sz w:val="24"/>
          <w:szCs w:val="24"/>
          <w:highlight w:val="none"/>
          <w14:textFill>
            <w14:solidFill>
              <w14:schemeClr w14:val="tx1"/>
            </w14:solidFill>
          </w14:textFill>
        </w:rPr>
        <w:t>0-│（投标报价-评标基准价）│/评标基准价×100×0.5（报价得分计算结果小数点后保留2位，小数点后第3位四舍五入）</w:t>
      </w: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w:t>
      </w:r>
    </w:p>
    <w:p w14:paraId="64C176CA">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③投标评标价每高于</w:t>
      </w:r>
      <w:r>
        <w:rPr>
          <w:rFonts w:hint="eastAsia" w:ascii="宋体" w:hAnsi="宋体" w:eastAsia="宋体" w:cs="宋体"/>
          <w:b w:val="0"/>
          <w:bCs/>
          <w:color w:val="000000" w:themeColor="text1"/>
          <w:sz w:val="24"/>
          <w:szCs w:val="24"/>
          <w:highlight w:val="none"/>
          <w14:textFill>
            <w14:solidFill>
              <w14:schemeClr w14:val="tx1"/>
            </w14:solidFill>
          </w14:textFill>
        </w:rPr>
        <w:t>评标基准价</w:t>
      </w: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1个百分点，扣</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分，</w:t>
      </w:r>
      <w:r>
        <w:rPr>
          <w:rFonts w:hint="eastAsia" w:ascii="宋体" w:hAnsi="宋体" w:eastAsia="宋体" w:cs="宋体"/>
          <w:b w:val="0"/>
          <w:bCs/>
          <w:color w:val="000000" w:themeColor="text1"/>
          <w:sz w:val="24"/>
          <w:szCs w:val="24"/>
          <w:highlight w:val="none"/>
          <w14:textFill>
            <w14:solidFill>
              <w14:schemeClr w14:val="tx1"/>
            </w14:solidFill>
          </w14:textFill>
        </w:rPr>
        <w:t>即报价分=</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70</w:t>
      </w:r>
      <w:r>
        <w:rPr>
          <w:rFonts w:hint="eastAsia" w:ascii="宋体" w:hAnsi="宋体" w:eastAsia="宋体" w:cs="宋体"/>
          <w:b w:val="0"/>
          <w:bCs/>
          <w:color w:val="000000" w:themeColor="text1"/>
          <w:sz w:val="24"/>
          <w:szCs w:val="24"/>
          <w:highlight w:val="none"/>
          <w14:textFill>
            <w14:solidFill>
              <w14:schemeClr w14:val="tx1"/>
            </w14:solidFill>
          </w14:textFill>
        </w:rPr>
        <w:t>-│（投标报价-评标基准价）│/评标基准价×100×1（报价得分计算结果小数点后保留2位，小数点后第3位四舍五入）</w:t>
      </w: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 </w:t>
      </w:r>
    </w:p>
    <w:p w14:paraId="6316FF6A">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2）▲本项目采购最高限价：1530304元，如投标人报价超过采购最高限价，其投标文件作无效标处理。</w:t>
      </w:r>
    </w:p>
    <w:p w14:paraId="6C1CFD7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3）评标委员会认为投标人的报价明显低于其他通过符合性审查投标人的报价，有可能影响产品质量或者不能诚信履约的，应当要求其在评标程序中给予的合理的时间内提供书面说明，必要时提交相关证明材料；投标人不能证明其报价合理性的，评标委员会应当将其作为无效投标处理。</w:t>
      </w:r>
    </w:p>
    <w:p w14:paraId="3C112431">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4）所有投标人商务报价均超采购最高限价，本次招标失败，重新组织招标。</w:t>
      </w:r>
    </w:p>
    <w:p w14:paraId="2FECC03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（四）总得分的统计及</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中标人</w:t>
      </w:r>
      <w:r>
        <w:rPr>
          <w:rFonts w:hint="eastAsia" w:ascii="宋体" w:hAnsi="宋体" w:eastAsia="宋体" w:cs="宋体"/>
          <w:b w:val="0"/>
          <w:bCs/>
          <w:color w:val="000000" w:themeColor="text1"/>
          <w:sz w:val="24"/>
          <w:szCs w:val="24"/>
          <w:highlight w:val="none"/>
          <w14:textFill>
            <w14:solidFill>
              <w14:schemeClr w14:val="tx1"/>
            </w14:solidFill>
          </w14:textFill>
        </w:rPr>
        <w:t>的确定。</w:t>
      </w:r>
    </w:p>
    <w:p w14:paraId="4406C5E3">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评标总得分的确定：</w:t>
      </w:r>
    </w:p>
    <w:p w14:paraId="68188A4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投标人的总得分＝技术</w:t>
      </w:r>
      <w:r>
        <w:rPr>
          <w:rFonts w:hint="eastAsia" w:ascii="宋体" w:hAnsi="宋体" w:cs="宋体"/>
          <w:b w:val="0"/>
          <w:bCs/>
          <w:color w:val="000000" w:themeColor="text1"/>
          <w:sz w:val="24"/>
          <w:szCs w:val="24"/>
          <w:highlight w:val="none"/>
          <w:lang w:val="en-US" w:eastAsia="zh-CN"/>
          <w14:textFill>
            <w14:solidFill>
              <w14:schemeClr w14:val="tx1"/>
            </w14:solidFill>
          </w14:textFill>
        </w:rPr>
        <w:t>标</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得分</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商务标得分。</w:t>
      </w:r>
    </w:p>
    <w:p w14:paraId="40F1DF4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中标人</w:t>
      </w:r>
      <w:r>
        <w:rPr>
          <w:rFonts w:hint="eastAsia" w:ascii="宋体" w:hAnsi="宋体" w:eastAsia="宋体" w:cs="宋体"/>
          <w:b w:val="0"/>
          <w:bCs/>
          <w:color w:val="000000" w:themeColor="text1"/>
          <w:sz w:val="24"/>
          <w:szCs w:val="24"/>
          <w:highlight w:val="none"/>
          <w14:textFill>
            <w14:solidFill>
              <w14:schemeClr w14:val="tx1"/>
            </w14:solidFill>
          </w14:textFill>
        </w:rPr>
        <w:t>的确定：</w:t>
      </w:r>
    </w:p>
    <w:p w14:paraId="38381948">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中标人</w:t>
      </w:r>
      <w:r>
        <w:rPr>
          <w:rFonts w:hint="eastAsia" w:ascii="宋体" w:hAnsi="宋体" w:eastAsia="宋体" w:cs="宋体"/>
          <w:b w:val="0"/>
          <w:bCs/>
          <w:color w:val="000000" w:themeColor="text1"/>
          <w:sz w:val="24"/>
          <w:szCs w:val="24"/>
          <w:highlight w:val="none"/>
          <w14:textFill>
            <w14:solidFill>
              <w14:schemeClr w14:val="tx1"/>
            </w14:solidFill>
          </w14:textFill>
        </w:rPr>
        <w:t>的排名次序按投标人总得分从高到低顺序排列，即总得分最高者为</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中标</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候选</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人</w:t>
      </w:r>
      <w:r>
        <w:rPr>
          <w:rFonts w:hint="eastAsia" w:ascii="宋体" w:hAnsi="宋体" w:eastAsia="宋体" w:cs="宋体"/>
          <w:b w:val="0"/>
          <w:bCs/>
          <w:color w:val="000000" w:themeColor="text1"/>
          <w:sz w:val="24"/>
          <w:szCs w:val="24"/>
          <w:highlight w:val="none"/>
          <w14:textFill>
            <w14:solidFill>
              <w14:schemeClr w14:val="tx1"/>
            </w14:solidFill>
          </w14:textFill>
        </w:rPr>
        <w:t>。若出现总得分相同时，按技术标得分由高到低顺序排列；若以上均相同的，则抽签确定。</w:t>
      </w:r>
    </w:p>
    <w:p w14:paraId="35E4CD2C">
      <w:pPr>
        <w:keepNext w:val="0"/>
        <w:keepLines w:val="0"/>
        <w:pageBreakBefore w:val="0"/>
        <w:kinsoku/>
        <w:wordWrap/>
        <w:overflowPunct/>
        <w:topLinePunct w:val="0"/>
        <w:autoSpaceDE/>
        <w:autoSpaceDN/>
        <w:bidi w:val="0"/>
        <w:adjustRightInd w:val="0"/>
        <w:spacing w:line="240" w:lineRule="auto"/>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63307CBB">
      <w:pPr>
        <w:adjustRightInd w:val="0"/>
        <w:spacing w:line="360" w:lineRule="auto"/>
        <w:jc w:val="center"/>
        <w:outlineLvl w:val="0"/>
        <w:rPr>
          <w:rFonts w:ascii="宋体" w:hAnsi="宋体" w:cs="宋体"/>
          <w:b/>
          <w:bCs/>
          <w:color w:val="000000" w:themeColor="text1"/>
          <w:sz w:val="30"/>
          <w:szCs w:val="30"/>
          <w:highlight w:val="none"/>
          <w14:textFill>
            <w14:solidFill>
              <w14:schemeClr w14:val="tx1"/>
            </w14:solidFill>
          </w14:textFill>
        </w:rPr>
      </w:pPr>
      <w:bookmarkStart w:id="20" w:name="_Toc17728"/>
      <w:r>
        <w:rPr>
          <w:rFonts w:hint="eastAsia" w:ascii="宋体" w:hAnsi="宋体" w:cs="宋体"/>
          <w:b/>
          <w:bCs/>
          <w:color w:val="000000" w:themeColor="text1"/>
          <w:sz w:val="30"/>
          <w:szCs w:val="30"/>
          <w:highlight w:val="none"/>
          <w14:textFill>
            <w14:solidFill>
              <w14:schemeClr w14:val="tx1"/>
            </w14:solidFill>
          </w14:textFill>
        </w:rPr>
        <w:t>第五章 合同主要条款</w:t>
      </w:r>
      <w:bookmarkEnd w:id="20"/>
    </w:p>
    <w:p w14:paraId="6B19C20E">
      <w:pPr>
        <w:pStyle w:val="34"/>
        <w:widowControl w:val="0"/>
        <w:snapToGrid w:val="0"/>
        <w:spacing w:before="120" w:beforeLines="50" w:beforeAutospacing="0" w:after="0" w:afterAutospacing="0"/>
        <w:jc w:val="both"/>
        <w:rPr>
          <w:color w:val="auto"/>
          <w:highlight w:val="none"/>
          <w:lang w:bidi="ar"/>
        </w:rPr>
      </w:pPr>
    </w:p>
    <w:p w14:paraId="1533584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bookmarkStart w:id="21" w:name="_Toc188339091"/>
      <w:bookmarkStart w:id="22" w:name="_Toc223873446"/>
      <w:bookmarkStart w:id="23" w:name="_Toc447625172"/>
      <w:bookmarkStart w:id="24" w:name="_Toc8932"/>
      <w:r>
        <w:rPr>
          <w:rFonts w:hint="eastAsia" w:ascii="宋体" w:hAnsi="宋体" w:eastAsia="宋体" w:cs="宋体"/>
          <w:b w:val="0"/>
          <w:bCs/>
          <w:color w:val="000000" w:themeColor="text1"/>
          <w:sz w:val="24"/>
          <w:szCs w:val="24"/>
          <w:highlight w:val="none"/>
          <w14:textFill>
            <w14:solidFill>
              <w14:schemeClr w14:val="tx1"/>
            </w14:solidFill>
          </w14:textFill>
        </w:rPr>
        <w:t xml:space="preserve">项目名称：                                </w:t>
      </w:r>
    </w:p>
    <w:p w14:paraId="0448BDB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甲方：（买方）                              乙方：（卖方）</w:t>
      </w:r>
    </w:p>
    <w:p w14:paraId="0FAADF2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p>
    <w:p w14:paraId="5146FBE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甲、乙双方根据《中华人民共和国民法典》和_______________________项目招标文件的相关规定，双方达成一致签署本合同。</w:t>
      </w:r>
    </w:p>
    <w:p w14:paraId="3051144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一、货物内容</w:t>
      </w:r>
    </w:p>
    <w:p w14:paraId="6482578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 货物名称：</w:t>
      </w:r>
    </w:p>
    <w:p w14:paraId="430BF9B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 型号规格：</w:t>
      </w:r>
    </w:p>
    <w:p w14:paraId="505C12A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 技术参数：</w:t>
      </w:r>
    </w:p>
    <w:p w14:paraId="72E32AF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 数量（单位）：</w:t>
      </w:r>
    </w:p>
    <w:p w14:paraId="0AC70A2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二、合同金额</w:t>
      </w:r>
    </w:p>
    <w:p w14:paraId="76D1C62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b w:val="0"/>
          <w:bCs/>
          <w:color w:val="000000" w:themeColor="text1"/>
          <w:sz w:val="24"/>
          <w:szCs w:val="24"/>
          <w:highlight w:val="none"/>
          <w14:textFill>
            <w14:solidFill>
              <w14:schemeClr w14:val="tx1"/>
            </w14:solidFill>
          </w14:textFill>
        </w:rPr>
        <w:t>本合同金额为（大写）：_________________元（¥</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元</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（其中，本合同不含税金额¥</w:t>
      </w:r>
      <w:r>
        <w:rPr>
          <w:rFonts w:hint="eastAsia" w:ascii="宋体" w:hAnsi="宋体" w:eastAsia="宋体" w:cs="宋体"/>
          <w:b w:val="0"/>
          <w:bCs/>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元，增值税额¥</w:t>
      </w:r>
      <w:r>
        <w:rPr>
          <w:rFonts w:hint="eastAsia" w:ascii="宋体" w:hAnsi="宋体" w:eastAsia="宋体" w:cs="宋体"/>
          <w:b w:val="0"/>
          <w:bCs/>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元，税率</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）人民币</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具体详见《投标报价明细清单》</w:t>
      </w:r>
      <w:r>
        <w:rPr>
          <w:rFonts w:hint="eastAsia" w:ascii="宋体" w:hAnsi="宋体" w:eastAsia="宋体" w:cs="宋体"/>
          <w:b w:val="0"/>
          <w:bCs/>
          <w:color w:val="000000" w:themeColor="text1"/>
          <w:sz w:val="24"/>
          <w:szCs w:val="24"/>
          <w:highlight w:val="none"/>
          <w14:textFill>
            <w14:solidFill>
              <w14:schemeClr w14:val="tx1"/>
            </w14:solidFill>
          </w14:textFill>
        </w:rPr>
        <w:t>。</w:t>
      </w:r>
    </w:p>
    <w:p w14:paraId="297BDF8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2.2乙方投标承诺货物的全费用综合单价一次性包干，数量按实计量。该单价已包含本项目货物设计、原材料、成品制作、材料费（含窗帘挂钩）、人工费、服务费、运输费、装卸、安装前的清洗费、保管费、安装调试费、税费、利润、维修、质量保修、管理费用、完成合同所需的一切本身和不可或缺的所有工作开支、政策性文件规定及合同包含的所有风险、责任等各项全部费用。该单价中已综合考虑了在合同有效期内的材料设备、机械、人工等所有市场价格波动的风险，在合同有效期内不做任何调整。</w:t>
      </w:r>
    </w:p>
    <w:p w14:paraId="7FF43B4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2.3甲方有权增加或减少采购的货物数量，乙方应无条件按投标承诺综合单价供货，不得拒绝。</w:t>
      </w:r>
    </w:p>
    <w:p w14:paraId="1055F79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2.4为保证货物正常运行，所需的所有辅助材料，投标人在报价时综合考虑，结算时不予调整。</w:t>
      </w:r>
    </w:p>
    <w:p w14:paraId="781A9B1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2.5供货前，提供小样报甲方和设计院确认。</w:t>
      </w:r>
    </w:p>
    <w:p w14:paraId="6303589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三、技术资料</w:t>
      </w:r>
    </w:p>
    <w:p w14:paraId="5F5834D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3.1乙方应按招标文件规定的时间向甲方提供使用货物的有关技术资料。</w:t>
      </w:r>
    </w:p>
    <w:p w14:paraId="2E69003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BF9B5F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3.3双方在协议书中约定本合同材料设备所执行的技术标准名称及质量要求，必要的技术方案、设计图纸、样板等共同成为生产及交货、安装验收货品的依据。</w:t>
      </w:r>
    </w:p>
    <w:p w14:paraId="331B1EC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3.4.乙方在供货中提出的合理化建议涉及到对材料/设备要求的更改及对材料/设备的换用，须经甲方同意。甲方同意采用乙方的合理化建议，所发生的费用和获得的收益，甲方乙方另行约定分担或分享。</w:t>
      </w:r>
    </w:p>
    <w:p w14:paraId="6328D09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四、知识产权</w:t>
      </w:r>
    </w:p>
    <w:p w14:paraId="46503B6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4.1 乙方应保证所提供的货物或其任何一部分均不会侵犯任何第三方的知识产权。本合同项下乙方供的货物发生任何的知识产权争议均由乙方负责处理，若由此给甲方造成损失的，由乙方按实赔偿。</w:t>
      </w:r>
    </w:p>
    <w:p w14:paraId="357195B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五、产权担保</w:t>
      </w:r>
    </w:p>
    <w:p w14:paraId="0379A48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5.1 乙方保证所交付的货物的所有权完全属于乙方且无任何抵押、查封等产权瑕疵。因乙方原因导致供给甲方的货物发生产权纠纷的，由乙方负责处理，若由此给甲方造成损失的，由乙方按实赔偿。</w:t>
      </w:r>
    </w:p>
    <w:p w14:paraId="73A7C3D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六、履约保证金</w:t>
      </w:r>
    </w:p>
    <w:p w14:paraId="7F4EE67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6.1 乙方交纳人民币</w:t>
      </w:r>
      <w:r>
        <w:rPr>
          <w:rFonts w:hint="eastAsia" w:ascii="宋体" w:hAnsi="宋体" w:eastAsia="宋体" w:cs="宋体"/>
          <w:b w:val="0"/>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元（中标价的</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）作为本合同的履约保证金，在中标通知书发出7日内以现金转账的形式缴纳至甲方指定账户，或者以见索即付保函的形式提交至甲方。合同履行完毕（验收合格）后5日内无息退还。</w:t>
      </w:r>
    </w:p>
    <w:p w14:paraId="58C3A07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七、转包或分包</w:t>
      </w:r>
    </w:p>
    <w:p w14:paraId="0C0034F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7.1本合同范围的货物，应由乙方直接供应，不得转让他人供应；</w:t>
      </w:r>
    </w:p>
    <w:p w14:paraId="55DD8E8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7.2 除非得到甲方的书面同意，乙方不得部分分包给他人供应。</w:t>
      </w:r>
    </w:p>
    <w:p w14:paraId="5661ED2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7.3如有转让和未经甲方同意的分包行为，甲方有权给予终止合同。</w:t>
      </w:r>
    </w:p>
    <w:p w14:paraId="3937545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八、质保期和质保金</w:t>
      </w:r>
    </w:p>
    <w:p w14:paraId="651628E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8.1 质保期</w:t>
      </w:r>
      <w:r>
        <w:rPr>
          <w:rFonts w:hint="eastAsia" w:ascii="宋体" w:hAnsi="宋体" w:eastAsia="宋体" w:cs="宋体"/>
          <w:b w:val="0"/>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年。（该项目货物验收合格并办理项目移交次日起计）</w:t>
      </w:r>
    </w:p>
    <w:p w14:paraId="0D7EC84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8.2 质保金：结算价的</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b w:val="0"/>
          <w:bCs/>
          <w:color w:val="000000" w:themeColor="text1"/>
          <w:sz w:val="24"/>
          <w:szCs w:val="24"/>
          <w:highlight w:val="none"/>
          <w14:textFill>
            <w14:solidFill>
              <w14:schemeClr w14:val="tx1"/>
            </w14:solidFill>
          </w14:textFill>
        </w:rPr>
        <w:t>%。</w:t>
      </w:r>
    </w:p>
    <w:p w14:paraId="1D98843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九、交货期、交货方式及交货地点</w:t>
      </w:r>
    </w:p>
    <w:p w14:paraId="041EA59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9.1 交货期：</w:t>
      </w:r>
    </w:p>
    <w:p w14:paraId="030EE36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9.2 交货方式：乙方负责送货上门，并负责将货物按照甲方或使用人要求安装、调试就位完成。</w:t>
      </w:r>
    </w:p>
    <w:p w14:paraId="485D655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9.3 交货地点：</w:t>
      </w:r>
    </w:p>
    <w:p w14:paraId="5160B87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十、货款支付</w:t>
      </w:r>
    </w:p>
    <w:p w14:paraId="2A04B8B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10.1 付款方式：</w:t>
      </w:r>
    </w:p>
    <w:p w14:paraId="23DB3C6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付款方式：</w:t>
      </w:r>
    </w:p>
    <w:p w14:paraId="63EB66E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合同签订后支付签约合同价的10%作为预付款；</w:t>
      </w:r>
    </w:p>
    <w:p w14:paraId="1AA47EA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货到现场全部安装完成并验收后付至</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已完成工程量的70</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含预付款</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p w14:paraId="15D3FA1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结算完成后付至结算价的98.5%；</w:t>
      </w:r>
    </w:p>
    <w:p w14:paraId="5756087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sz w:val="24"/>
          <w:szCs w:val="24"/>
          <w:highlight w:val="none"/>
          <w14:textFill>
            <w14:solidFill>
              <w14:schemeClr w14:val="tx1"/>
            </w14:solidFill>
          </w14:textFill>
        </w:rPr>
        <w:t>剩余</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b w:val="0"/>
          <w:bCs/>
          <w:color w:val="000000" w:themeColor="text1"/>
          <w:sz w:val="24"/>
          <w:szCs w:val="24"/>
          <w:highlight w:val="none"/>
          <w14:textFill>
            <w14:solidFill>
              <w14:schemeClr w14:val="tx1"/>
            </w14:solidFill>
          </w14:textFill>
        </w:rPr>
        <w:t>%作为质量保证金。</w:t>
      </w:r>
    </w:p>
    <w:p w14:paraId="223EE4E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color w:val="000000" w:themeColor="text1"/>
          <w:sz w:val="24"/>
          <w:szCs w:val="24"/>
          <w:highlight w:val="none"/>
          <w14:textFill>
            <w14:solidFill>
              <w14:schemeClr w14:val="tx1"/>
            </w14:solidFill>
          </w14:textFill>
        </w:rPr>
        <w:t>质保金：余下结算价的</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b w:val="0"/>
          <w:bCs/>
          <w:color w:val="000000" w:themeColor="text1"/>
          <w:sz w:val="24"/>
          <w:szCs w:val="24"/>
          <w:highlight w:val="none"/>
          <w14:textFill>
            <w14:solidFill>
              <w14:schemeClr w14:val="tx1"/>
            </w14:solidFill>
          </w14:textFill>
        </w:rPr>
        <w:t>%作为质保金待质保期满后无息退还。</w:t>
      </w:r>
    </w:p>
    <w:p w14:paraId="493B1E3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10.2合同款项支付：</w:t>
      </w:r>
    </w:p>
    <w:p w14:paraId="3443B48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10.2.1</w:t>
      </w:r>
      <w:r>
        <w:rPr>
          <w:rFonts w:hint="eastAsia" w:ascii="宋体" w:hAnsi="宋体" w:eastAsia="宋体" w:cs="宋体"/>
          <w:b w:val="0"/>
          <w:bCs/>
          <w:color w:val="000000" w:themeColor="text1"/>
          <w:sz w:val="24"/>
          <w:szCs w:val="24"/>
          <w:highlight w:val="none"/>
          <w14:textFill>
            <w14:solidFill>
              <w14:schemeClr w14:val="tx1"/>
            </w14:solidFill>
          </w14:textFill>
        </w:rPr>
        <w:tab/>
      </w:r>
      <w:r>
        <w:rPr>
          <w:rFonts w:hint="eastAsia" w:ascii="宋体" w:hAnsi="宋体" w:eastAsia="宋体" w:cs="宋体"/>
          <w:b w:val="0"/>
          <w:bCs/>
          <w:color w:val="000000" w:themeColor="text1"/>
          <w:sz w:val="24"/>
          <w:szCs w:val="24"/>
          <w:highlight w:val="none"/>
          <w14:textFill>
            <w14:solidFill>
              <w14:schemeClr w14:val="tx1"/>
            </w14:solidFill>
          </w14:textFill>
        </w:rPr>
        <w:t>付款时需提供的材料：</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按甲方要求提供</w:t>
      </w:r>
      <w:r>
        <w:rPr>
          <w:rFonts w:hint="eastAsia" w:ascii="宋体" w:hAnsi="宋体" w:eastAsia="宋体" w:cs="宋体"/>
          <w:b w:val="0"/>
          <w:bCs/>
          <w:color w:val="000000" w:themeColor="text1"/>
          <w:sz w:val="24"/>
          <w:szCs w:val="24"/>
          <w:highlight w:val="none"/>
          <w14:textFill>
            <w14:solidFill>
              <w14:schemeClr w14:val="tx1"/>
            </w14:solidFill>
          </w14:textFill>
        </w:rPr>
        <w:t>。</w:t>
      </w:r>
    </w:p>
    <w:p w14:paraId="1E51131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10.2.2</w:t>
      </w:r>
      <w:r>
        <w:rPr>
          <w:rFonts w:hint="eastAsia" w:ascii="宋体" w:hAnsi="宋体" w:eastAsia="宋体" w:cs="宋体"/>
          <w:b w:val="0"/>
          <w:bCs/>
          <w:color w:val="000000" w:themeColor="text1"/>
          <w:sz w:val="24"/>
          <w:szCs w:val="24"/>
          <w:highlight w:val="none"/>
          <w14:textFill>
            <w14:solidFill>
              <w14:schemeClr w14:val="tx1"/>
            </w14:solidFill>
          </w14:textFill>
        </w:rPr>
        <w:tab/>
      </w:r>
      <w:r>
        <w:rPr>
          <w:rFonts w:hint="eastAsia" w:ascii="宋体" w:hAnsi="宋体" w:eastAsia="宋体" w:cs="宋体"/>
          <w:b w:val="0"/>
          <w:bCs/>
          <w:color w:val="000000" w:themeColor="text1"/>
          <w:sz w:val="24"/>
          <w:szCs w:val="24"/>
          <w:highlight w:val="none"/>
          <w14:textFill>
            <w14:solidFill>
              <w14:schemeClr w14:val="tx1"/>
            </w14:solidFill>
          </w14:textFill>
        </w:rPr>
        <w:t>质量保修金退还需提供的材料：</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按甲方要求提供</w:t>
      </w:r>
      <w:r>
        <w:rPr>
          <w:rFonts w:hint="eastAsia" w:ascii="宋体" w:hAnsi="宋体" w:eastAsia="宋体" w:cs="宋体"/>
          <w:b w:val="0"/>
          <w:bCs/>
          <w:color w:val="000000" w:themeColor="text1"/>
          <w:sz w:val="24"/>
          <w:szCs w:val="24"/>
          <w:highlight w:val="none"/>
          <w14:textFill>
            <w14:solidFill>
              <w14:schemeClr w14:val="tx1"/>
            </w14:solidFill>
          </w14:textFill>
        </w:rPr>
        <w:t>。</w:t>
      </w:r>
    </w:p>
    <w:p w14:paraId="535852D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10.2.3</w:t>
      </w:r>
      <w:r>
        <w:rPr>
          <w:rFonts w:hint="eastAsia" w:ascii="宋体" w:hAnsi="宋体" w:eastAsia="宋体" w:cs="宋体"/>
          <w:b w:val="0"/>
          <w:bCs/>
          <w:color w:val="000000" w:themeColor="text1"/>
          <w:sz w:val="24"/>
          <w:szCs w:val="24"/>
          <w:highlight w:val="none"/>
          <w14:textFill>
            <w14:solidFill>
              <w14:schemeClr w14:val="tx1"/>
            </w14:solidFill>
          </w14:textFill>
        </w:rPr>
        <w:tab/>
      </w:r>
      <w:r>
        <w:rPr>
          <w:rFonts w:hint="eastAsia" w:ascii="宋体" w:hAnsi="宋体" w:eastAsia="宋体" w:cs="宋体"/>
          <w:b w:val="0"/>
          <w:bCs/>
          <w:color w:val="000000" w:themeColor="text1"/>
          <w:sz w:val="24"/>
          <w:szCs w:val="24"/>
          <w:highlight w:val="none"/>
          <w14:textFill>
            <w14:solidFill>
              <w14:schemeClr w14:val="tx1"/>
            </w14:solidFill>
          </w14:textFill>
        </w:rPr>
        <w:t>因乙方无法及时提供正确有效的付款证明文件而导致的付款延误，由乙方负责。质量、交货期达不到合同要求的，在处理完成之前，乙方无权要求甲方支付任何款项。</w:t>
      </w:r>
    </w:p>
    <w:p w14:paraId="34DD5CD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10.2.4</w:t>
      </w:r>
      <w:r>
        <w:rPr>
          <w:rFonts w:hint="eastAsia" w:ascii="宋体" w:hAnsi="宋体" w:eastAsia="宋体" w:cs="宋体"/>
          <w:b w:val="0"/>
          <w:bCs/>
          <w:color w:val="000000" w:themeColor="text1"/>
          <w:sz w:val="24"/>
          <w:szCs w:val="24"/>
          <w:highlight w:val="none"/>
          <w14:textFill>
            <w14:solidFill>
              <w14:schemeClr w14:val="tx1"/>
            </w14:solidFill>
          </w14:textFill>
        </w:rPr>
        <w:tab/>
      </w:r>
      <w:r>
        <w:rPr>
          <w:rFonts w:hint="eastAsia" w:ascii="宋体" w:hAnsi="宋体" w:eastAsia="宋体" w:cs="宋体"/>
          <w:b w:val="0"/>
          <w:bCs/>
          <w:color w:val="000000" w:themeColor="text1"/>
          <w:sz w:val="24"/>
          <w:szCs w:val="24"/>
          <w:highlight w:val="none"/>
          <w14:textFill>
            <w14:solidFill>
              <w14:schemeClr w14:val="tx1"/>
            </w14:solidFill>
          </w14:textFill>
        </w:rPr>
        <w:t>甲方根据乙方申请，在以上文件齐备后，审核当期进度款。自甲方审定之日起20个日历天内向乙方支付进度款，因付款文件不全不正确不及时引起的付款延误，由乙方承担责任，并不得影响任何工程进展及货品质量。</w:t>
      </w:r>
    </w:p>
    <w:p w14:paraId="2E513D3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十一、税费</w:t>
      </w:r>
    </w:p>
    <w:p w14:paraId="4CC897A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11.1本合同执行中相关的一切税费均由乙方负担。</w:t>
      </w:r>
    </w:p>
    <w:p w14:paraId="42993B8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十二、质量保证及售后服务</w:t>
      </w:r>
    </w:p>
    <w:p w14:paraId="159CDEC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12.1 乙方应按招标文件规定的货物性能、技术要求、质量标准向甲方提供未经使用的全新产品。</w:t>
      </w:r>
    </w:p>
    <w:p w14:paraId="270F640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12.2 乙方提供的货物在质量保证期内因货物本身的质量问题发生故障，乙方应负责免费更换。对达不到技术要求者，根据实际情况，经双方协商，可按以下办法处理：</w:t>
      </w:r>
    </w:p>
    <w:p w14:paraId="16F3C6F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⑴更换：由乙方承担所发生的全部费用。</w:t>
      </w:r>
    </w:p>
    <w:p w14:paraId="5F1E45E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⑵贬值处理：由甲乙双方合议定价。</w:t>
      </w:r>
    </w:p>
    <w:p w14:paraId="261F4C0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⑶退货处理：乙方应退还甲方支付的合同款，同时应承担该货物的直接费用（运输、保险、检验、货款利息及银行手续费等）。</w:t>
      </w:r>
    </w:p>
    <w:p w14:paraId="1715C2B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12.3如在使用过程中发生质量问题，</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在接到招标人通知后，响应时间少于1小时，并在2小时内赶到现场，6小时内排除故障。如6小时内无法排除故障，则免费质保期内免费更换产品。</w:t>
      </w:r>
    </w:p>
    <w:p w14:paraId="7F82434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12.4在质保期内，乙方应对货物出现的质量及安全问题负责处理解决并承担一切费用；若乙方接甲方通知后8小时内不派人处理的，甲方可自行处理或委托第三方处理，处理费用由甲方从乙方预留的质量保证金中相应扣除。</w:t>
      </w:r>
    </w:p>
    <w:p w14:paraId="0282C98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12.5由于乙方无法联系或维修到场不及时、材料配备不及时，视为乙方同意由甲方处理，甲方将委派他方处理，处理结果由使用方、甲方签字认可后即生效，不再经由乙方确认（甲方将处理情况知会乙方），因此所发生的一切费用并加15％违约金从乙方质保金中扣除。但不解除乙方的任何应负的责任。</w:t>
      </w:r>
    </w:p>
    <w:p w14:paraId="5FDA4C9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12.6如乙方不能维修或未能在甲方指定的合理期限内维修完好或维修过程中乙方维修质量无法达到甲方及使用方要求的，甲方有权自行另请他人代为维修并确定价格。所有修复费用及甲方损失赔偿费用加上相应违约金(修复及赔偿费的15％)可以从甲方支付乙方的任何款项（包括质保金）中扣除，但不解除乙方的任何应负的责任。</w:t>
      </w:r>
    </w:p>
    <w:p w14:paraId="517A4CD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12.7保修期限内出现的质量问题，应当保证从修复验收合格之日起一年内在相同部位不出现类似问题。否则，即使货物已超出保修期，乙方也均应予保修，相应部分保修款待维修完成延长保修满六个月后支付。</w:t>
      </w:r>
    </w:p>
    <w:p w14:paraId="637CE21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12.8上述的货物免费保修期为</w:t>
      </w:r>
      <w:r>
        <w:rPr>
          <w:rFonts w:hint="eastAsia" w:ascii="宋体" w:hAnsi="宋体" w:eastAsia="宋体" w:cs="宋体"/>
          <w:b w:val="0"/>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年，因人为因素出现的故障不在免费保修范围内。</w:t>
      </w:r>
    </w:p>
    <w:p w14:paraId="3C743FF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十三、</w:t>
      </w:r>
      <w:r>
        <w:rPr>
          <w:rFonts w:hint="eastAsia" w:ascii="宋体" w:hAnsi="宋体" w:eastAsia="宋体" w:cs="宋体"/>
          <w:b w:val="0"/>
          <w:bCs/>
          <w:color w:val="000000" w:themeColor="text1"/>
          <w:sz w:val="24"/>
          <w:szCs w:val="24"/>
          <w:highlight w:val="none"/>
          <w14:textFill>
            <w14:solidFill>
              <w14:schemeClr w14:val="tx1"/>
            </w14:solidFill>
          </w14:textFill>
        </w:rPr>
        <w:t>供货、调试和验收</w:t>
      </w:r>
    </w:p>
    <w:p w14:paraId="173D985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13.1供货、安装</w:t>
      </w:r>
    </w:p>
    <w:p w14:paraId="7746EEC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13.1.1本合同约定的供货方式为乙方送货上门，除不可抗力因素外，乙方必须按合同规定的地点、时间安排供货、卸货及搬运。</w:t>
      </w:r>
    </w:p>
    <w:p w14:paraId="2B8CB25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13.1.2乙方不能按时完成供货、运输、安装的，应当于不迟于协议书约定的开始供货日期前15天，以书面形式向甲方提出延期开始供货的理由和要求。甲方同意后供货工期相应顺延。甲方不同意延期要求或乙方未在规定时间内提出延期开始供货要求的，供货工期不予顺延。乙方未经甲方同意而未按时供货的，甲方有权解除合同，并向乙方索赔因此造成的所有损失，甲方亦可不解除合同，而要求乙方根据协议书约定支付违约金。</w:t>
      </w:r>
    </w:p>
    <w:p w14:paraId="4909DD5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13.1.3</w:t>
      </w:r>
      <w:r>
        <w:rPr>
          <w:rFonts w:hint="eastAsia" w:ascii="宋体" w:hAnsi="宋体" w:eastAsia="宋体" w:cs="宋体"/>
          <w:b w:val="0"/>
          <w:bCs/>
          <w:color w:val="000000" w:themeColor="text1"/>
          <w:sz w:val="24"/>
          <w:szCs w:val="24"/>
          <w:highlight w:val="none"/>
          <w14:textFill>
            <w14:solidFill>
              <w14:schemeClr w14:val="tx1"/>
            </w14:solidFill>
          </w14:textFill>
        </w:rPr>
        <w:tab/>
      </w:r>
      <w:r>
        <w:rPr>
          <w:rFonts w:hint="eastAsia" w:ascii="宋体" w:hAnsi="宋体" w:eastAsia="宋体" w:cs="宋体"/>
          <w:b w:val="0"/>
          <w:bCs/>
          <w:color w:val="000000" w:themeColor="text1"/>
          <w:sz w:val="24"/>
          <w:szCs w:val="24"/>
          <w:highlight w:val="none"/>
          <w14:textFill>
            <w14:solidFill>
              <w14:schemeClr w14:val="tx1"/>
            </w14:solidFill>
          </w14:textFill>
        </w:rPr>
        <w:t>乙方送货前24小时通知甲方相关部门。待货物全部到场且按照甲方或使用方要求安装调试就位完成后，乙方应无条件配合甲方完成验收工作。</w:t>
      </w:r>
    </w:p>
    <w:p w14:paraId="268A94C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13.1.4</w:t>
      </w:r>
      <w:r>
        <w:rPr>
          <w:rFonts w:hint="eastAsia" w:ascii="宋体" w:hAnsi="宋体" w:eastAsia="宋体" w:cs="宋体"/>
          <w:b w:val="0"/>
          <w:bCs/>
          <w:color w:val="000000" w:themeColor="text1"/>
          <w:sz w:val="24"/>
          <w:szCs w:val="24"/>
          <w:highlight w:val="none"/>
          <w14:textFill>
            <w14:solidFill>
              <w14:schemeClr w14:val="tx1"/>
            </w14:solidFill>
          </w14:textFill>
        </w:rPr>
        <w:tab/>
      </w:r>
      <w:r>
        <w:rPr>
          <w:rFonts w:hint="eastAsia" w:ascii="宋体" w:hAnsi="宋体" w:eastAsia="宋体" w:cs="宋体"/>
          <w:b w:val="0"/>
          <w:bCs/>
          <w:color w:val="000000" w:themeColor="text1"/>
          <w:sz w:val="24"/>
          <w:szCs w:val="24"/>
          <w:highlight w:val="none"/>
          <w14:textFill>
            <w14:solidFill>
              <w14:schemeClr w14:val="tx1"/>
            </w14:solidFill>
          </w14:textFill>
        </w:rPr>
        <w:t>乙方应无条件接受甲方对供货期调整、暂停供货、恢复供货的要求，具体方式为：甲方提前15天发出有甲方代表签发的书面通知，乙方代表进行书面确认后即可执行。</w:t>
      </w:r>
    </w:p>
    <w:p w14:paraId="014834F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13.2.调试和验收</w:t>
      </w:r>
    </w:p>
    <w:p w14:paraId="6356071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13.2.1</w:t>
      </w:r>
      <w:r>
        <w:rPr>
          <w:rFonts w:hint="eastAsia" w:ascii="宋体" w:hAnsi="宋体" w:eastAsia="宋体" w:cs="宋体"/>
          <w:b w:val="0"/>
          <w:bCs/>
          <w:color w:val="000000" w:themeColor="text1"/>
          <w:sz w:val="24"/>
          <w:szCs w:val="24"/>
          <w:highlight w:val="none"/>
          <w14:textFill>
            <w14:solidFill>
              <w14:schemeClr w14:val="tx1"/>
            </w14:solidFill>
          </w14:textFill>
        </w:rPr>
        <w:tab/>
      </w:r>
      <w:r>
        <w:rPr>
          <w:rFonts w:hint="eastAsia" w:ascii="宋体" w:hAnsi="宋体" w:eastAsia="宋体" w:cs="宋体"/>
          <w:b w:val="0"/>
          <w:bCs/>
          <w:color w:val="000000" w:themeColor="text1"/>
          <w:sz w:val="24"/>
          <w:szCs w:val="24"/>
          <w:highlight w:val="none"/>
          <w14:textFill>
            <w14:solidFill>
              <w14:schemeClr w14:val="tx1"/>
            </w14:solidFill>
          </w14:textFill>
        </w:rPr>
        <w:t>乙方将货物按照甲方或使用人要求安装、调试就位完成，向甲方提交验收申请后，由甲方组织验收，</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交货产品</w:t>
      </w:r>
      <w:r>
        <w:rPr>
          <w:rFonts w:hint="eastAsia" w:ascii="宋体" w:hAnsi="宋体" w:eastAsia="宋体" w:cs="宋体"/>
          <w:b w:val="0"/>
          <w:bCs/>
          <w:color w:val="000000" w:themeColor="text1"/>
          <w:sz w:val="24"/>
          <w:szCs w:val="24"/>
          <w:highlight w:val="none"/>
          <w14:textFill>
            <w14:solidFill>
              <w14:schemeClr w14:val="tx1"/>
            </w14:solidFill>
          </w14:textFill>
        </w:rPr>
        <w:t>（包括零部件）必须符合国家质量检测标准、符合</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合同标的物</w:t>
      </w:r>
      <w:r>
        <w:rPr>
          <w:rFonts w:hint="eastAsia" w:ascii="宋体" w:hAnsi="宋体" w:eastAsia="宋体" w:cs="宋体"/>
          <w:b w:val="0"/>
          <w:bCs/>
          <w:color w:val="000000" w:themeColor="text1"/>
          <w:sz w:val="24"/>
          <w:szCs w:val="24"/>
          <w:highlight w:val="none"/>
          <w14:textFill>
            <w14:solidFill>
              <w14:schemeClr w14:val="tx1"/>
            </w14:solidFill>
          </w14:textFill>
        </w:rPr>
        <w:t>中的规格、材质等要求</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同时需提供交货产品的合格证书给甲方用于验收，</w:t>
      </w:r>
      <w:r>
        <w:rPr>
          <w:rFonts w:hint="eastAsia" w:ascii="宋体" w:hAnsi="宋体" w:eastAsia="宋体" w:cs="宋体"/>
          <w:b w:val="0"/>
          <w:bCs/>
          <w:color w:val="000000" w:themeColor="text1"/>
          <w:sz w:val="24"/>
          <w:szCs w:val="24"/>
          <w:highlight w:val="none"/>
          <w14:textFill>
            <w14:solidFill>
              <w14:schemeClr w14:val="tx1"/>
            </w14:solidFill>
          </w14:textFill>
        </w:rPr>
        <w:t>参与验收人员根据国家相应的验收标准、本合同约定的计量方式、技术标准、质量要求及封样进行交货计量和验收，验收合格且经各方签字后即表示交货验收完成，但并不免除任何乙方对交货产品存在质量、制造、设计、性能方面的缺陷和不合格的责任、违约责任和对甲方造成损失的赔偿。</w:t>
      </w:r>
    </w:p>
    <w:p w14:paraId="26FF1DD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13.2.2</w:t>
      </w:r>
      <w:r>
        <w:rPr>
          <w:rFonts w:hint="eastAsia" w:ascii="宋体" w:hAnsi="宋体" w:eastAsia="宋体" w:cs="宋体"/>
          <w:b w:val="0"/>
          <w:bCs/>
          <w:color w:val="000000" w:themeColor="text1"/>
          <w:sz w:val="24"/>
          <w:szCs w:val="24"/>
          <w:highlight w:val="none"/>
          <w14:textFill>
            <w14:solidFill>
              <w14:schemeClr w14:val="tx1"/>
            </w14:solidFill>
          </w14:textFill>
        </w:rPr>
        <w:tab/>
      </w:r>
      <w:r>
        <w:rPr>
          <w:rFonts w:hint="eastAsia" w:ascii="宋体" w:hAnsi="宋体" w:eastAsia="宋体" w:cs="宋体"/>
          <w:b w:val="0"/>
          <w:bCs/>
          <w:color w:val="000000" w:themeColor="text1"/>
          <w:sz w:val="24"/>
          <w:szCs w:val="24"/>
          <w:highlight w:val="none"/>
          <w14:textFill>
            <w14:solidFill>
              <w14:schemeClr w14:val="tx1"/>
            </w14:solidFill>
          </w14:textFill>
        </w:rPr>
        <w:t>不符合验收标准的货物，甲方有权拒收、部分拒收、退货、部分退货、解除合同，并向乙方索赔因此造成的甲方损失。验收不合格的货物，甲方不予计量和支付任何货款。</w:t>
      </w:r>
    </w:p>
    <w:p w14:paraId="72F8720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13.2.3 乙方交货前应对产品做出全面检查和对验收文件进行整理，并列出清单，作为甲方收货验收和使用的技术条件依据，检验的结果应随货物交甲方。</w:t>
      </w:r>
    </w:p>
    <w:p w14:paraId="081F1C3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13.2.4 对技术复杂的货物，甲方应请国家认可的专业检测机构参与初步验收及最终验收，并由其出具质量检测报告。</w:t>
      </w:r>
    </w:p>
    <w:p w14:paraId="04DAFB7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13.2.5 验收时乙方必须在现场，验收完毕后作出验收结果报告；验收费用已包含在合同内。</w:t>
      </w:r>
    </w:p>
    <w:p w14:paraId="3E4105B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十四、货物包装、发运、运输及安装</w:t>
      </w:r>
    </w:p>
    <w:p w14:paraId="68EDF9B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14.1 乙方应在货物发运前对其进行满足运输距离、防潮、防震、防锈和防破损装卸等要求包装，以保证货物安全运达甲方指定地点。</w:t>
      </w:r>
    </w:p>
    <w:p w14:paraId="7C27EF0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14.2 使用说明书、质量检验证明书、随配附件和工具以及清单一并附于货物内。</w:t>
      </w:r>
    </w:p>
    <w:p w14:paraId="6C0C657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14.3 乙方在货物发运手续办理完毕后24小时内或货到甲方的48小时前通知甲方，以准备接货。待货物全部到场后且按照甲方或使用方要求安装、调试、就位完成后，乙方应无条件配合甲方于5个日历天内完成验收工作。</w:t>
      </w:r>
    </w:p>
    <w:p w14:paraId="343EB5A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14.4 货物在未经验收合格并交付甲方使用前，货物的成品与半成品的保管及保护均由乙方负责，保管及保护费用由乙方在投标报价中综合考虑，结算时不再计取。</w:t>
      </w:r>
    </w:p>
    <w:p w14:paraId="550AA43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14.5 货物在规定的交付期限内由乙方送达甲方指定的地点，同时需通知甲方对货物数量、外观尺寸进行核对。</w:t>
      </w:r>
    </w:p>
    <w:p w14:paraId="6913D69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14.6 货到现场，乙方须在规定的时间内完成搬运、装配、强弱电布线、开孔等安装工作，如甲方需调整货物位置，乙方须无条件配合保证货物能准确安装到位。</w:t>
      </w:r>
    </w:p>
    <w:p w14:paraId="559937D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十五、违约责任</w:t>
      </w:r>
    </w:p>
    <w:p w14:paraId="4C42CE0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15.1 乙方逾期完成供货、运输、安装、施工工作的，乙方应按每延误一日以人民币1000元的标准向甲方支付违约金，由甲方从待付货款中扣除。逾期超过约定日期10个日历天不能完成供货、运输、安装、施工工作的，甲方可解除本合同。乙方因逾期交货或因其他违约行为导致甲方解除合同的，甲方可没收乙方的履约保证</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金</w:t>
      </w:r>
      <w:r>
        <w:rPr>
          <w:rFonts w:hint="eastAsia" w:ascii="宋体" w:hAnsi="宋体" w:eastAsia="宋体" w:cs="宋体"/>
          <w:b w:val="0"/>
          <w:bCs/>
          <w:color w:val="000000" w:themeColor="text1"/>
          <w:sz w:val="24"/>
          <w:szCs w:val="24"/>
          <w:highlight w:val="none"/>
          <w14:textFill>
            <w14:solidFill>
              <w14:schemeClr w14:val="tx1"/>
            </w14:solidFill>
          </w14:textFill>
        </w:rPr>
        <w:t xml:space="preserve">作为违约金，如造成甲方损失超过违约金的，超出部分由乙方继续承担赔偿责任。 </w:t>
      </w:r>
    </w:p>
    <w:p w14:paraId="46B53A2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15.2 乙方安装完成所交的货物品种、型号、规格、技术参数、质量不符合合同规定及招标文件规定标准的，甲方有权拒收该货物，乙方愿意更换货物但逾期交货的，按乙方逾期交货处理。乙方拒绝更换货物的，甲方可单方面解除合同。由于乙方拒绝造成的损失，甲方有权没收乙方履约保证金。造成损失高于履约保证金，需由乙方负责相应损失。</w:t>
      </w:r>
    </w:p>
    <w:p w14:paraId="6D9E434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15.3本合同中所有乙方应支付的违约金，甲方有权在给乙方的任何款项中扣除。</w:t>
      </w:r>
    </w:p>
    <w:p w14:paraId="4594F46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15.4如乙方在本项目有违反廉政规定并被纪检部门或司法机关查处的，则乙方向甲方支付合同价10%的违约金。</w:t>
      </w:r>
    </w:p>
    <w:p w14:paraId="7867DC8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十六、不可抗力事件处理</w:t>
      </w:r>
    </w:p>
    <w:p w14:paraId="0377735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16.1 在合同有效期内，任何一方因不可抗力事件导致不能履行合同，则合同履行期可延长，其延长期与不可抗力影响期相同。</w:t>
      </w:r>
    </w:p>
    <w:p w14:paraId="0E31B79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16.2 不可抗力事件发生后，应立即通知对方，并寄送有关权威机构出具的证明。</w:t>
      </w:r>
    </w:p>
    <w:p w14:paraId="513DFCB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16.3 不可抗力事件延续120天以上，双方应通过友好协商，确定是否继续履行合同。</w:t>
      </w:r>
    </w:p>
    <w:p w14:paraId="6F0F85D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十七、诉讼</w:t>
      </w:r>
    </w:p>
    <w:p w14:paraId="70E9BDE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17.1 双方在执行合同中所发生的一切争议，应通过协商解决。如协商不成，可向</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工程所在地人民</w:t>
      </w:r>
      <w:r>
        <w:rPr>
          <w:rFonts w:hint="eastAsia" w:ascii="宋体" w:hAnsi="宋体" w:eastAsia="宋体" w:cs="宋体"/>
          <w:b w:val="0"/>
          <w:bCs/>
          <w:color w:val="000000" w:themeColor="text1"/>
          <w:sz w:val="24"/>
          <w:szCs w:val="24"/>
          <w:highlight w:val="none"/>
          <w14:textFill>
            <w14:solidFill>
              <w14:schemeClr w14:val="tx1"/>
            </w14:solidFill>
          </w14:textFill>
        </w:rPr>
        <w:t>法院起诉。</w:t>
      </w:r>
    </w:p>
    <w:p w14:paraId="423A538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十八、合同生效及其它</w:t>
      </w:r>
    </w:p>
    <w:p w14:paraId="1C3C53C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18.1 合同经双方法定代表人</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或授权委托代理人</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签字</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或盖章</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并加盖单位公章后生效。</w:t>
      </w:r>
    </w:p>
    <w:p w14:paraId="68BAE4B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18.2本合同未尽事宜，遵照《民法典》有关条文执行。</w:t>
      </w:r>
    </w:p>
    <w:p w14:paraId="06A432A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18.3本合同一式</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份。甲乙双方各执</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份，具有同等法律效力。</w:t>
      </w:r>
    </w:p>
    <w:p w14:paraId="5129EAB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p>
    <w:p w14:paraId="01A0332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甲方：                                   乙方： </w:t>
      </w:r>
    </w:p>
    <w:p w14:paraId="48494D7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地址：                                   地址： </w:t>
      </w:r>
    </w:p>
    <w:p w14:paraId="57D6F1C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法定（授权）代表人：                     法定（授权）代表人：</w:t>
      </w:r>
    </w:p>
    <w:p w14:paraId="6E54D66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签订日期：     年　  月　 日            签订日期：     年　  月　 日</w:t>
      </w:r>
    </w:p>
    <w:p w14:paraId="2462C05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sectPr>
          <w:footerReference r:id="rId6" w:type="default"/>
          <w:pgSz w:w="11907" w:h="16840"/>
          <w:pgMar w:top="1247" w:right="1361" w:bottom="1247" w:left="1361" w:header="720" w:footer="720" w:gutter="0"/>
          <w:pgNumType w:fmt="decimal"/>
          <w:cols w:space="720" w:num="1"/>
          <w:docGrid w:type="lines" w:linePitch="435" w:charSpace="0"/>
        </w:sectPr>
      </w:pPr>
    </w:p>
    <w:bookmarkEnd w:id="21"/>
    <w:bookmarkEnd w:id="22"/>
    <w:bookmarkEnd w:id="23"/>
    <w:bookmarkEnd w:id="24"/>
    <w:p w14:paraId="16DF0DB6">
      <w:pPr>
        <w:jc w:val="center"/>
        <w:rPr>
          <w:rFonts w:hAnsi="宋体"/>
          <w:b/>
          <w:color w:val="000000" w:themeColor="text1"/>
          <w:sz w:val="30"/>
          <w:szCs w:val="30"/>
          <w:highlight w:val="none"/>
          <w14:textFill>
            <w14:solidFill>
              <w14:schemeClr w14:val="tx1"/>
            </w14:solidFill>
          </w14:textFill>
        </w:rPr>
      </w:pPr>
      <w:bookmarkStart w:id="25" w:name="_Toc4865"/>
      <w:r>
        <w:rPr>
          <w:rFonts w:hAnsi="宋体"/>
          <w:b/>
          <w:color w:val="000000" w:themeColor="text1"/>
          <w:sz w:val="30"/>
          <w:szCs w:val="30"/>
          <w:highlight w:val="none"/>
          <w14:textFill>
            <w14:solidFill>
              <w14:schemeClr w14:val="tx1"/>
            </w14:solidFill>
          </w14:textFill>
        </w:rPr>
        <w:t>第六章　投标文件格式</w:t>
      </w:r>
      <w:bookmarkEnd w:id="25"/>
    </w:p>
    <w:p w14:paraId="1564B668">
      <w:pPr>
        <w:spacing w:line="500" w:lineRule="exact"/>
        <w:jc w:val="left"/>
        <w:outlineLvl w:val="9"/>
        <w:rPr>
          <w:rFonts w:ascii="宋体" w:hAnsi="宋体"/>
          <w:color w:val="000000" w:themeColor="text1"/>
          <w:sz w:val="24"/>
          <w:highlight w:val="none"/>
          <w14:textFill>
            <w14:solidFill>
              <w14:schemeClr w14:val="tx1"/>
            </w14:solidFill>
          </w14:textFill>
        </w:rPr>
      </w:pPr>
    </w:p>
    <w:p w14:paraId="1CE8776E">
      <w:pPr>
        <w:spacing w:line="500" w:lineRule="exact"/>
        <w:jc w:val="left"/>
        <w:outlineLvl w:val="9"/>
        <w:rPr>
          <w:rFonts w:ascii="宋体" w:hAnsi="宋体"/>
          <w:color w:val="000000" w:themeColor="text1"/>
          <w:sz w:val="24"/>
          <w:highlight w:val="none"/>
          <w14:textFill>
            <w14:solidFill>
              <w14:schemeClr w14:val="tx1"/>
            </w14:solidFill>
          </w14:textFill>
        </w:rPr>
      </w:pPr>
    </w:p>
    <w:p w14:paraId="3A06587F">
      <w:pPr>
        <w:spacing w:line="500" w:lineRule="exact"/>
        <w:jc w:val="left"/>
        <w:outlineLvl w:val="9"/>
        <w:rPr>
          <w:rFonts w:ascii="宋体" w:hAnsi="宋体"/>
          <w:color w:val="000000" w:themeColor="text1"/>
          <w:sz w:val="24"/>
          <w:highlight w:val="none"/>
          <w14:textFill>
            <w14:solidFill>
              <w14:schemeClr w14:val="tx1"/>
            </w14:solidFill>
          </w14:textFill>
        </w:rPr>
      </w:pPr>
    </w:p>
    <w:p w14:paraId="3093B7DB">
      <w:pPr>
        <w:spacing w:line="500" w:lineRule="exact"/>
        <w:jc w:val="left"/>
        <w:outlineLvl w:val="9"/>
        <w:rPr>
          <w:rFonts w:ascii="宋体" w:hAnsi="宋体"/>
          <w:color w:val="000000" w:themeColor="text1"/>
          <w:sz w:val="24"/>
          <w:highlight w:val="none"/>
          <w14:textFill>
            <w14:solidFill>
              <w14:schemeClr w14:val="tx1"/>
            </w14:solidFill>
          </w14:textFill>
        </w:rPr>
      </w:pPr>
    </w:p>
    <w:p w14:paraId="34187698">
      <w:pPr>
        <w:spacing w:line="500" w:lineRule="exact"/>
        <w:jc w:val="left"/>
        <w:outlineLvl w:val="9"/>
        <w:rPr>
          <w:rFonts w:ascii="宋体" w:hAnsi="宋体"/>
          <w:color w:val="000000" w:themeColor="text1"/>
          <w:sz w:val="24"/>
          <w:highlight w:val="none"/>
          <w14:textFill>
            <w14:solidFill>
              <w14:schemeClr w14:val="tx1"/>
            </w14:solidFill>
          </w14:textFill>
        </w:rPr>
      </w:pPr>
    </w:p>
    <w:p w14:paraId="31BE2EEB">
      <w:pPr>
        <w:spacing w:line="500" w:lineRule="exact"/>
        <w:jc w:val="left"/>
        <w:outlineLvl w:val="9"/>
        <w:rPr>
          <w:rFonts w:ascii="宋体" w:hAnsi="宋体"/>
          <w:color w:val="000000" w:themeColor="text1"/>
          <w:sz w:val="24"/>
          <w:highlight w:val="none"/>
          <w14:textFill>
            <w14:solidFill>
              <w14:schemeClr w14:val="tx1"/>
            </w14:solidFill>
          </w14:textFill>
        </w:rPr>
      </w:pPr>
    </w:p>
    <w:p w14:paraId="22DAF350">
      <w:pPr>
        <w:spacing w:line="500" w:lineRule="exact"/>
        <w:jc w:val="left"/>
        <w:outlineLvl w:val="9"/>
        <w:rPr>
          <w:rFonts w:ascii="宋体" w:hAnsi="宋体"/>
          <w:color w:val="000000" w:themeColor="text1"/>
          <w:sz w:val="24"/>
          <w:highlight w:val="none"/>
          <w14:textFill>
            <w14:solidFill>
              <w14:schemeClr w14:val="tx1"/>
            </w14:solidFill>
          </w14:textFill>
        </w:rPr>
      </w:pPr>
    </w:p>
    <w:p w14:paraId="283B9AAF">
      <w:pPr>
        <w:spacing w:line="500" w:lineRule="exact"/>
        <w:jc w:val="left"/>
        <w:outlineLvl w:val="9"/>
        <w:rPr>
          <w:rFonts w:ascii="宋体" w:hAnsi="宋体"/>
          <w:color w:val="000000" w:themeColor="text1"/>
          <w:sz w:val="24"/>
          <w:highlight w:val="none"/>
          <w14:textFill>
            <w14:solidFill>
              <w14:schemeClr w14:val="tx1"/>
            </w14:solidFill>
          </w14:textFill>
        </w:rPr>
      </w:pPr>
    </w:p>
    <w:p w14:paraId="2DA70E90">
      <w:pPr>
        <w:spacing w:line="500" w:lineRule="exact"/>
        <w:jc w:val="left"/>
        <w:outlineLvl w:val="9"/>
        <w:rPr>
          <w:rFonts w:ascii="宋体" w:hAnsi="宋体"/>
          <w:color w:val="000000" w:themeColor="text1"/>
          <w:sz w:val="24"/>
          <w:highlight w:val="none"/>
          <w14:textFill>
            <w14:solidFill>
              <w14:schemeClr w14:val="tx1"/>
            </w14:solidFill>
          </w14:textFill>
        </w:rPr>
      </w:pPr>
    </w:p>
    <w:p w14:paraId="6A22B6D4">
      <w:pPr>
        <w:spacing w:line="500" w:lineRule="exact"/>
        <w:jc w:val="left"/>
        <w:outlineLvl w:val="9"/>
        <w:rPr>
          <w:rFonts w:ascii="宋体" w:hAnsi="宋体"/>
          <w:color w:val="000000" w:themeColor="text1"/>
          <w:sz w:val="24"/>
          <w:highlight w:val="none"/>
          <w14:textFill>
            <w14:solidFill>
              <w14:schemeClr w14:val="tx1"/>
            </w14:solidFill>
          </w14:textFill>
        </w:rPr>
      </w:pPr>
    </w:p>
    <w:p w14:paraId="0B5EF419">
      <w:pPr>
        <w:spacing w:line="500" w:lineRule="exact"/>
        <w:jc w:val="left"/>
        <w:outlineLvl w:val="9"/>
        <w:rPr>
          <w:rFonts w:ascii="宋体" w:hAnsi="宋体"/>
          <w:color w:val="000000" w:themeColor="text1"/>
          <w:sz w:val="24"/>
          <w:highlight w:val="none"/>
          <w14:textFill>
            <w14:solidFill>
              <w14:schemeClr w14:val="tx1"/>
            </w14:solidFill>
          </w14:textFill>
        </w:rPr>
      </w:pPr>
    </w:p>
    <w:p w14:paraId="141A7802">
      <w:pPr>
        <w:spacing w:line="500" w:lineRule="exact"/>
        <w:jc w:val="left"/>
        <w:outlineLvl w:val="9"/>
        <w:rPr>
          <w:rFonts w:ascii="宋体" w:hAnsi="宋体"/>
          <w:color w:val="000000" w:themeColor="text1"/>
          <w:sz w:val="24"/>
          <w:highlight w:val="none"/>
          <w14:textFill>
            <w14:solidFill>
              <w14:schemeClr w14:val="tx1"/>
            </w14:solidFill>
          </w14:textFill>
        </w:rPr>
      </w:pPr>
    </w:p>
    <w:p w14:paraId="582E64A8">
      <w:pPr>
        <w:spacing w:line="500" w:lineRule="exact"/>
        <w:jc w:val="left"/>
        <w:outlineLvl w:val="9"/>
        <w:rPr>
          <w:rFonts w:ascii="宋体" w:hAnsi="宋体"/>
          <w:color w:val="000000" w:themeColor="text1"/>
          <w:sz w:val="24"/>
          <w:highlight w:val="none"/>
          <w14:textFill>
            <w14:solidFill>
              <w14:schemeClr w14:val="tx1"/>
            </w14:solidFill>
          </w14:textFill>
        </w:rPr>
      </w:pPr>
    </w:p>
    <w:p w14:paraId="52F98FF7">
      <w:pPr>
        <w:spacing w:line="500" w:lineRule="exact"/>
        <w:jc w:val="left"/>
        <w:outlineLvl w:val="9"/>
        <w:rPr>
          <w:rFonts w:ascii="宋体" w:hAnsi="宋体"/>
          <w:color w:val="000000" w:themeColor="text1"/>
          <w:sz w:val="24"/>
          <w:highlight w:val="none"/>
          <w14:textFill>
            <w14:solidFill>
              <w14:schemeClr w14:val="tx1"/>
            </w14:solidFill>
          </w14:textFill>
        </w:rPr>
      </w:pPr>
    </w:p>
    <w:p w14:paraId="62F8F5A4">
      <w:pPr>
        <w:spacing w:line="500" w:lineRule="exact"/>
        <w:jc w:val="left"/>
        <w:outlineLvl w:val="9"/>
        <w:rPr>
          <w:rFonts w:ascii="宋体" w:hAnsi="宋体"/>
          <w:color w:val="000000" w:themeColor="text1"/>
          <w:sz w:val="24"/>
          <w:highlight w:val="none"/>
          <w14:textFill>
            <w14:solidFill>
              <w14:schemeClr w14:val="tx1"/>
            </w14:solidFill>
          </w14:textFill>
        </w:rPr>
      </w:pPr>
    </w:p>
    <w:p w14:paraId="77C985B7">
      <w:pPr>
        <w:spacing w:line="500" w:lineRule="exact"/>
        <w:jc w:val="left"/>
        <w:outlineLvl w:val="9"/>
        <w:rPr>
          <w:rFonts w:ascii="宋体" w:hAnsi="宋体"/>
          <w:color w:val="000000" w:themeColor="text1"/>
          <w:sz w:val="24"/>
          <w:highlight w:val="none"/>
          <w14:textFill>
            <w14:solidFill>
              <w14:schemeClr w14:val="tx1"/>
            </w14:solidFill>
          </w14:textFill>
        </w:rPr>
      </w:pPr>
    </w:p>
    <w:p w14:paraId="268E9924">
      <w:pPr>
        <w:spacing w:line="500" w:lineRule="exact"/>
        <w:jc w:val="left"/>
        <w:outlineLvl w:val="9"/>
        <w:rPr>
          <w:rFonts w:ascii="宋体" w:hAnsi="宋体"/>
          <w:color w:val="000000" w:themeColor="text1"/>
          <w:sz w:val="24"/>
          <w:highlight w:val="none"/>
          <w14:textFill>
            <w14:solidFill>
              <w14:schemeClr w14:val="tx1"/>
            </w14:solidFill>
          </w14:textFill>
        </w:rPr>
      </w:pPr>
    </w:p>
    <w:p w14:paraId="0125BAF8">
      <w:pPr>
        <w:spacing w:line="500" w:lineRule="exact"/>
        <w:jc w:val="left"/>
        <w:outlineLvl w:val="9"/>
        <w:rPr>
          <w:rFonts w:ascii="宋体" w:hAnsi="宋体"/>
          <w:color w:val="000000" w:themeColor="text1"/>
          <w:sz w:val="24"/>
          <w:highlight w:val="none"/>
          <w14:textFill>
            <w14:solidFill>
              <w14:schemeClr w14:val="tx1"/>
            </w14:solidFill>
          </w14:textFill>
        </w:rPr>
      </w:pPr>
    </w:p>
    <w:p w14:paraId="260F9C10">
      <w:pPr>
        <w:spacing w:line="500" w:lineRule="exact"/>
        <w:jc w:val="left"/>
        <w:outlineLvl w:val="9"/>
        <w:rPr>
          <w:rFonts w:ascii="宋体" w:hAnsi="宋体"/>
          <w:color w:val="000000" w:themeColor="text1"/>
          <w:sz w:val="24"/>
          <w:highlight w:val="none"/>
          <w14:textFill>
            <w14:solidFill>
              <w14:schemeClr w14:val="tx1"/>
            </w14:solidFill>
          </w14:textFill>
        </w:rPr>
      </w:pPr>
    </w:p>
    <w:p w14:paraId="7C2E202D">
      <w:pPr>
        <w:spacing w:line="500" w:lineRule="exact"/>
        <w:jc w:val="left"/>
        <w:outlineLvl w:val="9"/>
        <w:rPr>
          <w:rFonts w:ascii="宋体" w:hAnsi="宋体"/>
          <w:color w:val="000000" w:themeColor="text1"/>
          <w:sz w:val="24"/>
          <w:highlight w:val="none"/>
          <w14:textFill>
            <w14:solidFill>
              <w14:schemeClr w14:val="tx1"/>
            </w14:solidFill>
          </w14:textFill>
        </w:rPr>
      </w:pPr>
    </w:p>
    <w:p w14:paraId="7B823DC6">
      <w:pPr>
        <w:spacing w:line="500" w:lineRule="exact"/>
        <w:jc w:val="left"/>
        <w:outlineLvl w:val="9"/>
        <w:rPr>
          <w:rFonts w:ascii="宋体" w:hAnsi="宋体"/>
          <w:color w:val="000000" w:themeColor="text1"/>
          <w:sz w:val="24"/>
          <w:highlight w:val="none"/>
          <w14:textFill>
            <w14:solidFill>
              <w14:schemeClr w14:val="tx1"/>
            </w14:solidFill>
          </w14:textFill>
        </w:rPr>
      </w:pPr>
    </w:p>
    <w:p w14:paraId="02548495">
      <w:pPr>
        <w:spacing w:line="500" w:lineRule="exact"/>
        <w:jc w:val="left"/>
        <w:outlineLvl w:val="9"/>
        <w:rPr>
          <w:rFonts w:ascii="宋体" w:hAnsi="宋体"/>
          <w:color w:val="000000" w:themeColor="text1"/>
          <w:sz w:val="24"/>
          <w:highlight w:val="none"/>
          <w14:textFill>
            <w14:solidFill>
              <w14:schemeClr w14:val="tx1"/>
            </w14:solidFill>
          </w14:textFill>
        </w:rPr>
      </w:pPr>
    </w:p>
    <w:p w14:paraId="70E66085">
      <w:pPr>
        <w:spacing w:line="500" w:lineRule="exact"/>
        <w:jc w:val="left"/>
        <w:outlineLvl w:val="9"/>
        <w:rPr>
          <w:rFonts w:ascii="宋体" w:hAnsi="宋体"/>
          <w:color w:val="000000" w:themeColor="text1"/>
          <w:sz w:val="24"/>
          <w:highlight w:val="none"/>
          <w14:textFill>
            <w14:solidFill>
              <w14:schemeClr w14:val="tx1"/>
            </w14:solidFill>
          </w14:textFill>
        </w:rPr>
      </w:pPr>
    </w:p>
    <w:p w14:paraId="646D12DB">
      <w:pPr>
        <w:spacing w:line="500" w:lineRule="exact"/>
        <w:jc w:val="left"/>
        <w:outlineLvl w:val="9"/>
        <w:rPr>
          <w:rFonts w:ascii="宋体" w:hAnsi="宋体"/>
          <w:color w:val="000000" w:themeColor="text1"/>
          <w:sz w:val="24"/>
          <w:highlight w:val="none"/>
          <w14:textFill>
            <w14:solidFill>
              <w14:schemeClr w14:val="tx1"/>
            </w14:solidFill>
          </w14:textFill>
        </w:rPr>
      </w:pPr>
    </w:p>
    <w:p w14:paraId="48B235E5">
      <w:pPr>
        <w:spacing w:line="500" w:lineRule="exact"/>
        <w:jc w:val="left"/>
        <w:outlineLvl w:val="9"/>
        <w:rPr>
          <w:rFonts w:ascii="宋体" w:hAnsi="宋体"/>
          <w:color w:val="000000" w:themeColor="text1"/>
          <w:sz w:val="24"/>
          <w:highlight w:val="none"/>
          <w14:textFill>
            <w14:solidFill>
              <w14:schemeClr w14:val="tx1"/>
            </w14:solidFill>
          </w14:textFill>
        </w:rPr>
      </w:pPr>
    </w:p>
    <w:p w14:paraId="5D587B2C">
      <w:pPr>
        <w:spacing w:line="500" w:lineRule="exact"/>
        <w:jc w:val="left"/>
        <w:outlineLvl w:val="9"/>
        <w:rPr>
          <w:rFonts w:ascii="宋体" w:hAnsi="宋体"/>
          <w:color w:val="000000" w:themeColor="text1"/>
          <w:sz w:val="24"/>
          <w:highlight w:val="none"/>
          <w14:textFill>
            <w14:solidFill>
              <w14:schemeClr w14:val="tx1"/>
            </w14:solidFill>
          </w14:textFill>
        </w:rPr>
      </w:pPr>
    </w:p>
    <w:p w14:paraId="69C79632">
      <w:pPr>
        <w:spacing w:line="500" w:lineRule="exact"/>
        <w:jc w:val="left"/>
        <w:outlineLvl w:val="9"/>
        <w:rPr>
          <w:rFonts w:ascii="宋体" w:hAnsi="宋体"/>
          <w:color w:val="000000" w:themeColor="text1"/>
          <w:sz w:val="24"/>
          <w:highlight w:val="none"/>
          <w14:textFill>
            <w14:solidFill>
              <w14:schemeClr w14:val="tx1"/>
            </w14:solidFill>
          </w14:textFill>
        </w:rPr>
      </w:pPr>
    </w:p>
    <w:p w14:paraId="29F315F0">
      <w:pPr>
        <w:spacing w:line="500" w:lineRule="exact"/>
        <w:jc w:val="left"/>
        <w:outlineLvl w:val="0"/>
        <w:rPr>
          <w:rFonts w:ascii="宋体" w:hAnsi="宋体"/>
          <w:b/>
          <w:bCs/>
          <w:color w:val="000000" w:themeColor="text1"/>
          <w:sz w:val="24"/>
          <w:highlight w:val="none"/>
          <w14:textFill>
            <w14:solidFill>
              <w14:schemeClr w14:val="tx1"/>
            </w14:solidFill>
          </w14:textFill>
        </w:rPr>
      </w:pPr>
      <w:bookmarkStart w:id="26" w:name="_Toc29778"/>
      <w:r>
        <w:rPr>
          <w:rFonts w:hint="eastAsia" w:ascii="宋体" w:hAnsi="宋体"/>
          <w:b/>
          <w:bCs/>
          <w:color w:val="000000" w:themeColor="text1"/>
          <w:sz w:val="24"/>
          <w:highlight w:val="none"/>
          <w14:textFill>
            <w14:solidFill>
              <w14:schemeClr w14:val="tx1"/>
            </w14:solidFill>
          </w14:textFill>
        </w:rPr>
        <w:t>附件1：</w:t>
      </w:r>
      <w:bookmarkEnd w:id="26"/>
    </w:p>
    <w:p w14:paraId="5D4B0810">
      <w:pPr>
        <w:spacing w:line="500" w:lineRule="exact"/>
        <w:jc w:val="center"/>
        <w:outlineLvl w:val="1"/>
        <w:rPr>
          <w:rFonts w:hint="eastAsia" w:eastAsia="宋体"/>
          <w:b/>
          <w:color w:val="000000" w:themeColor="text1"/>
          <w:sz w:val="32"/>
          <w:szCs w:val="32"/>
          <w:highlight w:val="none"/>
          <w:lang w:eastAsia="zh-CN"/>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法定代表人授权委托书</w:t>
      </w:r>
    </w:p>
    <w:p w14:paraId="166B8AA3">
      <w:pPr>
        <w:spacing w:line="360" w:lineRule="auto"/>
        <w:rPr>
          <w:color w:val="000000" w:themeColor="text1"/>
          <w:sz w:val="24"/>
          <w:highlight w:val="none"/>
          <w14:textFill>
            <w14:solidFill>
              <w14:schemeClr w14:val="tx1"/>
            </w14:solidFill>
          </w14:textFill>
        </w:rPr>
      </w:pPr>
    </w:p>
    <w:p w14:paraId="459580A4">
      <w:pPr>
        <w:pStyle w:val="12"/>
        <w:rPr>
          <w:color w:val="000000" w:themeColor="text1"/>
          <w:highlight w:val="none"/>
          <w14:textFill>
            <w14:solidFill>
              <w14:schemeClr w14:val="tx1"/>
            </w14:solidFill>
          </w14:textFill>
        </w:rPr>
      </w:pPr>
    </w:p>
    <w:p w14:paraId="4B3E7CE3">
      <w:pPr>
        <w:spacing w:line="360" w:lineRule="auto"/>
        <w:rPr>
          <w:rFonts w:ascii="宋体"/>
          <w:color w:val="000000" w:themeColor="text1"/>
          <w:sz w:val="24"/>
          <w:highlight w:val="none"/>
          <w14:textFill>
            <w14:solidFill>
              <w14:schemeClr w14:val="tx1"/>
            </w14:solidFill>
          </w14:textFill>
        </w:rPr>
      </w:pP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lang w:eastAsia="zh-CN"/>
          <w14:textFill>
            <w14:solidFill>
              <w14:schemeClr w14:val="tx1"/>
            </w14:solidFill>
          </w14:textFill>
        </w:rPr>
        <w:t>台州东游文化旅游发展有限公司</w:t>
      </w:r>
      <w:r>
        <w:rPr>
          <w:rFonts w:hint="eastAsia"/>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：（采购单位）</w:t>
      </w:r>
    </w:p>
    <w:p w14:paraId="733323A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本人</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（姓名）</w:t>
      </w:r>
      <w:r>
        <w:rPr>
          <w:rFonts w:hint="eastAsia"/>
          <w:color w:val="000000" w:themeColor="text1"/>
          <w:sz w:val="24"/>
          <w:highlight w:val="none"/>
          <w14:textFill>
            <w14:solidFill>
              <w14:schemeClr w14:val="tx1"/>
            </w14:solidFill>
          </w14:textFill>
        </w:rPr>
        <w:t>系</w:t>
      </w:r>
      <w:r>
        <w:rPr>
          <w:color w:val="000000" w:themeColor="text1"/>
          <w:sz w:val="24"/>
          <w:highlight w:val="non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（投标人全称）法定代表人，现授权委托</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投标人代表名称）为全权代表，参加贵处组织的</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lang w:eastAsia="zh-CN"/>
          <w14:textFill>
            <w14:solidFill>
              <w14:schemeClr w14:val="tx1"/>
            </w14:solidFill>
          </w14:textFill>
        </w:rPr>
        <w:t>台州方特熊出没水上休闲游乐度假中心（一期）窗帘采购</w:t>
      </w:r>
      <w:r>
        <w:rPr>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项目投标活动，并代表我公司全权办理针对上述项目的</w:t>
      </w:r>
      <w:r>
        <w:rPr>
          <w:rFonts w:hint="eastAsia" w:ascii="宋体"/>
          <w:b/>
          <w:color w:val="000000" w:themeColor="text1"/>
          <w:sz w:val="24"/>
          <w:highlight w:val="none"/>
          <w14:textFill>
            <w14:solidFill>
              <w14:schemeClr w14:val="tx1"/>
            </w14:solidFill>
          </w14:textFill>
        </w:rPr>
        <w:t>投标全程各事项、投标文件签署、合同签订及项目实施</w:t>
      </w:r>
      <w:r>
        <w:rPr>
          <w:rFonts w:hint="eastAsia" w:ascii="宋体"/>
          <w:color w:val="000000" w:themeColor="text1"/>
          <w:sz w:val="24"/>
          <w:highlight w:val="none"/>
          <w14:textFill>
            <w14:solidFill>
              <w14:schemeClr w14:val="tx1"/>
            </w14:solidFill>
          </w14:textFill>
        </w:rPr>
        <w:t>等涉及的一切事宜，我公司</w:t>
      </w:r>
      <w:r>
        <w:rPr>
          <w:rFonts w:hint="eastAsia" w:ascii="宋体" w:hAnsi="宋体"/>
          <w:color w:val="000000" w:themeColor="text1"/>
          <w:sz w:val="24"/>
          <w:highlight w:val="none"/>
          <w14:textFill>
            <w14:solidFill>
              <w14:schemeClr w14:val="tx1"/>
            </w14:solidFill>
          </w14:textFill>
        </w:rPr>
        <w:t>对被授权人的签名等行为均予以</w:t>
      </w:r>
      <w:r>
        <w:rPr>
          <w:rFonts w:ascii="宋体" w:hAnsi="宋体"/>
          <w:color w:val="000000" w:themeColor="text1"/>
          <w:sz w:val="24"/>
          <w:highlight w:val="none"/>
          <w14:textFill>
            <w14:solidFill>
              <w14:schemeClr w14:val="tx1"/>
            </w14:solidFill>
          </w14:textFill>
        </w:rPr>
        <w:t>承</w:t>
      </w:r>
      <w:r>
        <w:rPr>
          <w:rFonts w:hint="eastAsia" w:ascii="宋体" w:hAnsi="宋体"/>
          <w:color w:val="000000" w:themeColor="text1"/>
          <w:sz w:val="24"/>
          <w:highlight w:val="none"/>
          <w14:textFill>
            <w14:solidFill>
              <w14:schemeClr w14:val="tx1"/>
            </w14:solidFill>
          </w14:textFill>
        </w:rPr>
        <w:t>认，由此所产生的一切法律后果和法律责任，均由</w:t>
      </w:r>
      <w:r>
        <w:rPr>
          <w:rFonts w:hint="eastAsia" w:ascii="宋体"/>
          <w:color w:val="000000" w:themeColor="text1"/>
          <w:sz w:val="24"/>
          <w:highlight w:val="none"/>
          <w14:textFill>
            <w14:solidFill>
              <w14:schemeClr w14:val="tx1"/>
            </w14:solidFill>
          </w14:textFill>
        </w:rPr>
        <w:t>我公司</w:t>
      </w:r>
      <w:r>
        <w:rPr>
          <w:rFonts w:ascii="宋体" w:hAnsi="宋体"/>
          <w:color w:val="000000" w:themeColor="text1"/>
          <w:sz w:val="24"/>
          <w:highlight w:val="none"/>
          <w14:textFill>
            <w14:solidFill>
              <w14:schemeClr w14:val="tx1"/>
            </w14:solidFill>
          </w14:textFill>
        </w:rPr>
        <w:t>承担</w:t>
      </w:r>
      <w:r>
        <w:rPr>
          <w:rFonts w:hint="eastAsia" w:ascii="宋体" w:hAnsi="宋体"/>
          <w:color w:val="000000" w:themeColor="text1"/>
          <w:sz w:val="24"/>
          <w:highlight w:val="none"/>
          <w14:textFill>
            <w14:solidFill>
              <w14:schemeClr w14:val="tx1"/>
            </w14:solidFill>
          </w14:textFill>
        </w:rPr>
        <w:t>。</w:t>
      </w:r>
      <w:r>
        <w:rPr>
          <w:rFonts w:hint="eastAsia" w:ascii="宋体"/>
          <w:color w:val="000000" w:themeColor="text1"/>
          <w:sz w:val="24"/>
          <w:highlight w:val="none"/>
          <w14:textFill>
            <w14:solidFill>
              <w14:schemeClr w14:val="tx1"/>
            </w14:solidFill>
          </w14:textFill>
        </w:rPr>
        <w:t>同时宣布承诺如下：</w:t>
      </w:r>
    </w:p>
    <w:p w14:paraId="14BA809A">
      <w:pPr>
        <w:numPr>
          <w:ilvl w:val="0"/>
          <w:numId w:val="8"/>
        </w:numPr>
        <w:spacing w:line="360" w:lineRule="auto"/>
        <w:ind w:left="0"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我公司已详细阅读全部招标文件（含补充修改文件），并理解其实质性内容，同意承担招标文件规定的全部义务和相关责任。</w:t>
      </w:r>
    </w:p>
    <w:p w14:paraId="2F0800A1">
      <w:pPr>
        <w:numPr>
          <w:ilvl w:val="0"/>
          <w:numId w:val="8"/>
        </w:numPr>
        <w:spacing w:line="360" w:lineRule="auto"/>
        <w:ind w:left="0" w:firstLine="480" w:firstLineChars="200"/>
        <w:rPr>
          <w:rFonts w:asci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我公司同意提供采购人可能要求的与其投标有关的一切数据或资料。</w:t>
      </w:r>
    </w:p>
    <w:p w14:paraId="63C9C703">
      <w:pPr>
        <w:numPr>
          <w:ilvl w:val="0"/>
          <w:numId w:val="8"/>
        </w:numPr>
        <w:spacing w:line="360" w:lineRule="auto"/>
        <w:ind w:left="0"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我公司所提交的一切投标资料均为合法且真实有效。</w:t>
      </w:r>
    </w:p>
    <w:p w14:paraId="6B9C3DFA">
      <w:pPr>
        <w:spacing w:line="360" w:lineRule="auto"/>
        <w:rPr>
          <w:color w:val="000000" w:themeColor="text1"/>
          <w:sz w:val="24"/>
          <w:highlight w:val="none"/>
          <w14:textFill>
            <w14:solidFill>
              <w14:schemeClr w14:val="tx1"/>
            </w14:solidFill>
          </w14:textFill>
        </w:rPr>
      </w:pPr>
    </w:p>
    <w:p w14:paraId="487090B0">
      <w:pPr>
        <w:pStyle w:val="12"/>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p>
    <w:p w14:paraId="680B90E9">
      <w:pPr>
        <w:pStyle w:val="13"/>
        <w:ind w:firstLine="210"/>
        <w:rPr>
          <w:color w:val="000000" w:themeColor="text1"/>
          <w:highlight w:val="none"/>
          <w14:textFill>
            <w14:solidFill>
              <w14:schemeClr w14:val="tx1"/>
            </w14:solidFill>
          </w14:textFill>
        </w:rPr>
      </w:pPr>
    </w:p>
    <w:p w14:paraId="46BFBCAA">
      <w:pPr>
        <w:pStyle w:val="13"/>
        <w:ind w:firstLine="4320" w:firstLineChars="1800"/>
        <w:rPr>
          <w:rFonts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794FAE21">
      <w:pPr>
        <w:spacing w:line="360" w:lineRule="auto"/>
        <w:ind w:firstLine="4320" w:firstLineChars="18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法定代表人（签字或盖章）：                  </w:t>
      </w:r>
    </w:p>
    <w:p w14:paraId="769D358F">
      <w:pPr>
        <w:spacing w:line="360" w:lineRule="auto"/>
        <w:ind w:firstLine="4080" w:firstLineChars="1700"/>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0FE39853">
      <w:pPr>
        <w:jc w:val="center"/>
        <w:rPr>
          <w:color w:val="000000" w:themeColor="text1"/>
          <w:sz w:val="24"/>
          <w:highlight w:val="none"/>
          <w14:textFill>
            <w14:solidFill>
              <w14:schemeClr w14:val="tx1"/>
            </w14:solidFill>
          </w14:textFill>
        </w:rPr>
        <w:sectPr>
          <w:headerReference r:id="rId7" w:type="default"/>
          <w:footerReference r:id="rId8" w:type="default"/>
          <w:pgSz w:w="11907" w:h="16840"/>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3EE1F17F">
      <w:pPr>
        <w:spacing w:line="360" w:lineRule="atLeast"/>
        <w:jc w:val="left"/>
        <w:outlineLvl w:val="0"/>
        <w:rPr>
          <w:b/>
          <w:bCs/>
          <w:color w:val="000000" w:themeColor="text1"/>
          <w:sz w:val="24"/>
          <w:highlight w:val="none"/>
          <w14:textFill>
            <w14:solidFill>
              <w14:schemeClr w14:val="tx1"/>
            </w14:solidFill>
          </w14:textFill>
        </w:rPr>
      </w:pPr>
      <w:bookmarkStart w:id="27" w:name="_Toc16533"/>
      <w:bookmarkStart w:id="28" w:name="_Toc20791_WPSOffice_Level1"/>
      <w:r>
        <w:rPr>
          <w:rFonts w:hint="eastAsia"/>
          <w:b/>
          <w:bCs/>
          <w:color w:val="000000" w:themeColor="text1"/>
          <w:sz w:val="24"/>
          <w:highlight w:val="none"/>
          <w14:textFill>
            <w14:solidFill>
              <w14:schemeClr w14:val="tx1"/>
            </w14:solidFill>
          </w14:textFill>
        </w:rPr>
        <w:t>附件2：</w:t>
      </w:r>
      <w:bookmarkEnd w:id="27"/>
    </w:p>
    <w:p w14:paraId="30D84B5F">
      <w:pPr>
        <w:widowControl/>
        <w:spacing w:line="360" w:lineRule="auto"/>
        <w:jc w:val="center"/>
        <w:rPr>
          <w:rFonts w:hint="eastAsia" w:ascii="黑体" w:hAnsi="黑体" w:eastAsia="黑体" w:cs="黑体"/>
          <w:b/>
          <w:bCs/>
          <w:color w:val="auto"/>
          <w:sz w:val="32"/>
          <w:szCs w:val="32"/>
          <w:highlight w:val="none"/>
        </w:rPr>
      </w:pPr>
    </w:p>
    <w:p w14:paraId="47F14F2A">
      <w:pPr>
        <w:widowControl/>
        <w:spacing w:line="360" w:lineRule="auto"/>
        <w:jc w:val="center"/>
        <w:rPr>
          <w:rFonts w:hint="eastAsia" w:ascii="黑体" w:hAnsi="黑体" w:eastAsia="黑体" w:cs="黑体"/>
          <w:b/>
          <w:bCs/>
          <w:color w:val="auto"/>
          <w:sz w:val="40"/>
          <w:szCs w:val="40"/>
          <w:highlight w:val="none"/>
        </w:rPr>
      </w:pPr>
      <w:r>
        <w:rPr>
          <w:rFonts w:hint="eastAsia" w:ascii="黑体" w:hAnsi="黑体" w:eastAsia="黑体" w:cs="黑体"/>
          <w:b/>
          <w:bCs/>
          <w:color w:val="auto"/>
          <w:sz w:val="40"/>
          <w:szCs w:val="40"/>
          <w:highlight w:val="none"/>
        </w:rPr>
        <w:t>法定代表人身份证明</w:t>
      </w:r>
      <w:bookmarkEnd w:id="28"/>
    </w:p>
    <w:p w14:paraId="1F6EF0E1">
      <w:pPr>
        <w:widowControl/>
        <w:spacing w:line="360" w:lineRule="auto"/>
        <w:jc w:val="center"/>
        <w:rPr>
          <w:rFonts w:hint="eastAsia" w:ascii="方正小标宋简体" w:hAnsi="方正小标宋简体"/>
          <w:color w:val="auto"/>
          <w:sz w:val="44"/>
          <w:szCs w:val="44"/>
          <w:highlight w:val="none"/>
        </w:rPr>
      </w:pPr>
    </w:p>
    <w:p w14:paraId="34C53F53">
      <w:pPr>
        <w:autoSpaceDE w:val="0"/>
        <w:autoSpaceDN w:val="0"/>
        <w:adjustRightInd w:val="0"/>
        <w:snapToGrid w:val="0"/>
        <w:spacing w:line="360" w:lineRule="auto"/>
        <w:ind w:firstLine="560" w:firstLineChars="200"/>
        <w:textAlignment w:val="baseline"/>
        <w:rPr>
          <w:rFonts w:ascii="宋体" w:hAnsi="宋体"/>
          <w:color w:val="auto"/>
          <w:kern w:val="0"/>
          <w:szCs w:val="28"/>
          <w:highlight w:val="none"/>
          <w:u w:val="single"/>
        </w:rPr>
      </w:pPr>
      <w:r>
        <w:rPr>
          <w:rFonts w:hint="eastAsia" w:ascii="宋体" w:hAnsi="宋体"/>
          <w:color w:val="auto"/>
          <w:kern w:val="0"/>
          <w:szCs w:val="28"/>
          <w:highlight w:val="none"/>
        </w:rPr>
        <w:t>投标人名称：</w:t>
      </w:r>
      <w:r>
        <w:rPr>
          <w:rFonts w:hint="eastAsia" w:ascii="宋体" w:hAnsi="宋体"/>
          <w:color w:val="auto"/>
          <w:kern w:val="0"/>
          <w:szCs w:val="28"/>
          <w:highlight w:val="none"/>
          <w:u w:val="single"/>
        </w:rPr>
        <w:t xml:space="preserve">                              </w:t>
      </w:r>
    </w:p>
    <w:p w14:paraId="62AD358D">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rPr>
      </w:pPr>
      <w:r>
        <w:rPr>
          <w:rFonts w:hint="eastAsia" w:ascii="宋体" w:hAnsi="宋体"/>
          <w:color w:val="auto"/>
          <w:kern w:val="0"/>
          <w:szCs w:val="28"/>
          <w:highlight w:val="none"/>
        </w:rPr>
        <w:t>单位性质：</w:t>
      </w:r>
      <w:r>
        <w:rPr>
          <w:rFonts w:hint="eastAsia" w:ascii="宋体" w:hAnsi="宋体"/>
          <w:color w:val="auto"/>
          <w:kern w:val="0"/>
          <w:szCs w:val="28"/>
          <w:highlight w:val="none"/>
          <w:u w:val="single"/>
        </w:rPr>
        <w:t xml:space="preserve">                                </w:t>
      </w:r>
    </w:p>
    <w:p w14:paraId="57E2AA74">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u w:val="single"/>
        </w:rPr>
      </w:pPr>
      <w:r>
        <w:rPr>
          <w:rFonts w:hint="eastAsia" w:ascii="宋体" w:hAnsi="宋体"/>
          <w:color w:val="auto"/>
          <w:kern w:val="0"/>
          <w:szCs w:val="28"/>
          <w:highlight w:val="none"/>
        </w:rPr>
        <w:t>地址：</w:t>
      </w:r>
      <w:r>
        <w:rPr>
          <w:rFonts w:hint="eastAsia" w:ascii="宋体" w:hAnsi="宋体"/>
          <w:color w:val="auto"/>
          <w:kern w:val="0"/>
          <w:szCs w:val="28"/>
          <w:highlight w:val="none"/>
          <w:u w:val="single"/>
        </w:rPr>
        <w:t xml:space="preserve">                                  </w:t>
      </w:r>
    </w:p>
    <w:p w14:paraId="40DDBFDC">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rPr>
      </w:pPr>
      <w:r>
        <w:rPr>
          <w:rFonts w:hint="eastAsia" w:ascii="宋体" w:hAnsi="宋体"/>
          <w:color w:val="auto"/>
          <w:kern w:val="0"/>
          <w:szCs w:val="28"/>
          <w:highlight w:val="none"/>
        </w:rPr>
        <w:t>成立时间：</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rPr>
        <w:t>年</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rPr>
        <w:t>月</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rPr>
        <w:t>日</w:t>
      </w:r>
    </w:p>
    <w:p w14:paraId="2224275C">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rPr>
      </w:pPr>
      <w:r>
        <w:rPr>
          <w:rFonts w:hint="eastAsia" w:ascii="宋体" w:hAnsi="宋体"/>
          <w:color w:val="auto"/>
          <w:kern w:val="0"/>
          <w:szCs w:val="28"/>
          <w:highlight w:val="none"/>
        </w:rPr>
        <w:t>经营期限：</w:t>
      </w:r>
      <w:r>
        <w:rPr>
          <w:rFonts w:hint="eastAsia" w:ascii="宋体" w:hAnsi="宋体"/>
          <w:color w:val="auto"/>
          <w:kern w:val="0"/>
          <w:szCs w:val="28"/>
          <w:highlight w:val="none"/>
          <w:u w:val="single"/>
        </w:rPr>
        <w:t xml:space="preserve">                                </w:t>
      </w:r>
    </w:p>
    <w:p w14:paraId="2FD73233">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u w:val="single"/>
        </w:rPr>
      </w:pPr>
      <w:r>
        <w:rPr>
          <w:rFonts w:hint="eastAsia" w:ascii="宋体" w:hAnsi="宋体"/>
          <w:color w:val="auto"/>
          <w:kern w:val="0"/>
          <w:szCs w:val="28"/>
          <w:highlight w:val="none"/>
        </w:rPr>
        <w:t>姓名：</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rPr>
        <w:t>性别：</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rPr>
        <w:t>年龄：</w:t>
      </w:r>
      <w:r>
        <w:rPr>
          <w:rFonts w:hint="eastAsia" w:ascii="宋体" w:hAnsi="宋体"/>
          <w:color w:val="auto"/>
          <w:kern w:val="0"/>
          <w:szCs w:val="28"/>
          <w:highlight w:val="none"/>
          <w:u w:val="single"/>
        </w:rPr>
        <w:t xml:space="preserve">       </w:t>
      </w:r>
    </w:p>
    <w:p w14:paraId="29E6385A">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u w:val="single"/>
        </w:rPr>
      </w:pPr>
      <w:r>
        <w:rPr>
          <w:rFonts w:hint="eastAsia" w:ascii="宋体" w:hAnsi="宋体"/>
          <w:color w:val="auto"/>
          <w:kern w:val="0"/>
          <w:szCs w:val="28"/>
          <w:highlight w:val="none"/>
        </w:rPr>
        <w:t>身份证号码：</w:t>
      </w:r>
      <w:r>
        <w:rPr>
          <w:rFonts w:hint="eastAsia" w:ascii="宋体" w:hAnsi="宋体"/>
          <w:color w:val="auto"/>
          <w:kern w:val="0"/>
          <w:szCs w:val="28"/>
          <w:highlight w:val="none"/>
          <w:u w:val="single"/>
        </w:rPr>
        <w:t xml:space="preserve">                              </w:t>
      </w:r>
    </w:p>
    <w:p w14:paraId="7CCE79D8">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u w:val="single"/>
        </w:rPr>
      </w:pPr>
      <w:r>
        <w:rPr>
          <w:rFonts w:hint="eastAsia" w:ascii="宋体" w:hAnsi="宋体"/>
          <w:color w:val="auto"/>
          <w:kern w:val="0"/>
          <w:szCs w:val="28"/>
          <w:highlight w:val="none"/>
        </w:rPr>
        <w:t>联系电话：</w:t>
      </w:r>
      <w:r>
        <w:rPr>
          <w:rFonts w:hint="eastAsia" w:ascii="宋体" w:hAnsi="宋体"/>
          <w:color w:val="auto"/>
          <w:kern w:val="0"/>
          <w:szCs w:val="28"/>
          <w:highlight w:val="none"/>
          <w:u w:val="single"/>
        </w:rPr>
        <w:t xml:space="preserve">                                </w:t>
      </w:r>
    </w:p>
    <w:p w14:paraId="38182C88">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u w:val="single"/>
        </w:rPr>
      </w:pPr>
      <w:r>
        <w:rPr>
          <w:rFonts w:hint="eastAsia" w:ascii="宋体" w:hAnsi="宋体"/>
          <w:color w:val="auto"/>
          <w:kern w:val="0"/>
          <w:szCs w:val="28"/>
          <w:highlight w:val="none"/>
        </w:rPr>
        <w:t>职务：</w:t>
      </w:r>
      <w:r>
        <w:rPr>
          <w:rFonts w:hint="eastAsia" w:ascii="宋体" w:hAnsi="宋体"/>
          <w:color w:val="auto"/>
          <w:kern w:val="0"/>
          <w:szCs w:val="28"/>
          <w:highlight w:val="none"/>
          <w:u w:val="single"/>
        </w:rPr>
        <w:t xml:space="preserve">                </w:t>
      </w:r>
    </w:p>
    <w:p w14:paraId="53CFF4D1">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rPr>
      </w:pPr>
      <w:r>
        <w:rPr>
          <w:rFonts w:hint="eastAsia" w:ascii="宋体" w:hAnsi="宋体"/>
          <w:color w:val="auto"/>
          <w:kern w:val="0"/>
          <w:szCs w:val="28"/>
          <w:highlight w:val="none"/>
        </w:rPr>
        <w:t>系</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u w:val="single"/>
          <w:lang w:val="en-US" w:eastAsia="zh-CN"/>
        </w:rPr>
        <w:t xml:space="preserve">               </w:t>
      </w:r>
      <w:r>
        <w:rPr>
          <w:rFonts w:hint="eastAsia" w:ascii="宋体" w:hAnsi="宋体"/>
          <w:color w:val="auto"/>
          <w:kern w:val="0"/>
          <w:szCs w:val="28"/>
          <w:highlight w:val="none"/>
          <w:u w:val="single"/>
        </w:rPr>
        <w:t xml:space="preserve"> （投标人名称）</w:t>
      </w:r>
      <w:r>
        <w:rPr>
          <w:rFonts w:hint="eastAsia" w:ascii="宋体" w:hAnsi="宋体"/>
          <w:color w:val="auto"/>
          <w:kern w:val="0"/>
          <w:szCs w:val="28"/>
          <w:highlight w:val="none"/>
        </w:rPr>
        <w:t>的法定代表人。</w:t>
      </w:r>
    </w:p>
    <w:p w14:paraId="4BB73720">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rPr>
      </w:pPr>
    </w:p>
    <w:p w14:paraId="3FD900AA">
      <w:pPr>
        <w:autoSpaceDE w:val="0"/>
        <w:autoSpaceDN w:val="0"/>
        <w:adjustRightInd w:val="0"/>
        <w:snapToGrid w:val="0"/>
        <w:spacing w:line="360" w:lineRule="auto"/>
        <w:ind w:firstLine="1120" w:firstLineChars="400"/>
        <w:textAlignment w:val="baseline"/>
        <w:rPr>
          <w:rFonts w:hint="eastAsia" w:ascii="宋体" w:hAnsi="宋体"/>
          <w:color w:val="auto"/>
          <w:kern w:val="0"/>
          <w:szCs w:val="28"/>
          <w:highlight w:val="none"/>
        </w:rPr>
      </w:pPr>
      <w:r>
        <w:rPr>
          <w:rFonts w:hint="eastAsia" w:ascii="宋体" w:hAnsi="宋体"/>
          <w:color w:val="auto"/>
          <w:kern w:val="0"/>
          <w:szCs w:val="28"/>
          <w:highlight w:val="none"/>
        </w:rPr>
        <w:t>特此证明。</w:t>
      </w:r>
    </w:p>
    <w:p w14:paraId="33EAC532">
      <w:pPr>
        <w:autoSpaceDE w:val="0"/>
        <w:autoSpaceDN w:val="0"/>
        <w:adjustRightInd w:val="0"/>
        <w:snapToGrid w:val="0"/>
        <w:spacing w:line="360" w:lineRule="auto"/>
        <w:ind w:firstLine="1120" w:firstLineChars="400"/>
        <w:textAlignment w:val="baseline"/>
        <w:rPr>
          <w:rFonts w:hint="eastAsia" w:ascii="宋体" w:hAnsi="宋体"/>
          <w:color w:val="auto"/>
          <w:kern w:val="0"/>
          <w:szCs w:val="28"/>
          <w:highlight w:val="none"/>
        </w:rPr>
      </w:pPr>
    </w:p>
    <w:p w14:paraId="7AA4DB5C">
      <w:pPr>
        <w:autoSpaceDE w:val="0"/>
        <w:autoSpaceDN w:val="0"/>
        <w:adjustRightInd w:val="0"/>
        <w:snapToGrid w:val="0"/>
        <w:spacing w:line="360" w:lineRule="auto"/>
        <w:textAlignment w:val="baseline"/>
        <w:rPr>
          <w:rFonts w:hint="eastAsia" w:ascii="宋体" w:hAnsi="宋体"/>
          <w:color w:val="auto"/>
          <w:kern w:val="0"/>
          <w:szCs w:val="28"/>
          <w:highlight w:val="none"/>
        </w:rPr>
      </w:pPr>
      <w:r>
        <w:rPr>
          <w:rFonts w:hint="eastAsia" w:ascii="宋体" w:hAnsi="宋体"/>
          <w:color w:val="auto"/>
          <w:kern w:val="0"/>
          <w:szCs w:val="28"/>
          <w:highlight w:val="none"/>
        </w:rPr>
        <w:t xml:space="preserve">                                      投标人：（盖章）</w:t>
      </w:r>
    </w:p>
    <w:p w14:paraId="3B717013">
      <w:pPr>
        <w:autoSpaceDE w:val="0"/>
        <w:autoSpaceDN w:val="0"/>
        <w:adjustRightInd w:val="0"/>
        <w:snapToGrid w:val="0"/>
        <w:spacing w:line="360" w:lineRule="auto"/>
        <w:ind w:firstLine="6020" w:firstLineChars="2150"/>
        <w:textAlignment w:val="baseline"/>
        <w:rPr>
          <w:rFonts w:hint="eastAsia" w:ascii="宋体" w:hAnsi="宋体"/>
          <w:color w:val="auto"/>
          <w:kern w:val="0"/>
          <w:szCs w:val="28"/>
          <w:highlight w:val="none"/>
          <w:u w:val="single"/>
        </w:rPr>
      </w:pPr>
    </w:p>
    <w:p w14:paraId="601B813C">
      <w:pPr>
        <w:jc w:val="right"/>
        <w:rPr>
          <w:color w:val="auto"/>
          <w:highlight w:val="none"/>
        </w:rPr>
      </w:pPr>
      <w:r>
        <w:rPr>
          <w:rFonts w:hint="eastAsia" w:ascii="宋体" w:hAnsi="宋体" w:cs="宋体"/>
          <w:color w:val="auto"/>
          <w:kern w:val="0"/>
          <w:szCs w:val="28"/>
          <w:highlight w:val="none"/>
          <w:u w:val="single"/>
        </w:rPr>
        <w:t xml:space="preserve">      </w:t>
      </w:r>
      <w:r>
        <w:rPr>
          <w:rFonts w:hint="eastAsia" w:ascii="宋体" w:hAnsi="宋体" w:cs="宋体"/>
          <w:color w:val="auto"/>
          <w:kern w:val="0"/>
          <w:szCs w:val="28"/>
          <w:highlight w:val="none"/>
        </w:rPr>
        <w:t>年</w:t>
      </w:r>
      <w:r>
        <w:rPr>
          <w:rFonts w:hint="eastAsia" w:ascii="宋体" w:hAnsi="宋体" w:cs="宋体"/>
          <w:color w:val="auto"/>
          <w:kern w:val="0"/>
          <w:szCs w:val="28"/>
          <w:highlight w:val="none"/>
          <w:u w:val="single"/>
        </w:rPr>
        <w:t xml:space="preserve">       </w:t>
      </w:r>
      <w:r>
        <w:rPr>
          <w:rFonts w:hint="eastAsia" w:ascii="宋体" w:hAnsi="宋体" w:cs="宋体"/>
          <w:color w:val="auto"/>
          <w:kern w:val="0"/>
          <w:szCs w:val="28"/>
          <w:highlight w:val="none"/>
        </w:rPr>
        <w:t>月</w:t>
      </w:r>
      <w:r>
        <w:rPr>
          <w:rFonts w:hint="eastAsia" w:ascii="宋体" w:hAnsi="宋体" w:cs="宋体"/>
          <w:color w:val="auto"/>
          <w:kern w:val="0"/>
          <w:szCs w:val="28"/>
          <w:highlight w:val="none"/>
          <w:u w:val="single"/>
        </w:rPr>
        <w:t xml:space="preserve">      </w:t>
      </w:r>
      <w:r>
        <w:rPr>
          <w:rFonts w:hint="eastAsia" w:ascii="宋体" w:hAnsi="宋体" w:cs="宋体"/>
          <w:color w:val="auto"/>
          <w:kern w:val="0"/>
          <w:szCs w:val="28"/>
          <w:highlight w:val="none"/>
        </w:rPr>
        <w:t>日</w:t>
      </w:r>
    </w:p>
    <w:p w14:paraId="7983206E">
      <w:pPr>
        <w:pStyle w:val="191"/>
        <w:rPr>
          <w:highlight w:val="none"/>
        </w:rPr>
        <w:sectPr>
          <w:pgSz w:w="11907" w:h="16840"/>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348059CB">
      <w:pPr>
        <w:spacing w:line="360" w:lineRule="atLeast"/>
        <w:jc w:val="left"/>
        <w:outlineLvl w:val="0"/>
        <w:rPr>
          <w:b/>
          <w:bCs/>
          <w:color w:val="000000" w:themeColor="text1"/>
          <w:sz w:val="24"/>
          <w:highlight w:val="none"/>
          <w14:textFill>
            <w14:solidFill>
              <w14:schemeClr w14:val="tx1"/>
            </w14:solidFill>
          </w14:textFill>
        </w:rPr>
      </w:pPr>
      <w:bookmarkStart w:id="29" w:name="_Toc23385"/>
      <w:r>
        <w:rPr>
          <w:rFonts w:hint="eastAsia"/>
          <w:b/>
          <w:bCs/>
          <w:color w:val="000000" w:themeColor="text1"/>
          <w:sz w:val="24"/>
          <w:highlight w:val="none"/>
          <w14:textFill>
            <w14:solidFill>
              <w14:schemeClr w14:val="tx1"/>
            </w14:solidFill>
          </w14:textFill>
        </w:rPr>
        <w:t>附件</w:t>
      </w:r>
      <w:r>
        <w:rPr>
          <w:rFonts w:hint="eastAsia"/>
          <w:b/>
          <w:bCs/>
          <w:color w:val="000000" w:themeColor="text1"/>
          <w:sz w:val="24"/>
          <w:highlight w:val="none"/>
          <w:lang w:val="en-US" w:eastAsia="zh-CN"/>
          <w14:textFill>
            <w14:solidFill>
              <w14:schemeClr w14:val="tx1"/>
            </w14:solidFill>
          </w14:textFill>
        </w:rPr>
        <w:t>3</w:t>
      </w:r>
      <w:r>
        <w:rPr>
          <w:rFonts w:hint="eastAsia"/>
          <w:b/>
          <w:bCs/>
          <w:color w:val="000000" w:themeColor="text1"/>
          <w:sz w:val="24"/>
          <w:highlight w:val="none"/>
          <w14:textFill>
            <w14:solidFill>
              <w14:schemeClr w14:val="tx1"/>
            </w14:solidFill>
          </w14:textFill>
        </w:rPr>
        <w:t>：</w:t>
      </w:r>
      <w:bookmarkEnd w:id="29"/>
    </w:p>
    <w:p w14:paraId="0D44A49B">
      <w:pPr>
        <w:spacing w:line="360" w:lineRule="atLeast"/>
        <w:jc w:val="center"/>
        <w:outlineLvl w:val="9"/>
        <w:rPr>
          <w:rFonts w:hint="eastAsia" w:ascii="宋体" w:hAnsi="宋体" w:cs="宋体"/>
          <w:b/>
          <w:bCs/>
          <w:color w:val="000000" w:themeColor="text1"/>
          <w:szCs w:val="28"/>
          <w:highlight w:val="none"/>
          <w:lang w:eastAsia="zh-CN"/>
          <w14:textFill>
            <w14:solidFill>
              <w14:schemeClr w14:val="tx1"/>
            </w14:solidFill>
          </w14:textFill>
        </w:rPr>
      </w:pPr>
    </w:p>
    <w:p w14:paraId="361C492A">
      <w:pPr>
        <w:spacing w:line="360" w:lineRule="atLeast"/>
        <w:jc w:val="center"/>
        <w:outlineLvl w:val="0"/>
        <w:rPr>
          <w:rFonts w:hint="eastAsia" w:ascii="宋体" w:hAnsi="宋体" w:eastAsia="宋体" w:cs="宋体"/>
          <w:b/>
          <w:bCs/>
          <w:color w:val="000000" w:themeColor="text1"/>
          <w:szCs w:val="28"/>
          <w:highlight w:val="none"/>
          <w:lang w:eastAsia="zh-CN"/>
          <w14:textFill>
            <w14:solidFill>
              <w14:schemeClr w14:val="tx1"/>
            </w14:solidFill>
          </w14:textFill>
        </w:rPr>
      </w:pPr>
      <w:r>
        <w:rPr>
          <w:rFonts w:hint="eastAsia" w:ascii="宋体" w:hAnsi="宋体" w:cs="宋体"/>
          <w:b/>
          <w:bCs/>
          <w:color w:val="000000" w:themeColor="text1"/>
          <w:szCs w:val="28"/>
          <w:highlight w:val="none"/>
          <w:lang w:eastAsia="zh-CN"/>
          <w14:textFill>
            <w14:solidFill>
              <w14:schemeClr w14:val="tx1"/>
            </w14:solidFill>
          </w14:textFill>
        </w:rPr>
        <w:t xml:space="preserve"> 台州方特熊出没水上休闲游乐度假中心（一期）窗帘采购</w:t>
      </w:r>
    </w:p>
    <w:p w14:paraId="50728799">
      <w:pPr>
        <w:spacing w:line="360" w:lineRule="atLeast"/>
        <w:ind w:left="641" w:leftChars="229" w:firstLine="3238" w:firstLineChars="1152"/>
        <w:outlineLvl w:val="0"/>
        <w:rPr>
          <w:rFonts w:ascii="宋体"/>
          <w:b/>
          <w:bCs/>
          <w:color w:val="000000" w:themeColor="text1"/>
          <w:szCs w:val="28"/>
          <w:highlight w:val="none"/>
          <w14:textFill>
            <w14:solidFill>
              <w14:schemeClr w14:val="tx1"/>
            </w14:solidFill>
          </w14:textFill>
        </w:rPr>
      </w:pPr>
      <w:bookmarkStart w:id="30" w:name="_Toc14776"/>
      <w:r>
        <w:rPr>
          <w:rFonts w:hint="eastAsia" w:ascii="宋体" w:hAnsi="宋体" w:cs="宋体"/>
          <w:b/>
          <w:bCs/>
          <w:color w:val="000000" w:themeColor="text1"/>
          <w:szCs w:val="28"/>
          <w:highlight w:val="none"/>
          <w14:textFill>
            <w14:solidFill>
              <w14:schemeClr w14:val="tx1"/>
            </w14:solidFill>
          </w14:textFill>
        </w:rPr>
        <w:t>开标一览表</w:t>
      </w:r>
      <w:bookmarkEnd w:id="30"/>
    </w:p>
    <w:p w14:paraId="7E146396">
      <w:pPr>
        <w:keepNext w:val="0"/>
        <w:keepLines w:val="0"/>
        <w:pageBreakBefore w:val="0"/>
        <w:widowControl w:val="0"/>
        <w:kinsoku/>
        <w:overflowPunct/>
        <w:topLinePunct w:val="0"/>
        <w:autoSpaceDE/>
        <w:autoSpaceDN/>
        <w:bidi w:val="0"/>
        <w:snapToGrid w:val="0"/>
        <w:spacing w:before="50" w:after="50"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46C9CA8">
      <w:pPr>
        <w:keepNext w:val="0"/>
        <w:keepLines w:val="0"/>
        <w:pageBreakBefore w:val="0"/>
        <w:widowControl w:val="0"/>
        <w:kinsoku/>
        <w:overflowPunct/>
        <w:topLinePunct w:val="0"/>
        <w:autoSpaceDE/>
        <w:autoSpaceDN/>
        <w:bidi w:val="0"/>
        <w:snapToGrid w:val="0"/>
        <w:spacing w:before="50" w:after="50" w:line="360" w:lineRule="auto"/>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台州东游文化旅游发展有限公司</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（采购单位）</w:t>
      </w:r>
    </w:p>
    <w:p w14:paraId="56AAF283">
      <w:pPr>
        <w:keepNext w:val="0"/>
        <w:keepLines w:val="0"/>
        <w:pageBreakBefore w:val="0"/>
        <w:widowControl w:val="0"/>
        <w:kinsoku/>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经研究，我们决定参加你单位的</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eastAsia="zh-CN"/>
          <w14:textFill>
            <w14:solidFill>
              <w14:schemeClr w14:val="tx1"/>
            </w14:solidFill>
          </w14:textFill>
        </w:rPr>
        <w:t>台州方特熊出没水上休闲游乐度假中心（一期）窗帘采购</w:t>
      </w:r>
      <w:r>
        <w:rPr>
          <w:rFonts w:hint="eastAsia" w:ascii="宋体" w:hAnsi="宋体" w:eastAsia="宋体" w:cs="宋体"/>
          <w:color w:val="000000" w:themeColor="text1"/>
          <w:sz w:val="24"/>
          <w:szCs w:val="24"/>
          <w:highlight w:val="none"/>
          <w14:textFill>
            <w14:solidFill>
              <w14:schemeClr w14:val="tx1"/>
            </w14:solidFill>
          </w14:textFill>
        </w:rPr>
        <w:t>的招标采购活动并提交投标文件。为此，我方郑重声明以下诸点，并负法律责任。</w:t>
      </w:r>
    </w:p>
    <w:p w14:paraId="51E8B2C4">
      <w:pPr>
        <w:pStyle w:val="15"/>
        <w:keepNext w:val="0"/>
        <w:keepLines w:val="0"/>
        <w:pageBreakBefore w:val="0"/>
        <w:widowControl w:val="0"/>
        <w:kinsoku/>
        <w:overflowPunct/>
        <w:topLinePunct w:val="0"/>
        <w:autoSpaceDE/>
        <w:autoSpaceDN/>
        <w:bidi w:val="0"/>
        <w:adjustRightInd w:val="0"/>
        <w:snapToGrid w:val="0"/>
        <w:spacing w:after="120" w:line="360" w:lineRule="auto"/>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1、如果我们的招标文件被接受，我们将履行招标文件中规定的每一项要求，并按我们投标文件中的承诺按期、按质、按量提供服务。</w:t>
      </w:r>
    </w:p>
    <w:p w14:paraId="0CB29EFD">
      <w:pPr>
        <w:pStyle w:val="15"/>
        <w:keepNext w:val="0"/>
        <w:keepLines w:val="0"/>
        <w:pageBreakBefore w:val="0"/>
        <w:widowControl w:val="0"/>
        <w:kinsoku/>
        <w:overflowPunct/>
        <w:topLinePunct w:val="0"/>
        <w:autoSpaceDE/>
        <w:autoSpaceDN/>
        <w:bidi w:val="0"/>
        <w:adjustRightInd w:val="0"/>
        <w:snapToGrid w:val="0"/>
        <w:spacing w:after="120" w:line="360" w:lineRule="auto"/>
        <w:ind w:firstLine="547" w:firstLineChars="22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2、我们同意按采购文件规定遵守采购人有关采购的各项规定。</w:t>
      </w:r>
    </w:p>
    <w:p w14:paraId="60E9637F">
      <w:pPr>
        <w:pStyle w:val="15"/>
        <w:keepNext w:val="0"/>
        <w:keepLines w:val="0"/>
        <w:pageBreakBefore w:val="0"/>
        <w:widowControl w:val="0"/>
        <w:kinsoku/>
        <w:overflowPunct/>
        <w:topLinePunct w:val="0"/>
        <w:autoSpaceDE/>
        <w:autoSpaceDN/>
        <w:bidi w:val="0"/>
        <w:adjustRightInd w:val="0"/>
        <w:snapToGrid w:val="0"/>
        <w:spacing w:after="120" w:line="360" w:lineRule="auto"/>
        <w:ind w:firstLine="540" w:firstLineChars="22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3、我方同意提供按照贵方可能要求的与投标有关的一切数据或资料，我方若未成为成交投标人，采购人有权不做任何解释。</w:t>
      </w:r>
    </w:p>
    <w:p w14:paraId="3DAA20C8">
      <w:pPr>
        <w:keepNext w:val="0"/>
        <w:keepLines w:val="0"/>
        <w:pageBreakBefore w:val="0"/>
        <w:widowControl w:val="0"/>
        <w:kinsoku/>
        <w:overflowPunct/>
        <w:topLinePunct w:val="0"/>
        <w:autoSpaceDE/>
        <w:autoSpaceDN/>
        <w:bidi w:val="0"/>
        <w:spacing w:line="360" w:lineRule="auto"/>
        <w:ind w:firstLine="600" w:firstLineChars="2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4、我方如果中标，将保证履行招标文件以及招标文件修改书（如有）中的全部责任和义务，按质、按量、按期完成《合同书》中的全部任务。</w:t>
      </w:r>
    </w:p>
    <w:tbl>
      <w:tblPr>
        <w:tblStyle w:val="37"/>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5"/>
        <w:gridCol w:w="6338"/>
      </w:tblGrid>
      <w:tr w14:paraId="11113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vAlign w:val="center"/>
          </w:tcPr>
          <w:p w14:paraId="5E8B94CD">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1、投标总报价</w:t>
            </w:r>
          </w:p>
        </w:tc>
        <w:tc>
          <w:tcPr>
            <w:tcW w:w="6338" w:type="dxa"/>
            <w:vAlign w:val="center"/>
          </w:tcPr>
          <w:p w14:paraId="7463EC0F">
            <w:pPr>
              <w:keepNext w:val="0"/>
              <w:keepLines w:val="0"/>
              <w:pageBreakBefore w:val="0"/>
              <w:widowControl w:val="0"/>
              <w:kinsoku/>
              <w:wordWrap w:val="0"/>
              <w:overflowPunct/>
              <w:topLinePunct w:val="0"/>
              <w:autoSpaceDE/>
              <w:autoSpaceDN/>
              <w:bidi w:val="0"/>
              <w:spacing w:line="360" w:lineRule="auto"/>
              <w:ind w:right="420"/>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大写：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 xml:space="preserve"> 元；小写：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元</w:t>
            </w:r>
          </w:p>
        </w:tc>
      </w:tr>
      <w:tr w14:paraId="22FE3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vAlign w:val="center"/>
          </w:tcPr>
          <w:p w14:paraId="7BC93FCD">
            <w:pPr>
              <w:keepNext w:val="0"/>
              <w:keepLines w:val="0"/>
              <w:pageBreakBefore w:val="0"/>
              <w:widowControl w:val="0"/>
              <w:kinsoku/>
              <w:overflowPunct/>
              <w:topLinePunct w:val="0"/>
              <w:autoSpaceDE/>
              <w:autoSpaceDN/>
              <w:bidi w:val="0"/>
              <w:snapToGrid w:val="0"/>
              <w:spacing w:before="50" w:after="50"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2、时间要求</w:t>
            </w:r>
          </w:p>
        </w:tc>
        <w:tc>
          <w:tcPr>
            <w:tcW w:w="6338" w:type="dxa"/>
            <w:vAlign w:val="center"/>
          </w:tcPr>
          <w:p w14:paraId="14F8C2E7">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符合招标文件要求</w:t>
            </w:r>
          </w:p>
        </w:tc>
      </w:tr>
      <w:tr w14:paraId="6D858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vAlign w:val="center"/>
          </w:tcPr>
          <w:p w14:paraId="5F2EB8B5">
            <w:pPr>
              <w:keepNext w:val="0"/>
              <w:keepLines w:val="0"/>
              <w:pageBreakBefore w:val="0"/>
              <w:widowControl w:val="0"/>
              <w:kinsoku/>
              <w:overflowPunct/>
              <w:topLinePunct w:val="0"/>
              <w:autoSpaceDE/>
              <w:autoSpaceDN/>
              <w:bidi w:val="0"/>
              <w:snapToGrid w:val="0"/>
              <w:spacing w:before="50" w:after="50"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3、质量等级</w:t>
            </w:r>
          </w:p>
        </w:tc>
        <w:tc>
          <w:tcPr>
            <w:tcW w:w="6338" w:type="dxa"/>
            <w:vAlign w:val="center"/>
          </w:tcPr>
          <w:p w14:paraId="3A44273F">
            <w:pPr>
              <w:keepNext w:val="0"/>
              <w:keepLines w:val="0"/>
              <w:pageBreakBefore w:val="0"/>
              <w:widowControl w:val="0"/>
              <w:kinsoku/>
              <w:overflowPunct/>
              <w:topLinePunct w:val="0"/>
              <w:autoSpaceDE/>
              <w:autoSpaceDN/>
              <w:bidi w:val="0"/>
              <w:snapToGrid w:val="0"/>
              <w:spacing w:before="50" w:after="50"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符合要求</w:t>
            </w:r>
          </w:p>
        </w:tc>
      </w:tr>
    </w:tbl>
    <w:p w14:paraId="53247228">
      <w:pPr>
        <w:keepNext w:val="0"/>
        <w:keepLines w:val="0"/>
        <w:pageBreakBefore w:val="0"/>
        <w:widowControl w:val="0"/>
        <w:kinsoku/>
        <w:overflowPunct/>
        <w:topLinePunct w:val="0"/>
        <w:autoSpaceDE/>
        <w:autoSpaceDN/>
        <w:bidi w:val="0"/>
        <w:snapToGrid w:val="0"/>
        <w:spacing w:before="50" w:after="50"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 报价一经涂改，应在涂改处加盖单位公章或者由法定代表人或授权委托人签字或盖章，否则其投标作无效标处理。</w:t>
      </w:r>
    </w:p>
    <w:p w14:paraId="7C35A1CA">
      <w:pPr>
        <w:pStyle w:val="12"/>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94CBCBE">
      <w:pPr>
        <w:pStyle w:val="12"/>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78ABD9FC">
      <w:pPr>
        <w:pStyle w:val="13"/>
        <w:keepNext w:val="0"/>
        <w:keepLines w:val="0"/>
        <w:pageBreakBefore w:val="0"/>
        <w:widowControl w:val="0"/>
        <w:kinsoku/>
        <w:overflowPunct/>
        <w:topLinePunct w:val="0"/>
        <w:autoSpaceDE/>
        <w:autoSpaceDN/>
        <w:bidi w:val="0"/>
        <w:spacing w:line="360" w:lineRule="auto"/>
        <w:ind w:firstLine="5760" w:firstLineChars="2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投标人（盖章）：</w:t>
      </w:r>
    </w:p>
    <w:p w14:paraId="2B1AB651">
      <w:pPr>
        <w:keepNext w:val="0"/>
        <w:keepLines w:val="0"/>
        <w:pageBreakBefore w:val="0"/>
        <w:widowControl w:val="0"/>
        <w:kinsoku/>
        <w:overflowPunct/>
        <w:topLinePunct w:val="0"/>
        <w:autoSpaceDE/>
        <w:autoSpaceDN/>
        <w:bidi w:val="0"/>
        <w:spacing w:line="360" w:lineRule="auto"/>
        <w:ind w:firstLine="5760" w:firstLineChars="2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法定代表人（签字或盖章）：                  </w:t>
      </w:r>
    </w:p>
    <w:p w14:paraId="5029018E">
      <w:pPr>
        <w:keepNext w:val="0"/>
        <w:keepLines w:val="0"/>
        <w:pageBreakBefore w:val="0"/>
        <w:widowControl w:val="0"/>
        <w:kinsoku/>
        <w:overflowPunct/>
        <w:topLinePunct w:val="0"/>
        <w:autoSpaceDE/>
        <w:autoSpaceDN/>
        <w:bidi w:val="0"/>
        <w:spacing w:line="360" w:lineRule="auto"/>
        <w:ind w:firstLine="4080" w:firstLineChars="17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日期：  年    月    日</w:t>
      </w:r>
    </w:p>
    <w:p w14:paraId="1848632E">
      <w:pPr>
        <w:pStyle w:val="12"/>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sectPr>
          <w:pgSz w:w="11907" w:h="16840"/>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6D57B047">
      <w:pPr>
        <w:snapToGrid w:val="0"/>
        <w:spacing w:before="50" w:after="50"/>
        <w:outlineLvl w:val="0"/>
        <w:rPr>
          <w:rFonts w:ascii="宋体" w:hAnsi="宋体" w:cs="宋体"/>
          <w:b/>
          <w:bCs/>
          <w:color w:val="000000" w:themeColor="text1"/>
          <w:sz w:val="24"/>
          <w:highlight w:val="none"/>
          <w14:textFill>
            <w14:solidFill>
              <w14:schemeClr w14:val="tx1"/>
            </w14:solidFill>
          </w14:textFill>
        </w:rPr>
      </w:pPr>
      <w:bookmarkStart w:id="31" w:name="_Toc19708"/>
      <w:r>
        <w:rPr>
          <w:rFonts w:hint="eastAsia" w:ascii="宋体" w:hAnsi="宋体" w:cs="宋体"/>
          <w:b/>
          <w:bCs/>
          <w:color w:val="000000" w:themeColor="text1"/>
          <w:sz w:val="24"/>
          <w:highlight w:val="none"/>
          <w14:textFill>
            <w14:solidFill>
              <w14:schemeClr w14:val="tx1"/>
            </w14:solidFill>
          </w14:textFill>
        </w:rPr>
        <w:t>附件</w:t>
      </w:r>
      <w:r>
        <w:rPr>
          <w:rFonts w:hint="eastAsia" w:ascii="宋体" w:hAnsi="宋体" w:cs="宋体"/>
          <w:b/>
          <w:bCs/>
          <w:color w:val="000000" w:themeColor="text1"/>
          <w:sz w:val="24"/>
          <w:highlight w:val="none"/>
          <w:lang w:val="en-US" w:eastAsia="zh-CN"/>
          <w14:textFill>
            <w14:solidFill>
              <w14:schemeClr w14:val="tx1"/>
            </w14:solidFill>
          </w14:textFill>
        </w:rPr>
        <w:t>4</w:t>
      </w:r>
      <w:r>
        <w:rPr>
          <w:rFonts w:hint="eastAsia" w:ascii="宋体" w:hAnsi="宋体" w:cs="宋体"/>
          <w:b/>
          <w:bCs/>
          <w:color w:val="000000" w:themeColor="text1"/>
          <w:sz w:val="24"/>
          <w:highlight w:val="none"/>
          <w14:textFill>
            <w14:solidFill>
              <w14:schemeClr w14:val="tx1"/>
            </w14:solidFill>
          </w14:textFill>
        </w:rPr>
        <w:t>：</w:t>
      </w:r>
      <w:bookmarkEnd w:id="31"/>
      <w:r>
        <w:rPr>
          <w:rFonts w:hint="eastAsia" w:ascii="宋体" w:hAnsi="宋体" w:cs="宋体"/>
          <w:b/>
          <w:bCs/>
          <w:color w:val="000000" w:themeColor="text1"/>
          <w:sz w:val="24"/>
          <w:highlight w:val="none"/>
          <w14:textFill>
            <w14:solidFill>
              <w14:schemeClr w14:val="tx1"/>
            </w14:solidFill>
          </w14:textFill>
        </w:rPr>
        <w:t xml:space="preserve"> </w:t>
      </w:r>
    </w:p>
    <w:p w14:paraId="61509AC2">
      <w:pPr>
        <w:spacing w:line="320" w:lineRule="exact"/>
        <w:jc w:val="center"/>
        <w:rPr>
          <w:rFonts w:hint="eastAsia" w:ascii="宋体" w:hAnsi="宋体" w:eastAsia="宋体"/>
          <w:color w:val="auto"/>
          <w:highlight w:val="none"/>
          <w:lang w:eastAsia="zh-CN"/>
        </w:rPr>
      </w:pPr>
      <w:bookmarkStart w:id="32" w:name="_Toc27542"/>
      <w:r>
        <w:rPr>
          <w:rFonts w:hint="eastAsia" w:ascii="宋体" w:hAnsi="宋体"/>
          <w:color w:val="auto"/>
          <w:highlight w:val="none"/>
          <w:lang w:eastAsia="zh-CN"/>
        </w:rPr>
        <w:t>台州方特熊出没水上休闲游乐度假中心（一期）窗帘采购</w:t>
      </w:r>
    </w:p>
    <w:p w14:paraId="5ED27C5A">
      <w:pPr>
        <w:spacing w:line="360" w:lineRule="atLeast"/>
        <w:jc w:val="center"/>
        <w:outlineLvl w:val="0"/>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投标报价明细清单</w:t>
      </w:r>
      <w:bookmarkEnd w:id="32"/>
    </w:p>
    <w:tbl>
      <w:tblPr>
        <w:tblStyle w:val="37"/>
        <w:tblpPr w:leftFromText="180" w:rightFromText="180" w:vertAnchor="text" w:horzAnchor="page" w:tblpX="432" w:tblpY="317"/>
        <w:tblOverlap w:val="never"/>
        <w:tblW w:w="161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9"/>
        <w:gridCol w:w="750"/>
        <w:gridCol w:w="1485"/>
        <w:gridCol w:w="2805"/>
        <w:gridCol w:w="5546"/>
        <w:gridCol w:w="675"/>
        <w:gridCol w:w="990"/>
        <w:gridCol w:w="1125"/>
        <w:gridCol w:w="1170"/>
        <w:gridCol w:w="1167"/>
      </w:tblGrid>
      <w:tr w14:paraId="6B9E1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429" w:type="dxa"/>
            <w:tcBorders>
              <w:top w:val="single" w:color="000000" w:sz="4" w:space="0"/>
              <w:left w:val="single" w:color="000000" w:sz="8" w:space="0"/>
              <w:bottom w:val="single" w:color="000000" w:sz="4" w:space="0"/>
              <w:right w:val="single" w:color="000000" w:sz="4" w:space="0"/>
            </w:tcBorders>
            <w:shd w:val="clear" w:color="auto" w:fill="C0C0C0"/>
            <w:noWrap/>
            <w:vAlign w:val="center"/>
          </w:tcPr>
          <w:p w14:paraId="1DF945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750" w:type="dxa"/>
            <w:tcBorders>
              <w:top w:val="single" w:color="000000" w:sz="4" w:space="0"/>
              <w:left w:val="single" w:color="000000" w:sz="4" w:space="0"/>
              <w:bottom w:val="single" w:color="000000" w:sz="4" w:space="0"/>
              <w:right w:val="single" w:color="auto" w:sz="4" w:space="0"/>
            </w:tcBorders>
            <w:shd w:val="clear" w:color="auto" w:fill="C0C0C0"/>
            <w:noWrap/>
            <w:vAlign w:val="center"/>
          </w:tcPr>
          <w:p w14:paraId="11928A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位置</w:t>
            </w:r>
          </w:p>
        </w:tc>
        <w:tc>
          <w:tcPr>
            <w:tcW w:w="1485" w:type="dxa"/>
            <w:tcBorders>
              <w:top w:val="single" w:color="000000" w:sz="4" w:space="0"/>
              <w:left w:val="single" w:color="auto" w:sz="4" w:space="0"/>
              <w:bottom w:val="single" w:color="000000" w:sz="4" w:space="0"/>
              <w:right w:val="single" w:color="000000" w:sz="4" w:space="0"/>
            </w:tcBorders>
            <w:shd w:val="clear" w:color="auto" w:fill="C0C0C0"/>
            <w:noWrap/>
            <w:vAlign w:val="center"/>
          </w:tcPr>
          <w:p w14:paraId="0A6F77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品名</w:t>
            </w:r>
          </w:p>
        </w:tc>
        <w:tc>
          <w:tcPr>
            <w:tcW w:w="2805" w:type="dxa"/>
            <w:tcBorders>
              <w:top w:val="single" w:color="000000" w:sz="4" w:space="0"/>
              <w:left w:val="single" w:color="auto" w:sz="4" w:space="0"/>
              <w:bottom w:val="single" w:color="000000" w:sz="4" w:space="0"/>
              <w:right w:val="single" w:color="auto" w:sz="4" w:space="0"/>
            </w:tcBorders>
            <w:shd w:val="clear" w:color="auto" w:fill="C0C0C0"/>
            <w:noWrap/>
            <w:vAlign w:val="center"/>
          </w:tcPr>
          <w:p w14:paraId="1012CC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产品图片</w:t>
            </w:r>
          </w:p>
        </w:tc>
        <w:tc>
          <w:tcPr>
            <w:tcW w:w="5546" w:type="dxa"/>
            <w:tcBorders>
              <w:top w:val="single" w:color="000000" w:sz="4" w:space="0"/>
              <w:left w:val="single" w:color="auto" w:sz="4" w:space="0"/>
              <w:bottom w:val="single" w:color="000000" w:sz="4" w:space="0"/>
              <w:right w:val="single" w:color="000000" w:sz="4" w:space="0"/>
            </w:tcBorders>
            <w:shd w:val="clear" w:color="auto" w:fill="C0C0C0"/>
            <w:noWrap/>
            <w:vAlign w:val="center"/>
          </w:tcPr>
          <w:p w14:paraId="7B79A3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材质说明</w:t>
            </w:r>
          </w:p>
        </w:tc>
        <w:tc>
          <w:tcPr>
            <w:tcW w:w="675"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42184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990"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CE72D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25"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EAC28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全费用综合单价上限价（元）</w:t>
            </w:r>
          </w:p>
        </w:tc>
        <w:tc>
          <w:tcPr>
            <w:tcW w:w="1170"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0DFAF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全费用综合单价（元）</w:t>
            </w:r>
          </w:p>
        </w:tc>
        <w:tc>
          <w:tcPr>
            <w:tcW w:w="1167"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870B9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合计（元）</w:t>
            </w:r>
          </w:p>
        </w:tc>
      </w:tr>
      <w:tr w14:paraId="387FB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99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5B751D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客房</w:t>
            </w:r>
          </w:p>
        </w:tc>
        <w:tc>
          <w:tcPr>
            <w:tcW w:w="148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430A54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868045</wp:posOffset>
                  </wp:positionH>
                  <wp:positionV relativeFrom="paragraph">
                    <wp:posOffset>-64770</wp:posOffset>
                  </wp:positionV>
                  <wp:extent cx="1751330" cy="939165"/>
                  <wp:effectExtent l="0" t="0" r="1270" b="13335"/>
                  <wp:wrapNone/>
                  <wp:docPr id="25" name="图片_11"/>
                  <wp:cNvGraphicFramePr/>
                  <a:graphic xmlns:a="http://schemas.openxmlformats.org/drawingml/2006/main">
                    <a:graphicData uri="http://schemas.openxmlformats.org/drawingml/2006/picture">
                      <pic:pic xmlns:pic="http://schemas.openxmlformats.org/drawingml/2006/picture">
                        <pic:nvPicPr>
                          <pic:cNvPr id="25" name="图片_11"/>
                          <pic:cNvPicPr/>
                        </pic:nvPicPr>
                        <pic:blipFill>
                          <a:blip r:embed="rId14"/>
                          <a:stretch>
                            <a:fillRect/>
                          </a:stretch>
                        </pic:blipFill>
                        <pic:spPr>
                          <a:xfrm>
                            <a:off x="0" y="0"/>
                            <a:ext cx="1751330" cy="939165"/>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highlight w:val="none"/>
                <w:u w:val="none"/>
                <w:lang w:val="en-US" w:eastAsia="zh-CN" w:bidi="ar"/>
              </w:rPr>
              <w:t>蓝绿色窗帘(BN7560-4 仲夏夜之梦 )CU-01</w:t>
            </w:r>
          </w:p>
        </w:tc>
        <w:tc>
          <w:tcPr>
            <w:tcW w:w="2805"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060AF2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highlight w:val="none"/>
                <w:u w:val="none"/>
              </w:rPr>
            </w:pPr>
          </w:p>
        </w:tc>
        <w:tc>
          <w:tcPr>
            <w:tcW w:w="5546"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05219D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1、面料成分：100%聚酯纤维；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2、面料克重：≥456克/㎡；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3、燃烧性能达到国标B1级；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4、织物密度：经密182根/10cm±10根，纬密240根/10cm±10根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5、透光率≤0.1%；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6、耐光色牢度：≥4级；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7、帘布采用2倍褶皱(1:2打摺)，工程量按实际展开面积以“m2”计取，施工损耗、运输损耗、拼接及卷边的材料损耗、配套魔术贴、挂钩等配件等计入单价，不单独计量；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8、魔术贴个数及设置位置参照各层各区域平面图要求，需满足设计要求；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9、具体材质样式，采购前需经建设单位确认。</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759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7BB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2354.00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9CC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88.00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800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2D2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1D16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C5D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572324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客房</w:t>
            </w:r>
          </w:p>
        </w:tc>
        <w:tc>
          <w:tcPr>
            <w:tcW w:w="148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6293C4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窗纱CU-02</w:t>
            </w:r>
          </w:p>
        </w:tc>
        <w:tc>
          <w:tcPr>
            <w:tcW w:w="2805"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41AB7C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-45085</wp:posOffset>
                  </wp:positionH>
                  <wp:positionV relativeFrom="paragraph">
                    <wp:posOffset>105410</wp:posOffset>
                  </wp:positionV>
                  <wp:extent cx="1788160" cy="786765"/>
                  <wp:effectExtent l="0" t="0" r="2540" b="13335"/>
                  <wp:wrapNone/>
                  <wp:docPr id="26" name="图片_12"/>
                  <wp:cNvGraphicFramePr/>
                  <a:graphic xmlns:a="http://schemas.openxmlformats.org/drawingml/2006/main">
                    <a:graphicData uri="http://schemas.openxmlformats.org/drawingml/2006/picture">
                      <pic:pic xmlns:pic="http://schemas.openxmlformats.org/drawingml/2006/picture">
                        <pic:nvPicPr>
                          <pic:cNvPr id="26" name="图片_12"/>
                          <pic:cNvPicPr/>
                        </pic:nvPicPr>
                        <pic:blipFill>
                          <a:blip r:embed="rId15"/>
                          <a:stretch>
                            <a:fillRect/>
                          </a:stretch>
                        </pic:blipFill>
                        <pic:spPr>
                          <a:xfrm>
                            <a:off x="0" y="0"/>
                            <a:ext cx="1788160" cy="786765"/>
                          </a:xfrm>
                          <a:prstGeom prst="rect">
                            <a:avLst/>
                          </a:prstGeom>
                          <a:noFill/>
                          <a:ln>
                            <a:noFill/>
                          </a:ln>
                        </pic:spPr>
                      </pic:pic>
                    </a:graphicData>
                  </a:graphic>
                </wp:anchor>
              </w:drawing>
            </w:r>
          </w:p>
        </w:tc>
        <w:tc>
          <w:tcPr>
            <w:tcW w:w="5546"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50C241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1、面料成份：100%聚酯纤维；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2、面料克重≥125g/㎡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3、燃烧性能达到国标B1级；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4、织物密度：经向：150根/10cm±5根，纬向114根/10cm±5根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5、耐光色牢度：≥5级；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6、透光率：≤50%；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7、帘布采用2倍褶皱(1:2打摺)，工程量按实际展开面积以“m2”计取，施工损耗、运输损耗、拼接及卷边的材料损耗、配套魔术贴、挂钩等计入单价，不单独计量；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8、魔术贴个数及设置位置参照各层各区域平面图要求，需满足设计要求；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9、具体材质样式，采购前需经建设单位确认。</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763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m2</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781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8744.00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7C8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57.00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378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066A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55F2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994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75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6A1910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客房</w:t>
            </w:r>
          </w:p>
        </w:tc>
        <w:tc>
          <w:tcPr>
            <w:tcW w:w="148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617662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橙黄色窗帘 (ON0069-3 南海诗</w:t>
            </w: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885825</wp:posOffset>
                  </wp:positionH>
                  <wp:positionV relativeFrom="paragraph">
                    <wp:posOffset>352425</wp:posOffset>
                  </wp:positionV>
                  <wp:extent cx="1800225" cy="784225"/>
                  <wp:effectExtent l="0" t="0" r="9525" b="15875"/>
                  <wp:wrapNone/>
                  <wp:docPr id="27" name="图片_13"/>
                  <wp:cNvGraphicFramePr/>
                  <a:graphic xmlns:a="http://schemas.openxmlformats.org/drawingml/2006/main">
                    <a:graphicData uri="http://schemas.openxmlformats.org/drawingml/2006/picture">
                      <pic:pic xmlns:pic="http://schemas.openxmlformats.org/drawingml/2006/picture">
                        <pic:nvPicPr>
                          <pic:cNvPr id="27" name="图片_13"/>
                          <pic:cNvPicPr/>
                        </pic:nvPicPr>
                        <pic:blipFill>
                          <a:blip r:embed="rId16"/>
                          <a:stretch>
                            <a:fillRect/>
                          </a:stretch>
                        </pic:blipFill>
                        <pic:spPr>
                          <a:xfrm>
                            <a:off x="0" y="0"/>
                            <a:ext cx="1800225" cy="784225"/>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highlight w:val="none"/>
                <w:u w:val="none"/>
                <w:lang w:val="en-US" w:eastAsia="zh-CN" w:bidi="ar"/>
              </w:rPr>
              <w:t>人 )CU-03</w:t>
            </w:r>
          </w:p>
        </w:tc>
        <w:tc>
          <w:tcPr>
            <w:tcW w:w="2805"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425DBB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546"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49C944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1、面料成份：100%聚酯纤维；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2、面料克重：≥400克/㎡；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3、燃烧性能达到国标B1级；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4、织物密度：经向密度≥1050根/10cm，纬向≥750根/10cm；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5、耐光色牢度/级≥4级；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6、透光率≤0.1%；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7、帘布采用2倍褶皱(1:2打摺)，工程量按实际展开面积以“m2”计取，施工损耗、运输损耗、拼接及卷边的材料损耗、配套魔术贴、挂钩等计入单价，不单独计量；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8、魔术贴个数及设置位置参照各层各区域平面图要求，需满足设计要求；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9、具体材质样式，采购前需经建设单位确认。</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1A5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m2</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019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6440.00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FD7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89.00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7FA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B3E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1AD7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E1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75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2A63E6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客房</w:t>
            </w:r>
          </w:p>
        </w:tc>
        <w:tc>
          <w:tcPr>
            <w:tcW w:w="148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59A108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沐浴窗帘CU-04</w:t>
            </w:r>
          </w:p>
        </w:tc>
        <w:tc>
          <w:tcPr>
            <w:tcW w:w="2805"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6EA38B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54610</wp:posOffset>
                  </wp:positionH>
                  <wp:positionV relativeFrom="paragraph">
                    <wp:posOffset>85725</wp:posOffset>
                  </wp:positionV>
                  <wp:extent cx="937260" cy="955675"/>
                  <wp:effectExtent l="0" t="0" r="15240" b="15875"/>
                  <wp:wrapNone/>
                  <wp:docPr id="28" name="图片_14"/>
                  <wp:cNvGraphicFramePr/>
                  <a:graphic xmlns:a="http://schemas.openxmlformats.org/drawingml/2006/main">
                    <a:graphicData uri="http://schemas.openxmlformats.org/drawingml/2006/picture">
                      <pic:pic xmlns:pic="http://schemas.openxmlformats.org/drawingml/2006/picture">
                        <pic:nvPicPr>
                          <pic:cNvPr id="28" name="图片_14"/>
                          <pic:cNvPicPr/>
                        </pic:nvPicPr>
                        <pic:blipFill>
                          <a:blip r:embed="rId17"/>
                          <a:stretch>
                            <a:fillRect/>
                          </a:stretch>
                        </pic:blipFill>
                        <pic:spPr>
                          <a:xfrm>
                            <a:off x="0" y="0"/>
                            <a:ext cx="937260" cy="955675"/>
                          </a:xfrm>
                          <a:prstGeom prst="rect">
                            <a:avLst/>
                          </a:prstGeom>
                          <a:noFill/>
                          <a:ln>
                            <a:noFill/>
                          </a:ln>
                        </pic:spPr>
                      </pic:pic>
                    </a:graphicData>
                  </a:graphic>
                </wp:anchor>
              </w:drawing>
            </w:r>
          </w:p>
        </w:tc>
        <w:tc>
          <w:tcPr>
            <w:tcW w:w="5546"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79799C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1、面料成份：100%聚酯纤维；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2、经纬密度：210T±3%；</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3、面料防水等级：≥4级；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4、水洗尺寸变化率：经向：-1.0～+1.0%，纬向≤-1.0～+1.0%；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5、帘布采用2倍褶皱(1:2打摺)，工程量按实际展开面积以“m2”计取，施工损耗、运输损耗、拼接及卷边的材料损耗、配套魔术贴、挂钩等计入单价，不单独计量；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6、魔术贴个数及设置位置参照各层各区域平面图要求，需满足设计要求；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7、具体材质样式，采购前需经建设单位确认。</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098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m2</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3EE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12.00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861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96.00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A20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DC1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1A27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AF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75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4CD393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48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4136C6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窗纱CU-101</w:t>
            </w:r>
          </w:p>
        </w:tc>
        <w:tc>
          <w:tcPr>
            <w:tcW w:w="2805"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5FE2EF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13970</wp:posOffset>
                  </wp:positionH>
                  <wp:positionV relativeFrom="paragraph">
                    <wp:posOffset>133985</wp:posOffset>
                  </wp:positionV>
                  <wp:extent cx="1562100" cy="755650"/>
                  <wp:effectExtent l="0" t="0" r="0" b="6350"/>
                  <wp:wrapNone/>
                  <wp:docPr id="29" name="图片_15"/>
                  <wp:cNvGraphicFramePr/>
                  <a:graphic xmlns:a="http://schemas.openxmlformats.org/drawingml/2006/main">
                    <a:graphicData uri="http://schemas.openxmlformats.org/drawingml/2006/picture">
                      <pic:pic xmlns:pic="http://schemas.openxmlformats.org/drawingml/2006/picture">
                        <pic:nvPicPr>
                          <pic:cNvPr id="29" name="图片_15"/>
                          <pic:cNvPicPr/>
                        </pic:nvPicPr>
                        <pic:blipFill>
                          <a:blip r:embed="rId18"/>
                          <a:stretch>
                            <a:fillRect/>
                          </a:stretch>
                        </pic:blipFill>
                        <pic:spPr>
                          <a:xfrm>
                            <a:off x="0" y="0"/>
                            <a:ext cx="1562100" cy="755650"/>
                          </a:xfrm>
                          <a:prstGeom prst="rect">
                            <a:avLst/>
                          </a:prstGeom>
                          <a:noFill/>
                          <a:ln>
                            <a:noFill/>
                          </a:ln>
                        </pic:spPr>
                      </pic:pic>
                    </a:graphicData>
                  </a:graphic>
                </wp:anchor>
              </w:drawing>
            </w:r>
          </w:p>
        </w:tc>
        <w:tc>
          <w:tcPr>
            <w:tcW w:w="5546"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766E8F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1、面料成份：100%聚酯纤维；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2、面料克重≥125g/㎡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3、燃烧性能达到国标B1级；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4、织物密度：经向：150根/10cm±5根，纬向114根/10cm±5根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5、透光率：≤50%；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6、耐光色牢度：≥5级；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7、帘布采用2倍褶皱(1:2打摺)，工程量按实际展开面积以“m2”计取，施工损耗、运输损耗、拼接及卷边的材料损耗、配套魔术贴、挂钩等计入单价，不单独计量；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8、魔术贴个数及设置位置参照各层各区域平面图要求，需满足设计要求；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9、具体材质样式，采购前需经建设单位确认。</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121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m2</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7F8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570.00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D53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60.00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E4F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22D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D734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98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75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4FA6EF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48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36EBA8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窗帘 (GN0012-2 若草色 )CU-102</w:t>
            </w:r>
          </w:p>
        </w:tc>
        <w:tc>
          <w:tcPr>
            <w:tcW w:w="2805"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3DE095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-44450</wp:posOffset>
                  </wp:positionH>
                  <wp:positionV relativeFrom="paragraph">
                    <wp:posOffset>65405</wp:posOffset>
                  </wp:positionV>
                  <wp:extent cx="1619885" cy="817880"/>
                  <wp:effectExtent l="0" t="0" r="18415" b="1270"/>
                  <wp:wrapNone/>
                  <wp:docPr id="30" name="图片_16"/>
                  <wp:cNvGraphicFramePr/>
                  <a:graphic xmlns:a="http://schemas.openxmlformats.org/drawingml/2006/main">
                    <a:graphicData uri="http://schemas.openxmlformats.org/drawingml/2006/picture">
                      <pic:pic xmlns:pic="http://schemas.openxmlformats.org/drawingml/2006/picture">
                        <pic:nvPicPr>
                          <pic:cNvPr id="30" name="图片_16"/>
                          <pic:cNvPicPr/>
                        </pic:nvPicPr>
                        <pic:blipFill>
                          <a:blip r:embed="rId19"/>
                          <a:stretch>
                            <a:fillRect/>
                          </a:stretch>
                        </pic:blipFill>
                        <pic:spPr>
                          <a:xfrm>
                            <a:off x="0" y="0"/>
                            <a:ext cx="1619885" cy="817880"/>
                          </a:xfrm>
                          <a:prstGeom prst="rect">
                            <a:avLst/>
                          </a:prstGeom>
                          <a:noFill/>
                          <a:ln>
                            <a:noFill/>
                          </a:ln>
                        </pic:spPr>
                      </pic:pic>
                    </a:graphicData>
                  </a:graphic>
                </wp:anchor>
              </w:drawing>
            </w:r>
          </w:p>
        </w:tc>
        <w:tc>
          <w:tcPr>
            <w:tcW w:w="5546"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5088FA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1、面料成份：100%聚酯纤维；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2、面料克重：≥300g/㎡；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3、燃烧性能达到国标B1级；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4、织物密度：经向密度≥1050根/10cm，纬向≥750根/10cm；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5、透光率：≤0.1%；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6、耐光色牢度/级≥4级；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7、帘布采用2倍褶皱(1:2打摺)，工程量按实际展开面积以“m2”计取，施工损耗、运输损耗、拼接及卷边的材料损耗、配套魔术贴、挂钩等计入单价，不单独计量；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8、魔术贴个数及设置位置参照各层各区域平面图要求，需满足设计要求；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9、具体材质样式，采购前需经建设单位确认。</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D63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m2</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4CD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30.00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A6F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91.00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378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A60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AB34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02F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p>
        </w:tc>
        <w:tc>
          <w:tcPr>
            <w:tcW w:w="75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7B57E5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48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521DFF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PVC 窗帘CU-103</w:t>
            </w:r>
          </w:p>
        </w:tc>
        <w:tc>
          <w:tcPr>
            <w:tcW w:w="2805"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09B994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26670</wp:posOffset>
                  </wp:positionH>
                  <wp:positionV relativeFrom="paragraph">
                    <wp:posOffset>99060</wp:posOffset>
                  </wp:positionV>
                  <wp:extent cx="1600835" cy="785495"/>
                  <wp:effectExtent l="0" t="0" r="18415" b="14605"/>
                  <wp:wrapNone/>
                  <wp:docPr id="31" name="图片_17"/>
                  <wp:cNvGraphicFramePr/>
                  <a:graphic xmlns:a="http://schemas.openxmlformats.org/drawingml/2006/main">
                    <a:graphicData uri="http://schemas.openxmlformats.org/drawingml/2006/picture">
                      <pic:pic xmlns:pic="http://schemas.openxmlformats.org/drawingml/2006/picture">
                        <pic:nvPicPr>
                          <pic:cNvPr id="31" name="图片_17"/>
                          <pic:cNvPicPr/>
                        </pic:nvPicPr>
                        <pic:blipFill>
                          <a:blip r:embed="rId20"/>
                          <a:stretch>
                            <a:fillRect/>
                          </a:stretch>
                        </pic:blipFill>
                        <pic:spPr>
                          <a:xfrm>
                            <a:off x="0" y="0"/>
                            <a:ext cx="1600835" cy="785495"/>
                          </a:xfrm>
                          <a:prstGeom prst="rect">
                            <a:avLst/>
                          </a:prstGeom>
                          <a:noFill/>
                          <a:ln>
                            <a:noFill/>
                          </a:ln>
                        </pic:spPr>
                      </pic:pic>
                    </a:graphicData>
                  </a:graphic>
                </wp:anchor>
              </w:drawing>
            </w:r>
          </w:p>
        </w:tc>
        <w:tc>
          <w:tcPr>
            <w:tcW w:w="5546"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160E37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1、材质：35%聚酯纤维、65%聚氯乙烯；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2、开孔率：3%；</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3、面料克重≥400 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4、燃烧性能达到国标B1级；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5、透光率≤25%；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6、耐光色牢度≥6级；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7、工程量按实际展开面积以“m2”计取，施工损耗、运输损耗、卷边的材料损耗等计入单价，不单独计量；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8、具体材质样式，采购前需经建设单位确认。</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0F5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m2</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9CA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800.00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8CE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91.00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1C6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239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6E24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9D9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75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4DB066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48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66EF24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窗帘 (NN1120-3 面包布丁 )CU-104</w:t>
            </w:r>
          </w:p>
        </w:tc>
        <w:tc>
          <w:tcPr>
            <w:tcW w:w="2805"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370738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19050</wp:posOffset>
                  </wp:positionH>
                  <wp:positionV relativeFrom="paragraph">
                    <wp:posOffset>142875</wp:posOffset>
                  </wp:positionV>
                  <wp:extent cx="1625600" cy="829945"/>
                  <wp:effectExtent l="0" t="0" r="12700" b="8255"/>
                  <wp:wrapNone/>
                  <wp:docPr id="32" name="图片_18"/>
                  <wp:cNvGraphicFramePr/>
                  <a:graphic xmlns:a="http://schemas.openxmlformats.org/drawingml/2006/main">
                    <a:graphicData uri="http://schemas.openxmlformats.org/drawingml/2006/picture">
                      <pic:pic xmlns:pic="http://schemas.openxmlformats.org/drawingml/2006/picture">
                        <pic:nvPicPr>
                          <pic:cNvPr id="32" name="图片_18"/>
                          <pic:cNvPicPr/>
                        </pic:nvPicPr>
                        <pic:blipFill>
                          <a:blip r:embed="rId21"/>
                          <a:stretch>
                            <a:fillRect/>
                          </a:stretch>
                        </pic:blipFill>
                        <pic:spPr>
                          <a:xfrm>
                            <a:off x="0" y="0"/>
                            <a:ext cx="1625600" cy="829945"/>
                          </a:xfrm>
                          <a:prstGeom prst="rect">
                            <a:avLst/>
                          </a:prstGeom>
                          <a:noFill/>
                          <a:ln>
                            <a:noFill/>
                          </a:ln>
                        </pic:spPr>
                      </pic:pic>
                    </a:graphicData>
                  </a:graphic>
                </wp:anchor>
              </w:drawing>
            </w:r>
          </w:p>
        </w:tc>
        <w:tc>
          <w:tcPr>
            <w:tcW w:w="5546"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572E80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1、面料成分：100%聚酯纤维；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2、面料克重≥350g/㎡；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3、燃烧性能达到国标B1级；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4、织物密度：经向≥1050根/10cm，纬向≥750根/10cm；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5、透光率：≤0.1%；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6、耐光色牢度≥4级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7、帘布采用2倍褶皱(1:2打摺)，工程量按实际展开面积以“m2”计取，施工损耗、运输损耗、拼接及卷边的材料损耗、配套魔术贴、挂钩等计入单价，不单独计量；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8、魔术贴个数及设置位置参照各层各区域平面图要求，需满足设计要求；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9、具体材质样式，采购前需经建设单位确认。</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C37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m2</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461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450.00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E11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88.00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CA3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EC7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5341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30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w:t>
            </w:r>
          </w:p>
        </w:tc>
        <w:tc>
          <w:tcPr>
            <w:tcW w:w="75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220837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48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7C15BD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窗帘 (NN0136-1 土星环 )CU-105</w:t>
            </w:r>
          </w:p>
        </w:tc>
        <w:tc>
          <w:tcPr>
            <w:tcW w:w="2805"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132A5D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-9525</wp:posOffset>
                  </wp:positionH>
                  <wp:positionV relativeFrom="paragraph">
                    <wp:posOffset>47625</wp:posOffset>
                  </wp:positionV>
                  <wp:extent cx="1609725" cy="793115"/>
                  <wp:effectExtent l="0" t="0" r="9525" b="6985"/>
                  <wp:wrapNone/>
                  <wp:docPr id="33" name="图片_19"/>
                  <wp:cNvGraphicFramePr/>
                  <a:graphic xmlns:a="http://schemas.openxmlformats.org/drawingml/2006/main">
                    <a:graphicData uri="http://schemas.openxmlformats.org/drawingml/2006/picture">
                      <pic:pic xmlns:pic="http://schemas.openxmlformats.org/drawingml/2006/picture">
                        <pic:nvPicPr>
                          <pic:cNvPr id="33" name="图片_19"/>
                          <pic:cNvPicPr/>
                        </pic:nvPicPr>
                        <pic:blipFill>
                          <a:blip r:embed="rId22"/>
                          <a:stretch>
                            <a:fillRect/>
                          </a:stretch>
                        </pic:blipFill>
                        <pic:spPr>
                          <a:xfrm>
                            <a:off x="0" y="0"/>
                            <a:ext cx="1609725" cy="793115"/>
                          </a:xfrm>
                          <a:prstGeom prst="rect">
                            <a:avLst/>
                          </a:prstGeom>
                          <a:noFill/>
                          <a:ln>
                            <a:noFill/>
                          </a:ln>
                        </pic:spPr>
                      </pic:pic>
                    </a:graphicData>
                  </a:graphic>
                </wp:anchor>
              </w:drawing>
            </w:r>
          </w:p>
        </w:tc>
        <w:tc>
          <w:tcPr>
            <w:tcW w:w="5546"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2B2746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1、面料成分：100%聚酯纤维；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2、面料克重：≥320g/㎡；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3、燃烧性能：达到国标 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4、织物密度：经向≥1050根/10cm，纬向≥750根/10cm；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5、透光率：≤0.1%；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6、耐光色牢度：≥4级；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7、帘布采用2倍褶皱(1:2打摺)，工程量按实际展开面积以“m2”计取，施工损耗、运输损耗、拼接及卷边的材料损耗、配套魔术贴、挂钩等计入单价，不单独计量；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8、魔术贴个数及设置位置参照各层各区域平面图要求，需满足设计要求；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9、具体材质样式，采购前需经建设单位确认。</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310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m2</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E16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65.00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540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88.00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197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183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35D1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B01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75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2931E1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48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791B36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缎面窗帘CU-106</w:t>
            </w:r>
          </w:p>
        </w:tc>
        <w:tc>
          <w:tcPr>
            <w:tcW w:w="2805"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764EFC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957580</wp:posOffset>
                  </wp:positionH>
                  <wp:positionV relativeFrom="paragraph">
                    <wp:posOffset>73660</wp:posOffset>
                  </wp:positionV>
                  <wp:extent cx="628650" cy="957580"/>
                  <wp:effectExtent l="0" t="0" r="0" b="13970"/>
                  <wp:wrapNone/>
                  <wp:docPr id="34" name="图片_20"/>
                  <wp:cNvGraphicFramePr/>
                  <a:graphic xmlns:a="http://schemas.openxmlformats.org/drawingml/2006/main">
                    <a:graphicData uri="http://schemas.openxmlformats.org/drawingml/2006/picture">
                      <pic:pic xmlns:pic="http://schemas.openxmlformats.org/drawingml/2006/picture">
                        <pic:nvPicPr>
                          <pic:cNvPr id="34" name="图片_20"/>
                          <pic:cNvPicPr/>
                        </pic:nvPicPr>
                        <pic:blipFill>
                          <a:blip r:embed="rId23"/>
                          <a:stretch>
                            <a:fillRect/>
                          </a:stretch>
                        </pic:blipFill>
                        <pic:spPr>
                          <a:xfrm>
                            <a:off x="0" y="0"/>
                            <a:ext cx="628650" cy="957580"/>
                          </a:xfrm>
                          <a:prstGeom prst="rect">
                            <a:avLst/>
                          </a:prstGeom>
                          <a:noFill/>
                          <a:ln>
                            <a:noFill/>
                          </a:ln>
                        </pic:spPr>
                      </pic:pic>
                    </a:graphicData>
                  </a:graphic>
                </wp:anchor>
              </w:drawing>
            </w:r>
          </w:p>
        </w:tc>
        <w:tc>
          <w:tcPr>
            <w:tcW w:w="5546"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665496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1、面料成分：100%聚酯纤维；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2、面料克重：≥343克g/㎡；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3、燃烧性能达到国标 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4、织物密度：经向≥1050根/10cm，纬向≥750根/10cm；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5、透光率：≤0.1%；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6、耐光色牢度：≥4级；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7、帘布采用2倍褶皱(1:2打摺)，工程量按实际展开面积以“m2”计取，施工损耗、运输损耗、拼接及卷边的材料损耗、配套魔术贴、挂钩等计入单价，不单独计量；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8、魔术贴个数及设置位置参照各层各区域平面图要求，需满足设计要求；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9、具体材质样式，采购前需经建设单位确认。</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FBB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m2</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8A5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30.00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662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83.00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E58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A55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AA57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6D5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w:t>
            </w:r>
          </w:p>
        </w:tc>
        <w:tc>
          <w:tcPr>
            <w:tcW w:w="75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0A8CDB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客房/公区</w:t>
            </w:r>
          </w:p>
        </w:tc>
        <w:tc>
          <w:tcPr>
            <w:tcW w:w="148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65A997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成品手动卷帘布窗帘（灰色）</w:t>
            </w:r>
          </w:p>
        </w:tc>
        <w:tc>
          <w:tcPr>
            <w:tcW w:w="2805"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176FE07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0"/>
                <w:sz w:val="21"/>
                <w:szCs w:val="21"/>
                <w:highlight w:val="none"/>
                <w:u w:val="none"/>
                <w:lang w:val="en-US" w:eastAsia="zh-CN" w:bidi="ar"/>
              </w:rPr>
            </w:pPr>
          </w:p>
        </w:tc>
        <w:tc>
          <w:tcPr>
            <w:tcW w:w="5546"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118832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一、基本要求：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1、含卷管、封头、升降拉珠等配件，含钻孔、安装等费用；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2、具体材质样式，采购前需经建设单位确认；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二、技术要求：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1、面料成分：成份：30%聚酯纤维、70%聚氯乙烯；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2、开孔率：0%；厚度：≥0.6；幅宽：≤250CM；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3、克重：≥450 g/㎡；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4、燃烧性能达到国标B1级；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三、计算规则：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1、工程量按实际展开面积以“m2”计取。</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BF4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m2</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9A6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290.00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BA4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125.00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778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44A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DEE2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25B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w:t>
            </w:r>
          </w:p>
        </w:tc>
        <w:tc>
          <w:tcPr>
            <w:tcW w:w="75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18F4ED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客房</w:t>
            </w:r>
          </w:p>
        </w:tc>
        <w:tc>
          <w:tcPr>
            <w:tcW w:w="148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26B153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沐浴拉帘配套轨道</w:t>
            </w:r>
          </w:p>
        </w:tc>
        <w:tc>
          <w:tcPr>
            <w:tcW w:w="2805"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72D6AF9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0"/>
                <w:sz w:val="21"/>
                <w:szCs w:val="21"/>
                <w:highlight w:val="none"/>
                <w:u w:val="none"/>
                <w:lang w:val="en-US" w:eastAsia="zh-CN" w:bidi="ar"/>
              </w:rPr>
            </w:pPr>
          </w:p>
        </w:tc>
        <w:tc>
          <w:tcPr>
            <w:tcW w:w="5546"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06220F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一、基本要求：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1、含配件等，含钻孔、安装等费用；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2、具体材质样式，采购前需经建设单位确认；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二、技术要求：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1、材质，304不锈钢；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2、浴帘法兰底座直径8cm-9cm，高4cm-4.5cm, 壁厚≥1.0mm；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3、浴帘管内径≥25mm，壁厚≥1.0mm；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三、计算规则：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1、工程量按实际长度以“m”计取。</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5E2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3B5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3.00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D57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87.00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EF9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643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5AD5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7A0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w:t>
            </w:r>
          </w:p>
        </w:tc>
        <w:tc>
          <w:tcPr>
            <w:tcW w:w="75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6ACE2B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48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062ABB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窗帘双轨道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（手动，适用于窗纱窗布）</w:t>
            </w:r>
          </w:p>
        </w:tc>
        <w:tc>
          <w:tcPr>
            <w:tcW w:w="2805"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1FD31D7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0"/>
                <w:sz w:val="21"/>
                <w:szCs w:val="21"/>
                <w:highlight w:val="none"/>
                <w:u w:val="none"/>
                <w:lang w:val="en-US" w:eastAsia="zh-CN" w:bidi="ar"/>
              </w:rPr>
            </w:pPr>
          </w:p>
        </w:tc>
        <w:tc>
          <w:tcPr>
            <w:tcW w:w="5546"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04FCBB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1、材质：铝合金。型材表面清洁，涂层均匀，无皱纹、流痕、发黏、凹陷、暗斑、针孔、划伤、裂纹、鼓泡等可视缺陷；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2、每米克重：≥460g/m;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3、壁厚≥2.0mm；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4、宽度≥25mm；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5、高度≥20mm；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6、抗拉强度：≥210MPa；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7、轨道承重：施加≥50Kg载荷，变形或未破坏；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8、工程量按实际长度以“m”计取。</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72B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584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8.00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610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49.00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B1D9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E8E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05C1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4B3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14</w:t>
            </w:r>
          </w:p>
        </w:tc>
        <w:tc>
          <w:tcPr>
            <w:tcW w:w="75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5ACF74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48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0EF807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窗帘双轨道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（电动，适用于窗纱窗布）</w:t>
            </w:r>
          </w:p>
        </w:tc>
        <w:tc>
          <w:tcPr>
            <w:tcW w:w="2805"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729F140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0"/>
                <w:sz w:val="21"/>
                <w:szCs w:val="21"/>
                <w:highlight w:val="none"/>
                <w:u w:val="none"/>
                <w:lang w:val="en-US" w:eastAsia="zh-CN" w:bidi="ar"/>
              </w:rPr>
            </w:pPr>
          </w:p>
        </w:tc>
        <w:tc>
          <w:tcPr>
            <w:tcW w:w="5546"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0FCCBF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1、材质：铝合金。型材表面清洁，涂层均匀，无皱纹、流痕、发黏、凹陷、暗斑、针孔、划伤、裂纹、鼓泡等可视缺陷；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2、每米克重：≥450g/m;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3、壁厚≥2.0mm；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4、宽度≥25mm；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5、高度≥20mm；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6、抗拉强度：≥200MPa；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7、轨道承重：施加≥50Kg载荷，未变形或破坏；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8、工程量按实际长度以“m”计取。</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9B3A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2E4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35.00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AB5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92.00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ED8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5AA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0A72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EA3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w:t>
            </w:r>
          </w:p>
        </w:tc>
        <w:tc>
          <w:tcPr>
            <w:tcW w:w="75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16E0C2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48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2339BA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PVC卷帘窗帘配件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（电动）</w:t>
            </w:r>
          </w:p>
        </w:tc>
        <w:tc>
          <w:tcPr>
            <w:tcW w:w="2805"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6E9554F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0"/>
                <w:sz w:val="21"/>
                <w:szCs w:val="21"/>
                <w:highlight w:val="none"/>
                <w:u w:val="none"/>
                <w:lang w:val="en-US" w:eastAsia="zh-CN" w:bidi="ar"/>
              </w:rPr>
            </w:pPr>
          </w:p>
        </w:tc>
        <w:tc>
          <w:tcPr>
            <w:tcW w:w="5546"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384E01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一、基本要求：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1、含配件等，含钻孔、安装等费用；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2、具体材质样式，采购前需经建设单位确认；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二、技术要求：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（一）上管：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采用高强度6063-T5铝合金材质卷管；内置加强筋≥6根，表面阳极氧化处理；管材外表面带插槽；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1、壁厚≥1.7mm；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2、直径：≥54mm；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3、内置加强筋根数：≥6根；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4、米克重≥950g/m；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5、卷管承重：对卷管施加≥50kg的荷载，卷管未变形；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6、规定非比例延伸强度：≥200MPa；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7、抗拉强度：≥230MPa；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8、断后伸长率：≥13%；</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9、韦氏硬度≥14；</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10、维氏硬度≥85；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11、漆膜硬度≥6H；</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（二）下杆：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采用高强度6063-T5铝合金材质下杆；下杆封口采用胀紧式封口，表面电泳氧化处理；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1、尺寸：壁厚≥2.0mm；宽度≥40mm；高度≥16mm；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2、米克重≥620g/m；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3、拉伸试验：规定非比例延伸强度：≥210MPa；抗拉强度：≥230MPa；断后伸长率：≥11%；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4、硬度试验：韦氏硬度≥13；维氏硬度≥80；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5、漆膜硬度≥6H；</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三、计算规则：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1、工程量按实际长度以“m”计取。</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DB9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75C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185.00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54D0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131.00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6F3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8CA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D5A0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B8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16</w:t>
            </w:r>
          </w:p>
        </w:tc>
        <w:tc>
          <w:tcPr>
            <w:tcW w:w="75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22C82E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48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7D7C95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窗帘电机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（开合帘电机）</w:t>
            </w:r>
          </w:p>
        </w:tc>
        <w:tc>
          <w:tcPr>
            <w:tcW w:w="2805"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6A44BB0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0"/>
                <w:sz w:val="21"/>
                <w:szCs w:val="21"/>
                <w:highlight w:val="none"/>
                <w:u w:val="none"/>
                <w:lang w:val="en-US" w:eastAsia="zh-CN" w:bidi="ar"/>
              </w:rPr>
            </w:pPr>
          </w:p>
        </w:tc>
        <w:tc>
          <w:tcPr>
            <w:tcW w:w="5546"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2AD454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一、电机参数：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采用静音电机，电机具备对码功能、具备换向功能、具备遇阻停止功能、具备遇阻删行程功能、具备电子行程记忆、具备带电手拉启动、断电手拉开合、可设置第三限位点功能、具备缓启缓停功能、可以RS485协议控制、具备弱电干触点功能、具备强电；</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控制功能；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2、电压：AC110-240V,50Hz/60Hz；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3、扭矩≥1.2NM；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4、电机线速度≥12cm/s；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5、工作温度-15℃ to +55℃；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6、额定功率≥18W；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7、负载≥50Kg；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8、运行声音：≤30dB；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9、需结合现场实际情况、卷帘的高度宽幅综合考虑报价，满足正常开合使用需求。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二、计算规则：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1、工程量按实际数量以“台”计取。</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C4F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34E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20.00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2DC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644.00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1F3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451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5158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BB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17</w:t>
            </w:r>
          </w:p>
        </w:tc>
        <w:tc>
          <w:tcPr>
            <w:tcW w:w="75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0DCE82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48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12B138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窗帘电机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（内置卷管电机）</w:t>
            </w:r>
          </w:p>
        </w:tc>
        <w:tc>
          <w:tcPr>
            <w:tcW w:w="2805"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321F3BE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0"/>
                <w:sz w:val="21"/>
                <w:szCs w:val="21"/>
                <w:highlight w:val="none"/>
                <w:u w:val="none"/>
                <w:lang w:val="en-US" w:eastAsia="zh-CN" w:bidi="ar"/>
              </w:rPr>
            </w:pPr>
          </w:p>
        </w:tc>
        <w:tc>
          <w:tcPr>
            <w:tcW w:w="5546"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53C604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一、电机参数：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1、噪音≤30db，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2、负载≥16kg，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3、带干触点功能，可外接干触点控制，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4、额定扭矩≥8n·m，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5、额定转速≥17rpm，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6、额定电压220/230v，</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7、连续工作时间：≥4min；</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8、需结合现场实际情况、卷帘的高度宽幅综合考虑报价，满足正常升降使用需求。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二、计算规则：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1、工程量按实际数量以“台”计取。</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2A8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316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31.00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6D3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478.00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410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EFF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24CB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2E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18</w:t>
            </w:r>
          </w:p>
        </w:tc>
        <w:tc>
          <w:tcPr>
            <w:tcW w:w="75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3699D6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公区</w:t>
            </w:r>
          </w:p>
        </w:tc>
        <w:tc>
          <w:tcPr>
            <w:tcW w:w="148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01911F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手持遥控器</w:t>
            </w:r>
          </w:p>
        </w:tc>
        <w:tc>
          <w:tcPr>
            <w:tcW w:w="2805"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07D8747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0"/>
                <w:sz w:val="21"/>
                <w:szCs w:val="21"/>
                <w:highlight w:val="none"/>
                <w:u w:val="none"/>
                <w:lang w:val="en-US" w:eastAsia="zh-CN" w:bidi="ar"/>
              </w:rPr>
            </w:pPr>
          </w:p>
        </w:tc>
        <w:tc>
          <w:tcPr>
            <w:tcW w:w="5546"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08541C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1、四频发射器；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2、四频共有5组单独的频道，可分别控制5组电机运行；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3、电池使用寿命：3年（每天4次）；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4、工作温度：正常0℃至+60℃，极限-20℃至+70℃；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5、遥控距离：空旷处200米；室内隔2道混凝土墙20米；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6、材质：ABS和SEBS；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7、工程量按实际数量以“个”计取。</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8C6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21A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11.00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559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76.00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E92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7606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B9C5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6142"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CBF7">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合计=</w:t>
            </w:r>
            <w:r>
              <w:rPr>
                <w:rFonts w:hint="eastAsia" w:ascii="宋体" w:hAnsi="宋体" w:eastAsia="宋体" w:cs="宋体"/>
                <w:i w:val="0"/>
                <w:iCs w:val="0"/>
                <w:color w:val="000000"/>
                <w:sz w:val="21"/>
                <w:szCs w:val="21"/>
                <w:highlight w:val="none"/>
                <w:u w:val="single"/>
                <w:lang w:val="en-US" w:eastAsia="zh-CN"/>
              </w:rPr>
              <w:t xml:space="preserve">             </w:t>
            </w:r>
            <w:r>
              <w:rPr>
                <w:rFonts w:hint="eastAsia" w:ascii="宋体" w:hAnsi="宋体" w:eastAsia="宋体" w:cs="宋体"/>
                <w:i w:val="0"/>
                <w:iCs w:val="0"/>
                <w:color w:val="000000"/>
                <w:sz w:val="21"/>
                <w:szCs w:val="21"/>
                <w:highlight w:val="none"/>
                <w:u w:val="none"/>
                <w:lang w:val="en-US" w:eastAsia="zh-CN"/>
              </w:rPr>
              <w:t>元               大写：</w:t>
            </w:r>
            <w:r>
              <w:rPr>
                <w:rFonts w:hint="eastAsia" w:ascii="宋体" w:hAnsi="宋体" w:eastAsia="宋体" w:cs="宋体"/>
                <w:i w:val="0"/>
                <w:iCs w:val="0"/>
                <w:color w:val="000000"/>
                <w:sz w:val="21"/>
                <w:szCs w:val="21"/>
                <w:highlight w:val="none"/>
                <w:u w:val="single"/>
                <w:lang w:val="en-US" w:eastAsia="zh-CN"/>
              </w:rPr>
              <w:t xml:space="preserve">                </w:t>
            </w:r>
            <w:r>
              <w:rPr>
                <w:rFonts w:hint="eastAsia" w:ascii="宋体" w:hAnsi="宋体" w:eastAsia="宋体" w:cs="宋体"/>
                <w:i w:val="0"/>
                <w:iCs w:val="0"/>
                <w:color w:val="000000"/>
                <w:sz w:val="21"/>
                <w:szCs w:val="21"/>
                <w:highlight w:val="none"/>
                <w:u w:val="none"/>
                <w:lang w:val="en-US" w:eastAsia="zh-CN"/>
              </w:rPr>
              <w:t>元     （转过结至附件3：开标一览表）</w:t>
            </w:r>
          </w:p>
        </w:tc>
      </w:tr>
    </w:tbl>
    <w:p w14:paraId="66943EB8">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 本表为《开标一览表》的报价明细表，如有缺项、漏项，视为投标报价中已包含相关费用，采购人无需另外支付任何费用。</w:t>
      </w:r>
    </w:p>
    <w:p w14:paraId="16410FBE">
      <w:pPr>
        <w:spacing w:line="360" w:lineRule="auto"/>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val="zh-CN"/>
          <w14:textFill>
            <w14:solidFill>
              <w14:schemeClr w14:val="tx1"/>
            </w14:solidFill>
          </w14:textFill>
        </w:rPr>
        <w:t>“投标报价明细清单”中的报价合计应与“开标一览表”中的投标总报价相一致，不一致时，以开标一览表为准。</w:t>
      </w:r>
    </w:p>
    <w:p w14:paraId="71665076">
      <w:pPr>
        <w:spacing w:line="360" w:lineRule="auto"/>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lang w:val="zh-CN"/>
          <w14:textFill>
            <w14:solidFill>
              <w14:schemeClr w14:val="tx1"/>
            </w14:solidFill>
          </w14:textFill>
        </w:rPr>
        <w:t>投标报价明细表所填内容按采购文件采购设备清单要求为准。如有漏报的，视同已包含在投标总价内或已作优惠处理。有重大缺项的将作无效标处理。</w:t>
      </w:r>
    </w:p>
    <w:p w14:paraId="346EAD1C">
      <w:pPr>
        <w:pStyle w:val="13"/>
        <w:spacing w:after="0" w:line="360" w:lineRule="auto"/>
        <w:ind w:firstLine="422" w:firstLineChars="200"/>
        <w:rPr>
          <w:rFonts w:ascii="宋体" w:hAnsi="宋体" w:eastAsia="宋体"/>
          <w:b/>
          <w:color w:val="000000" w:themeColor="text1"/>
          <w:szCs w:val="21"/>
          <w:highlight w:val="none"/>
          <w14:textFill>
            <w14:solidFill>
              <w14:schemeClr w14:val="tx1"/>
            </w14:solidFill>
          </w14:textFill>
        </w:rPr>
      </w:pPr>
      <w:bookmarkStart w:id="33" w:name="_Hlk130423096"/>
      <w:r>
        <w:rPr>
          <w:rFonts w:hint="eastAsia" w:ascii="宋体" w:hAnsi="宋体" w:eastAsia="宋体"/>
          <w:b/>
          <w:color w:val="000000" w:themeColor="text1"/>
          <w:szCs w:val="21"/>
          <w:highlight w:val="none"/>
          <w:lang w:val="en-US" w:eastAsia="zh-CN"/>
          <w14:textFill>
            <w14:solidFill>
              <w14:schemeClr w14:val="tx1"/>
            </w14:solidFill>
          </w14:textFill>
        </w:rPr>
        <w:t>4</w:t>
      </w:r>
      <w:r>
        <w:rPr>
          <w:rFonts w:hint="eastAsia" w:ascii="宋体" w:hAnsi="宋体" w:eastAsia="宋体"/>
          <w:b/>
          <w:color w:val="000000" w:themeColor="text1"/>
          <w:szCs w:val="21"/>
          <w:highlight w:val="none"/>
          <w14:textFill>
            <w14:solidFill>
              <w14:schemeClr w14:val="tx1"/>
            </w14:solidFill>
          </w14:textFill>
        </w:rPr>
        <w:t>.本项目实行全费用综合单价报价，</w:t>
      </w:r>
      <w:r>
        <w:rPr>
          <w:rFonts w:hint="eastAsia" w:ascii="宋体" w:hAnsi="宋体" w:eastAsia="宋体"/>
          <w:b/>
          <w:color w:val="000000" w:themeColor="text1"/>
          <w:szCs w:val="21"/>
          <w:highlight w:val="none"/>
          <w:lang w:val="en-US" w:eastAsia="zh-CN"/>
          <w14:textFill>
            <w14:solidFill>
              <w14:schemeClr w14:val="tx1"/>
            </w14:solidFill>
          </w14:textFill>
        </w:rPr>
        <w:t>该全费用综合单价包</w:t>
      </w:r>
      <w:r>
        <w:rPr>
          <w:rFonts w:hint="eastAsia" w:ascii="宋体" w:hAnsi="宋体" w:eastAsia="宋体"/>
          <w:b/>
          <w:color w:val="000000" w:themeColor="text1"/>
          <w:szCs w:val="21"/>
          <w:highlight w:val="none"/>
          <w14:textFill>
            <w14:solidFill>
              <w14:schemeClr w14:val="tx1"/>
            </w14:solidFill>
          </w14:textFill>
        </w:rPr>
        <w:t>括本项目货物设计、原材料、成品制作、材料费（含窗帘挂钩）、人工费、服务费、运输费、装卸、安装前的清洗费、保管费、安装调试费、税费、利润、维修、质量保修、管理费用、完成合同所需的一切本身和不可或缺的所有工作开支、政策性文件规定及合同包含的所有风险、责任等各项全部费用。该单价中已综合考虑了在合同有效期内的材料设备、机械、人工等所有市场价格波动的风险，在合同有效期内不做任何调整。</w:t>
      </w:r>
    </w:p>
    <w:bookmarkEnd w:id="33"/>
    <w:p w14:paraId="0BE6A3C0">
      <w:pPr>
        <w:pStyle w:val="13"/>
        <w:keepNext w:val="0"/>
        <w:keepLines w:val="0"/>
        <w:pageBreakBefore w:val="0"/>
        <w:widowControl w:val="0"/>
        <w:kinsoku/>
        <w:wordWrap/>
        <w:overflowPunct/>
        <w:topLinePunct w:val="0"/>
        <w:autoSpaceDE/>
        <w:autoSpaceDN/>
        <w:bidi w:val="0"/>
        <w:adjustRightInd/>
        <w:snapToGrid/>
        <w:spacing w:after="0" w:line="240" w:lineRule="auto"/>
        <w:ind w:firstLine="3960" w:firstLineChars="1800"/>
        <w:jc w:val="right"/>
        <w:textAlignment w:val="auto"/>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投标人（盖章）：</w:t>
      </w:r>
    </w:p>
    <w:p w14:paraId="6FE3A7FB">
      <w:pPr>
        <w:keepNext w:val="0"/>
        <w:keepLines w:val="0"/>
        <w:pageBreakBefore w:val="0"/>
        <w:widowControl w:val="0"/>
        <w:kinsoku/>
        <w:wordWrap/>
        <w:overflowPunct/>
        <w:topLinePunct w:val="0"/>
        <w:autoSpaceDE/>
        <w:autoSpaceDN/>
        <w:bidi w:val="0"/>
        <w:adjustRightInd/>
        <w:snapToGrid/>
        <w:spacing w:line="240" w:lineRule="auto"/>
        <w:ind w:firstLine="3960" w:firstLineChars="1800"/>
        <w:jc w:val="right"/>
        <w:textAlignment w:val="auto"/>
        <w:rPr>
          <w:rFonts w:ascii="宋体"/>
          <w:color w:val="000000" w:themeColor="text1"/>
          <w:sz w:val="22"/>
          <w:szCs w:val="22"/>
          <w:highlight w:val="none"/>
          <w14:textFill>
            <w14:solidFill>
              <w14:schemeClr w14:val="tx1"/>
            </w14:solidFill>
          </w14:textFill>
        </w:rPr>
      </w:pPr>
      <w:r>
        <w:rPr>
          <w:rFonts w:hint="eastAsia" w:ascii="宋体"/>
          <w:color w:val="000000" w:themeColor="text1"/>
          <w:sz w:val="22"/>
          <w:szCs w:val="22"/>
          <w:highlight w:val="none"/>
          <w14:textFill>
            <w14:solidFill>
              <w14:schemeClr w14:val="tx1"/>
            </w14:solidFill>
          </w14:textFill>
        </w:rPr>
        <w:t xml:space="preserve">法定代表人（签字或盖章）：                  </w:t>
      </w:r>
    </w:p>
    <w:p w14:paraId="6C41374B">
      <w:pPr>
        <w:keepNext w:val="0"/>
        <w:keepLines w:val="0"/>
        <w:pageBreakBefore w:val="0"/>
        <w:widowControl w:val="0"/>
        <w:kinsoku/>
        <w:wordWrap/>
        <w:overflowPunct/>
        <w:topLinePunct w:val="0"/>
        <w:autoSpaceDE/>
        <w:autoSpaceDN/>
        <w:bidi w:val="0"/>
        <w:adjustRightInd/>
        <w:snapToGrid/>
        <w:spacing w:line="240" w:lineRule="auto"/>
        <w:ind w:firstLine="3740" w:firstLineChars="1700"/>
        <w:jc w:val="right"/>
        <w:textAlignment w:val="auto"/>
        <w:rPr>
          <w:color w:val="000000" w:themeColor="text1"/>
          <w:sz w:val="22"/>
          <w:szCs w:val="22"/>
          <w:highlight w:val="none"/>
          <w14:textFill>
            <w14:solidFill>
              <w14:schemeClr w14:val="tx1"/>
            </w14:solidFill>
          </w14:textFill>
        </w:rPr>
      </w:pPr>
      <w:r>
        <w:rPr>
          <w:rFonts w:hint="eastAsia" w:ascii="宋体"/>
          <w:color w:val="000000" w:themeColor="text1"/>
          <w:sz w:val="22"/>
          <w:szCs w:val="22"/>
          <w:highlight w:val="none"/>
          <w14:textFill>
            <w14:solidFill>
              <w14:schemeClr w14:val="tx1"/>
            </w14:solidFill>
          </w14:textFill>
        </w:rPr>
        <w:t xml:space="preserve">  日期：  年    月    日</w:t>
      </w:r>
    </w:p>
    <w:p w14:paraId="4D0C8DB2">
      <w:pPr>
        <w:snapToGrid w:val="0"/>
        <w:spacing w:before="50" w:after="50"/>
        <w:ind w:left="-54" w:leftChars="-72" w:right="-1089" w:rightChars="-389" w:hanging="148" w:hangingChars="62"/>
        <w:rPr>
          <w:rFonts w:ascii="宋体" w:hAnsi="宋体"/>
          <w:color w:val="000000" w:themeColor="text1"/>
          <w:sz w:val="24"/>
          <w:highlight w:val="none"/>
          <w14:textFill>
            <w14:solidFill>
              <w14:schemeClr w14:val="tx1"/>
            </w14:solidFill>
          </w14:textFill>
        </w:rPr>
        <w:sectPr>
          <w:pgSz w:w="16840" w:h="11907" w:orient="landscape"/>
          <w:pgMar w:top="1080" w:right="1440" w:bottom="1080" w:left="1440" w:header="851" w:footer="992" w:gutter="0"/>
          <w:pgBorders>
            <w:top w:val="none" w:sz="0" w:space="0"/>
            <w:left w:val="none" w:sz="0" w:space="0"/>
            <w:bottom w:val="none" w:sz="0" w:space="0"/>
            <w:right w:val="none" w:sz="0" w:space="0"/>
          </w:pgBorders>
          <w:pgNumType w:fmt="decimal"/>
          <w:cols w:space="720" w:num="1"/>
          <w:docGrid w:linePitch="312" w:charSpace="0"/>
        </w:sectPr>
      </w:pPr>
    </w:p>
    <w:p w14:paraId="7FF2CA9F">
      <w:pPr>
        <w:snapToGrid w:val="0"/>
        <w:spacing w:before="50" w:after="50"/>
        <w:ind w:left="36" w:leftChars="13" w:right="-1089" w:rightChars="-389" w:firstLine="89" w:firstLineChars="37"/>
        <w:jc w:val="left"/>
        <w:rPr>
          <w:rFonts w:hint="eastAsia" w:ascii="宋体" w:hAnsi="宋体" w:eastAsia="宋体"/>
          <w:b/>
          <w:bCs/>
          <w:color w:val="000000" w:themeColor="text1"/>
          <w:sz w:val="24"/>
          <w:highlight w:val="none"/>
          <w:lang w:eastAsia="zh-CN"/>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附件</w:t>
      </w:r>
      <w:r>
        <w:rPr>
          <w:rFonts w:hint="eastAsia" w:ascii="宋体" w:hAnsi="宋体"/>
          <w:b/>
          <w:bCs/>
          <w:color w:val="000000" w:themeColor="text1"/>
          <w:sz w:val="24"/>
          <w:highlight w:val="none"/>
          <w:lang w:val="en-US" w:eastAsia="zh-CN"/>
          <w14:textFill>
            <w14:solidFill>
              <w14:schemeClr w14:val="tx1"/>
            </w14:solidFill>
          </w14:textFill>
        </w:rPr>
        <w:t>5</w:t>
      </w:r>
      <w:r>
        <w:rPr>
          <w:rFonts w:hint="eastAsia" w:ascii="宋体" w:hAnsi="宋体"/>
          <w:b/>
          <w:bCs/>
          <w:color w:val="000000" w:themeColor="text1"/>
          <w:sz w:val="24"/>
          <w:highlight w:val="none"/>
          <w:lang w:eastAsia="zh-CN"/>
          <w14:textFill>
            <w14:solidFill>
              <w14:schemeClr w14:val="tx1"/>
            </w14:solidFill>
          </w14:textFill>
        </w:rPr>
        <w:t>：</w:t>
      </w:r>
    </w:p>
    <w:p w14:paraId="45277E83">
      <w:pPr>
        <w:snapToGrid w:val="0"/>
        <w:spacing w:line="560" w:lineRule="exact"/>
        <w:jc w:val="center"/>
        <w:outlineLvl w:val="0"/>
        <w:rPr>
          <w:rFonts w:ascii="宋体" w:hAnsi="宋体" w:cs="宋体"/>
          <w:b/>
          <w:color w:val="000000" w:themeColor="text1"/>
          <w:sz w:val="30"/>
          <w:szCs w:val="30"/>
          <w:highlight w:val="none"/>
          <w14:textFill>
            <w14:solidFill>
              <w14:schemeClr w14:val="tx1"/>
            </w14:solidFill>
          </w14:textFill>
        </w:rPr>
      </w:pPr>
      <w:bookmarkStart w:id="34" w:name="_Toc32173"/>
      <w:r>
        <w:rPr>
          <w:rFonts w:hint="eastAsia" w:ascii="宋体" w:hAnsi="宋体" w:cs="宋体"/>
          <w:b/>
          <w:color w:val="000000" w:themeColor="text1"/>
          <w:kern w:val="0"/>
          <w:sz w:val="30"/>
          <w:szCs w:val="30"/>
          <w:highlight w:val="none"/>
          <w:lang w:bidi="ar"/>
          <w14:textFill>
            <w14:solidFill>
              <w14:schemeClr w14:val="tx1"/>
            </w14:solidFill>
          </w14:textFill>
        </w:rPr>
        <w:t>投标人诚信投标承诺书</w:t>
      </w:r>
      <w:bookmarkEnd w:id="34"/>
    </w:p>
    <w:p w14:paraId="3CCFB766">
      <w:pPr>
        <w:spacing w:line="460" w:lineRule="exact"/>
        <w:rPr>
          <w:rFonts w:ascii="宋体" w:hAnsi="宋体" w:cs="宋体"/>
          <w:color w:val="000000" w:themeColor="text1"/>
          <w:sz w:val="24"/>
          <w:szCs w:val="20"/>
          <w:highlight w:val="none"/>
          <w14:textFill>
            <w14:solidFill>
              <w14:schemeClr w14:val="tx1"/>
            </w14:solidFill>
          </w14:textFill>
        </w:rPr>
      </w:pPr>
    </w:p>
    <w:p w14:paraId="4F9B6857">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本投标人郑重承诺：</w:t>
      </w:r>
    </w:p>
    <w:p w14:paraId="56A00905">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一、将遵循公开、公平、公正和诚实信用的原则参加</w:t>
      </w:r>
      <w:r>
        <w:rPr>
          <w:rFonts w:hint="eastAsia" w:ascii="宋体" w:hAnsi="宋体" w:cs="宋体"/>
          <w:color w:val="000000" w:themeColor="text1"/>
          <w:kern w:val="0"/>
          <w:sz w:val="24"/>
          <w:szCs w:val="20"/>
          <w:highlight w:val="none"/>
          <w:u w:val="single"/>
          <w:lang w:eastAsia="zh-CN" w:bidi="ar"/>
          <w14:textFill>
            <w14:solidFill>
              <w14:schemeClr w14:val="tx1"/>
            </w14:solidFill>
          </w14:textFill>
        </w:rPr>
        <w:t xml:space="preserve"> 台州方特熊出没水上休闲游乐度假中心（一期）窗帘采购</w:t>
      </w:r>
      <w:r>
        <w:rPr>
          <w:rFonts w:hint="eastAsia" w:ascii="宋体" w:hAnsi="宋体" w:cs="宋体"/>
          <w:color w:val="000000" w:themeColor="text1"/>
          <w:kern w:val="0"/>
          <w:sz w:val="24"/>
          <w:szCs w:val="20"/>
          <w:highlight w:val="none"/>
          <w:lang w:bidi="ar"/>
          <w14:textFill>
            <w14:solidFill>
              <w14:schemeClr w14:val="tx1"/>
            </w14:solidFill>
          </w14:textFill>
        </w:rPr>
        <w:t>的投标；</w:t>
      </w:r>
    </w:p>
    <w:p w14:paraId="2313F025">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二、不向采购人、招标代理机构和监管部门及其工作人员和评审人员贿赂，或采取其它不正当手段谋取中标或成交；</w:t>
      </w:r>
    </w:p>
    <w:p w14:paraId="0D9E9444">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 xml:space="preserve">三、应公平竞争、诚实守信，不得采取不正当手段抵毁、排挤其他投标人，不提供虚假材料谋取中标或成交； </w:t>
      </w:r>
    </w:p>
    <w:p w14:paraId="16271838">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四、中标成交后，不将招标项目非法转让他人，或未经采购人同意，将中标项目分包给他人；</w:t>
      </w:r>
    </w:p>
    <w:p w14:paraId="5E36411F">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五、不与采购人、其它投标人和招标代理机构串通或恶意报价，哄抬招标价格；不在招标过程中与招标组织机构协商谈判；</w:t>
      </w:r>
    </w:p>
    <w:p w14:paraId="7BB24005">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六、中标成交后，按规定及时与采购人签订合同；无正当理由不拖延或拒绝与采购人签订合同，不与采购人订立有悖于招标结果的合同或协议</w:t>
      </w:r>
    </w:p>
    <w:p w14:paraId="3ABB180A">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七、严格履行合同，不降低合同约定的产品质量和服务，不擅自变更、中止、终止合同，或拒绝履行合同义务；</w:t>
      </w:r>
    </w:p>
    <w:p w14:paraId="1550A685">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八、不捏造事实或者提供虚假材料，进行虚假、恶意质疑、投诉，扰乱招标工作；</w:t>
      </w:r>
    </w:p>
    <w:p w14:paraId="1B22A2CA">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九、自觉接受和配合有关政府招标监督部门的监督检查，不拒绝或在检查中提供虚假材料。</w:t>
      </w:r>
    </w:p>
    <w:p w14:paraId="2F07601A">
      <w:pPr>
        <w:spacing w:line="360" w:lineRule="auto"/>
        <w:ind w:firstLine="480" w:firstLineChars="200"/>
        <w:rPr>
          <w:rFonts w:ascii="宋体" w:hAnsi="宋体" w:cs="宋体"/>
          <w:color w:val="000000" w:themeColor="text1"/>
          <w:kern w:val="0"/>
          <w:sz w:val="24"/>
          <w:szCs w:val="20"/>
          <w:highlight w:val="none"/>
          <w:lang w:bidi="ar"/>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本公司若有违反承诺内容的行为，自愿接受记入信用档案等有关处理，愿意承担法律责任。如已中标的，自动放弃中标资格给采购人造成损失的，依法承担赔偿责任。</w:t>
      </w:r>
    </w:p>
    <w:p w14:paraId="454FBB7D">
      <w:pPr>
        <w:pStyle w:val="12"/>
        <w:rPr>
          <w:color w:val="000000" w:themeColor="text1"/>
          <w:highlight w:val="none"/>
          <w14:textFill>
            <w14:solidFill>
              <w14:schemeClr w14:val="tx1"/>
            </w14:solidFill>
          </w14:textFill>
        </w:rPr>
      </w:pPr>
    </w:p>
    <w:p w14:paraId="08A5C1D2">
      <w:pPr>
        <w:pStyle w:val="13"/>
        <w:ind w:firstLine="210"/>
        <w:rPr>
          <w:color w:val="000000" w:themeColor="text1"/>
          <w:highlight w:val="none"/>
          <w14:textFill>
            <w14:solidFill>
              <w14:schemeClr w14:val="tx1"/>
            </w14:solidFill>
          </w14:textFill>
        </w:rPr>
      </w:pPr>
    </w:p>
    <w:p w14:paraId="4B21BF5E">
      <w:pPr>
        <w:rPr>
          <w:color w:val="000000" w:themeColor="text1"/>
          <w:highlight w:val="none"/>
          <w14:textFill>
            <w14:solidFill>
              <w14:schemeClr w14:val="tx1"/>
            </w14:solidFill>
          </w14:textFill>
        </w:rPr>
      </w:pPr>
    </w:p>
    <w:p w14:paraId="0A0FE0E0">
      <w:pPr>
        <w:pStyle w:val="13"/>
        <w:ind w:firstLine="4320" w:firstLineChars="1800"/>
        <w:rPr>
          <w:rFonts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2A576ABF">
      <w:pPr>
        <w:spacing w:line="360" w:lineRule="auto"/>
        <w:ind w:firstLine="4320" w:firstLineChars="18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法定代表人（签字或盖章）：                  </w:t>
      </w:r>
    </w:p>
    <w:p w14:paraId="51E73A8E">
      <w:pPr>
        <w:spacing w:line="360" w:lineRule="auto"/>
        <w:ind w:firstLine="4080" w:firstLineChars="1700"/>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07C20C73">
      <w:pPr>
        <w:spacing w:line="400" w:lineRule="exact"/>
        <w:rPr>
          <w:rFonts w:ascii="宋体" w:hAnsi="宋体" w:cs="宋体"/>
          <w:color w:val="000000" w:themeColor="text1"/>
          <w:sz w:val="24"/>
          <w:highlight w:val="none"/>
          <w14:textFill>
            <w14:solidFill>
              <w14:schemeClr w14:val="tx1"/>
            </w14:solidFill>
          </w14:textFill>
        </w:rPr>
      </w:pPr>
    </w:p>
    <w:p w14:paraId="0A632CA2">
      <w:pPr>
        <w:spacing w:line="400" w:lineRule="exact"/>
        <w:rPr>
          <w:rFonts w:ascii="宋体" w:hAnsi="宋体" w:cs="宋体"/>
          <w:color w:val="000000" w:themeColor="text1"/>
          <w:sz w:val="24"/>
          <w:highlight w:val="none"/>
          <w14:textFill>
            <w14:solidFill>
              <w14:schemeClr w14:val="tx1"/>
            </w14:solidFill>
          </w14:textFill>
        </w:rPr>
        <w:sectPr>
          <w:pgSz w:w="11907" w:h="16840"/>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2EF05EB4">
      <w:pPr>
        <w:spacing w:line="360" w:lineRule="auto"/>
        <w:ind w:left="36" w:leftChars="13" w:right="-1089" w:rightChars="-389" w:firstLine="89" w:firstLineChars="37"/>
        <w:outlineLvl w:val="0"/>
        <w:rPr>
          <w:rFonts w:ascii="宋体" w:hAnsi="宋体" w:cs="宋体"/>
          <w:b/>
          <w:bCs/>
          <w:color w:val="000000" w:themeColor="text1"/>
          <w:sz w:val="24"/>
          <w:highlight w:val="none"/>
          <w14:textFill>
            <w14:solidFill>
              <w14:schemeClr w14:val="tx1"/>
            </w14:solidFill>
          </w14:textFill>
        </w:rPr>
      </w:pPr>
      <w:bookmarkStart w:id="35" w:name="_Toc3783"/>
      <w:r>
        <w:rPr>
          <w:rFonts w:hint="eastAsia" w:ascii="宋体" w:hAnsi="宋体" w:cs="宋体"/>
          <w:b/>
          <w:bCs/>
          <w:color w:val="000000" w:themeColor="text1"/>
          <w:sz w:val="24"/>
          <w:highlight w:val="none"/>
          <w14:textFill>
            <w14:solidFill>
              <w14:schemeClr w14:val="tx1"/>
            </w14:solidFill>
          </w14:textFill>
        </w:rPr>
        <w:t>附件</w:t>
      </w:r>
      <w:r>
        <w:rPr>
          <w:rFonts w:hint="eastAsia" w:ascii="宋体" w:hAnsi="宋体" w:cs="宋体"/>
          <w:b/>
          <w:bCs/>
          <w:color w:val="000000" w:themeColor="text1"/>
          <w:sz w:val="24"/>
          <w:highlight w:val="none"/>
          <w:lang w:val="en-US" w:eastAsia="zh-CN"/>
          <w14:textFill>
            <w14:solidFill>
              <w14:schemeClr w14:val="tx1"/>
            </w14:solidFill>
          </w14:textFill>
        </w:rPr>
        <w:t>6</w:t>
      </w:r>
      <w:r>
        <w:rPr>
          <w:rFonts w:hint="eastAsia" w:ascii="宋体" w:hAnsi="宋体" w:cs="宋体"/>
          <w:b/>
          <w:bCs/>
          <w:color w:val="000000" w:themeColor="text1"/>
          <w:sz w:val="24"/>
          <w:highlight w:val="none"/>
          <w14:textFill>
            <w14:solidFill>
              <w14:schemeClr w14:val="tx1"/>
            </w14:solidFill>
          </w14:textFill>
        </w:rPr>
        <w:t>：</w:t>
      </w:r>
      <w:bookmarkEnd w:id="35"/>
    </w:p>
    <w:p w14:paraId="4C7C4A48">
      <w:pPr>
        <w:adjustRightInd w:val="0"/>
        <w:snapToGrid w:val="0"/>
        <w:spacing w:line="360" w:lineRule="auto"/>
        <w:ind w:right="480"/>
        <w:jc w:val="center"/>
        <w:outlineLvl w:val="0"/>
        <w:rPr>
          <w:rFonts w:ascii="宋体" w:hAnsi="宋体"/>
          <w:b/>
          <w:color w:val="000000" w:themeColor="text1"/>
          <w:kern w:val="0"/>
          <w:sz w:val="32"/>
          <w:szCs w:val="32"/>
          <w:highlight w:val="none"/>
          <w:lang w:val="zh-CN"/>
          <w14:textFill>
            <w14:solidFill>
              <w14:schemeClr w14:val="tx1"/>
            </w14:solidFill>
          </w14:textFill>
        </w:rPr>
      </w:pPr>
      <w:bookmarkStart w:id="36" w:name="_Toc19573"/>
      <w:r>
        <w:rPr>
          <w:rFonts w:hint="eastAsia" w:ascii="宋体" w:hAnsi="宋体"/>
          <w:b/>
          <w:color w:val="000000" w:themeColor="text1"/>
          <w:kern w:val="0"/>
          <w:sz w:val="32"/>
          <w:szCs w:val="32"/>
          <w:highlight w:val="none"/>
          <w:lang w:val="zh-CN"/>
          <w14:textFill>
            <w14:solidFill>
              <w14:schemeClr w14:val="tx1"/>
            </w14:solidFill>
          </w14:textFill>
        </w:rPr>
        <w:t>投标声明书</w:t>
      </w:r>
      <w:bookmarkEnd w:id="36"/>
    </w:p>
    <w:p w14:paraId="7F758BCF">
      <w:pPr>
        <w:snapToGrid w:val="0"/>
        <w:spacing w:before="120" w:beforeLines="50" w:after="50" w:line="40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u w:val="single"/>
          <w:lang w:eastAsia="zh-CN"/>
          <w14:textFill>
            <w14:solidFill>
              <w14:schemeClr w14:val="tx1"/>
            </w14:solidFill>
          </w14:textFill>
        </w:rPr>
        <w:t>建经投资咨询有限公司</w:t>
      </w:r>
      <w:r>
        <w:rPr>
          <w:rFonts w:hint="eastAsia" w:ascii="宋体" w:hAnsi="宋体" w:cs="宋体"/>
          <w:color w:val="000000" w:themeColor="text1"/>
          <w:kern w:val="0"/>
          <w:sz w:val="24"/>
          <w:highlight w:val="none"/>
          <w14:textFill>
            <w14:solidFill>
              <w14:schemeClr w14:val="tx1"/>
            </w14:solidFill>
          </w14:textFill>
        </w:rPr>
        <w:t>（采购代理机构名称）：</w:t>
      </w:r>
    </w:p>
    <w:p w14:paraId="637F3BCD">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系中华人民共和国合法企业，经营地址</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64899ADC">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u w:val="single"/>
          <w14:textFill>
            <w14:solidFill>
              <w14:schemeClr w14:val="tx1"/>
            </w14:solidFill>
          </w14:textFill>
        </w:rPr>
        <w:t xml:space="preserve"> 姓名 </w:t>
      </w:r>
      <w:r>
        <w:rPr>
          <w:rFonts w:hint="eastAsia" w:ascii="宋体" w:hAnsi="宋体" w:cs="宋体"/>
          <w:color w:val="000000" w:themeColor="text1"/>
          <w:kern w:val="0"/>
          <w:sz w:val="24"/>
          <w:highlight w:val="none"/>
          <w14:textFill>
            <w14:solidFill>
              <w14:schemeClr w14:val="tx1"/>
            </w14:solidFill>
          </w14:textFill>
        </w:rPr>
        <w:t>）系（</w:t>
      </w:r>
      <w:r>
        <w:rPr>
          <w:rFonts w:hint="eastAsia" w:ascii="宋体" w:hAnsi="宋体" w:cs="宋体"/>
          <w:color w:val="000000" w:themeColor="text1"/>
          <w:kern w:val="0"/>
          <w:sz w:val="24"/>
          <w:highlight w:val="none"/>
          <w:u w:val="single"/>
          <w14:textFill>
            <w14:solidFill>
              <w14:schemeClr w14:val="tx1"/>
            </w14:solidFill>
          </w14:textFill>
        </w:rPr>
        <w:t xml:space="preserve"> 投标人名称 </w:t>
      </w:r>
      <w:r>
        <w:rPr>
          <w:rFonts w:hint="eastAsia" w:ascii="宋体" w:hAnsi="宋体" w:cs="宋体"/>
          <w:color w:val="000000" w:themeColor="text1"/>
          <w:kern w:val="0"/>
          <w:sz w:val="24"/>
          <w:highlight w:val="none"/>
          <w14:textFill>
            <w14:solidFill>
              <w14:schemeClr w14:val="tx1"/>
            </w14:solidFill>
          </w14:textFill>
        </w:rPr>
        <w:t>）的法定代表人（机构负责人），我公司自愿参加贵方组织的</w:t>
      </w:r>
      <w:r>
        <w:rPr>
          <w:rFonts w:hint="eastAsia" w:ascii="宋体" w:hAnsi="宋体" w:cs="宋体"/>
          <w:color w:val="000000" w:themeColor="text1"/>
          <w:kern w:val="0"/>
          <w:sz w:val="24"/>
          <w:szCs w:val="20"/>
          <w:highlight w:val="none"/>
          <w:u w:val="single"/>
          <w:lang w:eastAsia="zh-CN" w:bidi="ar"/>
          <w14:textFill>
            <w14:solidFill>
              <w14:schemeClr w14:val="tx1"/>
            </w14:solidFill>
          </w14:textFill>
        </w:rPr>
        <w:t xml:space="preserve"> 台州方特熊出没水上休闲游乐度假中心（一期）窗帘采购</w:t>
      </w:r>
      <w:r>
        <w:rPr>
          <w:rFonts w:hint="eastAsia" w:ascii="宋体" w:hAnsi="宋体" w:cs="宋体"/>
          <w:color w:val="000000" w:themeColor="text1"/>
          <w:kern w:val="0"/>
          <w:sz w:val="24"/>
          <w:highlight w:val="none"/>
          <w14:textFill>
            <w14:solidFill>
              <w14:schemeClr w14:val="tx1"/>
            </w14:solidFill>
          </w14:textFill>
        </w:rPr>
        <w:t>的投标，为此，我公司就本次投标有关事项郑重声明如下：</w:t>
      </w:r>
    </w:p>
    <w:p w14:paraId="44ABE6AB">
      <w:pPr>
        <w:snapToGrid w:val="0"/>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Arial" w:hAnsi="Arial" w:cs="Arial"/>
          <w:color w:val="000000" w:themeColor="text1"/>
          <w:sz w:val="24"/>
          <w:highlight w:val="none"/>
          <w14:textFill>
            <w14:solidFill>
              <w14:schemeClr w14:val="tx1"/>
            </w14:solidFill>
          </w14:textFill>
        </w:rPr>
        <w:t>我公司声明截止投标时间近三年以来：在采购领域中的项目招标、投标和合同履约期间无任何不良行为记录；无重大违法记录（重大违法记录是指投标人因违法经营受到刑事处罚或者责令停产停业、吊销许可证或者执照、较大数额罚款等行政处罚）。</w:t>
      </w:r>
    </w:p>
    <w:p w14:paraId="25B2164D">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2、我公司</w:t>
      </w:r>
      <w:r>
        <w:rPr>
          <w:rFonts w:ascii="宋体" w:hAnsi="宋体" w:cs="宋体"/>
          <w:color w:val="000000" w:themeColor="text1"/>
          <w:kern w:val="0"/>
          <w:sz w:val="24"/>
          <w:highlight w:val="none"/>
          <w14:textFill>
            <w14:solidFill>
              <w14:schemeClr w14:val="tx1"/>
            </w14:solidFill>
          </w14:textFill>
        </w:rPr>
        <w:t>在参与投标前已</w:t>
      </w:r>
      <w:r>
        <w:rPr>
          <w:rFonts w:hint="eastAsia" w:ascii="宋体" w:hAnsi="宋体" w:cs="宋体"/>
          <w:color w:val="000000" w:themeColor="text1"/>
          <w:kern w:val="0"/>
          <w:sz w:val="24"/>
          <w:highlight w:val="none"/>
          <w14:textFill>
            <w14:solidFill>
              <w14:schemeClr w14:val="tx1"/>
            </w14:solidFill>
          </w14:textFill>
        </w:rPr>
        <w:t>详细审查</w:t>
      </w:r>
      <w:r>
        <w:rPr>
          <w:rFonts w:ascii="宋体" w:hAnsi="宋体" w:cs="宋体"/>
          <w:color w:val="000000" w:themeColor="text1"/>
          <w:kern w:val="0"/>
          <w:sz w:val="24"/>
          <w:highlight w:val="none"/>
          <w14:textFill>
            <w14:solidFill>
              <w14:schemeClr w14:val="tx1"/>
            </w14:solidFill>
          </w14:textFill>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000000" w:themeColor="text1"/>
          <w:kern w:val="0"/>
          <w:sz w:val="24"/>
          <w:highlight w:val="none"/>
          <w14:textFill>
            <w14:solidFill>
              <w14:schemeClr w14:val="tx1"/>
            </w14:solidFill>
          </w14:textFill>
        </w:rPr>
        <w:t>利。</w:t>
      </w:r>
    </w:p>
    <w:p w14:paraId="126DD5CE">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14:paraId="2649D657">
      <w:pPr>
        <w:snapToGrid w:val="0"/>
        <w:spacing w:line="360" w:lineRule="auto"/>
        <w:ind w:firstLine="480" w:firstLineChars="200"/>
        <w:rPr>
          <w:rFonts w:ascii="宋体" w:hAnsi="宋体"/>
          <w:color w:val="000000" w:themeColor="text1"/>
          <w:kern w:val="0"/>
          <w:sz w:val="24"/>
          <w:highlight w:val="none"/>
          <w:lang w:val="af-Z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14:textFill>
            <w14:solidFill>
              <w14:schemeClr w14:val="tx1"/>
            </w14:solidFill>
          </w14:textFill>
        </w:rPr>
        <w:t>保证，</w:t>
      </w:r>
      <w:r>
        <w:rPr>
          <w:rFonts w:hint="eastAsia" w:ascii="宋体" w:hAnsi="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kern w:val="0"/>
          <w:sz w:val="24"/>
          <w:highlight w:val="none"/>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highlight w:val="none"/>
          <w:lang w:val="af-ZA"/>
          <w14:textFill>
            <w14:solidFill>
              <w14:schemeClr w14:val="tx1"/>
            </w14:solidFill>
          </w14:textFill>
        </w:rPr>
        <w:t>我方</w:t>
      </w:r>
      <w:r>
        <w:rPr>
          <w:rFonts w:hint="eastAsia" w:ascii="宋体" w:hAnsi="宋体"/>
          <w:color w:val="000000" w:themeColor="text1"/>
          <w:kern w:val="0"/>
          <w:sz w:val="24"/>
          <w:highlight w:val="none"/>
          <w:lang w:val="af-ZA"/>
          <w14:textFill>
            <w14:solidFill>
              <w14:schemeClr w14:val="tx1"/>
            </w14:solidFill>
          </w14:textFill>
        </w:rPr>
        <w:t>承担。</w:t>
      </w:r>
      <w:r>
        <w:rPr>
          <w:rFonts w:hint="eastAsia" w:ascii="宋体" w:hAnsi="宋体" w:cs="宋体"/>
          <w:color w:val="000000" w:themeColor="text1"/>
          <w:kern w:val="0"/>
          <w:sz w:val="24"/>
          <w:highlight w:val="none"/>
          <w:lang w:val="af-ZA"/>
          <w14:textFill>
            <w14:solidFill>
              <w14:schemeClr w14:val="tx1"/>
            </w14:solidFill>
          </w14:textFill>
        </w:rPr>
        <w:t>我方的</w:t>
      </w:r>
      <w:r>
        <w:rPr>
          <w:rFonts w:hint="eastAsia" w:ascii="宋体" w:hAnsi="宋体"/>
          <w:color w:val="000000" w:themeColor="text1"/>
          <w:kern w:val="0"/>
          <w:sz w:val="24"/>
          <w:highlight w:val="none"/>
          <w:lang w:val="af-ZA"/>
          <w14:textFill>
            <w14:solidFill>
              <w14:schemeClr w14:val="tx1"/>
            </w14:solidFill>
          </w14:textFill>
        </w:rPr>
        <w:t>投标报价</w:t>
      </w:r>
      <w:r>
        <w:rPr>
          <w:rFonts w:hint="eastAsia" w:ascii="宋体" w:hAnsi="宋体" w:cs="宋体"/>
          <w:color w:val="000000" w:themeColor="text1"/>
          <w:kern w:val="0"/>
          <w:sz w:val="24"/>
          <w:highlight w:val="none"/>
          <w:lang w:val="af-ZA"/>
          <w14:textFill>
            <w14:solidFill>
              <w14:schemeClr w14:val="tx1"/>
            </w14:solidFill>
          </w14:textFill>
        </w:rPr>
        <w:t>已</w:t>
      </w:r>
      <w:r>
        <w:rPr>
          <w:rFonts w:hint="eastAsia" w:ascii="宋体" w:hAnsi="宋体"/>
          <w:color w:val="000000" w:themeColor="text1"/>
          <w:kern w:val="0"/>
          <w:sz w:val="24"/>
          <w:highlight w:val="none"/>
          <w:lang w:val="af-ZA"/>
          <w14:textFill>
            <w14:solidFill>
              <w14:schemeClr w14:val="tx1"/>
            </w14:solidFill>
          </w14:textFill>
        </w:rPr>
        <w:t>包含所有应向所有权人支付的专利权、商标权或其它知识产权的一切相关费用。</w:t>
      </w:r>
    </w:p>
    <w:p w14:paraId="2ACF5A8A">
      <w:pPr>
        <w:snapToGrid w:val="0"/>
        <w:spacing w:line="360" w:lineRule="auto"/>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af-ZA"/>
          <w14:textFill>
            <w14:solidFill>
              <w14:schemeClr w14:val="tx1"/>
            </w14:solidFill>
          </w14:textFill>
        </w:rPr>
        <w:t>5、我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严格履行采购合同，不降低合同约定的产品质量和服务，不擅自变更、中止、终止合同，或拒绝履行合同义务；</w:t>
      </w:r>
    </w:p>
    <w:p w14:paraId="1593B706">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6、以上事项如有虚假或隐瞒，我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愿意承担一切后果，并不再寻求任何旨在减轻或免除法律责任的辩解。</w:t>
      </w:r>
    </w:p>
    <w:p w14:paraId="189DD2C3">
      <w:pPr>
        <w:adjustRightInd w:val="0"/>
        <w:snapToGrid w:val="0"/>
        <w:spacing w:line="400" w:lineRule="exact"/>
        <w:ind w:firstLine="480"/>
        <w:rPr>
          <w:rFonts w:ascii="宋体" w:hAnsi="宋体" w:cs="仿宋_GB2312"/>
          <w:color w:val="000000" w:themeColor="text1"/>
          <w:kern w:val="0"/>
          <w:sz w:val="24"/>
          <w:highlight w:val="none"/>
          <w14:textFill>
            <w14:solidFill>
              <w14:schemeClr w14:val="tx1"/>
            </w14:solidFill>
          </w14:textFill>
        </w:rPr>
      </w:pPr>
    </w:p>
    <w:p w14:paraId="46735E2A">
      <w:pPr>
        <w:pStyle w:val="13"/>
        <w:ind w:firstLine="4320" w:firstLineChars="1800"/>
        <w:rPr>
          <w:rFonts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11B52B26">
      <w:pPr>
        <w:spacing w:line="360" w:lineRule="auto"/>
        <w:ind w:firstLine="4320" w:firstLineChars="18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法定代表人（签字或盖章）：                  </w:t>
      </w:r>
    </w:p>
    <w:p w14:paraId="3B43AA1F">
      <w:pPr>
        <w:spacing w:line="360" w:lineRule="auto"/>
        <w:ind w:firstLine="4080" w:firstLineChars="17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6710C8F5">
      <w:pPr>
        <w:pStyle w:val="12"/>
        <w:rPr>
          <w:color w:val="000000" w:themeColor="text1"/>
          <w:highlight w:val="none"/>
          <w14:textFill>
            <w14:solidFill>
              <w14:schemeClr w14:val="tx1"/>
            </w14:solidFill>
          </w14:textFill>
        </w:rPr>
      </w:pPr>
    </w:p>
    <w:p w14:paraId="2D8DDED1">
      <w:pPr>
        <w:spacing w:line="360" w:lineRule="auto"/>
        <w:ind w:right="-1089" w:rightChars="-389"/>
        <w:outlineLvl w:val="9"/>
        <w:rPr>
          <w:rFonts w:hint="eastAsia" w:ascii="宋体" w:hAnsi="宋体" w:cs="宋体"/>
          <w:b/>
          <w:bCs/>
          <w:color w:val="000000" w:themeColor="text1"/>
          <w:sz w:val="24"/>
          <w:highlight w:val="none"/>
          <w14:textFill>
            <w14:solidFill>
              <w14:schemeClr w14:val="tx1"/>
            </w14:solidFill>
          </w14:textFill>
        </w:rPr>
      </w:pPr>
    </w:p>
    <w:p w14:paraId="03B469A5">
      <w:pPr>
        <w:spacing w:line="360" w:lineRule="auto"/>
        <w:ind w:right="-1089" w:rightChars="-389"/>
        <w:outlineLvl w:val="0"/>
        <w:rPr>
          <w:rFonts w:ascii="宋体" w:hAnsi="宋体" w:cs="宋体"/>
          <w:b/>
          <w:bCs/>
          <w:color w:val="000000" w:themeColor="text1"/>
          <w:sz w:val="24"/>
          <w:highlight w:val="none"/>
          <w14:textFill>
            <w14:solidFill>
              <w14:schemeClr w14:val="tx1"/>
            </w14:solidFill>
          </w14:textFill>
        </w:rPr>
      </w:pPr>
      <w:bookmarkStart w:id="37" w:name="_Toc9706"/>
      <w:r>
        <w:rPr>
          <w:rFonts w:hint="eastAsia" w:ascii="宋体" w:hAnsi="宋体" w:cs="宋体"/>
          <w:b/>
          <w:bCs/>
          <w:color w:val="000000" w:themeColor="text1"/>
          <w:sz w:val="24"/>
          <w:highlight w:val="none"/>
          <w14:textFill>
            <w14:solidFill>
              <w14:schemeClr w14:val="tx1"/>
            </w14:solidFill>
          </w14:textFill>
        </w:rPr>
        <w:t>附件</w:t>
      </w:r>
      <w:r>
        <w:rPr>
          <w:rFonts w:hint="eastAsia" w:ascii="宋体" w:hAnsi="宋体" w:cs="宋体"/>
          <w:b/>
          <w:bCs/>
          <w:color w:val="000000" w:themeColor="text1"/>
          <w:sz w:val="24"/>
          <w:highlight w:val="none"/>
          <w:lang w:val="en-US" w:eastAsia="zh-CN"/>
          <w14:textFill>
            <w14:solidFill>
              <w14:schemeClr w14:val="tx1"/>
            </w14:solidFill>
          </w14:textFill>
        </w:rPr>
        <w:t>7</w:t>
      </w:r>
      <w:r>
        <w:rPr>
          <w:rFonts w:hint="eastAsia" w:ascii="宋体" w:hAnsi="宋体" w:cs="宋体"/>
          <w:b/>
          <w:bCs/>
          <w:color w:val="000000" w:themeColor="text1"/>
          <w:sz w:val="24"/>
          <w:highlight w:val="none"/>
          <w14:textFill>
            <w14:solidFill>
              <w14:schemeClr w14:val="tx1"/>
            </w14:solidFill>
          </w14:textFill>
        </w:rPr>
        <w:t>：</w:t>
      </w:r>
      <w:bookmarkEnd w:id="37"/>
    </w:p>
    <w:p w14:paraId="4E5E51D3">
      <w:pPr>
        <w:spacing w:line="360" w:lineRule="auto"/>
        <w:jc w:val="center"/>
        <w:outlineLvl w:val="0"/>
        <w:rPr>
          <w:rFonts w:hint="eastAsia" w:ascii="宋体" w:hAnsi="宋体"/>
          <w:b/>
          <w:color w:val="auto"/>
          <w:sz w:val="36"/>
          <w:szCs w:val="32"/>
          <w:highlight w:val="none"/>
        </w:rPr>
      </w:pPr>
      <w:bookmarkStart w:id="38" w:name="_Toc29115"/>
      <w:r>
        <w:rPr>
          <w:rFonts w:hint="eastAsia" w:ascii="宋体" w:hAnsi="宋体"/>
          <w:b/>
          <w:color w:val="auto"/>
          <w:sz w:val="36"/>
          <w:szCs w:val="32"/>
          <w:highlight w:val="none"/>
        </w:rPr>
        <w:t>业绩一览表</w:t>
      </w:r>
      <w:bookmarkEnd w:id="38"/>
    </w:p>
    <w:p w14:paraId="06B6E2F4">
      <w:pPr>
        <w:spacing w:line="320" w:lineRule="exact"/>
        <w:rPr>
          <w:rFonts w:hint="eastAsia" w:ascii="宋体" w:hAnsi="宋体"/>
          <w:color w:val="auto"/>
          <w:highlight w:val="none"/>
        </w:rPr>
      </w:pPr>
      <w:r>
        <w:rPr>
          <w:rFonts w:hint="eastAsia" w:ascii="宋体" w:hAnsi="宋体"/>
          <w:color w:val="auto"/>
          <w:highlight w:val="none"/>
        </w:rPr>
        <w:t xml:space="preserve">  </w:t>
      </w:r>
      <w:r>
        <w:rPr>
          <w:rFonts w:hint="eastAsia" w:ascii="宋体" w:hAnsi="宋体"/>
          <w:b/>
          <w:bCs/>
          <w:color w:val="auto"/>
          <w:highlight w:val="none"/>
        </w:rPr>
        <w:t>项目名称</w:t>
      </w:r>
      <w:r>
        <w:rPr>
          <w:rFonts w:hint="eastAsia" w:ascii="宋体" w:hAnsi="宋体"/>
          <w:color w:val="auto"/>
          <w:highlight w:val="none"/>
        </w:rPr>
        <w:t>：</w:t>
      </w:r>
    </w:p>
    <w:tbl>
      <w:tblPr>
        <w:tblStyle w:val="37"/>
        <w:tblW w:w="10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345"/>
        <w:gridCol w:w="1933"/>
        <w:gridCol w:w="2499"/>
        <w:gridCol w:w="2597"/>
      </w:tblGrid>
      <w:tr w14:paraId="5B0C8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24" w:type="dxa"/>
            <w:noWrap w:val="0"/>
            <w:vAlign w:val="center"/>
          </w:tcPr>
          <w:p w14:paraId="5F0D097E">
            <w:pPr>
              <w:spacing w:line="360" w:lineRule="auto"/>
              <w:jc w:val="center"/>
              <w:rPr>
                <w:rFonts w:hint="eastAsia" w:ascii="宋体" w:hAnsi="宋体"/>
                <w:color w:val="auto"/>
                <w:sz w:val="24"/>
                <w:highlight w:val="none"/>
              </w:rPr>
            </w:pPr>
            <w:r>
              <w:rPr>
                <w:rFonts w:hint="eastAsia" w:ascii="宋体" w:hAnsi="宋体"/>
                <w:color w:val="auto"/>
                <w:sz w:val="24"/>
                <w:highlight w:val="none"/>
              </w:rPr>
              <w:t>序号</w:t>
            </w:r>
          </w:p>
        </w:tc>
        <w:tc>
          <w:tcPr>
            <w:tcW w:w="2345" w:type="dxa"/>
            <w:noWrap w:val="0"/>
            <w:vAlign w:val="center"/>
          </w:tcPr>
          <w:p w14:paraId="7EFD9BA3">
            <w:pPr>
              <w:spacing w:line="360" w:lineRule="auto"/>
              <w:jc w:val="center"/>
              <w:rPr>
                <w:rFonts w:hint="eastAsia" w:ascii="宋体" w:hAnsi="宋体"/>
                <w:color w:val="auto"/>
                <w:sz w:val="24"/>
                <w:highlight w:val="none"/>
              </w:rPr>
            </w:pPr>
            <w:r>
              <w:rPr>
                <w:rFonts w:hint="eastAsia" w:ascii="宋体" w:hAnsi="宋体"/>
                <w:color w:val="auto"/>
                <w:sz w:val="24"/>
                <w:highlight w:val="none"/>
              </w:rPr>
              <w:t>项目名称</w:t>
            </w:r>
          </w:p>
        </w:tc>
        <w:tc>
          <w:tcPr>
            <w:tcW w:w="1933" w:type="dxa"/>
            <w:noWrap w:val="0"/>
            <w:vAlign w:val="center"/>
          </w:tcPr>
          <w:p w14:paraId="2842516B">
            <w:pPr>
              <w:spacing w:line="360" w:lineRule="auto"/>
              <w:jc w:val="center"/>
              <w:rPr>
                <w:rFonts w:hint="eastAsia" w:ascii="宋体" w:hAnsi="宋体"/>
                <w:color w:val="auto"/>
                <w:sz w:val="24"/>
                <w:highlight w:val="none"/>
              </w:rPr>
            </w:pPr>
            <w:r>
              <w:rPr>
                <w:rFonts w:hint="eastAsia" w:ascii="宋体" w:hAnsi="宋体"/>
                <w:color w:val="auto"/>
                <w:sz w:val="24"/>
                <w:highlight w:val="none"/>
              </w:rPr>
              <w:t>项目规模</w:t>
            </w:r>
          </w:p>
        </w:tc>
        <w:tc>
          <w:tcPr>
            <w:tcW w:w="2499" w:type="dxa"/>
            <w:noWrap w:val="0"/>
            <w:vAlign w:val="center"/>
          </w:tcPr>
          <w:p w14:paraId="4E1763F8">
            <w:pPr>
              <w:spacing w:line="360" w:lineRule="auto"/>
              <w:jc w:val="center"/>
              <w:rPr>
                <w:rFonts w:hint="eastAsia" w:ascii="宋体" w:hAnsi="宋体"/>
                <w:color w:val="auto"/>
                <w:sz w:val="24"/>
                <w:highlight w:val="none"/>
              </w:rPr>
            </w:pPr>
            <w:r>
              <w:rPr>
                <w:rFonts w:hint="eastAsia" w:ascii="宋体" w:hAnsi="宋体"/>
                <w:color w:val="auto"/>
                <w:sz w:val="24"/>
                <w:highlight w:val="none"/>
              </w:rPr>
              <w:t>业主单位名称</w:t>
            </w:r>
          </w:p>
          <w:p w14:paraId="0C04EBE3">
            <w:pPr>
              <w:spacing w:line="360" w:lineRule="auto"/>
              <w:jc w:val="center"/>
              <w:rPr>
                <w:rFonts w:hint="eastAsia" w:ascii="宋体" w:hAnsi="宋体"/>
                <w:color w:val="auto"/>
                <w:sz w:val="24"/>
                <w:highlight w:val="none"/>
              </w:rPr>
            </w:pPr>
            <w:r>
              <w:rPr>
                <w:rFonts w:hint="eastAsia" w:ascii="宋体" w:hAnsi="宋体"/>
                <w:color w:val="auto"/>
                <w:sz w:val="24"/>
                <w:highlight w:val="none"/>
              </w:rPr>
              <w:t>（联系人、联系电话）</w:t>
            </w:r>
          </w:p>
        </w:tc>
        <w:tc>
          <w:tcPr>
            <w:tcW w:w="2597" w:type="dxa"/>
            <w:noWrap w:val="0"/>
            <w:vAlign w:val="center"/>
          </w:tcPr>
          <w:p w14:paraId="10BF0C21">
            <w:pPr>
              <w:spacing w:line="360" w:lineRule="auto"/>
              <w:jc w:val="center"/>
              <w:rPr>
                <w:rFonts w:hint="eastAsia" w:ascii="宋体" w:hAnsi="宋体"/>
                <w:color w:val="auto"/>
                <w:sz w:val="24"/>
                <w:highlight w:val="none"/>
              </w:rPr>
            </w:pPr>
            <w:r>
              <w:rPr>
                <w:rFonts w:hint="eastAsia" w:ascii="宋体" w:hAnsi="宋体"/>
                <w:color w:val="auto"/>
                <w:sz w:val="24"/>
                <w:highlight w:val="none"/>
              </w:rPr>
              <w:t>提供的资料</w:t>
            </w:r>
          </w:p>
        </w:tc>
      </w:tr>
      <w:tr w14:paraId="38437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24" w:type="dxa"/>
            <w:noWrap w:val="0"/>
            <w:vAlign w:val="center"/>
          </w:tcPr>
          <w:p w14:paraId="62B3A5E5">
            <w:pPr>
              <w:tabs>
                <w:tab w:val="left" w:pos="322"/>
              </w:tabs>
              <w:spacing w:line="360" w:lineRule="auto"/>
              <w:jc w:val="center"/>
              <w:rPr>
                <w:rFonts w:hint="eastAsia" w:ascii="宋体" w:hAnsi="宋体"/>
                <w:color w:val="auto"/>
                <w:sz w:val="24"/>
                <w:highlight w:val="none"/>
              </w:rPr>
            </w:pPr>
            <w:r>
              <w:rPr>
                <w:rFonts w:hint="eastAsia" w:ascii="宋体" w:hAnsi="宋体"/>
                <w:color w:val="auto"/>
                <w:sz w:val="24"/>
                <w:highlight w:val="none"/>
              </w:rPr>
              <w:t>1</w:t>
            </w:r>
          </w:p>
        </w:tc>
        <w:tc>
          <w:tcPr>
            <w:tcW w:w="2345" w:type="dxa"/>
            <w:noWrap w:val="0"/>
            <w:vAlign w:val="center"/>
          </w:tcPr>
          <w:p w14:paraId="19A60250">
            <w:pPr>
              <w:spacing w:line="360" w:lineRule="auto"/>
              <w:jc w:val="center"/>
              <w:rPr>
                <w:rFonts w:hint="eastAsia" w:ascii="宋体" w:hAnsi="宋体"/>
                <w:color w:val="auto"/>
                <w:sz w:val="24"/>
                <w:highlight w:val="none"/>
              </w:rPr>
            </w:pPr>
          </w:p>
        </w:tc>
        <w:tc>
          <w:tcPr>
            <w:tcW w:w="1933" w:type="dxa"/>
            <w:noWrap w:val="0"/>
            <w:vAlign w:val="center"/>
          </w:tcPr>
          <w:p w14:paraId="4DA8C4F5">
            <w:pPr>
              <w:spacing w:line="360" w:lineRule="auto"/>
              <w:jc w:val="center"/>
              <w:rPr>
                <w:rFonts w:hint="eastAsia" w:ascii="宋体" w:hAnsi="宋体"/>
                <w:color w:val="auto"/>
                <w:sz w:val="24"/>
                <w:highlight w:val="none"/>
              </w:rPr>
            </w:pPr>
          </w:p>
        </w:tc>
        <w:tc>
          <w:tcPr>
            <w:tcW w:w="2499" w:type="dxa"/>
            <w:noWrap w:val="0"/>
            <w:vAlign w:val="center"/>
          </w:tcPr>
          <w:p w14:paraId="0F74F72D">
            <w:pPr>
              <w:spacing w:line="360" w:lineRule="auto"/>
              <w:jc w:val="center"/>
              <w:rPr>
                <w:rFonts w:hint="eastAsia" w:ascii="宋体" w:hAnsi="宋体"/>
                <w:color w:val="auto"/>
                <w:sz w:val="24"/>
                <w:highlight w:val="none"/>
              </w:rPr>
            </w:pPr>
          </w:p>
        </w:tc>
        <w:tc>
          <w:tcPr>
            <w:tcW w:w="2597" w:type="dxa"/>
            <w:noWrap w:val="0"/>
            <w:vAlign w:val="center"/>
          </w:tcPr>
          <w:p w14:paraId="41C5EAC4">
            <w:pPr>
              <w:spacing w:line="360" w:lineRule="auto"/>
              <w:jc w:val="center"/>
              <w:rPr>
                <w:rFonts w:hint="eastAsia" w:ascii="宋体" w:hAnsi="宋体"/>
                <w:color w:val="auto"/>
                <w:sz w:val="24"/>
                <w:highlight w:val="none"/>
              </w:rPr>
            </w:pPr>
          </w:p>
        </w:tc>
      </w:tr>
      <w:tr w14:paraId="51ED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24" w:type="dxa"/>
            <w:noWrap w:val="0"/>
            <w:vAlign w:val="center"/>
          </w:tcPr>
          <w:p w14:paraId="703619A0">
            <w:pPr>
              <w:tabs>
                <w:tab w:val="left" w:pos="322"/>
              </w:tabs>
              <w:spacing w:line="360" w:lineRule="auto"/>
              <w:jc w:val="center"/>
              <w:rPr>
                <w:rFonts w:hint="eastAsia" w:ascii="宋体" w:hAnsi="宋体"/>
                <w:color w:val="auto"/>
                <w:sz w:val="24"/>
                <w:highlight w:val="none"/>
              </w:rPr>
            </w:pPr>
            <w:r>
              <w:rPr>
                <w:rFonts w:hint="eastAsia" w:ascii="宋体" w:hAnsi="宋体"/>
                <w:color w:val="auto"/>
                <w:sz w:val="24"/>
                <w:highlight w:val="none"/>
              </w:rPr>
              <w:t>2</w:t>
            </w:r>
          </w:p>
        </w:tc>
        <w:tc>
          <w:tcPr>
            <w:tcW w:w="2345" w:type="dxa"/>
            <w:noWrap w:val="0"/>
            <w:vAlign w:val="center"/>
          </w:tcPr>
          <w:p w14:paraId="40EA846B">
            <w:pPr>
              <w:spacing w:line="360" w:lineRule="auto"/>
              <w:jc w:val="center"/>
              <w:rPr>
                <w:rFonts w:hint="eastAsia" w:ascii="宋体" w:hAnsi="宋体"/>
                <w:color w:val="auto"/>
                <w:sz w:val="24"/>
                <w:highlight w:val="none"/>
              </w:rPr>
            </w:pPr>
          </w:p>
        </w:tc>
        <w:tc>
          <w:tcPr>
            <w:tcW w:w="1933" w:type="dxa"/>
            <w:noWrap w:val="0"/>
            <w:vAlign w:val="center"/>
          </w:tcPr>
          <w:p w14:paraId="6FBE41ED">
            <w:pPr>
              <w:spacing w:line="360" w:lineRule="auto"/>
              <w:jc w:val="center"/>
              <w:rPr>
                <w:rFonts w:hint="eastAsia" w:ascii="宋体" w:hAnsi="宋体"/>
                <w:color w:val="auto"/>
                <w:sz w:val="24"/>
                <w:highlight w:val="none"/>
              </w:rPr>
            </w:pPr>
          </w:p>
        </w:tc>
        <w:tc>
          <w:tcPr>
            <w:tcW w:w="2499" w:type="dxa"/>
            <w:noWrap w:val="0"/>
            <w:vAlign w:val="center"/>
          </w:tcPr>
          <w:p w14:paraId="311EBAAA">
            <w:pPr>
              <w:spacing w:line="360" w:lineRule="auto"/>
              <w:jc w:val="center"/>
              <w:rPr>
                <w:rFonts w:hint="eastAsia" w:ascii="宋体" w:hAnsi="宋体"/>
                <w:color w:val="auto"/>
                <w:sz w:val="24"/>
                <w:highlight w:val="none"/>
              </w:rPr>
            </w:pPr>
          </w:p>
        </w:tc>
        <w:tc>
          <w:tcPr>
            <w:tcW w:w="2597" w:type="dxa"/>
            <w:noWrap w:val="0"/>
            <w:vAlign w:val="center"/>
          </w:tcPr>
          <w:p w14:paraId="22711104">
            <w:pPr>
              <w:spacing w:line="360" w:lineRule="auto"/>
              <w:jc w:val="center"/>
              <w:rPr>
                <w:rFonts w:hint="eastAsia" w:ascii="宋体" w:hAnsi="宋体"/>
                <w:color w:val="auto"/>
                <w:sz w:val="24"/>
                <w:highlight w:val="none"/>
              </w:rPr>
            </w:pPr>
          </w:p>
        </w:tc>
      </w:tr>
      <w:tr w14:paraId="3909C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24" w:type="dxa"/>
            <w:noWrap w:val="0"/>
            <w:vAlign w:val="center"/>
          </w:tcPr>
          <w:p w14:paraId="6E2DEC80">
            <w:pPr>
              <w:tabs>
                <w:tab w:val="left" w:pos="322"/>
              </w:tabs>
              <w:spacing w:line="360" w:lineRule="auto"/>
              <w:jc w:val="center"/>
              <w:rPr>
                <w:rFonts w:hint="eastAsia" w:ascii="宋体" w:hAnsi="宋体"/>
                <w:color w:val="auto"/>
                <w:sz w:val="24"/>
                <w:highlight w:val="none"/>
              </w:rPr>
            </w:pPr>
            <w:r>
              <w:rPr>
                <w:rFonts w:hint="eastAsia" w:ascii="宋体" w:hAnsi="宋体"/>
                <w:color w:val="auto"/>
                <w:sz w:val="24"/>
                <w:highlight w:val="none"/>
              </w:rPr>
              <w:t>3</w:t>
            </w:r>
          </w:p>
        </w:tc>
        <w:tc>
          <w:tcPr>
            <w:tcW w:w="2345" w:type="dxa"/>
            <w:noWrap w:val="0"/>
            <w:vAlign w:val="center"/>
          </w:tcPr>
          <w:p w14:paraId="75A4C4CB">
            <w:pPr>
              <w:spacing w:line="360" w:lineRule="auto"/>
              <w:jc w:val="center"/>
              <w:rPr>
                <w:rFonts w:hint="eastAsia" w:ascii="宋体" w:hAnsi="宋体"/>
                <w:color w:val="auto"/>
                <w:sz w:val="24"/>
                <w:highlight w:val="none"/>
              </w:rPr>
            </w:pPr>
          </w:p>
        </w:tc>
        <w:tc>
          <w:tcPr>
            <w:tcW w:w="1933" w:type="dxa"/>
            <w:noWrap w:val="0"/>
            <w:vAlign w:val="center"/>
          </w:tcPr>
          <w:p w14:paraId="4209C040">
            <w:pPr>
              <w:spacing w:line="360" w:lineRule="auto"/>
              <w:jc w:val="center"/>
              <w:rPr>
                <w:rFonts w:hint="eastAsia" w:ascii="宋体" w:hAnsi="宋体"/>
                <w:color w:val="auto"/>
                <w:sz w:val="24"/>
                <w:highlight w:val="none"/>
              </w:rPr>
            </w:pPr>
          </w:p>
        </w:tc>
        <w:tc>
          <w:tcPr>
            <w:tcW w:w="2499" w:type="dxa"/>
            <w:noWrap w:val="0"/>
            <w:vAlign w:val="center"/>
          </w:tcPr>
          <w:p w14:paraId="765104AB">
            <w:pPr>
              <w:spacing w:line="360" w:lineRule="auto"/>
              <w:jc w:val="center"/>
              <w:rPr>
                <w:rFonts w:hint="eastAsia" w:ascii="宋体" w:hAnsi="宋体"/>
                <w:color w:val="auto"/>
                <w:sz w:val="24"/>
                <w:highlight w:val="none"/>
              </w:rPr>
            </w:pPr>
          </w:p>
        </w:tc>
        <w:tc>
          <w:tcPr>
            <w:tcW w:w="2597" w:type="dxa"/>
            <w:noWrap w:val="0"/>
            <w:vAlign w:val="center"/>
          </w:tcPr>
          <w:p w14:paraId="37243FCE">
            <w:pPr>
              <w:spacing w:line="360" w:lineRule="auto"/>
              <w:jc w:val="center"/>
              <w:rPr>
                <w:rFonts w:hint="eastAsia" w:ascii="宋体" w:hAnsi="宋体"/>
                <w:color w:val="auto"/>
                <w:sz w:val="24"/>
                <w:highlight w:val="none"/>
              </w:rPr>
            </w:pPr>
          </w:p>
        </w:tc>
      </w:tr>
      <w:tr w14:paraId="6226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24" w:type="dxa"/>
            <w:noWrap w:val="0"/>
            <w:vAlign w:val="center"/>
          </w:tcPr>
          <w:p w14:paraId="59AE5DAC">
            <w:pPr>
              <w:tabs>
                <w:tab w:val="left" w:pos="322"/>
              </w:tabs>
              <w:spacing w:line="360" w:lineRule="auto"/>
              <w:jc w:val="center"/>
              <w:rPr>
                <w:rFonts w:hint="eastAsia" w:ascii="宋体" w:hAnsi="宋体"/>
                <w:color w:val="auto"/>
                <w:sz w:val="24"/>
                <w:highlight w:val="none"/>
              </w:rPr>
            </w:pPr>
            <w:r>
              <w:rPr>
                <w:rFonts w:hint="eastAsia" w:ascii="宋体" w:hAnsi="宋体"/>
                <w:color w:val="auto"/>
                <w:sz w:val="24"/>
                <w:highlight w:val="none"/>
              </w:rPr>
              <w:t>4</w:t>
            </w:r>
          </w:p>
        </w:tc>
        <w:tc>
          <w:tcPr>
            <w:tcW w:w="2345" w:type="dxa"/>
            <w:noWrap w:val="0"/>
            <w:vAlign w:val="center"/>
          </w:tcPr>
          <w:p w14:paraId="03A28790">
            <w:pPr>
              <w:spacing w:line="360" w:lineRule="auto"/>
              <w:jc w:val="center"/>
              <w:rPr>
                <w:rFonts w:hint="eastAsia" w:ascii="宋体" w:hAnsi="宋体"/>
                <w:color w:val="auto"/>
                <w:sz w:val="24"/>
                <w:highlight w:val="none"/>
              </w:rPr>
            </w:pPr>
          </w:p>
        </w:tc>
        <w:tc>
          <w:tcPr>
            <w:tcW w:w="1933" w:type="dxa"/>
            <w:noWrap w:val="0"/>
            <w:vAlign w:val="center"/>
          </w:tcPr>
          <w:p w14:paraId="033BDF39">
            <w:pPr>
              <w:spacing w:line="360" w:lineRule="auto"/>
              <w:jc w:val="center"/>
              <w:rPr>
                <w:rFonts w:hint="eastAsia" w:ascii="宋体" w:hAnsi="宋体"/>
                <w:color w:val="auto"/>
                <w:sz w:val="24"/>
                <w:highlight w:val="none"/>
              </w:rPr>
            </w:pPr>
          </w:p>
        </w:tc>
        <w:tc>
          <w:tcPr>
            <w:tcW w:w="2499" w:type="dxa"/>
            <w:noWrap w:val="0"/>
            <w:vAlign w:val="center"/>
          </w:tcPr>
          <w:p w14:paraId="09088AD0">
            <w:pPr>
              <w:spacing w:line="360" w:lineRule="auto"/>
              <w:jc w:val="center"/>
              <w:rPr>
                <w:rFonts w:hint="eastAsia" w:ascii="宋体" w:hAnsi="宋体"/>
                <w:color w:val="auto"/>
                <w:sz w:val="24"/>
                <w:highlight w:val="none"/>
              </w:rPr>
            </w:pPr>
          </w:p>
        </w:tc>
        <w:tc>
          <w:tcPr>
            <w:tcW w:w="2597" w:type="dxa"/>
            <w:noWrap w:val="0"/>
            <w:vAlign w:val="center"/>
          </w:tcPr>
          <w:p w14:paraId="0C5E6499">
            <w:pPr>
              <w:spacing w:line="360" w:lineRule="auto"/>
              <w:jc w:val="center"/>
              <w:rPr>
                <w:rFonts w:hint="eastAsia" w:ascii="宋体" w:hAnsi="宋体"/>
                <w:color w:val="auto"/>
                <w:sz w:val="24"/>
                <w:highlight w:val="none"/>
              </w:rPr>
            </w:pPr>
          </w:p>
        </w:tc>
      </w:tr>
      <w:tr w14:paraId="4C28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24" w:type="dxa"/>
            <w:noWrap w:val="0"/>
            <w:vAlign w:val="center"/>
          </w:tcPr>
          <w:p w14:paraId="6480623F">
            <w:pPr>
              <w:tabs>
                <w:tab w:val="left" w:pos="322"/>
              </w:tabs>
              <w:spacing w:line="360" w:lineRule="auto"/>
              <w:jc w:val="center"/>
              <w:rPr>
                <w:rFonts w:hint="eastAsia" w:ascii="宋体" w:hAnsi="宋体"/>
                <w:color w:val="auto"/>
                <w:sz w:val="24"/>
                <w:highlight w:val="none"/>
              </w:rPr>
            </w:pPr>
            <w:r>
              <w:rPr>
                <w:rFonts w:hint="eastAsia" w:ascii="宋体" w:hAnsi="宋体"/>
                <w:color w:val="auto"/>
                <w:sz w:val="24"/>
                <w:highlight w:val="none"/>
              </w:rPr>
              <w:t>5</w:t>
            </w:r>
          </w:p>
        </w:tc>
        <w:tc>
          <w:tcPr>
            <w:tcW w:w="2345" w:type="dxa"/>
            <w:noWrap w:val="0"/>
            <w:vAlign w:val="center"/>
          </w:tcPr>
          <w:p w14:paraId="3362FDA8">
            <w:pPr>
              <w:spacing w:line="360" w:lineRule="auto"/>
              <w:jc w:val="center"/>
              <w:rPr>
                <w:rFonts w:hint="eastAsia" w:ascii="宋体" w:hAnsi="宋体"/>
                <w:color w:val="auto"/>
                <w:sz w:val="24"/>
                <w:highlight w:val="none"/>
              </w:rPr>
            </w:pPr>
          </w:p>
        </w:tc>
        <w:tc>
          <w:tcPr>
            <w:tcW w:w="1933" w:type="dxa"/>
            <w:noWrap w:val="0"/>
            <w:vAlign w:val="center"/>
          </w:tcPr>
          <w:p w14:paraId="4AB9FE30">
            <w:pPr>
              <w:spacing w:line="360" w:lineRule="auto"/>
              <w:jc w:val="center"/>
              <w:rPr>
                <w:rFonts w:hint="eastAsia" w:ascii="宋体" w:hAnsi="宋体"/>
                <w:color w:val="auto"/>
                <w:sz w:val="24"/>
                <w:highlight w:val="none"/>
              </w:rPr>
            </w:pPr>
          </w:p>
        </w:tc>
        <w:tc>
          <w:tcPr>
            <w:tcW w:w="2499" w:type="dxa"/>
            <w:noWrap w:val="0"/>
            <w:vAlign w:val="center"/>
          </w:tcPr>
          <w:p w14:paraId="7FFA0ECF">
            <w:pPr>
              <w:spacing w:line="360" w:lineRule="auto"/>
              <w:jc w:val="center"/>
              <w:rPr>
                <w:rFonts w:hint="eastAsia" w:ascii="宋体" w:hAnsi="宋体"/>
                <w:color w:val="auto"/>
                <w:sz w:val="24"/>
                <w:highlight w:val="none"/>
              </w:rPr>
            </w:pPr>
          </w:p>
        </w:tc>
        <w:tc>
          <w:tcPr>
            <w:tcW w:w="2597" w:type="dxa"/>
            <w:noWrap w:val="0"/>
            <w:vAlign w:val="center"/>
          </w:tcPr>
          <w:p w14:paraId="2426D0B2">
            <w:pPr>
              <w:spacing w:line="360" w:lineRule="auto"/>
              <w:jc w:val="center"/>
              <w:rPr>
                <w:rFonts w:hint="eastAsia" w:ascii="宋体" w:hAnsi="宋体"/>
                <w:color w:val="auto"/>
                <w:sz w:val="24"/>
                <w:highlight w:val="none"/>
              </w:rPr>
            </w:pPr>
          </w:p>
        </w:tc>
      </w:tr>
    </w:tbl>
    <w:p w14:paraId="0115502B">
      <w:pPr>
        <w:spacing w:line="360" w:lineRule="auto"/>
        <w:ind w:firstLine="211" w:firstLineChars="100"/>
        <w:rPr>
          <w:rFonts w:hint="eastAsia" w:ascii="宋体" w:hAnsi="宋体"/>
          <w:b/>
          <w:color w:val="auto"/>
          <w:sz w:val="21"/>
          <w:highlight w:val="none"/>
        </w:rPr>
      </w:pPr>
      <w:r>
        <w:rPr>
          <w:rFonts w:hint="eastAsia" w:ascii="宋体" w:hAnsi="宋体"/>
          <w:b/>
          <w:color w:val="auto"/>
          <w:sz w:val="21"/>
          <w:highlight w:val="none"/>
        </w:rPr>
        <w:t>注：投标人可根据需要扩展表格。</w:t>
      </w:r>
    </w:p>
    <w:p w14:paraId="06DA6ADB">
      <w:pPr>
        <w:spacing w:line="360" w:lineRule="auto"/>
        <w:ind w:left="185" w:leftChars="66" w:firstLine="422" w:firstLineChars="200"/>
        <w:rPr>
          <w:rFonts w:hint="eastAsia" w:ascii="宋体" w:hAnsi="宋体"/>
          <w:b/>
          <w:color w:val="auto"/>
          <w:sz w:val="21"/>
          <w:highlight w:val="none"/>
        </w:rPr>
      </w:pPr>
      <w:r>
        <w:rPr>
          <w:rFonts w:hint="eastAsia" w:ascii="宋体" w:hAnsi="宋体"/>
          <w:b/>
          <w:color w:val="auto"/>
          <w:sz w:val="21"/>
          <w:highlight w:val="none"/>
        </w:rPr>
        <w:t>我方保证以上提供的资料是真实、准确的，如有虚假，愿接受被没收投标担保的处罚，并愿意承担法律责任。</w:t>
      </w:r>
    </w:p>
    <w:p w14:paraId="0701BBFD">
      <w:pPr>
        <w:rPr>
          <w:rFonts w:hint="eastAsia" w:ascii="宋体" w:hAnsi="宋体" w:cs="仿宋_GB2312"/>
          <w:color w:val="auto"/>
          <w:highlight w:val="none"/>
        </w:rPr>
      </w:pPr>
    </w:p>
    <w:p w14:paraId="09F2599B">
      <w:pPr>
        <w:pStyle w:val="13"/>
        <w:ind w:firstLine="4320" w:firstLineChars="1800"/>
        <w:rPr>
          <w:rFonts w:hint="eastAsia"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3FED6620">
      <w:pPr>
        <w:pStyle w:val="13"/>
        <w:ind w:firstLine="4320" w:firstLineChars="1800"/>
        <w:rPr>
          <w:rFonts w:hint="eastAsia" w:ascii="宋体" w:eastAsia="宋体"/>
          <w:color w:val="000000" w:themeColor="text1"/>
          <w:sz w:val="24"/>
          <w:highlight w:val="none"/>
          <w14:textFill>
            <w14:solidFill>
              <w14:schemeClr w14:val="tx1"/>
            </w14:solidFill>
          </w14:textFill>
        </w:rPr>
      </w:pPr>
    </w:p>
    <w:p w14:paraId="513A90A1">
      <w:pPr>
        <w:pStyle w:val="13"/>
        <w:ind w:firstLine="4320" w:firstLineChars="1800"/>
        <w:rPr>
          <w:rFonts w:hint="eastAsia"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 xml:space="preserve">法定代表人（签字或盖章）：     </w:t>
      </w:r>
    </w:p>
    <w:p w14:paraId="79F6CA9D">
      <w:pPr>
        <w:pStyle w:val="13"/>
        <w:ind w:firstLine="4320" w:firstLineChars="1800"/>
        <w:rPr>
          <w:rFonts w:hint="eastAsia"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 xml:space="preserve">                                                          </w:t>
      </w:r>
      <w:bookmarkStart w:id="39" w:name="_Toc11529_WPSOffice_Level1"/>
    </w:p>
    <w:p w14:paraId="52BD11CA">
      <w:pPr>
        <w:pStyle w:val="13"/>
        <w:ind w:firstLine="4320" w:firstLineChars="1800"/>
        <w:rPr>
          <w:rFonts w:hint="eastAsia"/>
          <w:b w:val="0"/>
          <w:bCs/>
          <w:color w:val="000000"/>
          <w:sz w:val="28"/>
          <w:szCs w:val="28"/>
          <w:highlight w:val="none"/>
        </w:rPr>
      </w:pPr>
      <w:r>
        <w:rPr>
          <w:rFonts w:hint="eastAsia" w:ascii="宋体" w:eastAsia="宋体"/>
          <w:color w:val="000000" w:themeColor="text1"/>
          <w:sz w:val="24"/>
          <w:highlight w:val="none"/>
          <w14:textFill>
            <w14:solidFill>
              <w14:schemeClr w14:val="tx1"/>
            </w14:solidFill>
          </w14:textFill>
        </w:rPr>
        <w:t xml:space="preserve">日期：   年   月   </w:t>
      </w:r>
      <w:bookmarkEnd w:id="39"/>
      <w:r>
        <w:rPr>
          <w:rFonts w:hint="eastAsia" w:ascii="宋体" w:eastAsia="宋体"/>
          <w:color w:val="000000" w:themeColor="text1"/>
          <w:sz w:val="24"/>
          <w:highlight w:val="none"/>
          <w:lang w:val="en-US" w:eastAsia="zh-CN"/>
          <w14:textFill>
            <w14:solidFill>
              <w14:schemeClr w14:val="tx1"/>
            </w14:solidFill>
          </w14:textFill>
        </w:rPr>
        <w:t>日</w:t>
      </w:r>
      <w:r>
        <w:rPr>
          <w:rFonts w:hint="eastAsia" w:ascii="宋体" w:hAnsi="宋体"/>
          <w:color w:val="auto"/>
          <w:highlight w:val="none"/>
          <w:lang w:val="en-US" w:eastAsia="zh-CN"/>
        </w:rPr>
        <w:t xml:space="preserve"> </w:t>
      </w:r>
    </w:p>
    <w:p w14:paraId="36DABB06">
      <w:pPr>
        <w:pStyle w:val="5"/>
        <w:spacing w:before="0"/>
        <w:jc w:val="both"/>
        <w:outlineLvl w:val="9"/>
        <w:rPr>
          <w:rFonts w:hint="eastAsia"/>
          <w:b w:val="0"/>
          <w:bCs/>
          <w:color w:val="000000"/>
          <w:sz w:val="28"/>
          <w:szCs w:val="28"/>
          <w:highlight w:val="none"/>
        </w:rPr>
      </w:pPr>
    </w:p>
    <w:p w14:paraId="7592CB68">
      <w:pPr>
        <w:pStyle w:val="5"/>
        <w:spacing w:before="0"/>
        <w:jc w:val="both"/>
        <w:outlineLvl w:val="9"/>
        <w:rPr>
          <w:rFonts w:hint="eastAsia"/>
          <w:b w:val="0"/>
          <w:bCs/>
          <w:color w:val="000000"/>
          <w:sz w:val="28"/>
          <w:szCs w:val="28"/>
          <w:highlight w:val="none"/>
        </w:rPr>
      </w:pPr>
    </w:p>
    <w:p w14:paraId="1105FBB2">
      <w:pPr>
        <w:pStyle w:val="5"/>
        <w:spacing w:before="0"/>
        <w:jc w:val="both"/>
        <w:outlineLvl w:val="9"/>
        <w:rPr>
          <w:rFonts w:hint="eastAsia"/>
          <w:b w:val="0"/>
          <w:bCs/>
          <w:color w:val="000000"/>
          <w:sz w:val="28"/>
          <w:szCs w:val="28"/>
          <w:highlight w:val="none"/>
        </w:rPr>
      </w:pPr>
    </w:p>
    <w:p w14:paraId="3FE38465">
      <w:pPr>
        <w:pStyle w:val="5"/>
        <w:spacing w:before="0"/>
        <w:jc w:val="both"/>
        <w:outlineLvl w:val="9"/>
        <w:rPr>
          <w:rFonts w:hint="eastAsia"/>
          <w:b w:val="0"/>
          <w:bCs/>
          <w:color w:val="000000"/>
          <w:sz w:val="28"/>
          <w:szCs w:val="28"/>
          <w:highlight w:val="none"/>
        </w:rPr>
      </w:pPr>
    </w:p>
    <w:p w14:paraId="436508A6">
      <w:pPr>
        <w:pStyle w:val="5"/>
        <w:spacing w:before="0"/>
        <w:jc w:val="both"/>
        <w:outlineLvl w:val="9"/>
        <w:rPr>
          <w:rFonts w:hint="eastAsia"/>
          <w:b w:val="0"/>
          <w:bCs/>
          <w:color w:val="000000"/>
          <w:sz w:val="28"/>
          <w:szCs w:val="28"/>
          <w:highlight w:val="none"/>
        </w:rPr>
        <w:sectPr>
          <w:headerReference r:id="rId10" w:type="first"/>
          <w:headerReference r:id="rId9" w:type="default"/>
          <w:footerReference r:id="rId11" w:type="default"/>
          <w:footerReference r:id="rId12" w:type="even"/>
          <w:pgSz w:w="11905" w:h="16838"/>
          <w:pgMar w:top="1134" w:right="1587" w:bottom="1134" w:left="1587" w:header="851" w:footer="850" w:gutter="0"/>
          <w:pgBorders>
            <w:top w:val="none" w:sz="0" w:space="0"/>
            <w:left w:val="none" w:sz="0" w:space="0"/>
            <w:bottom w:val="none" w:sz="0" w:space="0"/>
            <w:right w:val="none" w:sz="0" w:space="0"/>
          </w:pgBorders>
          <w:pgNumType w:fmt="decimal"/>
          <w:cols w:space="720" w:num="1"/>
          <w:titlePg/>
          <w:docGrid w:linePitch="312" w:charSpace="0"/>
        </w:sectPr>
      </w:pPr>
    </w:p>
    <w:p w14:paraId="09467CA0">
      <w:pPr>
        <w:spacing w:line="360" w:lineRule="auto"/>
        <w:ind w:right="-1089" w:rightChars="-389"/>
        <w:outlineLvl w:val="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附件</w:t>
      </w:r>
      <w:r>
        <w:rPr>
          <w:rFonts w:hint="eastAsia" w:ascii="宋体" w:hAnsi="宋体" w:cs="宋体"/>
          <w:b/>
          <w:bCs/>
          <w:color w:val="000000" w:themeColor="text1"/>
          <w:sz w:val="24"/>
          <w:highlight w:val="none"/>
          <w:lang w:val="en-US" w:eastAsia="zh-CN"/>
          <w14:textFill>
            <w14:solidFill>
              <w14:schemeClr w14:val="tx1"/>
            </w14:solidFill>
          </w14:textFill>
        </w:rPr>
        <w:t>8</w:t>
      </w:r>
      <w:r>
        <w:rPr>
          <w:rFonts w:hint="eastAsia" w:ascii="宋体" w:hAnsi="宋体" w:cs="宋体"/>
          <w:b/>
          <w:bCs/>
          <w:color w:val="000000" w:themeColor="text1"/>
          <w:sz w:val="24"/>
          <w:highlight w:val="none"/>
          <w14:textFill>
            <w14:solidFill>
              <w14:schemeClr w14:val="tx1"/>
            </w14:solidFill>
          </w14:textFill>
        </w:rPr>
        <w:t>：</w:t>
      </w:r>
    </w:p>
    <w:p w14:paraId="6CAAB004">
      <w:pPr>
        <w:keepNext w:val="0"/>
        <w:keepLines w:val="0"/>
        <w:pageBreakBefore w:val="0"/>
        <w:widowControl w:val="0"/>
        <w:kinsoku/>
        <w:wordWrap/>
        <w:overflowPunct/>
        <w:topLinePunct w:val="0"/>
        <w:autoSpaceDE/>
        <w:autoSpaceDN/>
        <w:bidi w:val="0"/>
        <w:adjustRightInd/>
        <w:snapToGrid/>
        <w:spacing w:before="191" w:beforeLines="50" w:after="191" w:afterLines="50"/>
        <w:jc w:val="center"/>
        <w:textAlignment w:val="auto"/>
        <w:rPr>
          <w:rFonts w:hint="eastAsia" w:ascii="宋体" w:hAnsi="宋体" w:eastAsia="宋体" w:cs="Times New Roman"/>
          <w:color w:val="auto"/>
          <w:sz w:val="32"/>
          <w:szCs w:val="32"/>
          <w:highlight w:val="none"/>
          <w:lang w:eastAsia="zh-CN"/>
        </w:rPr>
      </w:pPr>
      <w:r>
        <w:rPr>
          <w:rFonts w:hint="eastAsia" w:ascii="宋体" w:hAnsi="宋体" w:cs="Times New Roman"/>
          <w:color w:val="auto"/>
          <w:sz w:val="32"/>
          <w:szCs w:val="32"/>
          <w:highlight w:val="none"/>
          <w:lang w:eastAsia="zh-CN"/>
        </w:rPr>
        <w:t>台州方特熊出没水上休闲游乐度假中心（一期）窗帘采购</w:t>
      </w:r>
    </w:p>
    <w:p w14:paraId="4370CF21">
      <w:pPr>
        <w:keepNext w:val="0"/>
        <w:keepLines w:val="0"/>
        <w:pageBreakBefore w:val="0"/>
        <w:widowControl w:val="0"/>
        <w:kinsoku/>
        <w:wordWrap/>
        <w:overflowPunct/>
        <w:topLinePunct w:val="0"/>
        <w:autoSpaceDE/>
        <w:autoSpaceDN/>
        <w:bidi w:val="0"/>
        <w:adjustRightInd/>
        <w:snapToGrid/>
        <w:spacing w:before="191" w:beforeLines="50" w:after="191" w:afterLines="50"/>
        <w:jc w:val="center"/>
        <w:textAlignment w:val="auto"/>
        <w:rPr>
          <w:rFonts w:hint="eastAsia" w:ascii="宋体" w:hAnsi="宋体" w:eastAsia="宋体" w:cs="Times New Roman"/>
          <w:b/>
          <w:bCs/>
          <w:color w:val="auto"/>
          <w:sz w:val="32"/>
          <w:szCs w:val="32"/>
          <w:highlight w:val="none"/>
          <w:lang w:eastAsia="zh-CN"/>
        </w:rPr>
      </w:pPr>
      <w:bookmarkStart w:id="40" w:name="_Toc532562456"/>
      <w:bookmarkStart w:id="41" w:name="_Toc532561298"/>
      <w:bookmarkStart w:id="42" w:name="_Toc532562511"/>
      <w:r>
        <w:rPr>
          <w:rFonts w:hint="eastAsia" w:ascii="宋体" w:hAnsi="宋体" w:eastAsia="宋体" w:cs="Times New Roman"/>
          <w:b/>
          <w:bCs/>
          <w:color w:val="auto"/>
          <w:sz w:val="32"/>
          <w:szCs w:val="32"/>
          <w:highlight w:val="none"/>
          <w:lang w:eastAsia="zh-CN"/>
        </w:rPr>
        <w:t>质保期承诺表</w:t>
      </w:r>
      <w:bookmarkEnd w:id="40"/>
      <w:bookmarkEnd w:id="41"/>
      <w:bookmarkEnd w:id="42"/>
    </w:p>
    <w:tbl>
      <w:tblPr>
        <w:tblStyle w:val="37"/>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0"/>
      </w:tblGrid>
      <w:tr w14:paraId="4E7F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7" w:hRule="atLeast"/>
        </w:trPr>
        <w:tc>
          <w:tcPr>
            <w:tcW w:w="9260" w:type="dxa"/>
            <w:tcBorders>
              <w:top w:val="single" w:color="auto" w:sz="4" w:space="0"/>
              <w:left w:val="single" w:color="auto" w:sz="4" w:space="0"/>
              <w:bottom w:val="single" w:color="auto" w:sz="4" w:space="0"/>
              <w:right w:val="single" w:color="auto" w:sz="4" w:space="0"/>
            </w:tcBorders>
            <w:noWrap w:val="0"/>
            <w:vAlign w:val="center"/>
          </w:tcPr>
          <w:p w14:paraId="4234618C">
            <w:pPr>
              <w:spacing w:line="360" w:lineRule="auto"/>
              <w:rPr>
                <w:rFonts w:hint="eastAsia" w:ascii="宋体" w:hAnsi="宋体" w:cs="宋体"/>
                <w:sz w:val="21"/>
                <w:szCs w:val="21"/>
                <w:highlight w:val="none"/>
              </w:rPr>
            </w:pPr>
            <w:r>
              <w:rPr>
                <w:rFonts w:hint="eastAsia" w:ascii="宋体" w:hAnsi="宋体" w:cs="宋体"/>
                <w:sz w:val="21"/>
                <w:szCs w:val="21"/>
                <w:highlight w:val="none"/>
              </w:rPr>
              <w:t>我单位郑重承诺：</w:t>
            </w:r>
          </w:p>
          <w:p w14:paraId="76A27F7B">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eastAsia="zh-CN"/>
              </w:rPr>
              <w:t>台州方特熊出没水上休闲游乐度假中心（一期）窗帘采购</w:t>
            </w:r>
            <w:r>
              <w:rPr>
                <w:rFonts w:hint="eastAsia" w:ascii="宋体" w:hAnsi="宋体" w:cs="宋体"/>
                <w:sz w:val="21"/>
                <w:szCs w:val="21"/>
                <w:highlight w:val="none"/>
              </w:rPr>
              <w:t>的免费质保期为</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single"/>
              </w:rPr>
              <w:t xml:space="preserve"> </w:t>
            </w:r>
            <w:r>
              <w:rPr>
                <w:rFonts w:hint="eastAsia" w:ascii="宋体" w:hAnsi="宋体" w:cs="宋体"/>
                <w:sz w:val="21"/>
                <w:szCs w:val="21"/>
                <w:highlight w:val="none"/>
              </w:rPr>
              <w:t>年（不得低于2年），自项目验收合格之日起计。</w:t>
            </w:r>
          </w:p>
        </w:tc>
      </w:tr>
      <w:tr w14:paraId="2F40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9260" w:type="dxa"/>
            <w:tcBorders>
              <w:top w:val="single" w:color="auto" w:sz="4" w:space="0"/>
              <w:left w:val="single" w:color="auto" w:sz="4" w:space="0"/>
              <w:bottom w:val="single" w:color="auto" w:sz="4" w:space="0"/>
              <w:right w:val="single" w:color="auto" w:sz="4" w:space="0"/>
            </w:tcBorders>
            <w:noWrap w:val="0"/>
            <w:vAlign w:val="bottom"/>
          </w:tcPr>
          <w:p w14:paraId="7677937C">
            <w:pPr>
              <w:spacing w:line="360" w:lineRule="auto"/>
              <w:rPr>
                <w:rFonts w:hint="eastAsia" w:ascii="宋体" w:hAnsi="宋体" w:cs="宋体"/>
                <w:sz w:val="21"/>
                <w:szCs w:val="21"/>
                <w:highlight w:val="none"/>
              </w:rPr>
            </w:pPr>
            <w:r>
              <w:rPr>
                <w:rFonts w:hint="eastAsia" w:ascii="宋体" w:hAnsi="宋体" w:cs="宋体"/>
                <w:sz w:val="21"/>
                <w:szCs w:val="21"/>
                <w:highlight w:val="none"/>
              </w:rPr>
              <w:t>售后服务网点地址：</w:t>
            </w:r>
            <w:r>
              <w:rPr>
                <w:rFonts w:hint="eastAsia" w:ascii="宋体" w:hAnsi="宋体" w:cs="宋体"/>
                <w:sz w:val="21"/>
                <w:szCs w:val="21"/>
                <w:highlight w:val="none"/>
                <w:u w:val="single"/>
              </w:rPr>
              <w:t xml:space="preserve">                   </w:t>
            </w:r>
            <w:r>
              <w:rPr>
                <w:rFonts w:hint="eastAsia" w:ascii="宋体" w:hAnsi="宋体" w:cs="宋体"/>
                <w:sz w:val="21"/>
                <w:szCs w:val="21"/>
                <w:highlight w:val="none"/>
              </w:rPr>
              <w:t>联系人：</w:t>
            </w:r>
            <w:r>
              <w:rPr>
                <w:rFonts w:hint="eastAsia" w:ascii="宋体" w:hAnsi="宋体" w:cs="宋体"/>
                <w:sz w:val="21"/>
                <w:szCs w:val="21"/>
                <w:highlight w:val="none"/>
                <w:u w:val="single"/>
              </w:rPr>
              <w:t xml:space="preserve">            </w:t>
            </w:r>
            <w:r>
              <w:rPr>
                <w:rFonts w:hint="eastAsia" w:ascii="宋体" w:hAnsi="宋体" w:cs="宋体"/>
                <w:sz w:val="21"/>
                <w:szCs w:val="21"/>
                <w:highlight w:val="none"/>
              </w:rPr>
              <w:t>联系电话：</w:t>
            </w:r>
            <w:r>
              <w:rPr>
                <w:rFonts w:hint="eastAsia" w:ascii="宋体" w:hAnsi="宋体" w:cs="宋体"/>
                <w:sz w:val="21"/>
                <w:szCs w:val="21"/>
                <w:highlight w:val="none"/>
                <w:u w:val="single"/>
              </w:rPr>
              <w:t xml:space="preserve">            </w:t>
            </w:r>
            <w:r>
              <w:rPr>
                <w:rFonts w:hint="eastAsia" w:ascii="宋体" w:hAnsi="宋体" w:cs="宋体"/>
                <w:sz w:val="21"/>
                <w:szCs w:val="21"/>
                <w:highlight w:val="none"/>
              </w:rPr>
              <w:t>。</w:t>
            </w:r>
            <w:r>
              <w:rPr>
                <w:rFonts w:hint="eastAsia" w:ascii="宋体" w:hAnsi="宋体" w:cs="宋体"/>
                <w:sz w:val="21"/>
                <w:szCs w:val="21"/>
                <w:highlight w:val="none"/>
                <w:u w:val="single"/>
              </w:rPr>
              <w:t xml:space="preserve">                  </w:t>
            </w:r>
          </w:p>
        </w:tc>
      </w:tr>
    </w:tbl>
    <w:p w14:paraId="24B39962">
      <w:pPr>
        <w:spacing w:line="360" w:lineRule="auto"/>
        <w:rPr>
          <w:rFonts w:hint="eastAsia" w:ascii="宋体" w:hAnsi="宋体" w:cs="宋体"/>
          <w:sz w:val="21"/>
          <w:szCs w:val="21"/>
          <w:highlight w:val="none"/>
        </w:rPr>
      </w:pPr>
      <w:r>
        <w:rPr>
          <w:rFonts w:hint="eastAsia" w:ascii="宋体" w:hAnsi="宋体" w:cs="宋体"/>
          <w:sz w:val="21"/>
          <w:szCs w:val="21"/>
          <w:highlight w:val="none"/>
        </w:rPr>
        <w:t>注：本表可自拟，但必须包含以上主要内容。</w:t>
      </w:r>
    </w:p>
    <w:p w14:paraId="2C551A28">
      <w:pPr>
        <w:pStyle w:val="12"/>
        <w:tabs>
          <w:tab w:val="left" w:pos="574"/>
        </w:tabs>
        <w:ind w:right="840" w:firstLine="5565" w:firstLineChars="2650"/>
        <w:rPr>
          <w:rFonts w:hint="eastAsia"/>
          <w:highlight w:val="none"/>
        </w:rPr>
      </w:pPr>
      <w:bookmarkStart w:id="43" w:name="_Toc155342585"/>
      <w:bookmarkStart w:id="44" w:name="_Toc106553079"/>
      <w:bookmarkStart w:id="45" w:name="_Toc106012817"/>
    </w:p>
    <w:bookmarkEnd w:id="43"/>
    <w:bookmarkEnd w:id="44"/>
    <w:bookmarkEnd w:id="45"/>
    <w:p w14:paraId="7F3D7E04">
      <w:pPr>
        <w:pStyle w:val="13"/>
        <w:ind w:firstLine="4320" w:firstLineChars="1800"/>
        <w:rPr>
          <w:rFonts w:hint="eastAsia"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443CF9BA">
      <w:pPr>
        <w:pStyle w:val="13"/>
        <w:ind w:firstLine="4320" w:firstLineChars="1800"/>
        <w:rPr>
          <w:rFonts w:hint="eastAsia" w:ascii="宋体" w:eastAsia="宋体"/>
          <w:color w:val="000000" w:themeColor="text1"/>
          <w:sz w:val="24"/>
          <w:highlight w:val="none"/>
          <w14:textFill>
            <w14:solidFill>
              <w14:schemeClr w14:val="tx1"/>
            </w14:solidFill>
          </w14:textFill>
        </w:rPr>
      </w:pPr>
    </w:p>
    <w:p w14:paraId="3FFF2D78">
      <w:pPr>
        <w:pStyle w:val="13"/>
        <w:ind w:firstLine="4320" w:firstLineChars="1800"/>
        <w:rPr>
          <w:rFonts w:hint="eastAsia"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 xml:space="preserve">法定代表人（签字或盖章）：     </w:t>
      </w:r>
    </w:p>
    <w:p w14:paraId="4996680B">
      <w:pPr>
        <w:pStyle w:val="13"/>
        <w:ind w:firstLine="4320" w:firstLineChars="1800"/>
        <w:rPr>
          <w:rFonts w:hint="eastAsia"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 xml:space="preserve">                                                          </w:t>
      </w:r>
    </w:p>
    <w:p w14:paraId="3F80A2AE">
      <w:pPr>
        <w:pStyle w:val="13"/>
        <w:ind w:firstLine="4320" w:firstLineChars="1800"/>
        <w:rPr>
          <w:rFonts w:hint="eastAsia"/>
          <w:b w:val="0"/>
          <w:bCs/>
          <w:color w:val="000000"/>
          <w:sz w:val="28"/>
          <w:szCs w:val="28"/>
          <w:highlight w:val="none"/>
        </w:rPr>
      </w:pPr>
      <w:r>
        <w:rPr>
          <w:rFonts w:hint="eastAsia" w:ascii="宋体" w:eastAsia="宋体"/>
          <w:color w:val="000000" w:themeColor="text1"/>
          <w:sz w:val="24"/>
          <w:highlight w:val="none"/>
          <w14:textFill>
            <w14:solidFill>
              <w14:schemeClr w14:val="tx1"/>
            </w14:solidFill>
          </w14:textFill>
        </w:rPr>
        <w:t xml:space="preserve">日期：   年   月   </w:t>
      </w:r>
      <w:r>
        <w:rPr>
          <w:rFonts w:hint="eastAsia" w:ascii="宋体" w:eastAsia="宋体"/>
          <w:color w:val="000000" w:themeColor="text1"/>
          <w:sz w:val="24"/>
          <w:highlight w:val="none"/>
          <w:lang w:val="en-US" w:eastAsia="zh-CN"/>
          <w14:textFill>
            <w14:solidFill>
              <w14:schemeClr w14:val="tx1"/>
            </w14:solidFill>
          </w14:textFill>
        </w:rPr>
        <w:t>日</w:t>
      </w:r>
      <w:r>
        <w:rPr>
          <w:rFonts w:hint="eastAsia" w:ascii="宋体" w:hAnsi="宋体"/>
          <w:color w:val="auto"/>
          <w:highlight w:val="none"/>
          <w:lang w:val="en-US" w:eastAsia="zh-CN"/>
        </w:rPr>
        <w:t xml:space="preserve"> </w:t>
      </w:r>
    </w:p>
    <w:p w14:paraId="639B6320">
      <w:pPr>
        <w:rPr>
          <w:rFonts w:hint="eastAsia"/>
          <w:highlight w:val="none"/>
        </w:rPr>
      </w:pPr>
    </w:p>
    <w:p w14:paraId="40776AF4">
      <w:pPr>
        <w:pStyle w:val="5"/>
        <w:spacing w:before="0"/>
        <w:jc w:val="both"/>
        <w:outlineLvl w:val="9"/>
        <w:rPr>
          <w:rFonts w:hint="eastAsia"/>
          <w:b w:val="0"/>
          <w:bCs/>
          <w:color w:val="000000"/>
          <w:sz w:val="28"/>
          <w:szCs w:val="28"/>
          <w:highlight w:val="none"/>
        </w:rPr>
      </w:pPr>
    </w:p>
    <w:p w14:paraId="788B67C9">
      <w:pPr>
        <w:pStyle w:val="5"/>
        <w:spacing w:before="0"/>
        <w:jc w:val="both"/>
        <w:outlineLvl w:val="9"/>
        <w:rPr>
          <w:rFonts w:hint="eastAsia"/>
          <w:b w:val="0"/>
          <w:bCs/>
          <w:color w:val="000000"/>
          <w:sz w:val="28"/>
          <w:szCs w:val="28"/>
          <w:highlight w:val="none"/>
        </w:rPr>
      </w:pPr>
    </w:p>
    <w:sectPr>
      <w:pgSz w:w="11905" w:h="16838"/>
      <w:pgMar w:top="1134" w:right="1587" w:bottom="1134" w:left="1587" w:header="851" w:footer="850"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6E911">
    <w:pPr>
      <w:pStyle w:val="2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11591">
    <w:pPr>
      <w:pStyle w:val="24"/>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D5D2B4">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DD5D2B4">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3C97D">
    <w:pPr>
      <w:spacing w:line="116" w:lineRule="exact"/>
      <w:ind w:firstLine="4822"/>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1D63DB">
                          <w:pPr>
                            <w:pStyle w:val="24"/>
                          </w:pPr>
                          <w:r>
                            <w:fldChar w:fldCharType="begin"/>
                          </w:r>
                          <w:r>
                            <w:instrText xml:space="preserve"> PAGE  \* MERGEFORMAT </w:instrText>
                          </w:r>
                          <w:r>
                            <w:fldChar w:fldCharType="separate"/>
                          </w:r>
                          <w:r>
                            <w:t>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21D63DB">
                    <w:pPr>
                      <w:pStyle w:val="2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024EB">
    <w:pPr>
      <w:pStyle w:val="24"/>
      <w:ind w:left="5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A4611F">
                          <w:pPr>
                            <w:pStyle w:val="2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7A4611F">
                    <w:pPr>
                      <w:pStyle w:val="24"/>
                    </w:pPr>
                    <w:r>
                      <w:fldChar w:fldCharType="begin"/>
                    </w:r>
                    <w:r>
                      <w:instrText xml:space="preserve"> PAGE  \* MERGEFORMAT </w:instrText>
                    </w:r>
                    <w:r>
                      <w:fldChar w:fldCharType="separate"/>
                    </w:r>
                    <w:r>
                      <w:t>5</w:t>
                    </w:r>
                    <w:r>
                      <w:fldChar w:fldCharType="end"/>
                    </w:r>
                  </w:p>
                </w:txbxContent>
              </v:textbox>
            </v:shape>
          </w:pict>
        </mc:Fallback>
      </mc:AlternateContent>
    </w:r>
  </w:p>
  <w:p w14:paraId="55FBE4F6">
    <w:pPr>
      <w:pStyle w:val="2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94100">
    <w:pPr>
      <w:pStyle w:val="2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79358E">
                          <w:pPr>
                            <w:pStyle w:val="2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D79358E">
                    <w:pPr>
                      <w:pStyle w:val="24"/>
                    </w:pPr>
                    <w:r>
                      <w:fldChar w:fldCharType="begin"/>
                    </w:r>
                    <w:r>
                      <w:instrText xml:space="preserve"> PAGE  \* MERGEFORMAT </w:instrText>
                    </w:r>
                    <w:r>
                      <w:fldChar w:fldCharType="separate"/>
                    </w:r>
                    <w:r>
                      <w:t>37</w:t>
                    </w:r>
                    <w:r>
                      <w:fldChar w:fldCharType="end"/>
                    </w:r>
                  </w:p>
                </w:txbxContent>
              </v:textbox>
            </v:shape>
          </w:pict>
        </mc:Fallback>
      </mc:AlternateContent>
    </w:r>
    <w:r>
      <w:rPr>
        <w:rFonts w:hint="eastAsia"/>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450AA">
    <w:pPr>
      <w:pStyle w:val="24"/>
      <w:framePr w:wrap="around" w:vAnchor="text" w:hAnchor="margin" w:xAlign="center" w:y="1"/>
      <w:rPr>
        <w:rStyle w:val="41"/>
      </w:rPr>
    </w:pPr>
    <w:r>
      <w:fldChar w:fldCharType="begin"/>
    </w:r>
    <w:r>
      <w:rPr>
        <w:rStyle w:val="41"/>
      </w:rPr>
      <w:instrText xml:space="preserve">PAGE  </w:instrText>
    </w:r>
    <w:r>
      <w:fldChar w:fldCharType="separate"/>
    </w:r>
    <w:r>
      <w:rPr>
        <w:rStyle w:val="41"/>
      </w:rPr>
      <w:t>1</w:t>
    </w:r>
    <w:r>
      <w:fldChar w:fldCharType="end"/>
    </w:r>
  </w:p>
  <w:p w14:paraId="3D459BA7">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A13D5">
    <w:pPr>
      <w:pStyle w:val="26"/>
      <w:pBdr>
        <w:bottom w:val="single" w:color="auto" w:sz="4" w:space="1"/>
      </w:pBdr>
      <w:jc w:val="right"/>
      <w:rPr>
        <w:u w:val="none"/>
      </w:rPr>
    </w:pPr>
    <w:r>
      <w:rPr>
        <w:rFonts w:hint="eastAsia" w:ascii="宋体" w:hAnsi="宋体" w:cs="宋体"/>
        <w:bCs/>
        <w:u w:val="none"/>
        <w:lang w:val="en-US" w:eastAsia="zh-CN"/>
      </w:rPr>
      <w:t xml:space="preserve"> </w:t>
    </w:r>
    <w:r>
      <w:rPr>
        <w:rFonts w:hint="eastAsia" w:ascii="宋体" w:hAnsi="宋体" w:cs="宋体"/>
        <w:bCs/>
        <w:sz w:val="21"/>
        <w:szCs w:val="21"/>
        <w:u w:val="none"/>
        <w:lang w:eastAsia="zh-CN"/>
      </w:rPr>
      <w:t xml:space="preserve"> 台州方特熊出没水上休闲游乐度假中心（一期）窗帘采购</w:t>
    </w:r>
    <w:r>
      <w:rPr>
        <w:rFonts w:hint="eastAsia" w:ascii="宋体" w:hAnsi="宋体" w:cs="宋体"/>
        <w:bCs/>
        <w:sz w:val="21"/>
        <w:szCs w:val="21"/>
        <w:u w:val="none"/>
      </w:rPr>
      <w:t>文件</w:t>
    </w:r>
    <w:r>
      <w:rPr>
        <w:rFonts w:hint="eastAsia"/>
        <w:b/>
        <w:color w:val="808080"/>
        <w:w w:val="66"/>
        <w:u w:val="none"/>
      </w:rPr>
      <w:t xml:space="preserve"> </w:t>
    </w:r>
    <w:r>
      <w:rPr>
        <w:rFonts w:hint="eastAsia" w:ascii="宋体" w:hAnsi="宋体" w:cs="宋体"/>
        <w:bCs/>
        <w:u w:val="non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851FF">
    <w:pPr>
      <w:pBdr>
        <w:bottom w:val="none" w:color="auto" w:sz="0" w:space="0"/>
      </w:pBdr>
      <w:spacing w:line="20" w:lineRule="atLeast"/>
      <w:jc w:val="right"/>
      <w:rPr>
        <w:rFonts w:ascii="宋体" w:hAnsi="宋体" w:cs="宋体"/>
        <w:bCs/>
        <w:sz w:val="21"/>
        <w:szCs w:val="21"/>
      </w:rPr>
    </w:pPr>
    <w:r>
      <w:rPr>
        <w:rFonts w:hint="eastAsia" w:ascii="宋体" w:hAnsi="宋体" w:cs="宋体"/>
        <w:bCs/>
        <w:sz w:val="21"/>
        <w:szCs w:val="21"/>
        <w:u w:val="single"/>
        <w:lang w:eastAsia="zh-CN"/>
      </w:rPr>
      <w:t>台州方特熊出没水上休闲游乐度假中心（一期）窗帘采购</w:t>
    </w:r>
    <w:r>
      <w:rPr>
        <w:rFonts w:hint="eastAsia" w:ascii="宋体" w:hAnsi="宋体" w:cs="宋体"/>
        <w:bCs/>
        <w:sz w:val="21"/>
        <w:szCs w:val="21"/>
        <w:u w:val="single"/>
      </w:rPr>
      <w:t>采购文件</w:t>
    </w:r>
  </w:p>
  <w:p w14:paraId="1769F8EE">
    <w:pPr>
      <w:pBdr>
        <w:bottom w:val="single" w:color="auto" w:sz="4" w:space="0"/>
      </w:pBdr>
      <w:rPr>
        <w:b/>
        <w:color w:val="808080"/>
        <w:w w:val="66"/>
        <w:sz w:val="10"/>
      </w:rPr>
    </w:pPr>
    <w:r>
      <w:rPr>
        <w:rFonts w:hint="eastAsia"/>
        <w:b/>
        <w:color w:val="808080"/>
        <w:w w:val="66"/>
        <w:sz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CD67C">
    <w:pPr>
      <w:spacing w:line="20" w:lineRule="atLeast"/>
      <w:rPr>
        <w:b/>
        <w:color w:val="808080"/>
        <w:w w:val="66"/>
        <w:sz w:val="10"/>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3F120">
    <w:pPr>
      <w:pStyle w:val="26"/>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57F7E"/>
    <w:multiLevelType w:val="singleLevel"/>
    <w:tmpl w:val="88F57F7E"/>
    <w:lvl w:ilvl="0" w:tentative="0">
      <w:start w:val="1"/>
      <w:numFmt w:val="decimal"/>
      <w:suff w:val="nothing"/>
      <w:lvlText w:val="（%1）"/>
      <w:lvlJc w:val="left"/>
    </w:lvl>
  </w:abstractNum>
  <w:abstractNum w:abstractNumId="1">
    <w:nsid w:val="8CE36A81"/>
    <w:multiLevelType w:val="singleLevel"/>
    <w:tmpl w:val="8CE36A81"/>
    <w:lvl w:ilvl="0" w:tentative="0">
      <w:start w:val="1"/>
      <w:numFmt w:val="bullet"/>
      <w:pStyle w:val="9"/>
      <w:lvlText w:val=""/>
      <w:lvlJc w:val="left"/>
      <w:pPr>
        <w:tabs>
          <w:tab w:val="left" w:pos="360"/>
        </w:tabs>
        <w:ind w:left="360" w:hanging="360"/>
      </w:pPr>
      <w:rPr>
        <w:rFonts w:hint="default" w:ascii="Wingdings" w:hAnsi="Wingdings"/>
      </w:rPr>
    </w:lvl>
  </w:abstractNum>
  <w:abstractNum w:abstractNumId="2">
    <w:nsid w:val="8E664F22"/>
    <w:multiLevelType w:val="singleLevel"/>
    <w:tmpl w:val="8E664F22"/>
    <w:lvl w:ilvl="0" w:tentative="0">
      <w:start w:val="1"/>
      <w:numFmt w:val="bullet"/>
      <w:pStyle w:val="19"/>
      <w:lvlText w:val=""/>
      <w:lvlJc w:val="left"/>
      <w:pPr>
        <w:tabs>
          <w:tab w:val="left" w:pos="780"/>
        </w:tabs>
        <w:ind w:left="780" w:hanging="360"/>
      </w:pPr>
      <w:rPr>
        <w:rFonts w:hint="default" w:ascii="Wingdings" w:hAnsi="Wingdings"/>
      </w:rPr>
    </w:lvl>
  </w:abstractNum>
  <w:abstractNum w:abstractNumId="3">
    <w:nsid w:val="E06D19A0"/>
    <w:multiLevelType w:val="singleLevel"/>
    <w:tmpl w:val="E06D19A0"/>
    <w:lvl w:ilvl="0" w:tentative="0">
      <w:start w:val="2"/>
      <w:numFmt w:val="chineseCounting"/>
      <w:suff w:val="nothing"/>
      <w:lvlText w:val="%1、"/>
      <w:lvlJc w:val="left"/>
      <w:rPr>
        <w:rFonts w:hint="eastAsia"/>
      </w:rPr>
    </w:lvl>
  </w:abstractNum>
  <w:abstractNum w:abstractNumId="4">
    <w:nsid w:val="0000000D"/>
    <w:multiLevelType w:val="multilevel"/>
    <w:tmpl w:val="0000000D"/>
    <w:lvl w:ilvl="0" w:tentative="0">
      <w:start w:val="1"/>
      <w:numFmt w:val="decimal"/>
      <w:pStyle w:val="16"/>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C"/>
    <w:multiLevelType w:val="multilevel"/>
    <w:tmpl w:val="0000001C"/>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34A4E721"/>
    <w:multiLevelType w:val="singleLevel"/>
    <w:tmpl w:val="34A4E721"/>
    <w:lvl w:ilvl="0" w:tentative="0">
      <w:start w:val="2"/>
      <w:numFmt w:val="decimal"/>
      <w:suff w:val="nothing"/>
      <w:lvlText w:val="%1、"/>
      <w:lvlJc w:val="left"/>
    </w:lvl>
  </w:abstractNum>
  <w:abstractNum w:abstractNumId="7">
    <w:nsid w:val="68725BD1"/>
    <w:multiLevelType w:val="singleLevel"/>
    <w:tmpl w:val="68725BD1"/>
    <w:lvl w:ilvl="0" w:tentative="0">
      <w:start w:val="1"/>
      <w:numFmt w:val="decimal"/>
      <w:suff w:val="nothing"/>
      <w:lvlText w:val="%1、"/>
      <w:lvlJc w:val="left"/>
    </w:lvl>
  </w:abstractNum>
  <w:num w:numId="1">
    <w:abstractNumId w:val="1"/>
  </w:num>
  <w:num w:numId="2">
    <w:abstractNumId w:val="4"/>
  </w:num>
  <w:num w:numId="3">
    <w:abstractNumId w:val="2"/>
  </w:num>
  <w:num w:numId="4">
    <w:abstractNumId w:val="7"/>
  </w:num>
  <w:num w:numId="5">
    <w:abstractNumId w:val="3"/>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5MzExNzQ3MTc4ZmZmNzZkYTljOGYwYTllZTY1YWUifQ=="/>
    <w:docVar w:name="KSO_WPS_MARK_KEY" w:val="989cb5d9-4c2b-479b-b92d-2ee901cbdc1d"/>
  </w:docVars>
  <w:rsids>
    <w:rsidRoot w:val="00172A27"/>
    <w:rsid w:val="00021D95"/>
    <w:rsid w:val="00026F8B"/>
    <w:rsid w:val="00030D4A"/>
    <w:rsid w:val="00033F4E"/>
    <w:rsid w:val="00042144"/>
    <w:rsid w:val="0005534D"/>
    <w:rsid w:val="0006620D"/>
    <w:rsid w:val="00066544"/>
    <w:rsid w:val="00075E94"/>
    <w:rsid w:val="000766B3"/>
    <w:rsid w:val="00082601"/>
    <w:rsid w:val="00085DA6"/>
    <w:rsid w:val="00087430"/>
    <w:rsid w:val="0009680D"/>
    <w:rsid w:val="000974B5"/>
    <w:rsid w:val="000B360C"/>
    <w:rsid w:val="000B69A0"/>
    <w:rsid w:val="000B7ECB"/>
    <w:rsid w:val="000C1F0C"/>
    <w:rsid w:val="000C5B78"/>
    <w:rsid w:val="000F21D7"/>
    <w:rsid w:val="000F5645"/>
    <w:rsid w:val="0010299C"/>
    <w:rsid w:val="00113561"/>
    <w:rsid w:val="00121712"/>
    <w:rsid w:val="00121E02"/>
    <w:rsid w:val="00132D15"/>
    <w:rsid w:val="001437B6"/>
    <w:rsid w:val="001504CE"/>
    <w:rsid w:val="00150F01"/>
    <w:rsid w:val="00150F15"/>
    <w:rsid w:val="001568B5"/>
    <w:rsid w:val="0016032B"/>
    <w:rsid w:val="00170C3C"/>
    <w:rsid w:val="00172A27"/>
    <w:rsid w:val="00191058"/>
    <w:rsid w:val="00196123"/>
    <w:rsid w:val="001B613A"/>
    <w:rsid w:val="001C6683"/>
    <w:rsid w:val="001F5A7F"/>
    <w:rsid w:val="00225A92"/>
    <w:rsid w:val="00250F48"/>
    <w:rsid w:val="00270F20"/>
    <w:rsid w:val="00272931"/>
    <w:rsid w:val="00272D55"/>
    <w:rsid w:val="002772CB"/>
    <w:rsid w:val="002A3634"/>
    <w:rsid w:val="002A7BA2"/>
    <w:rsid w:val="002D4C35"/>
    <w:rsid w:val="002E3B75"/>
    <w:rsid w:val="002E4834"/>
    <w:rsid w:val="002E5FAD"/>
    <w:rsid w:val="002F431B"/>
    <w:rsid w:val="002F4922"/>
    <w:rsid w:val="00302939"/>
    <w:rsid w:val="003261CB"/>
    <w:rsid w:val="00333E30"/>
    <w:rsid w:val="003713FB"/>
    <w:rsid w:val="00390FE6"/>
    <w:rsid w:val="0039143B"/>
    <w:rsid w:val="00394CCD"/>
    <w:rsid w:val="003B546A"/>
    <w:rsid w:val="003B6AE8"/>
    <w:rsid w:val="003C1B5C"/>
    <w:rsid w:val="003D396D"/>
    <w:rsid w:val="003E1698"/>
    <w:rsid w:val="003E7030"/>
    <w:rsid w:val="003F1A09"/>
    <w:rsid w:val="003F7D9C"/>
    <w:rsid w:val="004004C2"/>
    <w:rsid w:val="0040061D"/>
    <w:rsid w:val="0040335B"/>
    <w:rsid w:val="00417175"/>
    <w:rsid w:val="0042178D"/>
    <w:rsid w:val="00422A41"/>
    <w:rsid w:val="00430663"/>
    <w:rsid w:val="004322FF"/>
    <w:rsid w:val="00443DD3"/>
    <w:rsid w:val="00457171"/>
    <w:rsid w:val="00475C05"/>
    <w:rsid w:val="00480E67"/>
    <w:rsid w:val="0048214E"/>
    <w:rsid w:val="004929F5"/>
    <w:rsid w:val="00496DA9"/>
    <w:rsid w:val="004B05D5"/>
    <w:rsid w:val="004C3A05"/>
    <w:rsid w:val="004F219E"/>
    <w:rsid w:val="004F278E"/>
    <w:rsid w:val="00512300"/>
    <w:rsid w:val="00512C60"/>
    <w:rsid w:val="00515927"/>
    <w:rsid w:val="00535D78"/>
    <w:rsid w:val="00541246"/>
    <w:rsid w:val="00557AEF"/>
    <w:rsid w:val="00573146"/>
    <w:rsid w:val="00580941"/>
    <w:rsid w:val="00582FF7"/>
    <w:rsid w:val="00586E81"/>
    <w:rsid w:val="005A5F5B"/>
    <w:rsid w:val="005B0799"/>
    <w:rsid w:val="005B18CB"/>
    <w:rsid w:val="005B2C80"/>
    <w:rsid w:val="005B3DB5"/>
    <w:rsid w:val="005C64DF"/>
    <w:rsid w:val="005E09D2"/>
    <w:rsid w:val="005E0DB1"/>
    <w:rsid w:val="005F348C"/>
    <w:rsid w:val="00611BD0"/>
    <w:rsid w:val="006325B8"/>
    <w:rsid w:val="0063394B"/>
    <w:rsid w:val="00643F3C"/>
    <w:rsid w:val="00667709"/>
    <w:rsid w:val="00680569"/>
    <w:rsid w:val="00681B8F"/>
    <w:rsid w:val="00682808"/>
    <w:rsid w:val="00682CEA"/>
    <w:rsid w:val="0068561E"/>
    <w:rsid w:val="006907F6"/>
    <w:rsid w:val="00691B4F"/>
    <w:rsid w:val="006958F4"/>
    <w:rsid w:val="006A2145"/>
    <w:rsid w:val="006A33BC"/>
    <w:rsid w:val="006A347B"/>
    <w:rsid w:val="006C2078"/>
    <w:rsid w:val="006C62A2"/>
    <w:rsid w:val="006E03CF"/>
    <w:rsid w:val="006E173A"/>
    <w:rsid w:val="006E5864"/>
    <w:rsid w:val="00700920"/>
    <w:rsid w:val="007035FD"/>
    <w:rsid w:val="0071020B"/>
    <w:rsid w:val="00737388"/>
    <w:rsid w:val="00742E88"/>
    <w:rsid w:val="007432E2"/>
    <w:rsid w:val="007600F2"/>
    <w:rsid w:val="00764A31"/>
    <w:rsid w:val="00774DCE"/>
    <w:rsid w:val="00783407"/>
    <w:rsid w:val="00794230"/>
    <w:rsid w:val="007A1223"/>
    <w:rsid w:val="007A5B00"/>
    <w:rsid w:val="007B0469"/>
    <w:rsid w:val="007D04BE"/>
    <w:rsid w:val="007E30F2"/>
    <w:rsid w:val="00810244"/>
    <w:rsid w:val="00811083"/>
    <w:rsid w:val="00835D3B"/>
    <w:rsid w:val="00835FFB"/>
    <w:rsid w:val="00842ECF"/>
    <w:rsid w:val="008505D9"/>
    <w:rsid w:val="008523D4"/>
    <w:rsid w:val="00856546"/>
    <w:rsid w:val="008577E0"/>
    <w:rsid w:val="008640D3"/>
    <w:rsid w:val="00867614"/>
    <w:rsid w:val="008A26FC"/>
    <w:rsid w:val="008C2449"/>
    <w:rsid w:val="008C49AE"/>
    <w:rsid w:val="008D1511"/>
    <w:rsid w:val="008D5AFE"/>
    <w:rsid w:val="008D61F0"/>
    <w:rsid w:val="008D7F85"/>
    <w:rsid w:val="008E4D62"/>
    <w:rsid w:val="008E75E0"/>
    <w:rsid w:val="008F687C"/>
    <w:rsid w:val="00904310"/>
    <w:rsid w:val="009100B1"/>
    <w:rsid w:val="00910AD9"/>
    <w:rsid w:val="00912467"/>
    <w:rsid w:val="00915A32"/>
    <w:rsid w:val="00931D3C"/>
    <w:rsid w:val="00941CEF"/>
    <w:rsid w:val="009443B9"/>
    <w:rsid w:val="00952335"/>
    <w:rsid w:val="00952B82"/>
    <w:rsid w:val="00974E89"/>
    <w:rsid w:val="0098363B"/>
    <w:rsid w:val="00997848"/>
    <w:rsid w:val="009B60A2"/>
    <w:rsid w:val="009D0340"/>
    <w:rsid w:val="009D4088"/>
    <w:rsid w:val="009E0D18"/>
    <w:rsid w:val="009F2978"/>
    <w:rsid w:val="009F6195"/>
    <w:rsid w:val="00A01749"/>
    <w:rsid w:val="00A04F07"/>
    <w:rsid w:val="00A23B42"/>
    <w:rsid w:val="00A37D19"/>
    <w:rsid w:val="00A5059E"/>
    <w:rsid w:val="00A622D8"/>
    <w:rsid w:val="00A73CA8"/>
    <w:rsid w:val="00A747F2"/>
    <w:rsid w:val="00A75607"/>
    <w:rsid w:val="00A76947"/>
    <w:rsid w:val="00A969DA"/>
    <w:rsid w:val="00AA28BD"/>
    <w:rsid w:val="00AA66A2"/>
    <w:rsid w:val="00B017C0"/>
    <w:rsid w:val="00B02C79"/>
    <w:rsid w:val="00B03BD8"/>
    <w:rsid w:val="00B12A15"/>
    <w:rsid w:val="00B15929"/>
    <w:rsid w:val="00B316CB"/>
    <w:rsid w:val="00B335BA"/>
    <w:rsid w:val="00B34546"/>
    <w:rsid w:val="00B51FB8"/>
    <w:rsid w:val="00B56FC6"/>
    <w:rsid w:val="00B57027"/>
    <w:rsid w:val="00B80055"/>
    <w:rsid w:val="00B863F6"/>
    <w:rsid w:val="00B86DC8"/>
    <w:rsid w:val="00BB10B2"/>
    <w:rsid w:val="00BD0748"/>
    <w:rsid w:val="00BD4CA4"/>
    <w:rsid w:val="00BE23FE"/>
    <w:rsid w:val="00BF4456"/>
    <w:rsid w:val="00C16E3D"/>
    <w:rsid w:val="00C2502E"/>
    <w:rsid w:val="00C42738"/>
    <w:rsid w:val="00C44574"/>
    <w:rsid w:val="00C553FE"/>
    <w:rsid w:val="00C611BA"/>
    <w:rsid w:val="00C75EE2"/>
    <w:rsid w:val="00C76673"/>
    <w:rsid w:val="00C8515B"/>
    <w:rsid w:val="00C85A35"/>
    <w:rsid w:val="00C868E3"/>
    <w:rsid w:val="00C91FAD"/>
    <w:rsid w:val="00CA23F0"/>
    <w:rsid w:val="00CB7D2E"/>
    <w:rsid w:val="00CC1B38"/>
    <w:rsid w:val="00CF5F3B"/>
    <w:rsid w:val="00D04F67"/>
    <w:rsid w:val="00D05226"/>
    <w:rsid w:val="00D0564E"/>
    <w:rsid w:val="00D1050C"/>
    <w:rsid w:val="00D21472"/>
    <w:rsid w:val="00D24718"/>
    <w:rsid w:val="00D26139"/>
    <w:rsid w:val="00D33C9F"/>
    <w:rsid w:val="00D3516F"/>
    <w:rsid w:val="00D406A9"/>
    <w:rsid w:val="00D512D8"/>
    <w:rsid w:val="00D51432"/>
    <w:rsid w:val="00D5562B"/>
    <w:rsid w:val="00D6029C"/>
    <w:rsid w:val="00D74C19"/>
    <w:rsid w:val="00DA7BA7"/>
    <w:rsid w:val="00DB1156"/>
    <w:rsid w:val="00DC15E4"/>
    <w:rsid w:val="00DE241C"/>
    <w:rsid w:val="00DF3837"/>
    <w:rsid w:val="00E04C31"/>
    <w:rsid w:val="00E234C2"/>
    <w:rsid w:val="00E33B1D"/>
    <w:rsid w:val="00E434A2"/>
    <w:rsid w:val="00E44DD8"/>
    <w:rsid w:val="00E528D9"/>
    <w:rsid w:val="00E677C4"/>
    <w:rsid w:val="00EA1595"/>
    <w:rsid w:val="00EB5C67"/>
    <w:rsid w:val="00EC7F27"/>
    <w:rsid w:val="00EE2E88"/>
    <w:rsid w:val="00EF3C16"/>
    <w:rsid w:val="00F27293"/>
    <w:rsid w:val="00F3787A"/>
    <w:rsid w:val="00F516AD"/>
    <w:rsid w:val="00F63855"/>
    <w:rsid w:val="00F7332B"/>
    <w:rsid w:val="00F751A8"/>
    <w:rsid w:val="00F830C6"/>
    <w:rsid w:val="00F8617B"/>
    <w:rsid w:val="00F86195"/>
    <w:rsid w:val="00F95416"/>
    <w:rsid w:val="00F96B84"/>
    <w:rsid w:val="00FA09B2"/>
    <w:rsid w:val="00FA5192"/>
    <w:rsid w:val="00FC30E1"/>
    <w:rsid w:val="00FD62FE"/>
    <w:rsid w:val="00FF3E97"/>
    <w:rsid w:val="00FF5E58"/>
    <w:rsid w:val="0156352C"/>
    <w:rsid w:val="017442FA"/>
    <w:rsid w:val="01747E56"/>
    <w:rsid w:val="01993D60"/>
    <w:rsid w:val="01A22B57"/>
    <w:rsid w:val="01FD1236"/>
    <w:rsid w:val="02251150"/>
    <w:rsid w:val="02A4476B"/>
    <w:rsid w:val="02B01361"/>
    <w:rsid w:val="030D5B68"/>
    <w:rsid w:val="03395486"/>
    <w:rsid w:val="034A57A3"/>
    <w:rsid w:val="03552729"/>
    <w:rsid w:val="03764DC8"/>
    <w:rsid w:val="03A569EC"/>
    <w:rsid w:val="03A74AAC"/>
    <w:rsid w:val="03B92498"/>
    <w:rsid w:val="03CB10DA"/>
    <w:rsid w:val="03CD2705"/>
    <w:rsid w:val="03D101EC"/>
    <w:rsid w:val="041B280B"/>
    <w:rsid w:val="04275653"/>
    <w:rsid w:val="04372E86"/>
    <w:rsid w:val="044A6E51"/>
    <w:rsid w:val="044B1342"/>
    <w:rsid w:val="048228A0"/>
    <w:rsid w:val="04A11686"/>
    <w:rsid w:val="04D263BA"/>
    <w:rsid w:val="04DF5F2E"/>
    <w:rsid w:val="04EB042F"/>
    <w:rsid w:val="04EE7F1F"/>
    <w:rsid w:val="050564FC"/>
    <w:rsid w:val="050E2B28"/>
    <w:rsid w:val="051578B0"/>
    <w:rsid w:val="05377B18"/>
    <w:rsid w:val="05404C1F"/>
    <w:rsid w:val="05465FAD"/>
    <w:rsid w:val="055E32F7"/>
    <w:rsid w:val="057E74F5"/>
    <w:rsid w:val="058E0BDB"/>
    <w:rsid w:val="05DD4D06"/>
    <w:rsid w:val="05FB6D97"/>
    <w:rsid w:val="06344057"/>
    <w:rsid w:val="068D0EC2"/>
    <w:rsid w:val="06BC13FF"/>
    <w:rsid w:val="06C13ABA"/>
    <w:rsid w:val="06E45A8A"/>
    <w:rsid w:val="06EF4461"/>
    <w:rsid w:val="06FB4F06"/>
    <w:rsid w:val="07862691"/>
    <w:rsid w:val="07921036"/>
    <w:rsid w:val="07A5520D"/>
    <w:rsid w:val="07E94D14"/>
    <w:rsid w:val="081567C0"/>
    <w:rsid w:val="084542FA"/>
    <w:rsid w:val="08525996"/>
    <w:rsid w:val="08793FA4"/>
    <w:rsid w:val="088A3C0C"/>
    <w:rsid w:val="08DB055E"/>
    <w:rsid w:val="08E2382D"/>
    <w:rsid w:val="08F513DA"/>
    <w:rsid w:val="09140EB1"/>
    <w:rsid w:val="093F6086"/>
    <w:rsid w:val="09414AC1"/>
    <w:rsid w:val="095346F3"/>
    <w:rsid w:val="095B4B22"/>
    <w:rsid w:val="097452BC"/>
    <w:rsid w:val="09A514F4"/>
    <w:rsid w:val="09A61ADA"/>
    <w:rsid w:val="09A73232"/>
    <w:rsid w:val="09CD45A7"/>
    <w:rsid w:val="09D803DC"/>
    <w:rsid w:val="09EB0ED1"/>
    <w:rsid w:val="0A0916CC"/>
    <w:rsid w:val="0A1F3B2F"/>
    <w:rsid w:val="0A2D14EA"/>
    <w:rsid w:val="0A446676"/>
    <w:rsid w:val="0A6273E5"/>
    <w:rsid w:val="0A6A631C"/>
    <w:rsid w:val="0A8665B7"/>
    <w:rsid w:val="0A904FBD"/>
    <w:rsid w:val="0AC97464"/>
    <w:rsid w:val="0AD020DC"/>
    <w:rsid w:val="0AE0724A"/>
    <w:rsid w:val="0AFA42C5"/>
    <w:rsid w:val="0AFB2E7F"/>
    <w:rsid w:val="0B3806D8"/>
    <w:rsid w:val="0B3D5FCB"/>
    <w:rsid w:val="0BEB51B8"/>
    <w:rsid w:val="0C1F65B3"/>
    <w:rsid w:val="0C7B02EA"/>
    <w:rsid w:val="0C995B00"/>
    <w:rsid w:val="0D1A24E3"/>
    <w:rsid w:val="0D286510"/>
    <w:rsid w:val="0D3B5CCB"/>
    <w:rsid w:val="0D4F2B8B"/>
    <w:rsid w:val="0D553231"/>
    <w:rsid w:val="0D682F64"/>
    <w:rsid w:val="0D7B0568"/>
    <w:rsid w:val="0D7D30A3"/>
    <w:rsid w:val="0DBE0DD6"/>
    <w:rsid w:val="0DFC6E71"/>
    <w:rsid w:val="0E121B4D"/>
    <w:rsid w:val="0E436FED"/>
    <w:rsid w:val="0ED807A8"/>
    <w:rsid w:val="0EE4486D"/>
    <w:rsid w:val="0F0C3DC3"/>
    <w:rsid w:val="0F853A69"/>
    <w:rsid w:val="0FE443F8"/>
    <w:rsid w:val="100735F1"/>
    <w:rsid w:val="10234F21"/>
    <w:rsid w:val="102C4054"/>
    <w:rsid w:val="10967DE9"/>
    <w:rsid w:val="10A342B4"/>
    <w:rsid w:val="10BA3E29"/>
    <w:rsid w:val="10C83D1A"/>
    <w:rsid w:val="10F95DF7"/>
    <w:rsid w:val="114570F3"/>
    <w:rsid w:val="117C4C32"/>
    <w:rsid w:val="117D45F3"/>
    <w:rsid w:val="11916802"/>
    <w:rsid w:val="11943BFC"/>
    <w:rsid w:val="119A473B"/>
    <w:rsid w:val="11E44B84"/>
    <w:rsid w:val="122136E2"/>
    <w:rsid w:val="123664E8"/>
    <w:rsid w:val="126F6B43"/>
    <w:rsid w:val="128505D7"/>
    <w:rsid w:val="129C766D"/>
    <w:rsid w:val="12A366F5"/>
    <w:rsid w:val="12CA21B0"/>
    <w:rsid w:val="12D405A0"/>
    <w:rsid w:val="13007405"/>
    <w:rsid w:val="130167D3"/>
    <w:rsid w:val="130628D8"/>
    <w:rsid w:val="13254054"/>
    <w:rsid w:val="13356C36"/>
    <w:rsid w:val="133D487F"/>
    <w:rsid w:val="134F427F"/>
    <w:rsid w:val="136B6D03"/>
    <w:rsid w:val="13746B1F"/>
    <w:rsid w:val="13905BC1"/>
    <w:rsid w:val="13985C26"/>
    <w:rsid w:val="13B53264"/>
    <w:rsid w:val="14107D1A"/>
    <w:rsid w:val="14107EB2"/>
    <w:rsid w:val="143C6801"/>
    <w:rsid w:val="145C30F7"/>
    <w:rsid w:val="14891876"/>
    <w:rsid w:val="148B7538"/>
    <w:rsid w:val="149779B1"/>
    <w:rsid w:val="14AB7BDB"/>
    <w:rsid w:val="14AD2F64"/>
    <w:rsid w:val="14E629C1"/>
    <w:rsid w:val="14E87377"/>
    <w:rsid w:val="14EF7A8C"/>
    <w:rsid w:val="14F926F4"/>
    <w:rsid w:val="150D3199"/>
    <w:rsid w:val="15373CDD"/>
    <w:rsid w:val="154176C4"/>
    <w:rsid w:val="154A4DA1"/>
    <w:rsid w:val="15A00DC2"/>
    <w:rsid w:val="15B45EF5"/>
    <w:rsid w:val="15BD5D33"/>
    <w:rsid w:val="15EA3AD5"/>
    <w:rsid w:val="15F64E85"/>
    <w:rsid w:val="161F6358"/>
    <w:rsid w:val="16344267"/>
    <w:rsid w:val="163A7468"/>
    <w:rsid w:val="16491459"/>
    <w:rsid w:val="166958B5"/>
    <w:rsid w:val="16704C38"/>
    <w:rsid w:val="167364D6"/>
    <w:rsid w:val="16767C95"/>
    <w:rsid w:val="169A1CB5"/>
    <w:rsid w:val="16C84A74"/>
    <w:rsid w:val="1702695E"/>
    <w:rsid w:val="17035AAC"/>
    <w:rsid w:val="173E7BAD"/>
    <w:rsid w:val="17435EA8"/>
    <w:rsid w:val="1744610B"/>
    <w:rsid w:val="1754074B"/>
    <w:rsid w:val="176B26F1"/>
    <w:rsid w:val="176F465F"/>
    <w:rsid w:val="179340C0"/>
    <w:rsid w:val="1798232A"/>
    <w:rsid w:val="17AE032B"/>
    <w:rsid w:val="17B47B13"/>
    <w:rsid w:val="17BB0135"/>
    <w:rsid w:val="17FA2967"/>
    <w:rsid w:val="18025D64"/>
    <w:rsid w:val="1819481A"/>
    <w:rsid w:val="18502FFE"/>
    <w:rsid w:val="185C7304"/>
    <w:rsid w:val="189C7F66"/>
    <w:rsid w:val="18AB4E55"/>
    <w:rsid w:val="18AD3F21"/>
    <w:rsid w:val="1907573A"/>
    <w:rsid w:val="19224F6E"/>
    <w:rsid w:val="1931657F"/>
    <w:rsid w:val="193208CA"/>
    <w:rsid w:val="19407906"/>
    <w:rsid w:val="19A277FE"/>
    <w:rsid w:val="19A35324"/>
    <w:rsid w:val="19C13A96"/>
    <w:rsid w:val="1A165B79"/>
    <w:rsid w:val="1A257974"/>
    <w:rsid w:val="1A2A114C"/>
    <w:rsid w:val="1A2F6BB8"/>
    <w:rsid w:val="1A3E5F99"/>
    <w:rsid w:val="1A4A4004"/>
    <w:rsid w:val="1A5C63C4"/>
    <w:rsid w:val="1A8F74CF"/>
    <w:rsid w:val="1AAE3F81"/>
    <w:rsid w:val="1ADE7ECC"/>
    <w:rsid w:val="1AE25F25"/>
    <w:rsid w:val="1AF36B7D"/>
    <w:rsid w:val="1B261D69"/>
    <w:rsid w:val="1B361E84"/>
    <w:rsid w:val="1B520DB0"/>
    <w:rsid w:val="1B8B1502"/>
    <w:rsid w:val="1BB03099"/>
    <w:rsid w:val="1BD47A17"/>
    <w:rsid w:val="1BF10299"/>
    <w:rsid w:val="1C931680"/>
    <w:rsid w:val="1CA92C52"/>
    <w:rsid w:val="1CCD4C51"/>
    <w:rsid w:val="1CDD0B4D"/>
    <w:rsid w:val="1CF13CFA"/>
    <w:rsid w:val="1CF934E4"/>
    <w:rsid w:val="1D11090B"/>
    <w:rsid w:val="1D183933"/>
    <w:rsid w:val="1D1F4CC2"/>
    <w:rsid w:val="1D3A7D4E"/>
    <w:rsid w:val="1D594678"/>
    <w:rsid w:val="1D6F3E9B"/>
    <w:rsid w:val="1E1A5FA1"/>
    <w:rsid w:val="1E1C7862"/>
    <w:rsid w:val="1E2819A6"/>
    <w:rsid w:val="1E370CF6"/>
    <w:rsid w:val="1E5315D0"/>
    <w:rsid w:val="1EC12AD3"/>
    <w:rsid w:val="1F0B5C89"/>
    <w:rsid w:val="1F161A53"/>
    <w:rsid w:val="1F1D7927"/>
    <w:rsid w:val="1F576995"/>
    <w:rsid w:val="1FA12928"/>
    <w:rsid w:val="1FC5753E"/>
    <w:rsid w:val="1FE84E43"/>
    <w:rsid w:val="2004198F"/>
    <w:rsid w:val="201B0BB3"/>
    <w:rsid w:val="201B7029"/>
    <w:rsid w:val="2020322B"/>
    <w:rsid w:val="20783067"/>
    <w:rsid w:val="209E05F3"/>
    <w:rsid w:val="20BD6CCC"/>
    <w:rsid w:val="213351E0"/>
    <w:rsid w:val="21532BAD"/>
    <w:rsid w:val="218D48F0"/>
    <w:rsid w:val="219F6BD1"/>
    <w:rsid w:val="21B92876"/>
    <w:rsid w:val="21DC1180"/>
    <w:rsid w:val="22123047"/>
    <w:rsid w:val="22165FC1"/>
    <w:rsid w:val="22237002"/>
    <w:rsid w:val="222E6F7B"/>
    <w:rsid w:val="224677CF"/>
    <w:rsid w:val="224D7A95"/>
    <w:rsid w:val="22757192"/>
    <w:rsid w:val="22934188"/>
    <w:rsid w:val="22EC1AEA"/>
    <w:rsid w:val="233D2346"/>
    <w:rsid w:val="235C5FCA"/>
    <w:rsid w:val="2370007A"/>
    <w:rsid w:val="23864A5D"/>
    <w:rsid w:val="23A572CA"/>
    <w:rsid w:val="23DF73E5"/>
    <w:rsid w:val="23EE53EE"/>
    <w:rsid w:val="240E783E"/>
    <w:rsid w:val="241636EE"/>
    <w:rsid w:val="241C1DA2"/>
    <w:rsid w:val="244135E2"/>
    <w:rsid w:val="244D4992"/>
    <w:rsid w:val="24757D5C"/>
    <w:rsid w:val="248D10AB"/>
    <w:rsid w:val="24920434"/>
    <w:rsid w:val="249C309C"/>
    <w:rsid w:val="24A8700F"/>
    <w:rsid w:val="24B36813"/>
    <w:rsid w:val="24BA0C41"/>
    <w:rsid w:val="24BB6DB1"/>
    <w:rsid w:val="24BE27F3"/>
    <w:rsid w:val="24C148B0"/>
    <w:rsid w:val="24EB3156"/>
    <w:rsid w:val="25046A4F"/>
    <w:rsid w:val="2524556B"/>
    <w:rsid w:val="252E43BF"/>
    <w:rsid w:val="25357778"/>
    <w:rsid w:val="25445C0D"/>
    <w:rsid w:val="25606D56"/>
    <w:rsid w:val="256164A7"/>
    <w:rsid w:val="257E5872"/>
    <w:rsid w:val="25A8619C"/>
    <w:rsid w:val="25BD776E"/>
    <w:rsid w:val="25E03157"/>
    <w:rsid w:val="26127ABA"/>
    <w:rsid w:val="262A4E03"/>
    <w:rsid w:val="26543C2E"/>
    <w:rsid w:val="26695716"/>
    <w:rsid w:val="27550294"/>
    <w:rsid w:val="276B56D3"/>
    <w:rsid w:val="279413C6"/>
    <w:rsid w:val="279A1B15"/>
    <w:rsid w:val="27A47DB1"/>
    <w:rsid w:val="27E965F8"/>
    <w:rsid w:val="280E1ADD"/>
    <w:rsid w:val="28210439"/>
    <w:rsid w:val="282D5314"/>
    <w:rsid w:val="2891502C"/>
    <w:rsid w:val="28BA1D43"/>
    <w:rsid w:val="28D904FE"/>
    <w:rsid w:val="28E514B5"/>
    <w:rsid w:val="290167D3"/>
    <w:rsid w:val="292518B2"/>
    <w:rsid w:val="29351F07"/>
    <w:rsid w:val="293C70E8"/>
    <w:rsid w:val="29B33B88"/>
    <w:rsid w:val="29F86FC6"/>
    <w:rsid w:val="2A1F27A5"/>
    <w:rsid w:val="2A262DDF"/>
    <w:rsid w:val="2A3C0690"/>
    <w:rsid w:val="2A3C7810"/>
    <w:rsid w:val="2A522B7B"/>
    <w:rsid w:val="2A5A1A2F"/>
    <w:rsid w:val="2AB04F58"/>
    <w:rsid w:val="2AC82FD4"/>
    <w:rsid w:val="2AD02EB1"/>
    <w:rsid w:val="2AD03A9F"/>
    <w:rsid w:val="2AF66D70"/>
    <w:rsid w:val="2AF849C9"/>
    <w:rsid w:val="2B230073"/>
    <w:rsid w:val="2B2E0252"/>
    <w:rsid w:val="2B2F07C6"/>
    <w:rsid w:val="2B360074"/>
    <w:rsid w:val="2B43287F"/>
    <w:rsid w:val="2B471FB3"/>
    <w:rsid w:val="2BA14CDC"/>
    <w:rsid w:val="2BDD5797"/>
    <w:rsid w:val="2C194708"/>
    <w:rsid w:val="2C536736"/>
    <w:rsid w:val="2C7963E8"/>
    <w:rsid w:val="2C8D43A0"/>
    <w:rsid w:val="2CA43435"/>
    <w:rsid w:val="2CC331FD"/>
    <w:rsid w:val="2CD83A18"/>
    <w:rsid w:val="2D0054ED"/>
    <w:rsid w:val="2D1C2FCC"/>
    <w:rsid w:val="2D39592C"/>
    <w:rsid w:val="2D550D9D"/>
    <w:rsid w:val="2D6C2CA7"/>
    <w:rsid w:val="2DAA6FC6"/>
    <w:rsid w:val="2DB05DB4"/>
    <w:rsid w:val="2DB651CE"/>
    <w:rsid w:val="2DD24D42"/>
    <w:rsid w:val="2DE9470A"/>
    <w:rsid w:val="2DED0D1F"/>
    <w:rsid w:val="2DEE09C8"/>
    <w:rsid w:val="2E0D2D76"/>
    <w:rsid w:val="2E15390D"/>
    <w:rsid w:val="2E17441C"/>
    <w:rsid w:val="2E451FD1"/>
    <w:rsid w:val="2E501652"/>
    <w:rsid w:val="2E5310EA"/>
    <w:rsid w:val="2E6311CC"/>
    <w:rsid w:val="2E6E7A46"/>
    <w:rsid w:val="2E8928E3"/>
    <w:rsid w:val="2EC43793"/>
    <w:rsid w:val="2EC77BCD"/>
    <w:rsid w:val="2ED77E99"/>
    <w:rsid w:val="2EDD4A44"/>
    <w:rsid w:val="2EFF2BA5"/>
    <w:rsid w:val="2F2A3BB5"/>
    <w:rsid w:val="2F486363"/>
    <w:rsid w:val="2F666343"/>
    <w:rsid w:val="2F8D01B1"/>
    <w:rsid w:val="2FA82F80"/>
    <w:rsid w:val="2FB219C5"/>
    <w:rsid w:val="2FD81D74"/>
    <w:rsid w:val="2FDD486F"/>
    <w:rsid w:val="2FEF6776"/>
    <w:rsid w:val="2FF124EE"/>
    <w:rsid w:val="2FF41FDE"/>
    <w:rsid w:val="2FF7387C"/>
    <w:rsid w:val="301B756B"/>
    <w:rsid w:val="303845C1"/>
    <w:rsid w:val="30640F12"/>
    <w:rsid w:val="30681392"/>
    <w:rsid w:val="307F3F9D"/>
    <w:rsid w:val="308C0468"/>
    <w:rsid w:val="30BB7FBB"/>
    <w:rsid w:val="30ED6442"/>
    <w:rsid w:val="30F009F7"/>
    <w:rsid w:val="30F32296"/>
    <w:rsid w:val="30F549E6"/>
    <w:rsid w:val="30FF6E8C"/>
    <w:rsid w:val="317174A6"/>
    <w:rsid w:val="3175714F"/>
    <w:rsid w:val="31AD68E8"/>
    <w:rsid w:val="31D37F2A"/>
    <w:rsid w:val="31F005E4"/>
    <w:rsid w:val="31F0501F"/>
    <w:rsid w:val="32157AFE"/>
    <w:rsid w:val="322F72FD"/>
    <w:rsid w:val="327B0A59"/>
    <w:rsid w:val="32CC7242"/>
    <w:rsid w:val="32D459FD"/>
    <w:rsid w:val="32DD4FAB"/>
    <w:rsid w:val="32FF5E98"/>
    <w:rsid w:val="33003623"/>
    <w:rsid w:val="33584321"/>
    <w:rsid w:val="3364747B"/>
    <w:rsid w:val="336A38E6"/>
    <w:rsid w:val="33945FB2"/>
    <w:rsid w:val="33B026C0"/>
    <w:rsid w:val="33BD47D7"/>
    <w:rsid w:val="33F97BC3"/>
    <w:rsid w:val="343A22CA"/>
    <w:rsid w:val="345614B9"/>
    <w:rsid w:val="34766F70"/>
    <w:rsid w:val="34880F47"/>
    <w:rsid w:val="34AA710F"/>
    <w:rsid w:val="34FD4E2A"/>
    <w:rsid w:val="35247840"/>
    <w:rsid w:val="354F32F4"/>
    <w:rsid w:val="355E0625"/>
    <w:rsid w:val="35650A59"/>
    <w:rsid w:val="35CD2498"/>
    <w:rsid w:val="35D501BC"/>
    <w:rsid w:val="35E548A3"/>
    <w:rsid w:val="360F36CE"/>
    <w:rsid w:val="362C24D2"/>
    <w:rsid w:val="367D2A73"/>
    <w:rsid w:val="3684230E"/>
    <w:rsid w:val="36E374B2"/>
    <w:rsid w:val="3702065F"/>
    <w:rsid w:val="371B0D28"/>
    <w:rsid w:val="37294BDE"/>
    <w:rsid w:val="373C4996"/>
    <w:rsid w:val="375941C7"/>
    <w:rsid w:val="37887BDC"/>
    <w:rsid w:val="37950385"/>
    <w:rsid w:val="37A50775"/>
    <w:rsid w:val="37AF40B3"/>
    <w:rsid w:val="37F92931"/>
    <w:rsid w:val="37FE05E4"/>
    <w:rsid w:val="380A75AC"/>
    <w:rsid w:val="3810372D"/>
    <w:rsid w:val="38352256"/>
    <w:rsid w:val="386D5023"/>
    <w:rsid w:val="3870241E"/>
    <w:rsid w:val="38E724B8"/>
    <w:rsid w:val="38FE1FBD"/>
    <w:rsid w:val="392A24E0"/>
    <w:rsid w:val="3962620A"/>
    <w:rsid w:val="396C7089"/>
    <w:rsid w:val="39721AED"/>
    <w:rsid w:val="39BC1DBE"/>
    <w:rsid w:val="39BF365D"/>
    <w:rsid w:val="39DD3AE3"/>
    <w:rsid w:val="3A156ACB"/>
    <w:rsid w:val="3A3D50E8"/>
    <w:rsid w:val="3A7243F8"/>
    <w:rsid w:val="3A86400A"/>
    <w:rsid w:val="3A885DF8"/>
    <w:rsid w:val="3AFB06C4"/>
    <w:rsid w:val="3B12471E"/>
    <w:rsid w:val="3B2220F5"/>
    <w:rsid w:val="3B252B62"/>
    <w:rsid w:val="3B2A5086"/>
    <w:rsid w:val="3B471B5C"/>
    <w:rsid w:val="3BCB0097"/>
    <w:rsid w:val="3C3B3899"/>
    <w:rsid w:val="3C700C3E"/>
    <w:rsid w:val="3C7B487F"/>
    <w:rsid w:val="3CC80A7A"/>
    <w:rsid w:val="3CCC2D9B"/>
    <w:rsid w:val="3CD94A35"/>
    <w:rsid w:val="3CFB49AC"/>
    <w:rsid w:val="3D255ECD"/>
    <w:rsid w:val="3D65276D"/>
    <w:rsid w:val="3D665594"/>
    <w:rsid w:val="3D7125F1"/>
    <w:rsid w:val="3D7A6218"/>
    <w:rsid w:val="3D7F0546"/>
    <w:rsid w:val="3D9D3CB5"/>
    <w:rsid w:val="3DE73182"/>
    <w:rsid w:val="3DEB4A20"/>
    <w:rsid w:val="3DF53AF1"/>
    <w:rsid w:val="3E3C050B"/>
    <w:rsid w:val="3E57209F"/>
    <w:rsid w:val="3E600908"/>
    <w:rsid w:val="3E9055C8"/>
    <w:rsid w:val="3EB72B54"/>
    <w:rsid w:val="3EE3506A"/>
    <w:rsid w:val="3EEC4EF4"/>
    <w:rsid w:val="3F60143E"/>
    <w:rsid w:val="3F656A54"/>
    <w:rsid w:val="3F9614BE"/>
    <w:rsid w:val="3FDF0D9C"/>
    <w:rsid w:val="3FF96622"/>
    <w:rsid w:val="40591F07"/>
    <w:rsid w:val="407056B1"/>
    <w:rsid w:val="40B96CD5"/>
    <w:rsid w:val="415E7BFF"/>
    <w:rsid w:val="4162149D"/>
    <w:rsid w:val="417E28EA"/>
    <w:rsid w:val="41807B75"/>
    <w:rsid w:val="41C102A8"/>
    <w:rsid w:val="41C23CEA"/>
    <w:rsid w:val="41E33C60"/>
    <w:rsid w:val="42031661"/>
    <w:rsid w:val="42084379"/>
    <w:rsid w:val="422B5D33"/>
    <w:rsid w:val="42666D6B"/>
    <w:rsid w:val="42A06A3C"/>
    <w:rsid w:val="42A954B6"/>
    <w:rsid w:val="432D1637"/>
    <w:rsid w:val="435272F0"/>
    <w:rsid w:val="435D160E"/>
    <w:rsid w:val="436D5ACF"/>
    <w:rsid w:val="43803E5D"/>
    <w:rsid w:val="43947908"/>
    <w:rsid w:val="43B40C00"/>
    <w:rsid w:val="43E47813"/>
    <w:rsid w:val="43E837B0"/>
    <w:rsid w:val="444D4EF7"/>
    <w:rsid w:val="4459419F"/>
    <w:rsid w:val="44693E99"/>
    <w:rsid w:val="447079F7"/>
    <w:rsid w:val="44827761"/>
    <w:rsid w:val="44890AEF"/>
    <w:rsid w:val="449F6696"/>
    <w:rsid w:val="44B00772"/>
    <w:rsid w:val="44FE41E7"/>
    <w:rsid w:val="451A5F22"/>
    <w:rsid w:val="451F3698"/>
    <w:rsid w:val="4530540F"/>
    <w:rsid w:val="45356766"/>
    <w:rsid w:val="454C355D"/>
    <w:rsid w:val="45561F04"/>
    <w:rsid w:val="45614EB8"/>
    <w:rsid w:val="45765517"/>
    <w:rsid w:val="45975BC2"/>
    <w:rsid w:val="45B6577B"/>
    <w:rsid w:val="45DD7344"/>
    <w:rsid w:val="4613396A"/>
    <w:rsid w:val="4614088C"/>
    <w:rsid w:val="46283A22"/>
    <w:rsid w:val="4645243B"/>
    <w:rsid w:val="46480E02"/>
    <w:rsid w:val="46642713"/>
    <w:rsid w:val="466501EA"/>
    <w:rsid w:val="4678706D"/>
    <w:rsid w:val="468278E6"/>
    <w:rsid w:val="4690085B"/>
    <w:rsid w:val="46957C1F"/>
    <w:rsid w:val="46BD2CD2"/>
    <w:rsid w:val="46C40099"/>
    <w:rsid w:val="476475F1"/>
    <w:rsid w:val="47881532"/>
    <w:rsid w:val="47C37B5D"/>
    <w:rsid w:val="47C85DD2"/>
    <w:rsid w:val="47EA3F9B"/>
    <w:rsid w:val="47ED5839"/>
    <w:rsid w:val="47F24BFD"/>
    <w:rsid w:val="48735D3E"/>
    <w:rsid w:val="489A776F"/>
    <w:rsid w:val="48A71E8C"/>
    <w:rsid w:val="48BB1493"/>
    <w:rsid w:val="490B5F77"/>
    <w:rsid w:val="492C17F1"/>
    <w:rsid w:val="492C413F"/>
    <w:rsid w:val="492F4FC7"/>
    <w:rsid w:val="493041AC"/>
    <w:rsid w:val="493556E9"/>
    <w:rsid w:val="496164DE"/>
    <w:rsid w:val="49793828"/>
    <w:rsid w:val="498A0F3C"/>
    <w:rsid w:val="499C38AC"/>
    <w:rsid w:val="49A328EF"/>
    <w:rsid w:val="49AE3884"/>
    <w:rsid w:val="49F93B20"/>
    <w:rsid w:val="4A070A66"/>
    <w:rsid w:val="4A104E30"/>
    <w:rsid w:val="4A227E42"/>
    <w:rsid w:val="4A315EB1"/>
    <w:rsid w:val="4A5A3B51"/>
    <w:rsid w:val="4A673681"/>
    <w:rsid w:val="4A8E0D19"/>
    <w:rsid w:val="4AAF6DD6"/>
    <w:rsid w:val="4AB443EC"/>
    <w:rsid w:val="4AC24414"/>
    <w:rsid w:val="4AD14F9E"/>
    <w:rsid w:val="4AD6495A"/>
    <w:rsid w:val="4B3F510C"/>
    <w:rsid w:val="4B58121B"/>
    <w:rsid w:val="4B5D12AD"/>
    <w:rsid w:val="4B7E5126"/>
    <w:rsid w:val="4B81576F"/>
    <w:rsid w:val="4B91219E"/>
    <w:rsid w:val="4BB33B4B"/>
    <w:rsid w:val="4BB65798"/>
    <w:rsid w:val="4BBC17AA"/>
    <w:rsid w:val="4BF10A2C"/>
    <w:rsid w:val="4BFC24EE"/>
    <w:rsid w:val="4C2537F3"/>
    <w:rsid w:val="4C325F10"/>
    <w:rsid w:val="4C4208EE"/>
    <w:rsid w:val="4C9E7DEF"/>
    <w:rsid w:val="4D510618"/>
    <w:rsid w:val="4D612F58"/>
    <w:rsid w:val="4D800D3B"/>
    <w:rsid w:val="4D875DE8"/>
    <w:rsid w:val="4D9F3131"/>
    <w:rsid w:val="4DB14BCF"/>
    <w:rsid w:val="4DCC2E9C"/>
    <w:rsid w:val="4DEE642A"/>
    <w:rsid w:val="4DF97B48"/>
    <w:rsid w:val="4DFA1815"/>
    <w:rsid w:val="4E164964"/>
    <w:rsid w:val="4E1E499E"/>
    <w:rsid w:val="4E3819D6"/>
    <w:rsid w:val="4E3C6BD2"/>
    <w:rsid w:val="4E40254C"/>
    <w:rsid w:val="4E8F764A"/>
    <w:rsid w:val="4E946A0E"/>
    <w:rsid w:val="4EA2737D"/>
    <w:rsid w:val="4EBD5F65"/>
    <w:rsid w:val="4F211687"/>
    <w:rsid w:val="4F426946"/>
    <w:rsid w:val="4F796605"/>
    <w:rsid w:val="4F8244F9"/>
    <w:rsid w:val="4F8B7E11"/>
    <w:rsid w:val="4F933D0F"/>
    <w:rsid w:val="4F952A3E"/>
    <w:rsid w:val="4F964A80"/>
    <w:rsid w:val="4F9B02BD"/>
    <w:rsid w:val="4FFE4A87"/>
    <w:rsid w:val="50447FC0"/>
    <w:rsid w:val="504D156B"/>
    <w:rsid w:val="506D4592"/>
    <w:rsid w:val="50887115"/>
    <w:rsid w:val="50F90771"/>
    <w:rsid w:val="512C1180"/>
    <w:rsid w:val="5172738F"/>
    <w:rsid w:val="51826FF2"/>
    <w:rsid w:val="51910044"/>
    <w:rsid w:val="519A433C"/>
    <w:rsid w:val="519B6306"/>
    <w:rsid w:val="51B60C07"/>
    <w:rsid w:val="51C13FBE"/>
    <w:rsid w:val="51C6120B"/>
    <w:rsid w:val="51C846F3"/>
    <w:rsid w:val="51D53635"/>
    <w:rsid w:val="51D54531"/>
    <w:rsid w:val="52042243"/>
    <w:rsid w:val="52385729"/>
    <w:rsid w:val="523B415E"/>
    <w:rsid w:val="52584BD7"/>
    <w:rsid w:val="527A23D6"/>
    <w:rsid w:val="52831274"/>
    <w:rsid w:val="5285409D"/>
    <w:rsid w:val="529E5892"/>
    <w:rsid w:val="52A31916"/>
    <w:rsid w:val="52DA52F6"/>
    <w:rsid w:val="532E1E14"/>
    <w:rsid w:val="53307101"/>
    <w:rsid w:val="534B7B80"/>
    <w:rsid w:val="537B7E7C"/>
    <w:rsid w:val="5382777D"/>
    <w:rsid w:val="53915C12"/>
    <w:rsid w:val="53B316E5"/>
    <w:rsid w:val="53B80121"/>
    <w:rsid w:val="53C65239"/>
    <w:rsid w:val="53EB5322"/>
    <w:rsid w:val="53EE096F"/>
    <w:rsid w:val="540029D4"/>
    <w:rsid w:val="5415414D"/>
    <w:rsid w:val="54286CFD"/>
    <w:rsid w:val="54680C9E"/>
    <w:rsid w:val="548076E2"/>
    <w:rsid w:val="54A31759"/>
    <w:rsid w:val="54E564A4"/>
    <w:rsid w:val="551E160F"/>
    <w:rsid w:val="5536081F"/>
    <w:rsid w:val="55545149"/>
    <w:rsid w:val="556E7FB9"/>
    <w:rsid w:val="557F77F3"/>
    <w:rsid w:val="55BF0815"/>
    <w:rsid w:val="55C7591B"/>
    <w:rsid w:val="55E34CE0"/>
    <w:rsid w:val="55EB785C"/>
    <w:rsid w:val="560721BC"/>
    <w:rsid w:val="564B6219"/>
    <w:rsid w:val="565558D1"/>
    <w:rsid w:val="567E247E"/>
    <w:rsid w:val="56C64DC4"/>
    <w:rsid w:val="56F40992"/>
    <w:rsid w:val="57057D36"/>
    <w:rsid w:val="570D18EF"/>
    <w:rsid w:val="571E156B"/>
    <w:rsid w:val="572728F4"/>
    <w:rsid w:val="57354C81"/>
    <w:rsid w:val="5738418D"/>
    <w:rsid w:val="574036C7"/>
    <w:rsid w:val="574F7976"/>
    <w:rsid w:val="575C2093"/>
    <w:rsid w:val="57770C7B"/>
    <w:rsid w:val="57830141"/>
    <w:rsid w:val="57AF2B0B"/>
    <w:rsid w:val="57B41ECF"/>
    <w:rsid w:val="57B503D9"/>
    <w:rsid w:val="57E427B4"/>
    <w:rsid w:val="57E722A5"/>
    <w:rsid w:val="58053921"/>
    <w:rsid w:val="58197612"/>
    <w:rsid w:val="582C7CB7"/>
    <w:rsid w:val="58B8154B"/>
    <w:rsid w:val="58D50AA5"/>
    <w:rsid w:val="58D91320"/>
    <w:rsid w:val="590803BD"/>
    <w:rsid w:val="590C30CF"/>
    <w:rsid w:val="590C3AC5"/>
    <w:rsid w:val="591E2269"/>
    <w:rsid w:val="591F662B"/>
    <w:rsid w:val="5943350B"/>
    <w:rsid w:val="595D173E"/>
    <w:rsid w:val="59AD4E28"/>
    <w:rsid w:val="59B762E1"/>
    <w:rsid w:val="59C77C98"/>
    <w:rsid w:val="59CA5A20"/>
    <w:rsid w:val="59FD5DAF"/>
    <w:rsid w:val="5A596738"/>
    <w:rsid w:val="5A64590F"/>
    <w:rsid w:val="5A7F67C4"/>
    <w:rsid w:val="5A8C0EE1"/>
    <w:rsid w:val="5AC31CBB"/>
    <w:rsid w:val="5ACA6DB3"/>
    <w:rsid w:val="5B016795"/>
    <w:rsid w:val="5B040ECB"/>
    <w:rsid w:val="5B0B44FC"/>
    <w:rsid w:val="5B316936"/>
    <w:rsid w:val="5B7C0F56"/>
    <w:rsid w:val="5C6A7000"/>
    <w:rsid w:val="5CB34F40"/>
    <w:rsid w:val="5CED41B0"/>
    <w:rsid w:val="5D1C6C66"/>
    <w:rsid w:val="5D2E2DF3"/>
    <w:rsid w:val="5D3E32F4"/>
    <w:rsid w:val="5D3F048D"/>
    <w:rsid w:val="5D4220C0"/>
    <w:rsid w:val="5D4D06C3"/>
    <w:rsid w:val="5D5552CD"/>
    <w:rsid w:val="5D5F6439"/>
    <w:rsid w:val="5D8B6EF7"/>
    <w:rsid w:val="5DA01CE6"/>
    <w:rsid w:val="5DAD53F7"/>
    <w:rsid w:val="5DBD392A"/>
    <w:rsid w:val="5DD913BA"/>
    <w:rsid w:val="5DDC5CDC"/>
    <w:rsid w:val="5DE352BC"/>
    <w:rsid w:val="5DF9063C"/>
    <w:rsid w:val="5E0F7E5F"/>
    <w:rsid w:val="5E6131AA"/>
    <w:rsid w:val="5E622685"/>
    <w:rsid w:val="5E652175"/>
    <w:rsid w:val="5E653F23"/>
    <w:rsid w:val="5EC724E8"/>
    <w:rsid w:val="5ECD5376"/>
    <w:rsid w:val="5F4C6560"/>
    <w:rsid w:val="5F780FF4"/>
    <w:rsid w:val="5F7A51A8"/>
    <w:rsid w:val="5F8D4569"/>
    <w:rsid w:val="5F9745B0"/>
    <w:rsid w:val="5FB827D3"/>
    <w:rsid w:val="5FE64E23"/>
    <w:rsid w:val="5FF473EE"/>
    <w:rsid w:val="60014FB6"/>
    <w:rsid w:val="60086116"/>
    <w:rsid w:val="60213E7A"/>
    <w:rsid w:val="60326087"/>
    <w:rsid w:val="60430294"/>
    <w:rsid w:val="60716BAF"/>
    <w:rsid w:val="61061269"/>
    <w:rsid w:val="61266058"/>
    <w:rsid w:val="615800B9"/>
    <w:rsid w:val="61634383"/>
    <w:rsid w:val="61786E15"/>
    <w:rsid w:val="61931AD5"/>
    <w:rsid w:val="61965A39"/>
    <w:rsid w:val="61C40F61"/>
    <w:rsid w:val="61C927D1"/>
    <w:rsid w:val="61E01FB9"/>
    <w:rsid w:val="6223212B"/>
    <w:rsid w:val="622A1BC3"/>
    <w:rsid w:val="62353C0D"/>
    <w:rsid w:val="623C143F"/>
    <w:rsid w:val="62403F00"/>
    <w:rsid w:val="624B5B3C"/>
    <w:rsid w:val="625C0C79"/>
    <w:rsid w:val="625D2A79"/>
    <w:rsid w:val="62727400"/>
    <w:rsid w:val="62B40D3D"/>
    <w:rsid w:val="62C76440"/>
    <w:rsid w:val="62EB342A"/>
    <w:rsid w:val="63174ACA"/>
    <w:rsid w:val="6320666B"/>
    <w:rsid w:val="633A597E"/>
    <w:rsid w:val="63416D0D"/>
    <w:rsid w:val="63471E49"/>
    <w:rsid w:val="639A4212"/>
    <w:rsid w:val="63BA086D"/>
    <w:rsid w:val="63BD68CB"/>
    <w:rsid w:val="63C416EC"/>
    <w:rsid w:val="63D87E03"/>
    <w:rsid w:val="63F97123"/>
    <w:rsid w:val="6416146D"/>
    <w:rsid w:val="64202DC6"/>
    <w:rsid w:val="643F6D26"/>
    <w:rsid w:val="645C7B76"/>
    <w:rsid w:val="64794284"/>
    <w:rsid w:val="647A73BB"/>
    <w:rsid w:val="647B7FFD"/>
    <w:rsid w:val="6493693E"/>
    <w:rsid w:val="64B21544"/>
    <w:rsid w:val="64F337E4"/>
    <w:rsid w:val="64F953C5"/>
    <w:rsid w:val="651E6BDA"/>
    <w:rsid w:val="655F4BD9"/>
    <w:rsid w:val="65660CAD"/>
    <w:rsid w:val="656C3DE9"/>
    <w:rsid w:val="659B10A9"/>
    <w:rsid w:val="65BD28E4"/>
    <w:rsid w:val="65C72CDF"/>
    <w:rsid w:val="65D04378"/>
    <w:rsid w:val="65DA6FA5"/>
    <w:rsid w:val="65E814B5"/>
    <w:rsid w:val="66091638"/>
    <w:rsid w:val="660F2DA7"/>
    <w:rsid w:val="66533FE7"/>
    <w:rsid w:val="6655487D"/>
    <w:rsid w:val="6659611C"/>
    <w:rsid w:val="666106F4"/>
    <w:rsid w:val="66886796"/>
    <w:rsid w:val="66EA3218"/>
    <w:rsid w:val="67001B4B"/>
    <w:rsid w:val="671C4CE5"/>
    <w:rsid w:val="672C3830"/>
    <w:rsid w:val="67672D81"/>
    <w:rsid w:val="67E76BFB"/>
    <w:rsid w:val="67EE0225"/>
    <w:rsid w:val="68103613"/>
    <w:rsid w:val="68AD274F"/>
    <w:rsid w:val="68D47C61"/>
    <w:rsid w:val="68DD007A"/>
    <w:rsid w:val="68FE744E"/>
    <w:rsid w:val="69384FEB"/>
    <w:rsid w:val="69565452"/>
    <w:rsid w:val="69726339"/>
    <w:rsid w:val="69807E63"/>
    <w:rsid w:val="69823BDB"/>
    <w:rsid w:val="69845BA5"/>
    <w:rsid w:val="69AD6EF9"/>
    <w:rsid w:val="69B936BB"/>
    <w:rsid w:val="69DC1C5D"/>
    <w:rsid w:val="69DD3507"/>
    <w:rsid w:val="6A413A96"/>
    <w:rsid w:val="6A63194C"/>
    <w:rsid w:val="6A8A4544"/>
    <w:rsid w:val="6A8E0DDF"/>
    <w:rsid w:val="6A975464"/>
    <w:rsid w:val="6AF42ACD"/>
    <w:rsid w:val="6AFA59F3"/>
    <w:rsid w:val="6B07083C"/>
    <w:rsid w:val="6B373FE9"/>
    <w:rsid w:val="6B5F6C8D"/>
    <w:rsid w:val="6B7638B3"/>
    <w:rsid w:val="6B7C4F42"/>
    <w:rsid w:val="6B807728"/>
    <w:rsid w:val="6B8455B2"/>
    <w:rsid w:val="6B85074F"/>
    <w:rsid w:val="6B915026"/>
    <w:rsid w:val="6BA449DC"/>
    <w:rsid w:val="6BB169FA"/>
    <w:rsid w:val="6BCA3618"/>
    <w:rsid w:val="6BDF5F73"/>
    <w:rsid w:val="6BE83DFD"/>
    <w:rsid w:val="6BE87C52"/>
    <w:rsid w:val="6C00528B"/>
    <w:rsid w:val="6C336835"/>
    <w:rsid w:val="6C3B5886"/>
    <w:rsid w:val="6C690350"/>
    <w:rsid w:val="6CA80624"/>
    <w:rsid w:val="6CC717F3"/>
    <w:rsid w:val="6CD01102"/>
    <w:rsid w:val="6CFB48B3"/>
    <w:rsid w:val="6D153EF8"/>
    <w:rsid w:val="6D174A55"/>
    <w:rsid w:val="6D4A2BEE"/>
    <w:rsid w:val="6D582400"/>
    <w:rsid w:val="6D7A1AA2"/>
    <w:rsid w:val="6D8A174E"/>
    <w:rsid w:val="6D940B27"/>
    <w:rsid w:val="6DA700C4"/>
    <w:rsid w:val="6DAC795D"/>
    <w:rsid w:val="6DD21EDE"/>
    <w:rsid w:val="6DFE6A84"/>
    <w:rsid w:val="6E05302D"/>
    <w:rsid w:val="6E0C6169"/>
    <w:rsid w:val="6E275E4D"/>
    <w:rsid w:val="6E672A38"/>
    <w:rsid w:val="6E7C0E27"/>
    <w:rsid w:val="6E9C531E"/>
    <w:rsid w:val="6EAB5C0E"/>
    <w:rsid w:val="6EE601AB"/>
    <w:rsid w:val="6EFA06B8"/>
    <w:rsid w:val="6F3109D8"/>
    <w:rsid w:val="6F4F2504"/>
    <w:rsid w:val="6F5140F5"/>
    <w:rsid w:val="6F715C7B"/>
    <w:rsid w:val="6F747EDB"/>
    <w:rsid w:val="6F7E184F"/>
    <w:rsid w:val="6FAF14A2"/>
    <w:rsid w:val="6FB27E63"/>
    <w:rsid w:val="6FBF2B9C"/>
    <w:rsid w:val="6FE21452"/>
    <w:rsid w:val="6FEA072C"/>
    <w:rsid w:val="70103B63"/>
    <w:rsid w:val="702552C0"/>
    <w:rsid w:val="7027521C"/>
    <w:rsid w:val="706311B6"/>
    <w:rsid w:val="70687A06"/>
    <w:rsid w:val="70D91FB4"/>
    <w:rsid w:val="710B095A"/>
    <w:rsid w:val="716F0B64"/>
    <w:rsid w:val="717958C4"/>
    <w:rsid w:val="71836CDA"/>
    <w:rsid w:val="71CF7BDA"/>
    <w:rsid w:val="71D945B4"/>
    <w:rsid w:val="71F72C8D"/>
    <w:rsid w:val="72080AD4"/>
    <w:rsid w:val="721E450C"/>
    <w:rsid w:val="72271FE2"/>
    <w:rsid w:val="726E2F4F"/>
    <w:rsid w:val="727017A2"/>
    <w:rsid w:val="727D3192"/>
    <w:rsid w:val="72C174C2"/>
    <w:rsid w:val="72C47013"/>
    <w:rsid w:val="72D354A8"/>
    <w:rsid w:val="72D6655E"/>
    <w:rsid w:val="72E43211"/>
    <w:rsid w:val="72EB2B55"/>
    <w:rsid w:val="72F53670"/>
    <w:rsid w:val="72F571CC"/>
    <w:rsid w:val="72FA0078"/>
    <w:rsid w:val="72FD2525"/>
    <w:rsid w:val="72FD6FCD"/>
    <w:rsid w:val="730613D9"/>
    <w:rsid w:val="73171838"/>
    <w:rsid w:val="734865BD"/>
    <w:rsid w:val="735A34D3"/>
    <w:rsid w:val="738D3A52"/>
    <w:rsid w:val="73B72B30"/>
    <w:rsid w:val="73F2195D"/>
    <w:rsid w:val="73F676A0"/>
    <w:rsid w:val="740D49E9"/>
    <w:rsid w:val="7421181D"/>
    <w:rsid w:val="74363F40"/>
    <w:rsid w:val="74416441"/>
    <w:rsid w:val="749837D1"/>
    <w:rsid w:val="74B81834"/>
    <w:rsid w:val="74D908CB"/>
    <w:rsid w:val="74F6387A"/>
    <w:rsid w:val="750C6A4F"/>
    <w:rsid w:val="750E0A19"/>
    <w:rsid w:val="751C396C"/>
    <w:rsid w:val="75864340"/>
    <w:rsid w:val="75E44254"/>
    <w:rsid w:val="75E81314"/>
    <w:rsid w:val="75E942E5"/>
    <w:rsid w:val="760D2CAF"/>
    <w:rsid w:val="762D19E3"/>
    <w:rsid w:val="76377AFB"/>
    <w:rsid w:val="76432269"/>
    <w:rsid w:val="764E3D4E"/>
    <w:rsid w:val="766308F1"/>
    <w:rsid w:val="769149E0"/>
    <w:rsid w:val="76D25986"/>
    <w:rsid w:val="76D46F31"/>
    <w:rsid w:val="771630A2"/>
    <w:rsid w:val="77414B04"/>
    <w:rsid w:val="77463779"/>
    <w:rsid w:val="77670EFF"/>
    <w:rsid w:val="77AD62C7"/>
    <w:rsid w:val="77B30FB2"/>
    <w:rsid w:val="77F47B34"/>
    <w:rsid w:val="77F739E6"/>
    <w:rsid w:val="780A371A"/>
    <w:rsid w:val="782701E9"/>
    <w:rsid w:val="783C764B"/>
    <w:rsid w:val="785C6E37"/>
    <w:rsid w:val="786B5CE9"/>
    <w:rsid w:val="78813C7A"/>
    <w:rsid w:val="78B2790D"/>
    <w:rsid w:val="7908577F"/>
    <w:rsid w:val="790A76D6"/>
    <w:rsid w:val="790A77C9"/>
    <w:rsid w:val="79200D1B"/>
    <w:rsid w:val="79214144"/>
    <w:rsid w:val="796C3F60"/>
    <w:rsid w:val="796E7CD8"/>
    <w:rsid w:val="7973709D"/>
    <w:rsid w:val="79786860"/>
    <w:rsid w:val="79A22D49"/>
    <w:rsid w:val="79D20F2B"/>
    <w:rsid w:val="79D52367"/>
    <w:rsid w:val="79D73ACF"/>
    <w:rsid w:val="79E9735F"/>
    <w:rsid w:val="7A803E13"/>
    <w:rsid w:val="7A951295"/>
    <w:rsid w:val="7AD94113"/>
    <w:rsid w:val="7ADA6E5C"/>
    <w:rsid w:val="7ADC59C0"/>
    <w:rsid w:val="7AE75F94"/>
    <w:rsid w:val="7AE91D0C"/>
    <w:rsid w:val="7B136D89"/>
    <w:rsid w:val="7B2C18C4"/>
    <w:rsid w:val="7B4D4751"/>
    <w:rsid w:val="7B582EEB"/>
    <w:rsid w:val="7B776EB0"/>
    <w:rsid w:val="7B7A265C"/>
    <w:rsid w:val="7B9A4DB4"/>
    <w:rsid w:val="7BB3231A"/>
    <w:rsid w:val="7C037D98"/>
    <w:rsid w:val="7C136915"/>
    <w:rsid w:val="7C727ADF"/>
    <w:rsid w:val="7C7750F6"/>
    <w:rsid w:val="7C813895"/>
    <w:rsid w:val="7C8B11D7"/>
    <w:rsid w:val="7CD97B5E"/>
    <w:rsid w:val="7CDB5685"/>
    <w:rsid w:val="7D0B0319"/>
    <w:rsid w:val="7D0F532E"/>
    <w:rsid w:val="7D133070"/>
    <w:rsid w:val="7D511DEB"/>
    <w:rsid w:val="7D6E7A51"/>
    <w:rsid w:val="7D7E4745"/>
    <w:rsid w:val="7E010708"/>
    <w:rsid w:val="7E4360FD"/>
    <w:rsid w:val="7E6065D4"/>
    <w:rsid w:val="7E6E586D"/>
    <w:rsid w:val="7ED66A06"/>
    <w:rsid w:val="7F0D1EF0"/>
    <w:rsid w:val="7F201A75"/>
    <w:rsid w:val="7F2D7CEE"/>
    <w:rsid w:val="7F3472CE"/>
    <w:rsid w:val="7F352976"/>
    <w:rsid w:val="7F413799"/>
    <w:rsid w:val="7F4C286A"/>
    <w:rsid w:val="7F5C4AE6"/>
    <w:rsid w:val="7F870B16"/>
    <w:rsid w:val="7FAC3308"/>
    <w:rsid w:val="7FD35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qFormat="1"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4"/>
    <w:next w:val="5"/>
    <w:qFormat/>
    <w:uiPriority w:val="0"/>
    <w:pPr>
      <w:keepNext/>
      <w:keepLines/>
      <w:spacing w:before="260" w:after="260" w:line="415" w:lineRule="auto"/>
      <w:outlineLvl w:val="1"/>
    </w:pPr>
    <w:rPr>
      <w:rFonts w:eastAsia="黑体"/>
      <w:b/>
      <w:bCs/>
      <w:sz w:val="32"/>
      <w:szCs w:val="32"/>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4">
    <w:name w:val="toa heading"/>
    <w:basedOn w:val="1"/>
    <w:next w:val="1"/>
    <w:semiHidden/>
    <w:qFormat/>
    <w:uiPriority w:val="0"/>
    <w:pPr>
      <w:spacing w:before="120"/>
    </w:pPr>
    <w:rPr>
      <w:rFonts w:ascii="Arial" w:hAnsi="Arial" w:cs="Arial"/>
      <w:sz w:val="24"/>
    </w:rPr>
  </w:style>
  <w:style w:type="paragraph" w:styleId="5">
    <w:name w:val="Title"/>
    <w:basedOn w:val="1"/>
    <w:next w:val="1"/>
    <w:link w:val="57"/>
    <w:qFormat/>
    <w:uiPriority w:val="0"/>
    <w:pPr>
      <w:spacing w:before="240" w:after="60"/>
      <w:jc w:val="center"/>
      <w:outlineLvl w:val="0"/>
    </w:pPr>
    <w:rPr>
      <w:rFonts w:ascii="Arial" w:hAnsi="Arial" w:cs="Arial"/>
      <w:b/>
      <w:bCs/>
      <w:sz w:val="32"/>
      <w:szCs w:val="32"/>
    </w:rPr>
  </w:style>
  <w:style w:type="paragraph" w:styleId="6">
    <w:name w:val="List Number"/>
    <w:basedOn w:val="1"/>
    <w:qFormat/>
    <w:uiPriority w:val="0"/>
    <w:pPr>
      <w:widowControl/>
      <w:tabs>
        <w:tab w:val="left" w:pos="454"/>
        <w:tab w:val="left" w:pos="720"/>
        <w:tab w:val="left" w:pos="900"/>
      </w:tabs>
      <w:spacing w:after="156" w:afterLines="50"/>
      <w:ind w:left="454" w:hanging="284"/>
      <w:jc w:val="left"/>
    </w:pPr>
    <w:rPr>
      <w:kern w:val="0"/>
      <w:sz w:val="24"/>
      <w:szCs w:val="20"/>
    </w:rPr>
  </w:style>
  <w:style w:type="paragraph" w:styleId="7">
    <w:name w:val="Normal Indent"/>
    <w:basedOn w:val="1"/>
    <w:next w:val="1"/>
    <w:qFormat/>
    <w:uiPriority w:val="0"/>
    <w:pPr>
      <w:ind w:firstLine="420"/>
    </w:pPr>
    <w:rPr>
      <w:sz w:val="21"/>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List Bullet"/>
    <w:basedOn w:val="1"/>
    <w:next w:val="1"/>
    <w:semiHidden/>
    <w:unhideWhenUsed/>
    <w:qFormat/>
    <w:uiPriority w:val="99"/>
    <w:pPr>
      <w:numPr>
        <w:ilvl w:val="0"/>
        <w:numId w:val="1"/>
      </w:numPr>
    </w:pPr>
  </w:style>
  <w:style w:type="paragraph" w:styleId="10">
    <w:name w:val="annotation text"/>
    <w:basedOn w:val="1"/>
    <w:link w:val="50"/>
    <w:unhideWhenUsed/>
    <w:qFormat/>
    <w:uiPriority w:val="99"/>
    <w:pPr>
      <w:jc w:val="left"/>
    </w:pPr>
  </w:style>
  <w:style w:type="paragraph" w:styleId="11">
    <w:name w:val="Body Text 3"/>
    <w:basedOn w:val="1"/>
    <w:qFormat/>
    <w:uiPriority w:val="0"/>
    <w:pPr>
      <w:snapToGrid w:val="0"/>
      <w:spacing w:before="50" w:after="50"/>
    </w:pPr>
    <w:rPr>
      <w:rFonts w:hAnsi="宋体" w:eastAsia="仿宋_GB2312"/>
      <w:b/>
      <w:bCs/>
      <w:sz w:val="24"/>
      <w:szCs w:val="20"/>
    </w:rPr>
  </w:style>
  <w:style w:type="paragraph" w:styleId="12">
    <w:name w:val="Body Text"/>
    <w:basedOn w:val="1"/>
    <w:next w:val="13"/>
    <w:link w:val="49"/>
    <w:qFormat/>
    <w:uiPriority w:val="99"/>
    <w:pPr>
      <w:spacing w:after="120"/>
    </w:pPr>
    <w:rPr>
      <w:sz w:val="21"/>
    </w:rPr>
  </w:style>
  <w:style w:type="paragraph" w:styleId="13">
    <w:name w:val="Body Text First Indent"/>
    <w:basedOn w:val="12"/>
    <w:next w:val="14"/>
    <w:unhideWhenUsed/>
    <w:qFormat/>
    <w:uiPriority w:val="0"/>
    <w:pPr>
      <w:ind w:firstLine="420" w:firstLineChars="100"/>
    </w:pPr>
    <w:rPr>
      <w:rFonts w:eastAsia="仿宋_GB2312"/>
    </w:rPr>
  </w:style>
  <w:style w:type="paragraph" w:styleId="14">
    <w:name w:val="toc 6"/>
    <w:basedOn w:val="1"/>
    <w:next w:val="1"/>
    <w:qFormat/>
    <w:uiPriority w:val="39"/>
    <w:pPr>
      <w:widowControl/>
      <w:ind w:left="1000"/>
      <w:jc w:val="left"/>
    </w:pPr>
    <w:rPr>
      <w:kern w:val="0"/>
      <w:sz w:val="18"/>
      <w:szCs w:val="20"/>
    </w:rPr>
  </w:style>
  <w:style w:type="paragraph" w:styleId="15">
    <w:name w:val="Body Text Indent"/>
    <w:basedOn w:val="1"/>
    <w:next w:val="1"/>
    <w:link w:val="51"/>
    <w:qFormat/>
    <w:uiPriority w:val="0"/>
    <w:pPr>
      <w:spacing w:line="200" w:lineRule="atLeast"/>
      <w:ind w:firstLine="301"/>
    </w:pPr>
    <w:rPr>
      <w:sz w:val="21"/>
    </w:rPr>
  </w:style>
  <w:style w:type="paragraph" w:styleId="16">
    <w:name w:val="List Number 3"/>
    <w:basedOn w:val="1"/>
    <w:qFormat/>
    <w:uiPriority w:val="0"/>
    <w:pPr>
      <w:numPr>
        <w:ilvl w:val="0"/>
        <w:numId w:val="2"/>
      </w:numPr>
      <w:tabs>
        <w:tab w:val="left" w:pos="1200"/>
      </w:tabs>
      <w:ind w:left="720"/>
    </w:pPr>
    <w:rPr>
      <w:sz w:val="21"/>
    </w:rPr>
  </w:style>
  <w:style w:type="paragraph" w:styleId="17">
    <w:name w:val="List 2"/>
    <w:basedOn w:val="1"/>
    <w:qFormat/>
    <w:uiPriority w:val="0"/>
    <w:pPr>
      <w:ind w:left="200" w:leftChars="200" w:hanging="200" w:hangingChars="200"/>
    </w:pPr>
  </w:style>
  <w:style w:type="paragraph" w:styleId="18">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19">
    <w:name w:val="List Bullet 2"/>
    <w:basedOn w:val="1"/>
    <w:next w:val="9"/>
    <w:semiHidden/>
    <w:unhideWhenUsed/>
    <w:qFormat/>
    <w:uiPriority w:val="99"/>
    <w:pPr>
      <w:numPr>
        <w:ilvl w:val="0"/>
        <w:numId w:val="3"/>
      </w:numPr>
    </w:pPr>
  </w:style>
  <w:style w:type="paragraph" w:styleId="20">
    <w:name w:val="Plain Text"/>
    <w:basedOn w:val="1"/>
    <w:link w:val="52"/>
    <w:qFormat/>
    <w:uiPriority w:val="0"/>
    <w:pPr>
      <w:spacing w:before="156" w:beforeLines="50" w:after="156" w:afterLines="50" w:line="400" w:lineRule="atLeast"/>
    </w:pPr>
    <w:rPr>
      <w:rFonts w:hint="eastAsia" w:ascii="宋体" w:hAnsi="Courier New"/>
      <w:b/>
      <w:sz w:val="24"/>
    </w:rPr>
  </w:style>
  <w:style w:type="paragraph" w:styleId="21">
    <w:name w:val="Date"/>
    <w:basedOn w:val="1"/>
    <w:next w:val="1"/>
    <w:qFormat/>
    <w:uiPriority w:val="0"/>
    <w:pPr>
      <w:ind w:left="2500" w:leftChars="2500"/>
    </w:pPr>
    <w:rPr>
      <w:rFonts w:eastAsia="楷体_GB2312"/>
      <w:sz w:val="32"/>
      <w:szCs w:val="20"/>
    </w:rPr>
  </w:style>
  <w:style w:type="paragraph" w:styleId="22">
    <w:name w:val="Body Text Indent 2"/>
    <w:basedOn w:val="1"/>
    <w:qFormat/>
    <w:uiPriority w:val="0"/>
    <w:pPr>
      <w:snapToGrid w:val="0"/>
      <w:ind w:firstLine="542" w:firstLineChars="225"/>
    </w:pPr>
    <w:rPr>
      <w:rFonts w:ascii="仿宋_GB2312" w:hAnsi="宋体" w:cs="Arial"/>
      <w:b/>
      <w:bCs/>
      <w:color w:val="000000"/>
      <w:sz w:val="24"/>
    </w:rPr>
  </w:style>
  <w:style w:type="paragraph" w:styleId="23">
    <w:name w:val="Balloon Text"/>
    <w:basedOn w:val="1"/>
    <w:link w:val="53"/>
    <w:qFormat/>
    <w:uiPriority w:val="0"/>
    <w:rPr>
      <w:sz w:val="18"/>
      <w:szCs w:val="18"/>
    </w:rPr>
  </w:style>
  <w:style w:type="paragraph" w:styleId="24">
    <w:name w:val="footer"/>
    <w:basedOn w:val="1"/>
    <w:link w:val="54"/>
    <w:qFormat/>
    <w:uiPriority w:val="99"/>
    <w:pPr>
      <w:tabs>
        <w:tab w:val="center" w:pos="4153"/>
        <w:tab w:val="right" w:pos="8306"/>
      </w:tabs>
      <w:snapToGrid w:val="0"/>
      <w:jc w:val="left"/>
    </w:pPr>
    <w:rPr>
      <w:sz w:val="18"/>
      <w:szCs w:val="18"/>
    </w:rPr>
  </w:style>
  <w:style w:type="paragraph" w:styleId="25">
    <w:name w:val="envelope return"/>
    <w:basedOn w:val="1"/>
    <w:qFormat/>
    <w:uiPriority w:val="0"/>
    <w:pPr>
      <w:snapToGrid w:val="0"/>
    </w:pPr>
    <w:rPr>
      <w:rFonts w:ascii="Arial" w:hAnsi="Arial"/>
    </w:rPr>
  </w:style>
  <w:style w:type="paragraph" w:styleId="26">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0"/>
    <w:rPr>
      <w:sz w:val="21"/>
    </w:rPr>
  </w:style>
  <w:style w:type="paragraph" w:styleId="28">
    <w:name w:val="Subtitle"/>
    <w:basedOn w:val="1"/>
    <w:next w:val="1"/>
    <w:qFormat/>
    <w:uiPriority w:val="11"/>
    <w:pPr>
      <w:spacing w:after="60"/>
      <w:jc w:val="center"/>
      <w:outlineLvl w:val="1"/>
    </w:pPr>
    <w:rPr>
      <w:rFonts w:ascii="Cambria" w:hAnsi="Cambria"/>
    </w:rPr>
  </w:style>
  <w:style w:type="paragraph" w:styleId="29">
    <w:name w:val="List"/>
    <w:basedOn w:val="1"/>
    <w:qFormat/>
    <w:uiPriority w:val="0"/>
    <w:pPr>
      <w:ind w:left="200" w:hanging="200" w:hangingChars="200"/>
    </w:pPr>
  </w:style>
  <w:style w:type="paragraph" w:styleId="30">
    <w:name w:val="footnote text"/>
    <w:basedOn w:val="1"/>
    <w:qFormat/>
    <w:uiPriority w:val="0"/>
    <w:pPr>
      <w:snapToGrid w:val="0"/>
      <w:jc w:val="left"/>
    </w:pPr>
    <w:rPr>
      <w:rFonts w:eastAsia="仿宋_GB2312"/>
      <w:sz w:val="18"/>
      <w:szCs w:val="20"/>
    </w:rPr>
  </w:style>
  <w:style w:type="paragraph" w:styleId="31">
    <w:name w:val="Body Text Indent 3"/>
    <w:basedOn w:val="1"/>
    <w:qFormat/>
    <w:uiPriority w:val="0"/>
    <w:pPr>
      <w:spacing w:after="120"/>
      <w:ind w:left="420" w:leftChars="200"/>
    </w:pPr>
    <w:rPr>
      <w:sz w:val="16"/>
      <w:szCs w:val="16"/>
    </w:rPr>
  </w:style>
  <w:style w:type="paragraph" w:styleId="32">
    <w:name w:val="Body Text 2"/>
    <w:basedOn w:val="1"/>
    <w:qFormat/>
    <w:uiPriority w:val="0"/>
    <w:pPr>
      <w:widowControl/>
      <w:snapToGrid w:val="0"/>
      <w:spacing w:before="50" w:after="156" w:afterLines="50" w:line="400" w:lineRule="atLeast"/>
      <w:jc w:val="left"/>
    </w:pPr>
    <w:rPr>
      <w:rFonts w:hint="eastAsia" w:ascii="宋体" w:hAnsi="宋体"/>
      <w:color w:val="000000"/>
      <w:sz w:val="24"/>
    </w:r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4">
    <w:name w:val="Normal (Web)"/>
    <w:basedOn w:val="1"/>
    <w:link w:val="56"/>
    <w:qFormat/>
    <w:uiPriority w:val="0"/>
    <w:pPr>
      <w:widowControl/>
      <w:spacing w:before="100" w:beforeAutospacing="1" w:after="100" w:afterAutospacing="1"/>
      <w:jc w:val="left"/>
    </w:pPr>
    <w:rPr>
      <w:rFonts w:hint="eastAsia" w:ascii="宋体" w:hAnsi="宋体"/>
      <w:kern w:val="0"/>
      <w:sz w:val="24"/>
    </w:rPr>
  </w:style>
  <w:style w:type="paragraph" w:styleId="35">
    <w:name w:val="annotation subject"/>
    <w:basedOn w:val="10"/>
    <w:next w:val="10"/>
    <w:link w:val="58"/>
    <w:unhideWhenUsed/>
    <w:qFormat/>
    <w:uiPriority w:val="99"/>
    <w:rPr>
      <w:b/>
      <w:bCs/>
    </w:rPr>
  </w:style>
  <w:style w:type="paragraph" w:styleId="36">
    <w:name w:val="Body Text First Indent 2"/>
    <w:basedOn w:val="15"/>
    <w:next w:val="1"/>
    <w:qFormat/>
    <w:uiPriority w:val="0"/>
    <w:pPr>
      <w:spacing w:after="120" w:line="240" w:lineRule="auto"/>
      <w:ind w:left="420" w:leftChars="200" w:firstLine="420" w:firstLineChars="200"/>
    </w:pPr>
    <w:rPr>
      <w:rFonts w:ascii="等线" w:hAnsi="等线" w:eastAsia="等线"/>
    </w:rPr>
  </w:style>
  <w:style w:type="table" w:styleId="38">
    <w:name w:val="Table Grid"/>
    <w:basedOn w:val="3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0">
    <w:name w:val="Strong"/>
    <w:qFormat/>
    <w:uiPriority w:val="22"/>
    <w:rPr>
      <w:b/>
      <w:color w:val="000000"/>
    </w:rPr>
  </w:style>
  <w:style w:type="character" w:styleId="41">
    <w:name w:val="page number"/>
    <w:qFormat/>
    <w:uiPriority w:val="0"/>
  </w:style>
  <w:style w:type="character" w:styleId="42">
    <w:name w:val="FollowedHyperlink"/>
    <w:unhideWhenUsed/>
    <w:qFormat/>
    <w:uiPriority w:val="99"/>
    <w:rPr>
      <w:color w:val="800080"/>
      <w:u w:val="single"/>
    </w:rPr>
  </w:style>
  <w:style w:type="character" w:styleId="43">
    <w:name w:val="Hyperlink"/>
    <w:qFormat/>
    <w:uiPriority w:val="99"/>
    <w:rPr>
      <w:color w:val="0000FF"/>
      <w:u w:val="single"/>
    </w:rPr>
  </w:style>
  <w:style w:type="character" w:styleId="44">
    <w:name w:val="annotation reference"/>
    <w:unhideWhenUsed/>
    <w:qFormat/>
    <w:uiPriority w:val="99"/>
    <w:rPr>
      <w:sz w:val="21"/>
      <w:szCs w:val="21"/>
    </w:rPr>
  </w:style>
  <w:style w:type="character" w:styleId="45">
    <w:name w:val="footnote reference"/>
    <w:qFormat/>
    <w:uiPriority w:val="0"/>
    <w:rPr>
      <w:vertAlign w:val="superscript"/>
    </w:rPr>
  </w:style>
  <w:style w:type="paragraph" w:customStyle="1" w:styleId="46">
    <w:name w:val="BodyText1I"/>
    <w:basedOn w:val="47"/>
    <w:next w:val="48"/>
    <w:qFormat/>
    <w:uiPriority w:val="0"/>
    <w:pPr>
      <w:spacing w:after="120"/>
      <w:ind w:firstLine="100" w:firstLineChars="100"/>
      <w:jc w:val="both"/>
      <w:textAlignment w:val="baseline"/>
    </w:pPr>
  </w:style>
  <w:style w:type="paragraph" w:customStyle="1" w:styleId="47">
    <w:name w:val="BodyText"/>
    <w:basedOn w:val="1"/>
    <w:next w:val="46"/>
    <w:qFormat/>
    <w:uiPriority w:val="0"/>
    <w:rPr>
      <w:rFonts w:ascii="Times New Roman" w:hAnsi="Times New Roman" w:eastAsia="宋体"/>
      <w:kern w:val="2"/>
      <w:sz w:val="21"/>
      <w:szCs w:val="24"/>
      <w:lang w:val="en-US" w:eastAsia="zh-CN" w:bidi="ar-SA"/>
    </w:rPr>
  </w:style>
  <w:style w:type="paragraph" w:customStyle="1" w:styleId="48">
    <w:name w:val="TOC6"/>
    <w:basedOn w:val="1"/>
    <w:next w:val="1"/>
    <w:qFormat/>
    <w:uiPriority w:val="0"/>
    <w:pPr>
      <w:ind w:left="2100" w:leftChars="1000"/>
      <w:jc w:val="both"/>
      <w:textAlignment w:val="baseline"/>
    </w:pPr>
  </w:style>
  <w:style w:type="character" w:customStyle="1" w:styleId="49">
    <w:name w:val="正文文本 Char"/>
    <w:link w:val="12"/>
    <w:qFormat/>
    <w:uiPriority w:val="99"/>
    <w:rPr>
      <w:kern w:val="2"/>
      <w:sz w:val="21"/>
      <w:szCs w:val="24"/>
    </w:rPr>
  </w:style>
  <w:style w:type="character" w:customStyle="1" w:styleId="50">
    <w:name w:val="批注文字 Char"/>
    <w:link w:val="10"/>
    <w:semiHidden/>
    <w:qFormat/>
    <w:uiPriority w:val="99"/>
    <w:rPr>
      <w:kern w:val="2"/>
      <w:sz w:val="28"/>
      <w:szCs w:val="24"/>
    </w:rPr>
  </w:style>
  <w:style w:type="character" w:customStyle="1" w:styleId="51">
    <w:name w:val="正文文本缩进 Char"/>
    <w:link w:val="15"/>
    <w:qFormat/>
    <w:uiPriority w:val="0"/>
    <w:rPr>
      <w:kern w:val="2"/>
      <w:sz w:val="21"/>
      <w:szCs w:val="24"/>
    </w:rPr>
  </w:style>
  <w:style w:type="character" w:customStyle="1" w:styleId="52">
    <w:name w:val="纯文本 Char2"/>
    <w:link w:val="20"/>
    <w:qFormat/>
    <w:uiPriority w:val="0"/>
    <w:rPr>
      <w:rFonts w:hint="eastAsia" w:ascii="宋体" w:hAnsi="Courier New" w:eastAsia="宋体" w:cs="宋体"/>
      <w:b/>
      <w:kern w:val="2"/>
      <w:sz w:val="24"/>
      <w:szCs w:val="24"/>
    </w:rPr>
  </w:style>
  <w:style w:type="character" w:customStyle="1" w:styleId="53">
    <w:name w:val="批注框文本 Char"/>
    <w:link w:val="23"/>
    <w:qFormat/>
    <w:uiPriority w:val="0"/>
    <w:rPr>
      <w:kern w:val="2"/>
      <w:sz w:val="18"/>
      <w:szCs w:val="18"/>
    </w:rPr>
  </w:style>
  <w:style w:type="character" w:customStyle="1" w:styleId="54">
    <w:name w:val="页脚 Char"/>
    <w:link w:val="24"/>
    <w:qFormat/>
    <w:uiPriority w:val="99"/>
    <w:rPr>
      <w:kern w:val="2"/>
      <w:sz w:val="18"/>
      <w:szCs w:val="18"/>
    </w:rPr>
  </w:style>
  <w:style w:type="character" w:customStyle="1" w:styleId="55">
    <w:name w:val="页眉 Char"/>
    <w:link w:val="26"/>
    <w:qFormat/>
    <w:uiPriority w:val="0"/>
    <w:rPr>
      <w:kern w:val="2"/>
      <w:sz w:val="18"/>
      <w:szCs w:val="18"/>
    </w:rPr>
  </w:style>
  <w:style w:type="character" w:customStyle="1" w:styleId="56">
    <w:name w:val="普通(网站) Char"/>
    <w:link w:val="34"/>
    <w:qFormat/>
    <w:uiPriority w:val="0"/>
    <w:rPr>
      <w:rFonts w:hint="eastAsia" w:ascii="宋体" w:hAnsi="宋体" w:eastAsia="宋体" w:cs="宋体"/>
      <w:sz w:val="24"/>
      <w:szCs w:val="24"/>
    </w:rPr>
  </w:style>
  <w:style w:type="character" w:customStyle="1" w:styleId="57">
    <w:name w:val="标题 Char"/>
    <w:link w:val="5"/>
    <w:qFormat/>
    <w:uiPriority w:val="0"/>
    <w:rPr>
      <w:rFonts w:ascii="Cambria" w:hAnsi="Cambria" w:eastAsia="Cambria" w:cs="Times New Roman"/>
      <w:b/>
      <w:kern w:val="2"/>
      <w:sz w:val="32"/>
      <w:szCs w:val="32"/>
    </w:rPr>
  </w:style>
  <w:style w:type="character" w:customStyle="1" w:styleId="58">
    <w:name w:val="批注主题 Char"/>
    <w:link w:val="35"/>
    <w:semiHidden/>
    <w:qFormat/>
    <w:uiPriority w:val="99"/>
    <w:rPr>
      <w:b/>
      <w:bCs/>
      <w:kern w:val="2"/>
      <w:sz w:val="28"/>
      <w:szCs w:val="24"/>
    </w:rPr>
  </w:style>
  <w:style w:type="character" w:customStyle="1" w:styleId="59">
    <w:name w:val="font01"/>
    <w:basedOn w:val="39"/>
    <w:qFormat/>
    <w:uiPriority w:val="0"/>
    <w:rPr>
      <w:rFonts w:hint="eastAsia" w:ascii="宋体" w:hAnsi="宋体" w:eastAsia="宋体" w:cs="宋体"/>
      <w:b/>
      <w:color w:val="FF0000"/>
      <w:sz w:val="18"/>
      <w:szCs w:val="18"/>
      <w:u w:val="none"/>
    </w:rPr>
  </w:style>
  <w:style w:type="character" w:customStyle="1" w:styleId="60">
    <w:name w:val="正文文本缩进 Char1"/>
    <w:qFormat/>
    <w:uiPriority w:val="0"/>
    <w:rPr>
      <w:kern w:val="2"/>
      <w:sz w:val="21"/>
      <w:szCs w:val="24"/>
    </w:rPr>
  </w:style>
  <w:style w:type="character" w:customStyle="1" w:styleId="61">
    <w:name w:val="无"/>
    <w:qFormat/>
    <w:uiPriority w:val="0"/>
  </w:style>
  <w:style w:type="character" w:customStyle="1" w:styleId="62">
    <w:name w:val="font31"/>
    <w:qFormat/>
    <w:uiPriority w:val="0"/>
    <w:rPr>
      <w:rFonts w:hint="eastAsia" w:ascii="宋体" w:hAnsi="宋体" w:eastAsia="宋体" w:cs="宋体"/>
      <w:color w:val="FF0000"/>
      <w:sz w:val="18"/>
      <w:szCs w:val="18"/>
      <w:u w:val="none"/>
    </w:rPr>
  </w:style>
  <w:style w:type="character" w:customStyle="1" w:styleId="63">
    <w:name w:val="纯文本 Char"/>
    <w:qFormat/>
    <w:uiPriority w:val="0"/>
    <w:rPr>
      <w:rFonts w:hint="eastAsia" w:ascii="宋体" w:hAnsi="Courier New" w:eastAsia="宋体" w:cs="宋体"/>
      <w:sz w:val="24"/>
      <w:szCs w:val="24"/>
    </w:rPr>
  </w:style>
  <w:style w:type="character" w:customStyle="1" w:styleId="64">
    <w:name w:val="font51"/>
    <w:qFormat/>
    <w:uiPriority w:val="0"/>
    <w:rPr>
      <w:rFonts w:hint="eastAsia" w:ascii="宋体" w:hAnsi="宋体" w:eastAsia="宋体" w:cs="宋体"/>
      <w:color w:val="000000"/>
      <w:sz w:val="20"/>
      <w:szCs w:val="20"/>
      <w:u w:val="none"/>
    </w:rPr>
  </w:style>
  <w:style w:type="character" w:customStyle="1" w:styleId="65">
    <w:name w:val="标题 字符"/>
    <w:qFormat/>
    <w:uiPriority w:val="0"/>
    <w:rPr>
      <w:rFonts w:ascii="Arial" w:hAnsi="Arial" w:eastAsia="宋体" w:cs="Arial"/>
      <w:b/>
      <w:bCs/>
      <w:kern w:val="2"/>
      <w:sz w:val="32"/>
      <w:szCs w:val="32"/>
      <w:lang w:val="en-US" w:eastAsia="zh-CN" w:bidi="ar-SA"/>
    </w:rPr>
  </w:style>
  <w:style w:type="character" w:customStyle="1" w:styleId="66">
    <w:name w:val="纯文本 Char1"/>
    <w:qFormat/>
    <w:uiPriority w:val="0"/>
    <w:rPr>
      <w:rFonts w:ascii="宋体" w:hAnsi="Courier New" w:eastAsia="宋体"/>
      <w:kern w:val="2"/>
      <w:sz w:val="24"/>
      <w:szCs w:val="24"/>
      <w:lang w:val="en-US" w:eastAsia="zh-CN" w:bidi="ar-SA"/>
    </w:rPr>
  </w:style>
  <w:style w:type="character" w:customStyle="1" w:styleId="67">
    <w:name w:val="标题 1 Char Char"/>
    <w:qFormat/>
    <w:uiPriority w:val="0"/>
    <w:rPr>
      <w:rFonts w:eastAsia="宋体"/>
      <w:b/>
      <w:spacing w:val="-2"/>
      <w:sz w:val="24"/>
      <w:lang w:val="en-US" w:eastAsia="zh-CN" w:bidi="ar-SA"/>
    </w:rPr>
  </w:style>
  <w:style w:type="character" w:customStyle="1" w:styleId="68">
    <w:name w:val="font61"/>
    <w:qFormat/>
    <w:uiPriority w:val="0"/>
    <w:rPr>
      <w:rFonts w:hint="eastAsia" w:ascii="宋体" w:hAnsi="宋体" w:eastAsia="宋体" w:cs="宋体"/>
      <w:b/>
      <w:color w:val="FF0000"/>
      <w:sz w:val="20"/>
      <w:szCs w:val="20"/>
      <w:u w:val="none"/>
    </w:rPr>
  </w:style>
  <w:style w:type="character" w:customStyle="1" w:styleId="69">
    <w:name w:val="纯文本 Char11"/>
    <w:qFormat/>
    <w:uiPriority w:val="0"/>
    <w:rPr>
      <w:rFonts w:hint="eastAsia" w:ascii="宋体" w:hAnsi="Courier New" w:eastAsia="宋体" w:cs="Courier New"/>
      <w:kern w:val="2"/>
      <w:sz w:val="21"/>
      <w:szCs w:val="21"/>
    </w:rPr>
  </w:style>
  <w:style w:type="character" w:customStyle="1" w:styleId="70">
    <w:name w:val="font11"/>
    <w:basedOn w:val="39"/>
    <w:qFormat/>
    <w:uiPriority w:val="0"/>
    <w:rPr>
      <w:rFonts w:hint="eastAsia" w:ascii="宋体" w:hAnsi="宋体" w:eastAsia="宋体" w:cs="宋体"/>
      <w:color w:val="000000"/>
      <w:sz w:val="20"/>
      <w:szCs w:val="20"/>
      <w:u w:val="none"/>
    </w:rPr>
  </w:style>
  <w:style w:type="character" w:customStyle="1" w:styleId="71">
    <w:name w:val="正文文本 字符"/>
    <w:qFormat/>
    <w:uiPriority w:val="99"/>
    <w:rPr>
      <w:kern w:val="2"/>
      <w:sz w:val="21"/>
      <w:szCs w:val="24"/>
    </w:rPr>
  </w:style>
  <w:style w:type="character" w:customStyle="1" w:styleId="72">
    <w:name w:val="font41"/>
    <w:qFormat/>
    <w:uiPriority w:val="0"/>
    <w:rPr>
      <w:rFonts w:hint="eastAsia" w:ascii="宋体" w:hAnsi="宋体" w:eastAsia="宋体" w:cs="宋体"/>
      <w:color w:val="000000"/>
      <w:sz w:val="18"/>
      <w:szCs w:val="18"/>
      <w:u w:val="none"/>
    </w:rPr>
  </w:style>
  <w:style w:type="character" w:customStyle="1" w:styleId="73">
    <w:name w:val="正文缩进 Char"/>
    <w:qFormat/>
    <w:uiPriority w:val="0"/>
  </w:style>
  <w:style w:type="character" w:customStyle="1" w:styleId="74">
    <w:name w:val="纯文本 Char3"/>
    <w:qFormat/>
    <w:uiPriority w:val="0"/>
    <w:rPr>
      <w:rFonts w:ascii="宋体" w:hAnsi="Courier New" w:eastAsia="宋体"/>
      <w:kern w:val="2"/>
      <w:sz w:val="24"/>
      <w:szCs w:val="24"/>
      <w:lang w:val="en-US" w:eastAsia="zh-CN" w:bidi="ar-SA"/>
    </w:rPr>
  </w:style>
  <w:style w:type="paragraph" w:customStyle="1" w:styleId="7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6">
    <w:name w:val="List Paragraph"/>
    <w:basedOn w:val="1"/>
    <w:qFormat/>
    <w:uiPriority w:val="0"/>
    <w:pPr>
      <w:ind w:firstLine="420" w:firstLineChars="200"/>
    </w:pPr>
    <w:rPr>
      <w:rFonts w:ascii="Calibri" w:hAnsi="Calibri"/>
      <w:szCs w:val="22"/>
    </w:rPr>
  </w:style>
  <w:style w:type="paragraph" w:customStyle="1" w:styleId="77">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Char Char Char1"/>
    <w:basedOn w:val="1"/>
    <w:qFormat/>
    <w:uiPriority w:val="0"/>
    <w:rPr>
      <w:sz w:val="21"/>
    </w:rPr>
  </w:style>
  <w:style w:type="paragraph" w:customStyle="1" w:styleId="79">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80">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1">
    <w:name w:val="纯文本1"/>
    <w:basedOn w:val="82"/>
    <w:qFormat/>
    <w:uiPriority w:val="0"/>
    <w:pPr>
      <w:widowControl/>
      <w:jc w:val="left"/>
    </w:pPr>
    <w:rPr>
      <w:rFonts w:ascii="宋体" w:hAnsi="Courier New"/>
    </w:rPr>
  </w:style>
  <w:style w:type="paragraph" w:customStyle="1" w:styleId="82">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3">
    <w:name w:val="表格文字"/>
    <w:basedOn w:val="1"/>
    <w:next w:val="12"/>
    <w:qFormat/>
    <w:uiPriority w:val="0"/>
    <w:pPr>
      <w:adjustRightInd w:val="0"/>
      <w:spacing w:line="420" w:lineRule="atLeast"/>
      <w:jc w:val="left"/>
      <w:textAlignment w:val="baseline"/>
    </w:pPr>
    <w:rPr>
      <w:kern w:val="0"/>
    </w:rPr>
  </w:style>
  <w:style w:type="paragraph" w:customStyle="1" w:styleId="8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5">
    <w:name w:val="标准中文版式_正文"/>
    <w:basedOn w:val="1"/>
    <w:qFormat/>
    <w:uiPriority w:val="0"/>
    <w:pPr>
      <w:spacing w:before="30" w:line="360" w:lineRule="auto"/>
      <w:ind w:firstLine="200" w:firstLineChars="200"/>
    </w:pPr>
    <w:rPr>
      <w:rFonts w:ascii="Arial" w:hAnsi="Arial"/>
      <w:sz w:val="24"/>
    </w:rPr>
  </w:style>
  <w:style w:type="paragraph" w:customStyle="1" w:styleId="86">
    <w:name w:val="正文（首行缩进2字符）"/>
    <w:basedOn w:val="1"/>
    <w:qFormat/>
    <w:uiPriority w:val="0"/>
    <w:pPr>
      <w:spacing w:line="360" w:lineRule="auto"/>
      <w:ind w:firstLine="420" w:firstLineChars="200"/>
    </w:pPr>
    <w:rPr>
      <w:szCs w:val="21"/>
    </w:rPr>
  </w:style>
  <w:style w:type="paragraph" w:customStyle="1" w:styleId="87">
    <w:name w:val="_Style 1"/>
    <w:qFormat/>
    <w:uiPriority w:val="99"/>
    <w:rPr>
      <w:rFonts w:ascii="Calibri" w:hAnsi="Calibri" w:eastAsia="宋体" w:cs="Times New Roman"/>
      <w:kern w:val="2"/>
      <w:sz w:val="28"/>
      <w:szCs w:val="22"/>
      <w:lang w:val="en-US" w:eastAsia="zh-CN" w:bidi="ar-SA"/>
    </w:rPr>
  </w:style>
  <w:style w:type="paragraph" w:customStyle="1" w:styleId="88">
    <w:name w:val="Char1"/>
    <w:basedOn w:val="1"/>
    <w:qFormat/>
    <w:uiPriority w:val="0"/>
    <w:rPr>
      <w:rFonts w:ascii="Tahoma" w:hAnsi="Tahoma"/>
      <w:sz w:val="24"/>
      <w:szCs w:val="20"/>
    </w:rPr>
  </w:style>
  <w:style w:type="paragraph" w:customStyle="1" w:styleId="89">
    <w:name w:val="Char"/>
    <w:basedOn w:val="1"/>
    <w:qFormat/>
    <w:uiPriority w:val="0"/>
    <w:rPr>
      <w:sz w:val="21"/>
    </w:rPr>
  </w:style>
  <w:style w:type="paragraph" w:customStyle="1" w:styleId="9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1">
    <w:name w:val="默认"/>
    <w:qFormat/>
    <w:uiPriority w:val="0"/>
    <w:rPr>
      <w:rFonts w:hint="eastAsia" w:ascii="Arial Unicode MS" w:hAnsi="Arial Unicode MS" w:eastAsia="Helvetica" w:cs="Arial Unicode MS"/>
      <w:color w:val="000000"/>
      <w:sz w:val="22"/>
      <w:szCs w:val="22"/>
      <w:lang w:val="zh-CN" w:eastAsia="zh-CN" w:bidi="ar-SA"/>
    </w:rPr>
  </w:style>
  <w:style w:type="paragraph" w:customStyle="1" w:styleId="92">
    <w:name w:val="_Style 10"/>
    <w:basedOn w:val="1"/>
    <w:qFormat/>
    <w:uiPriority w:val="0"/>
    <w:rPr>
      <w:rFonts w:ascii="Tahoma" w:hAnsi="Tahoma"/>
      <w:sz w:val="24"/>
      <w:szCs w:val="20"/>
    </w:rPr>
  </w:style>
  <w:style w:type="paragraph" w:customStyle="1" w:styleId="9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94">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95">
    <w:name w:val="正文_1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96">
    <w:name w:val="Char11"/>
    <w:basedOn w:val="1"/>
    <w:qFormat/>
    <w:uiPriority w:val="0"/>
    <w:pPr>
      <w:jc w:val="center"/>
    </w:pPr>
    <w:rPr>
      <w:rFonts w:ascii="仿宋_GB2312" w:eastAsia="仿宋_GB2312"/>
      <w:b/>
      <w:kern w:val="0"/>
      <w:sz w:val="32"/>
      <w:szCs w:val="32"/>
      <w:lang w:val="en-GB"/>
    </w:rPr>
  </w:style>
  <w:style w:type="paragraph" w:customStyle="1" w:styleId="97">
    <w:name w:val="Char2"/>
    <w:basedOn w:val="1"/>
    <w:next w:val="1"/>
    <w:qFormat/>
    <w:uiPriority w:val="0"/>
    <w:pPr>
      <w:spacing w:before="120" w:line="360" w:lineRule="auto"/>
      <w:ind w:firstLine="425"/>
    </w:pPr>
    <w:rPr>
      <w:sz w:val="24"/>
    </w:rPr>
  </w:style>
  <w:style w:type="paragraph" w:customStyle="1" w:styleId="98">
    <w:name w:val="Char3"/>
    <w:basedOn w:val="1"/>
    <w:qFormat/>
    <w:uiPriority w:val="0"/>
    <w:rPr>
      <w:sz w:val="24"/>
    </w:rPr>
  </w:style>
  <w:style w:type="paragraph" w:customStyle="1" w:styleId="99">
    <w:name w:val="默认段落字体 Para Char Char Char Char Char Char Char Char Char1 Char Char Char Char"/>
    <w:basedOn w:val="1"/>
    <w:qFormat/>
    <w:uiPriority w:val="0"/>
    <w:rPr>
      <w:rFonts w:ascii="Tahoma" w:hAnsi="Tahoma"/>
      <w:sz w:val="24"/>
      <w:szCs w:val="20"/>
    </w:rPr>
  </w:style>
  <w:style w:type="paragraph" w:customStyle="1" w:styleId="100">
    <w:name w:val="无间隔1"/>
    <w:basedOn w:val="1"/>
    <w:qFormat/>
    <w:uiPriority w:val="0"/>
    <w:pPr>
      <w:widowControl/>
      <w:adjustRightInd w:val="0"/>
      <w:snapToGrid w:val="0"/>
      <w:jc w:val="left"/>
    </w:pPr>
    <w:rPr>
      <w:rFonts w:ascii="Tahoma" w:hAnsi="Tahoma" w:eastAsia="微软雅黑"/>
      <w:kern w:val="0"/>
      <w:sz w:val="22"/>
      <w:szCs w:val="22"/>
    </w:rPr>
  </w:style>
  <w:style w:type="paragraph" w:customStyle="1" w:styleId="101">
    <w:name w:val="WPSOffice手动目录 1"/>
    <w:qFormat/>
    <w:uiPriority w:val="0"/>
    <w:rPr>
      <w:rFonts w:ascii="Times New Roman" w:hAnsi="Times New Roman" w:eastAsia="宋体" w:cs="Times New Roman"/>
      <w:lang w:val="en-US" w:eastAsia="zh-CN" w:bidi="ar-SA"/>
    </w:rPr>
  </w:style>
  <w:style w:type="paragraph" w:customStyle="1" w:styleId="10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3">
    <w:name w:val="正文段"/>
    <w:basedOn w:val="1"/>
    <w:qFormat/>
    <w:uiPriority w:val="0"/>
    <w:pPr>
      <w:widowControl/>
      <w:snapToGrid w:val="0"/>
      <w:spacing w:after="156" w:afterLines="50"/>
      <w:ind w:firstLine="200" w:firstLineChars="200"/>
    </w:pPr>
    <w:rPr>
      <w:kern w:val="0"/>
      <w:sz w:val="24"/>
      <w:szCs w:val="20"/>
    </w:rPr>
  </w:style>
  <w:style w:type="paragraph" w:customStyle="1" w:styleId="104">
    <w:name w:val="正文_14"/>
    <w:qFormat/>
    <w:uiPriority w:val="0"/>
    <w:rPr>
      <w:rFonts w:ascii="Times New Roman" w:hAnsi="Times New Roman" w:eastAsia="宋体" w:cs="Times New Roman"/>
      <w:sz w:val="21"/>
      <w:szCs w:val="22"/>
      <w:lang w:val="en-US" w:eastAsia="zh-CN" w:bidi="ar-SA"/>
    </w:rPr>
  </w:style>
  <w:style w:type="paragraph" w:customStyle="1" w:styleId="105">
    <w:name w:val="font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6">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0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8">
    <w:name w:val="xl68"/>
    <w:basedOn w:val="1"/>
    <w:qFormat/>
    <w:uiPriority w:val="0"/>
    <w:pPr>
      <w:widowControl/>
      <w:spacing w:before="100" w:beforeAutospacing="1" w:after="100" w:afterAutospacing="1"/>
      <w:jc w:val="left"/>
    </w:pPr>
    <w:rPr>
      <w:rFonts w:ascii="宋体" w:hAnsi="宋体" w:cs="宋体"/>
      <w:kern w:val="0"/>
      <w:sz w:val="24"/>
    </w:rPr>
  </w:style>
  <w:style w:type="paragraph" w:customStyle="1" w:styleId="109">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0">
    <w:name w:val="xl70"/>
    <w:basedOn w:val="1"/>
    <w:qFormat/>
    <w:uiPriority w:val="0"/>
    <w:pPr>
      <w:widowControl/>
      <w:spacing w:before="100" w:beforeAutospacing="1" w:after="100" w:afterAutospacing="1"/>
      <w:jc w:val="left"/>
    </w:pPr>
    <w:rPr>
      <w:rFonts w:ascii="宋体" w:hAnsi="宋体" w:cs="宋体"/>
      <w:kern w:val="0"/>
      <w:sz w:val="24"/>
    </w:rPr>
  </w:style>
  <w:style w:type="paragraph" w:customStyle="1" w:styleId="111">
    <w:name w:val="xl71"/>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112">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113">
    <w:name w:val="xl73"/>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114">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0"/>
      <w:szCs w:val="20"/>
    </w:rPr>
  </w:style>
  <w:style w:type="paragraph" w:customStyle="1" w:styleId="115">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4"/>
    </w:rPr>
  </w:style>
  <w:style w:type="paragraph" w:customStyle="1" w:styleId="11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Cs w:val="28"/>
    </w:rPr>
  </w:style>
  <w:style w:type="paragraph" w:customStyle="1" w:styleId="117">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2">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Cs w:val="28"/>
    </w:rPr>
  </w:style>
  <w:style w:type="paragraph" w:customStyle="1" w:styleId="12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6">
    <w:name w:val="xl8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27">
    <w:name w:val="xl8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28">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12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3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32">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4">
    <w:name w:val="xl9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35">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136">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37">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8">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4"/>
    </w:rPr>
  </w:style>
  <w:style w:type="paragraph" w:customStyle="1" w:styleId="13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40">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41">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2">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43">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44">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4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46">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color w:val="FF0000"/>
      <w:kern w:val="0"/>
      <w:sz w:val="24"/>
    </w:rPr>
  </w:style>
  <w:style w:type="paragraph" w:customStyle="1" w:styleId="147">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48">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49">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50">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51">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152">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53">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55">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color w:val="000000"/>
      <w:kern w:val="0"/>
      <w:sz w:val="20"/>
      <w:szCs w:val="20"/>
    </w:rPr>
  </w:style>
  <w:style w:type="paragraph" w:customStyle="1" w:styleId="15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57">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color w:val="000000"/>
      <w:kern w:val="0"/>
      <w:sz w:val="24"/>
    </w:rPr>
  </w:style>
  <w:style w:type="paragraph" w:customStyle="1" w:styleId="158">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5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60">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1">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2">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63">
    <w:name w:val="xl12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64">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16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66">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7">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0"/>
      <w:szCs w:val="20"/>
    </w:rPr>
  </w:style>
  <w:style w:type="paragraph" w:customStyle="1" w:styleId="16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169">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0">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72">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92D050"/>
      <w:kern w:val="0"/>
      <w:sz w:val="20"/>
      <w:szCs w:val="20"/>
    </w:rPr>
  </w:style>
  <w:style w:type="paragraph" w:customStyle="1" w:styleId="173">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74">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75">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4"/>
    </w:rPr>
  </w:style>
  <w:style w:type="paragraph" w:customStyle="1" w:styleId="176">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7">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78">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79">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18"/>
      <w:szCs w:val="18"/>
    </w:rPr>
  </w:style>
  <w:style w:type="paragraph" w:customStyle="1" w:styleId="180">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1">
    <w:name w:val="xl13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82">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83">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84">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character" w:customStyle="1" w:styleId="185">
    <w:name w:val="font81"/>
    <w:basedOn w:val="39"/>
    <w:qFormat/>
    <w:uiPriority w:val="0"/>
    <w:rPr>
      <w:rFonts w:hint="eastAsia" w:ascii="宋体" w:hAnsi="宋体" w:eastAsia="宋体" w:cs="宋体"/>
      <w:color w:val="000000"/>
      <w:sz w:val="20"/>
      <w:szCs w:val="20"/>
      <w:u w:val="none"/>
    </w:rPr>
  </w:style>
  <w:style w:type="character" w:customStyle="1" w:styleId="186">
    <w:name w:val="font141"/>
    <w:basedOn w:val="39"/>
    <w:qFormat/>
    <w:uiPriority w:val="0"/>
    <w:rPr>
      <w:rFonts w:hint="eastAsia" w:ascii="宋体" w:hAnsi="宋体" w:eastAsia="宋体" w:cs="宋体"/>
      <w:color w:val="FF0000"/>
      <w:sz w:val="20"/>
      <w:szCs w:val="20"/>
      <w:u w:val="none"/>
    </w:rPr>
  </w:style>
  <w:style w:type="character" w:customStyle="1" w:styleId="187">
    <w:name w:val="font101"/>
    <w:basedOn w:val="39"/>
    <w:qFormat/>
    <w:uiPriority w:val="0"/>
    <w:rPr>
      <w:rFonts w:hint="eastAsia" w:ascii="宋体" w:hAnsi="宋体" w:eastAsia="宋体" w:cs="宋体"/>
      <w:color w:val="000000"/>
      <w:sz w:val="22"/>
      <w:szCs w:val="22"/>
      <w:u w:val="none"/>
    </w:rPr>
  </w:style>
  <w:style w:type="character" w:customStyle="1" w:styleId="188">
    <w:name w:val="font71"/>
    <w:basedOn w:val="39"/>
    <w:qFormat/>
    <w:uiPriority w:val="0"/>
    <w:rPr>
      <w:rFonts w:hint="eastAsia" w:ascii="宋体" w:hAnsi="宋体" w:eastAsia="宋体" w:cs="宋体"/>
      <w:color w:val="000000"/>
      <w:sz w:val="20"/>
      <w:szCs w:val="20"/>
      <w:u w:val="none"/>
    </w:rPr>
  </w:style>
  <w:style w:type="character" w:customStyle="1" w:styleId="189">
    <w:name w:val="font121"/>
    <w:basedOn w:val="39"/>
    <w:qFormat/>
    <w:uiPriority w:val="0"/>
    <w:rPr>
      <w:rFonts w:hint="eastAsia" w:ascii="宋体" w:hAnsi="宋体" w:eastAsia="宋体" w:cs="宋体"/>
      <w:color w:val="FF0000"/>
      <w:sz w:val="20"/>
      <w:szCs w:val="20"/>
      <w:u w:val="none"/>
    </w:rPr>
  </w:style>
  <w:style w:type="character" w:customStyle="1" w:styleId="190">
    <w:name w:val="font212"/>
    <w:basedOn w:val="39"/>
    <w:qFormat/>
    <w:uiPriority w:val="0"/>
    <w:rPr>
      <w:rFonts w:hint="eastAsia" w:ascii="宋体" w:hAnsi="宋体" w:eastAsia="宋体" w:cs="宋体"/>
      <w:color w:val="000000"/>
      <w:sz w:val="22"/>
      <w:szCs w:val="22"/>
      <w:u w:val="none"/>
    </w:rPr>
  </w:style>
  <w:style w:type="paragraph" w:customStyle="1" w:styleId="191">
    <w:name w:val="正文缩进1"/>
    <w:basedOn w:val="1"/>
    <w:qFormat/>
    <w:uiPriority w:val="0"/>
    <w:pPr>
      <w:ind w:firstLine="420"/>
    </w:pPr>
  </w:style>
  <w:style w:type="character" w:customStyle="1" w:styleId="192">
    <w:name w:val="font21"/>
    <w:basedOn w:val="39"/>
    <w:qFormat/>
    <w:uiPriority w:val="0"/>
    <w:rPr>
      <w:rFonts w:hint="eastAsia" w:ascii="宋体" w:hAnsi="宋体" w:eastAsia="宋体" w:cs="宋体"/>
      <w:color w:val="000000"/>
      <w:sz w:val="18"/>
      <w:szCs w:val="18"/>
      <w:u w:val="none"/>
    </w:rPr>
  </w:style>
  <w:style w:type="paragraph" w:customStyle="1" w:styleId="193">
    <w:name w:val="[Normal]"/>
    <w:autoRedefine/>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4522B5-7BF7-4DAB-9DDA-0FC0E851E18E}">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48</Pages>
  <Words>29202</Words>
  <Characters>31789</Characters>
  <Lines>320</Lines>
  <Paragraphs>90</Paragraphs>
  <TotalTime>22</TotalTime>
  <ScaleCrop>false</ScaleCrop>
  <LinksUpToDate>false</LinksUpToDate>
  <CharactersWithSpaces>33252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2023-03-24T03:02:00Z</dcterms:created>
  <dc:creator>费国炎</dc:creator>
  <cp:lastModifiedBy>Nothing</cp:lastModifiedBy>
  <cp:lastPrinted>2024-08-26T09:23:00Z</cp:lastPrinted>
  <dcterms:modified xsi:type="dcterms:W3CDTF">2024-10-09T07:39:44Z</dcterms:modified>
  <dc:title>浙江省政府采购招标文件（范本）</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EA6016398201407EB3F70F83AE97C7B7_13</vt:lpwstr>
  </property>
</Properties>
</file>