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399E50">
      <w:pPr>
        <w:spacing w:line="600" w:lineRule="exact"/>
        <w:jc w:val="center"/>
        <w:rPr>
          <w:rFonts w:ascii="黑体" w:hAnsi="宋体" w:eastAsia="黑体"/>
          <w:b/>
          <w:sz w:val="44"/>
        </w:rPr>
      </w:pPr>
    </w:p>
    <w:p w14:paraId="76DB8DEA">
      <w:pPr>
        <w:spacing w:line="600" w:lineRule="exact"/>
        <w:jc w:val="center"/>
        <w:rPr>
          <w:rFonts w:ascii="黑体" w:hAnsi="宋体" w:eastAsia="黑体"/>
          <w:b/>
          <w:sz w:val="44"/>
        </w:rPr>
      </w:pPr>
    </w:p>
    <w:p w14:paraId="46795AA6">
      <w:pPr>
        <w:spacing w:line="600" w:lineRule="exact"/>
        <w:jc w:val="center"/>
        <w:rPr>
          <w:rFonts w:ascii="宋体" w:hAnsi="宋体"/>
          <w:b/>
          <w:sz w:val="52"/>
          <w:szCs w:val="52"/>
        </w:rPr>
      </w:pPr>
      <w:r>
        <w:rPr>
          <w:rFonts w:hint="eastAsia" w:ascii="宋体" w:hAnsi="宋体"/>
          <w:b/>
          <w:sz w:val="52"/>
          <w:szCs w:val="52"/>
        </w:rPr>
        <w:t>招标文件</w:t>
      </w:r>
    </w:p>
    <w:p w14:paraId="7D53C9D4">
      <w:pPr>
        <w:spacing w:line="600" w:lineRule="exact"/>
        <w:jc w:val="center"/>
        <w:rPr>
          <w:rFonts w:ascii="黑体" w:hAnsi="宋体" w:eastAsia="黑体"/>
          <w:b/>
          <w:sz w:val="52"/>
          <w:szCs w:val="52"/>
        </w:rPr>
      </w:pPr>
    </w:p>
    <w:p w14:paraId="3F5F3D88">
      <w:pPr>
        <w:jc w:val="center"/>
        <w:rPr>
          <w:rFonts w:ascii="宋体" w:hAnsi="宋体"/>
          <w:sz w:val="44"/>
          <w:szCs w:val="20"/>
        </w:rPr>
      </w:pPr>
    </w:p>
    <w:p w14:paraId="351AF048">
      <w:pPr>
        <w:spacing w:before="156" w:beforeLines="50"/>
        <w:jc w:val="center"/>
        <w:rPr>
          <w:rFonts w:ascii="宋体" w:hAnsi="宋体"/>
          <w:b/>
          <w:sz w:val="48"/>
          <w:szCs w:val="48"/>
        </w:rPr>
      </w:pPr>
    </w:p>
    <w:p w14:paraId="7B6F054A">
      <w:pPr>
        <w:snapToGrid w:val="0"/>
        <w:spacing w:before="156" w:beforeLines="50" w:line="360" w:lineRule="auto"/>
        <w:rPr>
          <w:rFonts w:ascii="宋体" w:hAnsi="宋体"/>
          <w:sz w:val="30"/>
          <w:szCs w:val="72"/>
        </w:rPr>
      </w:pPr>
      <w:r>
        <w:rPr>
          <w:rFonts w:hint="eastAsia" w:ascii="宋体" w:hAnsi="宋体"/>
          <w:b/>
          <w:sz w:val="72"/>
          <w:szCs w:val="72"/>
        </w:rPr>
        <w:t xml:space="preserve">   </w:t>
      </w:r>
      <w:r>
        <w:rPr>
          <w:rFonts w:hint="eastAsia" w:ascii="宋体" w:hAnsi="宋体"/>
          <w:b/>
          <w:bCs/>
        </w:rPr>
        <w:t>项目编号：</w:t>
      </w:r>
      <w:r>
        <w:rPr>
          <w:rFonts w:hint="eastAsia" w:ascii="宋体" w:hAnsi="宋体"/>
          <w:b/>
          <w:bCs/>
        </w:rPr>
        <w:fldChar w:fldCharType="begin"/>
      </w:r>
      <w:r>
        <w:rPr>
          <w:rFonts w:hint="eastAsia" w:ascii="宋体" w:hAnsi="宋体"/>
          <w:b/>
          <w:bCs/>
        </w:rPr>
        <w:instrText xml:space="preserve"> HYPERLINK "https://www.tzwztb.com/ztb/Framework/Main/Default.aspx?p=01001&amp;PrjId=I3310005276000866001" </w:instrText>
      </w:r>
      <w:r>
        <w:rPr>
          <w:rFonts w:hint="eastAsia" w:ascii="宋体" w:hAnsi="宋体"/>
          <w:b/>
          <w:bCs/>
        </w:rPr>
        <w:fldChar w:fldCharType="separate"/>
      </w:r>
      <w:r>
        <w:rPr>
          <w:rFonts w:hint="eastAsia" w:ascii="宋体" w:hAnsi="宋体"/>
          <w:b/>
          <w:bCs/>
        </w:rPr>
        <w:t>QBJ2024217</w:t>
      </w:r>
      <w:r>
        <w:rPr>
          <w:rFonts w:hint="eastAsia" w:ascii="宋体" w:hAnsi="宋体"/>
          <w:b/>
          <w:bCs/>
        </w:rPr>
        <w:fldChar w:fldCharType="end"/>
      </w:r>
    </w:p>
    <w:p w14:paraId="05FF8FF3">
      <w:pPr>
        <w:pStyle w:val="29"/>
        <w:tabs>
          <w:tab w:val="left" w:pos="1620"/>
        </w:tabs>
        <w:snapToGrid w:val="0"/>
        <w:ind w:firstLine="1175" w:firstLineChars="418"/>
        <w:rPr>
          <w:rFonts w:hint="default" w:hAnsi="宋体" w:eastAsia="宋体"/>
          <w:b/>
          <w:bCs/>
          <w:color w:val="0D0D0D"/>
          <w:sz w:val="28"/>
          <w:lang w:val="en-US" w:eastAsia="zh-CN"/>
        </w:rPr>
      </w:pPr>
      <w:r>
        <w:rPr>
          <w:rFonts w:hAnsi="宋体"/>
          <w:b/>
          <w:bCs/>
          <w:sz w:val="28"/>
        </w:rPr>
        <w:t>项目名称：</w:t>
      </w:r>
      <w:r>
        <w:rPr>
          <w:rFonts w:hint="eastAsia" w:hAnsi="宋体"/>
          <w:b/>
          <w:bCs/>
          <w:sz w:val="28"/>
        </w:rPr>
        <w:t>台州湾新区中国家庭帆船赛台州站配套工程（浮筒平台采购）</w:t>
      </w:r>
      <w:r>
        <w:rPr>
          <w:rFonts w:hint="eastAsia" w:hAnsi="宋体"/>
          <w:b/>
          <w:bCs/>
          <w:sz w:val="28"/>
          <w:lang w:eastAsia="zh-CN"/>
        </w:rPr>
        <w:t>（</w:t>
      </w:r>
      <w:r>
        <w:rPr>
          <w:rFonts w:hint="eastAsia" w:hAnsi="宋体"/>
          <w:b/>
          <w:bCs/>
          <w:sz w:val="28"/>
          <w:lang w:val="en-US" w:eastAsia="zh-CN"/>
        </w:rPr>
        <w:t>重新招标）</w:t>
      </w:r>
    </w:p>
    <w:p w14:paraId="1AB767E3">
      <w:pPr>
        <w:pStyle w:val="29"/>
        <w:tabs>
          <w:tab w:val="left" w:pos="1620"/>
        </w:tabs>
        <w:snapToGrid w:val="0"/>
        <w:ind w:firstLine="1175" w:firstLineChars="418"/>
        <w:rPr>
          <w:rFonts w:hAnsi="宋体"/>
          <w:b/>
          <w:bCs/>
          <w:color w:val="0D0D0D"/>
          <w:sz w:val="28"/>
        </w:rPr>
      </w:pPr>
      <w:r>
        <w:rPr>
          <w:rFonts w:hAnsi="宋体"/>
          <w:b/>
          <w:bCs/>
          <w:color w:val="0D0D0D"/>
          <w:sz w:val="28"/>
        </w:rPr>
        <w:t>采购单位：</w:t>
      </w:r>
      <w:r>
        <w:rPr>
          <w:rFonts w:hint="eastAsia" w:hAnsi="宋体"/>
          <w:b/>
          <w:bCs/>
          <w:color w:val="0D0D0D"/>
          <w:sz w:val="28"/>
        </w:rPr>
        <w:t>台州东发建设集团有限公司</w:t>
      </w:r>
      <w:r>
        <w:rPr>
          <w:rFonts w:hAnsi="宋体"/>
          <w:b/>
          <w:bCs/>
          <w:color w:val="0D0D0D"/>
          <w:sz w:val="28"/>
        </w:rPr>
        <w:t>（盖章）</w:t>
      </w:r>
    </w:p>
    <w:p w14:paraId="758B21A3">
      <w:pPr>
        <w:pStyle w:val="29"/>
        <w:tabs>
          <w:tab w:val="left" w:pos="1620"/>
        </w:tabs>
        <w:snapToGrid w:val="0"/>
        <w:ind w:firstLine="1175" w:firstLineChars="418"/>
        <w:rPr>
          <w:rFonts w:hAnsi="宋体"/>
          <w:b/>
          <w:bCs/>
          <w:sz w:val="28"/>
        </w:rPr>
      </w:pPr>
      <w:r>
        <w:rPr>
          <w:rFonts w:hAnsi="宋体"/>
          <w:b/>
          <w:bCs/>
          <w:color w:val="0D0D0D"/>
          <w:sz w:val="28"/>
        </w:rPr>
        <w:t>联 系 人：</w:t>
      </w:r>
      <w:r>
        <w:rPr>
          <w:rFonts w:hint="eastAsia" w:hAnsi="宋体"/>
          <w:b/>
          <w:bCs/>
          <w:color w:val="0D0D0D"/>
          <w:sz w:val="28"/>
        </w:rPr>
        <w:t>朱女士</w:t>
      </w:r>
      <w:r>
        <w:rPr>
          <w:rFonts w:hAnsi="宋体"/>
          <w:b/>
          <w:bCs/>
          <w:color w:val="0D0D0D"/>
          <w:sz w:val="28"/>
        </w:rPr>
        <w:t xml:space="preserve">        联系电话：</w:t>
      </w:r>
      <w:r>
        <w:rPr>
          <w:rFonts w:hint="eastAsia" w:hAnsi="宋体"/>
          <w:b/>
          <w:bCs/>
          <w:sz w:val="28"/>
        </w:rPr>
        <w:t>0576-88903253</w:t>
      </w:r>
    </w:p>
    <w:p w14:paraId="031C2FA0">
      <w:pPr>
        <w:pStyle w:val="29"/>
        <w:tabs>
          <w:tab w:val="left" w:pos="1620"/>
        </w:tabs>
        <w:snapToGrid w:val="0"/>
        <w:ind w:firstLine="1175" w:firstLineChars="418"/>
        <w:rPr>
          <w:rFonts w:hAnsi="宋体"/>
          <w:b/>
          <w:bCs/>
          <w:color w:val="0D0D0D"/>
          <w:sz w:val="28"/>
        </w:rPr>
      </w:pPr>
      <w:r>
        <w:rPr>
          <w:rFonts w:hAnsi="宋体"/>
          <w:b/>
          <w:bCs/>
          <w:color w:val="0D0D0D"/>
          <w:sz w:val="28"/>
        </w:rPr>
        <w:t>代理机构：台州市建设咨询有限公司（盖章）</w:t>
      </w:r>
    </w:p>
    <w:p w14:paraId="38CE81DD">
      <w:pPr>
        <w:pStyle w:val="29"/>
        <w:snapToGrid w:val="0"/>
        <w:spacing w:line="360" w:lineRule="auto"/>
        <w:ind w:firstLine="1105" w:firstLineChars="393"/>
        <w:rPr>
          <w:rFonts w:hAnsi="宋体"/>
          <w:b/>
          <w:bCs/>
          <w:color w:val="0D0D0D"/>
          <w:sz w:val="30"/>
          <w:szCs w:val="30"/>
        </w:rPr>
      </w:pPr>
      <w:r>
        <w:rPr>
          <w:rFonts w:hAnsi="宋体"/>
          <w:b/>
          <w:bCs/>
          <w:color w:val="0D0D0D"/>
          <w:sz w:val="28"/>
        </w:rPr>
        <w:t>代理项目负责人：</w:t>
      </w:r>
      <w:r>
        <w:rPr>
          <w:rFonts w:hint="eastAsia" w:hAnsi="宋体"/>
          <w:b/>
          <w:bCs/>
          <w:color w:val="0D0D0D"/>
          <w:sz w:val="28"/>
        </w:rPr>
        <w:t xml:space="preserve">李灵芝  </w:t>
      </w:r>
      <w:r>
        <w:rPr>
          <w:rFonts w:hAnsi="宋体"/>
          <w:b/>
          <w:bCs/>
          <w:color w:val="0D0D0D"/>
          <w:sz w:val="28"/>
        </w:rPr>
        <w:t xml:space="preserve"> 联系电话：0576-885177</w:t>
      </w:r>
      <w:r>
        <w:rPr>
          <w:rFonts w:hint="eastAsia" w:hAnsi="宋体"/>
          <w:b/>
          <w:bCs/>
          <w:color w:val="0D0D0D"/>
          <w:sz w:val="28"/>
        </w:rPr>
        <w:t>83</w:t>
      </w:r>
    </w:p>
    <w:p w14:paraId="3B34EED4">
      <w:pPr>
        <w:pStyle w:val="29"/>
        <w:snapToGrid w:val="0"/>
        <w:spacing w:line="360" w:lineRule="auto"/>
        <w:rPr>
          <w:rFonts w:hAnsi="宋体"/>
          <w:b/>
          <w:bCs/>
          <w:color w:val="0D0D0D"/>
          <w:sz w:val="30"/>
          <w:szCs w:val="30"/>
        </w:rPr>
      </w:pPr>
    </w:p>
    <w:p w14:paraId="2FA052FE">
      <w:pPr>
        <w:pStyle w:val="29"/>
        <w:snapToGrid w:val="0"/>
        <w:spacing w:line="360" w:lineRule="auto"/>
        <w:rPr>
          <w:rFonts w:hAnsi="宋体"/>
          <w:b/>
          <w:bCs/>
          <w:color w:val="0D0D0D"/>
          <w:sz w:val="30"/>
          <w:szCs w:val="30"/>
        </w:rPr>
      </w:pPr>
    </w:p>
    <w:p w14:paraId="26AFD7F1">
      <w:pPr>
        <w:pStyle w:val="29"/>
        <w:snapToGrid w:val="0"/>
        <w:spacing w:line="360" w:lineRule="auto"/>
        <w:rPr>
          <w:rFonts w:hAnsi="宋体"/>
          <w:b/>
          <w:bCs/>
          <w:color w:val="0D0D0D"/>
          <w:sz w:val="30"/>
          <w:szCs w:val="30"/>
        </w:rPr>
      </w:pPr>
    </w:p>
    <w:p w14:paraId="78DAD2DD">
      <w:pPr>
        <w:pStyle w:val="29"/>
        <w:snapToGrid w:val="0"/>
        <w:spacing w:line="360" w:lineRule="auto"/>
        <w:rPr>
          <w:rFonts w:hAnsi="宋体"/>
          <w:b/>
          <w:bCs/>
          <w:color w:val="0D0D0D"/>
          <w:sz w:val="30"/>
          <w:szCs w:val="30"/>
        </w:rPr>
      </w:pPr>
    </w:p>
    <w:p w14:paraId="70CFF17C">
      <w:pPr>
        <w:pStyle w:val="29"/>
        <w:snapToGrid w:val="0"/>
        <w:spacing w:line="360" w:lineRule="auto"/>
        <w:rPr>
          <w:rFonts w:hAnsi="宋体"/>
          <w:b/>
          <w:bCs/>
          <w:color w:val="0D0D0D"/>
          <w:sz w:val="30"/>
          <w:szCs w:val="30"/>
        </w:rPr>
      </w:pPr>
    </w:p>
    <w:p w14:paraId="05D241DC">
      <w:pPr>
        <w:snapToGrid w:val="0"/>
        <w:spacing w:before="156" w:beforeLines="50" w:line="360" w:lineRule="auto"/>
        <w:ind w:left="384" w:leftChars="1" w:hanging="381" w:hangingChars="133"/>
        <w:jc w:val="center"/>
        <w:rPr>
          <w:rFonts w:ascii="宋体" w:hAnsi="宋体"/>
          <w:b/>
          <w:bCs/>
          <w:color w:val="0D0D0D"/>
          <w:w w:val="95"/>
          <w:sz w:val="30"/>
          <w:szCs w:val="30"/>
        </w:rPr>
        <w:sectPr>
          <w:headerReference r:id="rId4" w:type="first"/>
          <w:headerReference r:id="rId3" w:type="default"/>
          <w:footerReference r:id="rId5" w:type="default"/>
          <w:pgSz w:w="11906" w:h="16838"/>
          <w:pgMar w:top="1247" w:right="1361" w:bottom="1247" w:left="1361" w:header="851" w:footer="851" w:gutter="0"/>
          <w:cols w:space="720" w:num="1"/>
          <w:titlePg/>
          <w:docGrid w:type="lines" w:linePitch="312" w:charSpace="0"/>
        </w:sectPr>
      </w:pPr>
      <w:r>
        <w:rPr>
          <w:rFonts w:hint="eastAsia" w:ascii="宋体" w:hAnsi="宋体"/>
          <w:b/>
          <w:bCs/>
          <w:color w:val="0D0D0D"/>
          <w:w w:val="95"/>
          <w:sz w:val="30"/>
          <w:szCs w:val="30"/>
        </w:rPr>
        <w:t>二〇二四年</w:t>
      </w:r>
      <w:r>
        <w:rPr>
          <w:rFonts w:hint="eastAsia" w:ascii="宋体" w:hAnsi="宋体"/>
          <w:b/>
          <w:bCs/>
          <w:color w:val="0D0D0D"/>
          <w:w w:val="95"/>
          <w:sz w:val="30"/>
          <w:szCs w:val="30"/>
          <w:lang w:val="en-US" w:eastAsia="zh-CN"/>
        </w:rPr>
        <w:t>十</w:t>
      </w:r>
      <w:r>
        <w:rPr>
          <w:rFonts w:hint="eastAsia" w:ascii="宋体" w:hAnsi="宋体"/>
          <w:b/>
          <w:bCs/>
          <w:color w:val="0D0D0D"/>
          <w:w w:val="95"/>
          <w:sz w:val="30"/>
          <w:szCs w:val="30"/>
        </w:rPr>
        <w:t xml:space="preserve">月 </w:t>
      </w:r>
    </w:p>
    <w:p w14:paraId="6D7820E7">
      <w:pPr>
        <w:pStyle w:val="29"/>
        <w:spacing w:before="120" w:beforeLines="0" w:after="120" w:afterLines="0" w:line="360" w:lineRule="auto"/>
        <w:jc w:val="center"/>
        <w:rPr>
          <w:rFonts w:ascii="创艺简标宋" w:hAnsi="宋体" w:eastAsia="创艺简标宋"/>
          <w:color w:val="0D0D0D"/>
          <w:sz w:val="44"/>
          <w:szCs w:val="44"/>
        </w:rPr>
      </w:pPr>
      <w:r>
        <w:rPr>
          <w:rFonts w:ascii="创艺简标宋" w:hAnsi="宋体" w:eastAsia="创艺简标宋"/>
          <w:color w:val="0D0D0D"/>
          <w:sz w:val="44"/>
          <w:szCs w:val="44"/>
        </w:rPr>
        <w:t>目    录</w:t>
      </w:r>
    </w:p>
    <w:p w14:paraId="18EBA9FF">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招标采购公告</w:t>
      </w:r>
    </w:p>
    <w:p w14:paraId="4D8CE3ED">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招标需求</w:t>
      </w:r>
    </w:p>
    <w:p w14:paraId="3B777AE3">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投标人须知</w:t>
      </w:r>
    </w:p>
    <w:p w14:paraId="275462EF">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评标办法及评分标准</w:t>
      </w:r>
    </w:p>
    <w:p w14:paraId="64FB03AD">
      <w:pPr>
        <w:numPr>
          <w:ilvl w:val="0"/>
          <w:numId w:val="5"/>
        </w:numPr>
        <w:spacing w:before="120" w:beforeLines="50" w:line="480" w:lineRule="exact"/>
        <w:rPr>
          <w:rFonts w:ascii="宋体" w:hAnsi="宋体"/>
          <w:color w:val="0D0D0D"/>
          <w:sz w:val="30"/>
          <w:szCs w:val="20"/>
        </w:rPr>
      </w:pPr>
      <w:r>
        <w:rPr>
          <w:rFonts w:hint="eastAsia" w:ascii="宋体" w:hAnsi="宋体"/>
          <w:color w:val="0D0D0D"/>
          <w:sz w:val="30"/>
        </w:rPr>
        <w:t>合同主要条款</w:t>
      </w:r>
    </w:p>
    <w:p w14:paraId="6E5A6A01">
      <w:pPr>
        <w:numPr>
          <w:ilvl w:val="0"/>
          <w:numId w:val="5"/>
        </w:numPr>
        <w:spacing w:before="120" w:beforeLines="50" w:line="480" w:lineRule="exact"/>
        <w:rPr>
          <w:rFonts w:ascii="宋体" w:hAnsi="宋体"/>
          <w:color w:val="0D0D0D"/>
          <w:sz w:val="30"/>
        </w:rPr>
      </w:pPr>
      <w:r>
        <w:rPr>
          <w:rFonts w:hint="eastAsia" w:ascii="宋体" w:hAnsi="宋体"/>
          <w:color w:val="0D0D0D"/>
          <w:sz w:val="30"/>
        </w:rPr>
        <w:t>报价文件格式</w:t>
      </w:r>
    </w:p>
    <w:p w14:paraId="7D41C8AE">
      <w:pPr>
        <w:pStyle w:val="29"/>
        <w:snapToGrid w:val="0"/>
        <w:spacing w:before="120" w:after="120" w:line="240" w:lineRule="auto"/>
        <w:jc w:val="center"/>
        <w:outlineLvl w:val="0"/>
        <w:rPr>
          <w:rFonts w:ascii="黑体" w:hAnsi="宋体" w:eastAsia="黑体"/>
          <w:color w:val="0D0D0D"/>
          <w:sz w:val="30"/>
          <w:szCs w:val="30"/>
        </w:rPr>
      </w:pPr>
      <w:r>
        <w:rPr>
          <w:rFonts w:hAnsi="宋体"/>
          <w:color w:val="0D0D0D"/>
        </w:rPr>
        <w:br w:type="page"/>
      </w:r>
      <w:r>
        <w:rPr>
          <w:rFonts w:ascii="黑体" w:hAnsi="宋体" w:eastAsia="黑体"/>
          <w:color w:val="0D0D0D"/>
          <w:sz w:val="30"/>
          <w:szCs w:val="30"/>
        </w:rPr>
        <w:t xml:space="preserve">第一章  </w:t>
      </w:r>
      <w:r>
        <w:rPr>
          <w:rFonts w:hint="eastAsia" w:ascii="黑体" w:hAnsi="宋体" w:eastAsia="黑体"/>
          <w:color w:val="0D0D0D"/>
          <w:sz w:val="30"/>
          <w:szCs w:val="30"/>
        </w:rPr>
        <w:t>招标采购公告</w:t>
      </w:r>
    </w:p>
    <w:p w14:paraId="7654C9D4">
      <w:pPr>
        <w:pStyle w:val="121"/>
        <w:widowControl w:val="0"/>
        <w:spacing w:afterLines="0" w:line="360" w:lineRule="auto"/>
        <w:ind w:firstLine="480"/>
        <w:rPr>
          <w:rFonts w:ascii="宋体" w:hAnsi="宋体"/>
          <w:color w:val="0D0D0D"/>
          <w:szCs w:val="24"/>
        </w:rPr>
      </w:pPr>
      <w:r>
        <w:rPr>
          <w:rFonts w:hint="eastAsia" w:ascii="宋体" w:hAnsi="宋体"/>
          <w:color w:val="0D0D0D"/>
          <w:szCs w:val="24"/>
        </w:rPr>
        <w:t>台州市建设咨询有限公司受台州东发建设集团有限公司委托，现就</w:t>
      </w:r>
      <w:r>
        <w:rPr>
          <w:rFonts w:hint="eastAsia" w:ascii="宋体" w:hAnsi="宋体"/>
          <w:b/>
          <w:bCs/>
          <w:color w:val="0D0D0D"/>
          <w:szCs w:val="24"/>
          <w:u w:val="single"/>
        </w:rPr>
        <w:t>台州湾新区中国家庭帆船赛台州站配套工程（浮筒平台采购）</w:t>
      </w:r>
      <w:r>
        <w:rPr>
          <w:rFonts w:hint="eastAsia" w:ascii="宋体" w:hAnsi="宋体"/>
          <w:b/>
          <w:bCs/>
          <w:color w:val="0D0D0D"/>
          <w:szCs w:val="24"/>
          <w:u w:val="single"/>
          <w:lang w:eastAsia="zh-CN"/>
        </w:rPr>
        <w:t>（</w:t>
      </w:r>
      <w:r>
        <w:rPr>
          <w:rFonts w:hint="eastAsia" w:ascii="宋体" w:hAnsi="宋体"/>
          <w:b/>
          <w:bCs/>
          <w:color w:val="0D0D0D"/>
          <w:szCs w:val="24"/>
          <w:u w:val="single"/>
          <w:lang w:val="en-US" w:eastAsia="zh-CN"/>
        </w:rPr>
        <w:t>重新招标）</w:t>
      </w:r>
      <w:r>
        <w:rPr>
          <w:rFonts w:hint="eastAsia" w:ascii="宋体" w:hAnsi="宋体"/>
          <w:color w:val="0D0D0D"/>
          <w:szCs w:val="24"/>
          <w:u w:val="single"/>
        </w:rPr>
        <w:t>进行公开招标。凡具备本项目投标资格要求且能够及时提供本项目服务的供应商均可参加。</w:t>
      </w:r>
    </w:p>
    <w:p w14:paraId="773A94A8">
      <w:pPr>
        <w:numPr>
          <w:ilvl w:val="0"/>
          <w:numId w:val="6"/>
        </w:numPr>
        <w:snapToGrid w:val="0"/>
        <w:spacing w:line="360" w:lineRule="auto"/>
        <w:ind w:firstLine="482" w:firstLineChars="200"/>
        <w:rPr>
          <w:rFonts w:ascii="宋体" w:hAnsi="宋体" w:cs="Arial"/>
          <w:sz w:val="24"/>
        </w:rPr>
      </w:pPr>
      <w:r>
        <w:rPr>
          <w:rFonts w:hint="eastAsia" w:ascii="宋体" w:hAnsi="宋体" w:cs="Arial"/>
          <w:b/>
          <w:color w:val="0D0D0D"/>
          <w:sz w:val="24"/>
        </w:rPr>
        <w:t>项目编号：</w:t>
      </w:r>
      <w:r>
        <w:rPr>
          <w:rFonts w:hint="eastAsia" w:ascii="宋体" w:hAnsi="宋体" w:cs="Arial"/>
          <w:b/>
          <w:color w:val="0D0D0D"/>
          <w:sz w:val="24"/>
        </w:rPr>
        <w:fldChar w:fldCharType="begin"/>
      </w:r>
      <w:r>
        <w:rPr>
          <w:rFonts w:hint="eastAsia" w:ascii="宋体" w:hAnsi="宋体" w:cs="Arial"/>
          <w:b/>
          <w:color w:val="0D0D0D"/>
          <w:sz w:val="24"/>
        </w:rPr>
        <w:instrText xml:space="preserve"> HYPERLINK "https://www.tzwztb.com/ztb/Framework/Main/Default.aspx?p=01001&amp;PrjId=I3310005276000866001" </w:instrText>
      </w:r>
      <w:r>
        <w:rPr>
          <w:rFonts w:hint="eastAsia" w:ascii="宋体" w:hAnsi="宋体" w:cs="Arial"/>
          <w:b/>
          <w:color w:val="0D0D0D"/>
          <w:sz w:val="24"/>
        </w:rPr>
        <w:fldChar w:fldCharType="separate"/>
      </w:r>
      <w:r>
        <w:rPr>
          <w:rFonts w:hint="eastAsia" w:ascii="宋体" w:hAnsi="宋体" w:cs="Arial"/>
          <w:b/>
          <w:color w:val="0D0D0D"/>
          <w:sz w:val="24"/>
        </w:rPr>
        <w:t>QBJ2024217</w:t>
      </w:r>
      <w:r>
        <w:rPr>
          <w:rFonts w:hint="eastAsia" w:ascii="宋体" w:hAnsi="宋体" w:cs="Arial"/>
          <w:b/>
          <w:color w:val="0D0D0D"/>
          <w:sz w:val="24"/>
        </w:rPr>
        <w:fldChar w:fldCharType="end"/>
      </w:r>
    </w:p>
    <w:p w14:paraId="2F8C2022">
      <w:pPr>
        <w:snapToGrid w:val="0"/>
        <w:spacing w:line="360" w:lineRule="auto"/>
        <w:ind w:firstLine="482" w:firstLineChars="200"/>
        <w:rPr>
          <w:rFonts w:ascii="宋体" w:hAnsi="宋体" w:cs="Arial"/>
          <w:b/>
          <w:color w:val="0D0D0D"/>
          <w:sz w:val="24"/>
        </w:rPr>
      </w:pPr>
      <w:r>
        <w:rPr>
          <w:rFonts w:hint="eastAsia" w:ascii="宋体" w:hAnsi="宋体" w:cs="Arial"/>
          <w:b/>
          <w:sz w:val="24"/>
        </w:rPr>
        <w:t>二、采购方式：</w:t>
      </w:r>
      <w:r>
        <w:rPr>
          <w:rFonts w:hint="eastAsia" w:ascii="宋体" w:hAnsi="宋体" w:cs="Arial"/>
          <w:sz w:val="24"/>
        </w:rPr>
        <w:t>公开招标</w:t>
      </w:r>
    </w:p>
    <w:p w14:paraId="69D3B722">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rPr>
        <w:t>三、</w:t>
      </w:r>
      <w:r>
        <w:rPr>
          <w:rFonts w:hint="eastAsia" w:ascii="宋体" w:hAnsi="宋体" w:cs="Arial"/>
          <w:b/>
          <w:bCs/>
          <w:color w:val="0D0D0D"/>
          <w:sz w:val="24"/>
        </w:rPr>
        <w:t>采购内容及数量</w:t>
      </w:r>
    </w:p>
    <w:tbl>
      <w:tblPr>
        <w:tblStyle w:val="47"/>
        <w:tblW w:w="9495" w:type="dxa"/>
        <w:tblInd w:w="-36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1094"/>
        <w:gridCol w:w="764"/>
        <w:gridCol w:w="1019"/>
        <w:gridCol w:w="1274"/>
        <w:gridCol w:w="884"/>
        <w:gridCol w:w="1101"/>
        <w:gridCol w:w="2859"/>
      </w:tblGrid>
      <w:tr w14:paraId="50E7B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00" w:type="dxa"/>
            <w:tcBorders>
              <w:top w:val="single" w:color="auto" w:sz="4" w:space="0"/>
              <w:left w:val="single" w:color="auto" w:sz="4" w:space="0"/>
              <w:bottom w:val="single" w:color="auto" w:sz="4" w:space="0"/>
              <w:right w:val="single" w:color="auto" w:sz="4" w:space="0"/>
            </w:tcBorders>
            <w:vAlign w:val="center"/>
          </w:tcPr>
          <w:p w14:paraId="5422AD4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094" w:type="dxa"/>
            <w:tcBorders>
              <w:top w:val="single" w:color="auto" w:sz="4" w:space="0"/>
              <w:left w:val="single" w:color="auto" w:sz="4" w:space="0"/>
              <w:bottom w:val="single" w:color="auto" w:sz="4" w:space="0"/>
              <w:right w:val="single" w:color="auto" w:sz="4" w:space="0"/>
            </w:tcBorders>
            <w:vAlign w:val="center"/>
          </w:tcPr>
          <w:p w14:paraId="627787C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764" w:type="dxa"/>
            <w:tcBorders>
              <w:top w:val="single" w:color="auto" w:sz="4" w:space="0"/>
              <w:left w:val="single" w:color="auto" w:sz="4" w:space="0"/>
              <w:bottom w:val="single" w:color="auto" w:sz="4" w:space="0"/>
              <w:right w:val="single" w:color="auto" w:sz="4" w:space="0"/>
            </w:tcBorders>
            <w:vAlign w:val="center"/>
          </w:tcPr>
          <w:p w14:paraId="0BE4B5C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019" w:type="dxa"/>
            <w:tcBorders>
              <w:top w:val="single" w:color="auto" w:sz="4" w:space="0"/>
              <w:left w:val="single" w:color="auto" w:sz="4" w:space="0"/>
              <w:bottom w:val="single" w:color="auto" w:sz="4" w:space="0"/>
              <w:right w:val="single" w:color="auto" w:sz="4" w:space="0"/>
            </w:tcBorders>
            <w:vAlign w:val="center"/>
          </w:tcPr>
          <w:p w14:paraId="5E8A37A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274" w:type="dxa"/>
            <w:tcBorders>
              <w:top w:val="single" w:color="auto" w:sz="4" w:space="0"/>
              <w:left w:val="single" w:color="auto" w:sz="4" w:space="0"/>
              <w:bottom w:val="single" w:color="auto" w:sz="4" w:space="0"/>
              <w:right w:val="single" w:color="auto" w:sz="4" w:space="0"/>
            </w:tcBorders>
            <w:vAlign w:val="center"/>
          </w:tcPr>
          <w:p w14:paraId="2B09315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884" w:type="dxa"/>
            <w:tcBorders>
              <w:top w:val="single" w:color="auto" w:sz="4" w:space="0"/>
              <w:left w:val="single" w:color="auto" w:sz="4" w:space="0"/>
              <w:bottom w:val="single" w:color="auto" w:sz="4" w:space="0"/>
              <w:right w:val="single" w:color="auto" w:sz="4" w:space="0"/>
            </w:tcBorders>
            <w:vAlign w:val="center"/>
          </w:tcPr>
          <w:p w14:paraId="5271690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101" w:type="dxa"/>
            <w:tcBorders>
              <w:left w:val="single" w:color="auto" w:sz="4" w:space="0"/>
              <w:bottom w:val="single" w:color="auto" w:sz="4" w:space="0"/>
              <w:right w:val="single" w:color="auto" w:sz="4" w:space="0"/>
            </w:tcBorders>
            <w:vAlign w:val="center"/>
          </w:tcPr>
          <w:p w14:paraId="73C42CF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预算（元）</w:t>
            </w:r>
          </w:p>
        </w:tc>
        <w:tc>
          <w:tcPr>
            <w:tcW w:w="2859" w:type="dxa"/>
            <w:tcBorders>
              <w:left w:val="single" w:color="auto" w:sz="4" w:space="0"/>
              <w:bottom w:val="single" w:color="auto" w:sz="4" w:space="0"/>
              <w:right w:val="single" w:color="auto" w:sz="4" w:space="0"/>
            </w:tcBorders>
            <w:vAlign w:val="center"/>
          </w:tcPr>
          <w:p w14:paraId="6516276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14:paraId="665AD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500" w:type="dxa"/>
            <w:tcBorders>
              <w:top w:val="single" w:color="auto" w:sz="4" w:space="0"/>
              <w:left w:val="single" w:color="auto" w:sz="4" w:space="0"/>
              <w:bottom w:val="single" w:color="auto" w:sz="4" w:space="0"/>
              <w:right w:val="single" w:color="auto" w:sz="4" w:space="0"/>
            </w:tcBorders>
            <w:vAlign w:val="center"/>
          </w:tcPr>
          <w:p w14:paraId="195E7E32">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094" w:type="dxa"/>
            <w:tcBorders>
              <w:top w:val="single" w:color="auto" w:sz="4" w:space="0"/>
              <w:left w:val="single" w:color="auto" w:sz="4" w:space="0"/>
              <w:bottom w:val="single" w:color="auto" w:sz="4" w:space="0"/>
              <w:right w:val="single" w:color="auto" w:sz="4" w:space="0"/>
            </w:tcBorders>
            <w:vAlign w:val="center"/>
          </w:tcPr>
          <w:p w14:paraId="49640B5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764" w:type="dxa"/>
            <w:tcBorders>
              <w:top w:val="single" w:color="auto" w:sz="4" w:space="0"/>
              <w:left w:val="single" w:color="auto" w:sz="4" w:space="0"/>
              <w:bottom w:val="single" w:color="auto" w:sz="4" w:space="0"/>
              <w:right w:val="single" w:color="auto" w:sz="4" w:space="0"/>
            </w:tcBorders>
            <w:vAlign w:val="center"/>
          </w:tcPr>
          <w:p w14:paraId="5B74107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019" w:type="dxa"/>
            <w:tcBorders>
              <w:top w:val="single" w:color="auto" w:sz="4" w:space="0"/>
              <w:left w:val="single" w:color="auto" w:sz="4" w:space="0"/>
              <w:bottom w:val="single" w:color="auto" w:sz="4" w:space="0"/>
              <w:right w:val="single" w:color="auto" w:sz="4" w:space="0"/>
            </w:tcBorders>
            <w:vAlign w:val="center"/>
          </w:tcPr>
          <w:p w14:paraId="482DDBE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274" w:type="dxa"/>
            <w:tcBorders>
              <w:top w:val="single" w:color="auto" w:sz="4" w:space="0"/>
              <w:left w:val="single" w:color="auto" w:sz="4" w:space="0"/>
              <w:bottom w:val="single" w:color="auto" w:sz="4" w:space="0"/>
              <w:right w:val="single" w:color="auto" w:sz="4" w:space="0"/>
            </w:tcBorders>
            <w:vAlign w:val="center"/>
          </w:tcPr>
          <w:p w14:paraId="4FE54845">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3301"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884" w:type="dxa"/>
            <w:tcBorders>
              <w:top w:val="single" w:color="auto" w:sz="4" w:space="0"/>
              <w:left w:val="single" w:color="auto" w:sz="4" w:space="0"/>
              <w:bottom w:val="single" w:color="auto" w:sz="4" w:space="0"/>
              <w:right w:val="single" w:color="auto" w:sz="4" w:space="0"/>
            </w:tcBorders>
            <w:vAlign w:val="center"/>
          </w:tcPr>
          <w:p w14:paraId="3DE8919F">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101" w:type="dxa"/>
            <w:vMerge w:val="restart"/>
            <w:tcBorders>
              <w:top w:val="single" w:color="auto" w:sz="4" w:space="0"/>
              <w:left w:val="single" w:color="auto" w:sz="4" w:space="0"/>
              <w:right w:val="single" w:color="auto" w:sz="4" w:space="0"/>
            </w:tcBorders>
            <w:vAlign w:val="center"/>
          </w:tcPr>
          <w:p w14:paraId="0DE6AE5D">
            <w:pPr>
              <w:widowControl/>
              <w:jc w:val="center"/>
              <w:textAlignment w:val="center"/>
              <w:rPr>
                <w:rFonts w:ascii="宋体" w:hAnsi="宋体" w:cs="宋体"/>
                <w:kern w:val="0"/>
                <w:sz w:val="22"/>
                <w:szCs w:val="22"/>
                <w:lang w:bidi="ar"/>
              </w:rPr>
            </w:pPr>
            <w:r>
              <w:rPr>
                <w:rFonts w:hint="eastAsia" w:ascii="宋体" w:hAnsi="宋体" w:cs="宋体"/>
                <w:kern w:val="0"/>
                <w:sz w:val="22"/>
                <w:szCs w:val="22"/>
                <w:lang w:bidi="ar"/>
              </w:rPr>
              <w:t>313110</w:t>
            </w:r>
          </w:p>
        </w:tc>
        <w:tc>
          <w:tcPr>
            <w:tcW w:w="2859" w:type="dxa"/>
            <w:tcBorders>
              <w:top w:val="single" w:color="auto" w:sz="4" w:space="0"/>
              <w:left w:val="single" w:color="auto" w:sz="4" w:space="0"/>
              <w:bottom w:val="single" w:color="auto" w:sz="4" w:space="0"/>
              <w:right w:val="single" w:color="auto" w:sz="4" w:space="0"/>
            </w:tcBorders>
            <w:vAlign w:val="center"/>
          </w:tcPr>
          <w:p w14:paraId="05D75FEB">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14:paraId="4B1D8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500" w:type="dxa"/>
            <w:tcBorders>
              <w:top w:val="single" w:color="auto" w:sz="4" w:space="0"/>
              <w:left w:val="single" w:color="auto" w:sz="4" w:space="0"/>
              <w:bottom w:val="single" w:color="auto" w:sz="4" w:space="0"/>
              <w:right w:val="single" w:color="auto" w:sz="4" w:space="0"/>
            </w:tcBorders>
            <w:vAlign w:val="center"/>
          </w:tcPr>
          <w:p w14:paraId="71C4FFB0">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094" w:type="dxa"/>
            <w:tcBorders>
              <w:top w:val="single" w:color="auto" w:sz="4" w:space="0"/>
              <w:left w:val="single" w:color="auto" w:sz="4" w:space="0"/>
              <w:bottom w:val="single" w:color="auto" w:sz="4" w:space="0"/>
              <w:right w:val="single" w:color="auto" w:sz="4" w:space="0"/>
            </w:tcBorders>
            <w:vAlign w:val="center"/>
          </w:tcPr>
          <w:p w14:paraId="6DABBA3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764" w:type="dxa"/>
            <w:tcBorders>
              <w:top w:val="single" w:color="auto" w:sz="4" w:space="0"/>
              <w:left w:val="single" w:color="auto" w:sz="4" w:space="0"/>
              <w:bottom w:val="single" w:color="auto" w:sz="4" w:space="0"/>
              <w:right w:val="single" w:color="auto" w:sz="4" w:space="0"/>
            </w:tcBorders>
            <w:vAlign w:val="center"/>
          </w:tcPr>
          <w:p w14:paraId="13E2073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019" w:type="dxa"/>
            <w:tcBorders>
              <w:top w:val="single" w:color="auto" w:sz="4" w:space="0"/>
              <w:left w:val="single" w:color="auto" w:sz="4" w:space="0"/>
              <w:bottom w:val="single" w:color="auto" w:sz="4" w:space="0"/>
              <w:right w:val="single" w:color="auto" w:sz="4" w:space="0"/>
            </w:tcBorders>
            <w:vAlign w:val="center"/>
          </w:tcPr>
          <w:p w14:paraId="7316391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274" w:type="dxa"/>
            <w:tcBorders>
              <w:top w:val="single" w:color="auto" w:sz="4" w:space="0"/>
              <w:left w:val="single" w:color="auto" w:sz="4" w:space="0"/>
              <w:bottom w:val="single" w:color="auto" w:sz="4" w:space="0"/>
              <w:right w:val="single" w:color="auto" w:sz="4" w:space="0"/>
            </w:tcBorders>
            <w:vAlign w:val="center"/>
          </w:tcPr>
          <w:p w14:paraId="796D61D9">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13303"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884" w:type="dxa"/>
            <w:tcBorders>
              <w:top w:val="single" w:color="auto" w:sz="4" w:space="0"/>
              <w:left w:val="single" w:color="auto" w:sz="4" w:space="0"/>
              <w:bottom w:val="single" w:color="auto" w:sz="4" w:space="0"/>
              <w:right w:val="single" w:color="auto" w:sz="4" w:space="0"/>
            </w:tcBorders>
            <w:vAlign w:val="center"/>
          </w:tcPr>
          <w:p w14:paraId="48769EB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101" w:type="dxa"/>
            <w:vMerge w:val="continue"/>
            <w:tcBorders>
              <w:left w:val="single" w:color="auto" w:sz="4" w:space="0"/>
              <w:right w:val="single" w:color="auto" w:sz="4" w:space="0"/>
            </w:tcBorders>
            <w:vAlign w:val="center"/>
          </w:tcPr>
          <w:p w14:paraId="2C2AE6F6">
            <w:pPr>
              <w:widowControl/>
              <w:jc w:val="center"/>
              <w:textAlignment w:val="center"/>
              <w:rPr>
                <w:rFonts w:ascii="宋体" w:hAnsi="宋体" w:cs="宋体"/>
                <w:kern w:val="0"/>
                <w:sz w:val="22"/>
                <w:szCs w:val="22"/>
                <w:lang w:bidi="ar"/>
              </w:rPr>
            </w:pPr>
          </w:p>
        </w:tc>
        <w:tc>
          <w:tcPr>
            <w:tcW w:w="2859" w:type="dxa"/>
            <w:tcBorders>
              <w:top w:val="single" w:color="auto" w:sz="4" w:space="0"/>
              <w:left w:val="single" w:color="auto" w:sz="4" w:space="0"/>
              <w:bottom w:val="single" w:color="auto" w:sz="4" w:space="0"/>
              <w:right w:val="single" w:color="auto" w:sz="4" w:space="0"/>
            </w:tcBorders>
            <w:vAlign w:val="center"/>
          </w:tcPr>
          <w:p w14:paraId="7627F8A9">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14:paraId="1AAB0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500" w:type="dxa"/>
            <w:tcBorders>
              <w:top w:val="single" w:color="auto" w:sz="4" w:space="0"/>
              <w:left w:val="single" w:color="auto" w:sz="4" w:space="0"/>
              <w:bottom w:val="single" w:color="auto" w:sz="4" w:space="0"/>
              <w:right w:val="single" w:color="auto" w:sz="4" w:space="0"/>
            </w:tcBorders>
            <w:vAlign w:val="center"/>
          </w:tcPr>
          <w:p w14:paraId="17ED81DD">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094" w:type="dxa"/>
            <w:tcBorders>
              <w:top w:val="single" w:color="auto" w:sz="4" w:space="0"/>
              <w:left w:val="single" w:color="auto" w:sz="4" w:space="0"/>
              <w:bottom w:val="single" w:color="auto" w:sz="4" w:space="0"/>
              <w:right w:val="single" w:color="auto" w:sz="4" w:space="0"/>
            </w:tcBorders>
            <w:vAlign w:val="center"/>
          </w:tcPr>
          <w:p w14:paraId="3DEA6B9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764" w:type="dxa"/>
            <w:tcBorders>
              <w:top w:val="single" w:color="auto" w:sz="4" w:space="0"/>
              <w:left w:val="single" w:color="auto" w:sz="4" w:space="0"/>
              <w:bottom w:val="single" w:color="auto" w:sz="4" w:space="0"/>
              <w:right w:val="single" w:color="auto" w:sz="4" w:space="0"/>
            </w:tcBorders>
            <w:vAlign w:val="center"/>
          </w:tcPr>
          <w:p w14:paraId="0714739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019" w:type="dxa"/>
            <w:tcBorders>
              <w:top w:val="single" w:color="auto" w:sz="4" w:space="0"/>
              <w:left w:val="single" w:color="auto" w:sz="4" w:space="0"/>
              <w:bottom w:val="single" w:color="auto" w:sz="4" w:space="0"/>
              <w:right w:val="single" w:color="auto" w:sz="4" w:space="0"/>
            </w:tcBorders>
            <w:vAlign w:val="center"/>
          </w:tcPr>
          <w:p w14:paraId="5D1C076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274" w:type="dxa"/>
            <w:tcBorders>
              <w:top w:val="single" w:color="auto" w:sz="4" w:space="0"/>
              <w:left w:val="single" w:color="auto" w:sz="4" w:space="0"/>
              <w:bottom w:val="single" w:color="auto" w:sz="4" w:space="0"/>
              <w:right w:val="single" w:color="auto" w:sz="4" w:space="0"/>
            </w:tcBorders>
            <w:vAlign w:val="center"/>
          </w:tcPr>
          <w:p w14:paraId="08826964">
            <w:pPr>
              <w:widowControl/>
              <w:jc w:val="center"/>
              <w:textAlignment w:val="center"/>
              <w:rPr>
                <w:rFonts w:ascii="宋体" w:hAnsi="宋体" w:cs="宋体"/>
                <w:color w:val="000000"/>
                <w:kern w:val="0"/>
                <w:sz w:val="22"/>
                <w:szCs w:val="22"/>
                <w:lang w:bidi="ar"/>
              </w:rPr>
            </w:pPr>
          </w:p>
        </w:tc>
        <w:tc>
          <w:tcPr>
            <w:tcW w:w="884" w:type="dxa"/>
            <w:tcBorders>
              <w:top w:val="single" w:color="auto" w:sz="4" w:space="0"/>
              <w:left w:val="single" w:color="auto" w:sz="4" w:space="0"/>
              <w:bottom w:val="single" w:color="auto" w:sz="4" w:space="0"/>
              <w:right w:val="single" w:color="auto" w:sz="4" w:space="0"/>
            </w:tcBorders>
            <w:vAlign w:val="center"/>
          </w:tcPr>
          <w:p w14:paraId="74FC143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101" w:type="dxa"/>
            <w:vMerge w:val="continue"/>
            <w:tcBorders>
              <w:left w:val="single" w:color="auto" w:sz="4" w:space="0"/>
              <w:bottom w:val="single" w:color="auto" w:sz="4" w:space="0"/>
              <w:right w:val="single" w:color="auto" w:sz="4" w:space="0"/>
            </w:tcBorders>
            <w:vAlign w:val="center"/>
          </w:tcPr>
          <w:p w14:paraId="30943B22">
            <w:pPr>
              <w:widowControl/>
              <w:jc w:val="center"/>
              <w:textAlignment w:val="center"/>
              <w:rPr>
                <w:rFonts w:ascii="宋体" w:hAnsi="宋体" w:cs="宋体"/>
                <w:kern w:val="0"/>
                <w:sz w:val="22"/>
                <w:szCs w:val="22"/>
                <w:lang w:bidi="ar"/>
              </w:rPr>
            </w:pPr>
          </w:p>
        </w:tc>
        <w:tc>
          <w:tcPr>
            <w:tcW w:w="2859" w:type="dxa"/>
            <w:tcBorders>
              <w:top w:val="single" w:color="auto" w:sz="4" w:space="0"/>
              <w:left w:val="single" w:color="auto" w:sz="4" w:space="0"/>
              <w:bottom w:val="single" w:color="auto" w:sz="4" w:space="0"/>
              <w:right w:val="single" w:color="auto" w:sz="4" w:space="0"/>
            </w:tcBorders>
            <w:vAlign w:val="center"/>
          </w:tcPr>
          <w:p w14:paraId="5D516AB8">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14:paraId="484D7AF9">
      <w:pPr>
        <w:snapToGrid w:val="0"/>
        <w:spacing w:line="360" w:lineRule="auto"/>
        <w:ind w:firstLine="482" w:firstLineChars="200"/>
        <w:rPr>
          <w:rFonts w:ascii="宋体" w:hAnsi="宋体" w:cs="Arial"/>
          <w:b/>
          <w:bCs/>
          <w:color w:val="0D0D0D"/>
          <w:sz w:val="24"/>
          <w:szCs w:val="20"/>
        </w:rPr>
      </w:pPr>
      <w:r>
        <w:rPr>
          <w:rFonts w:hint="eastAsia" w:ascii="宋体" w:hAnsi="宋体" w:cs="Arial"/>
          <w:b/>
          <w:color w:val="0D0D0D"/>
          <w:sz w:val="24"/>
        </w:rPr>
        <w:t>四</w:t>
      </w:r>
      <w:r>
        <w:rPr>
          <w:rFonts w:hint="eastAsia" w:ascii="宋体" w:hAnsi="宋体" w:cs="Arial"/>
          <w:color w:val="0D0D0D"/>
          <w:sz w:val="24"/>
        </w:rPr>
        <w:t>、</w:t>
      </w:r>
      <w:r>
        <w:rPr>
          <w:rFonts w:hint="eastAsia" w:ascii="宋体" w:hAnsi="宋体" w:cs="Arial"/>
          <w:b/>
          <w:bCs/>
          <w:color w:val="0D0D0D"/>
          <w:sz w:val="24"/>
        </w:rPr>
        <w:t>合格投标人的资格要求</w:t>
      </w:r>
    </w:p>
    <w:p w14:paraId="40EFB79C">
      <w:pPr>
        <w:snapToGrid w:val="0"/>
        <w:spacing w:line="360" w:lineRule="auto"/>
        <w:ind w:firstLine="542" w:firstLineChars="225"/>
        <w:rPr>
          <w:rFonts w:ascii="宋体" w:hAnsi="宋体" w:cs="Arial"/>
          <w:color w:val="0D0D0D"/>
          <w:sz w:val="24"/>
        </w:rPr>
      </w:pPr>
      <w:r>
        <w:rPr>
          <w:rFonts w:hint="eastAsia" w:ascii="宋体" w:hAnsi="宋体" w:cs="Arial"/>
          <w:b/>
          <w:color w:val="0D0D0D"/>
          <w:sz w:val="24"/>
        </w:rPr>
        <w:t>1、</w:t>
      </w:r>
      <w:r>
        <w:rPr>
          <w:rFonts w:hint="eastAsia" w:ascii="宋体" w:hAnsi="宋体" w:cs="Arial"/>
          <w:b/>
          <w:color w:val="0C0C0C"/>
          <w:sz w:val="24"/>
        </w:rPr>
        <w:t>具备提供本项目材料供应能力的投标供应商；</w:t>
      </w:r>
    </w:p>
    <w:p w14:paraId="15AD7F79">
      <w:pPr>
        <w:snapToGrid w:val="0"/>
        <w:spacing w:line="360" w:lineRule="auto"/>
        <w:ind w:firstLine="540" w:firstLineChars="225"/>
        <w:rPr>
          <w:rFonts w:ascii="宋体" w:hAnsi="宋体" w:cs="Arial"/>
          <w:color w:val="0D0D0D"/>
          <w:sz w:val="24"/>
        </w:rPr>
      </w:pPr>
      <w:r>
        <w:rPr>
          <w:rFonts w:hint="eastAsia" w:ascii="宋体" w:hAnsi="宋体" w:cs="Arial"/>
          <w:color w:val="0D0D0D"/>
          <w:sz w:val="24"/>
        </w:rPr>
        <w:t>2、本项目不接受联合体投标。</w:t>
      </w:r>
    </w:p>
    <w:p w14:paraId="05D6C076">
      <w:pPr>
        <w:snapToGrid w:val="0"/>
        <w:spacing w:line="360" w:lineRule="auto"/>
        <w:ind w:firstLine="542" w:firstLineChars="225"/>
        <w:rPr>
          <w:rFonts w:ascii="宋体" w:hAnsi="宋体" w:cs="Arial"/>
          <w:sz w:val="24"/>
          <w:szCs w:val="20"/>
        </w:rPr>
      </w:pPr>
      <w:r>
        <w:rPr>
          <w:rFonts w:hint="eastAsia" w:ascii="宋体" w:hAnsi="宋体" w:cs="Arial"/>
          <w:b/>
          <w:bCs/>
          <w:sz w:val="24"/>
        </w:rPr>
        <w:t>五、招标文件的获取</w:t>
      </w:r>
    </w:p>
    <w:p w14:paraId="03BBA9D9">
      <w:pPr>
        <w:snapToGrid w:val="0"/>
        <w:spacing w:line="360" w:lineRule="auto"/>
        <w:ind w:firstLine="539"/>
        <w:rPr>
          <w:rFonts w:ascii="宋体" w:hAnsi="宋体" w:cs="Arial"/>
          <w:sz w:val="24"/>
        </w:rPr>
      </w:pPr>
      <w:r>
        <w:rPr>
          <w:rFonts w:hint="eastAsia" w:ascii="宋体" w:hAnsi="宋体" w:cs="Arial"/>
          <w:sz w:val="24"/>
        </w:rPr>
        <w:t>本次招标文件的获取由各投标人自行到</w:t>
      </w:r>
      <w:r>
        <w:rPr>
          <w:rFonts w:hint="eastAsia" w:ascii="宋体" w:hAnsi="宋体" w:cs="宋体"/>
          <w:sz w:val="24"/>
        </w:rPr>
        <w:t>台州湾新区小额工程电子交易平台（网址：</w:t>
      </w:r>
      <w:r>
        <w:rPr>
          <w:sz w:val="24"/>
        </w:rPr>
        <w:t>http://www.tzwztb.com/</w:t>
      </w:r>
      <w:r>
        <w:rPr>
          <w:rFonts w:hint="eastAsia" w:ascii="宋体" w:hAnsi="宋体" w:cs="宋体"/>
          <w:sz w:val="24"/>
        </w:rPr>
        <w:t>）</w:t>
      </w:r>
      <w:r>
        <w:rPr>
          <w:rFonts w:hint="eastAsia" w:ascii="宋体" w:hAnsi="宋体" w:cs="Arial"/>
          <w:sz w:val="24"/>
        </w:rPr>
        <w:t>下载获取。本次招标取消报名环节请各投标人密切关注</w:t>
      </w:r>
      <w:r>
        <w:rPr>
          <w:rFonts w:hint="eastAsia" w:ascii="宋体" w:hAnsi="宋体" w:cs="宋体"/>
          <w:sz w:val="24"/>
        </w:rPr>
        <w:t>台州湾新区小额工程电子交易平台</w:t>
      </w:r>
      <w:r>
        <w:rPr>
          <w:rFonts w:hint="eastAsia" w:ascii="宋体" w:hAnsi="宋体" w:cs="Arial"/>
          <w:sz w:val="24"/>
        </w:rPr>
        <w:t>或浙江省政府采购网对本项目的答疑和澄清，由于投标人未及时了解，由此造成的后果招标人、招标代理概不负责。</w:t>
      </w:r>
    </w:p>
    <w:p w14:paraId="6123D219">
      <w:pPr>
        <w:snapToGrid w:val="0"/>
        <w:spacing w:line="360" w:lineRule="auto"/>
        <w:rPr>
          <w:rFonts w:ascii="宋体" w:hAnsi="宋体" w:cs="Arial"/>
          <w:sz w:val="24"/>
          <w:szCs w:val="20"/>
        </w:rPr>
      </w:pPr>
      <w:r>
        <w:rPr>
          <w:rFonts w:hint="eastAsia" w:ascii="宋体" w:hAnsi="宋体" w:cs="Arial"/>
          <w:b/>
          <w:bCs/>
          <w:sz w:val="24"/>
        </w:rPr>
        <w:t xml:space="preserve">    六、投标截止时间和地点</w:t>
      </w:r>
      <w:r>
        <w:rPr>
          <w:rFonts w:hint="eastAsia" w:ascii="宋体" w:hAnsi="宋体" w:cs="Arial"/>
          <w:sz w:val="24"/>
        </w:rPr>
        <w:t>：</w:t>
      </w:r>
    </w:p>
    <w:p w14:paraId="3B94F377">
      <w:pPr>
        <w:spacing w:line="360" w:lineRule="auto"/>
        <w:ind w:firstLine="480" w:firstLineChars="200"/>
        <w:jc w:val="left"/>
        <w:rPr>
          <w:rFonts w:ascii="宋体" w:hAnsi="宋体" w:cs="宋体"/>
          <w:sz w:val="24"/>
        </w:rPr>
      </w:pPr>
      <w:bookmarkStart w:id="0" w:name="_Toc35393625"/>
      <w:bookmarkStart w:id="1" w:name="_Toc28359007"/>
      <w:bookmarkStart w:id="2" w:name="_Toc28359084"/>
      <w:bookmarkStart w:id="3" w:name="_Toc35393794"/>
      <w:r>
        <w:rPr>
          <w:rFonts w:hint="eastAsia" w:ascii="宋体" w:hAnsi="宋体" w:cs="宋体"/>
          <w:sz w:val="24"/>
        </w:rPr>
        <w:t>（一）截止时间（开标时间）：</w:t>
      </w:r>
      <w:r>
        <w:rPr>
          <w:rFonts w:hint="eastAsia" w:ascii="宋体" w:hAnsi="宋体" w:cs="宋体"/>
          <w:bCs/>
          <w:sz w:val="24"/>
          <w:u w:val="single"/>
        </w:rPr>
        <w:t>2024年</w:t>
      </w:r>
      <w:r>
        <w:rPr>
          <w:rFonts w:hint="eastAsia" w:ascii="宋体" w:hAnsi="宋体" w:cs="宋体"/>
          <w:bCs/>
          <w:sz w:val="24"/>
          <w:u w:val="single"/>
          <w:lang w:val="en-US" w:eastAsia="zh-CN"/>
        </w:rPr>
        <w:t>10</w:t>
      </w:r>
      <w:r>
        <w:rPr>
          <w:rFonts w:hint="eastAsia" w:ascii="宋体" w:hAnsi="宋体" w:cs="宋体"/>
          <w:bCs/>
          <w:sz w:val="24"/>
          <w:u w:val="single"/>
        </w:rPr>
        <w:t>月</w:t>
      </w:r>
      <w:r>
        <w:rPr>
          <w:rFonts w:hint="eastAsia" w:ascii="宋体" w:hAnsi="宋体" w:cs="宋体"/>
          <w:bCs/>
          <w:sz w:val="24"/>
          <w:u w:val="single"/>
          <w:lang w:val="en-US" w:eastAsia="zh-CN"/>
        </w:rPr>
        <w:t>22</w:t>
      </w:r>
      <w:r>
        <w:rPr>
          <w:rFonts w:hint="eastAsia" w:ascii="宋体" w:hAnsi="宋体" w:cs="宋体"/>
          <w:bCs/>
          <w:sz w:val="24"/>
          <w:u w:val="single"/>
        </w:rPr>
        <w:t>日</w:t>
      </w:r>
      <w:r>
        <w:rPr>
          <w:rFonts w:ascii="宋体" w:hAnsi="宋体" w:cs="宋体"/>
          <w:bCs/>
          <w:sz w:val="24"/>
          <w:u w:val="single"/>
        </w:rPr>
        <w:t>9</w:t>
      </w:r>
      <w:r>
        <w:rPr>
          <w:rFonts w:hint="eastAsia" w:ascii="宋体" w:hAnsi="宋体" w:cs="宋体"/>
          <w:bCs/>
          <w:sz w:val="24"/>
          <w:u w:val="single"/>
        </w:rPr>
        <w:t>点30分</w:t>
      </w:r>
      <w:r>
        <w:rPr>
          <w:rFonts w:hint="eastAsia" w:ascii="宋体" w:hAnsi="宋体" w:cs="宋体"/>
          <w:sz w:val="24"/>
        </w:rPr>
        <w:t>（北京时间）</w:t>
      </w:r>
    </w:p>
    <w:p w14:paraId="6A385472">
      <w:pPr>
        <w:spacing w:line="360" w:lineRule="auto"/>
        <w:ind w:firstLine="480" w:firstLineChars="200"/>
        <w:jc w:val="left"/>
        <w:rPr>
          <w:rFonts w:ascii="宋体" w:hAnsi="宋体" w:cs="宋体"/>
          <w:sz w:val="24"/>
        </w:rPr>
      </w:pPr>
      <w:r>
        <w:rPr>
          <w:rFonts w:hint="eastAsia" w:ascii="宋体" w:hAnsi="宋体" w:cs="宋体"/>
          <w:sz w:val="24"/>
        </w:rPr>
        <w:t>（二）投标网址：台州湾新区小额工程电子交易平台（网址：</w:t>
      </w:r>
      <w:r>
        <w:rPr>
          <w:sz w:val="24"/>
        </w:rPr>
        <w:t>http://www.tzwztb.com/</w:t>
      </w:r>
      <w:r>
        <w:rPr>
          <w:rFonts w:hint="eastAsia" w:ascii="宋体" w:hAnsi="宋体" w:cs="宋体"/>
          <w:sz w:val="24"/>
        </w:rPr>
        <w:t>）</w:t>
      </w:r>
    </w:p>
    <w:bookmarkEnd w:id="0"/>
    <w:bookmarkEnd w:id="1"/>
    <w:bookmarkEnd w:id="2"/>
    <w:bookmarkEnd w:id="3"/>
    <w:p w14:paraId="12CE4DAD">
      <w:pPr>
        <w:tabs>
          <w:tab w:val="left" w:pos="8280"/>
        </w:tabs>
        <w:snapToGrid w:val="0"/>
        <w:spacing w:line="360" w:lineRule="auto"/>
        <w:rPr>
          <w:rFonts w:ascii="宋体" w:hAnsi="宋体" w:cs="Arial"/>
          <w:b/>
          <w:bCs/>
          <w:sz w:val="24"/>
        </w:rPr>
      </w:pPr>
      <w:r>
        <w:rPr>
          <w:rFonts w:hint="eastAsia" w:ascii="宋体" w:hAnsi="宋体" w:cs="Arial"/>
          <w:b/>
          <w:bCs/>
          <w:sz w:val="24"/>
        </w:rPr>
        <w:t>七、注册报名</w:t>
      </w:r>
    </w:p>
    <w:p w14:paraId="30F262E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投标人需登录</w:t>
      </w:r>
      <w:r>
        <w:rPr>
          <w:rFonts w:hint="eastAsia" w:ascii="宋体" w:hAnsi="宋体" w:cs="宋体"/>
          <w:b/>
          <w:kern w:val="0"/>
          <w:sz w:val="24"/>
        </w:rPr>
        <w:t>台州湾新区小额工程电子交易平台（</w:t>
      </w:r>
      <w:r>
        <w:rPr>
          <w:rFonts w:ascii="宋体" w:hAnsi="宋体" w:cs="宋体"/>
          <w:b/>
          <w:kern w:val="0"/>
          <w:sz w:val="24"/>
        </w:rPr>
        <w:t>http://www.tzwztb.com/</w:t>
      </w:r>
      <w:r>
        <w:rPr>
          <w:rFonts w:hint="eastAsia" w:ascii="宋体" w:hAnsi="宋体" w:cs="宋体"/>
          <w:b/>
          <w:kern w:val="0"/>
          <w:sz w:val="24"/>
        </w:rPr>
        <w:t>)</w:t>
      </w:r>
      <w:r>
        <w:rPr>
          <w:rFonts w:hint="eastAsia" w:ascii="宋体" w:hAnsi="宋体" w:cs="宋体"/>
          <w:sz w:val="24"/>
        </w:rPr>
        <w:t>进行注册后报名。</w:t>
      </w:r>
    </w:p>
    <w:p w14:paraId="1E018A3C">
      <w:pPr>
        <w:snapToGrid w:val="0"/>
        <w:spacing w:line="360" w:lineRule="auto"/>
        <w:ind w:firstLine="480" w:firstLineChars="200"/>
        <w:rPr>
          <w:rFonts w:ascii="宋体" w:hAnsi="宋体" w:cs="Arial"/>
          <w:sz w:val="24"/>
          <w:szCs w:val="20"/>
        </w:rPr>
      </w:pPr>
    </w:p>
    <w:p w14:paraId="45974925">
      <w:pPr>
        <w:snapToGrid w:val="0"/>
        <w:spacing w:line="360" w:lineRule="auto"/>
        <w:ind w:firstLine="482" w:firstLineChars="200"/>
        <w:rPr>
          <w:rFonts w:ascii="宋体" w:hAnsi="宋体" w:cs="Arial"/>
          <w:sz w:val="24"/>
          <w:szCs w:val="20"/>
        </w:rPr>
      </w:pPr>
      <w:r>
        <w:rPr>
          <w:rFonts w:hint="eastAsia" w:ascii="宋体" w:hAnsi="宋体" w:cs="Arial"/>
          <w:b/>
          <w:bCs/>
          <w:sz w:val="24"/>
        </w:rPr>
        <w:t>九、投标保证金</w:t>
      </w:r>
      <w:r>
        <w:rPr>
          <w:rFonts w:hint="eastAsia" w:ascii="宋体" w:hAnsi="宋体" w:cs="Arial"/>
          <w:sz w:val="24"/>
        </w:rPr>
        <w:t>：</w:t>
      </w:r>
    </w:p>
    <w:p w14:paraId="31CB603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1.投标保证金金额</w:t>
      </w:r>
      <w:r>
        <w:rPr>
          <w:rFonts w:hint="eastAsia" w:ascii="宋体" w:hAnsi="宋体" w:cs="宋体"/>
          <w:bCs/>
          <w:kern w:val="0"/>
          <w:sz w:val="24"/>
          <w:u w:val="single"/>
        </w:rPr>
        <w:t>：0.3万</w:t>
      </w:r>
      <w:r>
        <w:rPr>
          <w:rFonts w:hint="eastAsia" w:ascii="宋体" w:hAnsi="宋体" w:cs="宋体"/>
          <w:bCs/>
          <w:kern w:val="0"/>
          <w:sz w:val="24"/>
        </w:rPr>
        <w:t>元。</w:t>
      </w:r>
    </w:p>
    <w:p w14:paraId="14B93155">
      <w:pPr>
        <w:pStyle w:val="46"/>
        <w:ind w:left="0" w:leftChars="0" w:firstLine="464"/>
        <w:jc w:val="left"/>
        <w:rPr>
          <w:rFonts w:ascii="宋体" w:hAnsi="宋体" w:eastAsia="宋体" w:cs="宋体"/>
          <w:bCs/>
          <w:kern w:val="0"/>
          <w:sz w:val="24"/>
        </w:rPr>
      </w:pPr>
      <w:r>
        <w:rPr>
          <w:rFonts w:hint="eastAsia" w:ascii="宋体" w:hAnsi="宋体" w:eastAsia="宋体" w:cs="宋体"/>
          <w:bCs/>
          <w:kern w:val="0"/>
          <w:sz w:val="24"/>
        </w:rPr>
        <w:t>2.投标保证金缴纳方式：现金转账、银行保函、保险机构保证保险保单、融资担保公司保函。</w:t>
      </w:r>
    </w:p>
    <w:p w14:paraId="45BC69B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（1）现金转账</w:t>
      </w:r>
    </w:p>
    <w:p w14:paraId="1666CA5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① 电汇或银行转账（请不要使用“支付宝”等第三方支付平台），通过“台州湾新区小额工程电子交易平台”取得相</w:t>
      </w:r>
      <w:bookmarkStart w:id="6" w:name="_GoBack"/>
      <w:bookmarkEnd w:id="6"/>
      <w:r>
        <w:rPr>
          <w:rFonts w:hint="eastAsia" w:ascii="宋体" w:hAnsi="宋体" w:cs="宋体"/>
          <w:bCs/>
          <w:kern w:val="0"/>
          <w:sz w:val="24"/>
        </w:rPr>
        <w:t>应的银行账号后支付，投标保证金收款账号根据不同工程（标段）由系统随机生成，此账号只在本工程（标段）中使用有效，请注意核对。</w:t>
      </w:r>
    </w:p>
    <w:p w14:paraId="2ECEE4A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2D11AB70">
      <w:pPr>
        <w:tabs>
          <w:tab w:val="left" w:pos="180"/>
          <w:tab w:val="left" w:pos="360"/>
          <w:tab w:val="left" w:pos="540"/>
          <w:tab w:val="left" w:pos="8280"/>
        </w:tabs>
        <w:autoSpaceDE w:val="0"/>
        <w:autoSpaceDN w:val="0"/>
        <w:adjustRightInd w:val="0"/>
        <w:spacing w:line="360" w:lineRule="auto"/>
        <w:jc w:val="left"/>
        <w:rPr>
          <w:rFonts w:ascii="宋体" w:hAnsi="宋体" w:cs="宋体"/>
          <w:b/>
          <w:kern w:val="0"/>
          <w:sz w:val="24"/>
        </w:rPr>
      </w:pPr>
    </w:p>
    <w:p w14:paraId="1938E22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（2）银行保函、保险机构保证保险保单、融资担保公司保函（以下合称“工程保函”）</w:t>
      </w:r>
    </w:p>
    <w:p w14:paraId="5438F50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①工程保函的受益人</w:t>
      </w:r>
      <w:r>
        <w:rPr>
          <w:rFonts w:hint="eastAsia" w:ascii="宋体" w:hAnsi="宋体" w:cs="宋体"/>
          <w:bCs/>
          <w:kern w:val="0"/>
          <w:sz w:val="24"/>
          <w:u w:val="single"/>
        </w:rPr>
        <w:t>：台州东发建设集团有限公司</w:t>
      </w:r>
    </w:p>
    <w:p w14:paraId="17FD0969">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（招标人名称）；</w:t>
      </w:r>
    </w:p>
    <w:p w14:paraId="5E02EE6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②工程保函的有效期为1年；</w:t>
      </w:r>
    </w:p>
    <w:p w14:paraId="15CB646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③递交方式：</w:t>
      </w:r>
    </w:p>
    <w:p w14:paraId="192C7D38">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递交方式一（电子保函系统）：</w:t>
      </w:r>
    </w:p>
    <w:p w14:paraId="5EA70E11">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通过台州湾新区小额工程电子交易平台选择“电子保函”递交方式，并按系统流程进行操作、购买电子保函。</w:t>
      </w:r>
    </w:p>
    <w:p w14:paraId="2358668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p>
    <w:p w14:paraId="4373090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u w:val="single"/>
        </w:rPr>
      </w:pPr>
      <w:r>
        <w:rPr>
          <w:rFonts w:hint="eastAsia" w:ascii="宋体" w:hAnsi="宋体" w:cs="宋体"/>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kern w:val="0"/>
          <w:sz w:val="24"/>
          <w:u w:val="single"/>
        </w:rPr>
        <w:t>投标电子保函针对具体项目标段的要求“一标段一保函”，每个标段对应相应的订单号，汇款时备注订单号。</w:t>
      </w:r>
    </w:p>
    <w:p w14:paraId="722ABBB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14:paraId="4A59241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递交方式二（非电子保函系统）：</w:t>
      </w:r>
    </w:p>
    <w:p w14:paraId="20B4054B">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投标人须在投标截止时间前将工程保函纸质原件、基本账户证明材料复印件（加盖公章）、保费支付的银行回单一并按要求递交。 </w:t>
      </w:r>
    </w:p>
    <w:p w14:paraId="1E53995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递交方式：现场递交。</w:t>
      </w:r>
    </w:p>
    <w:p w14:paraId="7F3DAD3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提交地点：</w:t>
      </w:r>
      <w:r>
        <w:rPr>
          <w:rFonts w:hint="eastAsia" w:ascii="宋体" w:hAnsi="宋体" w:cs="宋体"/>
          <w:bCs/>
          <w:kern w:val="0"/>
          <w:sz w:val="24"/>
          <w:u w:val="single"/>
        </w:rPr>
        <w:t>台州湾新区海虹街道一楼大厅</w:t>
      </w:r>
    </w:p>
    <w:p w14:paraId="47CAB2C3">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提交时间：</w:t>
      </w:r>
      <w:r>
        <w:rPr>
          <w:rFonts w:ascii="宋体" w:hAnsi="宋体" w:cs="宋体"/>
          <w:bCs/>
          <w:kern w:val="0"/>
          <w:sz w:val="24"/>
          <w:u w:val="single"/>
        </w:rPr>
        <w:t>202</w:t>
      </w:r>
      <w:r>
        <w:rPr>
          <w:rFonts w:hint="eastAsia" w:ascii="宋体" w:hAnsi="宋体" w:cs="宋体"/>
          <w:bCs/>
          <w:kern w:val="0"/>
          <w:sz w:val="24"/>
          <w:u w:val="single"/>
        </w:rPr>
        <w:t>4</w:t>
      </w:r>
      <w:r>
        <w:rPr>
          <w:rFonts w:ascii="宋体" w:hAnsi="宋体" w:cs="宋体"/>
          <w:bCs/>
          <w:kern w:val="0"/>
          <w:sz w:val="24"/>
          <w:u w:val="single"/>
        </w:rPr>
        <w:t>年</w:t>
      </w:r>
      <w:r>
        <w:rPr>
          <w:rFonts w:hint="eastAsia" w:ascii="宋体" w:hAnsi="宋体" w:cs="宋体"/>
          <w:bCs/>
          <w:kern w:val="0"/>
          <w:sz w:val="24"/>
          <w:u w:val="single"/>
          <w:lang w:val="en-US" w:eastAsia="zh-CN"/>
        </w:rPr>
        <w:t>10</w:t>
      </w:r>
      <w:r>
        <w:rPr>
          <w:rFonts w:ascii="宋体" w:hAnsi="宋体" w:cs="宋体"/>
          <w:bCs/>
          <w:kern w:val="0"/>
          <w:sz w:val="24"/>
          <w:u w:val="single"/>
        </w:rPr>
        <w:t>月</w:t>
      </w:r>
      <w:r>
        <w:rPr>
          <w:rFonts w:hint="eastAsia" w:ascii="宋体" w:hAnsi="宋体" w:cs="宋体"/>
          <w:bCs/>
          <w:kern w:val="0"/>
          <w:sz w:val="24"/>
          <w:u w:val="single"/>
          <w:lang w:val="en-US" w:eastAsia="zh-CN"/>
        </w:rPr>
        <w:t>22</w:t>
      </w:r>
      <w:r>
        <w:rPr>
          <w:rFonts w:ascii="宋体" w:hAnsi="宋体" w:cs="宋体"/>
          <w:bCs/>
          <w:kern w:val="0"/>
          <w:sz w:val="24"/>
          <w:u w:val="single"/>
        </w:rPr>
        <w:t>日9：</w:t>
      </w:r>
      <w:r>
        <w:rPr>
          <w:rFonts w:hint="eastAsia" w:ascii="宋体" w:hAnsi="宋体" w:cs="宋体"/>
          <w:bCs/>
          <w:kern w:val="0"/>
          <w:sz w:val="24"/>
          <w:u w:val="single"/>
        </w:rPr>
        <w:t>00-</w:t>
      </w:r>
      <w:r>
        <w:rPr>
          <w:rFonts w:ascii="宋体" w:hAnsi="宋体" w:cs="宋体"/>
          <w:bCs/>
          <w:kern w:val="0"/>
          <w:sz w:val="24"/>
          <w:u w:val="single"/>
        </w:rPr>
        <w:t>9</w:t>
      </w:r>
      <w:r>
        <w:rPr>
          <w:rFonts w:hint="eastAsia" w:ascii="宋体" w:hAnsi="宋体" w:cs="宋体"/>
          <w:bCs/>
          <w:kern w:val="0"/>
          <w:sz w:val="24"/>
          <w:u w:val="single"/>
        </w:rPr>
        <w:t>：30</w:t>
      </w:r>
    </w:p>
    <w:p w14:paraId="3F0AD35F">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w:t>
      </w:r>
      <w:r>
        <w:rPr>
          <w:rFonts w:hint="eastAsia" w:ascii="宋体" w:hAnsi="宋体" w:cs="宋体"/>
          <w:bCs/>
          <w:kern w:val="0"/>
          <w:sz w:val="24"/>
          <w:u w:val="single"/>
        </w:rPr>
        <w:t>台州市建设咨询有限公司</w:t>
      </w:r>
      <w:r>
        <w:rPr>
          <w:rFonts w:hint="eastAsia" w:ascii="宋体" w:hAnsi="宋体" w:cs="宋体"/>
          <w:bCs/>
          <w:kern w:val="0"/>
          <w:sz w:val="24"/>
        </w:rPr>
        <w:t>（代理机构）</w:t>
      </w:r>
    </w:p>
    <w:p w14:paraId="751F81FD">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接收人联系方式：</w:t>
      </w:r>
      <w:r>
        <w:rPr>
          <w:rFonts w:hint="eastAsia" w:ascii="宋体" w:hAnsi="宋体" w:cs="宋体"/>
          <w:bCs/>
          <w:kern w:val="0"/>
          <w:sz w:val="24"/>
          <w:u w:val="single"/>
        </w:rPr>
        <w:t>0576-88517783</w:t>
      </w:r>
      <w:r>
        <w:rPr>
          <w:rFonts w:ascii="宋体" w:hAnsi="宋体" w:cs="宋体"/>
          <w:bCs/>
          <w:kern w:val="0"/>
          <w:sz w:val="24"/>
          <w:u w:val="single"/>
        </w:rPr>
        <w:t xml:space="preserve">          </w:t>
      </w:r>
      <w:r>
        <w:rPr>
          <w:rFonts w:hint="eastAsia" w:ascii="宋体" w:hAnsi="宋体" w:cs="宋体"/>
          <w:bCs/>
          <w:kern w:val="0"/>
          <w:sz w:val="24"/>
        </w:rPr>
        <w:t xml:space="preserve"> </w:t>
      </w:r>
    </w:p>
    <w:p w14:paraId="4BC7ACD2">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rPr>
      </w:pPr>
      <w:r>
        <w:rPr>
          <w:rFonts w:hint="eastAsia" w:ascii="宋体" w:hAnsi="宋体" w:cs="宋体"/>
          <w:bCs/>
          <w:kern w:val="0"/>
          <w:sz w:val="24"/>
        </w:rPr>
        <w:t>注：投标保函文件中必须包含投标企业的信息，包含但不仅限于投标企业名称、保证方式、保证金额、保函获得时间、保证项目名称、保函有效期限、保费标准、费用支付账户（基本账户）等。</w:t>
      </w:r>
    </w:p>
    <w:p w14:paraId="4FA62BE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14:paraId="43A5E15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3、注意事项</w:t>
      </w:r>
    </w:p>
    <w:p w14:paraId="273E802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①若招标文件允许联合体投标且投标人以联合体身份投标的，由联合体牵头人提交投标保证金；</w:t>
      </w:r>
    </w:p>
    <w:p w14:paraId="39F5E238">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②以银行转账形式提交的投标保证金应当从投标人基本账户转出，购买工程保函的费用应当从投标人基本账户支付；</w:t>
      </w:r>
    </w:p>
    <w:p w14:paraId="3C68FCC8">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③若有疑问，请咨询技术服务热线：13454667697</w:t>
      </w:r>
    </w:p>
    <w:p w14:paraId="18E2A93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r>
        <w:rPr>
          <w:rFonts w:hint="eastAsia" w:ascii="宋体" w:hAnsi="宋体" w:cs="宋体"/>
          <w:b/>
          <w:kern w:val="0"/>
          <w:sz w:val="24"/>
        </w:rPr>
        <w:t>④以上未按要求提供或提供不清晰的，评标委员会可能做出不利于投标人的评审结果，由此造成的风险由投标人自行承担。</w:t>
      </w:r>
    </w:p>
    <w:p w14:paraId="7C22B3D9">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rPr>
      </w:pPr>
    </w:p>
    <w:p w14:paraId="5D51F23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rPr>
      </w:pPr>
      <w:r>
        <w:rPr>
          <w:rFonts w:hint="eastAsia" w:ascii="宋体" w:hAnsi="宋体" w:cs="宋体"/>
          <w:b/>
          <w:kern w:val="0"/>
          <w:sz w:val="24"/>
        </w:rPr>
        <w:t>4、</w:t>
      </w:r>
      <w:r>
        <w:rPr>
          <w:rFonts w:hint="eastAsia" w:ascii="宋体" w:hAnsi="宋体" w:cs="宋体"/>
          <w:bCs/>
          <w:kern w:val="0"/>
          <w:sz w:val="24"/>
        </w:rPr>
        <w:t>购买工程电子保函截止时间：</w:t>
      </w:r>
      <w:r>
        <w:rPr>
          <w:rFonts w:hint="eastAsia" w:ascii="宋体" w:hAnsi="宋体" w:cs="宋体"/>
          <w:b/>
          <w:bCs/>
          <w:color w:val="000000"/>
          <w:kern w:val="0"/>
          <w:sz w:val="24"/>
          <w:u w:val="single"/>
        </w:rPr>
        <w:t xml:space="preserve"> 2024 </w:t>
      </w:r>
      <w:r>
        <w:rPr>
          <w:rFonts w:hint="eastAsia" w:ascii="宋体" w:hAnsi="宋体" w:cs="宋体"/>
          <w:b/>
          <w:bCs/>
          <w:color w:val="000000"/>
          <w:kern w:val="0"/>
          <w:sz w:val="24"/>
        </w:rPr>
        <w:t>年</w:t>
      </w:r>
      <w:r>
        <w:rPr>
          <w:rFonts w:hint="eastAsia" w:ascii="宋体" w:hAnsi="宋体" w:cs="宋体"/>
          <w:b/>
          <w:bCs/>
          <w:color w:val="000000"/>
          <w:kern w:val="0"/>
          <w:sz w:val="24"/>
          <w:u w:val="single"/>
          <w:lang w:val="en-US" w:eastAsia="zh-CN"/>
        </w:rPr>
        <w:t>10</w:t>
      </w:r>
      <w:r>
        <w:rPr>
          <w:rFonts w:hint="eastAsia" w:ascii="宋体" w:hAnsi="宋体" w:cs="宋体"/>
          <w:b/>
          <w:bCs/>
          <w:color w:val="000000"/>
          <w:kern w:val="0"/>
          <w:sz w:val="24"/>
        </w:rPr>
        <w:t>月</w:t>
      </w:r>
      <w:r>
        <w:rPr>
          <w:rFonts w:hint="eastAsia" w:ascii="宋体" w:hAnsi="宋体" w:cs="宋体"/>
          <w:b/>
          <w:bCs/>
          <w:color w:val="000000"/>
          <w:kern w:val="0"/>
          <w:sz w:val="24"/>
          <w:u w:val="single"/>
          <w:lang w:val="en-US" w:eastAsia="zh-CN"/>
        </w:rPr>
        <w:t>21</w:t>
      </w:r>
      <w:r>
        <w:rPr>
          <w:rFonts w:hint="eastAsia" w:ascii="宋体" w:hAnsi="宋体" w:cs="宋体"/>
          <w:b/>
          <w:bCs/>
          <w:color w:val="000000"/>
          <w:kern w:val="0"/>
          <w:sz w:val="24"/>
          <w:u w:val="single"/>
        </w:rPr>
        <w:t>日</w:t>
      </w:r>
      <w:r>
        <w:rPr>
          <w:rFonts w:hint="eastAsia" w:ascii="宋体" w:hAnsi="宋体" w:cs="宋体"/>
          <w:b/>
          <w:bCs/>
          <w:color w:val="000000"/>
          <w:kern w:val="0"/>
          <w:sz w:val="24"/>
        </w:rPr>
        <w:t>下午16点前</w:t>
      </w:r>
    </w:p>
    <w:p w14:paraId="7DACCF53">
      <w:pPr>
        <w:snapToGrid w:val="0"/>
        <w:spacing w:line="336" w:lineRule="auto"/>
        <w:ind w:firstLine="542" w:firstLineChars="225"/>
        <w:rPr>
          <w:rFonts w:ascii="宋体" w:hAnsi="宋体" w:cs="宋体"/>
          <w:b/>
          <w:bCs/>
          <w:sz w:val="24"/>
        </w:rPr>
      </w:pPr>
      <w:r>
        <w:rPr>
          <w:rFonts w:hint="eastAsia" w:ascii="宋体" w:hAnsi="宋体" w:cs="宋体"/>
          <w:b/>
          <w:sz w:val="24"/>
        </w:rPr>
        <w:t>十、</w:t>
      </w:r>
      <w:r>
        <w:rPr>
          <w:rFonts w:hint="eastAsia" w:ascii="宋体" w:hAnsi="宋体" w:cs="宋体"/>
          <w:b/>
          <w:bCs/>
          <w:sz w:val="24"/>
        </w:rPr>
        <w:t>公告、公示媒体：</w:t>
      </w:r>
    </w:p>
    <w:p w14:paraId="0FC429A5">
      <w:pPr>
        <w:snapToGrid w:val="0"/>
        <w:spacing w:line="360" w:lineRule="auto"/>
        <w:ind w:firstLine="480" w:firstLineChars="200"/>
        <w:rPr>
          <w:rFonts w:ascii="宋体" w:hAnsi="宋体" w:cs="Arial"/>
          <w:b/>
          <w:sz w:val="24"/>
        </w:rPr>
      </w:pPr>
      <w:r>
        <w:rPr>
          <w:rFonts w:hint="eastAsia" w:ascii="宋体" w:hAnsi="宋体" w:cs="宋体"/>
          <w:sz w:val="24"/>
        </w:rPr>
        <w:t>公告网址：台州湾新区小额工程电子交易平台</w:t>
      </w:r>
      <w:r>
        <w:rPr>
          <w:rFonts w:ascii="宋体" w:hAnsi="宋体" w:cs="宋体"/>
          <w:sz w:val="24"/>
        </w:rPr>
        <w:t>”</w:t>
      </w:r>
      <w:r>
        <w:rPr>
          <w:rFonts w:hint="eastAsia" w:ascii="宋体" w:hAnsi="宋体" w:cs="宋体"/>
          <w:sz w:val="24"/>
        </w:rPr>
        <w:t>（http://www.tzwztb.com）、</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sz w:val="24"/>
        </w:rPr>
        <w:t>。</w:t>
      </w:r>
    </w:p>
    <w:p w14:paraId="0C393542">
      <w:pPr>
        <w:snapToGrid w:val="0"/>
        <w:spacing w:line="360" w:lineRule="auto"/>
        <w:ind w:firstLine="482" w:firstLineChars="200"/>
        <w:rPr>
          <w:rFonts w:ascii="宋体" w:hAnsi="宋体" w:cs="Arial"/>
          <w:b/>
          <w:sz w:val="24"/>
          <w:szCs w:val="20"/>
        </w:rPr>
      </w:pPr>
      <w:r>
        <w:rPr>
          <w:rFonts w:hint="eastAsia" w:ascii="宋体" w:hAnsi="宋体" w:cs="Arial"/>
          <w:b/>
          <w:sz w:val="24"/>
        </w:rPr>
        <w:t>十一、联系方式：</w:t>
      </w:r>
    </w:p>
    <w:p w14:paraId="799B5AA9">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64A860BF">
      <w:pPr>
        <w:spacing w:line="336" w:lineRule="auto"/>
        <w:ind w:firstLine="600" w:firstLineChars="250"/>
        <w:rPr>
          <w:rFonts w:hAnsi="宋体" w:cs="宋体"/>
          <w:b/>
          <w:bCs/>
        </w:rPr>
      </w:pPr>
      <w:r>
        <w:rPr>
          <w:rFonts w:hint="eastAsia" w:ascii="宋体" w:hAnsi="宋体" w:cs="宋体"/>
          <w:sz w:val="24"/>
        </w:rPr>
        <w:t>采购</w:t>
      </w:r>
      <w:r>
        <w:rPr>
          <w:rFonts w:hint="eastAsia" w:ascii="宋体" w:hAnsi="宋体" w:cs="宋体"/>
          <w:kern w:val="0"/>
          <w:sz w:val="24"/>
        </w:rPr>
        <w:t>单位：</w:t>
      </w:r>
      <w:r>
        <w:rPr>
          <w:rFonts w:hint="eastAsia" w:ascii="宋体" w:hAnsi="宋体" w:cs="宋体"/>
          <w:kern w:val="0"/>
          <w:sz w:val="24"/>
          <w:u w:val="single"/>
        </w:rPr>
        <w:t>台州东发建设集团有限公司</w:t>
      </w:r>
      <w:r>
        <w:rPr>
          <w:rFonts w:hint="eastAsia" w:hAnsi="宋体" w:cs="宋体"/>
          <w:b/>
          <w:bCs/>
          <w:u w:val="single"/>
        </w:rPr>
        <w:t xml:space="preserve">  </w:t>
      </w:r>
      <w:r>
        <w:rPr>
          <w:rFonts w:hint="eastAsia" w:hAnsi="宋体" w:cs="宋体"/>
          <w:b/>
          <w:bCs/>
        </w:rPr>
        <w:t xml:space="preserve">   </w:t>
      </w:r>
    </w:p>
    <w:p w14:paraId="49A2C20D">
      <w:pPr>
        <w:spacing w:line="336" w:lineRule="auto"/>
        <w:ind w:firstLine="600" w:firstLineChars="250"/>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朱女士   </w:t>
      </w:r>
      <w:r>
        <w:rPr>
          <w:rFonts w:hint="eastAsia" w:ascii="宋体" w:hAnsi="宋体" w:cs="宋体"/>
          <w:sz w:val="24"/>
        </w:rPr>
        <w:t xml:space="preserve">  </w:t>
      </w:r>
    </w:p>
    <w:p w14:paraId="2B9470DC">
      <w:pPr>
        <w:spacing w:line="336" w:lineRule="auto"/>
        <w:ind w:firstLine="600" w:firstLineChars="250"/>
        <w:rPr>
          <w:rFonts w:ascii="宋体" w:hAnsi="宋体" w:cs="宋体"/>
          <w:sz w:val="24"/>
          <w:u w:val="single"/>
        </w:rPr>
      </w:pPr>
      <w:r>
        <w:rPr>
          <w:rFonts w:hint="eastAsia" w:ascii="宋体" w:hAnsi="宋体" w:cs="宋体"/>
          <w:sz w:val="24"/>
        </w:rPr>
        <w:t>联系电话：</w:t>
      </w:r>
      <w:r>
        <w:rPr>
          <w:rFonts w:hint="eastAsia" w:ascii="宋体" w:hAnsi="宋体" w:cs="宋体"/>
          <w:bCs/>
          <w:sz w:val="24"/>
          <w:u w:val="single"/>
        </w:rPr>
        <w:t>0576-88903253</w:t>
      </w:r>
      <w:r>
        <w:rPr>
          <w:rFonts w:hint="eastAsia" w:ascii="宋体" w:hAnsi="宋体" w:cs="宋体"/>
          <w:sz w:val="24"/>
          <w:u w:val="single"/>
        </w:rPr>
        <w:t xml:space="preserve"> ；</w:t>
      </w:r>
    </w:p>
    <w:p w14:paraId="3B61CC32">
      <w:pPr>
        <w:spacing w:line="336" w:lineRule="auto"/>
        <w:ind w:firstLine="600" w:firstLineChars="250"/>
        <w:rPr>
          <w:rFonts w:hAnsi="宋体" w:cs="宋体"/>
          <w:b/>
          <w:bCs/>
        </w:rPr>
      </w:pPr>
      <w:r>
        <w:rPr>
          <w:rFonts w:hint="eastAsia" w:ascii="宋体" w:hAnsi="宋体" w:cs="宋体"/>
          <w:sz w:val="24"/>
        </w:rPr>
        <w:t>地址：</w:t>
      </w:r>
      <w:r>
        <w:rPr>
          <w:rFonts w:hint="eastAsia" w:ascii="宋体" w:hAnsi="宋体" w:cs="宋体"/>
          <w:sz w:val="24"/>
          <w:u w:val="single"/>
        </w:rPr>
        <w:t>台州市甲南大道东段9号</w:t>
      </w:r>
    </w:p>
    <w:p w14:paraId="492B5587">
      <w:pPr>
        <w:spacing w:line="360" w:lineRule="auto"/>
        <w:ind w:firstLine="482" w:firstLineChars="200"/>
        <w:rPr>
          <w:rFonts w:ascii="宋体" w:hAnsi="宋体" w:cs="宋体"/>
          <w:kern w:val="0"/>
          <w:sz w:val="24"/>
        </w:rPr>
      </w:pPr>
      <w:r>
        <w:rPr>
          <w:rFonts w:hint="eastAsia" w:ascii="宋体" w:hAnsi="宋体" w:cs="宋体"/>
          <w:b/>
          <w:bCs/>
          <w:sz w:val="24"/>
        </w:rPr>
        <w:t>（二）采购组织机构</w:t>
      </w:r>
    </w:p>
    <w:p w14:paraId="086370B1">
      <w:pPr>
        <w:widowControl/>
        <w:spacing w:line="336" w:lineRule="auto"/>
        <w:ind w:firstLine="600" w:firstLineChars="250"/>
        <w:jc w:val="left"/>
        <w:rPr>
          <w:rFonts w:ascii="宋体" w:hAnsi="宋体" w:cs="宋体"/>
          <w:kern w:val="0"/>
          <w:sz w:val="24"/>
        </w:rPr>
      </w:pPr>
      <w:r>
        <w:rPr>
          <w:rFonts w:hint="eastAsia" w:ascii="宋体" w:hAnsi="宋体" w:cs="宋体"/>
          <w:kern w:val="0"/>
          <w:sz w:val="24"/>
        </w:rPr>
        <w:t>代理机构：</w:t>
      </w:r>
      <w:r>
        <w:rPr>
          <w:rFonts w:hint="eastAsia" w:ascii="宋体" w:hAnsi="宋体" w:cs="宋体"/>
          <w:kern w:val="0"/>
          <w:sz w:val="24"/>
          <w:u w:val="single"/>
        </w:rPr>
        <w:t xml:space="preserve">台州市建设咨询有限公司 </w:t>
      </w:r>
      <w:r>
        <w:rPr>
          <w:rFonts w:hint="eastAsia" w:ascii="宋体" w:hAnsi="宋体" w:cs="宋体"/>
          <w:kern w:val="0"/>
          <w:sz w:val="24"/>
        </w:rPr>
        <w:t xml:space="preserve">      </w:t>
      </w:r>
    </w:p>
    <w:p w14:paraId="1C3C2F23">
      <w:pPr>
        <w:widowControl/>
        <w:spacing w:line="336" w:lineRule="auto"/>
        <w:ind w:firstLine="600" w:firstLineChars="250"/>
        <w:jc w:val="left"/>
        <w:rPr>
          <w:rFonts w:ascii="宋体" w:hAnsi="宋体" w:cs="宋体"/>
          <w:sz w:val="24"/>
        </w:rPr>
      </w:pPr>
      <w:r>
        <w:rPr>
          <w:rFonts w:hint="eastAsia" w:ascii="宋体" w:hAnsi="宋体" w:cs="宋体"/>
          <w:kern w:val="0"/>
          <w:sz w:val="24"/>
        </w:rPr>
        <w:t>联系人：</w:t>
      </w:r>
      <w:r>
        <w:rPr>
          <w:rFonts w:hint="eastAsia" w:ascii="宋体" w:hAnsi="宋体" w:cs="宋体"/>
          <w:sz w:val="24"/>
          <w:u w:val="single"/>
        </w:rPr>
        <w:t xml:space="preserve">李灵芝   </w:t>
      </w:r>
      <w:r>
        <w:rPr>
          <w:rFonts w:hint="eastAsia" w:ascii="宋体" w:hAnsi="宋体" w:cs="宋体"/>
          <w:sz w:val="24"/>
        </w:rPr>
        <w:t xml:space="preserve">    </w:t>
      </w:r>
    </w:p>
    <w:p w14:paraId="34113D55">
      <w:pPr>
        <w:widowControl/>
        <w:spacing w:line="336" w:lineRule="auto"/>
        <w:ind w:firstLine="600" w:firstLineChars="250"/>
        <w:jc w:val="left"/>
        <w:rPr>
          <w:rFonts w:ascii="宋体" w:hAnsi="宋体" w:cs="宋体"/>
          <w:sz w:val="24"/>
        </w:rPr>
      </w:pPr>
      <w:r>
        <w:rPr>
          <w:rFonts w:hint="eastAsia" w:ascii="宋体" w:hAnsi="宋体" w:cs="宋体"/>
          <w:kern w:val="0"/>
          <w:sz w:val="24"/>
        </w:rPr>
        <w:t>电  话：</w:t>
      </w:r>
      <w:r>
        <w:rPr>
          <w:rFonts w:hint="eastAsia" w:ascii="宋体" w:hAnsi="宋体" w:cs="宋体"/>
          <w:sz w:val="24"/>
          <w:u w:val="single"/>
        </w:rPr>
        <w:t xml:space="preserve">0576-88517783  </w:t>
      </w:r>
      <w:r>
        <w:rPr>
          <w:rFonts w:hint="eastAsia" w:ascii="宋体" w:hAnsi="宋体" w:cs="宋体"/>
          <w:sz w:val="24"/>
        </w:rPr>
        <w:t xml:space="preserve">  </w:t>
      </w:r>
    </w:p>
    <w:p w14:paraId="620BE340">
      <w:pPr>
        <w:spacing w:line="336" w:lineRule="auto"/>
        <w:ind w:firstLine="600" w:firstLineChars="250"/>
        <w:rPr>
          <w:rFonts w:ascii="宋体" w:hAnsi="宋体" w:cs="宋体"/>
          <w:sz w:val="24"/>
          <w:u w:val="single"/>
        </w:rPr>
      </w:pPr>
      <w:r>
        <w:rPr>
          <w:rFonts w:hint="eastAsia" w:ascii="宋体" w:hAnsi="宋体" w:cs="宋体"/>
          <w:kern w:val="0"/>
          <w:sz w:val="24"/>
        </w:rPr>
        <w:t>传  真：</w:t>
      </w:r>
      <w:r>
        <w:rPr>
          <w:rFonts w:hint="eastAsia" w:ascii="宋体" w:hAnsi="宋体" w:cs="宋体"/>
          <w:sz w:val="24"/>
          <w:u w:val="single"/>
        </w:rPr>
        <w:t>0576-88517791</w:t>
      </w:r>
    </w:p>
    <w:p w14:paraId="3EA58E29">
      <w:pPr>
        <w:spacing w:line="336" w:lineRule="auto"/>
        <w:ind w:firstLine="600" w:firstLineChars="250"/>
        <w:rPr>
          <w:rFonts w:ascii="宋体" w:hAnsi="宋体" w:cs="宋体"/>
          <w:kern w:val="0"/>
          <w:sz w:val="24"/>
        </w:rPr>
      </w:pPr>
      <w:r>
        <w:rPr>
          <w:rFonts w:hint="eastAsia" w:ascii="宋体" w:hAnsi="宋体" w:cs="宋体"/>
          <w:sz w:val="24"/>
        </w:rPr>
        <w:t>地址：</w:t>
      </w:r>
      <w:r>
        <w:rPr>
          <w:rFonts w:hint="eastAsia" w:ascii="宋体" w:hAnsi="宋体" w:cs="宋体"/>
          <w:sz w:val="24"/>
          <w:u w:val="single"/>
        </w:rPr>
        <w:t>浙江省台州市椒江区市府大道东段507号台州国际商务广场1幢11楼</w:t>
      </w:r>
    </w:p>
    <w:p w14:paraId="3210819F">
      <w:pPr>
        <w:spacing w:line="360" w:lineRule="auto"/>
        <w:ind w:firstLine="482" w:firstLineChars="200"/>
        <w:rPr>
          <w:rFonts w:ascii="宋体" w:hAnsi="宋体" w:cs="宋体"/>
          <w:sz w:val="24"/>
          <w:u w:val="single"/>
        </w:rPr>
      </w:pPr>
      <w:r>
        <w:rPr>
          <w:rFonts w:hint="eastAsia" w:ascii="宋体" w:hAnsi="宋体" w:cs="宋体"/>
          <w:b/>
          <w:sz w:val="24"/>
        </w:rPr>
        <w:t>（三）同级采购监管机构</w:t>
      </w:r>
    </w:p>
    <w:p w14:paraId="4799FFDD">
      <w:pPr>
        <w:widowControl/>
        <w:spacing w:line="336" w:lineRule="auto"/>
        <w:ind w:firstLine="600" w:firstLineChars="250"/>
        <w:jc w:val="left"/>
        <w:rPr>
          <w:rFonts w:ascii="宋体" w:hAnsi="宋体" w:cs="宋体"/>
          <w:kern w:val="0"/>
          <w:sz w:val="24"/>
          <w:u w:val="single"/>
        </w:rPr>
      </w:pPr>
      <w:r>
        <w:rPr>
          <w:rFonts w:hint="eastAsia" w:ascii="宋体" w:hAnsi="宋体" w:cs="宋体"/>
          <w:sz w:val="24"/>
        </w:rPr>
        <w:t>名 称：</w:t>
      </w:r>
      <w:r>
        <w:rPr>
          <w:rFonts w:hint="eastAsia" w:ascii="宋体" w:hAnsi="宋体" w:cs="宋体"/>
          <w:sz w:val="24"/>
          <w:u w:val="single"/>
        </w:rPr>
        <w:t>行政审批与投资服务局</w:t>
      </w:r>
    </w:p>
    <w:p w14:paraId="0C1D5098">
      <w:pPr>
        <w:widowControl/>
        <w:spacing w:line="336" w:lineRule="auto"/>
        <w:ind w:firstLine="600" w:firstLineChars="250"/>
        <w:jc w:val="left"/>
        <w:rPr>
          <w:rFonts w:ascii="宋体" w:hAnsi="宋体" w:cs="宋体"/>
          <w:sz w:val="24"/>
        </w:rPr>
      </w:pPr>
      <w:r>
        <w:rPr>
          <w:rFonts w:hint="eastAsia" w:ascii="宋体" w:hAnsi="宋体" w:cs="宋体"/>
          <w:kern w:val="0"/>
          <w:sz w:val="24"/>
        </w:rPr>
        <w:t>地 址：</w:t>
      </w:r>
      <w:r>
        <w:rPr>
          <w:rFonts w:hint="eastAsia" w:ascii="宋体" w:hAnsi="宋体" w:cs="宋体"/>
          <w:sz w:val="24"/>
          <w:u w:val="single"/>
        </w:rPr>
        <w:t>台州市甲南大道东段9号</w:t>
      </w:r>
    </w:p>
    <w:p w14:paraId="68657408">
      <w:pPr>
        <w:widowControl/>
        <w:spacing w:line="336" w:lineRule="auto"/>
        <w:ind w:firstLine="600" w:firstLineChars="250"/>
        <w:jc w:val="left"/>
        <w:rPr>
          <w:rFonts w:ascii="宋体" w:hAnsi="宋体" w:cs="宋体"/>
          <w:sz w:val="24"/>
        </w:rPr>
      </w:pPr>
      <w:r>
        <w:rPr>
          <w:rFonts w:hint="eastAsia" w:ascii="宋体" w:hAnsi="宋体" w:cs="宋体"/>
          <w:kern w:val="0"/>
          <w:sz w:val="24"/>
        </w:rPr>
        <w:t>联系人：</w:t>
      </w:r>
      <w:r>
        <w:rPr>
          <w:rFonts w:hint="eastAsia" w:ascii="宋体" w:hAnsi="宋体" w:cs="宋体"/>
          <w:sz w:val="24"/>
          <w:u w:val="single"/>
        </w:rPr>
        <w:t xml:space="preserve">徐先生  </w:t>
      </w:r>
      <w:r>
        <w:rPr>
          <w:rFonts w:hint="eastAsia" w:ascii="宋体" w:hAnsi="宋体" w:cs="宋体"/>
          <w:sz w:val="24"/>
        </w:rPr>
        <w:t xml:space="preserve">          </w:t>
      </w:r>
    </w:p>
    <w:p w14:paraId="5A2C0D1B">
      <w:pPr>
        <w:widowControl/>
        <w:spacing w:line="336" w:lineRule="auto"/>
        <w:ind w:firstLine="600" w:firstLineChars="250"/>
        <w:jc w:val="left"/>
        <w:rPr>
          <w:rFonts w:ascii="宋体" w:hAnsi="宋体" w:cs="宋体"/>
          <w:sz w:val="24"/>
        </w:rPr>
      </w:pPr>
      <w:r>
        <w:rPr>
          <w:rFonts w:hint="eastAsia" w:ascii="宋体" w:hAnsi="宋体" w:cs="宋体"/>
          <w:kern w:val="0"/>
          <w:sz w:val="24"/>
        </w:rPr>
        <w:t>电  话：</w:t>
      </w:r>
      <w:r>
        <w:rPr>
          <w:rFonts w:hint="eastAsia" w:ascii="宋体" w:hAnsi="宋体" w:cs="宋体"/>
          <w:sz w:val="24"/>
          <w:u w:val="single"/>
        </w:rPr>
        <w:t>0576-88538849</w:t>
      </w:r>
    </w:p>
    <w:p w14:paraId="5FC0DFC7">
      <w:pPr>
        <w:pStyle w:val="109"/>
        <w:rPr>
          <w:rFonts w:ascii="宋体" w:hAnsi="宋体" w:cs="宋体"/>
          <w:b/>
          <w:sz w:val="24"/>
        </w:rPr>
      </w:pPr>
      <w:r>
        <w:rPr>
          <w:rFonts w:hint="eastAsia" w:ascii="宋体" w:hAnsi="宋体" w:cs="宋体"/>
          <w:sz w:val="24"/>
        </w:rPr>
        <w:t xml:space="preserve">     </w:t>
      </w:r>
      <w:r>
        <w:rPr>
          <w:rFonts w:hint="eastAsia" w:ascii="宋体" w:hAnsi="宋体" w:cs="宋体"/>
          <w:b/>
          <w:sz w:val="24"/>
        </w:rPr>
        <w:t>（四）台州湾新区小额工程电子交易平台</w:t>
      </w:r>
    </w:p>
    <w:p w14:paraId="103F5F61">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u w:val="single"/>
        </w:rPr>
        <w:t>蔡永正、王明月</w:t>
      </w:r>
    </w:p>
    <w:p w14:paraId="2C8DD8F3">
      <w:pPr>
        <w:spacing w:line="360" w:lineRule="auto"/>
        <w:ind w:firstLine="480" w:firstLineChars="200"/>
        <w:rPr>
          <w:rFonts w:ascii="宋体" w:hAnsi="宋体" w:cs="宋体"/>
          <w:sz w:val="24"/>
          <w:shd w:val="clear" w:color="auto" w:fill="FFFFFF"/>
        </w:rPr>
      </w:pPr>
      <w:r>
        <w:rPr>
          <w:rFonts w:hint="eastAsia" w:ascii="宋体" w:hAnsi="宋体" w:cs="宋体"/>
          <w:sz w:val="24"/>
        </w:rPr>
        <w:t>联系电话：</w:t>
      </w:r>
      <w:r>
        <w:rPr>
          <w:rFonts w:hint="eastAsia" w:ascii="宋体" w:hAnsi="宋体" w:cs="宋体"/>
          <w:sz w:val="24"/>
          <w:u w:val="single"/>
        </w:rPr>
        <w:t>13454667697、13757680207</w:t>
      </w:r>
    </w:p>
    <w:p w14:paraId="0A40EB9C">
      <w:pPr>
        <w:spacing w:line="360" w:lineRule="auto"/>
        <w:ind w:firstLine="560" w:firstLineChars="200"/>
      </w:pPr>
    </w:p>
    <w:p w14:paraId="3764E6C1">
      <w:pPr>
        <w:pStyle w:val="4"/>
      </w:pPr>
    </w:p>
    <w:p w14:paraId="191F779F">
      <w:pPr>
        <w:snapToGrid w:val="0"/>
        <w:spacing w:line="360" w:lineRule="auto"/>
        <w:ind w:firstLine="723" w:firstLineChars="300"/>
        <w:rPr>
          <w:rFonts w:ascii="宋体" w:hAnsi="宋体" w:cs="Arial"/>
          <w:sz w:val="24"/>
        </w:rPr>
      </w:pPr>
      <w:r>
        <w:rPr>
          <w:rFonts w:hint="eastAsia" w:ascii="宋体" w:hAnsi="宋体" w:cs="Arial"/>
          <w:b/>
          <w:bCs/>
          <w:sz w:val="24"/>
        </w:rPr>
        <w:t xml:space="preserve">     </w:t>
      </w:r>
    </w:p>
    <w:p w14:paraId="25280BD9">
      <w:pPr>
        <w:snapToGrid w:val="0"/>
        <w:spacing w:line="360" w:lineRule="auto"/>
        <w:ind w:firstLine="420"/>
        <w:rPr>
          <w:rFonts w:ascii="宋体" w:hAnsi="宋体" w:cs="Arial"/>
          <w:color w:val="0D0D0D"/>
          <w:sz w:val="24"/>
          <w:szCs w:val="20"/>
        </w:rPr>
      </w:pPr>
    </w:p>
    <w:p w14:paraId="18D928A8">
      <w:pPr>
        <w:snapToGrid w:val="0"/>
        <w:spacing w:line="360" w:lineRule="auto"/>
        <w:ind w:left="238"/>
        <w:jc w:val="center"/>
        <w:rPr>
          <w:rFonts w:ascii="宋体" w:hAnsi="宋体"/>
          <w:color w:val="0D0D0D"/>
          <w:sz w:val="24"/>
          <w:szCs w:val="20"/>
        </w:rPr>
      </w:pPr>
      <w:r>
        <w:rPr>
          <w:rFonts w:ascii="宋体" w:hAnsi="宋体"/>
          <w:color w:val="0D0D0D"/>
          <w:sz w:val="24"/>
        </w:rPr>
        <w:t xml:space="preserve">                                    </w:t>
      </w:r>
      <w:r>
        <w:rPr>
          <w:rFonts w:hint="eastAsia" w:ascii="宋体" w:hAnsi="宋体" w:cs="Arial"/>
          <w:color w:val="0D0D0D"/>
          <w:sz w:val="24"/>
        </w:rPr>
        <w:t>台州市建设咨询有限公司</w:t>
      </w:r>
    </w:p>
    <w:p w14:paraId="2413B281">
      <w:pPr>
        <w:snapToGrid w:val="0"/>
        <w:spacing w:line="360" w:lineRule="auto"/>
        <w:ind w:left="238" w:firstLine="4980" w:firstLineChars="2075"/>
        <w:jc w:val="center"/>
        <w:rPr>
          <w:rFonts w:ascii="黑体" w:hAnsi="宋体" w:eastAsia="黑体"/>
          <w:color w:val="0D0D0D"/>
          <w:sz w:val="30"/>
          <w:szCs w:val="30"/>
        </w:rPr>
      </w:pPr>
      <w:r>
        <w:rPr>
          <w:rFonts w:ascii="宋体" w:hAnsi="宋体" w:cs="Arial"/>
          <w:color w:val="0D0D0D"/>
          <w:sz w:val="24"/>
        </w:rPr>
        <w:t>202</w:t>
      </w:r>
      <w:r>
        <w:rPr>
          <w:rFonts w:hint="eastAsia" w:ascii="宋体" w:hAnsi="宋体" w:cs="Arial"/>
          <w:color w:val="0D0D0D"/>
          <w:sz w:val="24"/>
        </w:rPr>
        <w:t>4</w:t>
      </w:r>
      <w:r>
        <w:rPr>
          <w:rFonts w:ascii="宋体" w:hAnsi="宋体" w:cs="Arial"/>
          <w:color w:val="0D0D0D"/>
          <w:sz w:val="24"/>
        </w:rPr>
        <w:t>年</w:t>
      </w:r>
      <w:r>
        <w:rPr>
          <w:rFonts w:hint="eastAsia" w:ascii="宋体" w:hAnsi="宋体" w:cs="Arial"/>
          <w:color w:val="0D0D0D"/>
          <w:sz w:val="24"/>
          <w:lang w:val="en-US" w:eastAsia="zh-CN"/>
        </w:rPr>
        <w:t>10</w:t>
      </w:r>
      <w:r>
        <w:rPr>
          <w:rFonts w:ascii="宋体" w:hAnsi="宋体" w:cs="Arial"/>
          <w:color w:val="0D0D0D"/>
          <w:sz w:val="24"/>
        </w:rPr>
        <w:t>月</w:t>
      </w:r>
      <w:r>
        <w:rPr>
          <w:rFonts w:hint="eastAsia" w:ascii="宋体" w:hAnsi="宋体" w:cs="Arial"/>
          <w:color w:val="0D0D0D"/>
          <w:sz w:val="24"/>
        </w:rPr>
        <w:t xml:space="preserve"> </w:t>
      </w:r>
      <w:r>
        <w:rPr>
          <w:rFonts w:ascii="宋体" w:hAnsi="宋体"/>
          <w:color w:val="0D0D0D"/>
        </w:rPr>
        <w:br w:type="page"/>
      </w:r>
      <w:r>
        <w:rPr>
          <w:rFonts w:hint="eastAsia" w:ascii="黑体" w:hAnsi="宋体" w:eastAsia="黑体"/>
          <w:color w:val="0D0D0D"/>
          <w:sz w:val="30"/>
          <w:szCs w:val="30"/>
        </w:rPr>
        <w:t xml:space="preserve">第二章  </w:t>
      </w:r>
      <w:r>
        <w:rPr>
          <w:rFonts w:hint="eastAsia" w:ascii="黑体" w:hAnsi="宋体" w:eastAsia="黑体"/>
          <w:bCs/>
          <w:color w:val="0D0D0D"/>
          <w:sz w:val="30"/>
          <w:szCs w:val="30"/>
        </w:rPr>
        <w:t>招</w:t>
      </w:r>
      <w:r>
        <w:rPr>
          <w:rFonts w:hint="eastAsia" w:ascii="黑体" w:hAnsi="宋体" w:eastAsia="黑体"/>
          <w:color w:val="0D0D0D"/>
          <w:sz w:val="30"/>
          <w:szCs w:val="30"/>
        </w:rPr>
        <w:t>标需求</w:t>
      </w:r>
    </w:p>
    <w:p w14:paraId="5D4116AB">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一、项目要求</w:t>
      </w:r>
    </w:p>
    <w:tbl>
      <w:tblPr>
        <w:tblStyle w:val="47"/>
        <w:tblW w:w="0" w:type="auto"/>
        <w:tblInd w:w="3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7221"/>
      </w:tblGrid>
      <w:tr w14:paraId="64EBF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3E6F1D31">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标项</w:t>
            </w:r>
          </w:p>
        </w:tc>
        <w:tc>
          <w:tcPr>
            <w:tcW w:w="7221" w:type="dxa"/>
            <w:tcBorders>
              <w:top w:val="single" w:color="auto" w:sz="4" w:space="0"/>
              <w:left w:val="single" w:color="auto" w:sz="4" w:space="0"/>
              <w:bottom w:val="single" w:color="auto" w:sz="4" w:space="0"/>
              <w:right w:val="single" w:color="auto" w:sz="4" w:space="0"/>
            </w:tcBorders>
            <w:vAlign w:val="center"/>
          </w:tcPr>
          <w:p w14:paraId="51525A25">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01</w:t>
            </w:r>
          </w:p>
        </w:tc>
      </w:tr>
      <w:tr w14:paraId="44A21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7884DB83">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采购内容</w:t>
            </w:r>
          </w:p>
        </w:tc>
        <w:tc>
          <w:tcPr>
            <w:tcW w:w="7221" w:type="dxa"/>
            <w:tcBorders>
              <w:top w:val="single" w:color="auto" w:sz="4" w:space="0"/>
              <w:left w:val="single" w:color="auto" w:sz="4" w:space="0"/>
              <w:bottom w:val="single" w:color="auto" w:sz="4" w:space="0"/>
              <w:right w:val="single" w:color="auto" w:sz="4" w:space="0"/>
            </w:tcBorders>
            <w:vAlign w:val="center"/>
          </w:tcPr>
          <w:p w14:paraId="57B55E0B">
            <w:pPr>
              <w:pStyle w:val="29"/>
              <w:snapToGrid w:val="0"/>
              <w:spacing w:before="120" w:beforeLines="0" w:after="120" w:afterLines="0" w:line="240" w:lineRule="auto"/>
              <w:outlineLvl w:val="0"/>
              <w:rPr>
                <w:rFonts w:hAnsi="宋体"/>
                <w:color w:val="0D0D0D"/>
                <w:sz w:val="21"/>
                <w:szCs w:val="21"/>
              </w:rPr>
            </w:pPr>
            <w:r>
              <w:rPr>
                <w:rFonts w:hint="eastAsia" w:hAnsi="宋体"/>
                <w:color w:val="0D0D0D"/>
                <w:sz w:val="21"/>
                <w:szCs w:val="21"/>
              </w:rPr>
              <w:t>台州湾新区中国家庭帆船赛台州站配套工程（浮筒平台采购）</w:t>
            </w:r>
            <w:r>
              <w:rPr>
                <w:rFonts w:hint="eastAsia" w:hAnsi="宋体"/>
                <w:color w:val="0D0D0D"/>
                <w:sz w:val="21"/>
                <w:szCs w:val="21"/>
                <w:lang w:eastAsia="zh-CN"/>
              </w:rPr>
              <w:t>（</w:t>
            </w:r>
            <w:r>
              <w:rPr>
                <w:rFonts w:hint="eastAsia" w:hAnsi="宋体"/>
                <w:color w:val="0D0D0D"/>
                <w:sz w:val="21"/>
                <w:szCs w:val="21"/>
                <w:lang w:val="en-US" w:eastAsia="zh-CN"/>
              </w:rPr>
              <w:t>重新招标）</w:t>
            </w:r>
          </w:p>
        </w:tc>
      </w:tr>
      <w:tr w14:paraId="2E744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437391D6">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规格及型号</w:t>
            </w:r>
          </w:p>
        </w:tc>
        <w:tc>
          <w:tcPr>
            <w:tcW w:w="7221" w:type="dxa"/>
            <w:tcBorders>
              <w:top w:val="single" w:color="auto" w:sz="4" w:space="0"/>
              <w:left w:val="single" w:color="auto" w:sz="4" w:space="0"/>
              <w:bottom w:val="single" w:color="auto" w:sz="4" w:space="0"/>
              <w:right w:val="single" w:color="auto" w:sz="4" w:space="0"/>
            </w:tcBorders>
            <w:vAlign w:val="center"/>
          </w:tcPr>
          <w:p w14:paraId="04DE51C3">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14:paraId="65C6D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5DC8F52E">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单位及数量</w:t>
            </w:r>
          </w:p>
        </w:tc>
        <w:tc>
          <w:tcPr>
            <w:tcW w:w="7221" w:type="dxa"/>
            <w:tcBorders>
              <w:top w:val="single" w:color="auto" w:sz="4" w:space="0"/>
              <w:left w:val="single" w:color="auto" w:sz="4" w:space="0"/>
              <w:bottom w:val="single" w:color="auto" w:sz="4" w:space="0"/>
              <w:right w:val="single" w:color="auto" w:sz="4" w:space="0"/>
            </w:tcBorders>
            <w:vAlign w:val="center"/>
          </w:tcPr>
          <w:p w14:paraId="4242C097">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详见本章“主要技术规格及要求”</w:t>
            </w:r>
          </w:p>
        </w:tc>
      </w:tr>
      <w:tr w14:paraId="66FB4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548" w:type="dxa"/>
            <w:tcBorders>
              <w:top w:val="single" w:color="auto" w:sz="4" w:space="0"/>
              <w:left w:val="single" w:color="auto" w:sz="4" w:space="0"/>
              <w:bottom w:val="single" w:color="auto" w:sz="4" w:space="0"/>
              <w:right w:val="single" w:color="auto" w:sz="4" w:space="0"/>
            </w:tcBorders>
            <w:vAlign w:val="center"/>
          </w:tcPr>
          <w:p w14:paraId="0EB69BB0">
            <w:pPr>
              <w:pStyle w:val="29"/>
              <w:snapToGrid w:val="0"/>
              <w:spacing w:before="120" w:beforeLines="0" w:after="120" w:afterLines="0" w:line="240" w:lineRule="auto"/>
              <w:outlineLvl w:val="0"/>
              <w:rPr>
                <w:rFonts w:hAnsi="宋体"/>
                <w:color w:val="0D0D0D"/>
                <w:sz w:val="21"/>
                <w:szCs w:val="21"/>
              </w:rPr>
            </w:pPr>
            <w:r>
              <w:rPr>
                <w:rFonts w:hAnsi="宋体"/>
                <w:color w:val="0D0D0D"/>
                <w:sz w:val="21"/>
                <w:szCs w:val="21"/>
              </w:rPr>
              <w:t>用途</w:t>
            </w:r>
          </w:p>
        </w:tc>
        <w:tc>
          <w:tcPr>
            <w:tcW w:w="7221" w:type="dxa"/>
            <w:tcBorders>
              <w:top w:val="single" w:color="auto" w:sz="4" w:space="0"/>
              <w:left w:val="single" w:color="auto" w:sz="4" w:space="0"/>
              <w:bottom w:val="single" w:color="auto" w:sz="4" w:space="0"/>
              <w:right w:val="single" w:color="auto" w:sz="4" w:space="0"/>
            </w:tcBorders>
            <w:vAlign w:val="center"/>
          </w:tcPr>
          <w:p w14:paraId="14CAEDE1">
            <w:pPr>
              <w:pStyle w:val="29"/>
              <w:snapToGrid w:val="0"/>
              <w:spacing w:before="120" w:beforeLines="0" w:after="120" w:afterLines="0" w:line="240" w:lineRule="auto"/>
              <w:outlineLvl w:val="0"/>
              <w:rPr>
                <w:rFonts w:hAnsi="宋体"/>
                <w:color w:val="0D0D0D"/>
                <w:sz w:val="21"/>
                <w:szCs w:val="21"/>
              </w:rPr>
            </w:pPr>
            <w:r>
              <w:rPr>
                <w:rFonts w:hint="eastAsia" w:hAnsi="宋体"/>
                <w:color w:val="0D0D0D"/>
                <w:sz w:val="21"/>
                <w:szCs w:val="21"/>
              </w:rPr>
              <w:t>台州湾新区中国家庭帆船赛台州站配套工程（浮筒平台采购）</w:t>
            </w:r>
            <w:r>
              <w:rPr>
                <w:rFonts w:hint="eastAsia" w:hAnsi="宋体"/>
                <w:color w:val="0D0D0D"/>
                <w:sz w:val="21"/>
                <w:szCs w:val="21"/>
                <w:lang w:eastAsia="zh-CN"/>
              </w:rPr>
              <w:t>（</w:t>
            </w:r>
            <w:r>
              <w:rPr>
                <w:rFonts w:hint="eastAsia" w:hAnsi="宋体"/>
                <w:color w:val="0D0D0D"/>
                <w:sz w:val="21"/>
                <w:szCs w:val="21"/>
                <w:lang w:val="en-US" w:eastAsia="zh-CN"/>
              </w:rPr>
              <w:t>重新招标）</w:t>
            </w:r>
          </w:p>
        </w:tc>
      </w:tr>
    </w:tbl>
    <w:p w14:paraId="29D80F7D">
      <w:pPr>
        <w:pStyle w:val="29"/>
        <w:snapToGrid w:val="0"/>
        <w:spacing w:before="120" w:beforeLines="0" w:after="120" w:afterLines="0" w:line="240" w:lineRule="auto"/>
        <w:outlineLvl w:val="0"/>
        <w:rPr>
          <w:rFonts w:hAnsi="宋体"/>
          <w:color w:val="0D0D0D"/>
          <w:szCs w:val="21"/>
        </w:rPr>
      </w:pPr>
    </w:p>
    <w:p w14:paraId="736C2C4F">
      <w:pPr>
        <w:pStyle w:val="29"/>
        <w:snapToGrid w:val="0"/>
        <w:spacing w:before="120" w:beforeLines="0" w:after="120" w:afterLines="0" w:line="240" w:lineRule="auto"/>
        <w:outlineLvl w:val="0"/>
        <w:rPr>
          <w:rFonts w:hAnsi="宋体"/>
          <w:color w:val="0D0D0D"/>
          <w:szCs w:val="21"/>
        </w:rPr>
      </w:pPr>
      <w:r>
        <w:rPr>
          <w:rFonts w:hint="eastAsia" w:hAnsi="宋体"/>
          <w:color w:val="0D0D0D"/>
          <w:szCs w:val="21"/>
        </w:rPr>
        <w:t>二、</w:t>
      </w:r>
      <w:r>
        <w:rPr>
          <w:rFonts w:hAnsi="宋体"/>
          <w:color w:val="0D0D0D"/>
          <w:szCs w:val="21"/>
        </w:rPr>
        <w:t>主要技术规格及要求：</w:t>
      </w:r>
    </w:p>
    <w:tbl>
      <w:tblPr>
        <w:tblStyle w:val="47"/>
        <w:tblW w:w="9600"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81"/>
        <w:gridCol w:w="964"/>
        <w:gridCol w:w="1286"/>
        <w:gridCol w:w="1608"/>
        <w:gridCol w:w="1115"/>
        <w:gridCol w:w="2640"/>
      </w:tblGrid>
      <w:tr w14:paraId="26EB6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06" w:type="dxa"/>
            <w:tcBorders>
              <w:top w:val="single" w:color="auto" w:sz="4" w:space="0"/>
              <w:left w:val="single" w:color="auto" w:sz="4" w:space="0"/>
              <w:bottom w:val="single" w:color="auto" w:sz="4" w:space="0"/>
              <w:right w:val="single" w:color="auto" w:sz="4" w:space="0"/>
            </w:tcBorders>
            <w:vAlign w:val="center"/>
          </w:tcPr>
          <w:p w14:paraId="42FBEB0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14B3AB5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964" w:type="dxa"/>
            <w:tcBorders>
              <w:top w:val="single" w:color="auto" w:sz="4" w:space="0"/>
              <w:left w:val="single" w:color="auto" w:sz="4" w:space="0"/>
              <w:bottom w:val="single" w:color="auto" w:sz="4" w:space="0"/>
              <w:right w:val="single" w:color="auto" w:sz="4" w:space="0"/>
            </w:tcBorders>
            <w:vAlign w:val="center"/>
          </w:tcPr>
          <w:p w14:paraId="16A60FB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286" w:type="dxa"/>
            <w:tcBorders>
              <w:top w:val="single" w:color="auto" w:sz="4" w:space="0"/>
              <w:left w:val="single" w:color="auto" w:sz="4" w:space="0"/>
              <w:bottom w:val="single" w:color="auto" w:sz="4" w:space="0"/>
              <w:right w:val="single" w:color="auto" w:sz="4" w:space="0"/>
            </w:tcBorders>
            <w:vAlign w:val="center"/>
          </w:tcPr>
          <w:p w14:paraId="3F13507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608" w:type="dxa"/>
            <w:tcBorders>
              <w:top w:val="single" w:color="auto" w:sz="4" w:space="0"/>
              <w:left w:val="single" w:color="auto" w:sz="4" w:space="0"/>
              <w:bottom w:val="single" w:color="auto" w:sz="4" w:space="0"/>
              <w:right w:val="single" w:color="auto" w:sz="4" w:space="0"/>
            </w:tcBorders>
            <w:vAlign w:val="center"/>
          </w:tcPr>
          <w:p w14:paraId="21615D2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115" w:type="dxa"/>
            <w:tcBorders>
              <w:top w:val="single" w:color="auto" w:sz="4" w:space="0"/>
              <w:left w:val="single" w:color="auto" w:sz="4" w:space="0"/>
              <w:bottom w:val="single" w:color="auto" w:sz="4" w:space="0"/>
              <w:right w:val="single" w:color="auto" w:sz="4" w:space="0"/>
            </w:tcBorders>
            <w:vAlign w:val="center"/>
          </w:tcPr>
          <w:p w14:paraId="1A9116A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2640" w:type="dxa"/>
            <w:tcBorders>
              <w:left w:val="single" w:color="auto" w:sz="4" w:space="0"/>
              <w:bottom w:val="single" w:color="auto" w:sz="4" w:space="0"/>
              <w:right w:val="single" w:color="auto" w:sz="4" w:space="0"/>
            </w:tcBorders>
            <w:vAlign w:val="center"/>
          </w:tcPr>
          <w:p w14:paraId="25E7D12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14:paraId="4254E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14:paraId="42AA41F2">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381" w:type="dxa"/>
            <w:tcBorders>
              <w:top w:val="single" w:color="auto" w:sz="4" w:space="0"/>
              <w:left w:val="single" w:color="auto" w:sz="4" w:space="0"/>
              <w:bottom w:val="single" w:color="auto" w:sz="4" w:space="0"/>
              <w:right w:val="single" w:color="auto" w:sz="4" w:space="0"/>
            </w:tcBorders>
            <w:vAlign w:val="center"/>
          </w:tcPr>
          <w:p w14:paraId="339DE0E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964" w:type="dxa"/>
            <w:tcBorders>
              <w:top w:val="single" w:color="auto" w:sz="4" w:space="0"/>
              <w:left w:val="single" w:color="auto" w:sz="4" w:space="0"/>
              <w:bottom w:val="single" w:color="auto" w:sz="4" w:space="0"/>
              <w:right w:val="single" w:color="auto" w:sz="4" w:space="0"/>
            </w:tcBorders>
            <w:vAlign w:val="center"/>
          </w:tcPr>
          <w:p w14:paraId="5CED3ED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286" w:type="dxa"/>
            <w:tcBorders>
              <w:top w:val="single" w:color="auto" w:sz="4" w:space="0"/>
              <w:left w:val="single" w:color="auto" w:sz="4" w:space="0"/>
              <w:bottom w:val="single" w:color="auto" w:sz="4" w:space="0"/>
              <w:right w:val="single" w:color="auto" w:sz="4" w:space="0"/>
            </w:tcBorders>
            <w:vAlign w:val="center"/>
          </w:tcPr>
          <w:p w14:paraId="5278F14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608" w:type="dxa"/>
            <w:tcBorders>
              <w:top w:val="single" w:color="auto" w:sz="4" w:space="0"/>
              <w:left w:val="single" w:color="auto" w:sz="4" w:space="0"/>
              <w:bottom w:val="single" w:color="auto" w:sz="4" w:space="0"/>
              <w:right w:val="single" w:color="auto" w:sz="4" w:space="0"/>
            </w:tcBorders>
            <w:vAlign w:val="center"/>
          </w:tcPr>
          <w:p w14:paraId="60AB43F2">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9"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14:paraId="21AA7A68">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2640" w:type="dxa"/>
            <w:tcBorders>
              <w:top w:val="single" w:color="auto" w:sz="4" w:space="0"/>
              <w:left w:val="single" w:color="auto" w:sz="4" w:space="0"/>
              <w:bottom w:val="single" w:color="auto" w:sz="4" w:space="0"/>
              <w:right w:val="single" w:color="auto" w:sz="4" w:space="0"/>
            </w:tcBorders>
            <w:vAlign w:val="center"/>
          </w:tcPr>
          <w:p w14:paraId="29DCB05D">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14:paraId="14B15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14:paraId="3D69C769">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381" w:type="dxa"/>
            <w:tcBorders>
              <w:top w:val="single" w:color="auto" w:sz="4" w:space="0"/>
              <w:left w:val="single" w:color="auto" w:sz="4" w:space="0"/>
              <w:bottom w:val="single" w:color="auto" w:sz="4" w:space="0"/>
              <w:right w:val="single" w:color="auto" w:sz="4" w:space="0"/>
            </w:tcBorders>
            <w:vAlign w:val="center"/>
          </w:tcPr>
          <w:p w14:paraId="6611398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964" w:type="dxa"/>
            <w:tcBorders>
              <w:top w:val="single" w:color="auto" w:sz="4" w:space="0"/>
              <w:left w:val="single" w:color="auto" w:sz="4" w:space="0"/>
              <w:bottom w:val="single" w:color="auto" w:sz="4" w:space="0"/>
              <w:right w:val="single" w:color="auto" w:sz="4" w:space="0"/>
            </w:tcBorders>
            <w:vAlign w:val="center"/>
          </w:tcPr>
          <w:p w14:paraId="50198EB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286" w:type="dxa"/>
            <w:tcBorders>
              <w:top w:val="single" w:color="auto" w:sz="4" w:space="0"/>
              <w:left w:val="single" w:color="auto" w:sz="4" w:space="0"/>
              <w:bottom w:val="single" w:color="auto" w:sz="4" w:space="0"/>
              <w:right w:val="single" w:color="auto" w:sz="4" w:space="0"/>
            </w:tcBorders>
            <w:vAlign w:val="center"/>
          </w:tcPr>
          <w:p w14:paraId="2C17497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608" w:type="dxa"/>
            <w:tcBorders>
              <w:top w:val="single" w:color="auto" w:sz="4" w:space="0"/>
              <w:left w:val="single" w:color="auto" w:sz="4" w:space="0"/>
              <w:bottom w:val="single" w:color="auto" w:sz="4" w:space="0"/>
              <w:right w:val="single" w:color="auto" w:sz="4" w:space="0"/>
            </w:tcBorders>
            <w:vAlign w:val="center"/>
          </w:tcPr>
          <w:p w14:paraId="25EFD77D">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2"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14:paraId="0614969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2640" w:type="dxa"/>
            <w:tcBorders>
              <w:top w:val="single" w:color="auto" w:sz="4" w:space="0"/>
              <w:left w:val="single" w:color="auto" w:sz="4" w:space="0"/>
              <w:bottom w:val="single" w:color="auto" w:sz="4" w:space="0"/>
              <w:right w:val="single" w:color="auto" w:sz="4" w:space="0"/>
            </w:tcBorders>
            <w:vAlign w:val="center"/>
          </w:tcPr>
          <w:p w14:paraId="099EBB93">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14:paraId="3B069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14:paraId="618177BB">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381" w:type="dxa"/>
            <w:tcBorders>
              <w:top w:val="single" w:color="auto" w:sz="4" w:space="0"/>
              <w:left w:val="single" w:color="auto" w:sz="4" w:space="0"/>
              <w:bottom w:val="single" w:color="auto" w:sz="4" w:space="0"/>
              <w:right w:val="single" w:color="auto" w:sz="4" w:space="0"/>
            </w:tcBorders>
            <w:vAlign w:val="center"/>
          </w:tcPr>
          <w:p w14:paraId="4EAE81F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964" w:type="dxa"/>
            <w:tcBorders>
              <w:top w:val="single" w:color="auto" w:sz="4" w:space="0"/>
              <w:left w:val="single" w:color="auto" w:sz="4" w:space="0"/>
              <w:bottom w:val="single" w:color="auto" w:sz="4" w:space="0"/>
              <w:right w:val="single" w:color="auto" w:sz="4" w:space="0"/>
            </w:tcBorders>
            <w:vAlign w:val="center"/>
          </w:tcPr>
          <w:p w14:paraId="2BD1851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286" w:type="dxa"/>
            <w:tcBorders>
              <w:top w:val="single" w:color="auto" w:sz="4" w:space="0"/>
              <w:left w:val="single" w:color="auto" w:sz="4" w:space="0"/>
              <w:bottom w:val="single" w:color="auto" w:sz="4" w:space="0"/>
              <w:right w:val="single" w:color="auto" w:sz="4" w:space="0"/>
            </w:tcBorders>
            <w:vAlign w:val="center"/>
          </w:tcPr>
          <w:p w14:paraId="6686120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608" w:type="dxa"/>
            <w:tcBorders>
              <w:top w:val="single" w:color="auto" w:sz="4" w:space="0"/>
              <w:left w:val="single" w:color="auto" w:sz="4" w:space="0"/>
              <w:bottom w:val="single" w:color="auto" w:sz="4" w:space="0"/>
              <w:right w:val="single" w:color="auto" w:sz="4" w:space="0"/>
            </w:tcBorders>
            <w:vAlign w:val="center"/>
          </w:tcPr>
          <w:p w14:paraId="2BF7652E">
            <w:pPr>
              <w:widowControl/>
              <w:jc w:val="center"/>
              <w:textAlignment w:val="center"/>
              <w:rPr>
                <w:rFonts w:ascii="宋体" w:hAnsi="宋体" w:cs="宋体"/>
                <w:color w:val="000000"/>
                <w:kern w:val="0"/>
                <w:sz w:val="22"/>
                <w:szCs w:val="22"/>
                <w:lang w:bidi="ar"/>
              </w:rPr>
            </w:pPr>
          </w:p>
        </w:tc>
        <w:tc>
          <w:tcPr>
            <w:tcW w:w="1115" w:type="dxa"/>
            <w:tcBorders>
              <w:top w:val="single" w:color="auto" w:sz="4" w:space="0"/>
              <w:left w:val="single" w:color="auto" w:sz="4" w:space="0"/>
              <w:bottom w:val="single" w:color="auto" w:sz="4" w:space="0"/>
              <w:right w:val="single" w:color="auto" w:sz="4" w:space="0"/>
            </w:tcBorders>
            <w:vAlign w:val="center"/>
          </w:tcPr>
          <w:p w14:paraId="47C3656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2640" w:type="dxa"/>
            <w:tcBorders>
              <w:top w:val="single" w:color="auto" w:sz="4" w:space="0"/>
              <w:left w:val="single" w:color="auto" w:sz="4" w:space="0"/>
              <w:bottom w:val="single" w:color="auto" w:sz="4" w:space="0"/>
              <w:right w:val="single" w:color="auto" w:sz="4" w:space="0"/>
            </w:tcBorders>
            <w:vAlign w:val="center"/>
          </w:tcPr>
          <w:p w14:paraId="6680DAF5">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14:paraId="1DEA176B">
      <w:pPr>
        <w:pStyle w:val="29"/>
        <w:snapToGrid w:val="0"/>
        <w:spacing w:before="120" w:beforeLines="0" w:after="120" w:afterLines="0" w:line="240" w:lineRule="auto"/>
        <w:ind w:firstLine="240" w:firstLineChars="100"/>
        <w:outlineLvl w:val="0"/>
      </w:pPr>
    </w:p>
    <w:p w14:paraId="1FDF647F">
      <w:pPr>
        <w:pStyle w:val="29"/>
        <w:snapToGrid w:val="0"/>
        <w:spacing w:before="120" w:beforeLines="0" w:after="120" w:afterLines="0" w:line="240" w:lineRule="auto"/>
        <w:ind w:firstLine="240" w:firstLineChars="100"/>
        <w:outlineLvl w:val="0"/>
      </w:pPr>
    </w:p>
    <w:p w14:paraId="4A4BA2A8">
      <w:pPr>
        <w:pStyle w:val="29"/>
        <w:snapToGrid w:val="0"/>
        <w:spacing w:before="120" w:beforeLines="0" w:after="120" w:afterLines="0" w:line="240" w:lineRule="auto"/>
        <w:ind w:firstLine="240" w:firstLineChars="100"/>
        <w:outlineLvl w:val="0"/>
      </w:pPr>
    </w:p>
    <w:p w14:paraId="50F9D104">
      <w:pPr>
        <w:pStyle w:val="29"/>
        <w:snapToGrid w:val="0"/>
        <w:spacing w:before="120" w:beforeLines="0" w:after="120" w:afterLines="0" w:line="240" w:lineRule="auto"/>
        <w:ind w:firstLine="240" w:firstLineChars="100"/>
        <w:outlineLvl w:val="0"/>
      </w:pPr>
    </w:p>
    <w:p w14:paraId="619A19A9">
      <w:pPr>
        <w:pStyle w:val="29"/>
        <w:snapToGrid w:val="0"/>
        <w:spacing w:before="120" w:beforeLines="0" w:after="120" w:afterLines="0" w:line="240" w:lineRule="auto"/>
        <w:ind w:firstLine="240" w:firstLineChars="100"/>
        <w:outlineLvl w:val="0"/>
      </w:pPr>
    </w:p>
    <w:p w14:paraId="072EC821">
      <w:pPr>
        <w:pStyle w:val="29"/>
        <w:snapToGrid w:val="0"/>
        <w:spacing w:before="120" w:beforeLines="0" w:after="120" w:afterLines="0" w:line="240" w:lineRule="auto"/>
        <w:ind w:firstLine="240" w:firstLineChars="100"/>
        <w:outlineLvl w:val="0"/>
      </w:pPr>
    </w:p>
    <w:p w14:paraId="16123A0D">
      <w:pPr>
        <w:pStyle w:val="29"/>
        <w:snapToGrid w:val="0"/>
        <w:spacing w:before="120" w:beforeLines="0" w:after="120" w:afterLines="0" w:line="240" w:lineRule="auto"/>
        <w:ind w:firstLine="240" w:firstLineChars="100"/>
        <w:outlineLvl w:val="0"/>
      </w:pPr>
    </w:p>
    <w:p w14:paraId="4A1291E2">
      <w:pPr>
        <w:pStyle w:val="29"/>
        <w:snapToGrid w:val="0"/>
        <w:spacing w:before="120" w:beforeLines="0" w:after="120" w:afterLines="0" w:line="240" w:lineRule="auto"/>
        <w:ind w:firstLine="240" w:firstLineChars="100"/>
        <w:outlineLvl w:val="0"/>
      </w:pPr>
    </w:p>
    <w:p w14:paraId="340AF215">
      <w:pPr>
        <w:pStyle w:val="29"/>
        <w:snapToGrid w:val="0"/>
        <w:spacing w:before="120" w:beforeLines="0" w:after="120" w:afterLines="0" w:line="240" w:lineRule="auto"/>
        <w:ind w:firstLine="240" w:firstLineChars="100"/>
        <w:outlineLvl w:val="0"/>
      </w:pPr>
    </w:p>
    <w:p w14:paraId="43B327DC">
      <w:pPr>
        <w:pStyle w:val="29"/>
        <w:snapToGrid w:val="0"/>
        <w:spacing w:before="120" w:beforeLines="0" w:after="120" w:afterLines="0" w:line="240" w:lineRule="auto"/>
        <w:ind w:firstLine="240" w:firstLineChars="100"/>
        <w:outlineLvl w:val="0"/>
      </w:pPr>
    </w:p>
    <w:p w14:paraId="38386FE4">
      <w:pPr>
        <w:pStyle w:val="29"/>
        <w:snapToGrid w:val="0"/>
        <w:spacing w:before="120" w:beforeLines="0" w:after="120" w:afterLines="0" w:line="240" w:lineRule="auto"/>
        <w:ind w:firstLine="240" w:firstLineChars="100"/>
        <w:outlineLvl w:val="0"/>
      </w:pPr>
      <w:r>
        <w:rPr>
          <w:rFonts w:hint="eastAsia"/>
        </w:rPr>
        <w:t>技术参数要求：</w:t>
      </w:r>
    </w:p>
    <w:p w14:paraId="1282D0F8">
      <w:pPr>
        <w:pStyle w:val="29"/>
        <w:snapToGrid w:val="0"/>
        <w:spacing w:before="120" w:beforeLines="0" w:after="120" w:afterLines="0" w:line="240" w:lineRule="auto"/>
        <w:ind w:firstLine="240" w:firstLineChars="100"/>
        <w:outlineLvl w:val="0"/>
        <w:rPr>
          <w:rFonts w:hAnsi="宋体"/>
          <w:color w:val="0D0D0D"/>
          <w:szCs w:val="21"/>
        </w:rPr>
      </w:pPr>
      <w:r>
        <w:drawing>
          <wp:inline distT="0" distB="0" distL="114300" distR="114300">
            <wp:extent cx="5830570" cy="3959225"/>
            <wp:effectExtent l="0" t="0" r="17780" b="317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7"/>
                    <a:stretch>
                      <a:fillRect/>
                    </a:stretch>
                  </pic:blipFill>
                  <pic:spPr>
                    <a:xfrm>
                      <a:off x="0" y="0"/>
                      <a:ext cx="5830570" cy="3959225"/>
                    </a:xfrm>
                    <a:prstGeom prst="rect">
                      <a:avLst/>
                    </a:prstGeom>
                    <a:noFill/>
                    <a:ln>
                      <a:noFill/>
                    </a:ln>
                  </pic:spPr>
                </pic:pic>
              </a:graphicData>
            </a:graphic>
          </wp:inline>
        </w:drawing>
      </w:r>
    </w:p>
    <w:p w14:paraId="160C5945">
      <w:pPr>
        <w:pStyle w:val="29"/>
        <w:snapToGrid w:val="0"/>
        <w:spacing w:before="120" w:beforeLines="0" w:after="120" w:afterLines="0" w:line="240" w:lineRule="auto"/>
        <w:ind w:firstLine="240" w:firstLineChars="100"/>
        <w:outlineLvl w:val="0"/>
      </w:pPr>
      <w:r>
        <w:drawing>
          <wp:inline distT="0" distB="0" distL="114300" distR="114300">
            <wp:extent cx="5829300" cy="4373245"/>
            <wp:effectExtent l="0" t="0" r="0" b="8255"/>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8"/>
                    <a:stretch>
                      <a:fillRect/>
                    </a:stretch>
                  </pic:blipFill>
                  <pic:spPr>
                    <a:xfrm>
                      <a:off x="0" y="0"/>
                      <a:ext cx="5829300" cy="4373245"/>
                    </a:xfrm>
                    <a:prstGeom prst="rect">
                      <a:avLst/>
                    </a:prstGeom>
                    <a:noFill/>
                    <a:ln>
                      <a:noFill/>
                    </a:ln>
                  </pic:spPr>
                </pic:pic>
              </a:graphicData>
            </a:graphic>
          </wp:inline>
        </w:drawing>
      </w:r>
    </w:p>
    <w:p w14:paraId="5C3114D5">
      <w:pPr>
        <w:pStyle w:val="29"/>
        <w:snapToGrid w:val="0"/>
        <w:spacing w:before="120" w:beforeLines="0" w:after="120" w:afterLines="0" w:line="240" w:lineRule="auto"/>
        <w:ind w:firstLine="240" w:firstLineChars="100"/>
        <w:outlineLvl w:val="0"/>
      </w:pPr>
    </w:p>
    <w:p w14:paraId="52556389">
      <w:pPr>
        <w:pStyle w:val="29"/>
        <w:snapToGrid w:val="0"/>
        <w:spacing w:before="120" w:beforeLines="0" w:after="120" w:afterLines="0" w:line="240" w:lineRule="auto"/>
        <w:ind w:firstLine="240" w:firstLineChars="100"/>
        <w:outlineLvl w:val="0"/>
        <w:rPr>
          <w:rFonts w:hAnsi="宋体"/>
          <w:color w:val="0D0D0D"/>
          <w:szCs w:val="21"/>
        </w:rPr>
      </w:pPr>
      <w:r>
        <w:rPr>
          <w:rFonts w:hAnsi="宋体"/>
          <w:color w:val="0D0D0D"/>
          <w:szCs w:val="21"/>
        </w:rPr>
        <w:t>三、商务需求表</w:t>
      </w:r>
      <w:r>
        <w:rPr>
          <w:rFonts w:hint="eastAsia" w:hAnsi="宋体"/>
          <w:color w:val="0D0D0D"/>
          <w:szCs w:val="21"/>
        </w:rPr>
        <w:t xml:space="preserve"> </w:t>
      </w:r>
    </w:p>
    <w:tbl>
      <w:tblPr>
        <w:tblStyle w:val="4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58"/>
        <w:gridCol w:w="7741"/>
      </w:tblGrid>
      <w:tr w14:paraId="2DB98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882" w:type="pct"/>
            <w:tcBorders>
              <w:top w:val="single" w:color="auto" w:sz="4" w:space="0"/>
              <w:left w:val="single" w:color="auto" w:sz="4" w:space="0"/>
              <w:bottom w:val="single" w:color="auto" w:sz="4" w:space="0"/>
              <w:right w:val="single" w:color="auto" w:sz="4" w:space="0"/>
            </w:tcBorders>
            <w:vAlign w:val="center"/>
          </w:tcPr>
          <w:p w14:paraId="2F309DE1">
            <w:pPr>
              <w:snapToGrid w:val="0"/>
              <w:rPr>
                <w:rFonts w:ascii="宋体" w:hAnsi="宋体"/>
                <w:color w:val="0D0D0D"/>
                <w:sz w:val="21"/>
                <w:szCs w:val="21"/>
              </w:rPr>
            </w:pPr>
            <w:r>
              <w:rPr>
                <w:rFonts w:hint="eastAsia" w:ascii="宋体" w:hAnsi="宋体"/>
                <w:color w:val="0D0D0D"/>
                <w:sz w:val="21"/>
                <w:szCs w:val="21"/>
              </w:rPr>
              <w:t>总体要求</w:t>
            </w:r>
          </w:p>
        </w:tc>
        <w:tc>
          <w:tcPr>
            <w:tcW w:w="4117" w:type="pct"/>
            <w:tcBorders>
              <w:top w:val="single" w:color="auto" w:sz="4" w:space="0"/>
              <w:left w:val="single" w:color="auto" w:sz="4" w:space="0"/>
              <w:bottom w:val="single" w:color="auto" w:sz="4" w:space="0"/>
              <w:right w:val="single" w:color="auto" w:sz="4" w:space="0"/>
            </w:tcBorders>
            <w:vAlign w:val="center"/>
          </w:tcPr>
          <w:p w14:paraId="0823ED9E">
            <w:pPr>
              <w:snapToGrid w:val="0"/>
              <w:rPr>
                <w:rFonts w:ascii="宋体" w:hAnsi="宋体"/>
                <w:color w:val="0D0D0D"/>
                <w:sz w:val="21"/>
              </w:rPr>
            </w:pPr>
            <w:r>
              <w:rPr>
                <w:rFonts w:hint="eastAsia" w:ascii="宋体" w:hAnsi="宋体"/>
                <w:color w:val="0D0D0D"/>
                <w:sz w:val="21"/>
              </w:rPr>
              <w:t>供应商</w:t>
            </w:r>
            <w:r>
              <w:rPr>
                <w:rFonts w:hint="eastAsia" w:ascii="宋体" w:hAnsi="宋体"/>
                <w:color w:val="0D0D0D"/>
                <w:sz w:val="21"/>
                <w:szCs w:val="21"/>
              </w:rPr>
              <w:t>需按本技术规格书的要求完成材料采购、运输、装车等工作，按工作顺序提交所需的资料，所有资料必须符合本技术规格书的要求。费用应全部包含在总报价中。</w:t>
            </w:r>
          </w:p>
        </w:tc>
      </w:tr>
      <w:tr w14:paraId="49FE9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2" w:type="pct"/>
            <w:tcBorders>
              <w:top w:val="single" w:color="auto" w:sz="4" w:space="0"/>
              <w:left w:val="single" w:color="auto" w:sz="4" w:space="0"/>
              <w:bottom w:val="single" w:color="auto" w:sz="4" w:space="0"/>
              <w:right w:val="single" w:color="auto" w:sz="4" w:space="0"/>
            </w:tcBorders>
            <w:vAlign w:val="center"/>
          </w:tcPr>
          <w:p w14:paraId="525B3737">
            <w:pPr>
              <w:snapToGrid w:val="0"/>
              <w:rPr>
                <w:rFonts w:ascii="宋体" w:hAnsi="宋体"/>
                <w:color w:val="0D0D0D"/>
                <w:sz w:val="21"/>
                <w:szCs w:val="21"/>
              </w:rPr>
            </w:pPr>
            <w:r>
              <w:rPr>
                <w:rFonts w:hint="eastAsia" w:ascii="宋体" w:hAnsi="宋体"/>
                <w:color w:val="0D0D0D"/>
                <w:sz w:val="21"/>
                <w:szCs w:val="21"/>
              </w:rPr>
              <w:t>投标总报价</w:t>
            </w:r>
          </w:p>
        </w:tc>
        <w:tc>
          <w:tcPr>
            <w:tcW w:w="4117" w:type="pct"/>
            <w:tcBorders>
              <w:top w:val="single" w:color="auto" w:sz="4" w:space="0"/>
              <w:left w:val="single" w:color="auto" w:sz="4" w:space="0"/>
              <w:bottom w:val="single" w:color="auto" w:sz="4" w:space="0"/>
              <w:right w:val="single" w:color="auto" w:sz="4" w:space="0"/>
            </w:tcBorders>
            <w:vAlign w:val="center"/>
          </w:tcPr>
          <w:p w14:paraId="6A8DA708">
            <w:pPr>
              <w:snapToGrid w:val="0"/>
              <w:rPr>
                <w:rFonts w:ascii="宋体" w:hAnsi="宋体"/>
                <w:color w:val="0D0D0D"/>
                <w:sz w:val="21"/>
              </w:rPr>
            </w:pPr>
            <w:r>
              <w:rPr>
                <w:rFonts w:hint="eastAsia" w:ascii="宋体" w:hAnsi="宋体"/>
                <w:color w:val="0D0D0D"/>
                <w:sz w:val="21"/>
                <w:szCs w:val="21"/>
              </w:rPr>
              <w:t>投标总报价应是招标文件所确定的招标范围内全部工作内容的价格表现。</w:t>
            </w:r>
          </w:p>
        </w:tc>
      </w:tr>
      <w:tr w14:paraId="1D36C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82" w:type="pct"/>
            <w:tcBorders>
              <w:top w:val="single" w:color="auto" w:sz="4" w:space="0"/>
              <w:left w:val="single" w:color="auto" w:sz="4" w:space="0"/>
              <w:bottom w:val="single" w:color="auto" w:sz="4" w:space="0"/>
              <w:right w:val="single" w:color="auto" w:sz="4" w:space="0"/>
            </w:tcBorders>
            <w:vAlign w:val="center"/>
          </w:tcPr>
          <w:p w14:paraId="03C15DF3">
            <w:pPr>
              <w:snapToGrid w:val="0"/>
              <w:rPr>
                <w:rFonts w:ascii="宋体" w:hAnsi="宋体"/>
                <w:color w:val="0D0D0D"/>
                <w:sz w:val="21"/>
                <w:szCs w:val="21"/>
              </w:rPr>
            </w:pPr>
            <w:r>
              <w:rPr>
                <w:rFonts w:hint="eastAsia" w:ascii="宋体" w:hAnsi="宋体"/>
                <w:color w:val="0D0D0D"/>
                <w:sz w:val="21"/>
              </w:rPr>
              <w:t>招标范围</w:t>
            </w:r>
          </w:p>
        </w:tc>
        <w:tc>
          <w:tcPr>
            <w:tcW w:w="4117" w:type="pct"/>
            <w:tcBorders>
              <w:top w:val="single" w:color="auto" w:sz="4" w:space="0"/>
              <w:left w:val="single" w:color="auto" w:sz="4" w:space="0"/>
              <w:bottom w:val="single" w:color="auto" w:sz="4" w:space="0"/>
              <w:right w:val="single" w:color="auto" w:sz="4" w:space="0"/>
            </w:tcBorders>
            <w:vAlign w:val="center"/>
          </w:tcPr>
          <w:p w14:paraId="35DF5AE7">
            <w:pPr>
              <w:snapToGrid w:val="0"/>
              <w:rPr>
                <w:rFonts w:ascii="宋体" w:hAnsi="宋体"/>
                <w:color w:val="0D0D0D"/>
                <w:sz w:val="21"/>
                <w:szCs w:val="21"/>
              </w:rPr>
            </w:pPr>
            <w:r>
              <w:rPr>
                <w:rFonts w:hint="eastAsia" w:ascii="宋体" w:hAnsi="宋体"/>
                <w:color w:val="0D0D0D"/>
                <w:sz w:val="21"/>
              </w:rPr>
              <w:t>招标范围为招标人提供的台州湾新区中国家庭帆船赛台州站配套工程（浮筒平台采购）</w:t>
            </w:r>
            <w:r>
              <w:rPr>
                <w:rFonts w:hint="eastAsia" w:ascii="宋体" w:hAnsi="宋体"/>
                <w:color w:val="0D0D0D"/>
                <w:sz w:val="21"/>
                <w:lang w:eastAsia="zh-CN"/>
              </w:rPr>
              <w:t>（</w:t>
            </w:r>
            <w:r>
              <w:rPr>
                <w:rFonts w:hint="eastAsia" w:ascii="宋体" w:hAnsi="宋体"/>
                <w:color w:val="0D0D0D"/>
                <w:sz w:val="21"/>
                <w:lang w:val="en-US" w:eastAsia="zh-CN"/>
              </w:rPr>
              <w:t>重新招标）</w:t>
            </w:r>
            <w:r>
              <w:rPr>
                <w:rFonts w:hint="eastAsia" w:ascii="宋体" w:hAnsi="宋体"/>
                <w:color w:val="0D0D0D"/>
                <w:sz w:val="21"/>
              </w:rPr>
              <w:t>等所有内容。</w:t>
            </w:r>
          </w:p>
        </w:tc>
      </w:tr>
      <w:tr w14:paraId="55048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2" w:type="pct"/>
            <w:tcBorders>
              <w:top w:val="single" w:color="auto" w:sz="4" w:space="0"/>
              <w:left w:val="single" w:color="auto" w:sz="4" w:space="0"/>
              <w:bottom w:val="single" w:color="auto" w:sz="4" w:space="0"/>
              <w:right w:val="single" w:color="auto" w:sz="4" w:space="0"/>
            </w:tcBorders>
            <w:vAlign w:val="center"/>
          </w:tcPr>
          <w:p w14:paraId="6D898299">
            <w:pPr>
              <w:snapToGrid w:val="0"/>
              <w:rPr>
                <w:rFonts w:ascii="宋体" w:hAnsi="宋体"/>
                <w:color w:val="0D0D0D"/>
                <w:sz w:val="21"/>
              </w:rPr>
            </w:pPr>
            <w:r>
              <w:rPr>
                <w:rFonts w:hint="eastAsia" w:ascii="宋体" w:hAnsi="宋体"/>
                <w:color w:val="0D0D0D"/>
                <w:sz w:val="21"/>
              </w:rPr>
              <w:t>交货时间及地点</w:t>
            </w:r>
          </w:p>
        </w:tc>
        <w:tc>
          <w:tcPr>
            <w:tcW w:w="4117" w:type="pct"/>
            <w:tcBorders>
              <w:top w:val="single" w:color="auto" w:sz="4" w:space="0"/>
              <w:left w:val="single" w:color="auto" w:sz="4" w:space="0"/>
              <w:bottom w:val="single" w:color="auto" w:sz="4" w:space="0"/>
              <w:right w:val="single" w:color="auto" w:sz="4" w:space="0"/>
            </w:tcBorders>
            <w:vAlign w:val="center"/>
          </w:tcPr>
          <w:p w14:paraId="61B2D267">
            <w:pPr>
              <w:snapToGrid w:val="0"/>
              <w:rPr>
                <w:rFonts w:ascii="宋体" w:hAnsi="宋体"/>
                <w:color w:val="0D0D0D"/>
                <w:sz w:val="21"/>
              </w:rPr>
            </w:pPr>
            <w:r>
              <w:rPr>
                <w:rFonts w:hint="eastAsia" w:ascii="宋体" w:hAnsi="宋体"/>
                <w:color w:val="0D0D0D"/>
                <w:sz w:val="21"/>
              </w:rPr>
              <w:t>完成时间：自收到中标通知书后7日内完成供货；</w:t>
            </w:r>
          </w:p>
          <w:p w14:paraId="2056EB6E">
            <w:pPr>
              <w:snapToGrid w:val="0"/>
              <w:rPr>
                <w:rFonts w:ascii="宋体" w:hAnsi="宋体"/>
                <w:color w:val="0D0D0D"/>
                <w:sz w:val="21"/>
              </w:rPr>
            </w:pPr>
            <w:r>
              <w:rPr>
                <w:rFonts w:hint="eastAsia" w:ascii="宋体" w:hAnsi="宋体"/>
                <w:color w:val="0D0D0D"/>
                <w:sz w:val="21"/>
              </w:rPr>
              <w:t xml:space="preserve">交货地点：甲方指定地点。 </w:t>
            </w:r>
          </w:p>
        </w:tc>
      </w:tr>
      <w:tr w14:paraId="62021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82" w:type="pct"/>
            <w:tcBorders>
              <w:top w:val="single" w:color="auto" w:sz="4" w:space="0"/>
              <w:left w:val="single" w:color="auto" w:sz="4" w:space="0"/>
              <w:bottom w:val="single" w:color="auto" w:sz="4" w:space="0"/>
              <w:right w:val="single" w:color="auto" w:sz="4" w:space="0"/>
            </w:tcBorders>
            <w:vAlign w:val="center"/>
          </w:tcPr>
          <w:p w14:paraId="7490D46D">
            <w:pPr>
              <w:snapToGrid w:val="0"/>
              <w:rPr>
                <w:rFonts w:ascii="宋体" w:hAnsi="宋体"/>
                <w:color w:val="0D0D0D"/>
                <w:sz w:val="21"/>
                <w:szCs w:val="21"/>
              </w:rPr>
            </w:pPr>
            <w:r>
              <w:rPr>
                <w:rFonts w:hint="eastAsia" w:ascii="宋体" w:hAnsi="宋体"/>
                <w:color w:val="0D0D0D"/>
                <w:sz w:val="21"/>
                <w:szCs w:val="21"/>
              </w:rPr>
              <w:t>付款条件</w:t>
            </w:r>
          </w:p>
        </w:tc>
        <w:tc>
          <w:tcPr>
            <w:tcW w:w="4117" w:type="pct"/>
            <w:tcBorders>
              <w:top w:val="single" w:color="auto" w:sz="4" w:space="0"/>
              <w:left w:val="single" w:color="auto" w:sz="4" w:space="0"/>
              <w:bottom w:val="single" w:color="auto" w:sz="4" w:space="0"/>
              <w:right w:val="single" w:color="auto" w:sz="4" w:space="0"/>
            </w:tcBorders>
            <w:vAlign w:val="center"/>
          </w:tcPr>
          <w:p w14:paraId="64547935">
            <w:pPr>
              <w:snapToGrid w:val="0"/>
              <w:rPr>
                <w:rFonts w:ascii="宋体" w:hAnsi="宋体"/>
                <w:b/>
                <w:color w:val="0D0D0D"/>
                <w:sz w:val="21"/>
                <w:szCs w:val="21"/>
              </w:rPr>
            </w:pPr>
            <w:r>
              <w:rPr>
                <w:rFonts w:hint="eastAsia" w:ascii="宋体" w:hAnsi="宋体"/>
                <w:color w:val="0D0D0D"/>
                <w:sz w:val="21"/>
                <w:szCs w:val="21"/>
              </w:rPr>
              <w:t>见合同条款。</w:t>
            </w:r>
          </w:p>
        </w:tc>
      </w:tr>
    </w:tbl>
    <w:p w14:paraId="454410E6">
      <w:pPr>
        <w:snapToGrid w:val="0"/>
        <w:spacing w:before="120" w:beforeLines="50" w:after="120" w:afterLines="50"/>
        <w:ind w:left="238"/>
        <w:jc w:val="center"/>
        <w:rPr>
          <w:b/>
          <w:color w:val="0D0D0D"/>
        </w:rPr>
        <w:sectPr>
          <w:footerReference r:id="rId8" w:type="first"/>
          <w:headerReference r:id="rId6" w:type="default"/>
          <w:footerReference r:id="rId7"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004FEBE5">
      <w:pPr>
        <w:snapToGrid w:val="0"/>
        <w:spacing w:before="120" w:beforeLines="50" w:after="120" w:afterLines="50"/>
        <w:ind w:left="238"/>
        <w:jc w:val="center"/>
        <w:rPr>
          <w:rFonts w:eastAsia="仿宋_GB2312"/>
          <w:b/>
          <w:color w:val="0D0D0D"/>
          <w:sz w:val="32"/>
          <w:szCs w:val="20"/>
        </w:rPr>
      </w:pPr>
      <w:r>
        <w:rPr>
          <w:b/>
          <w:color w:val="0D0D0D"/>
        </w:rPr>
        <w:t>第三章  投标人须知</w:t>
      </w:r>
    </w:p>
    <w:p w14:paraId="22B29179">
      <w:pPr>
        <w:snapToGrid w:val="0"/>
        <w:spacing w:before="120" w:beforeLines="50" w:after="120" w:afterLines="50"/>
        <w:ind w:left="238"/>
        <w:jc w:val="center"/>
        <w:outlineLvl w:val="1"/>
        <w:rPr>
          <w:rFonts w:ascii="宋体" w:hAnsi="宋体" w:eastAsia="仿宋_GB2312"/>
          <w:b/>
          <w:color w:val="0D0D0D"/>
          <w:szCs w:val="28"/>
        </w:rPr>
      </w:pPr>
      <w:r>
        <w:rPr>
          <w:rFonts w:hint="eastAsia" w:ascii="宋体" w:hAnsi="宋体"/>
          <w:b/>
          <w:color w:val="0D0D0D"/>
          <w:szCs w:val="28"/>
        </w:rPr>
        <w:t>前 附 表</w:t>
      </w:r>
    </w:p>
    <w:tbl>
      <w:tblPr>
        <w:tblStyle w:val="4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371"/>
      </w:tblGrid>
      <w:tr w14:paraId="46CF2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vAlign w:val="center"/>
          </w:tcPr>
          <w:p w14:paraId="4CDB19A8">
            <w:pPr>
              <w:snapToGrid w:val="0"/>
              <w:jc w:val="center"/>
              <w:rPr>
                <w:rFonts w:ascii="宋体" w:hAnsi="宋体"/>
                <w:color w:val="0D0D0D"/>
                <w:sz w:val="21"/>
                <w:szCs w:val="21"/>
              </w:rPr>
            </w:pPr>
            <w:r>
              <w:rPr>
                <w:rFonts w:hint="eastAsia" w:ascii="宋体" w:hAnsi="宋体"/>
                <w:color w:val="0D0D0D"/>
                <w:sz w:val="21"/>
                <w:szCs w:val="21"/>
              </w:rPr>
              <w:t>序号</w:t>
            </w:r>
          </w:p>
        </w:tc>
        <w:tc>
          <w:tcPr>
            <w:tcW w:w="8371" w:type="dxa"/>
            <w:tcBorders>
              <w:top w:val="single" w:color="auto" w:sz="4" w:space="0"/>
              <w:left w:val="single" w:color="auto" w:sz="4" w:space="0"/>
              <w:bottom w:val="single" w:color="auto" w:sz="4" w:space="0"/>
              <w:right w:val="single" w:color="auto" w:sz="4" w:space="0"/>
            </w:tcBorders>
            <w:vAlign w:val="center"/>
          </w:tcPr>
          <w:p w14:paraId="16F191DA">
            <w:pPr>
              <w:snapToGrid w:val="0"/>
              <w:jc w:val="center"/>
              <w:rPr>
                <w:rFonts w:ascii="宋体" w:hAnsi="宋体"/>
                <w:color w:val="0D0D0D"/>
                <w:sz w:val="21"/>
                <w:szCs w:val="21"/>
              </w:rPr>
            </w:pPr>
            <w:r>
              <w:rPr>
                <w:rFonts w:hint="eastAsia" w:ascii="宋体" w:hAnsi="宋体"/>
                <w:color w:val="0D0D0D"/>
                <w:sz w:val="21"/>
                <w:szCs w:val="21"/>
              </w:rPr>
              <w:t>内容、要求</w:t>
            </w:r>
          </w:p>
        </w:tc>
      </w:tr>
      <w:tr w14:paraId="0CF8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vAlign w:val="center"/>
          </w:tcPr>
          <w:p w14:paraId="45C130E5">
            <w:pPr>
              <w:snapToGrid w:val="0"/>
              <w:jc w:val="center"/>
              <w:rPr>
                <w:rFonts w:ascii="宋体" w:hAnsi="宋体"/>
                <w:color w:val="0D0D0D"/>
                <w:sz w:val="21"/>
                <w:szCs w:val="21"/>
              </w:rPr>
            </w:pPr>
            <w:r>
              <w:rPr>
                <w:rFonts w:ascii="宋体" w:hAnsi="宋体"/>
                <w:color w:val="0C0C0C"/>
                <w:sz w:val="21"/>
                <w:szCs w:val="21"/>
              </w:rPr>
              <w:t>1</w:t>
            </w:r>
          </w:p>
        </w:tc>
        <w:tc>
          <w:tcPr>
            <w:tcW w:w="8371" w:type="dxa"/>
            <w:tcBorders>
              <w:top w:val="single" w:color="auto" w:sz="4" w:space="0"/>
              <w:left w:val="single" w:color="auto" w:sz="4" w:space="0"/>
              <w:bottom w:val="single" w:color="auto" w:sz="4" w:space="0"/>
              <w:right w:val="single" w:color="auto" w:sz="4" w:space="0"/>
            </w:tcBorders>
            <w:vAlign w:val="center"/>
          </w:tcPr>
          <w:p w14:paraId="08EF82D8">
            <w:pPr>
              <w:snapToGrid w:val="0"/>
              <w:ind w:left="1050" w:hanging="1050" w:hangingChars="500"/>
              <w:rPr>
                <w:rFonts w:ascii="宋体" w:hAnsi="宋体"/>
                <w:color w:val="0D0D0D"/>
                <w:sz w:val="21"/>
                <w:szCs w:val="21"/>
              </w:rPr>
            </w:pPr>
            <w:r>
              <w:rPr>
                <w:rFonts w:hint="eastAsia" w:ascii="宋体" w:hAnsi="宋体"/>
                <w:color w:val="0D0D0D"/>
                <w:sz w:val="21"/>
                <w:szCs w:val="21"/>
              </w:rPr>
              <w:t>项目名称：</w:t>
            </w:r>
            <w:r>
              <w:rPr>
                <w:rFonts w:hint="eastAsia" w:ascii="宋体" w:hAnsi="宋体"/>
                <w:bCs/>
                <w:color w:val="0D0D0D"/>
                <w:sz w:val="21"/>
                <w:szCs w:val="21"/>
              </w:rPr>
              <w:t>台州湾新区中国家庭帆船赛台州站配套工程（浮筒平台采购）</w:t>
            </w:r>
            <w:r>
              <w:rPr>
                <w:rFonts w:hint="eastAsia" w:ascii="宋体" w:hAnsi="宋体"/>
                <w:bCs/>
                <w:color w:val="0D0D0D"/>
                <w:sz w:val="21"/>
                <w:szCs w:val="21"/>
                <w:lang w:eastAsia="zh-CN"/>
              </w:rPr>
              <w:t>（</w:t>
            </w:r>
            <w:r>
              <w:rPr>
                <w:rFonts w:hint="eastAsia" w:ascii="宋体" w:hAnsi="宋体"/>
                <w:bCs/>
                <w:color w:val="0D0D0D"/>
                <w:sz w:val="21"/>
                <w:szCs w:val="21"/>
                <w:lang w:val="en-US" w:eastAsia="zh-CN"/>
              </w:rPr>
              <w:t>重新招标）</w:t>
            </w:r>
          </w:p>
        </w:tc>
      </w:tr>
      <w:tr w14:paraId="6AC7C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69" w:type="dxa"/>
            <w:tcBorders>
              <w:top w:val="single" w:color="auto" w:sz="4" w:space="0"/>
              <w:left w:val="single" w:color="auto" w:sz="4" w:space="0"/>
              <w:bottom w:val="single" w:color="auto" w:sz="4" w:space="0"/>
              <w:right w:val="single" w:color="auto" w:sz="4" w:space="0"/>
            </w:tcBorders>
            <w:vAlign w:val="center"/>
          </w:tcPr>
          <w:p w14:paraId="6E21A4C1">
            <w:pPr>
              <w:snapToGrid w:val="0"/>
              <w:jc w:val="center"/>
              <w:rPr>
                <w:rFonts w:ascii="宋体" w:hAnsi="宋体"/>
                <w:color w:val="0D0D0D"/>
                <w:sz w:val="21"/>
                <w:szCs w:val="21"/>
              </w:rPr>
            </w:pPr>
            <w:r>
              <w:rPr>
                <w:rFonts w:ascii="宋体" w:hAnsi="宋体"/>
                <w:color w:val="0C0C0C"/>
                <w:sz w:val="21"/>
                <w:szCs w:val="21"/>
              </w:rPr>
              <w:t>2</w:t>
            </w:r>
          </w:p>
        </w:tc>
        <w:tc>
          <w:tcPr>
            <w:tcW w:w="8371" w:type="dxa"/>
            <w:tcBorders>
              <w:top w:val="single" w:color="auto" w:sz="4" w:space="0"/>
              <w:left w:val="single" w:color="auto" w:sz="4" w:space="0"/>
              <w:bottom w:val="single" w:color="auto" w:sz="4" w:space="0"/>
              <w:right w:val="single" w:color="auto" w:sz="4" w:space="0"/>
            </w:tcBorders>
            <w:vAlign w:val="center"/>
          </w:tcPr>
          <w:p w14:paraId="61C8CD39">
            <w:pPr>
              <w:snapToGrid w:val="0"/>
              <w:rPr>
                <w:rFonts w:ascii="宋体" w:hAnsi="宋体"/>
                <w:color w:val="0D0D0D"/>
                <w:sz w:val="21"/>
                <w:szCs w:val="21"/>
              </w:rPr>
            </w:pPr>
            <w:r>
              <w:rPr>
                <w:rFonts w:hint="eastAsia" w:ascii="宋体" w:hAnsi="宋体"/>
                <w:color w:val="0D0D0D"/>
                <w:sz w:val="21"/>
                <w:szCs w:val="21"/>
              </w:rPr>
              <w:t>采购单位：</w:t>
            </w:r>
            <w:r>
              <w:rPr>
                <w:rFonts w:hint="eastAsia" w:ascii="宋体" w:hAnsi="宋体"/>
                <w:bCs/>
                <w:color w:val="0D0D0D"/>
                <w:sz w:val="21"/>
                <w:szCs w:val="21"/>
              </w:rPr>
              <w:t>台州东发建设集团有限公司</w:t>
            </w:r>
          </w:p>
        </w:tc>
      </w:tr>
      <w:tr w14:paraId="0EC65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vAlign w:val="center"/>
          </w:tcPr>
          <w:p w14:paraId="22986C01">
            <w:pPr>
              <w:snapToGrid w:val="0"/>
              <w:jc w:val="center"/>
              <w:rPr>
                <w:rFonts w:ascii="宋体" w:hAnsi="宋体"/>
                <w:color w:val="0D0D0D"/>
                <w:sz w:val="21"/>
                <w:szCs w:val="21"/>
              </w:rPr>
            </w:pPr>
            <w:r>
              <w:rPr>
                <w:rFonts w:ascii="宋体" w:hAnsi="宋体"/>
                <w:color w:val="0C0C0C"/>
                <w:sz w:val="21"/>
                <w:szCs w:val="21"/>
              </w:rPr>
              <w:t>3</w:t>
            </w:r>
          </w:p>
        </w:tc>
        <w:tc>
          <w:tcPr>
            <w:tcW w:w="8371" w:type="dxa"/>
            <w:tcBorders>
              <w:top w:val="single" w:color="auto" w:sz="4" w:space="0"/>
              <w:left w:val="single" w:color="auto" w:sz="4" w:space="0"/>
              <w:bottom w:val="single" w:color="auto" w:sz="4" w:space="0"/>
              <w:right w:val="single" w:color="auto" w:sz="4" w:space="0"/>
            </w:tcBorders>
            <w:vAlign w:val="center"/>
          </w:tcPr>
          <w:p w14:paraId="1ED2BCFF">
            <w:pPr>
              <w:snapToGrid w:val="0"/>
              <w:rPr>
                <w:rFonts w:hint="default" w:ascii="宋体" w:hAnsi="宋体" w:eastAsia="宋体"/>
                <w:color w:val="0D0D0D"/>
                <w:sz w:val="21"/>
                <w:szCs w:val="21"/>
                <w:lang w:val="en-US" w:eastAsia="zh-CN"/>
              </w:rPr>
            </w:pPr>
            <w:r>
              <w:rPr>
                <w:rFonts w:hint="eastAsia" w:ascii="宋体" w:hAnsi="宋体"/>
                <w:color w:val="0D0D0D"/>
                <w:sz w:val="21"/>
                <w:szCs w:val="21"/>
              </w:rPr>
              <w:t>投标报价及费用：</w:t>
            </w:r>
            <w:r>
              <w:rPr>
                <w:rFonts w:ascii="宋体" w:hAnsi="宋体"/>
                <w:color w:val="0D0D0D"/>
                <w:sz w:val="21"/>
                <w:szCs w:val="21"/>
              </w:rPr>
              <w:t>1</w:t>
            </w:r>
            <w:r>
              <w:rPr>
                <w:rFonts w:hint="eastAsia" w:ascii="宋体" w:hAnsi="宋体"/>
                <w:color w:val="0D0D0D"/>
                <w:sz w:val="21"/>
                <w:szCs w:val="21"/>
              </w:rPr>
              <w:t>、本项目投标应以人民币报价；</w:t>
            </w:r>
            <w:r>
              <w:rPr>
                <w:rFonts w:ascii="宋体" w:hAnsi="宋体"/>
                <w:color w:val="0D0D0D"/>
                <w:sz w:val="21"/>
                <w:szCs w:val="21"/>
              </w:rPr>
              <w:t>2</w:t>
            </w:r>
            <w:r>
              <w:rPr>
                <w:rFonts w:hint="eastAsia" w:ascii="宋体" w:hAnsi="宋体"/>
                <w:color w:val="0D0D0D"/>
                <w:sz w:val="21"/>
                <w:szCs w:val="21"/>
              </w:rPr>
              <w:t>、不论投标结果如何，投标人均应自行承担所有与投标有关的全部费用；</w:t>
            </w:r>
            <w:r>
              <w:rPr>
                <w:rFonts w:hint="eastAsia" w:ascii="宋体" w:hAnsi="宋体"/>
                <w:color w:val="0D0D0D"/>
                <w:sz w:val="21"/>
                <w:szCs w:val="21"/>
                <w:lang w:val="en-US" w:eastAsia="zh-CN"/>
              </w:rPr>
              <w:t>3、本项目交易服务费由中标单位支付。</w:t>
            </w:r>
          </w:p>
        </w:tc>
      </w:tr>
      <w:tr w14:paraId="5BD92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869" w:type="dxa"/>
            <w:tcBorders>
              <w:top w:val="single" w:color="auto" w:sz="4" w:space="0"/>
              <w:left w:val="single" w:color="auto" w:sz="4" w:space="0"/>
              <w:bottom w:val="single" w:color="auto" w:sz="4" w:space="0"/>
              <w:right w:val="single" w:color="auto" w:sz="4" w:space="0"/>
            </w:tcBorders>
            <w:vAlign w:val="center"/>
          </w:tcPr>
          <w:p w14:paraId="51D40BD0">
            <w:pPr>
              <w:snapToGrid w:val="0"/>
              <w:jc w:val="center"/>
              <w:rPr>
                <w:rFonts w:ascii="宋体" w:hAnsi="宋体"/>
                <w:color w:val="0D0D0D"/>
                <w:sz w:val="21"/>
                <w:szCs w:val="21"/>
              </w:rPr>
            </w:pPr>
            <w:r>
              <w:rPr>
                <w:rFonts w:hint="eastAsia" w:ascii="宋体" w:hAnsi="宋体"/>
                <w:color w:val="0C0C0C"/>
                <w:sz w:val="21"/>
                <w:szCs w:val="21"/>
              </w:rPr>
              <w:t>4</w:t>
            </w:r>
          </w:p>
        </w:tc>
        <w:tc>
          <w:tcPr>
            <w:tcW w:w="8371" w:type="dxa"/>
            <w:tcBorders>
              <w:top w:val="single" w:color="auto" w:sz="4" w:space="0"/>
              <w:left w:val="single" w:color="auto" w:sz="4" w:space="0"/>
              <w:bottom w:val="single" w:color="auto" w:sz="4" w:space="0"/>
              <w:right w:val="single" w:color="auto" w:sz="4" w:space="0"/>
            </w:tcBorders>
            <w:vAlign w:val="center"/>
          </w:tcPr>
          <w:p w14:paraId="5B03E0AD">
            <w:pPr>
              <w:snapToGrid w:val="0"/>
              <w:rPr>
                <w:rFonts w:ascii="宋体" w:hAnsi="宋体"/>
                <w:color w:val="0D0D0D"/>
                <w:sz w:val="21"/>
                <w:szCs w:val="21"/>
              </w:rPr>
            </w:pPr>
            <w:r>
              <w:rPr>
                <w:rFonts w:hint="eastAsia" w:ascii="宋体" w:hAnsi="宋体"/>
                <w:color w:val="0D0D0D"/>
                <w:sz w:val="21"/>
                <w:szCs w:val="21"/>
              </w:rPr>
              <w:t>现场踏勘：自行踏勘</w:t>
            </w:r>
          </w:p>
        </w:tc>
      </w:tr>
      <w:tr w14:paraId="3DCD4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14:paraId="763BEF10">
            <w:pPr>
              <w:snapToGrid w:val="0"/>
              <w:jc w:val="center"/>
              <w:rPr>
                <w:rFonts w:ascii="宋体" w:hAnsi="宋体"/>
                <w:color w:val="0D0D0D"/>
                <w:sz w:val="21"/>
                <w:szCs w:val="21"/>
              </w:rPr>
            </w:pPr>
            <w:r>
              <w:rPr>
                <w:rFonts w:hint="eastAsia" w:ascii="宋体" w:hAnsi="宋体"/>
                <w:color w:val="0C0C0C"/>
                <w:sz w:val="21"/>
                <w:szCs w:val="21"/>
              </w:rPr>
              <w:t>5</w:t>
            </w:r>
          </w:p>
        </w:tc>
        <w:tc>
          <w:tcPr>
            <w:tcW w:w="8371" w:type="dxa"/>
            <w:tcBorders>
              <w:top w:val="single" w:color="auto" w:sz="4" w:space="0"/>
              <w:left w:val="single" w:color="auto" w:sz="4" w:space="0"/>
              <w:bottom w:val="single" w:color="auto" w:sz="4" w:space="0"/>
              <w:right w:val="single" w:color="auto" w:sz="4" w:space="0"/>
            </w:tcBorders>
            <w:vAlign w:val="center"/>
          </w:tcPr>
          <w:p w14:paraId="53FBF019">
            <w:pPr>
              <w:snapToGrid w:val="0"/>
              <w:rPr>
                <w:rFonts w:ascii="宋体" w:hAnsi="宋体"/>
                <w:color w:val="0D0D0D"/>
                <w:sz w:val="21"/>
                <w:szCs w:val="21"/>
              </w:rPr>
            </w:pPr>
            <w:r>
              <w:rPr>
                <w:rFonts w:hint="eastAsia" w:ascii="宋体" w:hAnsi="宋体"/>
                <w:color w:val="0D0D0D"/>
                <w:sz w:val="21"/>
                <w:szCs w:val="21"/>
              </w:rPr>
              <w:t>招标文件的澄清：投标人获取招标文件后，若有问题需要澄清，应自招标文件发布在交易场所（发布招标公告的媒体上）3日内，通过台州湾新区小额工程电子交易平台（http://www.tzwztb.com)向招标人（招标代理）提出。</w:t>
            </w:r>
          </w:p>
        </w:tc>
      </w:tr>
      <w:tr w14:paraId="3816E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vAlign w:val="center"/>
          </w:tcPr>
          <w:p w14:paraId="5FA58818">
            <w:pPr>
              <w:snapToGrid w:val="0"/>
              <w:jc w:val="center"/>
              <w:rPr>
                <w:rFonts w:ascii="宋体" w:hAnsi="宋体"/>
                <w:color w:val="0D0D0D"/>
                <w:sz w:val="21"/>
                <w:szCs w:val="21"/>
              </w:rPr>
            </w:pPr>
            <w:r>
              <w:rPr>
                <w:rFonts w:hint="eastAsia" w:ascii="宋体" w:hAnsi="宋体"/>
                <w:color w:val="0D0D0D"/>
                <w:sz w:val="21"/>
                <w:szCs w:val="21"/>
              </w:rPr>
              <w:t>6</w:t>
            </w:r>
          </w:p>
        </w:tc>
        <w:tc>
          <w:tcPr>
            <w:tcW w:w="8371" w:type="dxa"/>
            <w:tcBorders>
              <w:top w:val="single" w:color="auto" w:sz="4" w:space="0"/>
              <w:left w:val="single" w:color="auto" w:sz="4" w:space="0"/>
              <w:bottom w:val="single" w:color="auto" w:sz="4" w:space="0"/>
              <w:right w:val="single" w:color="auto" w:sz="4" w:space="0"/>
            </w:tcBorders>
            <w:vAlign w:val="center"/>
          </w:tcPr>
          <w:p w14:paraId="23E47A5E">
            <w:pPr>
              <w:snapToGrid w:val="0"/>
              <w:rPr>
                <w:rFonts w:ascii="宋体" w:hAnsi="宋体"/>
                <w:color w:val="0D0D0D"/>
                <w:sz w:val="21"/>
                <w:szCs w:val="21"/>
              </w:rPr>
            </w:pPr>
            <w:r>
              <w:rPr>
                <w:rFonts w:hint="eastAsia" w:ascii="宋体" w:hAnsi="宋体"/>
                <w:color w:val="0D0D0D"/>
                <w:sz w:val="21"/>
                <w:szCs w:val="21"/>
              </w:rPr>
              <w:t>投标保证金：人民币0.3万元</w:t>
            </w:r>
          </w:p>
          <w:p w14:paraId="5595CFA1">
            <w:pPr>
              <w:snapToGrid w:val="0"/>
              <w:rPr>
                <w:rFonts w:ascii="宋体" w:hAnsi="宋体"/>
                <w:color w:val="0D0D0D"/>
                <w:sz w:val="21"/>
                <w:szCs w:val="21"/>
              </w:rPr>
            </w:pPr>
            <w:r>
              <w:rPr>
                <w:rFonts w:hint="eastAsia" w:ascii="宋体" w:hAnsi="宋体"/>
                <w:color w:val="0D0D0D"/>
                <w:sz w:val="21"/>
                <w:szCs w:val="21"/>
              </w:rPr>
              <w:t>投标保证金缴纳方式：现金转账、银行保函、保险机构保证保险保单、融资担保公司保函。</w:t>
            </w:r>
          </w:p>
        </w:tc>
      </w:tr>
      <w:tr w14:paraId="5CAA8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69" w:type="dxa"/>
            <w:tcBorders>
              <w:top w:val="single" w:color="auto" w:sz="4" w:space="0"/>
              <w:left w:val="single" w:color="auto" w:sz="4" w:space="0"/>
              <w:bottom w:val="single" w:color="auto" w:sz="4" w:space="0"/>
              <w:right w:val="single" w:color="auto" w:sz="4" w:space="0"/>
            </w:tcBorders>
            <w:vAlign w:val="center"/>
          </w:tcPr>
          <w:p w14:paraId="0D36C2C3">
            <w:pPr>
              <w:snapToGrid w:val="0"/>
              <w:jc w:val="center"/>
              <w:rPr>
                <w:rFonts w:ascii="宋体" w:hAnsi="宋体"/>
                <w:color w:val="0D0D0D"/>
                <w:sz w:val="21"/>
                <w:szCs w:val="21"/>
              </w:rPr>
            </w:pPr>
            <w:r>
              <w:rPr>
                <w:rFonts w:hint="eastAsia" w:ascii="宋体" w:hAnsi="宋体"/>
                <w:color w:val="0C0C0C"/>
                <w:sz w:val="21"/>
                <w:szCs w:val="21"/>
              </w:rPr>
              <w:t>7</w:t>
            </w:r>
          </w:p>
        </w:tc>
        <w:tc>
          <w:tcPr>
            <w:tcW w:w="8371" w:type="dxa"/>
            <w:tcBorders>
              <w:top w:val="single" w:color="auto" w:sz="4" w:space="0"/>
              <w:left w:val="single" w:color="auto" w:sz="4" w:space="0"/>
              <w:bottom w:val="single" w:color="auto" w:sz="4" w:space="0"/>
              <w:right w:val="single" w:color="auto" w:sz="4" w:space="0"/>
            </w:tcBorders>
            <w:vAlign w:val="center"/>
          </w:tcPr>
          <w:p w14:paraId="407B8309">
            <w:pPr>
              <w:snapToGrid w:val="0"/>
              <w:rPr>
                <w:rFonts w:ascii="宋体" w:hAnsi="宋体"/>
                <w:color w:val="0D0D0D"/>
                <w:sz w:val="21"/>
                <w:szCs w:val="21"/>
              </w:rPr>
            </w:pPr>
            <w:r>
              <w:rPr>
                <w:rFonts w:hint="eastAsia" w:ascii="宋体" w:hAnsi="宋体"/>
                <w:color w:val="0D0D0D"/>
                <w:sz w:val="21"/>
                <w:szCs w:val="21"/>
              </w:rPr>
              <w:t>投标文件组成：</w:t>
            </w:r>
          </w:p>
          <w:p w14:paraId="415BEF2C">
            <w:pPr>
              <w:snapToGrid w:val="0"/>
              <w:rPr>
                <w:rFonts w:ascii="宋体" w:hAnsi="宋体"/>
                <w:color w:val="0D0D0D"/>
                <w:sz w:val="21"/>
                <w:szCs w:val="21"/>
              </w:rPr>
            </w:pPr>
            <w:r>
              <w:rPr>
                <w:rFonts w:hint="eastAsia" w:ascii="宋体" w:hAnsi="宋体"/>
                <w:color w:val="0D0D0D"/>
                <w:sz w:val="21"/>
                <w:szCs w:val="21"/>
              </w:rPr>
              <w:t>电子投标文件：商务标（上传至交易平台）。</w:t>
            </w:r>
            <w:r>
              <w:rPr>
                <w:rFonts w:hint="eastAsia" w:ascii="宋体" w:hAnsi="宋体"/>
                <w:b/>
                <w:bCs/>
                <w:color w:val="0D0D0D"/>
                <w:sz w:val="21"/>
                <w:szCs w:val="21"/>
              </w:rPr>
              <w:t>（电子文件应签章齐全，办理CA证书的投标人可采用单位电子公章代替单位公章，法定代表人电子章代替法定代表人签字，在投标文件编制工具中签章）；</w:t>
            </w:r>
          </w:p>
        </w:tc>
      </w:tr>
      <w:tr w14:paraId="3AE17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14:paraId="5A30E85A">
            <w:pPr>
              <w:snapToGrid w:val="0"/>
              <w:jc w:val="center"/>
              <w:rPr>
                <w:rFonts w:ascii="宋体" w:hAnsi="宋体"/>
                <w:color w:val="0D0D0D"/>
                <w:sz w:val="21"/>
                <w:szCs w:val="21"/>
              </w:rPr>
            </w:pPr>
            <w:r>
              <w:rPr>
                <w:rFonts w:hint="eastAsia" w:ascii="宋体" w:hAnsi="宋体"/>
                <w:color w:val="0C0C0C"/>
                <w:sz w:val="21"/>
                <w:szCs w:val="21"/>
              </w:rPr>
              <w:t>8</w:t>
            </w:r>
          </w:p>
        </w:tc>
        <w:tc>
          <w:tcPr>
            <w:tcW w:w="8371" w:type="dxa"/>
            <w:tcBorders>
              <w:top w:val="single" w:color="auto" w:sz="4" w:space="0"/>
              <w:left w:val="single" w:color="auto" w:sz="4" w:space="0"/>
              <w:bottom w:val="single" w:color="auto" w:sz="4" w:space="0"/>
              <w:right w:val="single" w:color="auto" w:sz="4" w:space="0"/>
            </w:tcBorders>
            <w:vAlign w:val="center"/>
          </w:tcPr>
          <w:p w14:paraId="51114F84">
            <w:pPr>
              <w:snapToGrid w:val="0"/>
              <w:jc w:val="left"/>
              <w:rPr>
                <w:rFonts w:ascii="宋体" w:hAnsi="宋体"/>
                <w:color w:val="0D0D0D"/>
                <w:sz w:val="21"/>
                <w:szCs w:val="21"/>
              </w:rPr>
            </w:pPr>
            <w:r>
              <w:rPr>
                <w:rFonts w:hint="eastAsia" w:ascii="宋体" w:hAnsi="宋体"/>
                <w:color w:val="0D0D0D"/>
                <w:sz w:val="21"/>
                <w:szCs w:val="21"/>
              </w:rPr>
              <w:t>投标截止时间及地点：</w:t>
            </w:r>
            <w:r>
              <w:rPr>
                <w:rFonts w:hint="eastAsia" w:ascii="宋体" w:hAnsi="宋体" w:cs="Arial"/>
                <w:color w:val="0D0D0D"/>
                <w:sz w:val="21"/>
                <w:szCs w:val="21"/>
                <w:u w:val="single"/>
              </w:rPr>
              <w:t>见招标公告；</w:t>
            </w:r>
          </w:p>
        </w:tc>
      </w:tr>
      <w:tr w14:paraId="4E53A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14:paraId="54D38DC1">
            <w:pPr>
              <w:snapToGrid w:val="0"/>
              <w:jc w:val="center"/>
              <w:rPr>
                <w:rFonts w:ascii="宋体" w:hAnsi="宋体"/>
                <w:color w:val="0D0D0D"/>
                <w:sz w:val="21"/>
                <w:szCs w:val="21"/>
              </w:rPr>
            </w:pPr>
            <w:r>
              <w:rPr>
                <w:rFonts w:hint="eastAsia" w:ascii="宋体" w:hAnsi="宋体"/>
                <w:color w:val="0C0C0C"/>
                <w:sz w:val="21"/>
                <w:szCs w:val="21"/>
              </w:rPr>
              <w:t>9</w:t>
            </w:r>
          </w:p>
        </w:tc>
        <w:tc>
          <w:tcPr>
            <w:tcW w:w="8371" w:type="dxa"/>
            <w:tcBorders>
              <w:top w:val="single" w:color="auto" w:sz="4" w:space="0"/>
              <w:left w:val="single" w:color="auto" w:sz="4" w:space="0"/>
              <w:bottom w:val="single" w:color="auto" w:sz="4" w:space="0"/>
              <w:right w:val="single" w:color="auto" w:sz="4" w:space="0"/>
            </w:tcBorders>
            <w:vAlign w:val="center"/>
          </w:tcPr>
          <w:p w14:paraId="2826F8CB">
            <w:pPr>
              <w:snapToGrid w:val="0"/>
              <w:jc w:val="left"/>
              <w:rPr>
                <w:rFonts w:ascii="宋体" w:hAnsi="宋体"/>
                <w:color w:val="0D0D0D"/>
                <w:sz w:val="21"/>
                <w:szCs w:val="21"/>
              </w:rPr>
            </w:pPr>
            <w:r>
              <w:rPr>
                <w:rFonts w:hint="eastAsia" w:ascii="宋体" w:hAnsi="宋体"/>
                <w:color w:val="0D0D0D"/>
                <w:sz w:val="21"/>
                <w:szCs w:val="21"/>
              </w:rPr>
              <w:t>开标时间及地点：</w:t>
            </w:r>
            <w:r>
              <w:rPr>
                <w:rFonts w:hint="eastAsia" w:ascii="宋体" w:hAnsi="宋体" w:cs="Arial"/>
                <w:color w:val="0D0D0D"/>
                <w:sz w:val="21"/>
                <w:szCs w:val="21"/>
                <w:u w:val="single"/>
              </w:rPr>
              <w:t>见招标公告；</w:t>
            </w:r>
            <w:r>
              <w:rPr>
                <w:rFonts w:ascii="宋体" w:hAnsi="宋体"/>
                <w:color w:val="0D0D0D"/>
                <w:sz w:val="21"/>
                <w:szCs w:val="21"/>
              </w:rPr>
              <w:t xml:space="preserve"> </w:t>
            </w:r>
          </w:p>
        </w:tc>
      </w:tr>
      <w:tr w14:paraId="5FA5F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69" w:type="dxa"/>
            <w:tcBorders>
              <w:top w:val="single" w:color="auto" w:sz="4" w:space="0"/>
              <w:left w:val="single" w:color="auto" w:sz="4" w:space="0"/>
              <w:bottom w:val="single" w:color="auto" w:sz="4" w:space="0"/>
              <w:right w:val="single" w:color="auto" w:sz="4" w:space="0"/>
            </w:tcBorders>
            <w:vAlign w:val="center"/>
          </w:tcPr>
          <w:p w14:paraId="12F78F63">
            <w:pPr>
              <w:snapToGrid w:val="0"/>
              <w:jc w:val="center"/>
              <w:rPr>
                <w:rFonts w:ascii="宋体" w:hAnsi="宋体"/>
                <w:color w:val="0D0D0D"/>
                <w:sz w:val="21"/>
                <w:szCs w:val="21"/>
              </w:rPr>
            </w:pPr>
            <w:r>
              <w:rPr>
                <w:rFonts w:hint="eastAsia" w:ascii="宋体" w:hAnsi="宋体"/>
                <w:color w:val="0C0C0C"/>
                <w:sz w:val="21"/>
                <w:szCs w:val="21"/>
              </w:rPr>
              <w:t>10</w:t>
            </w:r>
          </w:p>
        </w:tc>
        <w:tc>
          <w:tcPr>
            <w:tcW w:w="8371" w:type="dxa"/>
            <w:tcBorders>
              <w:top w:val="single" w:color="auto" w:sz="4" w:space="0"/>
              <w:left w:val="single" w:color="auto" w:sz="4" w:space="0"/>
              <w:bottom w:val="single" w:color="auto" w:sz="4" w:space="0"/>
              <w:right w:val="single" w:color="auto" w:sz="4" w:space="0"/>
            </w:tcBorders>
            <w:vAlign w:val="center"/>
          </w:tcPr>
          <w:p w14:paraId="5E90FC97">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评标办法及评分标准：详见本招标文件第四章《评标办法及评分标准》</w:t>
            </w:r>
          </w:p>
        </w:tc>
      </w:tr>
      <w:tr w14:paraId="2A53A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14:paraId="0D73A8BC">
            <w:pPr>
              <w:snapToGrid w:val="0"/>
              <w:jc w:val="center"/>
              <w:rPr>
                <w:rFonts w:ascii="宋体" w:hAnsi="宋体"/>
                <w:color w:val="0D0D0D"/>
                <w:sz w:val="21"/>
                <w:szCs w:val="21"/>
              </w:rPr>
            </w:pPr>
            <w:r>
              <w:rPr>
                <w:rFonts w:hint="eastAsia" w:ascii="宋体" w:hAnsi="宋体"/>
                <w:color w:val="0C0C0C"/>
                <w:sz w:val="21"/>
                <w:szCs w:val="21"/>
              </w:rPr>
              <w:t>11</w:t>
            </w:r>
          </w:p>
        </w:tc>
        <w:tc>
          <w:tcPr>
            <w:tcW w:w="8371" w:type="dxa"/>
            <w:tcBorders>
              <w:top w:val="single" w:color="auto" w:sz="4" w:space="0"/>
              <w:left w:val="single" w:color="auto" w:sz="4" w:space="0"/>
              <w:bottom w:val="single" w:color="auto" w:sz="4" w:space="0"/>
              <w:right w:val="single" w:color="auto" w:sz="4" w:space="0"/>
            </w:tcBorders>
            <w:vAlign w:val="center"/>
          </w:tcPr>
          <w:p w14:paraId="17CE5A67">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评标结果公示：评标结束后</w:t>
            </w:r>
            <w:r>
              <w:rPr>
                <w:rFonts w:ascii="宋体" w:hAnsi="宋体"/>
                <w:color w:val="0D0D0D"/>
                <w:sz w:val="21"/>
                <w:szCs w:val="21"/>
              </w:rPr>
              <w:t>2</w:t>
            </w:r>
            <w:r>
              <w:rPr>
                <w:rFonts w:hint="eastAsia" w:ascii="宋体" w:hAnsi="宋体"/>
                <w:color w:val="0D0D0D"/>
                <w:sz w:val="21"/>
                <w:szCs w:val="21"/>
              </w:rPr>
              <w:t>天内，评标结果公示于发布公告的网站上。</w:t>
            </w:r>
          </w:p>
        </w:tc>
      </w:tr>
      <w:tr w14:paraId="7692A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9" w:type="dxa"/>
            <w:tcBorders>
              <w:top w:val="single" w:color="auto" w:sz="4" w:space="0"/>
              <w:left w:val="single" w:color="auto" w:sz="4" w:space="0"/>
              <w:bottom w:val="single" w:color="auto" w:sz="4" w:space="0"/>
              <w:right w:val="single" w:color="auto" w:sz="4" w:space="0"/>
            </w:tcBorders>
            <w:vAlign w:val="center"/>
          </w:tcPr>
          <w:p w14:paraId="04C82D95">
            <w:pPr>
              <w:snapToGrid w:val="0"/>
              <w:jc w:val="center"/>
              <w:rPr>
                <w:rFonts w:ascii="宋体" w:hAnsi="宋体"/>
                <w:color w:val="0C0C0C"/>
                <w:sz w:val="21"/>
                <w:szCs w:val="21"/>
              </w:rPr>
            </w:pPr>
            <w:r>
              <w:rPr>
                <w:rFonts w:hint="eastAsia" w:ascii="宋体" w:hAnsi="宋体"/>
                <w:color w:val="0C0C0C"/>
                <w:sz w:val="21"/>
                <w:szCs w:val="21"/>
              </w:rPr>
              <w:t>12</w:t>
            </w:r>
          </w:p>
        </w:tc>
        <w:tc>
          <w:tcPr>
            <w:tcW w:w="8371" w:type="dxa"/>
            <w:tcBorders>
              <w:top w:val="single" w:color="auto" w:sz="4" w:space="0"/>
              <w:left w:val="single" w:color="auto" w:sz="4" w:space="0"/>
              <w:bottom w:val="single" w:color="auto" w:sz="4" w:space="0"/>
              <w:right w:val="single" w:color="auto" w:sz="4" w:space="0"/>
            </w:tcBorders>
            <w:vAlign w:val="center"/>
          </w:tcPr>
          <w:p w14:paraId="668DD422">
            <w:pPr>
              <w:autoSpaceDE w:val="0"/>
              <w:autoSpaceDN w:val="0"/>
              <w:snapToGrid w:val="0"/>
              <w:textAlignment w:val="bottom"/>
              <w:rPr>
                <w:rFonts w:ascii="宋体" w:hAnsi="宋体"/>
                <w:color w:val="0D0D0D"/>
                <w:sz w:val="21"/>
                <w:szCs w:val="21"/>
              </w:rPr>
            </w:pPr>
            <w:r>
              <w:rPr>
                <w:rFonts w:hint="eastAsia" w:ascii="宋体" w:hAnsi="宋体"/>
                <w:color w:val="0C0C0C"/>
                <w:sz w:val="21"/>
                <w:szCs w:val="21"/>
              </w:rPr>
              <w:t>投标保证金退还：除招标文件规定不予退还保证金的情形外，未中标人的投标保证金在中标通知书发出后5个工作日内退还，中标人的投标保证金在合同签订后5个工作日退还。</w:t>
            </w:r>
          </w:p>
        </w:tc>
      </w:tr>
      <w:tr w14:paraId="3B5D6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14:paraId="0DE78767">
            <w:pPr>
              <w:snapToGrid w:val="0"/>
              <w:jc w:val="center"/>
              <w:rPr>
                <w:rFonts w:ascii="宋体" w:hAnsi="宋体"/>
                <w:color w:val="0D0D0D"/>
                <w:sz w:val="21"/>
                <w:szCs w:val="21"/>
              </w:rPr>
            </w:pPr>
            <w:r>
              <w:rPr>
                <w:rFonts w:hint="eastAsia" w:ascii="宋体" w:hAnsi="宋体"/>
                <w:color w:val="0C0C0C"/>
                <w:sz w:val="21"/>
                <w:szCs w:val="21"/>
              </w:rPr>
              <w:t>13</w:t>
            </w:r>
          </w:p>
        </w:tc>
        <w:tc>
          <w:tcPr>
            <w:tcW w:w="8371" w:type="dxa"/>
            <w:tcBorders>
              <w:top w:val="single" w:color="auto" w:sz="4" w:space="0"/>
              <w:left w:val="single" w:color="auto" w:sz="4" w:space="0"/>
              <w:bottom w:val="single" w:color="auto" w:sz="4" w:space="0"/>
              <w:right w:val="single" w:color="auto" w:sz="4" w:space="0"/>
            </w:tcBorders>
            <w:vAlign w:val="center"/>
          </w:tcPr>
          <w:p w14:paraId="2BF05EE1">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签订合同时间：</w:t>
            </w:r>
            <w:r>
              <w:rPr>
                <w:rFonts w:hint="eastAsia" w:ascii="宋体" w:hAnsi="宋体"/>
                <w:color w:val="0C0C0C"/>
                <w:sz w:val="21"/>
                <w:szCs w:val="21"/>
              </w:rPr>
              <w:t>中标通知书发出后15日内。</w:t>
            </w:r>
          </w:p>
        </w:tc>
      </w:tr>
      <w:tr w14:paraId="13893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9" w:type="dxa"/>
            <w:tcBorders>
              <w:top w:val="single" w:color="auto" w:sz="4" w:space="0"/>
              <w:left w:val="single" w:color="auto" w:sz="4" w:space="0"/>
              <w:bottom w:val="single" w:color="auto" w:sz="4" w:space="0"/>
              <w:right w:val="single" w:color="auto" w:sz="4" w:space="0"/>
            </w:tcBorders>
            <w:vAlign w:val="center"/>
          </w:tcPr>
          <w:p w14:paraId="0BD48248">
            <w:pPr>
              <w:snapToGrid w:val="0"/>
              <w:jc w:val="center"/>
              <w:rPr>
                <w:rFonts w:ascii="宋体" w:hAnsi="宋体"/>
                <w:color w:val="0D0D0D"/>
                <w:sz w:val="21"/>
                <w:szCs w:val="21"/>
              </w:rPr>
            </w:pPr>
            <w:r>
              <w:rPr>
                <w:rFonts w:hint="eastAsia" w:ascii="宋体" w:hAnsi="宋体"/>
                <w:color w:val="0C0C0C"/>
                <w:sz w:val="21"/>
                <w:szCs w:val="21"/>
              </w:rPr>
              <w:t>14</w:t>
            </w:r>
          </w:p>
        </w:tc>
        <w:tc>
          <w:tcPr>
            <w:tcW w:w="8371" w:type="dxa"/>
            <w:tcBorders>
              <w:top w:val="single" w:color="auto" w:sz="4" w:space="0"/>
              <w:left w:val="single" w:color="auto" w:sz="4" w:space="0"/>
              <w:bottom w:val="single" w:color="auto" w:sz="4" w:space="0"/>
              <w:right w:val="single" w:color="auto" w:sz="4" w:space="0"/>
            </w:tcBorders>
            <w:vAlign w:val="center"/>
          </w:tcPr>
          <w:p w14:paraId="787C9200">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履约保证金的收取及退还</w:t>
            </w:r>
            <w:r>
              <w:rPr>
                <w:rFonts w:ascii="宋体" w:hAnsi="宋体"/>
                <w:color w:val="0D0D0D"/>
                <w:sz w:val="21"/>
                <w:szCs w:val="21"/>
              </w:rPr>
              <w:t>:</w:t>
            </w:r>
            <w:r>
              <w:rPr>
                <w:rFonts w:hint="eastAsia" w:ascii="宋体" w:hAnsi="宋体"/>
                <w:color w:val="0C0C0C"/>
                <w:sz w:val="21"/>
                <w:szCs w:val="21"/>
              </w:rPr>
              <w:t>成交供应商在合同签订前向采购人交纳中标价5%的履约保证金，在合同履行完毕（供货完成且验收合格）后无息退还。</w:t>
            </w:r>
          </w:p>
        </w:tc>
      </w:tr>
      <w:tr w14:paraId="50C5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14:paraId="2DF67823">
            <w:pPr>
              <w:snapToGrid w:val="0"/>
              <w:jc w:val="center"/>
              <w:rPr>
                <w:rFonts w:ascii="宋体" w:hAnsi="宋体"/>
                <w:color w:val="0D0D0D"/>
                <w:sz w:val="21"/>
                <w:szCs w:val="21"/>
              </w:rPr>
            </w:pPr>
            <w:r>
              <w:rPr>
                <w:rFonts w:hint="eastAsia" w:ascii="宋体" w:hAnsi="宋体"/>
                <w:color w:val="0C0C0C"/>
                <w:sz w:val="21"/>
                <w:szCs w:val="21"/>
              </w:rPr>
              <w:t>15</w:t>
            </w:r>
          </w:p>
        </w:tc>
        <w:tc>
          <w:tcPr>
            <w:tcW w:w="8371" w:type="dxa"/>
            <w:tcBorders>
              <w:top w:val="single" w:color="auto" w:sz="4" w:space="0"/>
              <w:left w:val="single" w:color="auto" w:sz="4" w:space="0"/>
              <w:bottom w:val="single" w:color="auto" w:sz="4" w:space="0"/>
              <w:right w:val="single" w:color="auto" w:sz="4" w:space="0"/>
            </w:tcBorders>
            <w:vAlign w:val="center"/>
          </w:tcPr>
          <w:p w14:paraId="4C8EBB76">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采购资金来源：自筹</w:t>
            </w:r>
          </w:p>
        </w:tc>
      </w:tr>
      <w:tr w14:paraId="0CE54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14:paraId="40C5B281">
            <w:pPr>
              <w:snapToGrid w:val="0"/>
              <w:jc w:val="center"/>
              <w:rPr>
                <w:rFonts w:ascii="宋体" w:hAnsi="宋体"/>
                <w:color w:val="0D0D0D"/>
                <w:sz w:val="21"/>
                <w:szCs w:val="21"/>
              </w:rPr>
            </w:pPr>
            <w:r>
              <w:rPr>
                <w:rFonts w:hint="eastAsia" w:ascii="宋体" w:hAnsi="宋体"/>
                <w:color w:val="0C0C0C"/>
                <w:sz w:val="21"/>
                <w:szCs w:val="21"/>
              </w:rPr>
              <w:t>16</w:t>
            </w:r>
          </w:p>
        </w:tc>
        <w:tc>
          <w:tcPr>
            <w:tcW w:w="8371" w:type="dxa"/>
            <w:tcBorders>
              <w:top w:val="single" w:color="auto" w:sz="4" w:space="0"/>
              <w:left w:val="single" w:color="auto" w:sz="4" w:space="0"/>
              <w:bottom w:val="single" w:color="auto" w:sz="4" w:space="0"/>
              <w:right w:val="single" w:color="auto" w:sz="4" w:space="0"/>
            </w:tcBorders>
            <w:vAlign w:val="center"/>
          </w:tcPr>
          <w:p w14:paraId="6135DA13">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付款方式：采购人自行支付</w:t>
            </w:r>
          </w:p>
        </w:tc>
      </w:tr>
      <w:tr w14:paraId="3322D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6" w:hRule="exact"/>
        </w:trPr>
        <w:tc>
          <w:tcPr>
            <w:tcW w:w="869" w:type="dxa"/>
            <w:tcBorders>
              <w:top w:val="single" w:color="auto" w:sz="4" w:space="0"/>
              <w:left w:val="single" w:color="auto" w:sz="4" w:space="0"/>
              <w:bottom w:val="single" w:color="auto" w:sz="4" w:space="0"/>
              <w:right w:val="single" w:color="auto" w:sz="4" w:space="0"/>
            </w:tcBorders>
            <w:vAlign w:val="center"/>
          </w:tcPr>
          <w:p w14:paraId="2E48516F">
            <w:pPr>
              <w:pStyle w:val="13"/>
              <w:adjustRightInd w:val="0"/>
              <w:snapToGrid w:val="0"/>
              <w:spacing w:line="288" w:lineRule="auto"/>
              <w:ind w:firstLine="210" w:firstLineChars="100"/>
              <w:rPr>
                <w:rFonts w:ascii="宋体" w:hAnsi="宋体"/>
                <w:color w:val="0D0D0D"/>
                <w:szCs w:val="21"/>
              </w:rPr>
            </w:pPr>
            <w:r>
              <w:rPr>
                <w:rFonts w:hint="eastAsia" w:ascii="宋体" w:hAnsi="宋体"/>
                <w:color w:val="0C0C0C"/>
                <w:szCs w:val="21"/>
              </w:rPr>
              <w:t>17</w:t>
            </w:r>
          </w:p>
        </w:tc>
        <w:tc>
          <w:tcPr>
            <w:tcW w:w="8371" w:type="dxa"/>
            <w:tcBorders>
              <w:top w:val="single" w:color="auto" w:sz="4" w:space="0"/>
              <w:left w:val="single" w:color="auto" w:sz="4" w:space="0"/>
              <w:bottom w:val="single" w:color="auto" w:sz="4" w:space="0"/>
              <w:right w:val="single" w:color="auto" w:sz="4" w:space="0"/>
            </w:tcBorders>
            <w:vAlign w:val="center"/>
          </w:tcPr>
          <w:p w14:paraId="497B50CF">
            <w:pPr>
              <w:pStyle w:val="13"/>
              <w:adjustRightInd w:val="0"/>
              <w:snapToGrid w:val="0"/>
              <w:spacing w:line="288" w:lineRule="auto"/>
              <w:ind w:firstLine="0"/>
              <w:rPr>
                <w:rFonts w:ascii="宋体" w:hAnsi="宋体"/>
                <w:color w:val="0D0D0D"/>
                <w:szCs w:val="21"/>
              </w:rPr>
            </w:pPr>
            <w:r>
              <w:rPr>
                <w:rFonts w:hint="eastAsia" w:ascii="宋体" w:hAnsi="宋体"/>
                <w:color w:val="0D0D0D"/>
                <w:szCs w:val="21"/>
              </w:rPr>
              <w:t>投标文件递交要求：</w:t>
            </w:r>
          </w:p>
          <w:p w14:paraId="16FD8B29">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1、投标人无需到开标现场，电子投标文件上传至台州湾新区小额工程电子交易平台。如遇有问题的请联系蔡先生，13454667697；王女士，13757680207。</w:t>
            </w:r>
          </w:p>
          <w:p w14:paraId="086DABA5">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2、电子投标文件上传步骤：</w:t>
            </w:r>
          </w:p>
          <w:p w14:paraId="4B61FCEE">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1) 台州湾新区小额工程电子交易平台（网址：http://www.tzwztb.com/）；</w:t>
            </w:r>
          </w:p>
          <w:p w14:paraId="2F9C31AF">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2) 投标人应提前办好ca锁（办理网址：http://www.tseal.cn/tcloud/common.xhtml?projId=295），绑定平台账户。</w:t>
            </w:r>
          </w:p>
          <w:p w14:paraId="4257E17E">
            <w:pPr>
              <w:pStyle w:val="13"/>
              <w:adjustRightInd w:val="0"/>
              <w:snapToGrid w:val="0"/>
              <w:spacing w:line="288" w:lineRule="auto"/>
              <w:ind w:firstLine="0"/>
              <w:rPr>
                <w:rFonts w:ascii="宋体" w:hAnsi="宋体"/>
                <w:color w:val="0D0D0D"/>
                <w:szCs w:val="24"/>
              </w:rPr>
            </w:pPr>
            <w:r>
              <w:rPr>
                <w:rFonts w:hint="eastAsia" w:ascii="宋体" w:hAnsi="宋体"/>
                <w:color w:val="0D0D0D"/>
                <w:szCs w:val="24"/>
              </w:rPr>
              <w:t>3)缴纳保证金（或购买、上传电子保函）后，点击“电子投标文件制作工具”，进入制作页面，签章并加密上传电子投标文件。</w:t>
            </w:r>
          </w:p>
        </w:tc>
      </w:tr>
      <w:tr w14:paraId="7CE14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exact"/>
        </w:trPr>
        <w:tc>
          <w:tcPr>
            <w:tcW w:w="869" w:type="dxa"/>
            <w:tcBorders>
              <w:top w:val="single" w:color="auto" w:sz="4" w:space="0"/>
              <w:left w:val="single" w:color="auto" w:sz="4" w:space="0"/>
              <w:bottom w:val="single" w:color="auto" w:sz="4" w:space="0"/>
              <w:right w:val="single" w:color="auto" w:sz="4" w:space="0"/>
            </w:tcBorders>
            <w:vAlign w:val="center"/>
          </w:tcPr>
          <w:p w14:paraId="608F5F3D">
            <w:pPr>
              <w:snapToGrid w:val="0"/>
              <w:jc w:val="center"/>
              <w:rPr>
                <w:rFonts w:ascii="宋体" w:hAnsi="宋体"/>
                <w:color w:val="0C0C0C"/>
                <w:sz w:val="21"/>
                <w:szCs w:val="21"/>
              </w:rPr>
            </w:pPr>
            <w:r>
              <w:rPr>
                <w:rFonts w:hint="eastAsia" w:ascii="宋体" w:hAnsi="宋体"/>
                <w:color w:val="0C0C0C"/>
                <w:sz w:val="21"/>
                <w:szCs w:val="21"/>
              </w:rPr>
              <w:t>18</w:t>
            </w:r>
          </w:p>
        </w:tc>
        <w:tc>
          <w:tcPr>
            <w:tcW w:w="8371" w:type="dxa"/>
            <w:tcBorders>
              <w:top w:val="single" w:color="auto" w:sz="4" w:space="0"/>
              <w:left w:val="single" w:color="auto" w:sz="4" w:space="0"/>
              <w:bottom w:val="single" w:color="auto" w:sz="4" w:space="0"/>
              <w:right w:val="single" w:color="auto" w:sz="4" w:space="0"/>
            </w:tcBorders>
            <w:vAlign w:val="center"/>
          </w:tcPr>
          <w:p w14:paraId="5415F829">
            <w:pPr>
              <w:pStyle w:val="13"/>
              <w:adjustRightInd w:val="0"/>
              <w:snapToGrid w:val="0"/>
              <w:spacing w:line="288" w:lineRule="auto"/>
              <w:ind w:firstLine="0"/>
              <w:rPr>
                <w:rFonts w:ascii="宋体" w:hAnsi="宋体"/>
                <w:color w:val="0C0C0C"/>
                <w:szCs w:val="21"/>
              </w:rPr>
            </w:pPr>
            <w:r>
              <w:rPr>
                <w:rFonts w:hint="eastAsia" w:ascii="宋体" w:hAnsi="宋体"/>
                <w:color w:val="0C0C0C"/>
                <w:szCs w:val="21"/>
              </w:rPr>
              <w:t>本工程为电子招投标，电子投标文件格式中注明盖章的，均应按要求使用CA锁加盖公章和法定代表人章。</w:t>
            </w:r>
          </w:p>
        </w:tc>
      </w:tr>
      <w:tr w14:paraId="5C85B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14:paraId="31E9120B">
            <w:pPr>
              <w:snapToGrid w:val="0"/>
              <w:jc w:val="center"/>
              <w:rPr>
                <w:rFonts w:ascii="宋体" w:hAnsi="宋体"/>
                <w:color w:val="0D0D0D"/>
                <w:sz w:val="21"/>
                <w:szCs w:val="21"/>
              </w:rPr>
            </w:pPr>
            <w:r>
              <w:rPr>
                <w:rFonts w:hint="eastAsia" w:ascii="宋体" w:hAnsi="宋体"/>
                <w:color w:val="0C0C0C"/>
                <w:sz w:val="21"/>
                <w:szCs w:val="21"/>
              </w:rPr>
              <w:t>19</w:t>
            </w:r>
          </w:p>
        </w:tc>
        <w:tc>
          <w:tcPr>
            <w:tcW w:w="8371" w:type="dxa"/>
            <w:tcBorders>
              <w:top w:val="single" w:color="auto" w:sz="4" w:space="0"/>
              <w:left w:val="single" w:color="auto" w:sz="4" w:space="0"/>
              <w:bottom w:val="single" w:color="auto" w:sz="4" w:space="0"/>
              <w:right w:val="single" w:color="auto" w:sz="4" w:space="0"/>
            </w:tcBorders>
            <w:vAlign w:val="center"/>
          </w:tcPr>
          <w:p w14:paraId="449C9560">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报价文件有效期：90天</w:t>
            </w:r>
          </w:p>
        </w:tc>
      </w:tr>
      <w:tr w14:paraId="35355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69" w:type="dxa"/>
            <w:tcBorders>
              <w:top w:val="single" w:color="auto" w:sz="4" w:space="0"/>
              <w:left w:val="single" w:color="auto" w:sz="4" w:space="0"/>
              <w:bottom w:val="single" w:color="auto" w:sz="4" w:space="0"/>
              <w:right w:val="single" w:color="auto" w:sz="4" w:space="0"/>
            </w:tcBorders>
            <w:vAlign w:val="center"/>
          </w:tcPr>
          <w:p w14:paraId="1E037AED">
            <w:pPr>
              <w:snapToGrid w:val="0"/>
              <w:jc w:val="center"/>
              <w:rPr>
                <w:rFonts w:ascii="宋体" w:hAnsi="宋体"/>
                <w:color w:val="0D0D0D"/>
                <w:sz w:val="21"/>
                <w:szCs w:val="21"/>
              </w:rPr>
            </w:pPr>
            <w:r>
              <w:rPr>
                <w:rFonts w:hint="eastAsia" w:ascii="宋体" w:hAnsi="宋体"/>
                <w:color w:val="0C0C0C"/>
                <w:sz w:val="21"/>
                <w:szCs w:val="21"/>
              </w:rPr>
              <w:t>20</w:t>
            </w:r>
          </w:p>
        </w:tc>
        <w:tc>
          <w:tcPr>
            <w:tcW w:w="8371" w:type="dxa"/>
            <w:tcBorders>
              <w:top w:val="single" w:color="auto" w:sz="4" w:space="0"/>
              <w:left w:val="single" w:color="auto" w:sz="4" w:space="0"/>
              <w:bottom w:val="single" w:color="auto" w:sz="4" w:space="0"/>
              <w:right w:val="single" w:color="auto" w:sz="4" w:space="0"/>
            </w:tcBorders>
            <w:vAlign w:val="center"/>
          </w:tcPr>
          <w:p w14:paraId="64947674">
            <w:pPr>
              <w:autoSpaceDE w:val="0"/>
              <w:autoSpaceDN w:val="0"/>
              <w:snapToGrid w:val="0"/>
              <w:textAlignment w:val="bottom"/>
              <w:rPr>
                <w:rFonts w:ascii="宋体" w:hAnsi="宋体"/>
                <w:color w:val="0D0D0D"/>
                <w:sz w:val="21"/>
                <w:szCs w:val="21"/>
              </w:rPr>
            </w:pPr>
            <w:r>
              <w:rPr>
                <w:rFonts w:hint="eastAsia" w:ascii="宋体" w:hAnsi="宋体"/>
                <w:color w:val="0D0D0D"/>
                <w:sz w:val="21"/>
                <w:szCs w:val="21"/>
              </w:rPr>
              <w:t>解释：本招标文件的解释权属于招标采购单位。</w:t>
            </w:r>
          </w:p>
        </w:tc>
      </w:tr>
    </w:tbl>
    <w:p w14:paraId="6EDF3E88">
      <w:pPr>
        <w:pStyle w:val="29"/>
        <w:snapToGrid w:val="0"/>
        <w:spacing w:before="120" w:beforeLines="0" w:after="120" w:afterLines="0"/>
        <w:rPr>
          <w:rFonts w:hAnsi="宋体"/>
          <w:b/>
          <w:color w:val="0D0D0D"/>
          <w:sz w:val="30"/>
          <w:szCs w:val="30"/>
        </w:rPr>
      </w:pPr>
      <w:r>
        <w:rPr>
          <w:color w:val="0D0D0D"/>
        </w:rPr>
        <w:br w:type="page"/>
      </w:r>
      <w:r>
        <w:rPr>
          <w:rFonts w:hAnsi="宋体"/>
          <w:b/>
          <w:color w:val="0D0D0D"/>
          <w:sz w:val="30"/>
          <w:szCs w:val="30"/>
        </w:rPr>
        <w:t>一   总  则</w:t>
      </w:r>
    </w:p>
    <w:p w14:paraId="7EFE75BC">
      <w:pPr>
        <w:snapToGrid w:val="0"/>
        <w:spacing w:line="400" w:lineRule="atLeast"/>
        <w:ind w:firstLine="352" w:firstLineChars="146"/>
        <w:jc w:val="left"/>
        <w:outlineLvl w:val="1"/>
        <w:rPr>
          <w:rFonts w:ascii="宋体" w:hAnsi="宋体"/>
          <w:b/>
          <w:color w:val="0D0D0D"/>
          <w:sz w:val="24"/>
          <w:szCs w:val="20"/>
        </w:rPr>
      </w:pPr>
      <w:r>
        <w:rPr>
          <w:rFonts w:hint="eastAsia" w:ascii="宋体" w:hAnsi="宋体"/>
          <w:b/>
          <w:color w:val="0D0D0D"/>
          <w:sz w:val="24"/>
        </w:rPr>
        <w:t>（一）</w:t>
      </w:r>
      <w:r>
        <w:rPr>
          <w:rFonts w:ascii="宋体" w:hAnsi="宋体"/>
          <w:b/>
          <w:color w:val="0D0D0D"/>
          <w:sz w:val="24"/>
        </w:rPr>
        <w:t xml:space="preserve"> 适用范围</w:t>
      </w:r>
    </w:p>
    <w:p w14:paraId="1BE5A5BC">
      <w:pPr>
        <w:snapToGrid w:val="0"/>
        <w:spacing w:line="400" w:lineRule="atLeast"/>
        <w:ind w:firstLine="480" w:firstLineChars="200"/>
        <w:jc w:val="left"/>
        <w:rPr>
          <w:rFonts w:ascii="宋体" w:hAnsi="宋体"/>
          <w:color w:val="0D0D0D"/>
          <w:sz w:val="24"/>
        </w:rPr>
      </w:pPr>
      <w:r>
        <w:rPr>
          <w:rFonts w:hint="eastAsia" w:ascii="宋体" w:hAnsi="宋体"/>
          <w:color w:val="0D0D0D"/>
          <w:sz w:val="24"/>
        </w:rPr>
        <w:t>本招标文件适用于本项目的招标、投标、评标、定标、验收、合同履约、付款等行为（法律、法规另有规定的，从其规定）。</w:t>
      </w:r>
    </w:p>
    <w:p w14:paraId="195D337C">
      <w:pPr>
        <w:snapToGrid w:val="0"/>
        <w:spacing w:before="120" w:beforeLines="50" w:line="400" w:lineRule="atLeast"/>
        <w:ind w:firstLine="354" w:firstLineChars="147"/>
        <w:jc w:val="left"/>
        <w:outlineLvl w:val="1"/>
        <w:rPr>
          <w:rFonts w:ascii="宋体" w:hAnsi="宋体"/>
          <w:b/>
          <w:color w:val="0D0D0D"/>
          <w:sz w:val="24"/>
          <w:szCs w:val="20"/>
        </w:rPr>
      </w:pPr>
      <w:r>
        <w:rPr>
          <w:rFonts w:hint="eastAsia" w:ascii="宋体" w:hAnsi="宋体"/>
          <w:b/>
          <w:color w:val="0D0D0D"/>
          <w:sz w:val="24"/>
        </w:rPr>
        <w:t>（二）定义</w:t>
      </w:r>
    </w:p>
    <w:p w14:paraId="27C23793">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ascii="宋体" w:hAnsi="宋体"/>
          <w:color w:val="0D0D0D"/>
          <w:sz w:val="24"/>
        </w:rPr>
        <w:t>招标采购单位系指组织本次招标的代理机构（“招标人”）和采购单位。</w:t>
      </w:r>
    </w:p>
    <w:p w14:paraId="249D117F">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投标人”系指向招标方提交报价文件的单位或个人。</w:t>
      </w:r>
    </w:p>
    <w:p w14:paraId="242401D5">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“产品”系指供方按</w:t>
      </w:r>
      <w:r>
        <w:rPr>
          <w:rFonts w:hint="eastAsia" w:ascii="宋体" w:hAnsi="宋体"/>
          <w:color w:val="0D0D0D"/>
          <w:sz w:val="24"/>
        </w:rPr>
        <w:t>招标文件</w:t>
      </w:r>
      <w:r>
        <w:rPr>
          <w:rFonts w:ascii="宋体" w:hAnsi="宋体"/>
          <w:color w:val="0D0D0D"/>
          <w:sz w:val="24"/>
        </w:rPr>
        <w:t>规定，须向采购人提供的一切材料采购、保险、税金、备品备件、工具、手册及其它有关技术资料和材料。</w:t>
      </w:r>
    </w:p>
    <w:p w14:paraId="053099FD">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“服务”系指</w:t>
      </w:r>
      <w:r>
        <w:rPr>
          <w:rFonts w:hint="eastAsia" w:ascii="宋体" w:hAnsi="宋体"/>
          <w:color w:val="0D0D0D"/>
          <w:sz w:val="24"/>
        </w:rPr>
        <w:t>招标文件</w:t>
      </w:r>
      <w:r>
        <w:rPr>
          <w:rFonts w:ascii="宋体" w:hAnsi="宋体"/>
          <w:color w:val="0D0D0D"/>
          <w:sz w:val="24"/>
        </w:rPr>
        <w:t>规定投标人须承担的安装、调试、技术协助、校准、培训、技术指导以及其他类似的义务。</w:t>
      </w:r>
    </w:p>
    <w:p w14:paraId="03E8E91E">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“项目”系指投标人按</w:t>
      </w:r>
      <w:r>
        <w:rPr>
          <w:rFonts w:hint="eastAsia" w:ascii="宋体" w:hAnsi="宋体"/>
          <w:color w:val="0D0D0D"/>
          <w:sz w:val="24"/>
        </w:rPr>
        <w:t>招标文件</w:t>
      </w:r>
      <w:r>
        <w:rPr>
          <w:rFonts w:ascii="宋体" w:hAnsi="宋体"/>
          <w:color w:val="0D0D0D"/>
          <w:sz w:val="24"/>
        </w:rPr>
        <w:t>规定向采购人提供的产品和服务。</w:t>
      </w:r>
    </w:p>
    <w:p w14:paraId="58A759E8">
      <w:pPr>
        <w:snapToGrid w:val="0"/>
        <w:spacing w:line="400" w:lineRule="atLeast"/>
        <w:ind w:firstLine="480" w:firstLineChars="200"/>
        <w:jc w:val="left"/>
        <w:rPr>
          <w:rFonts w:ascii="宋体" w:hAnsi="宋体"/>
          <w:color w:val="0D0D0D"/>
          <w:sz w:val="24"/>
          <w:szCs w:val="20"/>
        </w:rPr>
      </w:pPr>
      <w:r>
        <w:rPr>
          <w:rFonts w:ascii="宋体" w:hAnsi="宋体"/>
          <w:color w:val="0D0D0D"/>
          <w:sz w:val="24"/>
        </w:rPr>
        <w:t>6</w:t>
      </w:r>
      <w:r>
        <w:rPr>
          <w:rFonts w:hint="eastAsia" w:ascii="宋体" w:hAnsi="宋体"/>
          <w:color w:val="0D0D0D"/>
          <w:sz w:val="24"/>
        </w:rPr>
        <w:t>.</w:t>
      </w:r>
      <w:r>
        <w:rPr>
          <w:rFonts w:ascii="宋体" w:hAnsi="宋体"/>
          <w:color w:val="0D0D0D"/>
          <w:sz w:val="24"/>
        </w:rPr>
        <w:t>“书面形式”包括信函、传真、电报等。</w:t>
      </w:r>
    </w:p>
    <w:p w14:paraId="6E044265">
      <w:pPr>
        <w:snapToGrid w:val="0"/>
        <w:spacing w:line="400" w:lineRule="atLeast"/>
        <w:ind w:firstLine="480" w:firstLineChars="200"/>
        <w:jc w:val="left"/>
        <w:rPr>
          <w:rFonts w:ascii="宋体" w:hAnsi="宋体"/>
          <w:color w:val="0D0D0D"/>
          <w:sz w:val="24"/>
          <w:szCs w:val="20"/>
        </w:rPr>
      </w:pPr>
      <w:r>
        <w:rPr>
          <w:rFonts w:ascii="宋体" w:hAnsi="宋体"/>
          <w:color w:val="0D0D0D"/>
          <w:sz w:val="24"/>
        </w:rPr>
        <w:t>7</w:t>
      </w:r>
      <w:r>
        <w:rPr>
          <w:rFonts w:hint="eastAsia" w:ascii="宋体" w:hAnsi="宋体"/>
          <w:color w:val="0D0D0D"/>
          <w:sz w:val="24"/>
        </w:rPr>
        <w:t>.</w:t>
      </w:r>
      <w:r>
        <w:rPr>
          <w:rFonts w:ascii="宋体" w:hAnsi="宋体"/>
          <w:color w:val="0D0D0D"/>
          <w:sz w:val="24"/>
        </w:rPr>
        <w:t>“▲”系指实质性要求条款。</w:t>
      </w:r>
    </w:p>
    <w:p w14:paraId="08013541">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（三）招标方式</w:t>
      </w:r>
    </w:p>
    <w:p w14:paraId="5C6F385E">
      <w:pPr>
        <w:snapToGrid w:val="0"/>
        <w:spacing w:line="400" w:lineRule="atLeast"/>
        <w:ind w:firstLine="480" w:firstLineChars="200"/>
        <w:jc w:val="left"/>
        <w:rPr>
          <w:rFonts w:ascii="宋体" w:hAnsi="宋体"/>
          <w:color w:val="0D0D0D"/>
          <w:sz w:val="24"/>
          <w:szCs w:val="20"/>
        </w:rPr>
      </w:pPr>
      <w:r>
        <w:rPr>
          <w:rFonts w:ascii="宋体" w:hAnsi="宋体"/>
          <w:color w:val="0D0D0D"/>
          <w:sz w:val="24"/>
        </w:rPr>
        <w:t>本次招标采用</w:t>
      </w:r>
      <w:r>
        <w:rPr>
          <w:rFonts w:hint="eastAsia" w:ascii="宋体" w:hAnsi="宋体"/>
          <w:color w:val="0D0D0D"/>
          <w:sz w:val="24"/>
        </w:rPr>
        <w:t>公开招标的</w:t>
      </w:r>
      <w:r>
        <w:rPr>
          <w:rFonts w:ascii="宋体" w:hAnsi="宋体"/>
          <w:color w:val="0D0D0D"/>
          <w:sz w:val="24"/>
        </w:rPr>
        <w:t>方式进行。</w:t>
      </w:r>
    </w:p>
    <w:p w14:paraId="79051DFF">
      <w:pPr>
        <w:snapToGrid w:val="0"/>
        <w:spacing w:before="120" w:beforeLines="50" w:line="400" w:lineRule="atLeast"/>
        <w:ind w:firstLine="472" w:firstLineChars="196"/>
        <w:jc w:val="left"/>
        <w:outlineLvl w:val="1"/>
        <w:rPr>
          <w:rFonts w:ascii="宋体" w:hAnsi="宋体"/>
          <w:b/>
          <w:color w:val="0D0D0D"/>
          <w:sz w:val="24"/>
          <w:szCs w:val="20"/>
        </w:rPr>
      </w:pPr>
      <w:r>
        <w:rPr>
          <w:rFonts w:hint="eastAsia" w:ascii="宋体" w:hAnsi="宋体"/>
          <w:b/>
          <w:color w:val="0D0D0D"/>
          <w:sz w:val="24"/>
        </w:rPr>
        <w:t>（四）投标委托</w:t>
      </w:r>
    </w:p>
    <w:p w14:paraId="0DB553B9">
      <w:pPr>
        <w:snapToGrid w:val="0"/>
        <w:spacing w:line="400" w:lineRule="atLeast"/>
        <w:ind w:firstLine="480" w:firstLineChars="200"/>
        <w:jc w:val="left"/>
        <w:rPr>
          <w:rFonts w:ascii="宋体" w:hAnsi="宋体"/>
          <w:color w:val="0D0D0D"/>
          <w:sz w:val="24"/>
        </w:rPr>
      </w:pPr>
      <w:r>
        <w:rPr>
          <w:rFonts w:ascii="宋体" w:hAnsi="宋体"/>
          <w:color w:val="0D0D0D"/>
          <w:sz w:val="24"/>
        </w:rPr>
        <w:t>投标人代表须</w:t>
      </w:r>
      <w:r>
        <w:rPr>
          <w:rFonts w:hint="eastAsia" w:ascii="宋体" w:hAnsi="宋体"/>
          <w:color w:val="0D0D0D"/>
          <w:sz w:val="24"/>
        </w:rPr>
        <w:t>提供</w:t>
      </w:r>
      <w:r>
        <w:rPr>
          <w:rFonts w:ascii="宋体" w:hAnsi="宋体"/>
          <w:color w:val="0D0D0D"/>
          <w:sz w:val="24"/>
        </w:rPr>
        <w:t>有效身份证件。如投标人代表不是法定代表人，须有法定代表人出具的授权委托书</w:t>
      </w:r>
      <w:r>
        <w:rPr>
          <w:rFonts w:hint="eastAsia" w:ascii="宋体" w:hAnsi="宋体"/>
          <w:color w:val="0D0D0D"/>
          <w:sz w:val="24"/>
        </w:rPr>
        <w:t>。</w:t>
      </w:r>
    </w:p>
    <w:p w14:paraId="7B25492A">
      <w:pPr>
        <w:snapToGrid w:val="0"/>
        <w:spacing w:before="120" w:beforeLines="50" w:line="400" w:lineRule="atLeast"/>
        <w:ind w:firstLine="472" w:firstLineChars="196"/>
        <w:jc w:val="left"/>
        <w:outlineLvl w:val="1"/>
        <w:rPr>
          <w:rFonts w:ascii="宋体" w:hAnsi="宋体"/>
          <w:b/>
          <w:color w:val="0D0D0D"/>
          <w:sz w:val="24"/>
        </w:rPr>
      </w:pPr>
      <w:r>
        <w:rPr>
          <w:rFonts w:hint="eastAsia" w:ascii="宋体" w:hAnsi="宋体"/>
          <w:b/>
          <w:color w:val="0D0D0D"/>
          <w:sz w:val="24"/>
        </w:rPr>
        <w:t>（五）投标费用</w:t>
      </w:r>
    </w:p>
    <w:p w14:paraId="30A22B71">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不论投标结果如何，投标人均应自行承担所有与投标有关的全部费用（招标文件有相反规定除外）。</w:t>
      </w:r>
    </w:p>
    <w:p w14:paraId="6594323E">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（六）联合体投标</w:t>
      </w:r>
    </w:p>
    <w:p w14:paraId="0FAD5519">
      <w:pPr>
        <w:snapToGrid w:val="0"/>
        <w:spacing w:line="400" w:lineRule="atLeast"/>
        <w:ind w:firstLine="720" w:firstLineChars="300"/>
        <w:jc w:val="left"/>
        <w:rPr>
          <w:rFonts w:ascii="宋体" w:hAnsi="宋体" w:cs="Arial"/>
          <w:color w:val="0D0D0D"/>
          <w:sz w:val="24"/>
        </w:rPr>
      </w:pPr>
      <w:r>
        <w:rPr>
          <w:rFonts w:hint="eastAsia" w:ascii="宋体" w:hAnsi="宋体" w:cs="Arial"/>
          <w:color w:val="0D0D0D"/>
          <w:sz w:val="24"/>
        </w:rPr>
        <w:t>本项目不接受联合体投标。</w:t>
      </w:r>
    </w:p>
    <w:p w14:paraId="2A1487D5">
      <w:pPr>
        <w:snapToGrid w:val="0"/>
        <w:spacing w:before="120" w:beforeLines="50" w:line="400" w:lineRule="atLeast"/>
        <w:ind w:firstLine="472" w:firstLineChars="196"/>
        <w:rPr>
          <w:rFonts w:ascii="宋体" w:hAnsi="宋体" w:cs="宋体"/>
          <w:b/>
          <w:color w:val="0D0D0D"/>
          <w:kern w:val="0"/>
          <w:sz w:val="24"/>
          <w:szCs w:val="20"/>
        </w:rPr>
      </w:pPr>
      <w:r>
        <w:rPr>
          <w:rFonts w:hint="eastAsia" w:ascii="宋体" w:hAnsi="宋体"/>
          <w:b/>
          <w:color w:val="0D0D0D"/>
          <w:sz w:val="24"/>
        </w:rPr>
        <w:t>（七）</w:t>
      </w:r>
      <w:r>
        <w:rPr>
          <w:rFonts w:hint="eastAsia" w:ascii="宋体" w:hAnsi="宋体" w:cs="宋体"/>
          <w:b/>
          <w:color w:val="0D0D0D"/>
          <w:kern w:val="0"/>
          <w:sz w:val="24"/>
        </w:rPr>
        <w:t>转包与分包</w:t>
      </w:r>
    </w:p>
    <w:p w14:paraId="4E8D5428">
      <w:pPr>
        <w:snapToGrid w:val="0"/>
        <w:spacing w:before="120" w:beforeLines="50"/>
        <w:ind w:firstLine="470" w:firstLineChars="196"/>
        <w:jc w:val="left"/>
        <w:outlineLvl w:val="1"/>
        <w:rPr>
          <w:rFonts w:ascii="宋体" w:hAnsi="宋体" w:cs="宋体"/>
          <w:color w:val="0C0C0C"/>
          <w:kern w:val="0"/>
          <w:sz w:val="24"/>
        </w:rPr>
      </w:pPr>
      <w:r>
        <w:rPr>
          <w:rFonts w:hint="eastAsia" w:ascii="宋体" w:hAnsi="宋体" w:cs="宋体"/>
          <w:color w:val="0C0C0C"/>
          <w:kern w:val="0"/>
          <w:sz w:val="24"/>
        </w:rPr>
        <w:t>未经采购人同意，本项目不允许转包与分包。</w:t>
      </w:r>
    </w:p>
    <w:p w14:paraId="639F519A">
      <w:pPr>
        <w:snapToGrid w:val="0"/>
        <w:spacing w:before="120" w:beforeLines="50" w:line="360" w:lineRule="auto"/>
        <w:ind w:firstLine="472" w:firstLineChars="196"/>
        <w:jc w:val="left"/>
        <w:outlineLvl w:val="1"/>
        <w:rPr>
          <w:rFonts w:ascii="宋体" w:hAnsi="宋体"/>
          <w:b/>
          <w:sz w:val="24"/>
        </w:rPr>
      </w:pPr>
      <w:r>
        <w:rPr>
          <w:rFonts w:hint="eastAsia" w:ascii="宋体" w:hAnsi="宋体"/>
          <w:b/>
          <w:sz w:val="24"/>
        </w:rPr>
        <w:t>（八）特别说明：</w:t>
      </w:r>
    </w:p>
    <w:p w14:paraId="40195EED">
      <w:pPr>
        <w:pStyle w:val="29"/>
        <w:snapToGrid w:val="0"/>
        <w:spacing w:before="120" w:beforeLines="0" w:after="120" w:afterLines="0"/>
        <w:ind w:firstLine="480" w:firstLineChars="200"/>
        <w:rPr>
          <w:rFonts w:hAnsi="宋体"/>
          <w:bCs/>
          <w:color w:val="0D0D0D"/>
        </w:rPr>
      </w:pPr>
      <w:r>
        <w:rPr>
          <w:rFonts w:hint="eastAsia" w:hAnsi="宋体"/>
          <w:bCs/>
          <w:color w:val="0D0D0D"/>
        </w:rPr>
        <w:t>1、</w:t>
      </w:r>
      <w:r>
        <w:rPr>
          <w:rFonts w:hAnsi="宋体"/>
          <w:bCs/>
          <w:color w:val="0D0D0D"/>
        </w:rPr>
        <w:t>投标人投标所使用的资格、信誉、荣誉、业绩与企业认证必须为本法人所拥有。投标人投标所使用的采购项目实施人员必须为本法人员工（或必须为本法人或控股公司正式员工）。</w:t>
      </w:r>
    </w:p>
    <w:p w14:paraId="5780B649">
      <w:pPr>
        <w:pStyle w:val="29"/>
        <w:snapToGrid w:val="0"/>
        <w:spacing w:before="120" w:beforeLines="0" w:after="120" w:afterLines="0"/>
        <w:ind w:firstLine="480" w:firstLineChars="200"/>
        <w:rPr>
          <w:rFonts w:hAnsi="宋体"/>
          <w:bCs/>
          <w:color w:val="0D0D0D"/>
        </w:rPr>
      </w:pPr>
      <w:r>
        <w:rPr>
          <w:rFonts w:hint="eastAsia" w:hAnsi="宋体"/>
          <w:bCs/>
          <w:color w:val="0D0D0D"/>
        </w:rPr>
        <w:t>2、</w:t>
      </w:r>
      <w:r>
        <w:rPr>
          <w:rFonts w:hAnsi="宋体"/>
          <w:bCs/>
          <w:color w:val="0D0D0D"/>
        </w:rPr>
        <w:t>投标人应仔细阅读招标文件的所有内容，按照招标文件的要求提交投标文件，并对所提供的全部资料的真实性承担法律责任。</w:t>
      </w:r>
    </w:p>
    <w:p w14:paraId="49CF3BDF">
      <w:pPr>
        <w:pStyle w:val="29"/>
        <w:snapToGrid w:val="0"/>
        <w:spacing w:before="120" w:beforeLines="0" w:after="120" w:afterLines="0"/>
        <w:ind w:firstLine="480" w:firstLineChars="200"/>
        <w:rPr>
          <w:rFonts w:hAnsi="宋体"/>
          <w:bCs/>
          <w:color w:val="0D0D0D"/>
        </w:rPr>
      </w:pPr>
      <w:r>
        <w:rPr>
          <w:rFonts w:hint="eastAsia" w:hAnsi="宋体"/>
          <w:bCs/>
          <w:color w:val="0D0D0D"/>
        </w:rPr>
        <w:t>3、供应商</w:t>
      </w:r>
      <w:r>
        <w:rPr>
          <w:rFonts w:hAnsi="宋体"/>
          <w:bCs/>
          <w:color w:val="0D0D0D"/>
        </w:rPr>
        <w:t xml:space="preserve">在投标活动中提供任何虚假材料,其投标无效，并报监管部门查处；中标后发现的, </w:t>
      </w:r>
      <w:r>
        <w:rPr>
          <w:rFonts w:hint="eastAsia" w:hAnsi="宋体"/>
          <w:bCs/>
          <w:color w:val="0D0D0D"/>
        </w:rPr>
        <w:t>成交供应商</w:t>
      </w:r>
      <w:r>
        <w:rPr>
          <w:rFonts w:hAnsi="宋体"/>
          <w:bCs/>
          <w:color w:val="0D0D0D"/>
        </w:rPr>
        <w:t>须依照《</w:t>
      </w:r>
      <w:r>
        <w:rPr>
          <w:rFonts w:hint="eastAsia" w:hAnsi="宋体"/>
          <w:bCs/>
          <w:color w:val="0D0D0D"/>
        </w:rPr>
        <w:t>政府采购货物和服务招标投标管理办法</w:t>
      </w:r>
      <w:r>
        <w:rPr>
          <w:rFonts w:hAnsi="宋体"/>
          <w:bCs/>
          <w:color w:val="0D0D0D"/>
        </w:rPr>
        <w:t>》第</w:t>
      </w:r>
      <w:r>
        <w:rPr>
          <w:rFonts w:hint="eastAsia" w:hAnsi="宋体"/>
          <w:bCs/>
          <w:color w:val="0D0D0D"/>
        </w:rPr>
        <w:t>74</w:t>
      </w:r>
      <w:r>
        <w:rPr>
          <w:rFonts w:hAnsi="宋体"/>
          <w:bCs/>
          <w:color w:val="0D0D0D"/>
        </w:rPr>
        <w:t>条之规定</w:t>
      </w:r>
      <w:r>
        <w:rPr>
          <w:rFonts w:hint="eastAsia" w:hAnsi="宋体"/>
          <w:bCs/>
          <w:color w:val="0D0D0D"/>
        </w:rPr>
        <w:t>处以中标金额1%的罚款</w:t>
      </w:r>
      <w:r>
        <w:rPr>
          <w:rFonts w:hAnsi="宋体"/>
          <w:bCs/>
          <w:color w:val="0D0D0D"/>
        </w:rPr>
        <w:t>，且民事赔偿并不免除违法</w:t>
      </w:r>
      <w:r>
        <w:rPr>
          <w:rFonts w:hint="eastAsia" w:hAnsi="宋体"/>
          <w:bCs/>
          <w:color w:val="0D0D0D"/>
        </w:rPr>
        <w:t>供应商</w:t>
      </w:r>
      <w:r>
        <w:rPr>
          <w:rFonts w:hAnsi="宋体"/>
          <w:bCs/>
          <w:color w:val="0D0D0D"/>
        </w:rPr>
        <w:t>的行政与刑事责任。</w:t>
      </w:r>
    </w:p>
    <w:p w14:paraId="6EC0D643">
      <w:pPr>
        <w:pStyle w:val="29"/>
        <w:snapToGrid w:val="0"/>
        <w:spacing w:before="120" w:beforeLines="0" w:after="120" w:afterLines="0"/>
        <w:ind w:firstLine="472" w:firstLineChars="196"/>
        <w:outlineLvl w:val="1"/>
        <w:rPr>
          <w:rFonts w:hAnsi="宋体"/>
          <w:b/>
          <w:bCs/>
          <w:color w:val="0D0D0D"/>
        </w:rPr>
      </w:pPr>
      <w:r>
        <w:rPr>
          <w:rFonts w:hAnsi="宋体"/>
          <w:b/>
          <w:bCs/>
          <w:color w:val="0D0D0D"/>
        </w:rPr>
        <w:t>（</w:t>
      </w:r>
      <w:r>
        <w:rPr>
          <w:rFonts w:hint="eastAsia" w:hAnsi="宋体"/>
          <w:b/>
          <w:bCs/>
          <w:color w:val="0D0D0D"/>
        </w:rPr>
        <w:t>九</w:t>
      </w:r>
      <w:r>
        <w:rPr>
          <w:rFonts w:hAnsi="宋体"/>
          <w:b/>
          <w:bCs/>
          <w:color w:val="0D0D0D"/>
        </w:rPr>
        <w:t>）质疑和投诉</w:t>
      </w:r>
    </w:p>
    <w:p w14:paraId="20035E85">
      <w:pPr>
        <w:pStyle w:val="29"/>
        <w:snapToGrid w:val="0"/>
        <w:spacing w:before="120" w:beforeLines="0" w:after="120" w:afterLines="0"/>
        <w:ind w:firstLine="480" w:firstLineChars="200"/>
        <w:rPr>
          <w:rFonts w:hAnsi="宋体"/>
          <w:bCs/>
          <w:color w:val="0D0D0D"/>
        </w:rPr>
      </w:pPr>
      <w:r>
        <w:rPr>
          <w:rFonts w:hAnsi="宋体"/>
          <w:bCs/>
          <w:color w:val="0D0D0D"/>
        </w:rPr>
        <w:t>1.投标人认为</w:t>
      </w:r>
      <w:r>
        <w:rPr>
          <w:rFonts w:hint="eastAsia" w:hAnsi="宋体"/>
          <w:bCs/>
          <w:color w:val="0D0D0D"/>
        </w:rPr>
        <w:t>招标文件</w:t>
      </w:r>
      <w:r>
        <w:rPr>
          <w:rFonts w:hAnsi="宋体"/>
          <w:bCs/>
          <w:color w:val="0D0D0D"/>
        </w:rPr>
        <w:t>、谈判过程或中标结果使自己的合法权益受到损害的，应当在知道或者应知其权益受到损害之日起七个工作日内，以书面形式向采购人、采购代理机构提出质疑。</w:t>
      </w:r>
      <w:r>
        <w:rPr>
          <w:rFonts w:hAnsi="宋体"/>
          <w:color w:val="0D0D0D"/>
        </w:rPr>
        <w:t>投标人对招标采购单位的质疑答复不满意或者招标采购单位未在规定时间内作出答复的，可以在答复期满后</w:t>
      </w:r>
      <w:r>
        <w:rPr>
          <w:rFonts w:hAnsi="宋体"/>
          <w:color w:val="0C0C0C"/>
        </w:rPr>
        <w:t>十五个工作日</w:t>
      </w:r>
      <w:r>
        <w:rPr>
          <w:rFonts w:hAnsi="宋体"/>
          <w:color w:val="0D0D0D"/>
        </w:rPr>
        <w:t>内向同级采购监管部门投诉。</w:t>
      </w:r>
    </w:p>
    <w:p w14:paraId="18C96F44">
      <w:pPr>
        <w:pStyle w:val="29"/>
        <w:snapToGrid w:val="0"/>
        <w:spacing w:before="120" w:beforeLines="0" w:after="120" w:afterLines="0"/>
        <w:ind w:firstLine="480" w:firstLineChars="200"/>
        <w:rPr>
          <w:rFonts w:hAnsi="宋体"/>
          <w:bCs/>
          <w:color w:val="0D0D0D"/>
        </w:rPr>
      </w:pPr>
      <w:r>
        <w:rPr>
          <w:rFonts w:hAnsi="宋体"/>
          <w:bCs/>
          <w:color w:val="0D0D0D"/>
        </w:rPr>
        <w:t>2.质疑、投诉应当采用书面形式，质疑书、投诉书均应明确阐述</w:t>
      </w:r>
      <w:r>
        <w:rPr>
          <w:rFonts w:hint="eastAsia" w:hAnsi="宋体"/>
          <w:bCs/>
          <w:color w:val="0D0D0D"/>
        </w:rPr>
        <w:t>招标文件</w:t>
      </w:r>
      <w:r>
        <w:rPr>
          <w:rFonts w:hAnsi="宋体"/>
          <w:bCs/>
          <w:color w:val="0D0D0D"/>
        </w:rPr>
        <w:t>、招标过程或中标结果中使自己合法权益受到损害的实质性内容，提供相关事实、依据和证据及其来源或线索，便于有关单位调查、答复和处理。</w:t>
      </w:r>
    </w:p>
    <w:p w14:paraId="40FC244C">
      <w:pPr>
        <w:pStyle w:val="29"/>
        <w:snapToGrid w:val="0"/>
        <w:spacing w:before="120" w:beforeLines="0" w:after="120" w:afterLines="0"/>
        <w:rPr>
          <w:rFonts w:hAnsi="宋体"/>
          <w:b/>
          <w:color w:val="0D0D0D"/>
          <w:sz w:val="30"/>
          <w:szCs w:val="30"/>
        </w:rPr>
      </w:pPr>
      <w:r>
        <w:rPr>
          <w:rFonts w:hAnsi="宋体"/>
          <w:b/>
          <w:color w:val="0D0D0D"/>
          <w:sz w:val="30"/>
          <w:szCs w:val="30"/>
        </w:rPr>
        <w:t xml:space="preserve">二  </w:t>
      </w:r>
      <w:r>
        <w:rPr>
          <w:rFonts w:hint="eastAsia" w:hAnsi="宋体"/>
          <w:b/>
          <w:color w:val="0D0D0D"/>
          <w:sz w:val="30"/>
          <w:szCs w:val="30"/>
        </w:rPr>
        <w:t>招标文件</w:t>
      </w:r>
    </w:p>
    <w:p w14:paraId="3191E27F">
      <w:pPr>
        <w:snapToGrid w:val="0"/>
        <w:spacing w:line="400" w:lineRule="atLeast"/>
        <w:ind w:firstLine="472" w:firstLineChars="196"/>
        <w:jc w:val="left"/>
        <w:rPr>
          <w:rFonts w:ascii="宋体" w:hAnsi="宋体"/>
          <w:b/>
          <w:color w:val="0D0D0D"/>
          <w:sz w:val="24"/>
          <w:szCs w:val="20"/>
        </w:rPr>
      </w:pPr>
      <w:r>
        <w:rPr>
          <w:rFonts w:hint="eastAsia" w:ascii="宋体" w:hAnsi="宋体"/>
          <w:b/>
          <w:color w:val="0D0D0D"/>
          <w:sz w:val="24"/>
        </w:rPr>
        <w:t>（一）招标文件的构成。本招标文件由以下部份组成：</w:t>
      </w:r>
    </w:p>
    <w:p w14:paraId="6481B7A9">
      <w:pPr>
        <w:snapToGrid w:val="0"/>
        <w:spacing w:line="400" w:lineRule="atLeast"/>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.招标公告</w:t>
      </w:r>
    </w:p>
    <w:p w14:paraId="50F605EE">
      <w:pPr>
        <w:snapToGrid w:val="0"/>
        <w:spacing w:line="400" w:lineRule="atLeast"/>
        <w:ind w:firstLine="480" w:firstLineChars="200"/>
        <w:jc w:val="left"/>
        <w:rPr>
          <w:rFonts w:ascii="宋体" w:hAnsi="宋体"/>
          <w:color w:val="0D0D0D"/>
          <w:sz w:val="24"/>
          <w:szCs w:val="20"/>
        </w:rPr>
      </w:pPr>
      <w:r>
        <w:rPr>
          <w:rFonts w:ascii="宋体" w:hAnsi="宋体"/>
          <w:color w:val="0D0D0D"/>
          <w:sz w:val="24"/>
        </w:rPr>
        <w:t>2</w:t>
      </w:r>
      <w:r>
        <w:rPr>
          <w:rFonts w:hint="eastAsia" w:ascii="宋体" w:hAnsi="宋体"/>
          <w:color w:val="0D0D0D"/>
          <w:sz w:val="24"/>
        </w:rPr>
        <w:t>.</w:t>
      </w:r>
      <w:r>
        <w:rPr>
          <w:rFonts w:ascii="宋体" w:hAnsi="宋体"/>
          <w:color w:val="0D0D0D"/>
          <w:sz w:val="24"/>
        </w:rPr>
        <w:t>招标需求</w:t>
      </w:r>
    </w:p>
    <w:p w14:paraId="406ED5C5">
      <w:pPr>
        <w:snapToGrid w:val="0"/>
        <w:spacing w:line="400" w:lineRule="atLeast"/>
        <w:ind w:firstLine="480" w:firstLineChars="200"/>
        <w:jc w:val="left"/>
        <w:rPr>
          <w:rFonts w:ascii="宋体" w:hAnsi="宋体"/>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投标人须知</w:t>
      </w:r>
    </w:p>
    <w:p w14:paraId="54A02E24">
      <w:pPr>
        <w:snapToGrid w:val="0"/>
        <w:spacing w:line="400" w:lineRule="atLeast"/>
        <w:ind w:firstLine="480" w:firstLineChars="200"/>
        <w:jc w:val="left"/>
        <w:rPr>
          <w:rFonts w:ascii="宋体" w:hAnsi="宋体"/>
          <w:color w:val="0D0D0D"/>
          <w:sz w:val="24"/>
          <w:szCs w:val="20"/>
        </w:rPr>
      </w:pPr>
      <w:r>
        <w:rPr>
          <w:rFonts w:ascii="宋体" w:hAnsi="宋体"/>
          <w:color w:val="0D0D0D"/>
          <w:sz w:val="24"/>
        </w:rPr>
        <w:t>4</w:t>
      </w:r>
      <w:r>
        <w:rPr>
          <w:rFonts w:hint="eastAsia" w:ascii="宋体" w:hAnsi="宋体"/>
          <w:color w:val="0D0D0D"/>
          <w:sz w:val="24"/>
        </w:rPr>
        <w:t>.</w:t>
      </w:r>
      <w:r>
        <w:rPr>
          <w:rFonts w:ascii="宋体" w:hAnsi="宋体"/>
          <w:color w:val="0D0D0D"/>
          <w:sz w:val="24"/>
        </w:rPr>
        <w:t>评标办法及标准</w:t>
      </w:r>
    </w:p>
    <w:p w14:paraId="2C4D4A69">
      <w:pPr>
        <w:snapToGrid w:val="0"/>
        <w:spacing w:line="400" w:lineRule="atLeast"/>
        <w:ind w:firstLine="480" w:firstLineChars="200"/>
        <w:jc w:val="left"/>
        <w:rPr>
          <w:rFonts w:ascii="宋体" w:hAnsi="宋体"/>
          <w:color w:val="0D0D0D"/>
          <w:sz w:val="24"/>
          <w:szCs w:val="20"/>
        </w:rPr>
      </w:pPr>
      <w:r>
        <w:rPr>
          <w:rFonts w:ascii="宋体" w:hAnsi="宋体"/>
          <w:color w:val="0D0D0D"/>
          <w:sz w:val="24"/>
        </w:rPr>
        <w:t>5</w:t>
      </w:r>
      <w:r>
        <w:rPr>
          <w:rFonts w:hint="eastAsia" w:ascii="宋体" w:hAnsi="宋体"/>
          <w:color w:val="0D0D0D"/>
          <w:sz w:val="24"/>
        </w:rPr>
        <w:t>.</w:t>
      </w:r>
      <w:r>
        <w:rPr>
          <w:rFonts w:ascii="宋体" w:hAnsi="宋体"/>
          <w:color w:val="0D0D0D"/>
          <w:sz w:val="24"/>
        </w:rPr>
        <w:t>合同主要条款</w:t>
      </w:r>
    </w:p>
    <w:p w14:paraId="2E64987A">
      <w:pPr>
        <w:snapToGrid w:val="0"/>
        <w:spacing w:line="400" w:lineRule="atLeast"/>
        <w:ind w:firstLine="480" w:firstLineChars="200"/>
        <w:jc w:val="left"/>
        <w:rPr>
          <w:rFonts w:ascii="宋体" w:hAnsi="宋体"/>
          <w:color w:val="0D0D0D"/>
          <w:sz w:val="24"/>
        </w:rPr>
      </w:pPr>
      <w:r>
        <w:rPr>
          <w:rFonts w:ascii="宋体" w:hAnsi="宋体"/>
          <w:color w:val="0D0D0D"/>
          <w:sz w:val="24"/>
        </w:rPr>
        <w:t>6</w:t>
      </w:r>
      <w:r>
        <w:rPr>
          <w:rFonts w:hint="eastAsia" w:ascii="宋体" w:hAnsi="宋体"/>
          <w:color w:val="0D0D0D"/>
          <w:sz w:val="24"/>
        </w:rPr>
        <w:t>.</w:t>
      </w:r>
      <w:r>
        <w:rPr>
          <w:rFonts w:ascii="宋体" w:hAnsi="宋体"/>
          <w:color w:val="0D0D0D"/>
          <w:sz w:val="24"/>
        </w:rPr>
        <w:t>报价文件格式</w:t>
      </w:r>
    </w:p>
    <w:p w14:paraId="44763A4E">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7.本项目招标文件的</w:t>
      </w:r>
      <w:r>
        <w:rPr>
          <w:rFonts w:ascii="宋体" w:hAnsi="宋体"/>
          <w:color w:val="0D0D0D"/>
          <w:sz w:val="24"/>
        </w:rPr>
        <w:t>澄清、答复、修改、补充的内容</w:t>
      </w:r>
    </w:p>
    <w:p w14:paraId="2251B0C6">
      <w:pPr>
        <w:snapToGrid w:val="0"/>
        <w:spacing w:before="120" w:beforeLines="50" w:line="400" w:lineRule="atLeast"/>
        <w:ind w:firstLine="472" w:firstLineChars="196"/>
        <w:jc w:val="left"/>
        <w:rPr>
          <w:rFonts w:ascii="宋体" w:hAnsi="宋体"/>
          <w:b/>
          <w:color w:val="0D0D0D"/>
          <w:sz w:val="24"/>
          <w:szCs w:val="20"/>
        </w:rPr>
      </w:pPr>
      <w:r>
        <w:rPr>
          <w:rFonts w:hint="eastAsia" w:ascii="宋体" w:hAnsi="宋体"/>
          <w:b/>
          <w:color w:val="0D0D0D"/>
          <w:sz w:val="24"/>
        </w:rPr>
        <w:t>（二）投标人的风险</w:t>
      </w:r>
    </w:p>
    <w:p w14:paraId="3F5388ED">
      <w:pPr>
        <w:snapToGrid w:val="0"/>
        <w:spacing w:line="400" w:lineRule="atLeast"/>
        <w:ind w:firstLine="480" w:firstLineChars="200"/>
        <w:jc w:val="left"/>
        <w:rPr>
          <w:rFonts w:ascii="宋体"/>
          <w:color w:val="0D0D0D"/>
          <w:szCs w:val="20"/>
        </w:rPr>
      </w:pPr>
      <w:r>
        <w:rPr>
          <w:rFonts w:hint="eastAsia" w:ascii="宋体" w:hAnsi="宋体"/>
          <w:color w:val="0D0D0D"/>
          <w:sz w:val="24"/>
        </w:rPr>
        <w:t>投标人没有按照招标文件要求提供全部资料，或者投标人没有对招标文件在各方面作出实质性响应是投标人的风险，并可能导致其投标被拒绝。</w:t>
      </w:r>
    </w:p>
    <w:p w14:paraId="4F0E6934">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（三）招标文件的澄清与修改</w:t>
      </w:r>
      <w:r>
        <w:rPr>
          <w:rFonts w:ascii="宋体" w:hAnsi="宋体"/>
          <w:b/>
          <w:color w:val="0D0D0D"/>
          <w:szCs w:val="24"/>
        </w:rPr>
        <w:t xml:space="preserve"> </w:t>
      </w:r>
    </w:p>
    <w:p w14:paraId="1FEE2D83">
      <w:pPr>
        <w:pStyle w:val="29"/>
        <w:snapToGrid w:val="0"/>
        <w:spacing w:before="120" w:after="120" w:line="360" w:lineRule="auto"/>
        <w:ind w:firstLine="482" w:firstLineChars="200"/>
        <w:rPr>
          <w:rFonts w:hAnsi="宋体"/>
          <w:b/>
          <w:bCs/>
        </w:rPr>
      </w:pPr>
      <w:r>
        <w:rPr>
          <w:rFonts w:hAnsi="宋体"/>
          <w:b/>
          <w:bCs/>
        </w:rPr>
        <w:t>1.</w:t>
      </w:r>
      <w:r>
        <w:rPr>
          <w:b/>
          <w:bCs/>
        </w:rPr>
        <w:t xml:space="preserve"> 投标人获取招标文件后，若有问题需要澄清，应自招标文件发布在交易场所（发布招标公告的媒体上）3日内，通过台州湾新区小额工程电子交易平台（http://www.tzwztb.com/)向招标人（招标代理）提出。招标人的答复将发布在台州湾新区小额工程电子交易平台（http://www.tzwztb.com/)。如在该时间后提出问题需要澄清的，招标人不作答复。招标人及招标代理机构的任何工作人员对投标人所作的任何口头解释、介绍、答复，只能供投标人参考，对招标人无任何约束力。</w:t>
      </w:r>
      <w:r>
        <w:rPr>
          <w:rFonts w:hAnsi="宋体"/>
          <w:b/>
          <w:bCs/>
        </w:rPr>
        <w:t>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5日前，发布更正公告，并以书面形式通知所有招标文件收受人。</w:t>
      </w:r>
    </w:p>
    <w:p w14:paraId="15810554">
      <w:pPr>
        <w:pStyle w:val="29"/>
        <w:snapToGrid w:val="0"/>
        <w:spacing w:before="120" w:beforeLines="0" w:after="120" w:afterLines="0"/>
        <w:ind w:firstLine="480" w:firstLineChars="200"/>
        <w:rPr>
          <w:rFonts w:hAnsi="宋体"/>
          <w:color w:val="0D0D0D"/>
        </w:rPr>
      </w:pPr>
      <w:r>
        <w:rPr>
          <w:rFonts w:hAnsi="宋体"/>
          <w:color w:val="0D0D0D"/>
        </w:rPr>
        <w:t>2.采购代理机构必须以书面形式答复投标人要求澄清的问题，并将不包含问题来源的答复书面通知所有购买</w:t>
      </w:r>
      <w:r>
        <w:rPr>
          <w:rFonts w:hint="eastAsia" w:hAnsi="宋体"/>
          <w:color w:val="0D0D0D"/>
        </w:rPr>
        <w:t>招标文件</w:t>
      </w:r>
      <w:r>
        <w:rPr>
          <w:rFonts w:hAnsi="宋体"/>
          <w:color w:val="0D0D0D"/>
        </w:rPr>
        <w:t>的投标人；除书面答复以外的其他澄清方式及澄清内容均无效。</w:t>
      </w:r>
    </w:p>
    <w:p w14:paraId="384F79DC">
      <w:pPr>
        <w:pStyle w:val="29"/>
        <w:snapToGrid w:val="0"/>
        <w:spacing w:before="120" w:beforeLines="0" w:after="120" w:afterLines="0"/>
        <w:ind w:firstLine="480" w:firstLineChars="200"/>
        <w:rPr>
          <w:rFonts w:hAnsi="宋体"/>
          <w:color w:val="0D0D0D"/>
        </w:rPr>
      </w:pPr>
      <w:r>
        <w:rPr>
          <w:rFonts w:hAnsi="宋体"/>
          <w:color w:val="0D0D0D"/>
        </w:rPr>
        <w:t>3.</w:t>
      </w:r>
      <w:r>
        <w:rPr>
          <w:rFonts w:hint="eastAsia" w:hAnsi="宋体"/>
          <w:color w:val="0D0D0D"/>
        </w:rPr>
        <w:t>招标文件</w:t>
      </w:r>
      <w:r>
        <w:rPr>
          <w:rFonts w:hAnsi="宋体"/>
          <w:color w:val="0D0D0D"/>
        </w:rPr>
        <w:t>澄清、答复、修改、补充的内容为</w:t>
      </w:r>
      <w:r>
        <w:rPr>
          <w:rFonts w:hint="eastAsia" w:hAnsi="宋体"/>
          <w:color w:val="0D0D0D"/>
        </w:rPr>
        <w:t>招标文件</w:t>
      </w:r>
      <w:r>
        <w:rPr>
          <w:rFonts w:hAnsi="宋体"/>
          <w:color w:val="0D0D0D"/>
        </w:rPr>
        <w:t>的组成部分。当</w:t>
      </w:r>
      <w:r>
        <w:rPr>
          <w:rFonts w:hint="eastAsia" w:hAnsi="宋体"/>
          <w:color w:val="0D0D0D"/>
        </w:rPr>
        <w:t>招标文件</w:t>
      </w:r>
      <w:r>
        <w:rPr>
          <w:rFonts w:hAnsi="宋体"/>
          <w:color w:val="0D0D0D"/>
        </w:rPr>
        <w:t>与</w:t>
      </w:r>
      <w:r>
        <w:rPr>
          <w:rFonts w:hint="eastAsia" w:hAnsi="宋体"/>
          <w:color w:val="0D0D0D"/>
        </w:rPr>
        <w:t>招标文件</w:t>
      </w:r>
      <w:r>
        <w:rPr>
          <w:rFonts w:hAnsi="宋体"/>
          <w:color w:val="0D0D0D"/>
        </w:rPr>
        <w:t>的答复、澄清、修改、补充通知就同一内容的表述不一致时，以最后发出的书面文件为准。</w:t>
      </w:r>
    </w:p>
    <w:p w14:paraId="7EF7B4C0">
      <w:pPr>
        <w:pStyle w:val="29"/>
        <w:snapToGrid w:val="0"/>
        <w:spacing w:before="120" w:beforeLines="0" w:after="120" w:afterLines="0"/>
        <w:ind w:firstLine="480" w:firstLineChars="200"/>
        <w:rPr>
          <w:rFonts w:hAnsi="宋体"/>
          <w:color w:val="0D0D0D"/>
        </w:rPr>
      </w:pPr>
      <w:r>
        <w:rPr>
          <w:rFonts w:hAnsi="宋体"/>
          <w:color w:val="0D0D0D"/>
        </w:rPr>
        <w:t>4.</w:t>
      </w:r>
      <w:r>
        <w:rPr>
          <w:rFonts w:hint="eastAsia" w:hAnsi="宋体"/>
          <w:color w:val="0D0D0D"/>
        </w:rPr>
        <w:t>招标文件</w:t>
      </w:r>
      <w:r>
        <w:rPr>
          <w:rFonts w:hAnsi="宋体"/>
          <w:color w:val="0D0D0D"/>
        </w:rPr>
        <w:t>的澄清、答复、修改或补充都应该通过本代理机构以法定形式发布，采购人非通过本机构，不得擅自澄清、答复、修改或补充</w:t>
      </w:r>
      <w:r>
        <w:rPr>
          <w:rFonts w:hint="eastAsia" w:hAnsi="宋体"/>
          <w:color w:val="0D0D0D"/>
        </w:rPr>
        <w:t>招标文件</w:t>
      </w:r>
      <w:r>
        <w:rPr>
          <w:rFonts w:hAnsi="宋体"/>
          <w:color w:val="0D0D0D"/>
        </w:rPr>
        <w:t>。</w:t>
      </w:r>
    </w:p>
    <w:p w14:paraId="18CB5F01">
      <w:pPr>
        <w:pStyle w:val="29"/>
        <w:snapToGrid w:val="0"/>
        <w:spacing w:before="120" w:beforeLines="0" w:after="120" w:afterLines="0"/>
        <w:rPr>
          <w:rFonts w:hAnsi="宋体"/>
          <w:b/>
          <w:color w:val="0D0D0D"/>
          <w:sz w:val="30"/>
          <w:szCs w:val="30"/>
        </w:rPr>
      </w:pPr>
      <w:r>
        <w:rPr>
          <w:rFonts w:hAnsi="宋体"/>
          <w:b/>
          <w:color w:val="0D0D0D"/>
          <w:sz w:val="30"/>
          <w:szCs w:val="30"/>
        </w:rPr>
        <w:t>三、报价文件的编制</w:t>
      </w:r>
    </w:p>
    <w:p w14:paraId="16130D2A">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（一）报价文件的组成</w:t>
      </w:r>
    </w:p>
    <w:p w14:paraId="1FA1E571">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报价文件仅由商务文件组成。</w:t>
      </w:r>
    </w:p>
    <w:p w14:paraId="5D81EB48">
      <w:pPr>
        <w:snapToGrid w:val="0"/>
        <w:spacing w:before="120" w:beforeLines="50" w:line="400" w:lineRule="atLeast"/>
        <w:ind w:firstLine="472" w:firstLineChars="196"/>
        <w:jc w:val="left"/>
        <w:rPr>
          <w:rFonts w:ascii="宋体" w:hAnsi="宋体"/>
          <w:b/>
          <w:color w:val="0D0D0D"/>
          <w:sz w:val="24"/>
          <w:szCs w:val="20"/>
        </w:rPr>
      </w:pPr>
      <w:r>
        <w:rPr>
          <w:rFonts w:ascii="宋体" w:hAnsi="宋体"/>
          <w:b/>
          <w:color w:val="0D0D0D"/>
          <w:sz w:val="24"/>
        </w:rPr>
        <w:t>1</w:t>
      </w:r>
      <w:r>
        <w:rPr>
          <w:rFonts w:hint="eastAsia" w:ascii="宋体" w:hAnsi="宋体"/>
          <w:b/>
          <w:color w:val="0D0D0D"/>
          <w:sz w:val="24"/>
        </w:rPr>
        <w:t>.</w:t>
      </w:r>
      <w:r>
        <w:rPr>
          <w:rFonts w:ascii="宋体" w:hAnsi="宋体"/>
          <w:b/>
          <w:color w:val="0D0D0D"/>
          <w:sz w:val="24"/>
        </w:rPr>
        <w:t>商务文件：</w:t>
      </w:r>
    </w:p>
    <w:p w14:paraId="62B9E4AA">
      <w:pPr>
        <w:autoSpaceDE w:val="0"/>
        <w:autoSpaceDN w:val="0"/>
        <w:adjustRightInd w:val="0"/>
        <w:spacing w:line="400" w:lineRule="atLeast"/>
        <w:ind w:firstLine="360" w:firstLineChars="150"/>
        <w:rPr>
          <w:rFonts w:ascii="宋体"/>
          <w:color w:val="0D0D0D"/>
          <w:kern w:val="0"/>
          <w:sz w:val="24"/>
        </w:rPr>
      </w:pPr>
      <w:r>
        <w:rPr>
          <w:rFonts w:hint="eastAsia" w:ascii="宋体"/>
          <w:color w:val="0D0D0D"/>
          <w:kern w:val="0"/>
          <w:sz w:val="24"/>
        </w:rPr>
        <w:t>商务报价为投标人一次性报出包含全部内容的价格，包含其它一切所要涉及到的费用，有选择的报价将被拒绝。</w:t>
      </w:r>
    </w:p>
    <w:p w14:paraId="4DB4B345">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（1）营业执照扫描件；</w:t>
      </w:r>
    </w:p>
    <w:p w14:paraId="755056D3">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（2）法定代表人身份证明或法定代表人授权书（见附件）</w:t>
      </w:r>
    </w:p>
    <w:p w14:paraId="69CB2400">
      <w:pPr>
        <w:autoSpaceDE w:val="0"/>
        <w:autoSpaceDN w:val="0"/>
        <w:adjustRightInd w:val="0"/>
        <w:spacing w:line="360" w:lineRule="auto"/>
        <w:ind w:firstLine="482" w:firstLineChars="200"/>
        <w:rPr>
          <w:rFonts w:ascii="宋体" w:hAnsi="宋体"/>
          <w:b/>
          <w:color w:val="0C0C0C"/>
          <w:sz w:val="24"/>
        </w:rPr>
      </w:pPr>
      <w:r>
        <w:rPr>
          <w:rFonts w:hint="eastAsia" w:ascii="宋体" w:hAnsi="宋体"/>
          <w:b/>
          <w:color w:val="0C0C0C"/>
          <w:sz w:val="24"/>
        </w:rPr>
        <w:t>（3）开标一览表（见附件）；</w:t>
      </w:r>
    </w:p>
    <w:p w14:paraId="0D09762A">
      <w:pPr>
        <w:autoSpaceDE w:val="0"/>
        <w:autoSpaceDN w:val="0"/>
        <w:adjustRightInd w:val="0"/>
        <w:spacing w:line="360" w:lineRule="auto"/>
        <w:ind w:firstLine="482" w:firstLineChars="200"/>
        <w:rPr>
          <w:rFonts w:ascii="宋体" w:hAnsi="宋体" w:cs="宋体"/>
          <w:b/>
          <w:bCs/>
          <w:color w:val="0C0C0C"/>
          <w:sz w:val="24"/>
        </w:rPr>
      </w:pPr>
      <w:r>
        <w:rPr>
          <w:rFonts w:hint="eastAsia" w:ascii="宋体" w:hAnsi="宋体"/>
          <w:b/>
          <w:color w:val="0C0C0C"/>
          <w:sz w:val="24"/>
        </w:rPr>
        <w:t>（4）投标报价清单（见附件</w:t>
      </w:r>
      <w:r>
        <w:rPr>
          <w:rFonts w:hint="eastAsia" w:ascii="宋体" w:hAnsi="宋体" w:cs="宋体"/>
          <w:b/>
          <w:bCs/>
          <w:color w:val="0C0C0C"/>
          <w:sz w:val="24"/>
        </w:rPr>
        <w:t>）；</w:t>
      </w:r>
    </w:p>
    <w:p w14:paraId="627FE6D2">
      <w:pPr>
        <w:autoSpaceDE w:val="0"/>
        <w:autoSpaceDN w:val="0"/>
        <w:adjustRightInd w:val="0"/>
        <w:spacing w:line="360" w:lineRule="auto"/>
        <w:ind w:firstLine="482" w:firstLineChars="200"/>
        <w:rPr>
          <w:rFonts w:ascii="宋体" w:hAnsi="宋体" w:cs="宋体"/>
          <w:b/>
          <w:bCs/>
          <w:color w:val="0C0C0C"/>
          <w:sz w:val="24"/>
        </w:rPr>
      </w:pPr>
      <w:r>
        <w:rPr>
          <w:rFonts w:hint="eastAsia" w:ascii="宋体" w:hAnsi="宋体"/>
          <w:b/>
          <w:color w:val="0C0C0C"/>
          <w:sz w:val="24"/>
        </w:rPr>
        <w:t>（5）诚信投标承诺书（见附件）。</w:t>
      </w:r>
    </w:p>
    <w:p w14:paraId="00C7ACAB">
      <w:pPr>
        <w:snapToGrid w:val="0"/>
        <w:spacing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（二）报价文件的语言及计量</w:t>
      </w:r>
    </w:p>
    <w:p w14:paraId="67AF8236">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w:t>
      </w:r>
      <w:r>
        <w:rPr>
          <w:rFonts w:ascii="宋体" w:hAnsi="宋体"/>
          <w:color w:val="0D0D0D"/>
          <w:sz w:val="24"/>
        </w:rPr>
        <w:t>报价文件以及投标方与招标方就有关投标事宜的所有来往函电，均应以中文汉语书写。除签名、盖章、专用名称等特殊情形外，以中文汉语以外的文字表述的报价文件视同未提供。</w:t>
      </w:r>
    </w:p>
    <w:p w14:paraId="119ACE4A">
      <w:pPr>
        <w:snapToGrid w:val="0"/>
        <w:spacing w:line="400" w:lineRule="atLeast"/>
        <w:ind w:firstLine="480" w:firstLineChars="200"/>
        <w:jc w:val="left"/>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w:t>
      </w:r>
      <w:r>
        <w:rPr>
          <w:rFonts w:ascii="宋体" w:hAnsi="宋体"/>
          <w:color w:val="0D0D0D"/>
          <w:sz w:val="24"/>
        </w:rPr>
        <w:t>投标计量单位，</w:t>
      </w:r>
      <w:r>
        <w:rPr>
          <w:rFonts w:hint="eastAsia" w:ascii="宋体" w:hAnsi="宋体"/>
          <w:color w:val="0D0D0D"/>
          <w:sz w:val="24"/>
        </w:rPr>
        <w:t>招标文件</w:t>
      </w:r>
      <w:r>
        <w:rPr>
          <w:rFonts w:ascii="宋体" w:hAnsi="宋体"/>
          <w:color w:val="0D0D0D"/>
          <w:sz w:val="24"/>
        </w:rPr>
        <w:t>已有明确规定的，使用</w:t>
      </w:r>
      <w:r>
        <w:rPr>
          <w:rFonts w:hint="eastAsia" w:ascii="宋体" w:hAnsi="宋体"/>
          <w:color w:val="0D0D0D"/>
          <w:sz w:val="24"/>
        </w:rPr>
        <w:t>招标文件</w:t>
      </w:r>
      <w:r>
        <w:rPr>
          <w:rFonts w:ascii="宋体" w:hAnsi="宋体"/>
          <w:color w:val="0D0D0D"/>
          <w:sz w:val="24"/>
        </w:rPr>
        <w:t>规定的计量单位；</w:t>
      </w:r>
      <w:r>
        <w:rPr>
          <w:rFonts w:hint="eastAsia" w:ascii="宋体" w:hAnsi="宋体"/>
          <w:color w:val="0D0D0D"/>
          <w:sz w:val="24"/>
        </w:rPr>
        <w:t>招标文件</w:t>
      </w:r>
      <w:r>
        <w:rPr>
          <w:rFonts w:ascii="宋体" w:hAnsi="宋体"/>
          <w:color w:val="0D0D0D"/>
          <w:sz w:val="24"/>
        </w:rPr>
        <w:t>没有规定的，应采用中华人民共和国法定计量单位（货币单位：人民币元），否则视同未响应。</w:t>
      </w:r>
    </w:p>
    <w:p w14:paraId="2F452217">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（三）投标报价</w:t>
      </w:r>
    </w:p>
    <w:p w14:paraId="726FBC08">
      <w:pPr>
        <w:pStyle w:val="29"/>
        <w:snapToGrid w:val="0"/>
        <w:spacing w:before="120" w:beforeLines="0" w:after="120" w:afterLines="0"/>
        <w:ind w:firstLine="720" w:firstLineChars="300"/>
        <w:jc w:val="left"/>
        <w:rPr>
          <w:rFonts w:hAnsi="宋体"/>
          <w:color w:val="0D0D0D"/>
        </w:rPr>
      </w:pPr>
      <w:r>
        <w:rPr>
          <w:rFonts w:hAnsi="宋体"/>
          <w:color w:val="0D0D0D"/>
        </w:rPr>
        <w:t>1.投标报价应按</w:t>
      </w:r>
      <w:r>
        <w:rPr>
          <w:rFonts w:hint="eastAsia" w:hAnsi="宋体"/>
          <w:color w:val="0D0D0D"/>
        </w:rPr>
        <w:t>招标文件</w:t>
      </w:r>
      <w:r>
        <w:rPr>
          <w:rFonts w:hAnsi="宋体"/>
          <w:color w:val="0D0D0D"/>
        </w:rPr>
        <w:t>中相关附表格式填写。</w:t>
      </w:r>
    </w:p>
    <w:p w14:paraId="5CF63686">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 xml:space="preserve">▲2. </w:t>
      </w:r>
      <w:r>
        <w:rPr>
          <w:rFonts w:hint="eastAsia" w:ascii="宋体" w:hAnsi="宋体"/>
          <w:color w:val="0D0D0D"/>
          <w:szCs w:val="24"/>
        </w:rPr>
        <w:t>本次招标完成合同签订后，根据采购人项目施工实际情况按实计量结算，投标人应充分考虑项目实际工作量的不确定因素，投标报价时结合实际情况及自身的综合实力填报投标报价。其应包括投货款、标准附件、备品备件、专用工具、包装、运输、装卸、保险、税金、货到就位以及拼装、调试、培训、指导、保修等一切税金和费用，如有漏项，视同已包含在其总项目中。结算时，中标人在综合单价不变的前提下，根据采购人的实际采购数量按实结算。</w:t>
      </w:r>
    </w:p>
    <w:p w14:paraId="0C81C55D">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Cs/>
          <w:color w:val="0D0D0D"/>
          <w:szCs w:val="24"/>
        </w:rPr>
      </w:pPr>
      <w:r>
        <w:rPr>
          <w:rFonts w:hint="eastAsia" w:ascii="宋体" w:hAnsi="宋体"/>
          <w:b/>
          <w:color w:val="0D0D0D"/>
          <w:szCs w:val="24"/>
        </w:rPr>
        <w:t>▲</w:t>
      </w:r>
      <w:r>
        <w:rPr>
          <w:rFonts w:hint="eastAsia" w:ascii="宋体" w:hAnsi="宋体"/>
          <w:bCs/>
          <w:color w:val="0D0D0D"/>
          <w:szCs w:val="24"/>
        </w:rPr>
        <w:t>3、采购人不接受任何选择报价，对每一种货物只允许一个报价。</w:t>
      </w:r>
    </w:p>
    <w:p w14:paraId="5C2EFBA8">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4、采购人要求分项报价是为了方便评标，但在任何情况下不限制采购人以其认为最合适的条款、条件签订合同的权利。</w:t>
      </w:r>
    </w:p>
    <w:p w14:paraId="5CA29D18">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5、投标人所报的投标价在合同执行过程中是固定不变的，不得以任何理由予以变更。任何包含价格调整的要求，将被认为是非实质性响应投标而予以拒绝。</w:t>
      </w:r>
    </w:p>
    <w:p w14:paraId="325B8102">
      <w:pPr>
        <w:pStyle w:val="12"/>
        <w:widowControl w:val="0"/>
        <w:tabs>
          <w:tab w:val="clear" w:pos="454"/>
          <w:tab w:val="clear" w:pos="900"/>
        </w:tabs>
        <w:snapToGrid w:val="0"/>
        <w:spacing w:before="120" w:beforeLines="50" w:after="120" w:afterLines="0" w:line="400" w:lineRule="atLeast"/>
        <w:ind w:left="0" w:firstLine="470" w:firstLineChars="196"/>
        <w:rPr>
          <w:rFonts w:ascii="宋体" w:hAnsi="宋体"/>
          <w:bCs/>
          <w:color w:val="0D0D0D"/>
          <w:szCs w:val="24"/>
        </w:rPr>
      </w:pPr>
      <w:r>
        <w:rPr>
          <w:rFonts w:hint="eastAsia" w:ascii="宋体" w:hAnsi="宋体"/>
          <w:bCs/>
          <w:color w:val="0D0D0D"/>
          <w:szCs w:val="24"/>
        </w:rPr>
        <w:t>6、相关报价单需打印或用不退色的墨水填写， 投标报价单不得涂改和增删，如有错漏必须修改，修改处须由同一签署人签字或盖章。由于字迹模糊或表达不清引起的后果由投标人负责。</w:t>
      </w:r>
    </w:p>
    <w:p w14:paraId="1AA6CA80">
      <w:pPr>
        <w:pStyle w:val="12"/>
        <w:widowControl w:val="0"/>
        <w:tabs>
          <w:tab w:val="clear" w:pos="454"/>
          <w:tab w:val="clear" w:pos="900"/>
        </w:tabs>
        <w:snapToGrid w:val="0"/>
        <w:spacing w:before="120" w:beforeLines="50" w:after="120" w:afterLines="0" w:line="400" w:lineRule="atLeast"/>
        <w:ind w:left="0" w:firstLine="472" w:firstLineChars="196"/>
        <w:rPr>
          <w:rFonts w:ascii="宋体" w:hAnsi="宋体"/>
          <w:b/>
          <w:color w:val="0D0D0D"/>
          <w:szCs w:val="24"/>
        </w:rPr>
      </w:pPr>
      <w:r>
        <w:rPr>
          <w:rFonts w:hint="eastAsia" w:ascii="宋体" w:hAnsi="宋体"/>
          <w:b/>
          <w:color w:val="0D0D0D"/>
          <w:szCs w:val="24"/>
        </w:rPr>
        <w:t>（四）报价文件的有效期</w:t>
      </w:r>
    </w:p>
    <w:p w14:paraId="1BFDFD55">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hint="eastAsia" w:ascii="宋体" w:hAnsi="宋体"/>
          <w:color w:val="0D0D0D"/>
          <w:szCs w:val="24"/>
        </w:rPr>
        <w:t>▲</w:t>
      </w:r>
      <w:r>
        <w:rPr>
          <w:rFonts w:ascii="宋体" w:hAnsi="宋体"/>
          <w:color w:val="0D0D0D"/>
          <w:szCs w:val="24"/>
        </w:rPr>
        <w:t>1</w:t>
      </w:r>
      <w:r>
        <w:rPr>
          <w:rFonts w:hint="eastAsia" w:ascii="宋体" w:hAnsi="宋体"/>
          <w:color w:val="0D0D0D"/>
          <w:szCs w:val="24"/>
        </w:rPr>
        <w:t>.</w:t>
      </w:r>
      <w:r>
        <w:rPr>
          <w:rFonts w:ascii="宋体" w:hAnsi="宋体"/>
          <w:color w:val="0D0D0D"/>
          <w:szCs w:val="24"/>
        </w:rPr>
        <w:t>自投标截止日起</w:t>
      </w:r>
      <w:r>
        <w:rPr>
          <w:rFonts w:ascii="宋体" w:hAnsi="宋体"/>
          <w:color w:val="0D0D0D"/>
          <w:szCs w:val="24"/>
          <w:u w:val="single"/>
        </w:rPr>
        <w:t xml:space="preserve"> </w:t>
      </w:r>
      <w:r>
        <w:rPr>
          <w:rFonts w:hint="eastAsia" w:ascii="宋体" w:hAnsi="宋体"/>
          <w:color w:val="0D0D0D"/>
          <w:szCs w:val="24"/>
          <w:u w:val="single"/>
        </w:rPr>
        <w:t>90</w:t>
      </w:r>
      <w:r>
        <w:rPr>
          <w:rFonts w:ascii="宋体" w:hAnsi="宋体"/>
          <w:color w:val="0D0D0D"/>
          <w:szCs w:val="24"/>
        </w:rPr>
        <w:t>天报价文件应保持有效。</w:t>
      </w:r>
      <w:r>
        <w:rPr>
          <w:rFonts w:hint="eastAsia" w:ascii="宋体" w:hAnsi="宋体"/>
          <w:color w:val="0D0D0D"/>
          <w:szCs w:val="24"/>
        </w:rPr>
        <w:t>中标人报价文件有效期延长至合同有效期。</w:t>
      </w:r>
      <w:r>
        <w:rPr>
          <w:rFonts w:ascii="宋体" w:hAnsi="宋体"/>
          <w:color w:val="0D0D0D"/>
          <w:szCs w:val="24"/>
        </w:rPr>
        <w:t>有效期</w:t>
      </w:r>
      <w:r>
        <w:rPr>
          <w:rFonts w:hint="eastAsia" w:ascii="宋体" w:hAnsi="宋体"/>
          <w:color w:val="0D0D0D"/>
          <w:szCs w:val="24"/>
        </w:rPr>
        <w:t>不足</w:t>
      </w:r>
      <w:r>
        <w:rPr>
          <w:rFonts w:ascii="宋体" w:hAnsi="宋体"/>
          <w:color w:val="0D0D0D"/>
          <w:szCs w:val="24"/>
        </w:rPr>
        <w:t>的报价文件将被拒绝。</w:t>
      </w:r>
    </w:p>
    <w:p w14:paraId="65C1DE72">
      <w:pPr>
        <w:pStyle w:val="12"/>
        <w:widowControl w:val="0"/>
        <w:tabs>
          <w:tab w:val="clear" w:pos="454"/>
          <w:tab w:val="clear" w:pos="900"/>
        </w:tabs>
        <w:snapToGrid w:val="0"/>
        <w:spacing w:after="120" w:afterLines="0" w:line="400" w:lineRule="atLeast"/>
        <w:ind w:left="0" w:firstLine="480" w:firstLineChars="200"/>
        <w:rPr>
          <w:rFonts w:ascii="宋体" w:hAnsi="宋体"/>
          <w:color w:val="0D0D0D"/>
          <w:szCs w:val="24"/>
        </w:rPr>
      </w:pPr>
      <w:r>
        <w:rPr>
          <w:rFonts w:ascii="宋体" w:hAnsi="宋体"/>
          <w:color w:val="0D0D0D"/>
          <w:szCs w:val="24"/>
        </w:rPr>
        <w:t>2</w:t>
      </w:r>
      <w:r>
        <w:rPr>
          <w:rFonts w:hint="eastAsia" w:ascii="宋体" w:hAnsi="宋体"/>
          <w:color w:val="0D0D0D"/>
          <w:szCs w:val="24"/>
        </w:rPr>
        <w:t>.</w:t>
      </w:r>
      <w:r>
        <w:rPr>
          <w:rFonts w:ascii="宋体" w:hAnsi="宋体"/>
          <w:color w:val="0D0D0D"/>
          <w:szCs w:val="24"/>
        </w:rPr>
        <w:t>在特殊情况下，招标人可与投标人协商延长投标书的有效期，这种要求和答复均以书面形式进行。</w:t>
      </w:r>
    </w:p>
    <w:p w14:paraId="279BE668">
      <w:pPr>
        <w:snapToGrid w:val="0"/>
        <w:spacing w:line="400" w:lineRule="atLeast"/>
        <w:ind w:firstLine="480" w:firstLineChars="200"/>
        <w:jc w:val="left"/>
        <w:outlineLvl w:val="0"/>
        <w:rPr>
          <w:rFonts w:ascii="宋体" w:hAnsi="宋体"/>
          <w:b/>
          <w:color w:val="0D0D0D"/>
          <w:sz w:val="24"/>
          <w:szCs w:val="20"/>
        </w:rPr>
      </w:pPr>
      <w:r>
        <w:rPr>
          <w:rFonts w:ascii="宋体" w:hAnsi="宋体"/>
          <w:color w:val="0D0D0D"/>
          <w:sz w:val="24"/>
        </w:rPr>
        <w:t>3</w:t>
      </w:r>
      <w:r>
        <w:rPr>
          <w:rFonts w:hint="eastAsia" w:ascii="宋体" w:hAnsi="宋体"/>
          <w:color w:val="0D0D0D"/>
          <w:sz w:val="24"/>
        </w:rPr>
        <w:t>.</w:t>
      </w:r>
      <w:r>
        <w:rPr>
          <w:rFonts w:ascii="宋体" w:hAnsi="宋体"/>
          <w:color w:val="0D0D0D"/>
          <w:sz w:val="24"/>
        </w:rPr>
        <w:t>投标人可拒绝接受延期要求而不会导致投标保证金被没收。同意延长有效期的投标人需要相应延长投标保证金的有效期，但不能修改报价文件。</w:t>
      </w:r>
      <w:r>
        <w:rPr>
          <w:rFonts w:ascii="宋体" w:hAnsi="宋体"/>
          <w:b/>
          <w:color w:val="0D0D0D"/>
          <w:sz w:val="24"/>
        </w:rPr>
        <w:t xml:space="preserve"> </w:t>
      </w:r>
    </w:p>
    <w:p w14:paraId="34E05E10">
      <w:pPr>
        <w:snapToGrid w:val="0"/>
        <w:spacing w:line="400" w:lineRule="atLeast"/>
        <w:ind w:firstLine="480" w:firstLineChars="200"/>
        <w:jc w:val="left"/>
        <w:outlineLvl w:val="0"/>
        <w:rPr>
          <w:rFonts w:ascii="宋体" w:hAnsi="宋体"/>
          <w:b/>
          <w:color w:val="0D0D0D"/>
          <w:sz w:val="24"/>
        </w:rPr>
      </w:pPr>
      <w:r>
        <w:rPr>
          <w:rFonts w:ascii="宋体" w:hAnsi="宋体"/>
          <w:color w:val="0D0D0D"/>
          <w:sz w:val="24"/>
        </w:rPr>
        <w:t>4</w:t>
      </w:r>
      <w:r>
        <w:rPr>
          <w:rFonts w:hint="eastAsia" w:ascii="宋体" w:hAnsi="宋体"/>
          <w:color w:val="0D0D0D"/>
          <w:sz w:val="24"/>
        </w:rPr>
        <w:t>.</w:t>
      </w:r>
      <w:r>
        <w:rPr>
          <w:rFonts w:ascii="宋体" w:hAnsi="宋体"/>
          <w:color w:val="0D0D0D"/>
          <w:sz w:val="24"/>
        </w:rPr>
        <w:t>中标人的报价文件自开标之日起至合同履行完毕止均应保持有效。</w:t>
      </w:r>
    </w:p>
    <w:p w14:paraId="786CF192">
      <w:pPr>
        <w:pStyle w:val="12"/>
        <w:widowControl w:val="0"/>
        <w:tabs>
          <w:tab w:val="clear" w:pos="454"/>
          <w:tab w:val="clear" w:pos="900"/>
        </w:tabs>
        <w:snapToGrid w:val="0"/>
        <w:spacing w:after="0" w:afterLines="0" w:line="360" w:lineRule="auto"/>
        <w:ind w:left="0" w:firstLine="472" w:firstLineChars="196"/>
        <w:rPr>
          <w:rFonts w:ascii="宋体" w:hAnsi="宋体"/>
          <w:b/>
          <w:szCs w:val="24"/>
        </w:rPr>
      </w:pPr>
      <w:r>
        <w:rPr>
          <w:rFonts w:hint="eastAsia" w:ascii="宋体" w:hAnsi="宋体"/>
          <w:b/>
          <w:szCs w:val="24"/>
        </w:rPr>
        <w:t>（五）投标保证金</w:t>
      </w:r>
    </w:p>
    <w:p w14:paraId="524E20D9">
      <w:pPr>
        <w:snapToGrid w:val="0"/>
        <w:spacing w:line="360" w:lineRule="auto"/>
        <w:ind w:firstLine="480" w:firstLineChars="200"/>
        <w:jc w:val="left"/>
        <w:rPr>
          <w:rFonts w:ascii="宋体" w:hAnsi="宋体"/>
          <w:sz w:val="24"/>
        </w:rPr>
      </w:pPr>
      <w:r>
        <w:rPr>
          <w:rFonts w:hint="eastAsia" w:ascii="宋体" w:hAnsi="宋体"/>
          <w:sz w:val="24"/>
        </w:rPr>
        <w:t>1.投标人须按规定提交投标保证金。否则，其投标将被拒绝。</w:t>
      </w:r>
    </w:p>
    <w:p w14:paraId="03DC95E8">
      <w:pPr>
        <w:snapToGrid w:val="0"/>
        <w:spacing w:line="360" w:lineRule="auto"/>
        <w:ind w:left="476" w:leftChars="170"/>
        <w:jc w:val="left"/>
        <w:rPr>
          <w:rFonts w:ascii="宋体" w:hAnsi="宋体"/>
          <w:sz w:val="24"/>
        </w:rPr>
      </w:pPr>
      <w:r>
        <w:rPr>
          <w:rFonts w:hint="eastAsia" w:ascii="宋体" w:hAnsi="宋体"/>
          <w:sz w:val="24"/>
        </w:rPr>
        <w:t>2.保证金形式：</w:t>
      </w:r>
      <w:r>
        <w:rPr>
          <w:rFonts w:hint="eastAsia" w:ascii="宋体" w:hAnsi="宋体" w:cs="宋体"/>
          <w:bCs/>
          <w:kern w:val="0"/>
          <w:sz w:val="24"/>
        </w:rPr>
        <w:t>现金转账、银行保函、保险机构保证保险保单、融资担保公司保函。</w:t>
      </w:r>
      <w:r>
        <w:rPr>
          <w:rFonts w:hint="eastAsia" w:ascii="宋体" w:hAnsi="宋体"/>
          <w:sz w:val="24"/>
        </w:rPr>
        <w:t>3.未中标人的投标保证金在中标通知书发出后5个工作日内退还。</w:t>
      </w:r>
    </w:p>
    <w:p w14:paraId="552B14C9">
      <w:pPr>
        <w:snapToGrid w:val="0"/>
        <w:spacing w:line="360" w:lineRule="auto"/>
        <w:ind w:firstLine="480" w:firstLineChars="200"/>
        <w:jc w:val="left"/>
        <w:rPr>
          <w:rFonts w:ascii="宋体" w:hAnsi="宋体"/>
          <w:sz w:val="24"/>
        </w:rPr>
      </w:pPr>
      <w:r>
        <w:rPr>
          <w:rFonts w:hint="eastAsia" w:ascii="宋体" w:hAnsi="宋体"/>
          <w:sz w:val="24"/>
        </w:rPr>
        <w:t>4.中标人应在中标通知书发出后15日内与采购人签订合同，中标人的投标保证金在合同签订后5个工作日内退还。</w:t>
      </w:r>
    </w:p>
    <w:p w14:paraId="1B1C80DC">
      <w:pPr>
        <w:snapToGrid w:val="0"/>
        <w:spacing w:line="360" w:lineRule="auto"/>
        <w:ind w:firstLine="472" w:firstLineChars="196"/>
        <w:jc w:val="left"/>
        <w:rPr>
          <w:rFonts w:ascii="宋体" w:hAnsi="宋体"/>
          <w:b/>
          <w:bCs/>
          <w:sz w:val="24"/>
        </w:rPr>
      </w:pPr>
      <w:r>
        <w:rPr>
          <w:rFonts w:hint="eastAsia" w:ascii="宋体" w:hAnsi="宋体"/>
          <w:b/>
          <w:bCs/>
          <w:sz w:val="24"/>
        </w:rPr>
        <w:t>5.投标人有下列情形之一的，投标保证金将不予退还：</w:t>
      </w:r>
    </w:p>
    <w:p w14:paraId="543404F6">
      <w:pPr>
        <w:snapToGrid w:val="0"/>
        <w:spacing w:line="360" w:lineRule="auto"/>
        <w:ind w:firstLine="470" w:firstLineChars="196"/>
        <w:jc w:val="left"/>
        <w:rPr>
          <w:rFonts w:ascii="宋体" w:hAnsi="宋体"/>
          <w:sz w:val="24"/>
        </w:rPr>
      </w:pPr>
      <w:r>
        <w:rPr>
          <w:rFonts w:hint="eastAsia" w:ascii="宋体" w:hAnsi="宋体"/>
          <w:sz w:val="24"/>
        </w:rPr>
        <w:t>（1）投标人在投标有效期内撤回投标文件的；</w:t>
      </w:r>
    </w:p>
    <w:p w14:paraId="0386EADC">
      <w:pPr>
        <w:snapToGrid w:val="0"/>
        <w:spacing w:line="360" w:lineRule="auto"/>
        <w:ind w:firstLine="470" w:firstLineChars="196"/>
        <w:jc w:val="left"/>
        <w:rPr>
          <w:rFonts w:ascii="宋体" w:hAnsi="宋体"/>
          <w:sz w:val="24"/>
        </w:rPr>
      </w:pPr>
      <w:r>
        <w:rPr>
          <w:rFonts w:hint="eastAsia" w:ascii="宋体" w:hAnsi="宋体"/>
          <w:sz w:val="24"/>
        </w:rPr>
        <w:t>（2）未按规定提交履约保证金的；</w:t>
      </w:r>
    </w:p>
    <w:p w14:paraId="2F3D22A7">
      <w:pPr>
        <w:snapToGrid w:val="0"/>
        <w:spacing w:line="360" w:lineRule="auto"/>
        <w:ind w:firstLine="470" w:firstLineChars="196"/>
        <w:jc w:val="left"/>
        <w:rPr>
          <w:rFonts w:ascii="宋体" w:hAnsi="宋体"/>
          <w:sz w:val="24"/>
        </w:rPr>
      </w:pPr>
      <w:r>
        <w:rPr>
          <w:rFonts w:hint="eastAsia" w:ascii="宋体" w:hAnsi="宋体"/>
          <w:sz w:val="24"/>
        </w:rPr>
        <w:t>（3）投标人在投标过程中弄虚作假，提供虚假材料的；</w:t>
      </w:r>
    </w:p>
    <w:p w14:paraId="097EF8F7">
      <w:pPr>
        <w:snapToGrid w:val="0"/>
        <w:spacing w:line="360" w:lineRule="auto"/>
        <w:ind w:firstLine="470" w:firstLineChars="196"/>
        <w:rPr>
          <w:rFonts w:ascii="宋体" w:hAnsi="宋体"/>
          <w:sz w:val="24"/>
        </w:rPr>
      </w:pPr>
      <w:r>
        <w:rPr>
          <w:rFonts w:hint="eastAsia" w:ascii="宋体" w:hAnsi="宋体"/>
          <w:sz w:val="24"/>
        </w:rPr>
        <w:t>（4）中标人无正当理由不与采购单位签订合同的；</w:t>
      </w:r>
    </w:p>
    <w:p w14:paraId="2414A113">
      <w:pPr>
        <w:snapToGrid w:val="0"/>
        <w:spacing w:line="360" w:lineRule="auto"/>
        <w:ind w:firstLine="470" w:firstLineChars="196"/>
        <w:rPr>
          <w:rFonts w:ascii="宋体" w:hAnsi="宋体"/>
          <w:sz w:val="24"/>
        </w:rPr>
      </w:pPr>
      <w:r>
        <w:rPr>
          <w:rFonts w:hint="eastAsia" w:ascii="宋体" w:hAnsi="宋体"/>
          <w:sz w:val="24"/>
        </w:rPr>
        <w:t>（5）</w:t>
      </w:r>
      <w:r>
        <w:rPr>
          <w:rFonts w:hint="eastAsia" w:ascii="宋体" w:hAnsi="宋体"/>
          <w:bCs/>
          <w:sz w:val="24"/>
        </w:rPr>
        <w:t>将中标项目转让给他人或者在投标文件中未说明且未经招标人同意，将中标项目分包给他人的；</w:t>
      </w:r>
    </w:p>
    <w:p w14:paraId="7E7CA44E">
      <w:pPr>
        <w:snapToGrid w:val="0"/>
        <w:spacing w:line="360" w:lineRule="auto"/>
        <w:ind w:firstLine="470" w:firstLineChars="196"/>
        <w:rPr>
          <w:rFonts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）有《关于印发&lt;台州市工程建设投标保函管理规定&gt;的通知》（台公管办〔2022〕2号）第十一条规定情形的：</w:t>
      </w:r>
    </w:p>
    <w:p w14:paraId="64026359">
      <w:pPr>
        <w:snapToGrid w:val="0"/>
        <w:spacing w:line="360" w:lineRule="auto"/>
        <w:ind w:firstLine="470" w:firstLineChars="196"/>
        <w:rPr>
          <w:rFonts w:ascii="宋体" w:hAnsi="宋体"/>
          <w:sz w:val="24"/>
        </w:rPr>
      </w:pPr>
      <w:r>
        <w:rPr>
          <w:rFonts w:hint="eastAsia" w:ascii="宋体" w:hAnsi="宋体"/>
          <w:sz w:val="24"/>
        </w:rPr>
        <w:t xml:space="preserve">1）投标截止时间后，投标人撤销投标文件的； </w:t>
      </w:r>
    </w:p>
    <w:p w14:paraId="39FE8979">
      <w:pPr>
        <w:snapToGrid w:val="0"/>
        <w:spacing w:line="360" w:lineRule="auto"/>
        <w:ind w:firstLine="470" w:firstLineChars="196"/>
        <w:rPr>
          <w:rFonts w:ascii="宋体" w:hAnsi="宋体"/>
          <w:sz w:val="24"/>
        </w:rPr>
      </w:pPr>
      <w:r>
        <w:rPr>
          <w:rFonts w:hint="eastAsia" w:ascii="宋体" w:hAnsi="宋体"/>
          <w:sz w:val="24"/>
        </w:rPr>
        <w:t xml:space="preserve">2）投标人放弃中标候选人或中标资格的（包括中标人无正当理由不与招标人订立合同；在签订合同时向招标人提出附加条件；不按照招标文件要求提交履约担保）； </w:t>
      </w:r>
    </w:p>
    <w:p w14:paraId="7EB87FE0">
      <w:pPr>
        <w:snapToGrid w:val="0"/>
        <w:spacing w:line="360" w:lineRule="auto"/>
        <w:ind w:firstLine="470" w:firstLineChars="196"/>
        <w:rPr>
          <w:rFonts w:ascii="宋体" w:hAnsi="宋体"/>
          <w:sz w:val="24"/>
        </w:rPr>
      </w:pPr>
      <w:r>
        <w:rPr>
          <w:rFonts w:hint="eastAsia" w:ascii="宋体" w:hAnsi="宋体"/>
          <w:sz w:val="24"/>
        </w:rPr>
        <w:t xml:space="preserve">3）投标人存在串通投标或弄虚作假违法行为的（包括但不限于同一项目不同投标人的电子投标文件的文件制作机器码或文件创建标识码相同的；不同投标人从同一投标单位或同一自然人的IP地址下载招标文件、上传投标文件、购买保函或参加投标活动的人员为同一标段其他投标人的在职人员的；不同投标人通过同一单位或者个人账户购买保函的）； </w:t>
      </w:r>
    </w:p>
    <w:p w14:paraId="07A75CD2">
      <w:pPr>
        <w:snapToGrid w:val="0"/>
        <w:spacing w:line="360" w:lineRule="auto"/>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）其他严重扰乱招投标程序的；</w:t>
      </w:r>
    </w:p>
    <w:p w14:paraId="3349F8AF">
      <w:pPr>
        <w:snapToGrid w:val="0"/>
        <w:spacing w:before="120" w:beforeLines="50" w:line="400" w:lineRule="atLeast"/>
        <w:ind w:firstLine="472" w:firstLineChars="196"/>
        <w:jc w:val="left"/>
        <w:outlineLvl w:val="0"/>
        <w:rPr>
          <w:rFonts w:ascii="宋体" w:hAnsi="宋体"/>
          <w:b/>
          <w:color w:val="0D0D0D"/>
          <w:sz w:val="24"/>
          <w:szCs w:val="20"/>
        </w:rPr>
      </w:pPr>
      <w:r>
        <w:rPr>
          <w:rFonts w:hint="eastAsia" w:ascii="宋体" w:hAnsi="宋体"/>
          <w:b/>
          <w:color w:val="0D0D0D"/>
          <w:sz w:val="24"/>
        </w:rPr>
        <w:t>（六）报价文件的签署和份数</w:t>
      </w:r>
    </w:p>
    <w:p w14:paraId="5994CCD7">
      <w:pPr>
        <w:snapToGrid w:val="0"/>
        <w:spacing w:line="360" w:lineRule="auto"/>
        <w:ind w:firstLine="480" w:firstLineChars="200"/>
        <w:jc w:val="left"/>
        <w:rPr>
          <w:rFonts w:ascii="宋体" w:hAnsi="宋体"/>
          <w:color w:val="0D0D0D"/>
          <w:sz w:val="24"/>
          <w:szCs w:val="20"/>
        </w:rPr>
      </w:pPr>
      <w:r>
        <w:rPr>
          <w:rFonts w:ascii="宋体" w:hAnsi="宋体"/>
          <w:color w:val="0D0D0D"/>
          <w:sz w:val="24"/>
        </w:rPr>
        <w:t>1</w:t>
      </w:r>
      <w:r>
        <w:rPr>
          <w:rFonts w:hint="eastAsia" w:ascii="宋体" w:hAnsi="宋体"/>
          <w:color w:val="0D0D0D"/>
          <w:sz w:val="24"/>
        </w:rPr>
        <w:t>.</w:t>
      </w:r>
      <w:r>
        <w:rPr>
          <w:rFonts w:hint="eastAsia" w:ascii="宋体" w:hAnsi="宋体"/>
          <w:bCs/>
          <w:sz w:val="24"/>
        </w:rPr>
        <w:t>投标人按本招标文件规定的要求使用电子投标文件，并标注页码，投标文件内容不完整、编排混乱导致投标文件被误读、漏读或者查找不到相关内容的，是投标人的责任。</w:t>
      </w:r>
    </w:p>
    <w:p w14:paraId="1068509C">
      <w:pPr>
        <w:snapToGrid w:val="0"/>
        <w:spacing w:line="360" w:lineRule="auto"/>
        <w:ind w:firstLine="480" w:firstLineChars="200"/>
        <w:jc w:val="left"/>
        <w:rPr>
          <w:rFonts w:ascii="宋体" w:hAnsi="宋体"/>
          <w:sz w:val="24"/>
          <w:szCs w:val="20"/>
        </w:rPr>
      </w:pPr>
      <w:r>
        <w:rPr>
          <w:rFonts w:hint="eastAsia" w:ascii="宋体" w:hAnsi="宋体"/>
          <w:sz w:val="24"/>
        </w:rPr>
        <w:t>2.</w:t>
      </w:r>
      <w:r>
        <w:rPr>
          <w:rFonts w:ascii="宋体" w:hAnsi="宋体"/>
          <w:sz w:val="24"/>
        </w:rPr>
        <w:t>投标文件须由投标人在规定位置盖章并由法定代表人或法定代表</w:t>
      </w:r>
      <w:r>
        <w:rPr>
          <w:rFonts w:hint="eastAsia" w:ascii="宋体" w:hAnsi="宋体"/>
          <w:sz w:val="24"/>
        </w:rPr>
        <w:t>人的</w:t>
      </w:r>
      <w:r>
        <w:rPr>
          <w:rFonts w:ascii="宋体" w:hAnsi="宋体"/>
          <w:sz w:val="24"/>
        </w:rPr>
        <w:t>授权</w:t>
      </w:r>
      <w:r>
        <w:rPr>
          <w:rFonts w:hint="eastAsia" w:ascii="宋体" w:hAnsi="宋体"/>
          <w:sz w:val="24"/>
        </w:rPr>
        <w:t>委托</w:t>
      </w:r>
      <w:r>
        <w:rPr>
          <w:rFonts w:ascii="宋体" w:hAnsi="宋体"/>
          <w:sz w:val="24"/>
        </w:rPr>
        <w:t>人签署</w:t>
      </w:r>
      <w:r>
        <w:rPr>
          <w:rFonts w:hint="eastAsia" w:ascii="宋体" w:hAnsi="宋体"/>
          <w:sz w:val="24"/>
        </w:rPr>
        <w:t>或盖章</w:t>
      </w:r>
      <w:r>
        <w:rPr>
          <w:rFonts w:ascii="宋体" w:hAnsi="宋体"/>
          <w:sz w:val="24"/>
        </w:rPr>
        <w:t>，投标人应写全称。</w:t>
      </w:r>
    </w:p>
    <w:p w14:paraId="38BA3811">
      <w:pPr>
        <w:snapToGrid w:val="0"/>
        <w:spacing w:line="360" w:lineRule="auto"/>
        <w:ind w:firstLine="480" w:firstLineChars="200"/>
        <w:jc w:val="left"/>
        <w:rPr>
          <w:rFonts w:ascii="宋体" w:hAnsi="宋体"/>
          <w:sz w:val="24"/>
          <w:szCs w:val="20"/>
        </w:rPr>
      </w:pPr>
      <w:r>
        <w:rPr>
          <w:rFonts w:hint="eastAsia" w:ascii="宋体" w:hAnsi="宋体"/>
          <w:sz w:val="24"/>
        </w:rPr>
        <w:t>3.</w:t>
      </w:r>
      <w:r>
        <w:rPr>
          <w:rFonts w:ascii="宋体" w:hAnsi="宋体"/>
          <w:sz w:val="24"/>
        </w:rPr>
        <w:t>投标文件不得涂改，若有修改错漏处，须加盖单位公章或者法定代表人或授权委托人签字或盖章。投标文件因字迹潦草或表达不清所引起的后果由投标人负责。</w:t>
      </w:r>
    </w:p>
    <w:p w14:paraId="321E19E2">
      <w:pPr>
        <w:snapToGrid w:val="0"/>
        <w:spacing w:before="120" w:beforeLines="50" w:line="400" w:lineRule="atLeast"/>
        <w:ind w:firstLine="354" w:firstLineChars="147"/>
        <w:jc w:val="left"/>
        <w:rPr>
          <w:rFonts w:ascii="宋体" w:hAnsi="宋体"/>
          <w:b/>
          <w:color w:val="0D0D0D"/>
          <w:sz w:val="24"/>
          <w:szCs w:val="20"/>
        </w:rPr>
      </w:pPr>
      <w:r>
        <w:rPr>
          <w:rFonts w:hint="eastAsia" w:ascii="宋体" w:hAnsi="宋体"/>
          <w:b/>
          <w:color w:val="0D0D0D"/>
          <w:sz w:val="24"/>
        </w:rPr>
        <w:t>（七）报价文件的包装、递交、修改和撤回</w:t>
      </w:r>
    </w:p>
    <w:p w14:paraId="0BD29BD7">
      <w:pPr>
        <w:snapToGrid w:val="0"/>
        <w:spacing w:line="360" w:lineRule="auto"/>
        <w:ind w:firstLine="480" w:firstLineChars="200"/>
        <w:jc w:val="left"/>
        <w:rPr>
          <w:rFonts w:ascii="宋体" w:hAnsi="宋体"/>
          <w:sz w:val="24"/>
        </w:rPr>
      </w:pPr>
      <w:r>
        <w:rPr>
          <w:rFonts w:hint="eastAsia" w:ascii="宋体" w:hAnsi="宋体"/>
          <w:sz w:val="24"/>
        </w:rPr>
        <w:t>1.本工程采用电子投标，无需纸质投标文件；</w:t>
      </w:r>
    </w:p>
    <w:p w14:paraId="137B6B03">
      <w:pPr>
        <w:snapToGrid w:val="0"/>
        <w:spacing w:line="360" w:lineRule="auto"/>
        <w:ind w:firstLine="480" w:firstLineChars="200"/>
        <w:jc w:val="left"/>
        <w:rPr>
          <w:rFonts w:ascii="宋体" w:hAnsi="宋体"/>
          <w:sz w:val="24"/>
        </w:rPr>
      </w:pPr>
      <w:r>
        <w:rPr>
          <w:rFonts w:hint="eastAsia" w:ascii="宋体" w:hAnsi="宋体"/>
          <w:sz w:val="24"/>
        </w:rPr>
        <w:t>2.投标人应在投标截止时间前上传投标文件。逾期上传的或者未上传指定系统的，视为投标文件未送达。</w:t>
      </w:r>
    </w:p>
    <w:p w14:paraId="16CC3332">
      <w:pPr>
        <w:snapToGrid w:val="0"/>
        <w:spacing w:line="360" w:lineRule="auto"/>
        <w:ind w:firstLine="480" w:firstLineChars="200"/>
        <w:jc w:val="left"/>
        <w:rPr>
          <w:rFonts w:ascii="宋体" w:hAnsi="宋体"/>
          <w:sz w:val="24"/>
        </w:rPr>
      </w:pPr>
      <w:r>
        <w:rPr>
          <w:rFonts w:hint="eastAsia" w:ascii="宋体" w:hAnsi="宋体"/>
          <w:sz w:val="24"/>
        </w:rPr>
        <w:t xml:space="preserve">3.在规定的投标截止时间前，投标人可以修改或撤回已递交的电子投标文件；修改好后重新上传加密电子投标文件。 </w:t>
      </w:r>
    </w:p>
    <w:p w14:paraId="33B9D7FC">
      <w:pPr>
        <w:snapToGrid w:val="0"/>
        <w:spacing w:line="360" w:lineRule="auto"/>
        <w:ind w:firstLine="480" w:firstLineChars="200"/>
        <w:jc w:val="left"/>
        <w:rPr>
          <w:rFonts w:ascii="宋体" w:hAnsi="宋体"/>
          <w:sz w:val="24"/>
        </w:rPr>
      </w:pPr>
      <w:r>
        <w:rPr>
          <w:rFonts w:hint="eastAsia" w:ascii="宋体" w:hAnsi="宋体"/>
          <w:sz w:val="24"/>
        </w:rPr>
        <w:t>4.在投标截止时间至投标有效期满之前，投标人不得撤回其投标文件，否则其投标担保将被没收。</w:t>
      </w:r>
    </w:p>
    <w:p w14:paraId="0E69F7C9">
      <w:pPr>
        <w:snapToGrid w:val="0"/>
        <w:spacing w:before="120" w:beforeLines="50" w:line="400" w:lineRule="atLeast"/>
        <w:ind w:firstLine="472" w:firstLineChars="196"/>
        <w:outlineLvl w:val="2"/>
        <w:rPr>
          <w:rFonts w:ascii="宋体" w:hAnsi="宋体"/>
          <w:b/>
          <w:color w:val="0D0D0D"/>
          <w:sz w:val="24"/>
          <w:szCs w:val="20"/>
        </w:rPr>
      </w:pPr>
      <w:r>
        <w:rPr>
          <w:rFonts w:hint="eastAsia" w:ascii="宋体" w:hAnsi="宋体"/>
          <w:b/>
          <w:color w:val="0D0D0D"/>
          <w:sz w:val="24"/>
        </w:rPr>
        <w:t>（八）投标无效的情形</w:t>
      </w:r>
    </w:p>
    <w:p w14:paraId="1C6603A0">
      <w:pPr>
        <w:snapToGrid w:val="0"/>
        <w:spacing w:line="400" w:lineRule="atLeast"/>
        <w:ind w:firstLine="480" w:firstLineChars="200"/>
        <w:rPr>
          <w:rFonts w:ascii="宋体" w:hAnsi="宋体"/>
          <w:bCs/>
          <w:color w:val="0D0D0D"/>
          <w:sz w:val="24"/>
          <w:szCs w:val="20"/>
        </w:rPr>
      </w:pPr>
      <w:r>
        <w:rPr>
          <w:rFonts w:hint="eastAsia" w:ascii="宋体" w:hAnsi="宋体"/>
          <w:bCs/>
          <w:color w:val="0D0D0D"/>
          <w:sz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报价文件必须以书面形式进行，并应在中标结果公告之前查核原件。限期内不补正或经补正后仍不符合招标文件要求的，应认定其投标无效。投标人修改、补正报价文件后，不影响评标委员会对其报价文件所作的评价和评分结果。</w:t>
      </w:r>
    </w:p>
    <w:p w14:paraId="77CAC971">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在符合性审查和商务评审时，如发现下列情形之一的，报价文件将被视为无效：</w:t>
      </w:r>
    </w:p>
    <w:p w14:paraId="303D3D51">
      <w:pPr>
        <w:snapToGrid w:val="0"/>
        <w:spacing w:line="360" w:lineRule="auto"/>
        <w:ind w:firstLine="480" w:firstLineChars="200"/>
        <w:rPr>
          <w:rFonts w:ascii="宋体" w:hAnsi="宋体"/>
          <w:bCs/>
          <w:sz w:val="24"/>
        </w:rPr>
      </w:pPr>
      <w:r>
        <w:rPr>
          <w:rFonts w:hint="eastAsia" w:ascii="宋体" w:hAnsi="宋体"/>
          <w:bCs/>
          <w:sz w:val="24"/>
        </w:rPr>
        <w:t>（1）未按照招标文件的规定提交投标保证金的；</w:t>
      </w:r>
    </w:p>
    <w:p w14:paraId="75E4159F">
      <w:pPr>
        <w:snapToGrid w:val="0"/>
        <w:spacing w:line="360" w:lineRule="auto"/>
        <w:ind w:firstLine="480" w:firstLineChars="200"/>
        <w:rPr>
          <w:rFonts w:ascii="宋体" w:hAnsi="宋体"/>
          <w:bCs/>
          <w:sz w:val="24"/>
        </w:rPr>
      </w:pPr>
      <w:r>
        <w:rPr>
          <w:rFonts w:hint="eastAsia" w:ascii="宋体" w:hAnsi="宋体"/>
          <w:bCs/>
          <w:sz w:val="24"/>
        </w:rPr>
        <w:t>（2）不具备招标文件中规定的资格要求的或资格证明文件不全的；</w:t>
      </w:r>
    </w:p>
    <w:p w14:paraId="6B860C7C">
      <w:pPr>
        <w:snapToGrid w:val="0"/>
        <w:spacing w:line="360" w:lineRule="auto"/>
        <w:ind w:firstLine="480" w:firstLineChars="200"/>
        <w:rPr>
          <w:rFonts w:ascii="宋体" w:hAnsi="宋体"/>
          <w:bCs/>
          <w:sz w:val="24"/>
        </w:rPr>
      </w:pPr>
      <w:r>
        <w:rPr>
          <w:rFonts w:hint="eastAsia" w:ascii="宋体" w:hAnsi="宋体"/>
          <w:bCs/>
          <w:sz w:val="24"/>
        </w:rPr>
        <w:t>（3）投标文件未按招标文件要求签署、盖章的；</w:t>
      </w:r>
    </w:p>
    <w:p w14:paraId="2162B953">
      <w:pPr>
        <w:snapToGrid w:val="0"/>
        <w:spacing w:line="360" w:lineRule="auto"/>
        <w:ind w:firstLine="480" w:firstLineChars="200"/>
        <w:rPr>
          <w:rFonts w:ascii="宋体" w:hAnsi="宋体"/>
          <w:bCs/>
          <w:sz w:val="24"/>
        </w:rPr>
      </w:pPr>
      <w:r>
        <w:rPr>
          <w:rFonts w:hint="eastAsia" w:ascii="宋体" w:hAnsi="宋体"/>
          <w:bCs/>
          <w:sz w:val="24"/>
        </w:rPr>
        <w:t xml:space="preserve">（4）投标代表人未能出具身份证明或与法定代表人授权委托人身份不符的； </w:t>
      </w:r>
    </w:p>
    <w:p w14:paraId="308AF877">
      <w:pPr>
        <w:snapToGrid w:val="0"/>
        <w:spacing w:line="360" w:lineRule="auto"/>
        <w:ind w:firstLine="480" w:firstLineChars="200"/>
        <w:rPr>
          <w:rFonts w:ascii="宋体" w:hAnsi="宋体"/>
          <w:bCs/>
          <w:sz w:val="24"/>
        </w:rPr>
      </w:pPr>
      <w:r>
        <w:rPr>
          <w:rFonts w:hint="eastAsia" w:ascii="宋体" w:hAnsi="宋体"/>
          <w:bCs/>
          <w:sz w:val="24"/>
        </w:rPr>
        <w:t>（5）投标文件组成不符合招标文件要求的；</w:t>
      </w:r>
    </w:p>
    <w:p w14:paraId="4287F431">
      <w:pPr>
        <w:snapToGrid w:val="0"/>
        <w:spacing w:line="360" w:lineRule="auto"/>
        <w:ind w:firstLine="480" w:firstLineChars="200"/>
        <w:rPr>
          <w:rFonts w:ascii="宋体" w:hAnsi="宋体"/>
          <w:bCs/>
          <w:sz w:val="24"/>
        </w:rPr>
      </w:pPr>
      <w:r>
        <w:rPr>
          <w:rFonts w:hint="eastAsia" w:ascii="宋体" w:hAnsi="宋体"/>
          <w:bCs/>
          <w:sz w:val="24"/>
        </w:rPr>
        <w:t>（6）投标文件格式不符合招标文件要求的；</w:t>
      </w:r>
    </w:p>
    <w:p w14:paraId="5862C8CE">
      <w:pPr>
        <w:snapToGrid w:val="0"/>
        <w:spacing w:line="360" w:lineRule="auto"/>
        <w:ind w:firstLine="480" w:firstLineChars="200"/>
        <w:rPr>
          <w:rFonts w:ascii="宋体" w:hAnsi="宋体"/>
          <w:bCs/>
          <w:sz w:val="24"/>
        </w:rPr>
      </w:pPr>
      <w:r>
        <w:rPr>
          <w:rFonts w:hint="eastAsia" w:ascii="宋体" w:hAnsi="宋体"/>
          <w:bCs/>
          <w:sz w:val="24"/>
        </w:rPr>
        <w:t>（7）投标文件的实质性内容未使用中文表述、意思表述不明确、前后矛盾或者使用计量单位不符合招标文件要求的（经评标委员会认定并允许其当场更正的笔误除外）</w:t>
      </w:r>
    </w:p>
    <w:p w14:paraId="62175CEC">
      <w:pPr>
        <w:snapToGrid w:val="0"/>
        <w:spacing w:line="360" w:lineRule="auto"/>
        <w:ind w:firstLine="480" w:firstLineChars="200"/>
        <w:rPr>
          <w:rFonts w:ascii="宋体" w:hAnsi="宋体"/>
          <w:bCs/>
          <w:sz w:val="24"/>
        </w:rPr>
      </w:pPr>
      <w:r>
        <w:rPr>
          <w:rFonts w:hint="eastAsia" w:ascii="宋体" w:hAnsi="宋体"/>
          <w:bCs/>
          <w:sz w:val="24"/>
        </w:rPr>
        <w:t>（8）投标有效期、服务时间等条款不能满足招标文件要求的；</w:t>
      </w:r>
    </w:p>
    <w:p w14:paraId="38593941">
      <w:pPr>
        <w:snapToGrid w:val="0"/>
        <w:spacing w:line="360" w:lineRule="auto"/>
        <w:ind w:firstLine="480" w:firstLineChars="200"/>
        <w:rPr>
          <w:rFonts w:ascii="宋体" w:hAnsi="宋体"/>
          <w:bCs/>
          <w:sz w:val="24"/>
        </w:rPr>
      </w:pPr>
      <w:r>
        <w:rPr>
          <w:rFonts w:hint="eastAsia" w:ascii="宋体" w:hAnsi="宋体"/>
          <w:bCs/>
          <w:sz w:val="24"/>
        </w:rPr>
        <w:t>（9）未实质性响应招标文件要求或者投标文件有采购人不能接受的附加条件的；</w:t>
      </w:r>
    </w:p>
    <w:p w14:paraId="283FDF7C">
      <w:pPr>
        <w:snapToGrid w:val="0"/>
        <w:spacing w:line="360" w:lineRule="auto"/>
        <w:ind w:firstLine="480" w:firstLineChars="200"/>
        <w:rPr>
          <w:rFonts w:ascii="宋体" w:hAnsi="宋体"/>
          <w:bCs/>
          <w:sz w:val="24"/>
        </w:rPr>
      </w:pPr>
      <w:r>
        <w:rPr>
          <w:rFonts w:hint="eastAsia" w:ascii="宋体" w:hAnsi="宋体"/>
          <w:bCs/>
          <w:sz w:val="24"/>
        </w:rPr>
        <w:t>（10）两家或两家以上投标单位的ip地址（或工程清单锁地址）相同，视为串标行为。</w:t>
      </w:r>
    </w:p>
    <w:p w14:paraId="3ABD52C2">
      <w:pPr>
        <w:snapToGrid w:val="0"/>
        <w:spacing w:line="360" w:lineRule="auto"/>
        <w:ind w:firstLine="480" w:firstLineChars="200"/>
        <w:rPr>
          <w:rFonts w:ascii="宋体" w:hAnsi="宋体"/>
          <w:bCs/>
          <w:sz w:val="24"/>
        </w:rPr>
      </w:pPr>
      <w:r>
        <w:rPr>
          <w:rFonts w:hint="eastAsia" w:ascii="宋体" w:hAnsi="宋体"/>
          <w:bCs/>
          <w:sz w:val="24"/>
        </w:rPr>
        <w:t>（11）法律法规或规章规定属无效标情形的。</w:t>
      </w:r>
    </w:p>
    <w:p w14:paraId="699BFF05">
      <w:pPr>
        <w:pStyle w:val="22"/>
        <w:snapToGrid w:val="0"/>
        <w:spacing w:line="400" w:lineRule="atLeast"/>
        <w:ind w:firstLine="457" w:firstLineChars="196"/>
        <w:rPr>
          <w:rFonts w:hAnsi="宋体"/>
          <w:b/>
          <w:bCs/>
          <w:color w:val="0D0D0D"/>
          <w:sz w:val="24"/>
        </w:rPr>
      </w:pPr>
      <w:r>
        <w:rPr>
          <w:rFonts w:hAnsi="宋体"/>
          <w:b/>
          <w:bCs/>
          <w:color w:val="0D0D0D"/>
          <w:sz w:val="24"/>
        </w:rPr>
        <w:t>2.在报价评审时，如发现下列情形之一的，报价文件将被视为无效：</w:t>
      </w:r>
    </w:p>
    <w:p w14:paraId="21A2FDDA">
      <w:pPr>
        <w:pStyle w:val="22"/>
        <w:snapToGrid w:val="0"/>
        <w:spacing w:line="400" w:lineRule="atLeast"/>
        <w:ind w:firstLine="454" w:firstLineChars="196"/>
        <w:rPr>
          <w:rFonts w:hAnsi="宋体"/>
          <w:color w:val="0D0D0D"/>
          <w:sz w:val="24"/>
        </w:rPr>
      </w:pPr>
      <w:r>
        <w:rPr>
          <w:rFonts w:hAnsi="宋体"/>
          <w:color w:val="0D0D0D"/>
          <w:sz w:val="24"/>
        </w:rPr>
        <w:t>（1）未采用人民币报价或者未按照招标文件标明的币种报价的；</w:t>
      </w:r>
    </w:p>
    <w:p w14:paraId="63F7A327">
      <w:pPr>
        <w:pStyle w:val="22"/>
        <w:snapToGrid w:val="0"/>
        <w:spacing w:line="400" w:lineRule="atLeast"/>
        <w:ind w:firstLine="464" w:firstLineChars="200"/>
        <w:rPr>
          <w:rFonts w:hAnsi="宋体"/>
          <w:color w:val="0D0D0D"/>
          <w:sz w:val="24"/>
        </w:rPr>
      </w:pPr>
      <w:r>
        <w:rPr>
          <w:rFonts w:hAnsi="宋体"/>
          <w:color w:val="0D0D0D"/>
          <w:sz w:val="24"/>
        </w:rPr>
        <w:t>（2）投标报价具有选择性，或者开标价格与投标文件承诺的优惠（折扣）价格不一致的；</w:t>
      </w:r>
    </w:p>
    <w:p w14:paraId="0B947492">
      <w:pPr>
        <w:pStyle w:val="22"/>
        <w:snapToGrid w:val="0"/>
        <w:spacing w:line="240" w:lineRule="auto"/>
        <w:ind w:firstLine="464" w:firstLineChars="200"/>
        <w:rPr>
          <w:rFonts w:hAnsi="宋体"/>
          <w:sz w:val="24"/>
        </w:rPr>
      </w:pPr>
      <w:r>
        <w:rPr>
          <w:rFonts w:hAnsi="宋体"/>
          <w:sz w:val="24"/>
        </w:rPr>
        <w:t>（3）投标报价不得超过单价最高限价</w:t>
      </w:r>
      <w:r>
        <w:rPr>
          <w:rFonts w:hint="eastAsia" w:hAnsi="宋体"/>
          <w:sz w:val="24"/>
        </w:rPr>
        <w:t>或</w:t>
      </w:r>
      <w:r>
        <w:rPr>
          <w:rFonts w:hAnsi="宋体"/>
          <w:sz w:val="24"/>
        </w:rPr>
        <w:t>总价最高限价，超过单价最高限价</w:t>
      </w:r>
      <w:r>
        <w:rPr>
          <w:rFonts w:hint="eastAsia" w:hAnsi="宋体"/>
          <w:sz w:val="24"/>
        </w:rPr>
        <w:t>或</w:t>
      </w:r>
      <w:r>
        <w:rPr>
          <w:rFonts w:hAnsi="宋体"/>
          <w:sz w:val="24"/>
        </w:rPr>
        <w:t>总价最高限价的报价为无效标。</w:t>
      </w:r>
    </w:p>
    <w:p w14:paraId="65C99216">
      <w:pPr>
        <w:pStyle w:val="22"/>
        <w:snapToGrid w:val="0"/>
        <w:spacing w:line="400" w:lineRule="atLeast"/>
        <w:ind w:firstLine="466" w:firstLineChars="200"/>
        <w:rPr>
          <w:rFonts w:hAnsi="宋体"/>
          <w:color w:val="0D0D0D"/>
          <w:sz w:val="24"/>
        </w:rPr>
      </w:pPr>
      <w:r>
        <w:rPr>
          <w:rFonts w:hAnsi="宋体"/>
          <w:b/>
          <w:bCs/>
          <w:color w:val="0D0D0D"/>
          <w:sz w:val="24"/>
        </w:rPr>
        <w:t>（</w:t>
      </w:r>
      <w:r>
        <w:rPr>
          <w:rFonts w:hint="eastAsia" w:hAnsi="宋体"/>
          <w:b/>
          <w:bCs/>
          <w:color w:val="0D0D0D"/>
          <w:sz w:val="24"/>
        </w:rPr>
        <w:t>4</w:t>
      </w:r>
      <w:r>
        <w:rPr>
          <w:rFonts w:hAnsi="宋体"/>
          <w:b/>
          <w:bCs/>
          <w:color w:val="0D0D0D"/>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r>
        <w:rPr>
          <w:rFonts w:hAnsi="宋体"/>
          <w:color w:val="0D0D0D"/>
          <w:sz w:val="24"/>
        </w:rPr>
        <w:t xml:space="preserve">                                                                                                         </w:t>
      </w:r>
    </w:p>
    <w:p w14:paraId="7CF6893A">
      <w:pPr>
        <w:pStyle w:val="22"/>
        <w:snapToGrid w:val="0"/>
        <w:spacing w:line="400" w:lineRule="atLeast"/>
        <w:ind w:firstLine="466" w:firstLineChars="200"/>
        <w:rPr>
          <w:rFonts w:hAnsi="宋体"/>
          <w:b/>
          <w:color w:val="0D0D0D"/>
          <w:sz w:val="24"/>
        </w:rPr>
      </w:pPr>
      <w:r>
        <w:rPr>
          <w:rFonts w:hAnsi="宋体"/>
          <w:b/>
          <w:color w:val="0D0D0D"/>
          <w:sz w:val="24"/>
        </w:rPr>
        <w:t>3.被拒绝的报价文件为无效。</w:t>
      </w:r>
    </w:p>
    <w:p w14:paraId="5705D628">
      <w:pPr>
        <w:pStyle w:val="29"/>
        <w:snapToGrid w:val="0"/>
        <w:spacing w:before="120" w:beforeLines="0" w:after="120" w:afterLines="0"/>
        <w:rPr>
          <w:rFonts w:hAnsi="宋体"/>
          <w:b/>
          <w:color w:val="0D0D0D"/>
          <w:sz w:val="30"/>
          <w:szCs w:val="30"/>
        </w:rPr>
      </w:pPr>
      <w:r>
        <w:rPr>
          <w:rFonts w:hAnsi="宋体"/>
          <w:b/>
          <w:color w:val="0D0D0D"/>
          <w:sz w:val="30"/>
          <w:szCs w:val="30"/>
        </w:rPr>
        <w:t>四、开标</w:t>
      </w:r>
    </w:p>
    <w:p w14:paraId="75B66F99">
      <w:pPr>
        <w:pStyle w:val="29"/>
        <w:snapToGrid w:val="0"/>
        <w:spacing w:beforeLines="0" w:afterLines="0"/>
        <w:ind w:firstLine="472" w:firstLineChars="196"/>
        <w:rPr>
          <w:rFonts w:hAnsi="宋体"/>
          <w:b/>
          <w:color w:val="0D0D0D"/>
        </w:rPr>
      </w:pPr>
      <w:r>
        <w:rPr>
          <w:rFonts w:hAnsi="宋体"/>
          <w:b/>
          <w:color w:val="0D0D0D"/>
        </w:rPr>
        <w:t>（一）开标准备</w:t>
      </w:r>
    </w:p>
    <w:p w14:paraId="7B760623">
      <w:pPr>
        <w:pStyle w:val="43"/>
        <w:widowControl w:val="0"/>
        <w:snapToGrid w:val="0"/>
        <w:spacing w:before="120" w:beforeLines="50" w:beforeAutospacing="0" w:after="0" w:afterAutospacing="0" w:line="360" w:lineRule="auto"/>
        <w:ind w:firstLine="480" w:firstLineChars="200"/>
        <w:jc w:val="both"/>
        <w:rPr>
          <w:bCs/>
          <w:color w:val="auto"/>
        </w:rPr>
      </w:pPr>
      <w:r>
        <w:rPr>
          <w:color w:val="auto"/>
          <w:szCs w:val="21"/>
        </w:rPr>
        <w:t>投标人代表一律不参加现场开标，通过在线直播参与监督开标过程。直播网络地址：</w:t>
      </w:r>
      <w:r>
        <w:fldChar w:fldCharType="begin"/>
      </w:r>
      <w:r>
        <w:instrText xml:space="preserve"> HYPERLINK "http://www.tzwztb.com/live/" </w:instrText>
      </w:r>
      <w:r>
        <w:fldChar w:fldCharType="separate"/>
      </w:r>
      <w:r>
        <w:rPr>
          <w:rStyle w:val="52"/>
          <w:color w:val="auto"/>
        </w:rPr>
        <w:t>http://www.tzwztb.com/live/</w:t>
      </w:r>
      <w:r>
        <w:rPr>
          <w:rStyle w:val="52"/>
          <w:color w:val="auto"/>
        </w:rPr>
        <w:fldChar w:fldCharType="end"/>
      </w:r>
      <w:r>
        <w:rPr>
          <w:color w:val="auto"/>
        </w:rPr>
        <w:t xml:space="preserve"> 。</w:t>
      </w:r>
    </w:p>
    <w:p w14:paraId="3002E28B">
      <w:pPr>
        <w:pStyle w:val="29"/>
        <w:snapToGrid w:val="0"/>
        <w:spacing w:beforeLines="0" w:afterLines="0"/>
        <w:ind w:firstLine="472" w:firstLineChars="196"/>
        <w:rPr>
          <w:rFonts w:hAnsi="宋体"/>
          <w:b/>
          <w:color w:val="0D0D0D"/>
        </w:rPr>
      </w:pPr>
      <w:r>
        <w:rPr>
          <w:rFonts w:hAnsi="宋体"/>
          <w:b/>
          <w:color w:val="0D0D0D"/>
        </w:rPr>
        <w:t>（二） 开标程序：</w:t>
      </w:r>
    </w:p>
    <w:p w14:paraId="1762706E">
      <w:pPr>
        <w:snapToGrid w:val="0"/>
        <w:spacing w:line="360" w:lineRule="auto"/>
        <w:ind w:firstLine="480" w:firstLineChars="200"/>
        <w:rPr>
          <w:rFonts w:ascii="宋体" w:hAnsi="宋体" w:cs="宋体"/>
          <w:sz w:val="24"/>
        </w:rPr>
      </w:pPr>
      <w:r>
        <w:rPr>
          <w:rFonts w:ascii="宋体" w:hAnsi="宋体" w:cs="宋体"/>
          <w:sz w:val="24"/>
        </w:rPr>
        <w:t>1、开标由采购代理机构工作人员主持</w:t>
      </w:r>
      <w:r>
        <w:rPr>
          <w:rFonts w:hint="eastAsia" w:ascii="宋体" w:hAnsi="宋体" w:cs="宋体"/>
          <w:sz w:val="24"/>
        </w:rPr>
        <w:t>。</w:t>
      </w:r>
    </w:p>
    <w:p w14:paraId="215932F6">
      <w:pPr>
        <w:snapToGrid w:val="0"/>
        <w:spacing w:line="360" w:lineRule="auto"/>
        <w:ind w:firstLine="480" w:firstLineChars="200"/>
        <w:rPr>
          <w:rFonts w:ascii="宋体" w:hAnsi="宋体" w:cs="宋体"/>
          <w:sz w:val="24"/>
        </w:rPr>
      </w:pPr>
      <w:r>
        <w:rPr>
          <w:rFonts w:ascii="宋体" w:hAnsi="宋体" w:cs="宋体"/>
          <w:sz w:val="24"/>
        </w:rPr>
        <w:t>2、投标人</w:t>
      </w:r>
      <w:r>
        <w:rPr>
          <w:rFonts w:hint="eastAsia" w:ascii="宋体" w:hAnsi="宋体" w:cs="宋体"/>
          <w:sz w:val="24"/>
        </w:rPr>
        <w:t>可</w:t>
      </w:r>
      <w:r>
        <w:rPr>
          <w:rFonts w:ascii="宋体" w:hAnsi="宋体" w:cs="宋体"/>
          <w:sz w:val="24"/>
        </w:rPr>
        <w:t>进行在线</w:t>
      </w:r>
      <w:r>
        <w:rPr>
          <w:rFonts w:hint="eastAsia" w:ascii="宋体" w:hAnsi="宋体" w:cs="宋体"/>
          <w:sz w:val="24"/>
        </w:rPr>
        <w:t>沟通</w:t>
      </w:r>
      <w:r>
        <w:rPr>
          <w:rFonts w:ascii="宋体" w:hAnsi="宋体" w:cs="宋体"/>
          <w:sz w:val="24"/>
        </w:rPr>
        <w:t>。</w:t>
      </w:r>
    </w:p>
    <w:p w14:paraId="36ACEAFF">
      <w:pPr>
        <w:snapToGrid w:val="0"/>
        <w:spacing w:line="360" w:lineRule="auto"/>
        <w:ind w:firstLine="480" w:firstLineChars="200"/>
        <w:rPr>
          <w:rFonts w:ascii="宋体" w:hAnsi="宋体" w:cs="宋体"/>
          <w:sz w:val="24"/>
        </w:rPr>
      </w:pPr>
      <w:r>
        <w:rPr>
          <w:rFonts w:ascii="宋体" w:hAnsi="宋体" w:cs="宋体"/>
          <w:sz w:val="24"/>
        </w:rPr>
        <w:t>3、采购人依法对</w:t>
      </w:r>
      <w:r>
        <w:rPr>
          <w:rFonts w:hint="eastAsia" w:ascii="宋体" w:hAnsi="宋体" w:cs="宋体"/>
          <w:sz w:val="24"/>
        </w:rPr>
        <w:t>商务标</w:t>
      </w:r>
      <w:r>
        <w:rPr>
          <w:rFonts w:ascii="宋体" w:hAnsi="宋体" w:cs="宋体"/>
          <w:sz w:val="24"/>
        </w:rPr>
        <w:t>进行审查，评标委员会对</w:t>
      </w:r>
      <w:r>
        <w:rPr>
          <w:rFonts w:hint="eastAsia" w:ascii="宋体" w:hAnsi="宋体" w:cs="宋体"/>
          <w:sz w:val="24"/>
        </w:rPr>
        <w:t>商务标</w:t>
      </w:r>
      <w:r>
        <w:rPr>
          <w:rFonts w:ascii="宋体" w:hAnsi="宋体" w:cs="宋体"/>
          <w:sz w:val="24"/>
        </w:rPr>
        <w:t>进行评审。</w:t>
      </w:r>
    </w:p>
    <w:p w14:paraId="7C3EA6B0">
      <w:pPr>
        <w:snapToGrid w:val="0"/>
        <w:spacing w:line="360" w:lineRule="auto"/>
        <w:ind w:firstLine="480" w:firstLineChars="200"/>
        <w:rPr>
          <w:rFonts w:ascii="宋体" w:hAnsi="宋体" w:cs="宋体"/>
          <w:sz w:val="24"/>
        </w:rPr>
      </w:pPr>
      <w:r>
        <w:rPr>
          <w:rFonts w:ascii="宋体" w:hAnsi="宋体" w:cs="宋体"/>
          <w:sz w:val="24"/>
        </w:rPr>
        <w:t>4、商务</w:t>
      </w:r>
      <w:r>
        <w:rPr>
          <w:rFonts w:hint="eastAsia" w:ascii="宋体" w:hAnsi="宋体" w:cs="宋体"/>
          <w:sz w:val="24"/>
        </w:rPr>
        <w:t>标</w:t>
      </w:r>
      <w:r>
        <w:rPr>
          <w:rFonts w:ascii="宋体" w:hAnsi="宋体" w:cs="宋体"/>
          <w:sz w:val="24"/>
        </w:rPr>
        <w:t>评审完成后，主持人宣告</w:t>
      </w:r>
      <w:r>
        <w:rPr>
          <w:rFonts w:hint="eastAsia" w:ascii="宋体" w:hAnsi="宋体" w:cs="宋体"/>
          <w:sz w:val="24"/>
        </w:rPr>
        <w:t>商务标</w:t>
      </w:r>
      <w:r>
        <w:rPr>
          <w:rFonts w:ascii="宋体" w:hAnsi="宋体" w:cs="宋体"/>
          <w:sz w:val="24"/>
        </w:rPr>
        <w:t>评审无效投标人名称及理由。</w:t>
      </w:r>
    </w:p>
    <w:p w14:paraId="09DE5D68">
      <w:pPr>
        <w:snapToGrid w:val="0"/>
        <w:spacing w:line="360" w:lineRule="auto"/>
        <w:ind w:firstLine="480" w:firstLineChars="200"/>
        <w:rPr>
          <w:rFonts w:ascii="宋体" w:hAnsi="宋体" w:cs="宋体"/>
          <w:sz w:val="24"/>
          <w:lang w:val="zh-CN"/>
        </w:rPr>
      </w:pPr>
      <w:r>
        <w:rPr>
          <w:rFonts w:hint="eastAsia" w:ascii="宋体" w:hAnsi="宋体" w:cs="宋体"/>
          <w:sz w:val="24"/>
        </w:rPr>
        <w:t>5</w:t>
      </w:r>
      <w:r>
        <w:rPr>
          <w:rFonts w:ascii="宋体" w:hAnsi="宋体" w:cs="宋体"/>
          <w:sz w:val="24"/>
        </w:rPr>
        <w:t>、当场制作并打印开标记录表，由唱标人、记录人、监督人当场签字确认。唱标结束后，由评标委员会对报价的合理性、准确性等进行审查核实。</w:t>
      </w:r>
    </w:p>
    <w:p w14:paraId="450F98A1">
      <w:pPr>
        <w:snapToGrid w:val="0"/>
        <w:spacing w:line="360" w:lineRule="auto"/>
        <w:ind w:firstLine="480" w:firstLineChars="200"/>
        <w:rPr>
          <w:rFonts w:ascii="宋体" w:hAnsi="宋体" w:cs="宋体"/>
          <w:sz w:val="24"/>
        </w:rPr>
      </w:pPr>
      <w:r>
        <w:rPr>
          <w:rFonts w:hint="eastAsia" w:ascii="宋体" w:hAnsi="宋体" w:cs="宋体"/>
          <w:sz w:val="24"/>
        </w:rPr>
        <w:t>6</w:t>
      </w:r>
      <w:r>
        <w:rPr>
          <w:rFonts w:ascii="宋体" w:hAnsi="宋体" w:cs="宋体"/>
          <w:sz w:val="24"/>
        </w:rPr>
        <w:t>、评标结束后，主持人公布投标报价以及推荐中标候选人排序名单。</w:t>
      </w:r>
    </w:p>
    <w:p w14:paraId="1C3E026C">
      <w:pPr>
        <w:snapToGrid w:val="0"/>
        <w:spacing w:line="360" w:lineRule="auto"/>
        <w:ind w:firstLine="480" w:firstLineChars="200"/>
        <w:rPr>
          <w:rFonts w:ascii="宋体" w:hAnsi="宋体" w:cs="宋体"/>
          <w:sz w:val="24"/>
        </w:rPr>
      </w:pPr>
      <w:r>
        <w:rPr>
          <w:rFonts w:hint="eastAsia" w:ascii="宋体" w:hAnsi="宋体" w:cs="宋体"/>
          <w:sz w:val="24"/>
        </w:rPr>
        <w:t>7</w:t>
      </w:r>
      <w:r>
        <w:rPr>
          <w:rFonts w:ascii="宋体" w:hAnsi="宋体" w:cs="宋体"/>
          <w:sz w:val="24"/>
        </w:rPr>
        <w:t>、开标会议结束。</w:t>
      </w:r>
    </w:p>
    <w:p w14:paraId="2114A42D">
      <w:pPr>
        <w:pStyle w:val="29"/>
        <w:spacing w:before="120" w:after="120" w:line="360" w:lineRule="auto"/>
        <w:ind w:firstLine="480" w:firstLineChars="200"/>
        <w:rPr>
          <w:rFonts w:hAnsi="宋体"/>
          <w:bCs/>
        </w:rPr>
      </w:pPr>
      <w:r>
        <w:rPr>
          <w:rFonts w:hint="eastAsia" w:hAnsi="宋体"/>
          <w:bCs/>
        </w:rPr>
        <w:t>8</w:t>
      </w:r>
      <w:r>
        <w:rPr>
          <w:rFonts w:hAnsi="宋体"/>
          <w:bCs/>
        </w:rPr>
        <w:t>、其他注意事项：</w:t>
      </w:r>
    </w:p>
    <w:p w14:paraId="45FBC980">
      <w:pPr>
        <w:pStyle w:val="29"/>
        <w:spacing w:before="120" w:after="120" w:line="360" w:lineRule="auto"/>
        <w:ind w:firstLine="540" w:firstLineChars="225"/>
        <w:rPr>
          <w:rFonts w:hAnsi="宋体"/>
          <w:bCs/>
        </w:rPr>
      </w:pPr>
      <w:r>
        <w:rPr>
          <w:rFonts w:hAnsi="宋体"/>
          <w:bCs/>
        </w:rPr>
        <w:t xml:space="preserve">1）、投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771F731D">
      <w:pPr>
        <w:pStyle w:val="29"/>
        <w:spacing w:before="120" w:after="120" w:line="360" w:lineRule="auto"/>
        <w:ind w:firstLine="540" w:firstLineChars="225"/>
        <w:rPr>
          <w:rFonts w:hAnsi="宋体"/>
          <w:bCs/>
        </w:rPr>
      </w:pPr>
      <w:r>
        <w:rPr>
          <w:rFonts w:hAnsi="宋体"/>
          <w:bCs/>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5B12A2A1">
      <w:pPr>
        <w:autoSpaceDE w:val="0"/>
        <w:autoSpaceDN w:val="0"/>
        <w:adjustRightInd w:val="0"/>
        <w:spacing w:line="360" w:lineRule="auto"/>
        <w:ind w:right="-14" w:firstLine="480" w:firstLineChars="200"/>
        <w:jc w:val="left"/>
        <w:rPr>
          <w:rFonts w:ascii="宋体" w:hAnsi="宋体"/>
          <w:b/>
          <w:sz w:val="24"/>
        </w:rPr>
      </w:pPr>
      <w:r>
        <w:rPr>
          <w:rFonts w:ascii="宋体" w:hAnsi="宋体"/>
          <w:bCs/>
          <w:sz w:val="24"/>
        </w:rPr>
        <w:t>3</w:t>
      </w:r>
      <w:r>
        <w:rPr>
          <w:rFonts w:hint="eastAsia" w:ascii="宋体" w:hAnsi="宋体"/>
          <w:bCs/>
          <w:sz w:val="24"/>
        </w:rPr>
        <w:t>)、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6C8E7B2B">
      <w:pPr>
        <w:autoSpaceDE w:val="0"/>
        <w:autoSpaceDN w:val="0"/>
        <w:adjustRightInd w:val="0"/>
        <w:spacing w:line="360" w:lineRule="auto"/>
        <w:ind w:right="-14"/>
        <w:jc w:val="left"/>
        <w:rPr>
          <w:rFonts w:ascii="宋体" w:hAnsi="宋体"/>
          <w:b/>
          <w:sz w:val="24"/>
        </w:rPr>
      </w:pPr>
      <w:r>
        <w:rPr>
          <w:rFonts w:hint="eastAsia" w:ascii="宋体" w:hAnsi="宋体"/>
          <w:b/>
          <w:sz w:val="24"/>
        </w:rPr>
        <w:t>重要事项说明：</w:t>
      </w:r>
    </w:p>
    <w:p w14:paraId="636F321A">
      <w:pPr>
        <w:autoSpaceDE w:val="0"/>
        <w:autoSpaceDN w:val="0"/>
        <w:adjustRightInd w:val="0"/>
        <w:spacing w:line="360" w:lineRule="auto"/>
        <w:ind w:right="-14" w:firstLine="240" w:firstLineChars="100"/>
        <w:jc w:val="left"/>
        <w:rPr>
          <w:rFonts w:ascii="宋体" w:hAnsi="宋体"/>
          <w:bCs/>
          <w:sz w:val="24"/>
        </w:rPr>
      </w:pPr>
      <w:r>
        <w:rPr>
          <w:rFonts w:hint="eastAsia" w:ascii="宋体" w:hAnsi="宋体"/>
          <w:bCs/>
          <w:sz w:val="24"/>
        </w:rPr>
        <w:t>（1）开标项目的时间均以国家授时中心发布的时间为准。</w:t>
      </w:r>
    </w:p>
    <w:p w14:paraId="2A434428">
      <w:pPr>
        <w:autoSpaceDE w:val="0"/>
        <w:autoSpaceDN w:val="0"/>
        <w:adjustRightInd w:val="0"/>
        <w:spacing w:line="360" w:lineRule="auto"/>
        <w:ind w:right="-14" w:firstLine="240" w:firstLineChars="100"/>
        <w:jc w:val="left"/>
        <w:rPr>
          <w:rFonts w:ascii="宋体" w:hAnsi="宋体"/>
          <w:bCs/>
          <w:sz w:val="24"/>
        </w:rPr>
      </w:pPr>
      <w:r>
        <w:rPr>
          <w:rFonts w:hint="eastAsia" w:ascii="宋体" w:hAnsi="宋体"/>
          <w:bCs/>
          <w:sz w:val="24"/>
        </w:rPr>
        <w:t>（2）若投标人已申请多把CA锁，请注意使用差别。因ca锁使用错误引发的问题，由投标人自己负责。</w:t>
      </w:r>
    </w:p>
    <w:p w14:paraId="3BBBA230">
      <w:pPr>
        <w:pStyle w:val="29"/>
        <w:spacing w:before="120" w:after="120" w:line="360" w:lineRule="auto"/>
        <w:ind w:firstLine="240" w:firstLineChars="100"/>
        <w:rPr>
          <w:rFonts w:hAnsi="宋体"/>
          <w:bCs/>
        </w:rPr>
      </w:pPr>
      <w:r>
        <w:rPr>
          <w:rFonts w:hAnsi="宋体"/>
          <w:bCs/>
        </w:rPr>
        <w:t>（3）如有疑问，请咨询平台技术服务电话：</w:t>
      </w:r>
      <w:r>
        <w:rPr>
          <w:rFonts w:hAnsi="宋体"/>
        </w:rPr>
        <w:t>蔡先生，13454667697；王女士，13757680207</w:t>
      </w:r>
      <w:r>
        <w:rPr>
          <w:rFonts w:hAnsi="宋体"/>
          <w:bCs/>
        </w:rPr>
        <w:t>。QQ “台州湾新区小额工程交易平台交流”（群号：435057190），进行业务咨询。此群也作为不见面开标的备用远程交互群。</w:t>
      </w:r>
    </w:p>
    <w:p w14:paraId="6692072E">
      <w:pPr>
        <w:autoSpaceDE w:val="0"/>
        <w:autoSpaceDN w:val="0"/>
        <w:adjustRightInd w:val="0"/>
        <w:spacing w:line="360" w:lineRule="auto"/>
        <w:ind w:right="-14" w:firstLine="241" w:firstLineChars="100"/>
        <w:jc w:val="left"/>
      </w:pPr>
      <w:r>
        <w:rPr>
          <w:rFonts w:hint="eastAsia" w:ascii="宋体" w:hAnsi="宋体"/>
          <w:b/>
          <w:sz w:val="24"/>
        </w:rPr>
        <w:t>（4）根据招标的情况，曾多次出现不同公司IP地址及工程清单锁相同等问题，请投标单位严格遵守招标纪律，请勿在同一IP地址下载招标文件、投标报名、上传投标文件、购买保函或参加投标活动，经平台检测认定IP地址重复的投标单位一律没收投标保证金。</w:t>
      </w:r>
    </w:p>
    <w:p w14:paraId="1D27912A">
      <w:pPr>
        <w:pStyle w:val="29"/>
        <w:snapToGrid w:val="0"/>
        <w:spacing w:before="120" w:beforeLines="0" w:after="120" w:afterLines="0"/>
        <w:rPr>
          <w:rFonts w:hAnsi="宋体"/>
          <w:b/>
          <w:color w:val="0D0D0D"/>
          <w:sz w:val="30"/>
          <w:szCs w:val="30"/>
        </w:rPr>
      </w:pPr>
      <w:r>
        <w:rPr>
          <w:rFonts w:hAnsi="宋体"/>
          <w:b/>
          <w:color w:val="0D0D0D"/>
          <w:sz w:val="30"/>
          <w:szCs w:val="30"/>
        </w:rPr>
        <w:t>五、评标</w:t>
      </w:r>
    </w:p>
    <w:p w14:paraId="6397DAC0">
      <w:pPr>
        <w:pStyle w:val="29"/>
        <w:snapToGrid w:val="0"/>
        <w:spacing w:beforeLines="0" w:afterLines="0"/>
        <w:ind w:left="876" w:leftChars="128" w:hanging="518" w:hangingChars="215"/>
        <w:rPr>
          <w:rFonts w:hAnsi="宋体"/>
          <w:b/>
          <w:color w:val="0D0D0D"/>
        </w:rPr>
      </w:pPr>
      <w:r>
        <w:rPr>
          <w:rFonts w:hAnsi="宋体"/>
          <w:b/>
          <w:color w:val="0D0D0D"/>
        </w:rPr>
        <w:t>（一）组建</w:t>
      </w:r>
      <w:r>
        <w:rPr>
          <w:rFonts w:hint="eastAsia" w:hAnsi="宋体"/>
          <w:b/>
          <w:color w:val="0D0D0D"/>
        </w:rPr>
        <w:t>评标委员会</w:t>
      </w:r>
    </w:p>
    <w:p w14:paraId="1BE55EEF">
      <w:pPr>
        <w:pStyle w:val="29"/>
        <w:snapToGrid w:val="0"/>
        <w:spacing w:beforeLines="0" w:afterLines="0"/>
        <w:ind w:firstLine="480" w:firstLineChars="200"/>
        <w:rPr>
          <w:rFonts w:hAnsi="宋体"/>
          <w:color w:val="0D0D0D"/>
        </w:rPr>
      </w:pPr>
      <w:r>
        <w:rPr>
          <w:rFonts w:hAnsi="宋体"/>
          <w:color w:val="0D0D0D"/>
        </w:rPr>
        <w:t>本项目</w:t>
      </w:r>
      <w:r>
        <w:rPr>
          <w:rFonts w:hint="eastAsia" w:hAnsi="宋体"/>
          <w:color w:val="0D0D0D"/>
        </w:rPr>
        <w:t>评标委员会</w:t>
      </w:r>
      <w:r>
        <w:rPr>
          <w:rFonts w:hAnsi="宋体"/>
          <w:color w:val="0D0D0D"/>
        </w:rPr>
        <w:t>由评审专家和采购人代表</w:t>
      </w:r>
      <w:r>
        <w:rPr>
          <w:rFonts w:hint="eastAsia" w:hAnsi="宋体"/>
          <w:color w:val="0D0D0D"/>
        </w:rPr>
        <w:t>（如有）</w:t>
      </w:r>
      <w:r>
        <w:rPr>
          <w:rFonts w:hAnsi="宋体"/>
          <w:color w:val="0D0D0D"/>
        </w:rPr>
        <w:t>组成。</w:t>
      </w:r>
    </w:p>
    <w:p w14:paraId="430F6AB8">
      <w:pPr>
        <w:pStyle w:val="29"/>
        <w:snapToGrid w:val="0"/>
        <w:spacing w:beforeLines="0" w:afterLines="0"/>
        <w:ind w:left="879" w:leftChars="129" w:hanging="518" w:hangingChars="215"/>
        <w:rPr>
          <w:rFonts w:hAnsi="宋体"/>
          <w:b/>
          <w:color w:val="0D0D0D"/>
        </w:rPr>
      </w:pPr>
      <w:r>
        <w:rPr>
          <w:rFonts w:hAnsi="宋体"/>
          <w:b/>
          <w:color w:val="0D0D0D"/>
        </w:rPr>
        <w:t>（二）评标的方式</w:t>
      </w:r>
    </w:p>
    <w:p w14:paraId="3274074D">
      <w:pPr>
        <w:pStyle w:val="29"/>
        <w:snapToGrid w:val="0"/>
        <w:spacing w:beforeLines="0" w:afterLines="0"/>
        <w:ind w:left="741" w:leftChars="179" w:hanging="240" w:hangingChars="100"/>
        <w:rPr>
          <w:rFonts w:hAnsi="宋体"/>
          <w:color w:val="0D0D0D"/>
        </w:rPr>
      </w:pPr>
      <w:r>
        <w:rPr>
          <w:rFonts w:hAnsi="宋体"/>
          <w:color w:val="0D0D0D"/>
        </w:rPr>
        <w:t>本项目采用不公开方式评标，评标的依据为</w:t>
      </w:r>
      <w:r>
        <w:rPr>
          <w:rFonts w:hint="eastAsia" w:hAnsi="宋体"/>
          <w:color w:val="0D0D0D"/>
        </w:rPr>
        <w:t>招标文件</w:t>
      </w:r>
      <w:r>
        <w:rPr>
          <w:rFonts w:hAnsi="宋体"/>
          <w:color w:val="0D0D0D"/>
        </w:rPr>
        <w:t>和报价文件。</w:t>
      </w:r>
    </w:p>
    <w:p w14:paraId="5761B2A0">
      <w:pPr>
        <w:pStyle w:val="29"/>
        <w:snapToGrid w:val="0"/>
        <w:spacing w:beforeLines="0" w:afterLines="0"/>
        <w:ind w:left="879" w:leftChars="129" w:hanging="518" w:hangingChars="215"/>
        <w:rPr>
          <w:rFonts w:hAnsi="宋体"/>
          <w:b/>
          <w:color w:val="0D0D0D"/>
        </w:rPr>
      </w:pPr>
      <w:r>
        <w:rPr>
          <w:rFonts w:hAnsi="宋体"/>
          <w:b/>
          <w:color w:val="0D0D0D"/>
        </w:rPr>
        <w:t>（三）</w:t>
      </w:r>
      <w:r>
        <w:rPr>
          <w:rFonts w:hAnsi="宋体"/>
          <w:b/>
          <w:bCs/>
          <w:color w:val="0D0D0D"/>
        </w:rPr>
        <w:t>评标程序</w:t>
      </w:r>
    </w:p>
    <w:p w14:paraId="6332274D">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1</w:t>
      </w:r>
      <w:r>
        <w:rPr>
          <w:rFonts w:hint="eastAsia" w:ascii="宋体" w:hAnsi="宋体"/>
          <w:b/>
          <w:bCs/>
          <w:color w:val="0D0D0D"/>
          <w:sz w:val="24"/>
        </w:rPr>
        <w:t>.</w:t>
      </w:r>
      <w:r>
        <w:rPr>
          <w:rFonts w:ascii="宋体" w:hAnsi="宋体"/>
          <w:b/>
          <w:bCs/>
          <w:color w:val="0D0D0D"/>
          <w:sz w:val="24"/>
        </w:rPr>
        <w:t>形式审查</w:t>
      </w:r>
    </w:p>
    <w:p w14:paraId="41418A81">
      <w:pPr>
        <w:snapToGrid w:val="0"/>
        <w:spacing w:line="400" w:lineRule="atLeast"/>
        <w:ind w:firstLine="480" w:firstLineChars="200"/>
        <w:rPr>
          <w:rFonts w:ascii="宋体" w:hAnsi="宋体"/>
          <w:b/>
          <w:color w:val="0D0D0D"/>
          <w:sz w:val="24"/>
          <w:szCs w:val="20"/>
        </w:rPr>
      </w:pPr>
      <w:r>
        <w:rPr>
          <w:rFonts w:hint="eastAsia" w:ascii="宋体" w:hAnsi="宋体"/>
          <w:color w:val="0D0D0D"/>
          <w:sz w:val="24"/>
        </w:rPr>
        <w:t>采购人代表和代理机构工作人员协助评标委员会对投标人的资格</w:t>
      </w:r>
      <w:r>
        <w:rPr>
          <w:rFonts w:ascii="宋体" w:hAnsi="宋体"/>
          <w:color w:val="0D0D0D"/>
          <w:sz w:val="24"/>
        </w:rPr>
        <w:t>和报价文件的完整性、合法性等进行审查。</w:t>
      </w:r>
    </w:p>
    <w:p w14:paraId="5E03687A">
      <w:pPr>
        <w:snapToGrid w:val="0"/>
        <w:spacing w:line="400" w:lineRule="atLeast"/>
        <w:ind w:firstLine="472" w:firstLineChars="196"/>
        <w:rPr>
          <w:rFonts w:ascii="宋体" w:hAnsi="宋体"/>
          <w:b/>
          <w:bCs/>
          <w:color w:val="0D0D0D"/>
          <w:sz w:val="24"/>
          <w:szCs w:val="20"/>
        </w:rPr>
      </w:pPr>
      <w:r>
        <w:rPr>
          <w:rFonts w:ascii="宋体" w:hAnsi="宋体"/>
          <w:b/>
          <w:bCs/>
          <w:color w:val="0D0D0D"/>
          <w:sz w:val="24"/>
        </w:rPr>
        <w:t>2</w:t>
      </w:r>
      <w:r>
        <w:rPr>
          <w:rFonts w:hint="eastAsia" w:ascii="宋体" w:hAnsi="宋体"/>
          <w:b/>
          <w:bCs/>
          <w:color w:val="0D0D0D"/>
          <w:sz w:val="24"/>
        </w:rPr>
        <w:t>.</w:t>
      </w:r>
      <w:r>
        <w:rPr>
          <w:rFonts w:ascii="宋体" w:hAnsi="宋体"/>
          <w:b/>
          <w:bCs/>
          <w:color w:val="0D0D0D"/>
          <w:sz w:val="24"/>
        </w:rPr>
        <w:t>实质审查与比较</w:t>
      </w:r>
    </w:p>
    <w:p w14:paraId="7E9ABDB8">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1）</w:t>
      </w:r>
      <w:r>
        <w:rPr>
          <w:rFonts w:hint="eastAsia" w:ascii="宋体" w:hAnsi="宋体"/>
          <w:color w:val="0D0D0D"/>
          <w:sz w:val="24"/>
        </w:rPr>
        <w:t>评标委员会</w:t>
      </w:r>
      <w:r>
        <w:rPr>
          <w:rFonts w:ascii="宋体" w:hAnsi="宋体"/>
          <w:color w:val="0D0D0D"/>
          <w:sz w:val="24"/>
        </w:rPr>
        <w:t>审查报价文件的实质性内容是否符合</w:t>
      </w:r>
      <w:r>
        <w:rPr>
          <w:rFonts w:hint="eastAsia" w:ascii="宋体" w:hAnsi="宋体"/>
          <w:color w:val="0D0D0D"/>
          <w:sz w:val="24"/>
        </w:rPr>
        <w:t>招标文件</w:t>
      </w:r>
      <w:r>
        <w:rPr>
          <w:rFonts w:ascii="宋体" w:hAnsi="宋体"/>
          <w:color w:val="0D0D0D"/>
          <w:sz w:val="24"/>
        </w:rPr>
        <w:t>的实质性要求。</w:t>
      </w:r>
    </w:p>
    <w:p w14:paraId="49D002E3">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2）</w:t>
      </w:r>
      <w:r>
        <w:rPr>
          <w:rFonts w:hint="eastAsia" w:ascii="宋体" w:hAnsi="宋体"/>
          <w:color w:val="0D0D0D"/>
          <w:sz w:val="24"/>
        </w:rPr>
        <w:t>评标委员会</w:t>
      </w:r>
      <w:r>
        <w:rPr>
          <w:rFonts w:ascii="宋体" w:hAnsi="宋体"/>
          <w:color w:val="0D0D0D"/>
          <w:sz w:val="24"/>
        </w:rPr>
        <w:t>将根据投标人的报价文件进行审查、核对,如有疑问,将对投标人进行询标,投标人要向</w:t>
      </w:r>
      <w:r>
        <w:rPr>
          <w:rFonts w:hint="eastAsia" w:ascii="宋体" w:hAnsi="宋体"/>
          <w:color w:val="0D0D0D"/>
          <w:sz w:val="24"/>
        </w:rPr>
        <w:t>评标委员会</w:t>
      </w:r>
      <w:r>
        <w:rPr>
          <w:rFonts w:ascii="宋体" w:hAnsi="宋体"/>
          <w:color w:val="0D0D0D"/>
          <w:sz w:val="24"/>
        </w:rPr>
        <w:t>澄清有关问题,并最终以书面形式进行答复。</w:t>
      </w:r>
      <w:r>
        <w:rPr>
          <w:rFonts w:hint="eastAsia" w:ascii="宋体" w:hAnsi="宋体"/>
          <w:color w:val="0D0D0D"/>
          <w:sz w:val="24"/>
        </w:rPr>
        <w:t>投标人代表未到场或者拒绝澄清或者澄清的内容改变了报价文件的实质性内容的，评标委员会有权对该报价文件作出不利于投标人的评判。</w:t>
      </w:r>
    </w:p>
    <w:p w14:paraId="087577D8">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w:t>
      </w:r>
      <w:r>
        <w:rPr>
          <w:rFonts w:ascii="宋体" w:hAnsi="宋体"/>
          <w:color w:val="0D0D0D"/>
          <w:sz w:val="24"/>
        </w:rPr>
        <w:t>3）</w:t>
      </w:r>
      <w:r>
        <w:rPr>
          <w:rFonts w:hint="eastAsia" w:ascii="宋体" w:hAnsi="宋体"/>
          <w:color w:val="0D0D0D"/>
          <w:sz w:val="24"/>
        </w:rPr>
        <w:t>代理机构工作人员协助评标委员会</w:t>
      </w:r>
      <w:r>
        <w:rPr>
          <w:rFonts w:ascii="宋体" w:hAnsi="宋体"/>
          <w:color w:val="0D0D0D"/>
          <w:sz w:val="24"/>
        </w:rPr>
        <w:t>根据</w:t>
      </w:r>
      <w:r>
        <w:rPr>
          <w:rFonts w:hint="eastAsia" w:ascii="宋体" w:hAnsi="宋体"/>
          <w:color w:val="0D0D0D"/>
          <w:sz w:val="24"/>
        </w:rPr>
        <w:t>本项目的评分标准</w:t>
      </w:r>
      <w:r>
        <w:rPr>
          <w:rFonts w:ascii="宋体" w:hAnsi="宋体"/>
          <w:color w:val="0D0D0D"/>
          <w:sz w:val="24"/>
        </w:rPr>
        <w:t>计算各投标人的商务报价得分</w:t>
      </w:r>
      <w:r>
        <w:rPr>
          <w:rFonts w:hint="eastAsia" w:ascii="宋体" w:hAnsi="宋体"/>
          <w:color w:val="0D0D0D"/>
          <w:sz w:val="24"/>
        </w:rPr>
        <w:t>。</w:t>
      </w:r>
    </w:p>
    <w:p w14:paraId="56E709F7">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（4</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完成评标后,评委对各部分得分汇总,</w:t>
      </w:r>
      <w:r>
        <w:rPr>
          <w:rFonts w:hint="eastAsia" w:ascii="宋体" w:hAnsi="宋体"/>
          <w:color w:val="0D0D0D"/>
          <w:sz w:val="24"/>
        </w:rPr>
        <w:t>计算</w:t>
      </w:r>
      <w:r>
        <w:rPr>
          <w:rFonts w:ascii="宋体" w:hAnsi="宋体"/>
          <w:color w:val="0D0D0D"/>
          <w:sz w:val="24"/>
        </w:rPr>
        <w:t>出本项目</w:t>
      </w:r>
      <w:r>
        <w:rPr>
          <w:rFonts w:hint="eastAsia" w:ascii="宋体" w:hAnsi="宋体"/>
          <w:color w:val="0D0D0D"/>
          <w:sz w:val="24"/>
        </w:rPr>
        <w:t>最终得分</w:t>
      </w:r>
      <w:r>
        <w:rPr>
          <w:rFonts w:ascii="宋体" w:hAnsi="宋体"/>
          <w:color w:val="0D0D0D"/>
          <w:sz w:val="24"/>
        </w:rPr>
        <w:t>。</w:t>
      </w:r>
      <w:r>
        <w:rPr>
          <w:rFonts w:hint="eastAsia" w:ascii="宋体" w:hAnsi="宋体"/>
          <w:color w:val="0D0D0D"/>
          <w:sz w:val="24"/>
        </w:rPr>
        <w:t>评标委员会</w:t>
      </w:r>
      <w:r>
        <w:rPr>
          <w:rFonts w:ascii="宋体" w:hAnsi="宋体"/>
          <w:color w:val="0D0D0D"/>
          <w:sz w:val="24"/>
        </w:rPr>
        <w:t>按评标原则推荐中标候选人同时起草评标报告。</w:t>
      </w:r>
    </w:p>
    <w:p w14:paraId="525FDA0C">
      <w:pPr>
        <w:snapToGrid w:val="0"/>
        <w:spacing w:line="400" w:lineRule="atLeast"/>
        <w:ind w:firstLine="359" w:firstLineChars="149"/>
        <w:rPr>
          <w:rFonts w:ascii="宋体" w:hAnsi="宋体"/>
          <w:b/>
          <w:color w:val="0D0D0D"/>
          <w:sz w:val="24"/>
          <w:szCs w:val="20"/>
        </w:rPr>
      </w:pPr>
      <w:r>
        <w:rPr>
          <w:rFonts w:hint="eastAsia" w:ascii="宋体" w:hAnsi="宋体"/>
          <w:b/>
          <w:color w:val="0D0D0D"/>
          <w:sz w:val="24"/>
        </w:rPr>
        <w:t>（四）澄清问题的形式</w:t>
      </w:r>
    </w:p>
    <w:p w14:paraId="448CF43B">
      <w:pPr>
        <w:snapToGrid w:val="0"/>
        <w:spacing w:line="400" w:lineRule="atLeast"/>
        <w:ind w:firstLine="480" w:firstLineChars="200"/>
        <w:rPr>
          <w:rFonts w:ascii="宋体" w:hAnsi="宋体"/>
          <w:color w:val="0D0D0D"/>
          <w:sz w:val="24"/>
          <w:szCs w:val="20"/>
        </w:rPr>
      </w:pPr>
      <w:r>
        <w:rPr>
          <w:rFonts w:hint="eastAsia" w:ascii="宋体" w:hAnsi="宋体"/>
          <w:color w:val="0D0D0D"/>
          <w:sz w:val="24"/>
        </w:rPr>
        <w:t>对报价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报价文件的范围或者改变报价文件的实质性内容。</w:t>
      </w:r>
    </w:p>
    <w:p w14:paraId="6F93BA51">
      <w:pPr>
        <w:pStyle w:val="29"/>
        <w:snapToGrid w:val="0"/>
        <w:spacing w:beforeLines="0" w:afterLines="0"/>
        <w:ind w:left="877" w:leftChars="129" w:hanging="516" w:hangingChars="214"/>
        <w:rPr>
          <w:rFonts w:hAnsi="宋体"/>
          <w:b/>
          <w:color w:val="0D0D0D"/>
        </w:rPr>
      </w:pPr>
      <w:r>
        <w:rPr>
          <w:rFonts w:hAnsi="宋体"/>
          <w:b/>
          <w:color w:val="0D0D0D"/>
        </w:rPr>
        <w:t>（五）错误修正</w:t>
      </w:r>
    </w:p>
    <w:p w14:paraId="55DF279B">
      <w:pPr>
        <w:pStyle w:val="29"/>
        <w:snapToGrid w:val="0"/>
        <w:spacing w:beforeLines="0" w:afterLines="0"/>
        <w:ind w:firstLine="480" w:firstLineChars="200"/>
        <w:rPr>
          <w:rFonts w:hAnsi="宋体"/>
          <w:color w:val="0D0D0D"/>
        </w:rPr>
      </w:pPr>
      <w:r>
        <w:rPr>
          <w:rFonts w:hAnsi="宋体"/>
          <w:color w:val="0D0D0D"/>
        </w:rPr>
        <w:t>报价文件如果出现计算或表达上的错误，修正错误的原则如下：</w:t>
      </w:r>
    </w:p>
    <w:p w14:paraId="3463A73D">
      <w:pPr>
        <w:pStyle w:val="29"/>
        <w:snapToGrid w:val="0"/>
        <w:spacing w:before="120" w:after="120" w:line="360" w:lineRule="exact"/>
        <w:ind w:firstLine="480" w:firstLineChars="200"/>
        <w:rPr>
          <w:rFonts w:hAnsi="宋体"/>
          <w:color w:val="0D0D0D"/>
        </w:rPr>
      </w:pPr>
      <w:r>
        <w:rPr>
          <w:rFonts w:hint="eastAsia" w:hAnsi="宋体"/>
          <w:color w:val="0D0D0D"/>
        </w:rPr>
        <w:t>1、“台州湾新区小额工程电子交易平台”上开启的投标报价或工期与电子投标文件中开标一览表（报价表）内容不一致的，以电子投标文件中开标一览表（报价表）为准；</w:t>
      </w:r>
    </w:p>
    <w:p w14:paraId="44A2A99F">
      <w:pPr>
        <w:snapToGrid w:val="0"/>
        <w:spacing w:line="360" w:lineRule="exact"/>
        <w:ind w:firstLine="480" w:firstLineChars="200"/>
        <w:rPr>
          <w:rFonts w:ascii="宋体" w:hAnsi="宋体"/>
          <w:color w:val="0D0D0D"/>
          <w:sz w:val="24"/>
        </w:rPr>
      </w:pPr>
      <w:r>
        <w:rPr>
          <w:rFonts w:hint="eastAsia" w:ascii="宋体" w:hAnsi="宋体"/>
          <w:color w:val="0D0D0D"/>
          <w:sz w:val="24"/>
        </w:rPr>
        <w:t>2、投标文件中开标一览表(报价表)内容与投标文件中相应内容不一致的，以开标一览表(报价表)为准；</w:t>
      </w:r>
    </w:p>
    <w:p w14:paraId="381828C3">
      <w:pPr>
        <w:snapToGrid w:val="0"/>
        <w:spacing w:line="360" w:lineRule="exact"/>
        <w:ind w:firstLine="480" w:firstLineChars="200"/>
        <w:rPr>
          <w:rFonts w:ascii="宋体" w:hAnsi="宋体"/>
          <w:color w:val="0D0D0D"/>
          <w:sz w:val="24"/>
        </w:rPr>
      </w:pPr>
      <w:r>
        <w:rPr>
          <w:rFonts w:hint="eastAsia" w:ascii="宋体" w:hAnsi="宋体"/>
          <w:color w:val="0D0D0D"/>
          <w:sz w:val="24"/>
        </w:rPr>
        <w:t>3、大写金额和小写金额不一致的，以大写金额为准；</w:t>
      </w:r>
    </w:p>
    <w:p w14:paraId="42C18F59">
      <w:pPr>
        <w:snapToGrid w:val="0"/>
        <w:spacing w:line="360" w:lineRule="exact"/>
        <w:ind w:firstLine="480" w:firstLineChars="200"/>
        <w:rPr>
          <w:rFonts w:ascii="宋体" w:hAnsi="宋体"/>
          <w:color w:val="0D0D0D"/>
          <w:sz w:val="24"/>
        </w:rPr>
      </w:pPr>
      <w:r>
        <w:rPr>
          <w:rFonts w:hint="eastAsia" w:ascii="宋体" w:hAnsi="宋体"/>
          <w:color w:val="0D0D0D"/>
          <w:sz w:val="24"/>
        </w:rPr>
        <w:t>4、单价金额小数点或者百分比有明显错位的，以开标一览表的总价为准，并修改单价；</w:t>
      </w:r>
    </w:p>
    <w:p w14:paraId="3452EBC7">
      <w:pPr>
        <w:snapToGrid w:val="0"/>
        <w:spacing w:line="360" w:lineRule="exact"/>
        <w:ind w:firstLine="480" w:firstLineChars="200"/>
        <w:rPr>
          <w:rFonts w:ascii="宋体" w:hAnsi="宋体"/>
          <w:color w:val="0D0D0D"/>
          <w:sz w:val="24"/>
        </w:rPr>
      </w:pPr>
      <w:r>
        <w:rPr>
          <w:rFonts w:hint="eastAsia" w:ascii="宋体" w:hAnsi="宋体"/>
          <w:color w:val="0D0D0D"/>
          <w:sz w:val="24"/>
        </w:rPr>
        <w:t>5、总价金额与按单价汇总金额不一致的，以总价金额为准，合理调整单价。</w:t>
      </w:r>
    </w:p>
    <w:p w14:paraId="7C8FD943">
      <w:pPr>
        <w:pStyle w:val="29"/>
        <w:snapToGrid w:val="0"/>
        <w:spacing w:beforeLines="0" w:afterLines="0"/>
        <w:ind w:firstLine="480" w:firstLineChars="200"/>
        <w:rPr>
          <w:rFonts w:hAnsi="宋体"/>
          <w:color w:val="0D0D0D"/>
        </w:rPr>
      </w:pPr>
      <w:r>
        <w:rPr>
          <w:rFonts w:hint="eastAsia" w:hAnsi="宋体"/>
          <w:color w:val="0D0D0D"/>
        </w:rPr>
        <w:t>6、对不同文字文本报价文件的解释发生异议的，以中文文本为准。</w:t>
      </w:r>
    </w:p>
    <w:p w14:paraId="239AD434">
      <w:pPr>
        <w:pStyle w:val="29"/>
        <w:snapToGrid w:val="0"/>
        <w:spacing w:beforeLines="0" w:afterLines="0"/>
        <w:ind w:firstLine="482" w:firstLineChars="200"/>
        <w:rPr>
          <w:rFonts w:hAnsi="宋体"/>
          <w:b/>
          <w:bCs/>
          <w:color w:val="0D0D0D"/>
        </w:rPr>
      </w:pPr>
      <w:r>
        <w:rPr>
          <w:rFonts w:hAnsi="宋体"/>
          <w:b/>
          <w:bCs/>
          <w:color w:val="0D0D0D"/>
        </w:rPr>
        <w:t>按上述修正错误的原则及方法调整或修正报价文件的投标报价，投标人同意并签字确认后，调整后的投标报价对投标人具有约束作用。如果投标人不接受修正后的报价，则其投标将作为无效投标处理。</w:t>
      </w:r>
    </w:p>
    <w:p w14:paraId="7E1E1CC5">
      <w:pPr>
        <w:autoSpaceDE w:val="0"/>
        <w:autoSpaceDN w:val="0"/>
        <w:adjustRightInd w:val="0"/>
        <w:spacing w:line="400" w:lineRule="atLeast"/>
        <w:ind w:firstLine="359" w:firstLineChars="149"/>
        <w:rPr>
          <w:rFonts w:ascii="宋体"/>
          <w:b/>
          <w:color w:val="0D0D0D"/>
          <w:kern w:val="0"/>
          <w:sz w:val="24"/>
        </w:rPr>
      </w:pPr>
      <w:r>
        <w:rPr>
          <w:rFonts w:hint="eastAsia" w:ascii="宋体"/>
          <w:b/>
          <w:color w:val="0D0D0D"/>
          <w:kern w:val="0"/>
          <w:sz w:val="24"/>
        </w:rPr>
        <w:t>（六）有下列情况之一的，本次招标作为废标处理，除采购任务取消外，由采购人重新组织招标：</w:t>
      </w:r>
    </w:p>
    <w:p w14:paraId="166E4CBA">
      <w:pPr>
        <w:snapToGrid w:val="0"/>
        <w:spacing w:line="360" w:lineRule="auto"/>
        <w:ind w:firstLine="480" w:firstLineChars="200"/>
        <w:rPr>
          <w:rFonts w:ascii="宋体" w:hAnsi="宋体"/>
          <w:color w:val="0C0C0C"/>
          <w:sz w:val="24"/>
        </w:rPr>
      </w:pPr>
      <w:r>
        <w:rPr>
          <w:rFonts w:hint="eastAsia" w:ascii="宋体" w:hAnsi="宋体"/>
          <w:color w:val="0C0C0C"/>
          <w:sz w:val="24"/>
        </w:rPr>
        <w:t>1、符合专业条件的投标人或者对招标文件作实质响应的投标人不足3家；</w:t>
      </w:r>
    </w:p>
    <w:p w14:paraId="595C9815">
      <w:pPr>
        <w:snapToGrid w:val="0"/>
        <w:spacing w:line="360" w:lineRule="auto"/>
        <w:ind w:firstLine="480" w:firstLineChars="200"/>
        <w:rPr>
          <w:rFonts w:ascii="宋体" w:hAnsi="宋体"/>
          <w:color w:val="0C0C0C"/>
          <w:sz w:val="24"/>
        </w:rPr>
      </w:pPr>
      <w:r>
        <w:rPr>
          <w:rFonts w:hint="eastAsia" w:ascii="宋体" w:hAnsi="宋体"/>
          <w:color w:val="0C0C0C"/>
          <w:sz w:val="24"/>
        </w:rPr>
        <w:t>2、出现影响采购公正的违法、违规行为的；</w:t>
      </w:r>
    </w:p>
    <w:p w14:paraId="3CAFBA51">
      <w:pPr>
        <w:snapToGrid w:val="0"/>
        <w:spacing w:line="360" w:lineRule="auto"/>
        <w:ind w:firstLine="480" w:firstLineChars="200"/>
        <w:rPr>
          <w:rFonts w:ascii="宋体" w:hAnsi="宋体"/>
          <w:color w:val="0C0C0C"/>
          <w:sz w:val="24"/>
        </w:rPr>
      </w:pPr>
      <w:r>
        <w:rPr>
          <w:rFonts w:hint="eastAsia" w:ascii="宋体" w:hAnsi="宋体"/>
          <w:color w:val="0C0C0C"/>
          <w:sz w:val="24"/>
        </w:rPr>
        <w:t>3、投标人的报价均超过了采购预算，采购人不能支付的；</w:t>
      </w:r>
    </w:p>
    <w:p w14:paraId="08D606A8">
      <w:pPr>
        <w:snapToGrid w:val="0"/>
        <w:spacing w:line="360" w:lineRule="auto"/>
        <w:ind w:firstLine="480" w:firstLineChars="200"/>
        <w:rPr>
          <w:rFonts w:ascii="宋体" w:hAnsi="宋体"/>
          <w:color w:val="0C0C0C"/>
          <w:sz w:val="24"/>
        </w:rPr>
      </w:pPr>
      <w:r>
        <w:rPr>
          <w:rFonts w:ascii="宋体" w:hAnsi="宋体"/>
          <w:color w:val="0C0C0C"/>
          <w:sz w:val="24"/>
        </w:rPr>
        <w:t>4、因重大变故，采购任务取消的。</w:t>
      </w:r>
    </w:p>
    <w:p w14:paraId="2A8CA645">
      <w:pPr>
        <w:pStyle w:val="29"/>
        <w:tabs>
          <w:tab w:val="left" w:pos="630"/>
        </w:tabs>
        <w:snapToGrid w:val="0"/>
        <w:spacing w:beforeLines="0" w:afterLines="0"/>
        <w:ind w:firstLine="359" w:firstLineChars="149"/>
        <w:rPr>
          <w:rFonts w:hAnsi="宋体"/>
          <w:b/>
          <w:color w:val="0D0D0D"/>
        </w:rPr>
      </w:pPr>
      <w:r>
        <w:rPr>
          <w:rFonts w:hAnsi="宋体"/>
          <w:b/>
          <w:color w:val="0D0D0D"/>
        </w:rPr>
        <w:t>（七）评标原则和评标办法</w:t>
      </w:r>
    </w:p>
    <w:p w14:paraId="21AD75C9">
      <w:pPr>
        <w:pStyle w:val="29"/>
        <w:snapToGrid w:val="0"/>
        <w:spacing w:beforeLines="0" w:afterLines="0"/>
        <w:ind w:firstLine="480" w:firstLineChars="200"/>
        <w:rPr>
          <w:rFonts w:hAnsi="宋体"/>
          <w:color w:val="0D0D0D"/>
        </w:rPr>
      </w:pPr>
      <w:r>
        <w:rPr>
          <w:rFonts w:hAnsi="宋体"/>
          <w:color w:val="0D0D0D"/>
        </w:rPr>
        <w:t>1、评标原则。</w:t>
      </w:r>
      <w:r>
        <w:rPr>
          <w:rFonts w:hint="eastAsia" w:hAnsi="宋体"/>
          <w:color w:val="0D0D0D"/>
        </w:rPr>
        <w:t>评标委员会</w:t>
      </w:r>
      <w:r>
        <w:rPr>
          <w:rFonts w:hAnsi="宋体"/>
          <w:color w:val="0D0D0D"/>
        </w:rPr>
        <w:t>必须公平、公正、客观，不带任何倾向性和启发性；不得向外界透露任何与评标有关的内容；任何单位和个人不得干扰、影响评标的正常进行；</w:t>
      </w:r>
      <w:r>
        <w:rPr>
          <w:rFonts w:hint="eastAsia" w:hAnsi="宋体"/>
          <w:color w:val="0D0D0D"/>
        </w:rPr>
        <w:t>评标委员会</w:t>
      </w:r>
      <w:r>
        <w:rPr>
          <w:rFonts w:hAnsi="宋体"/>
          <w:color w:val="0D0D0D"/>
        </w:rPr>
        <w:t>及有关工作人员不得私下与投标人接触。</w:t>
      </w:r>
    </w:p>
    <w:p w14:paraId="2D1E19DB">
      <w:pPr>
        <w:pStyle w:val="29"/>
        <w:snapToGrid w:val="0"/>
        <w:spacing w:beforeLines="0" w:afterLines="0"/>
        <w:ind w:firstLine="480" w:firstLineChars="200"/>
        <w:rPr>
          <w:rFonts w:hAnsi="宋体"/>
          <w:color w:val="0D0D0D"/>
        </w:rPr>
      </w:pPr>
      <w:r>
        <w:rPr>
          <w:rFonts w:hAnsi="宋体"/>
          <w:color w:val="0D0D0D"/>
        </w:rPr>
        <w:t>2、评标办法。具体评标内容及评分标准等详见《第四章：评标办法及评分标准》。</w:t>
      </w:r>
    </w:p>
    <w:p w14:paraId="37CE97CE">
      <w:pPr>
        <w:pStyle w:val="29"/>
        <w:snapToGrid w:val="0"/>
        <w:spacing w:beforeLines="0" w:afterLines="0"/>
        <w:ind w:firstLine="359" w:firstLineChars="149"/>
        <w:rPr>
          <w:rFonts w:hAnsi="宋体"/>
          <w:b/>
          <w:color w:val="0D0D0D"/>
        </w:rPr>
      </w:pPr>
      <w:r>
        <w:rPr>
          <w:rFonts w:hAnsi="宋体"/>
          <w:b/>
          <w:color w:val="0D0D0D"/>
        </w:rPr>
        <w:t>（八）评标过程的监控</w:t>
      </w:r>
    </w:p>
    <w:p w14:paraId="27D742F4">
      <w:pPr>
        <w:pStyle w:val="29"/>
        <w:snapToGrid w:val="0"/>
        <w:spacing w:beforeLines="0" w:afterLines="0"/>
        <w:ind w:firstLine="480" w:firstLineChars="200"/>
        <w:rPr>
          <w:rFonts w:hAnsi="宋体"/>
          <w:color w:val="0D0D0D"/>
        </w:rPr>
      </w:pPr>
      <w:r>
        <w:rPr>
          <w:rFonts w:hAnsi="宋体"/>
          <w:color w:val="0D0D0D"/>
        </w:rPr>
        <w:t>本项目评标过程实行全程录音、录像监控（或请监管部门进行现场监督），投标人在评标过程中所进行的试图影响评标结果的不公正活动，可能导致其投标被拒绝。</w:t>
      </w:r>
    </w:p>
    <w:p w14:paraId="0224906E">
      <w:pPr>
        <w:pStyle w:val="29"/>
        <w:snapToGrid w:val="0"/>
        <w:spacing w:before="120" w:beforeLines="0" w:after="120" w:afterLines="0"/>
        <w:rPr>
          <w:rFonts w:hAnsi="宋体"/>
          <w:b/>
          <w:color w:val="0D0D0D"/>
          <w:sz w:val="30"/>
          <w:szCs w:val="30"/>
        </w:rPr>
      </w:pPr>
      <w:r>
        <w:rPr>
          <w:rFonts w:hAnsi="宋体"/>
          <w:b/>
          <w:color w:val="0D0D0D"/>
          <w:sz w:val="30"/>
          <w:szCs w:val="30"/>
        </w:rPr>
        <w:t>六、定标</w:t>
      </w:r>
    </w:p>
    <w:p w14:paraId="69366EDA">
      <w:pPr>
        <w:pStyle w:val="29"/>
        <w:snapToGrid w:val="0"/>
        <w:spacing w:beforeLines="0" w:afterLines="0"/>
        <w:ind w:firstLine="472" w:firstLineChars="196"/>
        <w:rPr>
          <w:rFonts w:hAnsi="宋体"/>
          <w:b/>
          <w:bCs/>
          <w:color w:val="0D0D0D"/>
          <w:szCs w:val="20"/>
        </w:rPr>
      </w:pPr>
      <w:r>
        <w:rPr>
          <w:rFonts w:hAnsi="宋体"/>
          <w:b/>
          <w:bCs/>
          <w:color w:val="0D0D0D"/>
        </w:rPr>
        <w:t>（一）确定中标人。</w:t>
      </w:r>
    </w:p>
    <w:p w14:paraId="1755F474">
      <w:pPr>
        <w:pStyle w:val="29"/>
        <w:snapToGrid w:val="0"/>
        <w:spacing w:before="120" w:beforeLines="0" w:after="120" w:afterLines="0"/>
        <w:ind w:firstLine="470" w:firstLineChars="196"/>
        <w:outlineLvl w:val="1"/>
        <w:rPr>
          <w:rFonts w:hAnsi="宋体" w:cs="宋体"/>
        </w:rPr>
      </w:pPr>
      <w:r>
        <w:rPr>
          <w:rFonts w:hAnsi="宋体" w:cs="宋体"/>
        </w:rPr>
        <w:t>国有资金占控股或者主导地位的依法必须进行招标的项目，招标人应当确定排名第一的中标候选人为中标人。排名第一的中标候选人放弃中标、因不可抗力不能 履行合同、不按照招标文件要求提交履约保证金，或者被查 实存在影响中标结果的违法行为等情形，不符合中标条件的，招标人可以按照评标委员会提出的中标候选人名单排序依次确定其他中标候选人为中标人，也可以重新招标。</w:t>
      </w:r>
    </w:p>
    <w:p w14:paraId="3F300E54">
      <w:pPr>
        <w:pStyle w:val="29"/>
        <w:snapToGrid w:val="0"/>
        <w:spacing w:before="120" w:beforeLines="0" w:after="120" w:afterLines="0"/>
        <w:rPr>
          <w:rFonts w:hAnsi="宋体"/>
          <w:b/>
          <w:color w:val="0D0D0D"/>
          <w:sz w:val="30"/>
          <w:szCs w:val="30"/>
        </w:rPr>
      </w:pPr>
      <w:r>
        <w:rPr>
          <w:rFonts w:hAnsi="宋体"/>
          <w:b/>
          <w:color w:val="0D0D0D"/>
          <w:sz w:val="30"/>
          <w:szCs w:val="30"/>
        </w:rPr>
        <w:t>七、合同授予</w:t>
      </w:r>
    </w:p>
    <w:p w14:paraId="2B5FF709">
      <w:pPr>
        <w:snapToGrid w:val="0"/>
        <w:spacing w:line="400" w:lineRule="atLeast"/>
        <w:ind w:firstLine="472" w:firstLineChars="196"/>
        <w:rPr>
          <w:rFonts w:ascii="宋体" w:hAnsi="宋体"/>
          <w:b/>
          <w:bCs/>
          <w:color w:val="0D0D0D"/>
          <w:sz w:val="24"/>
          <w:szCs w:val="20"/>
        </w:rPr>
      </w:pPr>
      <w:r>
        <w:rPr>
          <w:rFonts w:hint="eastAsia" w:ascii="宋体" w:hAnsi="宋体"/>
          <w:b/>
          <w:bCs/>
          <w:color w:val="0D0D0D"/>
          <w:sz w:val="24"/>
        </w:rPr>
        <w:t>（一）签订合同</w:t>
      </w:r>
    </w:p>
    <w:p w14:paraId="52CE1D17">
      <w:pPr>
        <w:snapToGrid w:val="0"/>
        <w:ind w:firstLine="480" w:firstLineChars="200"/>
        <w:rPr>
          <w:rFonts w:ascii="宋体" w:hAnsi="宋体"/>
          <w:sz w:val="24"/>
          <w:szCs w:val="20"/>
        </w:rPr>
      </w:pPr>
      <w:r>
        <w:rPr>
          <w:rFonts w:ascii="宋体" w:hAnsi="宋体"/>
          <w:sz w:val="24"/>
        </w:rPr>
        <w:t>1</w:t>
      </w:r>
      <w:r>
        <w:rPr>
          <w:rFonts w:hint="eastAsia" w:ascii="宋体" w:hAnsi="宋体"/>
          <w:sz w:val="24"/>
        </w:rPr>
        <w:t>.采购人与成交供应商</w:t>
      </w:r>
      <w:r>
        <w:rPr>
          <w:rFonts w:ascii="宋体" w:hAnsi="宋体"/>
          <w:sz w:val="24"/>
        </w:rPr>
        <w:t>应</w:t>
      </w:r>
      <w:r>
        <w:rPr>
          <w:rFonts w:hint="eastAsia" w:ascii="宋体" w:hAnsi="宋体"/>
          <w:sz w:val="24"/>
        </w:rPr>
        <w:t>当在《</w:t>
      </w:r>
      <w:r>
        <w:rPr>
          <w:rFonts w:ascii="宋体" w:hAnsi="宋体"/>
          <w:sz w:val="24"/>
        </w:rPr>
        <w:t>中标通知书</w:t>
      </w:r>
      <w:r>
        <w:rPr>
          <w:rFonts w:hint="eastAsia" w:ascii="宋体" w:hAnsi="宋体"/>
          <w:sz w:val="24"/>
        </w:rPr>
        <w:t>》发出之日起15日内签订合同。同时，采购代理机构对合同内容进行审查，如发现与采购结果和投标承诺内容不一致的，应予以纠正。</w:t>
      </w:r>
    </w:p>
    <w:p w14:paraId="2C0F1139">
      <w:pPr>
        <w:snapToGrid w:val="0"/>
        <w:ind w:firstLine="480" w:firstLineChars="200"/>
        <w:rPr>
          <w:rFonts w:ascii="宋体" w:hAnsi="宋体"/>
          <w:sz w:val="24"/>
          <w:szCs w:val="20"/>
        </w:rPr>
      </w:pPr>
      <w:r>
        <w:rPr>
          <w:rFonts w:ascii="宋体" w:hAnsi="宋体"/>
          <w:sz w:val="24"/>
        </w:rPr>
        <w:t>2</w:t>
      </w:r>
      <w:r>
        <w:rPr>
          <w:rFonts w:hint="eastAsia" w:ascii="宋体" w:hAnsi="宋体"/>
          <w:sz w:val="24"/>
        </w:rPr>
        <w:t>.成交供应商</w:t>
      </w:r>
      <w:r>
        <w:rPr>
          <w:rFonts w:ascii="宋体" w:hAnsi="宋体"/>
          <w:sz w:val="24"/>
        </w:rPr>
        <w:t>拖延、拒签合同的,将被扣罚投标保证金并取消中标资格。</w:t>
      </w:r>
    </w:p>
    <w:p w14:paraId="0935D9DD">
      <w:pPr>
        <w:pStyle w:val="29"/>
        <w:snapToGrid w:val="0"/>
        <w:spacing w:beforeLines="0" w:afterLines="0"/>
        <w:ind w:firstLine="472" w:firstLineChars="196"/>
        <w:rPr>
          <w:rFonts w:hAnsi="宋体"/>
          <w:b/>
          <w:color w:val="0D0D0D"/>
        </w:rPr>
      </w:pPr>
      <w:r>
        <w:rPr>
          <w:rFonts w:hAnsi="宋体"/>
          <w:b/>
          <w:color w:val="0D0D0D"/>
        </w:rPr>
        <w:t>（二）履约保证金</w:t>
      </w:r>
    </w:p>
    <w:p w14:paraId="7A6B5589">
      <w:pPr>
        <w:pStyle w:val="29"/>
        <w:snapToGrid w:val="0"/>
        <w:spacing w:before="120" w:after="120" w:line="360" w:lineRule="exact"/>
        <w:ind w:firstLine="480" w:firstLineChars="200"/>
        <w:rPr>
          <w:rFonts w:hAnsi="宋体"/>
          <w:color w:val="0C0C0C"/>
        </w:rPr>
      </w:pPr>
      <w:r>
        <w:rPr>
          <w:rFonts w:hAnsi="宋体"/>
          <w:color w:val="0C0C0C"/>
        </w:rPr>
        <w:t>1.签订合同前，中标人应按招标文件确定的履约保证金的金额，向采购人交纳履约保证金，否则，采购人将没收中标人的全部投标保证金。</w:t>
      </w:r>
    </w:p>
    <w:p w14:paraId="5AC81E3C">
      <w:pPr>
        <w:pStyle w:val="29"/>
        <w:snapToGrid w:val="0"/>
        <w:spacing w:before="120" w:after="120" w:line="360" w:lineRule="exact"/>
        <w:ind w:firstLine="480" w:firstLineChars="200"/>
        <w:rPr>
          <w:rFonts w:hAnsi="宋体"/>
          <w:color w:val="0C0C0C"/>
        </w:rPr>
      </w:pPr>
      <w:r>
        <w:rPr>
          <w:rFonts w:hAnsi="宋体"/>
          <w:color w:val="0C0C0C"/>
        </w:rPr>
        <w:t>2.签订合同后，如中标人不按双方合同约定履约，则没收其全部履约保证金，履约保证金不足以赔偿损失的，按实际损失赔偿。</w:t>
      </w:r>
    </w:p>
    <w:p w14:paraId="250F8DBE">
      <w:pPr>
        <w:pStyle w:val="29"/>
        <w:snapToGrid w:val="0"/>
        <w:spacing w:before="120" w:beforeLines="0" w:after="120" w:afterLines="0" w:line="240" w:lineRule="auto"/>
        <w:rPr>
          <w:color w:val="0D0D0D"/>
        </w:rPr>
      </w:pPr>
      <w:r>
        <w:rPr>
          <w:color w:val="0D0D0D"/>
        </w:rPr>
        <w:br w:type="page"/>
      </w:r>
    </w:p>
    <w:p w14:paraId="51E8874C">
      <w:pPr>
        <w:pStyle w:val="29"/>
        <w:snapToGrid w:val="0"/>
        <w:spacing w:before="120" w:beforeLines="0" w:after="120" w:afterLines="0" w:line="240" w:lineRule="auto"/>
        <w:jc w:val="center"/>
        <w:outlineLvl w:val="0"/>
        <w:rPr>
          <w:b/>
          <w:color w:val="0D0D0D"/>
          <w:sz w:val="30"/>
          <w:szCs w:val="30"/>
        </w:rPr>
      </w:pPr>
      <w:r>
        <w:rPr>
          <w:b/>
          <w:color w:val="0D0D0D"/>
          <w:sz w:val="30"/>
          <w:szCs w:val="30"/>
        </w:rPr>
        <w:t>第四章  评标办法及评分标准</w:t>
      </w:r>
    </w:p>
    <w:p w14:paraId="1D90F2E9">
      <w:pPr>
        <w:spacing w:before="120" w:beforeLines="50" w:after="120" w:afterLines="50" w:line="360" w:lineRule="auto"/>
        <w:ind w:firstLine="420"/>
        <w:rPr>
          <w:rFonts w:ascii="宋体" w:hAnsi="宋体" w:cs="宋体"/>
          <w:color w:val="0D0D0D"/>
          <w:sz w:val="24"/>
        </w:rPr>
      </w:pPr>
      <w:r>
        <w:rPr>
          <w:rFonts w:hint="eastAsia" w:ascii="宋体" w:hAnsi="宋体" w:cs="宋体"/>
          <w:color w:val="0D0D0D"/>
          <w:sz w:val="24"/>
        </w:rPr>
        <w:t>为公正、公平、科学地选择中标人，根据《中华人民共和国</w:t>
      </w:r>
      <w:r>
        <w:rPr>
          <w:rFonts w:hint="eastAsia"/>
          <w:color w:val="0D0D0D"/>
          <w:sz w:val="24"/>
        </w:rPr>
        <w:t>招标投标法</w:t>
      </w:r>
      <w:r>
        <w:rPr>
          <w:rFonts w:hint="eastAsia" w:ascii="宋体" w:hAnsi="宋体" w:cs="宋体"/>
          <w:color w:val="0D0D0D"/>
          <w:sz w:val="24"/>
        </w:rPr>
        <w:t>》等有关法律法规的规定，并结合本项目的实际，制定本办法。</w:t>
      </w:r>
    </w:p>
    <w:p w14:paraId="4E2D9F6B">
      <w:pPr>
        <w:spacing w:before="120" w:beforeLines="50" w:after="120" w:afterLines="50" w:line="360" w:lineRule="auto"/>
        <w:rPr>
          <w:rFonts w:ascii="宋体" w:hAnsi="宋体" w:cs="宋体"/>
          <w:b/>
          <w:color w:val="0D0D0D"/>
          <w:sz w:val="24"/>
        </w:rPr>
      </w:pPr>
      <w:r>
        <w:rPr>
          <w:rFonts w:hint="eastAsia" w:ascii="宋体" w:hAnsi="宋体" w:cs="宋体"/>
          <w:b/>
          <w:color w:val="0D0D0D"/>
          <w:sz w:val="24"/>
        </w:rPr>
        <w:t>一、总则</w:t>
      </w:r>
    </w:p>
    <w:p w14:paraId="53FCA506">
      <w:pPr>
        <w:spacing w:after="120" w:afterLines="50" w:line="360" w:lineRule="auto"/>
        <w:ind w:firstLine="480" w:firstLineChars="200"/>
        <w:rPr>
          <w:rFonts w:ascii="宋体" w:hAnsi="宋体" w:cs="宋体"/>
          <w:color w:val="0D0D0D"/>
          <w:sz w:val="24"/>
        </w:rPr>
      </w:pPr>
      <w:r>
        <w:rPr>
          <w:rFonts w:hint="eastAsia" w:ascii="宋体" w:hAnsi="宋体" w:cs="宋体"/>
          <w:color w:val="0D0D0D"/>
          <w:sz w:val="24"/>
        </w:rPr>
        <w:t>评标工作应遵循公开、公平、公正、科学、择优原则，科学、严谨的态度，认真进行评标，推进技术进步，确保工程质量、交货期，节约投资，最大限度的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4C68A910">
      <w:pPr>
        <w:spacing w:before="120" w:beforeLines="50" w:after="120" w:afterLines="50" w:line="360" w:lineRule="auto"/>
        <w:rPr>
          <w:rFonts w:ascii="宋体" w:hAnsi="宋体" w:cs="宋体"/>
          <w:b/>
          <w:color w:val="0D0D0D"/>
          <w:sz w:val="24"/>
        </w:rPr>
      </w:pPr>
      <w:r>
        <w:rPr>
          <w:rFonts w:hint="eastAsia" w:ascii="宋体" w:hAnsi="宋体" w:cs="宋体"/>
          <w:b/>
          <w:color w:val="0D0D0D"/>
          <w:sz w:val="24"/>
        </w:rPr>
        <w:t>二、评标内容及标准</w:t>
      </w:r>
    </w:p>
    <w:p w14:paraId="7B99D018">
      <w:pPr>
        <w:spacing w:line="360" w:lineRule="auto"/>
        <w:ind w:firstLine="480" w:firstLineChars="200"/>
        <w:rPr>
          <w:sz w:val="24"/>
        </w:rPr>
      </w:pPr>
      <w:r>
        <w:rPr>
          <w:rFonts w:hint="eastAsia"/>
          <w:sz w:val="24"/>
        </w:rPr>
        <w:t>（一）评标标底价的确定。（以元为单位，保留整数）</w:t>
      </w:r>
    </w:p>
    <w:p w14:paraId="08A710B6">
      <w:pPr>
        <w:spacing w:line="360" w:lineRule="auto"/>
        <w:ind w:firstLine="480" w:firstLineChars="200"/>
        <w:rPr>
          <w:sz w:val="24"/>
        </w:rPr>
      </w:pPr>
      <w:r>
        <w:rPr>
          <w:rFonts w:hint="eastAsia"/>
          <w:sz w:val="24"/>
        </w:rPr>
        <w:t>a、若有效投标人≥9家，则去掉30%家最高和20%家最低的有效报价，再取余下有效报价的算术平均值后作为评标标底价。</w:t>
      </w:r>
    </w:p>
    <w:p w14:paraId="11FB3AF3">
      <w:pPr>
        <w:spacing w:line="360" w:lineRule="auto"/>
        <w:ind w:firstLine="480" w:firstLineChars="200"/>
        <w:rPr>
          <w:sz w:val="24"/>
        </w:rPr>
      </w:pPr>
      <w:r>
        <w:rPr>
          <w:rFonts w:hint="eastAsia"/>
          <w:sz w:val="24"/>
        </w:rPr>
        <w:t>b、若有效投标人5≤A≤8家，则去掉两家最高和一家最低的有效报价，再取余下有效报价的算术平均值后作为评标标底价。</w:t>
      </w:r>
    </w:p>
    <w:p w14:paraId="15C807F5">
      <w:pPr>
        <w:spacing w:line="360" w:lineRule="auto"/>
        <w:ind w:firstLine="480" w:firstLineChars="200"/>
        <w:rPr>
          <w:sz w:val="24"/>
        </w:rPr>
      </w:pPr>
      <w:r>
        <w:rPr>
          <w:rFonts w:hint="eastAsia"/>
          <w:sz w:val="24"/>
        </w:rPr>
        <w:t>c、若有效投标人&lt;5家，取所有有效投标报价的平均值作为评标标底价。且需对最低投标报价进行标底价修正。如最低投标报价与次低投标报价相差5%以内的（│最低投标报价－次低投标报价│/次低投标报价×100%≤5%），则取所有有效报价的算术平均值后作为评标标底价；如最低投标报价与次低投标报价相差5%以上的（│最低投标报价－次低投标报价│/次低投标报价×100%＞5%），最低投标报价视为不纳入评标标低价的算术平均值，则去掉最低的有效报价，再取余下有效报价的算术平均值后作为评标标底价。标底价仅修正一次。</w:t>
      </w:r>
    </w:p>
    <w:p w14:paraId="33432F86">
      <w:pPr>
        <w:spacing w:line="360" w:lineRule="auto"/>
        <w:ind w:firstLine="480" w:firstLineChars="200"/>
        <w:jc w:val="left"/>
        <w:rPr>
          <w:sz w:val="24"/>
        </w:rPr>
      </w:pPr>
      <w:r>
        <w:rPr>
          <w:rFonts w:hint="eastAsia"/>
          <w:sz w:val="24"/>
        </w:rPr>
        <w:t>（二）中标候选人的确定。</w:t>
      </w:r>
    </w:p>
    <w:p w14:paraId="7A247B8A">
      <w:pPr>
        <w:spacing w:line="360" w:lineRule="auto"/>
        <w:ind w:firstLine="480" w:firstLineChars="200"/>
        <w:jc w:val="left"/>
        <w:rPr>
          <w:sz w:val="24"/>
        </w:rPr>
      </w:pPr>
      <w:r>
        <w:rPr>
          <w:rFonts w:hint="eastAsia"/>
          <w:sz w:val="24"/>
        </w:rPr>
        <w:t>低于评标标底价且最接近者为第一中标候选人；除第一中标候选人外，绝对值最接近者为第二中标候选人，如投标报价相同，则抽签确定。</w:t>
      </w:r>
    </w:p>
    <w:p w14:paraId="5A259BDD">
      <w:pPr>
        <w:spacing w:line="360" w:lineRule="auto"/>
        <w:ind w:firstLine="480" w:firstLineChars="200"/>
        <w:jc w:val="left"/>
        <w:rPr>
          <w:b/>
          <w:sz w:val="24"/>
        </w:rPr>
      </w:pPr>
      <w:r>
        <w:rPr>
          <w:rFonts w:hint="eastAsia"/>
          <w:sz w:val="24"/>
        </w:rPr>
        <w:t>（三）如投标供应商报价超过采购最高限价，且采购人不能支付的，则应予废标，重新组织招标。</w:t>
      </w:r>
      <w:r>
        <w:rPr>
          <w:rFonts w:hint="eastAsia"/>
          <w:b/>
          <w:sz w:val="24"/>
        </w:rPr>
        <w:t>本次招标采购最高限价：</w:t>
      </w:r>
      <w:r>
        <w:rPr>
          <w:rFonts w:hint="eastAsia"/>
          <w:b/>
          <w:sz w:val="24"/>
          <w:u w:val="single"/>
        </w:rPr>
        <w:t>298200</w:t>
      </w:r>
      <w:r>
        <w:rPr>
          <w:rFonts w:hint="eastAsia"/>
          <w:b/>
          <w:sz w:val="24"/>
        </w:rPr>
        <w:t>元。</w:t>
      </w:r>
      <w:r>
        <w:rPr>
          <w:b/>
          <w:sz w:val="24"/>
        </w:rPr>
        <w:t xml:space="preserve"> </w:t>
      </w:r>
    </w:p>
    <w:p w14:paraId="357DCF49">
      <w:pPr>
        <w:spacing w:before="120" w:beforeLines="50" w:after="120" w:afterLines="50" w:line="360" w:lineRule="auto"/>
        <w:rPr>
          <w:color w:val="0D0D0D"/>
          <w:sz w:val="24"/>
        </w:rPr>
      </w:pPr>
      <w:r>
        <w:rPr>
          <w:color w:val="0D0D0D"/>
          <w:sz w:val="24"/>
        </w:rPr>
        <w:br w:type="page"/>
      </w:r>
    </w:p>
    <w:p w14:paraId="022957B8">
      <w:pPr>
        <w:spacing w:before="120" w:beforeLines="50" w:line="480" w:lineRule="exact"/>
        <w:ind w:left="165"/>
        <w:jc w:val="center"/>
        <w:rPr>
          <w:rFonts w:ascii="宋体" w:hAnsi="宋体"/>
          <w:color w:val="0D0D0D"/>
          <w:sz w:val="30"/>
          <w:szCs w:val="20"/>
        </w:rPr>
      </w:pPr>
      <w:r>
        <w:rPr>
          <w:rFonts w:hint="eastAsia" w:ascii="宋体" w:hAnsi="宋体"/>
          <w:color w:val="0D0D0D"/>
          <w:sz w:val="30"/>
        </w:rPr>
        <w:t>第五章  合同主要条款</w:t>
      </w:r>
    </w:p>
    <w:p w14:paraId="59BE1930">
      <w:pPr>
        <w:rPr>
          <w:color w:val="0D0D0D"/>
        </w:rPr>
      </w:pPr>
    </w:p>
    <w:p w14:paraId="0548C7FF">
      <w:pPr>
        <w:pStyle w:val="29"/>
        <w:snapToGrid w:val="0"/>
        <w:spacing w:before="120" w:beforeLines="0" w:after="120" w:afterLines="0" w:line="420" w:lineRule="exact"/>
        <w:rPr>
          <w:rFonts w:hAnsi="宋体"/>
          <w:color w:val="0D0D0D"/>
        </w:rPr>
      </w:pPr>
      <w:r>
        <w:rPr>
          <w:rFonts w:hAnsi="宋体"/>
          <w:color w:val="0D0D0D"/>
        </w:rPr>
        <w:t>项目名称：</w:t>
      </w:r>
      <w:r>
        <w:rPr>
          <w:rFonts w:hint="eastAsia" w:hAnsi="宋体"/>
          <w:color w:val="0D0D0D"/>
          <w:u w:val="single"/>
        </w:rPr>
        <w:t>台州湾新区中国家庭帆船赛台州站配套工程（浮筒平台采购）</w:t>
      </w:r>
      <w:r>
        <w:rPr>
          <w:rFonts w:hint="eastAsia" w:hAnsi="宋体"/>
          <w:color w:val="0D0D0D"/>
          <w:u w:val="single"/>
          <w:lang w:eastAsia="zh-CN"/>
        </w:rPr>
        <w:t>（</w:t>
      </w:r>
      <w:r>
        <w:rPr>
          <w:rFonts w:hint="eastAsia" w:hAnsi="宋体"/>
          <w:color w:val="0D0D0D"/>
          <w:u w:val="single"/>
          <w:lang w:val="en-US" w:eastAsia="zh-CN"/>
        </w:rPr>
        <w:t>重新招标）</w:t>
      </w:r>
      <w:r>
        <w:rPr>
          <w:rFonts w:hAnsi="宋体"/>
          <w:color w:val="0D0D0D"/>
        </w:rPr>
        <w:t xml:space="preserve"> </w:t>
      </w:r>
    </w:p>
    <w:p w14:paraId="28F602BB">
      <w:pPr>
        <w:pStyle w:val="29"/>
        <w:snapToGrid w:val="0"/>
        <w:spacing w:before="120" w:beforeLines="0" w:after="120" w:afterLines="0" w:line="420" w:lineRule="exact"/>
        <w:rPr>
          <w:rFonts w:hAnsi="宋体"/>
          <w:color w:val="0D0D0D"/>
        </w:rPr>
      </w:pPr>
      <w:r>
        <w:rPr>
          <w:rFonts w:hAnsi="宋体"/>
          <w:color w:val="0D0D0D"/>
        </w:rPr>
        <w:t>甲方：（买方）</w:t>
      </w:r>
      <w:r>
        <w:rPr>
          <w:rFonts w:hint="eastAsia" w:hAnsi="宋体"/>
          <w:color w:val="0D0D0D"/>
        </w:rPr>
        <w:t>台州东发建设集团有限公司</w:t>
      </w:r>
    </w:p>
    <w:p w14:paraId="10E462AE">
      <w:pPr>
        <w:pStyle w:val="29"/>
        <w:snapToGrid w:val="0"/>
        <w:spacing w:before="120" w:beforeLines="0" w:after="120" w:afterLines="0" w:line="420" w:lineRule="exact"/>
        <w:rPr>
          <w:rFonts w:hAnsi="宋体"/>
          <w:color w:val="0D0D0D"/>
        </w:rPr>
      </w:pPr>
      <w:r>
        <w:rPr>
          <w:rFonts w:hAnsi="宋体"/>
          <w:color w:val="0D0D0D"/>
        </w:rPr>
        <w:t>乙方：（卖方）</w:t>
      </w:r>
    </w:p>
    <w:p w14:paraId="56CD3553">
      <w:pPr>
        <w:pStyle w:val="29"/>
        <w:snapToGrid w:val="0"/>
        <w:spacing w:before="120" w:beforeLines="0" w:after="120" w:afterLines="0" w:line="420" w:lineRule="exact"/>
        <w:rPr>
          <w:rFonts w:hAnsi="宋体"/>
          <w:color w:val="0D0D0D"/>
        </w:rPr>
      </w:pPr>
      <w:r>
        <w:rPr>
          <w:rFonts w:hAnsi="宋体"/>
          <w:color w:val="0D0D0D"/>
        </w:rPr>
        <w:t xml:space="preserve">   甲、乙双方根据</w:t>
      </w:r>
      <w:r>
        <w:rPr>
          <w:rFonts w:hint="eastAsia" w:hAnsi="宋体"/>
          <w:color w:val="0D0D0D"/>
          <w:u w:val="single"/>
        </w:rPr>
        <w:t>台州湾新区中国家庭帆船赛台州站配套工程（浮筒平台采购）</w:t>
      </w:r>
      <w:r>
        <w:rPr>
          <w:rFonts w:hint="eastAsia" w:hAnsi="宋体"/>
          <w:color w:val="0D0D0D"/>
          <w:u w:val="single"/>
          <w:lang w:eastAsia="zh-CN"/>
        </w:rPr>
        <w:t>（</w:t>
      </w:r>
      <w:r>
        <w:rPr>
          <w:rFonts w:hint="eastAsia" w:hAnsi="宋体"/>
          <w:color w:val="0D0D0D"/>
          <w:u w:val="single"/>
          <w:lang w:val="en-US" w:eastAsia="zh-CN"/>
        </w:rPr>
        <w:t>重新招标）</w:t>
      </w:r>
      <w:r>
        <w:rPr>
          <w:rFonts w:hAnsi="宋体"/>
          <w:color w:val="0D0D0D"/>
        </w:rPr>
        <w:t>公开招标的结果，签署本合同。</w:t>
      </w:r>
    </w:p>
    <w:p w14:paraId="23737990">
      <w:pPr>
        <w:pStyle w:val="29"/>
        <w:snapToGrid w:val="0"/>
        <w:spacing w:before="120" w:after="120" w:line="420" w:lineRule="exact"/>
        <w:rPr>
          <w:rFonts w:hAnsi="宋体"/>
          <w:b/>
          <w:bCs/>
          <w:color w:val="0D0D0D"/>
        </w:rPr>
      </w:pPr>
      <w:r>
        <w:rPr>
          <w:rFonts w:hAnsi="宋体"/>
          <w:b/>
          <w:bCs/>
          <w:color w:val="0D0D0D"/>
        </w:rPr>
        <w:t>合同文件</w:t>
      </w:r>
    </w:p>
    <w:p w14:paraId="73C86088">
      <w:pPr>
        <w:pStyle w:val="29"/>
        <w:snapToGrid w:val="0"/>
        <w:spacing w:before="120" w:after="120" w:line="420" w:lineRule="exact"/>
        <w:rPr>
          <w:rFonts w:hAnsi="宋体"/>
          <w:color w:val="0D0D0D"/>
        </w:rPr>
      </w:pPr>
      <w:r>
        <w:rPr>
          <w:rFonts w:hAnsi="宋体"/>
          <w:color w:val="0D0D0D"/>
        </w:rPr>
        <w:t xml:space="preserve">   下列文件构成本合同的组成部分：</w:t>
      </w:r>
    </w:p>
    <w:p w14:paraId="74C12ED1">
      <w:pPr>
        <w:pStyle w:val="29"/>
        <w:snapToGrid w:val="0"/>
        <w:spacing w:before="120" w:after="120" w:line="420" w:lineRule="exact"/>
        <w:rPr>
          <w:rFonts w:hAnsi="宋体"/>
          <w:color w:val="0D0D0D"/>
        </w:rPr>
      </w:pPr>
      <w:r>
        <w:rPr>
          <w:rFonts w:hAnsi="宋体"/>
          <w:color w:val="0D0D0D"/>
        </w:rPr>
        <w:t>(1) 中标通知书</w:t>
      </w:r>
    </w:p>
    <w:p w14:paraId="1BF8A9BD">
      <w:pPr>
        <w:pStyle w:val="29"/>
        <w:snapToGrid w:val="0"/>
        <w:spacing w:before="120" w:after="120" w:line="420" w:lineRule="exact"/>
        <w:rPr>
          <w:rFonts w:hAnsi="宋体"/>
          <w:color w:val="0D0D0D"/>
        </w:rPr>
      </w:pPr>
      <w:r>
        <w:rPr>
          <w:rFonts w:hAnsi="宋体"/>
          <w:color w:val="0D0D0D"/>
        </w:rPr>
        <w:t>(2) 合同主要条款</w:t>
      </w:r>
    </w:p>
    <w:p w14:paraId="7204170C">
      <w:pPr>
        <w:pStyle w:val="29"/>
        <w:snapToGrid w:val="0"/>
        <w:spacing w:before="120" w:after="120" w:line="420" w:lineRule="exact"/>
        <w:rPr>
          <w:rFonts w:hAnsi="宋体"/>
          <w:color w:val="0D0D0D"/>
        </w:rPr>
      </w:pPr>
      <w:r>
        <w:rPr>
          <w:rFonts w:hAnsi="宋体"/>
          <w:color w:val="0D0D0D"/>
        </w:rPr>
        <w:t>(</w:t>
      </w:r>
      <w:r>
        <w:rPr>
          <w:rFonts w:hint="eastAsia" w:hAnsi="宋体"/>
          <w:color w:val="0D0D0D"/>
        </w:rPr>
        <w:t>3</w:t>
      </w:r>
      <w:r>
        <w:rPr>
          <w:rFonts w:hAnsi="宋体"/>
          <w:color w:val="0D0D0D"/>
        </w:rPr>
        <w:t xml:space="preserve">) </w:t>
      </w:r>
      <w:r>
        <w:rPr>
          <w:rFonts w:hint="eastAsia" w:hAnsi="宋体"/>
          <w:color w:val="0D0D0D"/>
        </w:rPr>
        <w:t>项目廉政责任书</w:t>
      </w:r>
    </w:p>
    <w:p w14:paraId="79805689">
      <w:pPr>
        <w:pStyle w:val="29"/>
        <w:snapToGrid w:val="0"/>
        <w:spacing w:before="120" w:after="120" w:line="420" w:lineRule="exact"/>
        <w:rPr>
          <w:rFonts w:hAnsi="宋体"/>
          <w:color w:val="0D0D0D"/>
        </w:rPr>
      </w:pPr>
      <w:r>
        <w:rPr>
          <w:rFonts w:hAnsi="宋体"/>
          <w:color w:val="0D0D0D"/>
        </w:rPr>
        <w:t>(</w:t>
      </w:r>
      <w:r>
        <w:rPr>
          <w:rFonts w:hint="eastAsia" w:hAnsi="宋体"/>
          <w:color w:val="0D0D0D"/>
        </w:rPr>
        <w:t>4</w:t>
      </w:r>
      <w:r>
        <w:rPr>
          <w:rFonts w:hAnsi="宋体"/>
          <w:color w:val="0D0D0D"/>
        </w:rPr>
        <w:t>)</w:t>
      </w:r>
      <w:r>
        <w:rPr>
          <w:rFonts w:hint="eastAsia" w:hAnsi="宋体"/>
          <w:color w:val="0D0D0D"/>
        </w:rPr>
        <w:t xml:space="preserve"> 招标文件</w:t>
      </w:r>
    </w:p>
    <w:p w14:paraId="7CACA72B">
      <w:pPr>
        <w:pStyle w:val="29"/>
        <w:snapToGrid w:val="0"/>
        <w:spacing w:before="120" w:after="120" w:line="420" w:lineRule="exact"/>
        <w:rPr>
          <w:rFonts w:hAnsi="宋体"/>
          <w:color w:val="0D0D0D"/>
        </w:rPr>
      </w:pPr>
      <w:r>
        <w:rPr>
          <w:rFonts w:hAnsi="宋体"/>
          <w:color w:val="0D0D0D"/>
        </w:rPr>
        <w:t>(</w:t>
      </w:r>
      <w:r>
        <w:rPr>
          <w:rFonts w:hint="eastAsia" w:hAnsi="宋体"/>
          <w:color w:val="0D0D0D"/>
        </w:rPr>
        <w:t>5</w:t>
      </w:r>
      <w:r>
        <w:rPr>
          <w:rFonts w:hAnsi="宋体"/>
          <w:color w:val="0D0D0D"/>
        </w:rPr>
        <w:t xml:space="preserve">) </w:t>
      </w:r>
      <w:r>
        <w:rPr>
          <w:rFonts w:hint="eastAsia" w:hAnsi="宋体"/>
          <w:color w:val="0D0D0D"/>
        </w:rPr>
        <w:t>投标文件（商务标）</w:t>
      </w:r>
    </w:p>
    <w:p w14:paraId="42AB51AD">
      <w:pPr>
        <w:pStyle w:val="29"/>
        <w:snapToGrid w:val="0"/>
        <w:spacing w:before="120" w:beforeLines="0" w:after="120" w:afterLines="0" w:line="420" w:lineRule="exact"/>
        <w:rPr>
          <w:rFonts w:hAnsi="宋体"/>
          <w:b/>
          <w:color w:val="0D0D0D"/>
        </w:rPr>
      </w:pPr>
      <w:r>
        <w:rPr>
          <w:rFonts w:hAnsi="宋体"/>
          <w:b/>
          <w:color w:val="0D0D0D"/>
        </w:rPr>
        <w:t>一、货物内容</w:t>
      </w:r>
    </w:p>
    <w:p w14:paraId="7EC8AEB9">
      <w:pPr>
        <w:pStyle w:val="29"/>
        <w:snapToGrid w:val="0"/>
        <w:spacing w:before="120" w:beforeLines="0" w:after="120" w:afterLines="0" w:line="420" w:lineRule="exact"/>
        <w:rPr>
          <w:rFonts w:hAnsi="宋体"/>
          <w:color w:val="0D0D0D"/>
          <w:u w:val="single"/>
        </w:rPr>
      </w:pPr>
      <w:r>
        <w:rPr>
          <w:rFonts w:hAnsi="宋体"/>
          <w:color w:val="0D0D0D"/>
        </w:rPr>
        <w:t>1.1 货物名称：</w:t>
      </w:r>
      <w:r>
        <w:rPr>
          <w:rFonts w:hint="eastAsia" w:hAnsi="宋体"/>
          <w:color w:val="0D0D0D"/>
          <w:u w:val="single"/>
        </w:rPr>
        <w:t>台州湾新区中国家庭帆船赛台州站配套工程（浮筒平台采购）</w:t>
      </w:r>
      <w:r>
        <w:rPr>
          <w:rFonts w:hint="eastAsia" w:hAnsi="宋体"/>
          <w:color w:val="0D0D0D"/>
          <w:u w:val="single"/>
          <w:lang w:eastAsia="zh-CN"/>
        </w:rPr>
        <w:t>（</w:t>
      </w:r>
      <w:r>
        <w:rPr>
          <w:rFonts w:hint="eastAsia" w:hAnsi="宋体"/>
          <w:color w:val="0D0D0D"/>
          <w:u w:val="single"/>
          <w:lang w:val="en-US" w:eastAsia="zh-CN"/>
        </w:rPr>
        <w:t>重新招标）</w:t>
      </w:r>
    </w:p>
    <w:tbl>
      <w:tblPr>
        <w:tblStyle w:val="47"/>
        <w:tblpPr w:leftFromText="180" w:rightFromText="180" w:vertAnchor="text" w:horzAnchor="page" w:tblpX="1044" w:tblpY="518"/>
        <w:tblOverlap w:val="never"/>
        <w:tblW w:w="96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6"/>
        <w:gridCol w:w="1381"/>
        <w:gridCol w:w="964"/>
        <w:gridCol w:w="1286"/>
        <w:gridCol w:w="1608"/>
        <w:gridCol w:w="1115"/>
        <w:gridCol w:w="2640"/>
      </w:tblGrid>
      <w:tr w14:paraId="6E444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606" w:type="dxa"/>
            <w:tcBorders>
              <w:top w:val="single" w:color="auto" w:sz="4" w:space="0"/>
              <w:left w:val="single" w:color="auto" w:sz="4" w:space="0"/>
              <w:bottom w:val="single" w:color="auto" w:sz="4" w:space="0"/>
              <w:right w:val="single" w:color="auto" w:sz="4" w:space="0"/>
            </w:tcBorders>
            <w:vAlign w:val="center"/>
          </w:tcPr>
          <w:p w14:paraId="6EB83E4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3671E8B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964" w:type="dxa"/>
            <w:tcBorders>
              <w:top w:val="single" w:color="auto" w:sz="4" w:space="0"/>
              <w:left w:val="single" w:color="auto" w:sz="4" w:space="0"/>
              <w:bottom w:val="single" w:color="auto" w:sz="4" w:space="0"/>
              <w:right w:val="single" w:color="auto" w:sz="4" w:space="0"/>
            </w:tcBorders>
            <w:vAlign w:val="center"/>
          </w:tcPr>
          <w:p w14:paraId="55B2E34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286" w:type="dxa"/>
            <w:tcBorders>
              <w:top w:val="single" w:color="auto" w:sz="4" w:space="0"/>
              <w:left w:val="single" w:color="auto" w:sz="4" w:space="0"/>
              <w:bottom w:val="single" w:color="auto" w:sz="4" w:space="0"/>
              <w:right w:val="single" w:color="auto" w:sz="4" w:space="0"/>
            </w:tcBorders>
            <w:vAlign w:val="center"/>
          </w:tcPr>
          <w:p w14:paraId="1B4AD51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608" w:type="dxa"/>
            <w:tcBorders>
              <w:top w:val="single" w:color="auto" w:sz="4" w:space="0"/>
              <w:left w:val="single" w:color="auto" w:sz="4" w:space="0"/>
              <w:bottom w:val="single" w:color="auto" w:sz="4" w:space="0"/>
              <w:right w:val="single" w:color="auto" w:sz="4" w:space="0"/>
            </w:tcBorders>
            <w:vAlign w:val="center"/>
          </w:tcPr>
          <w:p w14:paraId="101D7EB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115" w:type="dxa"/>
            <w:tcBorders>
              <w:top w:val="single" w:color="auto" w:sz="4" w:space="0"/>
              <w:left w:val="single" w:color="auto" w:sz="4" w:space="0"/>
              <w:bottom w:val="single" w:color="auto" w:sz="4" w:space="0"/>
              <w:right w:val="single" w:color="auto" w:sz="4" w:space="0"/>
            </w:tcBorders>
            <w:vAlign w:val="center"/>
          </w:tcPr>
          <w:p w14:paraId="58EBE53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2640" w:type="dxa"/>
            <w:tcBorders>
              <w:left w:val="single" w:color="auto" w:sz="4" w:space="0"/>
              <w:bottom w:val="single" w:color="auto" w:sz="4" w:space="0"/>
              <w:right w:val="single" w:color="auto" w:sz="4" w:space="0"/>
            </w:tcBorders>
            <w:vAlign w:val="center"/>
          </w:tcPr>
          <w:p w14:paraId="658D12D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r>
      <w:tr w14:paraId="5436A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14:paraId="21011B65">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1381" w:type="dxa"/>
            <w:tcBorders>
              <w:top w:val="single" w:color="auto" w:sz="4" w:space="0"/>
              <w:left w:val="single" w:color="auto" w:sz="4" w:space="0"/>
              <w:bottom w:val="single" w:color="auto" w:sz="4" w:space="0"/>
              <w:right w:val="single" w:color="auto" w:sz="4" w:space="0"/>
            </w:tcBorders>
            <w:vAlign w:val="center"/>
          </w:tcPr>
          <w:p w14:paraId="0922558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964" w:type="dxa"/>
            <w:tcBorders>
              <w:top w:val="single" w:color="auto" w:sz="4" w:space="0"/>
              <w:left w:val="single" w:color="auto" w:sz="4" w:space="0"/>
              <w:bottom w:val="single" w:color="auto" w:sz="4" w:space="0"/>
              <w:right w:val="single" w:color="auto" w:sz="4" w:space="0"/>
            </w:tcBorders>
            <w:vAlign w:val="center"/>
          </w:tcPr>
          <w:p w14:paraId="61B3881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286" w:type="dxa"/>
            <w:tcBorders>
              <w:top w:val="single" w:color="auto" w:sz="4" w:space="0"/>
              <w:left w:val="single" w:color="auto" w:sz="4" w:space="0"/>
              <w:bottom w:val="single" w:color="auto" w:sz="4" w:space="0"/>
              <w:right w:val="single" w:color="auto" w:sz="4" w:space="0"/>
            </w:tcBorders>
            <w:vAlign w:val="center"/>
          </w:tcPr>
          <w:p w14:paraId="42C2E75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608" w:type="dxa"/>
            <w:tcBorders>
              <w:top w:val="single" w:color="auto" w:sz="4" w:space="0"/>
              <w:left w:val="single" w:color="auto" w:sz="4" w:space="0"/>
              <w:bottom w:val="single" w:color="auto" w:sz="4" w:space="0"/>
              <w:right w:val="single" w:color="auto" w:sz="4" w:space="0"/>
            </w:tcBorders>
            <w:vAlign w:val="center"/>
          </w:tcPr>
          <w:p w14:paraId="324B5F62">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3"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14:paraId="56B62921">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2640" w:type="dxa"/>
            <w:tcBorders>
              <w:top w:val="single" w:color="auto" w:sz="4" w:space="0"/>
              <w:left w:val="single" w:color="auto" w:sz="4" w:space="0"/>
              <w:bottom w:val="single" w:color="auto" w:sz="4" w:space="0"/>
              <w:right w:val="single" w:color="auto" w:sz="4" w:space="0"/>
            </w:tcBorders>
            <w:vAlign w:val="center"/>
          </w:tcPr>
          <w:p w14:paraId="6C0C61CF">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r>
      <w:tr w14:paraId="66394B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14:paraId="4D515D96">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1381" w:type="dxa"/>
            <w:tcBorders>
              <w:top w:val="single" w:color="auto" w:sz="4" w:space="0"/>
              <w:left w:val="single" w:color="auto" w:sz="4" w:space="0"/>
              <w:bottom w:val="single" w:color="auto" w:sz="4" w:space="0"/>
              <w:right w:val="single" w:color="auto" w:sz="4" w:space="0"/>
            </w:tcBorders>
            <w:vAlign w:val="center"/>
          </w:tcPr>
          <w:p w14:paraId="70CE9A4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964" w:type="dxa"/>
            <w:tcBorders>
              <w:top w:val="single" w:color="auto" w:sz="4" w:space="0"/>
              <w:left w:val="single" w:color="auto" w:sz="4" w:space="0"/>
              <w:bottom w:val="single" w:color="auto" w:sz="4" w:space="0"/>
              <w:right w:val="single" w:color="auto" w:sz="4" w:space="0"/>
            </w:tcBorders>
            <w:vAlign w:val="center"/>
          </w:tcPr>
          <w:p w14:paraId="48C23E3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286" w:type="dxa"/>
            <w:tcBorders>
              <w:top w:val="single" w:color="auto" w:sz="4" w:space="0"/>
              <w:left w:val="single" w:color="auto" w:sz="4" w:space="0"/>
              <w:bottom w:val="single" w:color="auto" w:sz="4" w:space="0"/>
              <w:right w:val="single" w:color="auto" w:sz="4" w:space="0"/>
            </w:tcBorders>
            <w:vAlign w:val="center"/>
          </w:tcPr>
          <w:p w14:paraId="35F8E65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608" w:type="dxa"/>
            <w:tcBorders>
              <w:top w:val="single" w:color="auto" w:sz="4" w:space="0"/>
              <w:left w:val="single" w:color="auto" w:sz="4" w:space="0"/>
              <w:bottom w:val="single" w:color="auto" w:sz="4" w:space="0"/>
              <w:right w:val="single" w:color="auto" w:sz="4" w:space="0"/>
            </w:tcBorders>
            <w:vAlign w:val="center"/>
          </w:tcPr>
          <w:p w14:paraId="33E592E2">
            <w:pPr>
              <w:widowControl/>
              <w:textAlignment w:val="center"/>
              <w:rPr>
                <w:rFonts w:ascii="宋体" w:hAnsi="宋体" w:cs="宋体"/>
                <w:b/>
                <w:color w:val="000000"/>
                <w:sz w:val="24"/>
              </w:rPr>
            </w:pPr>
            <w:r>
              <w:drawing>
                <wp:inline distT="0" distB="0" distL="114300" distR="114300">
                  <wp:extent cx="755015" cy="607060"/>
                  <wp:effectExtent l="0" t="0" r="6985" b="2540"/>
                  <wp:docPr id="3"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9" descr="[3H$KNU49%TL(~}%C)2YKZK"/>
                          <pic:cNvPicPr>
                            <a:picLocks noChangeAspect="1"/>
                          </pic:cNvPicPr>
                        </pic:nvPicPr>
                        <pic:blipFill>
                          <a:blip r:embed="rId16"/>
                          <a:stretch>
                            <a:fillRect/>
                          </a:stretch>
                        </pic:blipFill>
                        <pic:spPr>
                          <a:xfrm>
                            <a:off x="0" y="0"/>
                            <a:ext cx="755015" cy="607060"/>
                          </a:xfrm>
                          <a:prstGeom prst="rect">
                            <a:avLst/>
                          </a:prstGeom>
                          <a:noFill/>
                          <a:ln w="9525">
                            <a:noFill/>
                          </a:ln>
                        </pic:spPr>
                      </pic:pic>
                    </a:graphicData>
                  </a:graphic>
                </wp:inline>
              </w:drawing>
            </w:r>
          </w:p>
        </w:tc>
        <w:tc>
          <w:tcPr>
            <w:tcW w:w="1115" w:type="dxa"/>
            <w:tcBorders>
              <w:top w:val="single" w:color="auto" w:sz="4" w:space="0"/>
              <w:left w:val="single" w:color="auto" w:sz="4" w:space="0"/>
              <w:bottom w:val="single" w:color="auto" w:sz="4" w:space="0"/>
              <w:right w:val="single" w:color="auto" w:sz="4" w:space="0"/>
            </w:tcBorders>
            <w:vAlign w:val="center"/>
          </w:tcPr>
          <w:p w14:paraId="35BEB30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2640" w:type="dxa"/>
            <w:tcBorders>
              <w:top w:val="single" w:color="auto" w:sz="4" w:space="0"/>
              <w:left w:val="single" w:color="auto" w:sz="4" w:space="0"/>
              <w:bottom w:val="single" w:color="auto" w:sz="4" w:space="0"/>
              <w:right w:val="single" w:color="auto" w:sz="4" w:space="0"/>
            </w:tcBorders>
            <w:vAlign w:val="center"/>
          </w:tcPr>
          <w:p w14:paraId="60C0449A">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r>
      <w:tr w14:paraId="33EF5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606" w:type="dxa"/>
            <w:tcBorders>
              <w:top w:val="single" w:color="auto" w:sz="4" w:space="0"/>
              <w:left w:val="single" w:color="auto" w:sz="4" w:space="0"/>
              <w:bottom w:val="single" w:color="auto" w:sz="4" w:space="0"/>
              <w:right w:val="single" w:color="auto" w:sz="4" w:space="0"/>
            </w:tcBorders>
            <w:vAlign w:val="center"/>
          </w:tcPr>
          <w:p w14:paraId="1AA9BAB4">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1381" w:type="dxa"/>
            <w:tcBorders>
              <w:top w:val="single" w:color="auto" w:sz="4" w:space="0"/>
              <w:left w:val="single" w:color="auto" w:sz="4" w:space="0"/>
              <w:bottom w:val="single" w:color="auto" w:sz="4" w:space="0"/>
              <w:right w:val="single" w:color="auto" w:sz="4" w:space="0"/>
            </w:tcBorders>
            <w:vAlign w:val="center"/>
          </w:tcPr>
          <w:p w14:paraId="23942B6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964" w:type="dxa"/>
            <w:tcBorders>
              <w:top w:val="single" w:color="auto" w:sz="4" w:space="0"/>
              <w:left w:val="single" w:color="auto" w:sz="4" w:space="0"/>
              <w:bottom w:val="single" w:color="auto" w:sz="4" w:space="0"/>
              <w:right w:val="single" w:color="auto" w:sz="4" w:space="0"/>
            </w:tcBorders>
            <w:vAlign w:val="center"/>
          </w:tcPr>
          <w:p w14:paraId="33F159FD">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286" w:type="dxa"/>
            <w:tcBorders>
              <w:top w:val="single" w:color="auto" w:sz="4" w:space="0"/>
              <w:left w:val="single" w:color="auto" w:sz="4" w:space="0"/>
              <w:bottom w:val="single" w:color="auto" w:sz="4" w:space="0"/>
              <w:right w:val="single" w:color="auto" w:sz="4" w:space="0"/>
            </w:tcBorders>
            <w:vAlign w:val="center"/>
          </w:tcPr>
          <w:p w14:paraId="5055262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608" w:type="dxa"/>
            <w:tcBorders>
              <w:top w:val="single" w:color="auto" w:sz="4" w:space="0"/>
              <w:left w:val="single" w:color="auto" w:sz="4" w:space="0"/>
              <w:bottom w:val="single" w:color="auto" w:sz="4" w:space="0"/>
              <w:right w:val="single" w:color="auto" w:sz="4" w:space="0"/>
            </w:tcBorders>
            <w:vAlign w:val="center"/>
          </w:tcPr>
          <w:p w14:paraId="4B1361C6">
            <w:pPr>
              <w:widowControl/>
              <w:jc w:val="center"/>
              <w:textAlignment w:val="center"/>
              <w:rPr>
                <w:rFonts w:ascii="宋体" w:hAnsi="宋体" w:cs="宋体"/>
                <w:color w:val="000000"/>
                <w:kern w:val="0"/>
                <w:sz w:val="22"/>
                <w:szCs w:val="22"/>
                <w:lang w:bidi="ar"/>
              </w:rPr>
            </w:pPr>
          </w:p>
        </w:tc>
        <w:tc>
          <w:tcPr>
            <w:tcW w:w="1115" w:type="dxa"/>
            <w:tcBorders>
              <w:top w:val="single" w:color="auto" w:sz="4" w:space="0"/>
              <w:left w:val="single" w:color="auto" w:sz="4" w:space="0"/>
              <w:bottom w:val="single" w:color="auto" w:sz="4" w:space="0"/>
              <w:right w:val="single" w:color="auto" w:sz="4" w:space="0"/>
            </w:tcBorders>
            <w:vAlign w:val="center"/>
          </w:tcPr>
          <w:p w14:paraId="5437877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2640" w:type="dxa"/>
            <w:tcBorders>
              <w:top w:val="single" w:color="auto" w:sz="4" w:space="0"/>
              <w:left w:val="single" w:color="auto" w:sz="4" w:space="0"/>
              <w:bottom w:val="single" w:color="auto" w:sz="4" w:space="0"/>
              <w:right w:val="single" w:color="auto" w:sz="4" w:space="0"/>
            </w:tcBorders>
            <w:vAlign w:val="center"/>
          </w:tcPr>
          <w:p w14:paraId="0F1E7D40">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r>
    </w:tbl>
    <w:p w14:paraId="7B200233">
      <w:pPr>
        <w:pStyle w:val="29"/>
        <w:snapToGrid w:val="0"/>
        <w:spacing w:before="120" w:beforeLines="0" w:after="120" w:afterLines="0" w:line="420" w:lineRule="exact"/>
        <w:rPr>
          <w:rFonts w:hAnsi="宋体"/>
          <w:color w:val="0D0D0D"/>
        </w:rPr>
      </w:pPr>
      <w:r>
        <w:rPr>
          <w:rFonts w:hAnsi="宋体"/>
          <w:color w:val="0D0D0D"/>
        </w:rPr>
        <w:t>1.2 型号规格</w:t>
      </w:r>
      <w:r>
        <w:rPr>
          <w:rFonts w:hint="eastAsia" w:hAnsi="宋体"/>
          <w:color w:val="0D0D0D"/>
        </w:rPr>
        <w:t>、</w:t>
      </w:r>
      <w:r>
        <w:rPr>
          <w:rFonts w:hAnsi="宋体"/>
          <w:color w:val="0D0D0D"/>
        </w:rPr>
        <w:t xml:space="preserve"> 技术参数</w:t>
      </w:r>
      <w:r>
        <w:rPr>
          <w:rFonts w:hint="eastAsia" w:hAnsi="宋体"/>
          <w:color w:val="0D0D0D"/>
        </w:rPr>
        <w:t>、</w:t>
      </w:r>
      <w:r>
        <w:rPr>
          <w:rFonts w:hAnsi="宋体"/>
          <w:color w:val="0D0D0D"/>
        </w:rPr>
        <w:t xml:space="preserve"> 数量（单位）</w:t>
      </w:r>
      <w:r>
        <w:rPr>
          <w:rFonts w:hint="eastAsia" w:hAnsi="宋体"/>
          <w:color w:val="0D0D0D"/>
        </w:rPr>
        <w:t>、品牌</w:t>
      </w:r>
      <w:r>
        <w:rPr>
          <w:rFonts w:hAnsi="宋体"/>
          <w:color w:val="0D0D0D"/>
        </w:rPr>
        <w:t>：</w:t>
      </w:r>
    </w:p>
    <w:p w14:paraId="0E1D2438">
      <w:pPr>
        <w:pStyle w:val="29"/>
        <w:snapToGrid w:val="0"/>
        <w:spacing w:before="120" w:beforeLines="0" w:after="120" w:afterLines="0" w:line="420" w:lineRule="exact"/>
        <w:rPr>
          <w:rFonts w:hAnsi="宋体"/>
          <w:bCs/>
          <w:color w:val="0C0C0C"/>
        </w:rPr>
      </w:pPr>
      <w:r>
        <w:rPr>
          <w:rFonts w:hint="eastAsia" w:hAnsi="宋体"/>
          <w:bCs/>
          <w:color w:val="0C0C0C"/>
        </w:rPr>
        <w:t>1.3 以上表格数量为暂估，结算时按实计算。</w:t>
      </w:r>
    </w:p>
    <w:p w14:paraId="557A36A4">
      <w:pPr>
        <w:pStyle w:val="29"/>
        <w:snapToGrid w:val="0"/>
        <w:spacing w:before="120" w:beforeLines="0" w:after="120" w:afterLines="0" w:line="420" w:lineRule="exact"/>
        <w:rPr>
          <w:rFonts w:hAnsi="宋体"/>
          <w:bCs/>
          <w:color w:val="0C0C0C"/>
        </w:rPr>
      </w:pPr>
      <w:r>
        <w:rPr>
          <w:rFonts w:hint="eastAsia" w:hAnsi="宋体"/>
          <w:bCs/>
          <w:color w:val="0C0C0C"/>
        </w:rPr>
        <w:t>1.4 合同期限：自收到中标通知书后7日内完成供货；</w:t>
      </w:r>
    </w:p>
    <w:p w14:paraId="462E4FBA">
      <w:pPr>
        <w:pStyle w:val="29"/>
        <w:snapToGrid w:val="0"/>
        <w:spacing w:before="120" w:beforeLines="0" w:after="120" w:afterLines="0" w:line="420" w:lineRule="exact"/>
        <w:rPr>
          <w:rFonts w:hAnsi="宋体"/>
          <w:bCs/>
          <w:color w:val="0C0C0C"/>
        </w:rPr>
      </w:pPr>
      <w:r>
        <w:rPr>
          <w:rFonts w:hint="eastAsia" w:hAnsi="宋体"/>
          <w:bCs/>
          <w:color w:val="0C0C0C"/>
        </w:rPr>
        <w:t>1.5 甲方有权对货物内容进行调整，乙方必须按调整后的货物内容进行供货，不得有任何疑义。</w:t>
      </w:r>
    </w:p>
    <w:p w14:paraId="049989B3">
      <w:pPr>
        <w:pStyle w:val="29"/>
        <w:snapToGrid w:val="0"/>
        <w:spacing w:before="120" w:beforeLines="0" w:after="120" w:afterLines="0" w:line="420" w:lineRule="exact"/>
        <w:rPr>
          <w:rFonts w:hAnsi="宋体"/>
          <w:b/>
          <w:color w:val="0D0D0D"/>
        </w:rPr>
      </w:pPr>
      <w:r>
        <w:rPr>
          <w:rFonts w:hAnsi="宋体"/>
          <w:b/>
          <w:color w:val="0D0D0D"/>
        </w:rPr>
        <w:t>二、合同金额</w:t>
      </w:r>
    </w:p>
    <w:p w14:paraId="2BC81388">
      <w:pPr>
        <w:pStyle w:val="29"/>
        <w:snapToGrid w:val="0"/>
        <w:spacing w:before="120" w:after="120" w:line="420" w:lineRule="exact"/>
        <w:rPr>
          <w:rFonts w:hAnsi="宋体"/>
          <w:color w:val="0D0D0D"/>
        </w:rPr>
      </w:pPr>
      <w:r>
        <w:rPr>
          <w:rFonts w:hAnsi="宋体"/>
          <w:color w:val="0D0D0D"/>
        </w:rPr>
        <w:t xml:space="preserve">2.1   </w:t>
      </w:r>
      <w:r>
        <w:rPr>
          <w:rFonts w:hint="eastAsia" w:hAnsi="宋体"/>
          <w:color w:val="0D0D0D"/>
        </w:rPr>
        <w:t>本合同总价为人民币(大写)：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元)人民币；</w:t>
      </w:r>
    </w:p>
    <w:p w14:paraId="461A424C">
      <w:pPr>
        <w:pStyle w:val="29"/>
        <w:snapToGrid w:val="0"/>
        <w:spacing w:before="120" w:after="120" w:line="420" w:lineRule="exact"/>
        <w:rPr>
          <w:rFonts w:hAnsi="宋体"/>
          <w:color w:val="0D0D0D"/>
        </w:rPr>
      </w:pPr>
      <w:r>
        <w:rPr>
          <w:rFonts w:hint="eastAsia" w:hAnsi="宋体"/>
          <w:color w:val="0D0D0D"/>
        </w:rPr>
        <w:t>其中不含税价为人民币(大写)：</w:t>
      </w:r>
      <w:r>
        <w:rPr>
          <w:rFonts w:hint="eastAsia" w:hAnsi="宋体"/>
          <w:color w:val="0D0D0D"/>
          <w:u w:val="single"/>
        </w:rPr>
        <w:t xml:space="preserve">                    </w:t>
      </w:r>
      <w:r>
        <w:rPr>
          <w:rFonts w:hint="eastAsia" w:hAnsi="宋体"/>
          <w:color w:val="0D0D0D"/>
        </w:rPr>
        <w:t>元(￥</w:t>
      </w:r>
      <w:r>
        <w:rPr>
          <w:rFonts w:hint="eastAsia" w:hAnsi="宋体"/>
          <w:color w:val="0D0D0D"/>
          <w:u w:val="single"/>
        </w:rPr>
        <w:t xml:space="preserve">           </w:t>
      </w:r>
      <w:r>
        <w:rPr>
          <w:rFonts w:hint="eastAsia" w:hAnsi="宋体"/>
          <w:color w:val="0D0D0D"/>
        </w:rPr>
        <w:t xml:space="preserve"> 元)人民币；</w:t>
      </w:r>
    </w:p>
    <w:p w14:paraId="41421739">
      <w:pPr>
        <w:pStyle w:val="29"/>
        <w:snapToGrid w:val="0"/>
        <w:spacing w:before="120" w:after="120" w:line="420" w:lineRule="exact"/>
        <w:rPr>
          <w:rFonts w:hAnsi="宋体"/>
          <w:color w:val="0D0D0D"/>
        </w:rPr>
      </w:pPr>
      <w:r>
        <w:rPr>
          <w:rFonts w:hint="eastAsia" w:hAnsi="宋体"/>
          <w:color w:val="0D0D0D"/>
        </w:rPr>
        <w:t>其中税金为人民币(大写)：</w:t>
      </w:r>
      <w:r>
        <w:rPr>
          <w:rFonts w:hint="eastAsia" w:hAnsi="宋体"/>
          <w:color w:val="0D0D0D"/>
          <w:u w:val="single"/>
        </w:rPr>
        <w:t xml:space="preserve">                    </w:t>
      </w:r>
      <w:r>
        <w:rPr>
          <w:rFonts w:hint="eastAsia" w:hAnsi="宋体"/>
          <w:color w:val="0D0D0D"/>
        </w:rPr>
        <w:t xml:space="preserve">元(￥ </w:t>
      </w:r>
      <w:r>
        <w:rPr>
          <w:rFonts w:hint="eastAsia" w:hAnsi="宋体"/>
          <w:color w:val="0D0D0D"/>
          <w:u w:val="single"/>
        </w:rPr>
        <w:t xml:space="preserve">           </w:t>
      </w:r>
      <w:r>
        <w:rPr>
          <w:rFonts w:hint="eastAsia" w:hAnsi="宋体"/>
          <w:color w:val="0D0D0D"/>
        </w:rPr>
        <w:t xml:space="preserve"> 元)人民币。</w:t>
      </w:r>
    </w:p>
    <w:p w14:paraId="31F6C456">
      <w:pPr>
        <w:pStyle w:val="29"/>
        <w:snapToGrid w:val="0"/>
        <w:spacing w:before="120" w:after="120" w:line="420" w:lineRule="exact"/>
        <w:rPr>
          <w:rFonts w:hAnsi="宋体"/>
          <w:color w:val="0C0C0C"/>
        </w:rPr>
      </w:pPr>
      <w:r>
        <w:rPr>
          <w:rFonts w:hint="eastAsia" w:hAnsi="宋体"/>
          <w:color w:val="0C0C0C"/>
        </w:rPr>
        <w:t>（如遇国家对行业增值税税率进行调整，则不含税金额按照本合同相应不含税价执行，增值税税率及增值税金额根据政策做相应调整。）</w:t>
      </w:r>
    </w:p>
    <w:tbl>
      <w:tblPr>
        <w:tblStyle w:val="47"/>
        <w:tblW w:w="9995" w:type="dxa"/>
        <w:tblInd w:w="-2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922"/>
        <w:gridCol w:w="878"/>
        <w:gridCol w:w="1334"/>
        <w:gridCol w:w="1587"/>
        <w:gridCol w:w="1097"/>
        <w:gridCol w:w="1621"/>
        <w:gridCol w:w="834"/>
        <w:gridCol w:w="1040"/>
      </w:tblGrid>
      <w:tr w14:paraId="401B4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995" w:type="dxa"/>
            <w:gridSpan w:val="9"/>
            <w:tcBorders>
              <w:top w:val="single" w:color="auto" w:sz="4" w:space="0"/>
              <w:left w:val="single" w:color="auto" w:sz="4" w:space="0"/>
              <w:bottom w:val="single" w:color="auto" w:sz="4" w:space="0"/>
              <w:right w:val="single" w:color="auto" w:sz="4" w:space="0"/>
            </w:tcBorders>
            <w:vAlign w:val="center"/>
          </w:tcPr>
          <w:p w14:paraId="7ACD0A48">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台州湾新区中国家庭帆船赛台州站配套工程（浮筒平台采购）</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重新招标）</w:t>
            </w:r>
          </w:p>
        </w:tc>
      </w:tr>
      <w:tr w14:paraId="77431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682" w:type="dxa"/>
            <w:tcBorders>
              <w:top w:val="single" w:color="auto" w:sz="4" w:space="0"/>
              <w:left w:val="single" w:color="auto" w:sz="4" w:space="0"/>
              <w:bottom w:val="single" w:color="auto" w:sz="4" w:space="0"/>
              <w:right w:val="single" w:color="auto" w:sz="4" w:space="0"/>
            </w:tcBorders>
            <w:vAlign w:val="center"/>
          </w:tcPr>
          <w:p w14:paraId="200631C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922" w:type="dxa"/>
            <w:tcBorders>
              <w:top w:val="single" w:color="auto" w:sz="4" w:space="0"/>
              <w:left w:val="single" w:color="auto" w:sz="4" w:space="0"/>
              <w:bottom w:val="single" w:color="auto" w:sz="4" w:space="0"/>
              <w:right w:val="single" w:color="auto" w:sz="4" w:space="0"/>
            </w:tcBorders>
            <w:vAlign w:val="center"/>
          </w:tcPr>
          <w:p w14:paraId="76A1832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878" w:type="dxa"/>
            <w:tcBorders>
              <w:top w:val="single" w:color="auto" w:sz="4" w:space="0"/>
              <w:left w:val="single" w:color="auto" w:sz="4" w:space="0"/>
              <w:bottom w:val="single" w:color="auto" w:sz="4" w:space="0"/>
              <w:right w:val="single" w:color="auto" w:sz="4" w:space="0"/>
            </w:tcBorders>
            <w:vAlign w:val="center"/>
          </w:tcPr>
          <w:p w14:paraId="58767EB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334" w:type="dxa"/>
            <w:tcBorders>
              <w:top w:val="single" w:color="auto" w:sz="4" w:space="0"/>
              <w:left w:val="single" w:color="auto" w:sz="4" w:space="0"/>
              <w:bottom w:val="single" w:color="auto" w:sz="4" w:space="0"/>
              <w:right w:val="single" w:color="auto" w:sz="4" w:space="0"/>
            </w:tcBorders>
            <w:vAlign w:val="center"/>
          </w:tcPr>
          <w:p w14:paraId="6047476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587" w:type="dxa"/>
            <w:tcBorders>
              <w:top w:val="single" w:color="auto" w:sz="4" w:space="0"/>
              <w:left w:val="single" w:color="auto" w:sz="4" w:space="0"/>
              <w:bottom w:val="single" w:color="auto" w:sz="4" w:space="0"/>
              <w:right w:val="single" w:color="auto" w:sz="4" w:space="0"/>
            </w:tcBorders>
            <w:vAlign w:val="center"/>
          </w:tcPr>
          <w:p w14:paraId="57E316E5">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097" w:type="dxa"/>
            <w:tcBorders>
              <w:top w:val="single" w:color="auto" w:sz="4" w:space="0"/>
              <w:left w:val="single" w:color="auto" w:sz="4" w:space="0"/>
              <w:bottom w:val="single" w:color="auto" w:sz="4" w:space="0"/>
              <w:right w:val="single" w:color="auto" w:sz="4" w:space="0"/>
            </w:tcBorders>
            <w:vAlign w:val="center"/>
          </w:tcPr>
          <w:p w14:paraId="448080F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621" w:type="dxa"/>
            <w:tcBorders>
              <w:left w:val="single" w:color="auto" w:sz="4" w:space="0"/>
              <w:bottom w:val="single" w:color="auto" w:sz="4" w:space="0"/>
              <w:right w:val="single" w:color="auto" w:sz="4" w:space="0"/>
            </w:tcBorders>
            <w:vAlign w:val="center"/>
          </w:tcPr>
          <w:p w14:paraId="4BCE2C9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c>
          <w:tcPr>
            <w:tcW w:w="834" w:type="dxa"/>
            <w:tcBorders>
              <w:left w:val="single" w:color="auto" w:sz="4" w:space="0"/>
              <w:bottom w:val="single" w:color="auto" w:sz="4" w:space="0"/>
              <w:right w:val="single" w:color="auto" w:sz="4" w:space="0"/>
            </w:tcBorders>
            <w:vAlign w:val="center"/>
          </w:tcPr>
          <w:p w14:paraId="0E52FBD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单价（元）</w:t>
            </w:r>
          </w:p>
        </w:tc>
        <w:tc>
          <w:tcPr>
            <w:tcW w:w="1040" w:type="dxa"/>
            <w:tcBorders>
              <w:left w:val="single" w:color="auto" w:sz="4" w:space="0"/>
              <w:bottom w:val="single" w:color="auto" w:sz="4" w:space="0"/>
              <w:right w:val="single" w:color="auto" w:sz="4" w:space="0"/>
            </w:tcBorders>
            <w:vAlign w:val="center"/>
          </w:tcPr>
          <w:p w14:paraId="726551D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合计（元）</w:t>
            </w:r>
          </w:p>
        </w:tc>
      </w:tr>
      <w:tr w14:paraId="5CB92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82" w:type="dxa"/>
            <w:tcBorders>
              <w:top w:val="single" w:color="auto" w:sz="4" w:space="0"/>
              <w:left w:val="single" w:color="auto" w:sz="4" w:space="0"/>
              <w:bottom w:val="single" w:color="auto" w:sz="4" w:space="0"/>
              <w:right w:val="single" w:color="auto" w:sz="4" w:space="0"/>
            </w:tcBorders>
            <w:vAlign w:val="center"/>
          </w:tcPr>
          <w:p w14:paraId="1164A5E3">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922" w:type="dxa"/>
            <w:tcBorders>
              <w:top w:val="single" w:color="auto" w:sz="4" w:space="0"/>
              <w:left w:val="single" w:color="auto" w:sz="4" w:space="0"/>
              <w:bottom w:val="single" w:color="auto" w:sz="4" w:space="0"/>
              <w:right w:val="single" w:color="auto" w:sz="4" w:space="0"/>
            </w:tcBorders>
            <w:vAlign w:val="center"/>
          </w:tcPr>
          <w:p w14:paraId="0F14703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878" w:type="dxa"/>
            <w:tcBorders>
              <w:top w:val="single" w:color="auto" w:sz="4" w:space="0"/>
              <w:left w:val="single" w:color="auto" w:sz="4" w:space="0"/>
              <w:bottom w:val="single" w:color="auto" w:sz="4" w:space="0"/>
              <w:right w:val="single" w:color="auto" w:sz="4" w:space="0"/>
            </w:tcBorders>
            <w:vAlign w:val="center"/>
          </w:tcPr>
          <w:p w14:paraId="0F8A333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334" w:type="dxa"/>
            <w:tcBorders>
              <w:top w:val="single" w:color="auto" w:sz="4" w:space="0"/>
              <w:left w:val="single" w:color="auto" w:sz="4" w:space="0"/>
              <w:bottom w:val="single" w:color="auto" w:sz="4" w:space="0"/>
              <w:right w:val="single" w:color="auto" w:sz="4" w:space="0"/>
            </w:tcBorders>
            <w:vAlign w:val="center"/>
          </w:tcPr>
          <w:p w14:paraId="4C21D8D0">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587" w:type="dxa"/>
            <w:tcBorders>
              <w:top w:val="single" w:color="auto" w:sz="4" w:space="0"/>
              <w:left w:val="single" w:color="auto" w:sz="4" w:space="0"/>
              <w:bottom w:val="single" w:color="auto" w:sz="4" w:space="0"/>
              <w:right w:val="single" w:color="auto" w:sz="4" w:space="0"/>
            </w:tcBorders>
            <w:vAlign w:val="center"/>
          </w:tcPr>
          <w:p w14:paraId="63B4EE4E">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6"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097" w:type="dxa"/>
            <w:tcBorders>
              <w:top w:val="single" w:color="auto" w:sz="4" w:space="0"/>
              <w:left w:val="single" w:color="auto" w:sz="4" w:space="0"/>
              <w:bottom w:val="single" w:color="auto" w:sz="4" w:space="0"/>
              <w:right w:val="single" w:color="auto" w:sz="4" w:space="0"/>
            </w:tcBorders>
            <w:vAlign w:val="center"/>
          </w:tcPr>
          <w:p w14:paraId="2AF423E9">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621" w:type="dxa"/>
            <w:tcBorders>
              <w:top w:val="single" w:color="auto" w:sz="4" w:space="0"/>
              <w:left w:val="single" w:color="auto" w:sz="4" w:space="0"/>
              <w:bottom w:val="single" w:color="auto" w:sz="4" w:space="0"/>
              <w:right w:val="single" w:color="auto" w:sz="4" w:space="0"/>
            </w:tcBorders>
            <w:vAlign w:val="center"/>
          </w:tcPr>
          <w:p w14:paraId="6EA04D2D">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c>
          <w:tcPr>
            <w:tcW w:w="834" w:type="dxa"/>
            <w:tcBorders>
              <w:top w:val="single" w:color="auto" w:sz="4" w:space="0"/>
              <w:left w:val="single" w:color="auto" w:sz="4" w:space="0"/>
              <w:bottom w:val="single" w:color="auto" w:sz="4" w:space="0"/>
              <w:right w:val="single" w:color="auto" w:sz="4" w:space="0"/>
            </w:tcBorders>
            <w:vAlign w:val="center"/>
          </w:tcPr>
          <w:p w14:paraId="0200C42A">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14:paraId="19BDFED5">
            <w:pPr>
              <w:widowControl/>
              <w:jc w:val="left"/>
              <w:textAlignment w:val="center"/>
              <w:rPr>
                <w:rFonts w:ascii="宋体" w:hAnsi="宋体" w:cs="宋体"/>
                <w:color w:val="000000"/>
                <w:kern w:val="0"/>
                <w:sz w:val="22"/>
                <w:szCs w:val="22"/>
                <w:lang w:bidi="ar"/>
              </w:rPr>
            </w:pPr>
          </w:p>
        </w:tc>
      </w:tr>
      <w:tr w14:paraId="721F1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682" w:type="dxa"/>
            <w:tcBorders>
              <w:top w:val="single" w:color="auto" w:sz="4" w:space="0"/>
              <w:left w:val="single" w:color="auto" w:sz="4" w:space="0"/>
              <w:bottom w:val="single" w:color="auto" w:sz="4" w:space="0"/>
              <w:right w:val="single" w:color="auto" w:sz="4" w:space="0"/>
            </w:tcBorders>
            <w:vAlign w:val="center"/>
          </w:tcPr>
          <w:p w14:paraId="1376A58D">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922" w:type="dxa"/>
            <w:tcBorders>
              <w:top w:val="single" w:color="auto" w:sz="4" w:space="0"/>
              <w:left w:val="single" w:color="auto" w:sz="4" w:space="0"/>
              <w:bottom w:val="single" w:color="auto" w:sz="4" w:space="0"/>
              <w:right w:val="single" w:color="auto" w:sz="4" w:space="0"/>
            </w:tcBorders>
            <w:vAlign w:val="center"/>
          </w:tcPr>
          <w:p w14:paraId="702473F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878" w:type="dxa"/>
            <w:tcBorders>
              <w:top w:val="single" w:color="auto" w:sz="4" w:space="0"/>
              <w:left w:val="single" w:color="auto" w:sz="4" w:space="0"/>
              <w:bottom w:val="single" w:color="auto" w:sz="4" w:space="0"/>
              <w:right w:val="single" w:color="auto" w:sz="4" w:space="0"/>
            </w:tcBorders>
            <w:vAlign w:val="center"/>
          </w:tcPr>
          <w:p w14:paraId="2D49ED7A">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334" w:type="dxa"/>
            <w:tcBorders>
              <w:top w:val="single" w:color="auto" w:sz="4" w:space="0"/>
              <w:left w:val="single" w:color="auto" w:sz="4" w:space="0"/>
              <w:bottom w:val="single" w:color="auto" w:sz="4" w:space="0"/>
              <w:right w:val="single" w:color="auto" w:sz="4" w:space="0"/>
            </w:tcBorders>
            <w:vAlign w:val="center"/>
          </w:tcPr>
          <w:p w14:paraId="1FE3A89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587" w:type="dxa"/>
            <w:tcBorders>
              <w:top w:val="single" w:color="auto" w:sz="4" w:space="0"/>
              <w:left w:val="single" w:color="auto" w:sz="4" w:space="0"/>
              <w:bottom w:val="single" w:color="auto" w:sz="4" w:space="0"/>
              <w:right w:val="single" w:color="auto" w:sz="4" w:space="0"/>
            </w:tcBorders>
            <w:vAlign w:val="center"/>
          </w:tcPr>
          <w:p w14:paraId="18D27408">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4"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097" w:type="dxa"/>
            <w:tcBorders>
              <w:top w:val="single" w:color="auto" w:sz="4" w:space="0"/>
              <w:left w:val="single" w:color="auto" w:sz="4" w:space="0"/>
              <w:bottom w:val="single" w:color="auto" w:sz="4" w:space="0"/>
              <w:right w:val="single" w:color="auto" w:sz="4" w:space="0"/>
            </w:tcBorders>
            <w:vAlign w:val="center"/>
          </w:tcPr>
          <w:p w14:paraId="47954C0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621" w:type="dxa"/>
            <w:tcBorders>
              <w:top w:val="single" w:color="auto" w:sz="4" w:space="0"/>
              <w:left w:val="single" w:color="auto" w:sz="4" w:space="0"/>
              <w:bottom w:val="single" w:color="auto" w:sz="4" w:space="0"/>
              <w:right w:val="single" w:color="auto" w:sz="4" w:space="0"/>
            </w:tcBorders>
            <w:vAlign w:val="center"/>
          </w:tcPr>
          <w:p w14:paraId="4C7573DE">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c>
          <w:tcPr>
            <w:tcW w:w="834" w:type="dxa"/>
            <w:tcBorders>
              <w:top w:val="single" w:color="auto" w:sz="4" w:space="0"/>
              <w:left w:val="single" w:color="auto" w:sz="4" w:space="0"/>
              <w:bottom w:val="single" w:color="auto" w:sz="4" w:space="0"/>
              <w:right w:val="single" w:color="auto" w:sz="4" w:space="0"/>
            </w:tcBorders>
            <w:vAlign w:val="center"/>
          </w:tcPr>
          <w:p w14:paraId="54AF72EF">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14:paraId="15F9A72B">
            <w:pPr>
              <w:widowControl/>
              <w:jc w:val="left"/>
              <w:textAlignment w:val="center"/>
              <w:rPr>
                <w:rFonts w:ascii="宋体" w:hAnsi="宋体" w:cs="宋体"/>
                <w:color w:val="000000"/>
                <w:kern w:val="0"/>
                <w:sz w:val="22"/>
                <w:szCs w:val="22"/>
                <w:lang w:bidi="ar"/>
              </w:rPr>
            </w:pPr>
          </w:p>
        </w:tc>
      </w:tr>
      <w:tr w14:paraId="796E2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682" w:type="dxa"/>
            <w:tcBorders>
              <w:top w:val="single" w:color="auto" w:sz="4" w:space="0"/>
              <w:left w:val="single" w:color="auto" w:sz="4" w:space="0"/>
              <w:bottom w:val="single" w:color="auto" w:sz="4" w:space="0"/>
              <w:right w:val="single" w:color="auto" w:sz="4" w:space="0"/>
            </w:tcBorders>
            <w:vAlign w:val="center"/>
          </w:tcPr>
          <w:p w14:paraId="01E98AE8">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922" w:type="dxa"/>
            <w:tcBorders>
              <w:top w:val="single" w:color="auto" w:sz="4" w:space="0"/>
              <w:left w:val="single" w:color="auto" w:sz="4" w:space="0"/>
              <w:bottom w:val="single" w:color="auto" w:sz="4" w:space="0"/>
              <w:right w:val="single" w:color="auto" w:sz="4" w:space="0"/>
            </w:tcBorders>
            <w:vAlign w:val="center"/>
          </w:tcPr>
          <w:p w14:paraId="1B5BC23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878" w:type="dxa"/>
            <w:tcBorders>
              <w:top w:val="single" w:color="auto" w:sz="4" w:space="0"/>
              <w:left w:val="single" w:color="auto" w:sz="4" w:space="0"/>
              <w:bottom w:val="single" w:color="auto" w:sz="4" w:space="0"/>
              <w:right w:val="single" w:color="auto" w:sz="4" w:space="0"/>
            </w:tcBorders>
            <w:vAlign w:val="center"/>
          </w:tcPr>
          <w:p w14:paraId="54C3F43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334" w:type="dxa"/>
            <w:tcBorders>
              <w:top w:val="single" w:color="auto" w:sz="4" w:space="0"/>
              <w:left w:val="single" w:color="auto" w:sz="4" w:space="0"/>
              <w:bottom w:val="single" w:color="auto" w:sz="4" w:space="0"/>
              <w:right w:val="single" w:color="auto" w:sz="4" w:space="0"/>
            </w:tcBorders>
            <w:vAlign w:val="center"/>
          </w:tcPr>
          <w:p w14:paraId="14813F4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587" w:type="dxa"/>
            <w:tcBorders>
              <w:top w:val="single" w:color="auto" w:sz="4" w:space="0"/>
              <w:left w:val="single" w:color="auto" w:sz="4" w:space="0"/>
              <w:bottom w:val="single" w:color="auto" w:sz="4" w:space="0"/>
              <w:right w:val="single" w:color="auto" w:sz="4" w:space="0"/>
            </w:tcBorders>
            <w:vAlign w:val="center"/>
          </w:tcPr>
          <w:p w14:paraId="42705F29">
            <w:pPr>
              <w:widowControl/>
              <w:jc w:val="center"/>
              <w:textAlignment w:val="center"/>
              <w:rPr>
                <w:rFonts w:ascii="宋体" w:hAnsi="宋体" w:cs="宋体"/>
                <w:color w:val="000000"/>
                <w:kern w:val="0"/>
                <w:sz w:val="22"/>
                <w:szCs w:val="22"/>
                <w:lang w:bidi="ar"/>
              </w:rPr>
            </w:pPr>
          </w:p>
        </w:tc>
        <w:tc>
          <w:tcPr>
            <w:tcW w:w="1097" w:type="dxa"/>
            <w:tcBorders>
              <w:top w:val="single" w:color="auto" w:sz="4" w:space="0"/>
              <w:left w:val="single" w:color="auto" w:sz="4" w:space="0"/>
              <w:bottom w:val="single" w:color="auto" w:sz="4" w:space="0"/>
              <w:right w:val="single" w:color="auto" w:sz="4" w:space="0"/>
            </w:tcBorders>
            <w:vAlign w:val="center"/>
          </w:tcPr>
          <w:p w14:paraId="4E82B4F5">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621" w:type="dxa"/>
            <w:tcBorders>
              <w:top w:val="single" w:color="auto" w:sz="4" w:space="0"/>
              <w:left w:val="single" w:color="auto" w:sz="4" w:space="0"/>
              <w:bottom w:val="single" w:color="auto" w:sz="4" w:space="0"/>
              <w:right w:val="single" w:color="auto" w:sz="4" w:space="0"/>
            </w:tcBorders>
            <w:vAlign w:val="center"/>
          </w:tcPr>
          <w:p w14:paraId="36A3F3B6">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c>
          <w:tcPr>
            <w:tcW w:w="834" w:type="dxa"/>
            <w:tcBorders>
              <w:top w:val="single" w:color="auto" w:sz="4" w:space="0"/>
              <w:left w:val="single" w:color="auto" w:sz="4" w:space="0"/>
              <w:bottom w:val="single" w:color="auto" w:sz="4" w:space="0"/>
              <w:right w:val="single" w:color="auto" w:sz="4" w:space="0"/>
            </w:tcBorders>
            <w:vAlign w:val="center"/>
          </w:tcPr>
          <w:p w14:paraId="7D87134A">
            <w:pPr>
              <w:widowControl/>
              <w:jc w:val="left"/>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14:paraId="566D113E">
            <w:pPr>
              <w:widowControl/>
              <w:jc w:val="left"/>
              <w:textAlignment w:val="center"/>
              <w:rPr>
                <w:rFonts w:ascii="宋体" w:hAnsi="宋体" w:cs="宋体"/>
                <w:color w:val="000000"/>
                <w:kern w:val="0"/>
                <w:sz w:val="22"/>
                <w:szCs w:val="22"/>
                <w:lang w:bidi="ar"/>
              </w:rPr>
            </w:pPr>
          </w:p>
        </w:tc>
      </w:tr>
      <w:tr w14:paraId="18CB9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9995" w:type="dxa"/>
            <w:gridSpan w:val="9"/>
            <w:tcBorders>
              <w:top w:val="single" w:color="auto" w:sz="4" w:space="0"/>
              <w:left w:val="single" w:color="auto" w:sz="4" w:space="0"/>
              <w:bottom w:val="single" w:color="auto" w:sz="4" w:space="0"/>
              <w:right w:val="single" w:color="auto" w:sz="4" w:space="0"/>
            </w:tcBorders>
            <w:vAlign w:val="center"/>
          </w:tcPr>
          <w:p w14:paraId="380C7538">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总报价=1+2+3= </w:t>
            </w:r>
            <w:r>
              <w:rPr>
                <w:rFonts w:hint="eastAsia"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元</w:t>
            </w:r>
          </w:p>
        </w:tc>
      </w:tr>
    </w:tbl>
    <w:p w14:paraId="11BEE2B1">
      <w:pPr>
        <w:pStyle w:val="29"/>
        <w:snapToGrid w:val="0"/>
        <w:spacing w:before="120" w:beforeLines="0" w:after="120" w:afterLines="0" w:line="240" w:lineRule="auto"/>
        <w:outlineLvl w:val="0"/>
        <w:rPr>
          <w:rFonts w:hAnsi="宋体"/>
          <w:color w:val="0C0C0C"/>
          <w:szCs w:val="21"/>
        </w:rPr>
      </w:pPr>
      <w:r>
        <w:rPr>
          <w:rFonts w:hint="eastAsia" w:hAnsi="宋体"/>
          <w:color w:val="0C0C0C"/>
          <w:szCs w:val="21"/>
        </w:rPr>
        <w:t>单价保留整数，合计、总报价保留整数。</w:t>
      </w:r>
    </w:p>
    <w:p w14:paraId="44D1307C">
      <w:pPr>
        <w:pStyle w:val="29"/>
        <w:snapToGrid w:val="0"/>
        <w:spacing w:before="120" w:beforeLines="0" w:after="120" w:afterLines="0" w:line="420" w:lineRule="exact"/>
        <w:rPr>
          <w:rFonts w:hAnsi="宋体"/>
          <w:color w:val="0C0C0C"/>
        </w:rPr>
      </w:pPr>
      <w:r>
        <w:rPr>
          <w:rFonts w:hint="eastAsia" w:hAnsi="宋体"/>
          <w:color w:val="0C0C0C"/>
        </w:rPr>
        <w:t>2.2交货货物数量由卖方计量，买方及有关部门核准，工程量按实结算。</w:t>
      </w:r>
    </w:p>
    <w:p w14:paraId="2CF48501">
      <w:pPr>
        <w:pStyle w:val="29"/>
        <w:snapToGrid w:val="0"/>
        <w:spacing w:before="120" w:beforeLines="0" w:after="120" w:afterLines="0" w:line="420" w:lineRule="exact"/>
        <w:rPr>
          <w:rFonts w:hAnsi="宋体"/>
          <w:b/>
          <w:color w:val="0D0D0D"/>
        </w:rPr>
      </w:pPr>
      <w:r>
        <w:rPr>
          <w:rFonts w:hAnsi="宋体"/>
          <w:b/>
          <w:color w:val="0D0D0D"/>
        </w:rPr>
        <w:t>三、技术资料</w:t>
      </w:r>
    </w:p>
    <w:p w14:paraId="4181FC8A">
      <w:pPr>
        <w:pStyle w:val="29"/>
        <w:snapToGrid w:val="0"/>
        <w:spacing w:before="120" w:beforeLines="0" w:after="120" w:afterLines="0" w:line="420" w:lineRule="exact"/>
        <w:rPr>
          <w:rFonts w:hAnsi="宋体"/>
          <w:color w:val="0D0D0D"/>
        </w:rPr>
      </w:pPr>
      <w:r>
        <w:rPr>
          <w:rFonts w:hAnsi="宋体"/>
          <w:color w:val="0D0D0D"/>
        </w:rPr>
        <w:t>3.1</w:t>
      </w:r>
      <w:r>
        <w:rPr>
          <w:rFonts w:hint="eastAsia" w:hAnsi="宋体"/>
          <w:color w:val="0D0D0D"/>
        </w:rPr>
        <w:t xml:space="preserve"> </w:t>
      </w:r>
      <w:r>
        <w:rPr>
          <w:rFonts w:hAnsi="宋体"/>
          <w:color w:val="0D0D0D"/>
        </w:rPr>
        <w:t>乙方应按招标文件规定的时间向甲方提供使用货物的有关技术资料。</w:t>
      </w:r>
    </w:p>
    <w:p w14:paraId="745A68D0">
      <w:pPr>
        <w:pStyle w:val="29"/>
        <w:snapToGrid w:val="0"/>
        <w:spacing w:before="120" w:beforeLines="0" w:after="120" w:afterLines="0" w:line="420" w:lineRule="exact"/>
        <w:rPr>
          <w:rFonts w:hAnsi="宋体"/>
          <w:color w:val="0D0D0D"/>
        </w:rPr>
      </w:pPr>
      <w:r>
        <w:rPr>
          <w:rFonts w:hAnsi="宋体"/>
          <w:color w:val="0D0D0D"/>
        </w:rPr>
        <w:t>3.2</w:t>
      </w:r>
      <w:r>
        <w:rPr>
          <w:rFonts w:hint="eastAsia" w:hAnsi="宋体"/>
          <w:color w:val="0D0D0D"/>
        </w:rPr>
        <w:t xml:space="preserve"> </w:t>
      </w:r>
      <w:r>
        <w:rPr>
          <w:rFonts w:hAnsi="宋体"/>
          <w:color w:val="0D0D0D"/>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FCBAD8">
      <w:pPr>
        <w:pStyle w:val="29"/>
        <w:snapToGrid w:val="0"/>
        <w:spacing w:before="120" w:beforeLines="0" w:after="120" w:afterLines="0" w:line="420" w:lineRule="exact"/>
        <w:rPr>
          <w:rFonts w:hAnsi="宋体"/>
          <w:b/>
          <w:color w:val="0D0D0D"/>
        </w:rPr>
      </w:pPr>
      <w:r>
        <w:rPr>
          <w:rFonts w:hAnsi="宋体"/>
          <w:b/>
          <w:color w:val="0D0D0D"/>
        </w:rPr>
        <w:t>四、知识产权</w:t>
      </w:r>
    </w:p>
    <w:p w14:paraId="691AB49F">
      <w:pPr>
        <w:pStyle w:val="29"/>
        <w:snapToGrid w:val="0"/>
        <w:spacing w:before="120" w:beforeLines="0" w:after="120" w:afterLines="0" w:line="420" w:lineRule="exact"/>
        <w:rPr>
          <w:rFonts w:hAnsi="宋体"/>
          <w:color w:val="0D0D0D"/>
        </w:rPr>
      </w:pPr>
      <w:r>
        <w:rPr>
          <w:rFonts w:hAnsi="宋体"/>
          <w:color w:val="0D0D0D"/>
        </w:rPr>
        <w:t>4.1</w:t>
      </w:r>
      <w:r>
        <w:rPr>
          <w:rFonts w:hint="eastAsia" w:hAnsi="宋体"/>
          <w:color w:val="0D0D0D"/>
        </w:rPr>
        <w:t xml:space="preserve"> </w:t>
      </w:r>
      <w:r>
        <w:rPr>
          <w:rFonts w:hAnsi="宋体"/>
          <w:color w:val="0D0D0D"/>
        </w:rPr>
        <w:t>乙方应保证所提供的货物或其任何一部分均不会侵犯任何第三方的知识产权。</w:t>
      </w:r>
    </w:p>
    <w:p w14:paraId="343C9C07">
      <w:pPr>
        <w:pStyle w:val="29"/>
        <w:snapToGrid w:val="0"/>
        <w:spacing w:before="120" w:beforeLines="0" w:after="120" w:afterLines="0" w:line="420" w:lineRule="exact"/>
        <w:rPr>
          <w:rFonts w:hAnsi="宋体"/>
          <w:b/>
          <w:color w:val="0D0D0D"/>
        </w:rPr>
      </w:pPr>
      <w:r>
        <w:rPr>
          <w:rFonts w:hAnsi="宋体"/>
          <w:b/>
          <w:color w:val="0D0D0D"/>
        </w:rPr>
        <w:t>五、产权担保</w:t>
      </w:r>
    </w:p>
    <w:p w14:paraId="4A22C99C">
      <w:pPr>
        <w:pStyle w:val="29"/>
        <w:snapToGrid w:val="0"/>
        <w:spacing w:before="120" w:beforeLines="0" w:after="120" w:afterLines="0" w:line="420" w:lineRule="exact"/>
        <w:rPr>
          <w:rFonts w:hAnsi="宋体"/>
          <w:color w:val="0D0D0D"/>
        </w:rPr>
      </w:pPr>
      <w:r>
        <w:rPr>
          <w:rFonts w:hAnsi="宋体"/>
          <w:color w:val="0D0D0D"/>
        </w:rPr>
        <w:t>5.1</w:t>
      </w:r>
      <w:r>
        <w:rPr>
          <w:rFonts w:hint="eastAsia" w:hAnsi="宋体"/>
          <w:color w:val="0D0D0D"/>
        </w:rPr>
        <w:t xml:space="preserve"> </w:t>
      </w:r>
      <w:r>
        <w:rPr>
          <w:rFonts w:hAnsi="宋体"/>
          <w:color w:val="0D0D0D"/>
        </w:rPr>
        <w:t>乙方保证所交付的货物的所有权完全属于乙方且无任何抵押、查封等产权瑕疵。</w:t>
      </w:r>
    </w:p>
    <w:p w14:paraId="1884969A">
      <w:pPr>
        <w:pStyle w:val="29"/>
        <w:snapToGrid w:val="0"/>
        <w:spacing w:before="120" w:beforeLines="0" w:after="120" w:afterLines="0" w:line="420" w:lineRule="exact"/>
        <w:rPr>
          <w:rFonts w:hAnsi="宋体"/>
          <w:b/>
          <w:color w:val="0D0D0D"/>
        </w:rPr>
      </w:pPr>
      <w:r>
        <w:rPr>
          <w:rFonts w:hAnsi="宋体"/>
          <w:b/>
          <w:color w:val="0D0D0D"/>
        </w:rPr>
        <w:t>六、履约保证金</w:t>
      </w:r>
    </w:p>
    <w:p w14:paraId="24D91AF7">
      <w:pPr>
        <w:pStyle w:val="29"/>
        <w:snapToGrid w:val="0"/>
        <w:spacing w:before="120" w:beforeLines="0" w:after="120" w:afterLines="0" w:line="420" w:lineRule="exact"/>
        <w:rPr>
          <w:rFonts w:hAnsi="宋体"/>
          <w:color w:val="0D0D0D"/>
        </w:rPr>
      </w:pPr>
      <w:r>
        <w:rPr>
          <w:rFonts w:hAnsi="宋体"/>
          <w:color w:val="0D0D0D"/>
        </w:rPr>
        <w:t>6.1</w:t>
      </w:r>
      <w:r>
        <w:rPr>
          <w:rFonts w:hint="eastAsia" w:hAnsi="宋体"/>
          <w:color w:val="0D0D0D"/>
        </w:rPr>
        <w:t xml:space="preserve"> 乙方在合同签订前向甲方缴纳合同履约保证金</w:t>
      </w:r>
      <w:r>
        <w:rPr>
          <w:rFonts w:hint="eastAsia" w:hAnsi="宋体"/>
          <w:b/>
          <w:bCs/>
          <w:color w:val="0D0D0D"/>
        </w:rPr>
        <w:t>（中标价的5%）</w:t>
      </w:r>
      <w:r>
        <w:rPr>
          <w:rFonts w:hint="eastAsia" w:hAnsi="宋体"/>
          <w:color w:val="0D0D0D"/>
        </w:rPr>
        <w:t>，在合同履行完毕（供货完成且验收合格）后</w:t>
      </w:r>
      <w:r>
        <w:rPr>
          <w:rFonts w:hint="eastAsia" w:hAnsi="宋体"/>
          <w:color w:val="0C0C0C"/>
        </w:rPr>
        <w:t>无息退还</w:t>
      </w:r>
      <w:r>
        <w:rPr>
          <w:rFonts w:hint="eastAsia" w:hAnsi="宋体"/>
          <w:color w:val="0D0D0D"/>
        </w:rPr>
        <w:t>。（履约保证金账户：台州东发建设集团有限公司；账号：</w:t>
      </w:r>
      <w:r>
        <w:rPr>
          <w:rFonts w:hAnsi="宋体" w:cs="Arial"/>
        </w:rPr>
        <w:t>33050110284009125999</w:t>
      </w:r>
      <w:r>
        <w:rPr>
          <w:rFonts w:hint="eastAsia" w:hAnsi="宋体"/>
          <w:color w:val="0D0D0D"/>
        </w:rPr>
        <w:t>；行名：建设银行台州湾新区支行。）</w:t>
      </w:r>
    </w:p>
    <w:p w14:paraId="3B24A9DD">
      <w:pPr>
        <w:pStyle w:val="29"/>
        <w:snapToGrid w:val="0"/>
        <w:spacing w:before="120" w:beforeLines="0" w:after="120" w:afterLines="0" w:line="420" w:lineRule="exact"/>
        <w:rPr>
          <w:rFonts w:hAnsi="宋体"/>
          <w:b/>
          <w:color w:val="0D0D0D"/>
        </w:rPr>
      </w:pPr>
      <w:r>
        <w:rPr>
          <w:rFonts w:hAnsi="宋体"/>
          <w:b/>
          <w:color w:val="0D0D0D"/>
        </w:rPr>
        <w:t>七.转包或分包</w:t>
      </w:r>
    </w:p>
    <w:p w14:paraId="59955A46">
      <w:pPr>
        <w:pStyle w:val="29"/>
        <w:snapToGrid w:val="0"/>
        <w:spacing w:before="120" w:beforeLines="0" w:after="120" w:afterLines="0" w:line="420" w:lineRule="exact"/>
        <w:rPr>
          <w:rFonts w:hAnsi="宋体"/>
          <w:color w:val="0D0D0D"/>
        </w:rPr>
      </w:pPr>
      <w:r>
        <w:rPr>
          <w:rFonts w:hAnsi="宋体"/>
          <w:color w:val="0D0D0D"/>
        </w:rPr>
        <w:t>7.1</w:t>
      </w:r>
      <w:r>
        <w:rPr>
          <w:rFonts w:hint="eastAsia" w:hAnsi="宋体"/>
          <w:color w:val="0D0D0D"/>
        </w:rPr>
        <w:t xml:space="preserve"> </w:t>
      </w:r>
      <w:r>
        <w:rPr>
          <w:rFonts w:hAnsi="宋体"/>
          <w:color w:val="0D0D0D"/>
        </w:rPr>
        <w:t>本合同范围的货物，应由供方直接供应，不得转让他人供应；</w:t>
      </w:r>
    </w:p>
    <w:p w14:paraId="40AA934B">
      <w:pPr>
        <w:pStyle w:val="29"/>
        <w:snapToGrid w:val="0"/>
        <w:spacing w:before="120" w:beforeLines="0" w:after="120" w:afterLines="0" w:line="420" w:lineRule="exact"/>
        <w:rPr>
          <w:rFonts w:hAnsi="宋体"/>
          <w:color w:val="0D0D0D"/>
        </w:rPr>
      </w:pPr>
      <w:r>
        <w:rPr>
          <w:rFonts w:hAnsi="宋体"/>
          <w:color w:val="0D0D0D"/>
        </w:rPr>
        <w:t>7.2</w:t>
      </w:r>
      <w:r>
        <w:rPr>
          <w:rFonts w:hint="eastAsia" w:hAnsi="宋体"/>
          <w:color w:val="0D0D0D"/>
        </w:rPr>
        <w:t xml:space="preserve"> </w:t>
      </w:r>
      <w:r>
        <w:rPr>
          <w:rFonts w:hAnsi="宋体"/>
          <w:color w:val="0D0D0D"/>
        </w:rPr>
        <w:t>除非得到需方的书面同意，供方不得部分分包给他人供应。</w:t>
      </w:r>
    </w:p>
    <w:p w14:paraId="2B016D9D">
      <w:pPr>
        <w:pStyle w:val="29"/>
        <w:snapToGrid w:val="0"/>
        <w:spacing w:before="120" w:beforeLines="0" w:after="120" w:afterLines="0" w:line="420" w:lineRule="exact"/>
        <w:rPr>
          <w:rFonts w:hAnsi="宋体"/>
          <w:color w:val="0D0D0D"/>
        </w:rPr>
      </w:pPr>
      <w:r>
        <w:rPr>
          <w:rFonts w:hAnsi="宋体"/>
          <w:color w:val="0D0D0D"/>
        </w:rPr>
        <w:t>7.3</w:t>
      </w:r>
      <w:r>
        <w:rPr>
          <w:rFonts w:hint="eastAsia" w:hAnsi="宋体"/>
          <w:color w:val="0D0D0D"/>
        </w:rPr>
        <w:t xml:space="preserve"> </w:t>
      </w:r>
      <w:r>
        <w:rPr>
          <w:rFonts w:hAnsi="宋体"/>
          <w:color w:val="0D0D0D"/>
        </w:rPr>
        <w:t>如有转让和未经需方同意的分包行为，需方有权给予终止合同。</w:t>
      </w:r>
    </w:p>
    <w:p w14:paraId="47D49D3C">
      <w:pPr>
        <w:pStyle w:val="29"/>
        <w:snapToGrid w:val="0"/>
        <w:spacing w:before="120" w:beforeLines="0" w:after="120" w:afterLines="0" w:line="420" w:lineRule="exact"/>
        <w:rPr>
          <w:rFonts w:hAnsi="宋体"/>
          <w:b/>
          <w:bCs/>
          <w:color w:val="0D0D0D"/>
        </w:rPr>
      </w:pPr>
      <w:r>
        <w:rPr>
          <w:rFonts w:hint="eastAsia" w:hAnsi="宋体"/>
          <w:b/>
          <w:bCs/>
          <w:color w:val="0D0D0D"/>
        </w:rPr>
        <w:t>八.履约保证金的罚没</w:t>
      </w:r>
    </w:p>
    <w:p w14:paraId="6B78F199">
      <w:pPr>
        <w:pStyle w:val="29"/>
        <w:snapToGrid w:val="0"/>
        <w:spacing w:before="120" w:after="120" w:line="420" w:lineRule="exact"/>
        <w:rPr>
          <w:rFonts w:hAnsi="宋体"/>
          <w:color w:val="0D0D0D"/>
        </w:rPr>
      </w:pPr>
      <w:r>
        <w:rPr>
          <w:rFonts w:hint="eastAsia" w:hAnsi="宋体"/>
          <w:color w:val="0D0D0D"/>
        </w:rPr>
        <w:t>8.1 如卖方未能履行合同规定的任何义务给买方造成直接或间接损失的，买方有权从直接从履约保证金中予以补偿。</w:t>
      </w:r>
    </w:p>
    <w:p w14:paraId="0841C04E">
      <w:pPr>
        <w:pStyle w:val="29"/>
        <w:snapToGrid w:val="0"/>
        <w:spacing w:before="120" w:after="120" w:line="420" w:lineRule="exact"/>
        <w:rPr>
          <w:rFonts w:hAnsi="宋体"/>
          <w:color w:val="0D0D0D"/>
        </w:rPr>
      </w:pPr>
      <w:r>
        <w:rPr>
          <w:rFonts w:hint="eastAsia" w:hAnsi="宋体"/>
          <w:color w:val="0D0D0D"/>
        </w:rPr>
        <w:t>8.2 如果卖方拒绝履行合同规定的义务，经催告后在合理期限内仍不履行的，买方有权没收全部履约保证金，并另行追索违约赔偿金。</w:t>
      </w:r>
    </w:p>
    <w:p w14:paraId="7A28523D">
      <w:pPr>
        <w:pStyle w:val="29"/>
        <w:snapToGrid w:val="0"/>
        <w:spacing w:before="120" w:beforeLines="0" w:after="120" w:afterLines="0" w:line="420" w:lineRule="exact"/>
        <w:rPr>
          <w:rFonts w:hAnsi="宋体"/>
          <w:color w:val="0D0D0D"/>
        </w:rPr>
      </w:pPr>
      <w:r>
        <w:rPr>
          <w:rFonts w:hint="eastAsia" w:hAnsi="宋体"/>
          <w:color w:val="0D0D0D"/>
        </w:rPr>
        <w:t>8.3 卖方提供的货物须和投标报价中所承诺的货物规格、数量、型号等相符（合同中另有规定除外）；对于卖方提供了不符合招标需求中的材料，买方将不予接收，由此造成的工期延误及损失由卖方自负，买方除追究卖方责任外，还视实际情况保留没收履约保证金的权利。</w:t>
      </w:r>
    </w:p>
    <w:p w14:paraId="374CBD1C">
      <w:pPr>
        <w:pStyle w:val="29"/>
        <w:snapToGrid w:val="0"/>
        <w:spacing w:before="120" w:beforeLines="0" w:after="120" w:afterLines="0" w:line="420" w:lineRule="exact"/>
        <w:rPr>
          <w:rFonts w:hAnsi="宋体"/>
          <w:b/>
          <w:color w:val="0D0D0D"/>
        </w:rPr>
      </w:pPr>
      <w:r>
        <w:rPr>
          <w:rFonts w:hAnsi="宋体"/>
          <w:b/>
          <w:color w:val="0D0D0D"/>
        </w:rPr>
        <w:t>九、交货期、交货方式及交货地点</w:t>
      </w:r>
    </w:p>
    <w:p w14:paraId="47515A4C">
      <w:pPr>
        <w:pStyle w:val="29"/>
        <w:snapToGrid w:val="0"/>
        <w:spacing w:before="120" w:beforeLines="0" w:after="120" w:afterLines="0" w:line="420" w:lineRule="exact"/>
        <w:rPr>
          <w:rFonts w:hAnsi="宋体"/>
          <w:color w:val="0D0D0D"/>
        </w:rPr>
      </w:pPr>
      <w:r>
        <w:rPr>
          <w:rFonts w:hint="eastAsia" w:hAnsi="宋体"/>
          <w:color w:val="0D0D0D"/>
        </w:rPr>
        <w:t>9.1 货物到场时间要求：自收到中标通知书后7日内完成供货；</w:t>
      </w:r>
    </w:p>
    <w:p w14:paraId="065A4338">
      <w:pPr>
        <w:pStyle w:val="29"/>
        <w:snapToGrid w:val="0"/>
        <w:spacing w:before="120" w:beforeLines="0" w:after="120" w:afterLines="0" w:line="420" w:lineRule="exact"/>
        <w:rPr>
          <w:rFonts w:hAnsi="宋体"/>
          <w:color w:val="0D0D0D"/>
        </w:rPr>
      </w:pPr>
      <w:r>
        <w:rPr>
          <w:rFonts w:hint="eastAsia" w:hAnsi="宋体"/>
          <w:color w:val="0D0D0D"/>
        </w:rPr>
        <w:t>9.2 交货方式：合同期内，乙方完成并交付甲方本次项目所有权；</w:t>
      </w:r>
    </w:p>
    <w:p w14:paraId="5DBDAE47">
      <w:pPr>
        <w:pStyle w:val="29"/>
        <w:snapToGrid w:val="0"/>
        <w:spacing w:before="120" w:beforeLines="0" w:after="120" w:afterLines="0" w:line="420" w:lineRule="exact"/>
        <w:rPr>
          <w:rFonts w:hAnsi="宋体"/>
          <w:color w:val="0D0D0D"/>
        </w:rPr>
      </w:pPr>
      <w:r>
        <w:rPr>
          <w:rFonts w:hint="eastAsia" w:hAnsi="宋体"/>
          <w:color w:val="0D0D0D"/>
        </w:rPr>
        <w:t>9.3 交货地点：甲方指定地点。</w:t>
      </w:r>
    </w:p>
    <w:p w14:paraId="650175BE">
      <w:pPr>
        <w:pStyle w:val="29"/>
        <w:snapToGrid w:val="0"/>
        <w:spacing w:before="120" w:beforeLines="0" w:after="120" w:afterLines="0" w:line="420" w:lineRule="exact"/>
        <w:rPr>
          <w:rFonts w:hAnsi="宋体"/>
          <w:b/>
          <w:color w:val="0D0D0D"/>
        </w:rPr>
      </w:pPr>
      <w:r>
        <w:rPr>
          <w:rFonts w:hAnsi="宋体"/>
          <w:b/>
          <w:color w:val="0D0D0D"/>
        </w:rPr>
        <w:t>十、货款支付</w:t>
      </w:r>
    </w:p>
    <w:p w14:paraId="4A95EF13">
      <w:pPr>
        <w:pStyle w:val="29"/>
        <w:snapToGrid w:val="0"/>
        <w:spacing w:before="120" w:beforeLines="0" w:after="120" w:afterLines="0" w:line="420" w:lineRule="exact"/>
        <w:rPr>
          <w:rFonts w:hAnsi="宋体"/>
          <w:color w:val="0D0D0D"/>
        </w:rPr>
      </w:pPr>
      <w:r>
        <w:rPr>
          <w:rFonts w:hAnsi="宋体"/>
          <w:color w:val="0D0D0D"/>
        </w:rPr>
        <w:t>10.1 付款方式：</w:t>
      </w:r>
      <w:r>
        <w:rPr>
          <w:rFonts w:hint="eastAsia" w:hAnsi="宋体"/>
          <w:color w:val="0C0C0C"/>
        </w:rPr>
        <w:t>如卖方在签约前未在规定的时间内提交履约保证金则买方有权拒签合同；卖方完成供货且经买方验收合格后，买方向卖方付清实际采购货款；如因项目需要分批次供货的，则每批次货物供货完成并经买方验收合格付清实际货款。</w:t>
      </w:r>
    </w:p>
    <w:p w14:paraId="3343EC8B">
      <w:pPr>
        <w:pStyle w:val="29"/>
        <w:snapToGrid w:val="0"/>
        <w:spacing w:before="120" w:beforeLines="0" w:after="120" w:afterLines="0" w:line="420" w:lineRule="exact"/>
        <w:rPr>
          <w:rFonts w:hAnsi="宋体"/>
          <w:color w:val="0D0D0D"/>
        </w:rPr>
      </w:pPr>
      <w:r>
        <w:rPr>
          <w:rFonts w:hint="eastAsia" w:hAnsi="宋体"/>
          <w:color w:val="0D0D0D"/>
        </w:rPr>
        <w:t xml:space="preserve">10.2 </w:t>
      </w:r>
      <w:r>
        <w:rPr>
          <w:rFonts w:hint="eastAsia" w:hAnsi="宋体"/>
          <w:color w:val="0C0C0C"/>
        </w:rPr>
        <w:t>乙方结算货款时，须开具正规税务增值税专用发票。</w:t>
      </w:r>
    </w:p>
    <w:p w14:paraId="2728BE71">
      <w:pPr>
        <w:pStyle w:val="29"/>
        <w:snapToGrid w:val="0"/>
        <w:spacing w:before="120" w:beforeLines="0" w:after="120" w:afterLines="0" w:line="420" w:lineRule="exact"/>
        <w:rPr>
          <w:rFonts w:hAnsi="宋体"/>
          <w:color w:val="0D0D0D"/>
        </w:rPr>
      </w:pPr>
      <w:r>
        <w:rPr>
          <w:rFonts w:hint="eastAsia" w:hAnsi="宋体"/>
          <w:color w:val="0D0D0D"/>
        </w:rPr>
        <w:t>10.3 甲方向乙方支付的所有费用均须汇入协议书中指定的承包人银行账户。</w:t>
      </w:r>
    </w:p>
    <w:p w14:paraId="06B92392">
      <w:pPr>
        <w:pStyle w:val="29"/>
        <w:snapToGrid w:val="0"/>
        <w:spacing w:before="120" w:beforeLines="0" w:after="120" w:afterLines="0" w:line="420" w:lineRule="exact"/>
        <w:rPr>
          <w:rFonts w:hAnsi="宋体"/>
          <w:b/>
          <w:color w:val="0D0D0D"/>
        </w:rPr>
      </w:pPr>
      <w:r>
        <w:rPr>
          <w:rFonts w:hAnsi="宋体"/>
          <w:b/>
          <w:color w:val="0D0D0D"/>
        </w:rPr>
        <w:t>十一.税</w:t>
      </w:r>
      <w:r>
        <w:rPr>
          <w:rFonts w:hint="eastAsia" w:hAnsi="宋体"/>
          <w:b/>
          <w:color w:val="0D0D0D"/>
        </w:rPr>
        <w:t>费</w:t>
      </w:r>
    </w:p>
    <w:p w14:paraId="0DE56A78">
      <w:pPr>
        <w:pStyle w:val="29"/>
        <w:snapToGrid w:val="0"/>
        <w:spacing w:before="120" w:beforeLines="0" w:after="120" w:afterLines="0" w:line="420" w:lineRule="exact"/>
        <w:rPr>
          <w:rFonts w:hAnsi="宋体"/>
          <w:color w:val="0D0D0D"/>
        </w:rPr>
      </w:pPr>
      <w:r>
        <w:rPr>
          <w:rFonts w:hAnsi="宋体"/>
          <w:color w:val="0D0D0D"/>
        </w:rPr>
        <w:t>11.1</w:t>
      </w:r>
      <w:r>
        <w:rPr>
          <w:rFonts w:hint="eastAsia" w:hAnsi="宋体"/>
          <w:color w:val="0D0D0D"/>
        </w:rPr>
        <w:t xml:space="preserve"> </w:t>
      </w:r>
      <w:r>
        <w:rPr>
          <w:rFonts w:hAnsi="宋体"/>
          <w:color w:val="0D0D0D"/>
        </w:rPr>
        <w:t>本合同执行中相关的一切税费均由供方负担。</w:t>
      </w:r>
    </w:p>
    <w:p w14:paraId="1912655A">
      <w:pPr>
        <w:pStyle w:val="29"/>
        <w:snapToGrid w:val="0"/>
        <w:spacing w:before="120" w:beforeLines="0" w:after="120" w:afterLines="0" w:line="420" w:lineRule="exact"/>
        <w:rPr>
          <w:rFonts w:hAnsi="宋体"/>
          <w:b/>
          <w:color w:val="0D0D0D"/>
        </w:rPr>
      </w:pPr>
      <w:r>
        <w:rPr>
          <w:rFonts w:hAnsi="宋体"/>
          <w:b/>
          <w:color w:val="0D0D0D"/>
        </w:rPr>
        <w:t>十二、质量保证及售后服务</w:t>
      </w:r>
    </w:p>
    <w:p w14:paraId="6DAE496A">
      <w:pPr>
        <w:pStyle w:val="29"/>
        <w:snapToGrid w:val="0"/>
        <w:spacing w:before="120" w:beforeLines="0" w:after="120" w:afterLines="0" w:line="420" w:lineRule="exact"/>
        <w:rPr>
          <w:rFonts w:hAnsi="宋体"/>
          <w:color w:val="0D0D0D"/>
        </w:rPr>
      </w:pPr>
      <w:r>
        <w:rPr>
          <w:rFonts w:hAnsi="宋体"/>
          <w:color w:val="0D0D0D"/>
        </w:rPr>
        <w:t>12.1</w:t>
      </w:r>
      <w:r>
        <w:rPr>
          <w:rFonts w:hint="eastAsia" w:hAnsi="宋体"/>
          <w:color w:val="0D0D0D"/>
        </w:rPr>
        <w:t xml:space="preserve"> </w:t>
      </w:r>
      <w:r>
        <w:rPr>
          <w:rFonts w:hAnsi="宋体"/>
          <w:color w:val="0D0D0D"/>
        </w:rPr>
        <w:t>乙方应按招标文件规定的货物性能、技术要求、质量标准向甲方提供未经使用的全新产品。</w:t>
      </w:r>
    </w:p>
    <w:p w14:paraId="0865D0DE">
      <w:pPr>
        <w:pStyle w:val="29"/>
        <w:snapToGrid w:val="0"/>
        <w:spacing w:before="120" w:beforeLines="0" w:after="120" w:afterLines="0" w:line="420" w:lineRule="exact"/>
        <w:rPr>
          <w:rFonts w:hAnsi="宋体"/>
          <w:color w:val="0D0D0D"/>
        </w:rPr>
      </w:pPr>
      <w:r>
        <w:rPr>
          <w:rFonts w:hAnsi="宋体"/>
          <w:color w:val="0D0D0D"/>
        </w:rPr>
        <w:t>12.2</w:t>
      </w:r>
      <w:r>
        <w:rPr>
          <w:rFonts w:hint="eastAsia" w:hAnsi="宋体"/>
          <w:color w:val="0D0D0D"/>
        </w:rPr>
        <w:t xml:space="preserve"> </w:t>
      </w:r>
      <w:r>
        <w:rPr>
          <w:rFonts w:hAnsi="宋体"/>
          <w:color w:val="0D0D0D"/>
        </w:rPr>
        <w:t>乙方提供的货物在质量期内因货物本身的质量问题发生故障，乙方应负责免费更换。对达不到技术要求者，根据实际情况，经双方协商，可按以下办法处理：</w:t>
      </w:r>
    </w:p>
    <w:p w14:paraId="6D4CC258">
      <w:pPr>
        <w:pStyle w:val="29"/>
        <w:snapToGrid w:val="0"/>
        <w:spacing w:before="120" w:beforeLines="0" w:after="120" w:afterLines="0" w:line="420" w:lineRule="exact"/>
        <w:rPr>
          <w:rFonts w:hAnsi="宋体"/>
          <w:color w:val="0D0D0D"/>
        </w:rPr>
      </w:pPr>
      <w:r>
        <w:rPr>
          <w:rFonts w:hAnsi="宋体"/>
          <w:color w:val="0D0D0D"/>
        </w:rPr>
        <w:t>⑴更换：由乙方承担所发生的全部费用。</w:t>
      </w:r>
    </w:p>
    <w:p w14:paraId="7F02B366">
      <w:pPr>
        <w:pStyle w:val="29"/>
        <w:snapToGrid w:val="0"/>
        <w:spacing w:before="120" w:beforeLines="0" w:after="120" w:afterLines="0" w:line="420" w:lineRule="exact"/>
        <w:rPr>
          <w:rFonts w:hAnsi="宋体"/>
          <w:color w:val="0D0D0D"/>
        </w:rPr>
      </w:pPr>
      <w:r>
        <w:rPr>
          <w:rFonts w:hAnsi="宋体"/>
          <w:color w:val="0D0D0D"/>
        </w:rPr>
        <w:t>⑵贬值处理：由甲乙双方合议定价。</w:t>
      </w:r>
    </w:p>
    <w:p w14:paraId="03DC4129">
      <w:pPr>
        <w:pStyle w:val="29"/>
        <w:snapToGrid w:val="0"/>
        <w:spacing w:before="120" w:beforeLines="0" w:after="120" w:afterLines="0" w:line="420" w:lineRule="exact"/>
        <w:rPr>
          <w:rFonts w:hAnsi="宋体"/>
          <w:color w:val="0D0D0D"/>
        </w:rPr>
      </w:pPr>
      <w:r>
        <w:rPr>
          <w:rFonts w:hAnsi="宋体"/>
          <w:color w:val="0D0D0D"/>
        </w:rPr>
        <w:t>⑶退货处理：乙方应退还甲方支付的合同款，同时应承担该货物的直接费用（运输、保险、检验、货款利息及银行手续费等）。</w:t>
      </w:r>
    </w:p>
    <w:p w14:paraId="09774729">
      <w:pPr>
        <w:pStyle w:val="29"/>
        <w:snapToGrid w:val="0"/>
        <w:spacing w:before="120" w:beforeLines="0" w:after="120" w:afterLines="0" w:line="420" w:lineRule="exact"/>
        <w:rPr>
          <w:rFonts w:hAnsi="宋体"/>
          <w:color w:val="0D0D0D"/>
        </w:rPr>
      </w:pPr>
      <w:r>
        <w:rPr>
          <w:rFonts w:hAnsi="宋体"/>
          <w:color w:val="0D0D0D"/>
        </w:rPr>
        <w:t>12.3 如在使用过程中发生质量问题，乙方在接到甲方通知后在</w:t>
      </w:r>
      <w:r>
        <w:rPr>
          <w:rFonts w:hint="eastAsia" w:hAnsi="宋体"/>
          <w:color w:val="0D0D0D"/>
          <w:u w:val="single"/>
        </w:rPr>
        <w:t>12</w:t>
      </w:r>
      <w:r>
        <w:rPr>
          <w:rFonts w:hAnsi="宋体"/>
          <w:color w:val="0D0D0D"/>
        </w:rPr>
        <w:t>小时内到达甲方现场。</w:t>
      </w:r>
    </w:p>
    <w:p w14:paraId="3E6B747B">
      <w:pPr>
        <w:pStyle w:val="29"/>
        <w:snapToGrid w:val="0"/>
        <w:spacing w:before="120" w:beforeLines="0" w:after="120" w:afterLines="0" w:line="420" w:lineRule="exact"/>
        <w:rPr>
          <w:rFonts w:hAnsi="宋体"/>
          <w:color w:val="0D0D0D"/>
        </w:rPr>
      </w:pPr>
      <w:r>
        <w:rPr>
          <w:rFonts w:hAnsi="宋体"/>
          <w:color w:val="0D0D0D"/>
        </w:rPr>
        <w:t>12.4 在质保期内，乙方应对货物出现的质量及安全问题负责处理解决并承担一切费用。</w:t>
      </w:r>
    </w:p>
    <w:p w14:paraId="043FD370">
      <w:pPr>
        <w:pStyle w:val="29"/>
        <w:snapToGrid w:val="0"/>
        <w:spacing w:before="120" w:beforeLines="0" w:after="120" w:afterLines="0" w:line="420" w:lineRule="exact"/>
        <w:rPr>
          <w:rFonts w:hAnsi="宋体"/>
          <w:b/>
          <w:color w:val="0D0D0D"/>
        </w:rPr>
      </w:pPr>
      <w:r>
        <w:rPr>
          <w:rFonts w:hAnsi="宋体"/>
          <w:b/>
          <w:color w:val="0D0D0D"/>
        </w:rPr>
        <w:t>十三、</w:t>
      </w:r>
      <w:r>
        <w:rPr>
          <w:rFonts w:hint="eastAsia" w:hAnsi="宋体"/>
          <w:b/>
          <w:color w:val="0D0D0D"/>
        </w:rPr>
        <w:t>货物</w:t>
      </w:r>
      <w:r>
        <w:rPr>
          <w:rFonts w:hAnsi="宋体"/>
          <w:b/>
          <w:color w:val="0D0D0D"/>
        </w:rPr>
        <w:t>验收</w:t>
      </w:r>
    </w:p>
    <w:p w14:paraId="5FF98D53">
      <w:pPr>
        <w:pStyle w:val="29"/>
        <w:snapToGrid w:val="0"/>
        <w:spacing w:before="120" w:beforeLines="0" w:after="120" w:afterLines="0" w:line="420" w:lineRule="exact"/>
        <w:rPr>
          <w:rFonts w:hAnsi="宋体"/>
          <w:color w:val="0D0D0D"/>
        </w:rPr>
      </w:pPr>
      <w:r>
        <w:rPr>
          <w:rFonts w:hAnsi="宋体"/>
          <w:color w:val="0D0D0D"/>
        </w:rPr>
        <w:t xml:space="preserve">13.1 </w:t>
      </w:r>
      <w:r>
        <w:rPr>
          <w:rFonts w:hAnsi="宋体"/>
          <w:color w:val="0C0C0C"/>
        </w:rPr>
        <w:t>甲方对乙方提交的货物依据招标文件上的技术规格要求和国家有关质量标准进行现场初步验收，外观、说明书</w:t>
      </w:r>
      <w:r>
        <w:rPr>
          <w:rFonts w:hint="eastAsia" w:hAnsi="宋体"/>
          <w:color w:val="0C0C0C"/>
        </w:rPr>
        <w:t>、质量检验合格证明等</w:t>
      </w:r>
      <w:r>
        <w:rPr>
          <w:rFonts w:hAnsi="宋体"/>
          <w:color w:val="0C0C0C"/>
        </w:rPr>
        <w:t>符合招标文件</w:t>
      </w:r>
      <w:r>
        <w:rPr>
          <w:rFonts w:hint="eastAsia" w:hAnsi="宋体"/>
          <w:color w:val="0C0C0C"/>
        </w:rPr>
        <w:t>及相关规范</w:t>
      </w:r>
      <w:r>
        <w:rPr>
          <w:rFonts w:hAnsi="宋体"/>
          <w:color w:val="0C0C0C"/>
        </w:rPr>
        <w:t>技术要求的，给予签收，初步验收不合格的不予签收。货到后，甲方需在五个工作日内验收。</w:t>
      </w:r>
    </w:p>
    <w:p w14:paraId="42BF9C85">
      <w:pPr>
        <w:pStyle w:val="29"/>
        <w:snapToGrid w:val="0"/>
        <w:spacing w:before="120" w:beforeLines="0" w:after="120" w:afterLines="0" w:line="420" w:lineRule="exact"/>
        <w:rPr>
          <w:rFonts w:hAnsi="宋体"/>
          <w:color w:val="0D0D0D"/>
        </w:rPr>
      </w:pPr>
      <w:r>
        <w:rPr>
          <w:rFonts w:hAnsi="宋体"/>
          <w:color w:val="0D0D0D"/>
        </w:rPr>
        <w:t>13.2 乙方交货前应对产品作出全面检查和对验收文件进行整理，并列出清单，作为甲方收货验收和使用的技术条件依据，检验的结果应随货物交甲方。</w:t>
      </w:r>
    </w:p>
    <w:p w14:paraId="2C6AC58A">
      <w:pPr>
        <w:pStyle w:val="29"/>
        <w:snapToGrid w:val="0"/>
        <w:spacing w:before="120" w:beforeLines="0" w:after="120" w:afterLines="0" w:line="420" w:lineRule="exact"/>
        <w:rPr>
          <w:rFonts w:hAnsi="宋体"/>
          <w:color w:val="0D0D0D"/>
        </w:rPr>
      </w:pPr>
      <w:r>
        <w:rPr>
          <w:rFonts w:hint="eastAsia" w:hAnsi="宋体"/>
          <w:color w:val="0D0D0D"/>
        </w:rPr>
        <w:t>13.3 材料到达现场后，必须按照买方要求运至指定堆放地点，否则买方有权不予接收，买方必须派人及时接收材料（否则由此引起的责任由买方负责），卖方派人到现场与买方一起货物验收。</w:t>
      </w:r>
    </w:p>
    <w:p w14:paraId="242370E7">
      <w:pPr>
        <w:pStyle w:val="29"/>
        <w:snapToGrid w:val="0"/>
        <w:spacing w:before="120" w:beforeLines="0" w:after="120" w:afterLines="0" w:line="420" w:lineRule="exact"/>
        <w:rPr>
          <w:rFonts w:hAnsi="宋体"/>
          <w:color w:val="0D0D0D"/>
        </w:rPr>
      </w:pPr>
      <w:r>
        <w:rPr>
          <w:rFonts w:hint="eastAsia" w:hAnsi="宋体"/>
          <w:color w:val="0D0D0D"/>
        </w:rPr>
        <w:t>13.4 材料到达现场后，买方严格按照质量要求进行验收，若不合格或不能满足买方使用要求则无条件给予退还，发生一切损失由卖方承担，且承担因此延误工期等给买方造成的经济损失。</w:t>
      </w:r>
    </w:p>
    <w:p w14:paraId="27E27DF0">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 xml:space="preserve">5 </w:t>
      </w:r>
      <w:r>
        <w:rPr>
          <w:rFonts w:hAnsi="宋体"/>
          <w:color w:val="0D0D0D"/>
        </w:rPr>
        <w:t>对技术复杂的货物，甲方应请国家认可的专业检测机构参与初步验收及最终验收，并由其出具质量检测报告。</w:t>
      </w:r>
    </w:p>
    <w:p w14:paraId="6A09FB3E">
      <w:pPr>
        <w:pStyle w:val="29"/>
        <w:snapToGrid w:val="0"/>
        <w:spacing w:before="120" w:beforeLines="0" w:after="120" w:afterLines="0" w:line="420" w:lineRule="exact"/>
        <w:rPr>
          <w:rFonts w:hAnsi="宋体"/>
          <w:color w:val="0D0D0D"/>
        </w:rPr>
      </w:pPr>
      <w:r>
        <w:rPr>
          <w:rFonts w:hAnsi="宋体"/>
          <w:color w:val="0D0D0D"/>
        </w:rPr>
        <w:t>13.</w:t>
      </w:r>
      <w:r>
        <w:rPr>
          <w:rFonts w:hint="eastAsia" w:hAnsi="宋体"/>
          <w:color w:val="0D0D0D"/>
        </w:rPr>
        <w:t xml:space="preserve">6 </w:t>
      </w:r>
      <w:r>
        <w:rPr>
          <w:rFonts w:hAnsi="宋体"/>
          <w:color w:val="0D0D0D"/>
        </w:rPr>
        <w:t>验收时乙方必须在现场，验收完毕后作出验收结果报告；验收费用由乙方负责。</w:t>
      </w:r>
    </w:p>
    <w:p w14:paraId="22BCB8EA">
      <w:pPr>
        <w:pStyle w:val="29"/>
        <w:snapToGrid w:val="0"/>
        <w:spacing w:before="120" w:beforeLines="0" w:after="120" w:afterLines="0" w:line="420" w:lineRule="exact"/>
        <w:rPr>
          <w:rFonts w:hAnsi="宋体"/>
          <w:b/>
          <w:color w:val="0D0D0D"/>
        </w:rPr>
      </w:pPr>
      <w:r>
        <w:rPr>
          <w:rFonts w:hAnsi="宋体"/>
          <w:b/>
          <w:color w:val="0D0D0D"/>
        </w:rPr>
        <w:t>十四、货物包装、发运及运输</w:t>
      </w:r>
    </w:p>
    <w:p w14:paraId="2E6ACCA0">
      <w:pPr>
        <w:pStyle w:val="29"/>
        <w:snapToGrid w:val="0"/>
        <w:spacing w:before="120" w:beforeLines="0" w:after="120" w:afterLines="0" w:line="420" w:lineRule="exact"/>
        <w:rPr>
          <w:rFonts w:hAnsi="宋体"/>
          <w:color w:val="0D0D0D"/>
        </w:rPr>
      </w:pPr>
      <w:r>
        <w:rPr>
          <w:rFonts w:hAnsi="宋体"/>
          <w:color w:val="0D0D0D"/>
        </w:rPr>
        <w:t>14.1</w:t>
      </w:r>
      <w:r>
        <w:rPr>
          <w:rFonts w:hint="eastAsia" w:hAnsi="宋体"/>
          <w:color w:val="0D0D0D"/>
        </w:rPr>
        <w:t xml:space="preserve"> </w:t>
      </w:r>
      <w:r>
        <w:rPr>
          <w:rFonts w:hAnsi="宋体"/>
          <w:color w:val="0D0D0D"/>
        </w:rPr>
        <w:t>乙方应在货物发运前对其进行满足运输距离、防潮、防震、防锈和防破损</w:t>
      </w:r>
      <w:r>
        <w:rPr>
          <w:rFonts w:hint="eastAsia" w:hAnsi="宋体"/>
          <w:color w:val="0D0D0D"/>
        </w:rPr>
        <w:t>装车</w:t>
      </w:r>
      <w:r>
        <w:rPr>
          <w:rFonts w:hAnsi="宋体"/>
          <w:color w:val="0D0D0D"/>
        </w:rPr>
        <w:t>等要求包装，以保证货物安全运达甲方指定地点。</w:t>
      </w:r>
    </w:p>
    <w:p w14:paraId="451EA773">
      <w:pPr>
        <w:pStyle w:val="29"/>
        <w:snapToGrid w:val="0"/>
        <w:spacing w:before="120" w:beforeLines="0" w:after="120" w:afterLines="0" w:line="420" w:lineRule="exact"/>
        <w:rPr>
          <w:rFonts w:hAnsi="宋体"/>
          <w:color w:val="0D0D0D"/>
        </w:rPr>
      </w:pPr>
      <w:r>
        <w:rPr>
          <w:rFonts w:hAnsi="宋体"/>
          <w:color w:val="0D0D0D"/>
        </w:rPr>
        <w:t>14.2</w:t>
      </w:r>
      <w:r>
        <w:rPr>
          <w:rFonts w:hint="eastAsia" w:hAnsi="宋体"/>
          <w:color w:val="0D0D0D"/>
        </w:rPr>
        <w:t xml:space="preserve"> </w:t>
      </w:r>
      <w:r>
        <w:rPr>
          <w:rFonts w:hAnsi="宋体"/>
          <w:color w:val="0D0D0D"/>
        </w:rPr>
        <w:t>使用说明书、质量检验证明书、随配附件和工具以及清单一并附于货物内。</w:t>
      </w:r>
    </w:p>
    <w:p w14:paraId="291D7DE9">
      <w:pPr>
        <w:pStyle w:val="29"/>
        <w:snapToGrid w:val="0"/>
        <w:spacing w:before="120" w:beforeLines="0" w:after="120" w:afterLines="0" w:line="420" w:lineRule="exact"/>
        <w:rPr>
          <w:rFonts w:hAnsi="宋体"/>
          <w:color w:val="0D0D0D"/>
        </w:rPr>
      </w:pPr>
      <w:r>
        <w:rPr>
          <w:rFonts w:hAnsi="宋体"/>
          <w:color w:val="0D0D0D"/>
        </w:rPr>
        <w:t>14.3</w:t>
      </w:r>
      <w:r>
        <w:rPr>
          <w:rFonts w:hint="eastAsia" w:hAnsi="宋体"/>
          <w:color w:val="0D0D0D"/>
        </w:rPr>
        <w:t xml:space="preserve"> </w:t>
      </w:r>
      <w:r>
        <w:rPr>
          <w:rFonts w:hAnsi="宋体"/>
          <w:color w:val="0D0D0D"/>
        </w:rPr>
        <w:t>乙方在货物发运手续办理完毕后24小时内或货到甲方48小时前通知甲方，以准备接货。</w:t>
      </w:r>
    </w:p>
    <w:p w14:paraId="0C05D976">
      <w:pPr>
        <w:pStyle w:val="29"/>
        <w:snapToGrid w:val="0"/>
        <w:spacing w:before="120" w:beforeLines="0" w:after="120" w:afterLines="0" w:line="420" w:lineRule="exact"/>
        <w:rPr>
          <w:rFonts w:hAnsi="宋体"/>
          <w:color w:val="0D0D0D"/>
        </w:rPr>
      </w:pPr>
      <w:r>
        <w:rPr>
          <w:rFonts w:hAnsi="宋体"/>
          <w:color w:val="0D0D0D"/>
        </w:rPr>
        <w:t>14.4</w:t>
      </w:r>
      <w:r>
        <w:rPr>
          <w:rFonts w:hint="eastAsia" w:hAnsi="宋体"/>
          <w:color w:val="0D0D0D"/>
        </w:rPr>
        <w:t xml:space="preserve"> </w:t>
      </w:r>
      <w:r>
        <w:rPr>
          <w:rFonts w:hAnsi="宋体"/>
          <w:color w:val="0D0D0D"/>
        </w:rPr>
        <w:t>货物在交付甲方前发生的风险均由乙方负责。</w:t>
      </w:r>
    </w:p>
    <w:p w14:paraId="0DFBD4A5">
      <w:pPr>
        <w:pStyle w:val="29"/>
        <w:snapToGrid w:val="0"/>
        <w:spacing w:before="120" w:beforeLines="0" w:after="120" w:afterLines="0" w:line="420" w:lineRule="exact"/>
        <w:rPr>
          <w:rFonts w:hAnsi="宋体"/>
          <w:color w:val="0D0D0D"/>
        </w:rPr>
      </w:pPr>
      <w:r>
        <w:rPr>
          <w:rFonts w:hAnsi="宋体"/>
          <w:color w:val="0D0D0D"/>
        </w:rPr>
        <w:t>14.5</w:t>
      </w:r>
      <w:r>
        <w:rPr>
          <w:rFonts w:hint="eastAsia" w:hAnsi="宋体"/>
          <w:color w:val="0D0D0D"/>
        </w:rPr>
        <w:t xml:space="preserve"> </w:t>
      </w:r>
      <w:r>
        <w:rPr>
          <w:rFonts w:hAnsi="宋体"/>
          <w:color w:val="0D0D0D"/>
        </w:rPr>
        <w:t>货物在规定的交付期限内由乙方送达甲方指定的地点视为交付，乙方同时需通知甲方货物已送达。</w:t>
      </w:r>
    </w:p>
    <w:p w14:paraId="704F2C76">
      <w:pPr>
        <w:pStyle w:val="29"/>
        <w:snapToGrid w:val="0"/>
        <w:spacing w:before="120" w:beforeLines="0" w:after="120" w:afterLines="0" w:line="420" w:lineRule="exact"/>
        <w:rPr>
          <w:rFonts w:hAnsi="宋体"/>
          <w:color w:val="0D0D0D"/>
        </w:rPr>
      </w:pPr>
      <w:r>
        <w:rPr>
          <w:rFonts w:hint="eastAsia" w:hAnsi="宋体"/>
          <w:color w:val="0D0D0D"/>
        </w:rPr>
        <w:t>14.6 材料在装运前由卖方投保，一旦材料在装车、运输过程中发生损坏或短缺，由卖方负责索赔。</w:t>
      </w:r>
    </w:p>
    <w:p w14:paraId="021798FA">
      <w:pPr>
        <w:pStyle w:val="29"/>
        <w:snapToGrid w:val="0"/>
        <w:spacing w:before="120" w:beforeLines="0" w:after="120" w:afterLines="0" w:line="420" w:lineRule="exact"/>
        <w:rPr>
          <w:rFonts w:hAnsi="宋体"/>
          <w:color w:val="0D0D0D"/>
        </w:rPr>
      </w:pPr>
      <w:r>
        <w:rPr>
          <w:rFonts w:hint="eastAsia" w:hAnsi="宋体"/>
          <w:color w:val="0D0D0D"/>
        </w:rPr>
        <w:t>14.7 卖方保证在确认货物因装车、运输中发生损坏或短缺后，尽快给予调换、修复和补齐缺件，不管其造成的原因如何，也不能以办理索赔为由而拖延。</w:t>
      </w:r>
    </w:p>
    <w:p w14:paraId="7FCD8592">
      <w:pPr>
        <w:pStyle w:val="29"/>
        <w:snapToGrid w:val="0"/>
        <w:spacing w:before="120" w:beforeLines="0" w:after="120" w:afterLines="0" w:line="420" w:lineRule="exact"/>
        <w:rPr>
          <w:rFonts w:hAnsi="宋体"/>
          <w:b/>
          <w:color w:val="0D0D0D"/>
        </w:rPr>
      </w:pPr>
      <w:r>
        <w:rPr>
          <w:rFonts w:hAnsi="宋体"/>
          <w:b/>
          <w:color w:val="0D0D0D"/>
        </w:rPr>
        <w:t>十五、违约责任</w:t>
      </w:r>
    </w:p>
    <w:p w14:paraId="4B77FB4C">
      <w:pPr>
        <w:pStyle w:val="29"/>
        <w:snapToGrid w:val="0"/>
        <w:spacing w:before="120" w:beforeLines="0" w:after="120" w:afterLines="0" w:line="420" w:lineRule="exact"/>
        <w:rPr>
          <w:rFonts w:hAnsi="宋体"/>
          <w:bCs/>
          <w:color w:val="0D0D0D"/>
        </w:rPr>
      </w:pPr>
      <w:r>
        <w:rPr>
          <w:rFonts w:hint="eastAsia" w:hAnsi="宋体"/>
          <w:bCs/>
          <w:color w:val="0D0D0D"/>
        </w:rPr>
        <w:t>15.1 产品质量责任</w:t>
      </w:r>
    </w:p>
    <w:p w14:paraId="3A6D2E22">
      <w:pPr>
        <w:pStyle w:val="29"/>
        <w:snapToGrid w:val="0"/>
        <w:spacing w:before="120" w:beforeLines="0" w:after="120" w:afterLines="0" w:line="420" w:lineRule="exact"/>
        <w:rPr>
          <w:rFonts w:hAnsi="宋体"/>
          <w:bCs/>
          <w:color w:val="0D0D0D"/>
        </w:rPr>
      </w:pPr>
      <w:r>
        <w:rPr>
          <w:rFonts w:hint="eastAsia" w:hAnsi="宋体"/>
          <w:bCs/>
          <w:color w:val="0D0D0D"/>
        </w:rPr>
        <w:t>(1)凡材料在装车等过程中发现的材料质量问题，由卖方负责处理，实行包换、包退，直至产品符合质量要求。卖方承担调换、退货发生的一切费用和买方的直接经济损失。</w:t>
      </w:r>
    </w:p>
    <w:p w14:paraId="3A6AD066">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2)</w:t>
      </w:r>
      <w:r>
        <w:rPr>
          <w:rFonts w:hint="eastAsia" w:hAnsi="宋体"/>
          <w:bCs/>
          <w:color w:val="0D0D0D"/>
        </w:rPr>
        <w:t>卖方在接到买方通知后，应立即派人赴现场处理材料质量问题。</w:t>
      </w:r>
      <w:r>
        <w:rPr>
          <w:rFonts w:hAnsi="宋体"/>
          <w:bCs/>
          <w:color w:val="0D0D0D"/>
        </w:rPr>
        <w:t xml:space="preserve"> </w:t>
      </w:r>
    </w:p>
    <w:p w14:paraId="6254A00D">
      <w:pPr>
        <w:pStyle w:val="29"/>
        <w:snapToGrid w:val="0"/>
        <w:spacing w:before="120" w:beforeLines="0" w:after="120" w:afterLines="0" w:line="420" w:lineRule="exact"/>
        <w:rPr>
          <w:rFonts w:hAnsi="宋体"/>
          <w:bCs/>
          <w:color w:val="0D0D0D"/>
        </w:rPr>
      </w:pPr>
      <w:r>
        <w:rPr>
          <w:rFonts w:hint="eastAsia" w:hAnsi="宋体"/>
          <w:bCs/>
          <w:color w:val="0D0D0D"/>
        </w:rPr>
        <w:t>(</w:t>
      </w:r>
      <w:r>
        <w:rPr>
          <w:rFonts w:hAnsi="宋体"/>
          <w:bCs/>
          <w:color w:val="0D0D0D"/>
        </w:rPr>
        <w:t>3)</w:t>
      </w:r>
      <w:r>
        <w:rPr>
          <w:rFonts w:hint="eastAsia" w:hAnsi="宋体"/>
          <w:bCs/>
          <w:color w:val="0D0D0D"/>
        </w:rPr>
        <w:t xml:space="preserve">由于买方保管不善或使用不当造成材料短缺或损坏，由买方负责。但卖方保证及时给予补齐或修复。 </w:t>
      </w:r>
    </w:p>
    <w:p w14:paraId="41CAD1BC">
      <w:pPr>
        <w:pStyle w:val="29"/>
        <w:snapToGrid w:val="0"/>
        <w:spacing w:before="120" w:beforeLines="0" w:after="120" w:afterLines="0" w:line="420" w:lineRule="exact"/>
        <w:rPr>
          <w:rFonts w:hAnsi="宋体"/>
          <w:bCs/>
          <w:color w:val="0D0D0D"/>
        </w:rPr>
      </w:pPr>
      <w:r>
        <w:rPr>
          <w:rFonts w:hint="eastAsia" w:hAnsi="宋体"/>
          <w:bCs/>
          <w:color w:val="0D0D0D"/>
        </w:rPr>
        <w:t>(4</w:t>
      </w:r>
      <w:r>
        <w:rPr>
          <w:rFonts w:hAnsi="宋体"/>
          <w:bCs/>
          <w:color w:val="0D0D0D"/>
        </w:rPr>
        <w:t>)</w:t>
      </w:r>
      <w:r>
        <w:rPr>
          <w:rFonts w:hint="eastAsia" w:hAnsi="宋体"/>
          <w:bCs/>
          <w:color w:val="0D0D0D"/>
        </w:rPr>
        <w:t>买方可随机对石粉质量进行抽检，经第三方检测后，如检验不合格，买方有权扣除全部履约保证金并且卖方须24小时内配合买方更换石粉，直至买方满意。</w:t>
      </w:r>
    </w:p>
    <w:p w14:paraId="5E688210">
      <w:pPr>
        <w:pStyle w:val="29"/>
        <w:snapToGrid w:val="0"/>
        <w:spacing w:before="120" w:beforeLines="0" w:after="120" w:afterLines="0" w:line="420" w:lineRule="exact"/>
        <w:rPr>
          <w:rFonts w:hAnsi="宋体"/>
          <w:bCs/>
          <w:color w:val="0D0D0D"/>
        </w:rPr>
      </w:pPr>
      <w:r>
        <w:rPr>
          <w:rFonts w:hint="eastAsia" w:hAnsi="宋体"/>
          <w:bCs/>
          <w:color w:val="0D0D0D"/>
        </w:rPr>
        <w:t>15.2 违约赔偿</w:t>
      </w:r>
    </w:p>
    <w:p w14:paraId="320B60E5">
      <w:pPr>
        <w:pStyle w:val="29"/>
        <w:snapToGrid w:val="0"/>
        <w:spacing w:before="120" w:beforeLines="0" w:after="120" w:afterLines="0" w:line="420" w:lineRule="exact"/>
        <w:rPr>
          <w:rFonts w:hAnsi="宋体"/>
          <w:bCs/>
          <w:color w:val="0D0D0D"/>
        </w:rPr>
      </w:pPr>
      <w:r>
        <w:rPr>
          <w:rFonts w:hint="eastAsia" w:hAnsi="宋体"/>
          <w:bCs/>
          <w:color w:val="0D0D0D"/>
        </w:rPr>
        <w:t xml:space="preserve">    除不可抗力外，如卖方发生不能按期交货或提供服务，买方发生中途退货等情况，应及时以书面形式通知对方。买、卖双方应本着友好的态度进行协商，妥善解决。</w:t>
      </w:r>
      <w:r>
        <w:rPr>
          <w:rFonts w:hint="eastAsia" w:hAnsi="宋体"/>
          <w:bCs/>
          <w:color w:val="0D0D0D"/>
        </w:rPr>
        <w:cr/>
      </w:r>
      <w:r>
        <w:rPr>
          <w:rFonts w:hint="eastAsia" w:hAnsi="宋体"/>
          <w:bCs/>
          <w:color w:val="0D0D0D"/>
        </w:rPr>
        <w:t xml:space="preserve">    如协商无效，按下列规定处以罚金。</w:t>
      </w:r>
    </w:p>
    <w:p w14:paraId="250D6334">
      <w:pPr>
        <w:pStyle w:val="29"/>
        <w:snapToGrid w:val="0"/>
        <w:spacing w:before="120" w:beforeLines="0" w:after="120" w:afterLines="0" w:line="420" w:lineRule="exact"/>
        <w:rPr>
          <w:rFonts w:hAnsi="宋体"/>
          <w:bCs/>
          <w:color w:val="0D0D0D"/>
        </w:rPr>
      </w:pPr>
      <w:r>
        <w:rPr>
          <w:rFonts w:hint="eastAsia" w:hAnsi="宋体"/>
          <w:bCs/>
          <w:color w:val="0D0D0D"/>
        </w:rPr>
        <w:t>(1) 逾期交货（包括交付使用）</w:t>
      </w:r>
      <w:r>
        <w:rPr>
          <w:rFonts w:hint="eastAsia" w:hAnsi="宋体"/>
          <w:bCs/>
          <w:color w:val="0D0D0D"/>
        </w:rPr>
        <w:cr/>
      </w:r>
      <w:r>
        <w:rPr>
          <w:rFonts w:hint="eastAsia" w:hAnsi="宋体"/>
          <w:bCs/>
          <w:color w:val="0D0D0D"/>
        </w:rPr>
        <w:t xml:space="preserve"> </w:t>
      </w:r>
      <w:r>
        <w:rPr>
          <w:rFonts w:hAnsi="宋体"/>
          <w:bCs/>
          <w:color w:val="0D0D0D"/>
        </w:rPr>
        <w:t xml:space="preserve">   </w:t>
      </w:r>
      <w:r>
        <w:rPr>
          <w:rFonts w:hint="eastAsia" w:hAnsi="宋体"/>
          <w:bCs/>
          <w:color w:val="0D0D0D"/>
        </w:rPr>
        <w:t>乙方逾期交货（包括交付使用），实际供货时间（包括交付使用）与要求供货时间（包括交付使用）每延迟一天罚1000元/天。</w:t>
      </w:r>
    </w:p>
    <w:p w14:paraId="26022FEB">
      <w:pPr>
        <w:pStyle w:val="29"/>
        <w:snapToGrid w:val="0"/>
        <w:spacing w:before="120" w:beforeLines="0" w:after="120" w:afterLines="0" w:line="420" w:lineRule="exact"/>
        <w:rPr>
          <w:rFonts w:hAnsi="宋体"/>
          <w:color w:val="0D0D0D"/>
        </w:rPr>
      </w:pPr>
      <w:r>
        <w:rPr>
          <w:rFonts w:hint="eastAsia" w:hAnsi="宋体"/>
          <w:bCs/>
          <w:color w:val="0D0D0D"/>
        </w:rPr>
        <w:t>(2) 乙方不能交货或甲方中途退</w:t>
      </w:r>
      <w:r>
        <w:rPr>
          <w:rFonts w:hAnsi="宋体"/>
          <w:color w:val="0D0D0D"/>
        </w:rPr>
        <w:t>货</w:t>
      </w:r>
    </w:p>
    <w:p w14:paraId="28E2B703">
      <w:pPr>
        <w:pStyle w:val="29"/>
        <w:snapToGrid w:val="0"/>
        <w:spacing w:before="120" w:beforeLines="0" w:after="120" w:afterLines="0" w:line="420" w:lineRule="exact"/>
        <w:rPr>
          <w:rFonts w:hAnsi="宋体"/>
          <w:color w:val="0D0D0D"/>
        </w:rPr>
      </w:pPr>
      <w:r>
        <w:rPr>
          <w:rFonts w:hAnsi="宋体"/>
          <w:color w:val="0D0D0D"/>
        </w:rPr>
        <w:t xml:space="preserve">    </w:t>
      </w:r>
      <w:r>
        <w:rPr>
          <w:rFonts w:hint="eastAsia" w:hAnsi="宋体"/>
          <w:color w:val="0D0D0D"/>
        </w:rPr>
        <w:t>乙方</w:t>
      </w:r>
      <w:r>
        <w:rPr>
          <w:rFonts w:hAnsi="宋体"/>
          <w:color w:val="0D0D0D"/>
        </w:rPr>
        <w:t>不能交货，应向</w:t>
      </w:r>
      <w:r>
        <w:rPr>
          <w:rFonts w:hint="eastAsia" w:hAnsi="宋体"/>
          <w:color w:val="0D0D0D"/>
        </w:rPr>
        <w:t>甲方</w:t>
      </w:r>
      <w:r>
        <w:rPr>
          <w:rFonts w:hAnsi="宋体"/>
          <w:color w:val="0D0D0D"/>
        </w:rPr>
        <w:t>偿付违约金。违约金按不能交货部分货款的</w:t>
      </w:r>
      <w:r>
        <w:rPr>
          <w:rFonts w:hint="eastAsia" w:hAnsi="宋体"/>
          <w:color w:val="0D0D0D"/>
        </w:rPr>
        <w:t>20</w:t>
      </w:r>
      <w:r>
        <w:rPr>
          <w:rFonts w:hAnsi="宋体"/>
          <w:color w:val="0D0D0D"/>
        </w:rPr>
        <w:t>％计算。</w:t>
      </w:r>
      <w:r>
        <w:rPr>
          <w:rFonts w:hAnsi="宋体"/>
          <w:color w:val="0D0D0D"/>
        </w:rPr>
        <w:cr/>
      </w:r>
      <w:r>
        <w:rPr>
          <w:rFonts w:hAnsi="宋体"/>
          <w:color w:val="0D0D0D"/>
        </w:rPr>
        <w:t xml:space="preserve">    </w:t>
      </w:r>
      <w:r>
        <w:rPr>
          <w:rFonts w:hint="eastAsia" w:hAnsi="宋体"/>
          <w:color w:val="0D0D0D"/>
        </w:rPr>
        <w:t>甲方</w:t>
      </w:r>
      <w:r>
        <w:rPr>
          <w:rFonts w:hAnsi="宋体"/>
          <w:color w:val="0D0D0D"/>
        </w:rPr>
        <w:t>中途退货，应向</w:t>
      </w:r>
      <w:r>
        <w:rPr>
          <w:rFonts w:hint="eastAsia" w:hAnsi="宋体"/>
          <w:color w:val="0D0D0D"/>
        </w:rPr>
        <w:t>乙方</w:t>
      </w:r>
      <w:r>
        <w:rPr>
          <w:rFonts w:hAnsi="宋体"/>
          <w:color w:val="0D0D0D"/>
        </w:rPr>
        <w:t>偿付违约金。违约金的计算方法与卖方违约相同。</w:t>
      </w:r>
    </w:p>
    <w:p w14:paraId="727D472B">
      <w:pPr>
        <w:pStyle w:val="29"/>
        <w:snapToGrid w:val="0"/>
        <w:spacing w:before="120" w:beforeLines="0" w:after="120" w:afterLines="0" w:line="420" w:lineRule="exact"/>
        <w:rPr>
          <w:rFonts w:hAnsi="宋体"/>
          <w:color w:val="0D0D0D"/>
        </w:rPr>
      </w:pPr>
      <w:r>
        <w:rPr>
          <w:rFonts w:hAnsi="宋体"/>
          <w:color w:val="0D0D0D"/>
        </w:rPr>
        <w:t xml:space="preserve">(3) 逾期交货的违约赔偿最高限度为迟交货合同总价的5％，如违约金达到最高限额时卖方仍不能交货，买方可考虑终止合同。   </w:t>
      </w:r>
    </w:p>
    <w:p w14:paraId="50012FC2">
      <w:pPr>
        <w:pStyle w:val="29"/>
        <w:snapToGrid w:val="0"/>
        <w:spacing w:before="120" w:beforeLines="0" w:after="120" w:afterLines="0" w:line="420" w:lineRule="exact"/>
        <w:rPr>
          <w:rFonts w:hAnsi="宋体"/>
          <w:bCs/>
          <w:color w:val="0D0D0D"/>
        </w:rPr>
      </w:pPr>
      <w:r>
        <w:rPr>
          <w:rFonts w:hint="eastAsia" w:hAnsi="宋体"/>
          <w:bCs/>
          <w:color w:val="0D0D0D"/>
        </w:rPr>
        <w:t>(4) 经买、卖双方协商同意延期交货和经双方友好协商同意退货且无需罚款者不在此例。</w:t>
      </w:r>
    </w:p>
    <w:p w14:paraId="4701FB49">
      <w:pPr>
        <w:pStyle w:val="29"/>
        <w:snapToGrid w:val="0"/>
        <w:spacing w:before="120" w:beforeLines="0" w:after="120" w:afterLines="0" w:line="420" w:lineRule="exact"/>
        <w:rPr>
          <w:rFonts w:hAnsi="宋体"/>
          <w:b/>
          <w:color w:val="0D0D0D"/>
        </w:rPr>
      </w:pPr>
      <w:r>
        <w:rPr>
          <w:rFonts w:hAnsi="宋体"/>
          <w:b/>
          <w:color w:val="0D0D0D"/>
        </w:rPr>
        <w:t>十六、不可抗力事件处理</w:t>
      </w:r>
    </w:p>
    <w:p w14:paraId="4520F5A0">
      <w:pPr>
        <w:pStyle w:val="29"/>
        <w:snapToGrid w:val="0"/>
        <w:spacing w:before="120" w:beforeLines="0" w:after="120" w:afterLines="0" w:line="420" w:lineRule="exact"/>
        <w:rPr>
          <w:rFonts w:hAnsi="宋体"/>
          <w:color w:val="0D0D0D"/>
        </w:rPr>
      </w:pPr>
      <w:r>
        <w:rPr>
          <w:rFonts w:hAnsi="宋体"/>
          <w:color w:val="0D0D0D"/>
        </w:rPr>
        <w:t>16.1 在合同有效期内，任何一方因不可抗力事件导致不能履行合同，则合同履行期可延长，其延长期与不可抗力影响期相同。</w:t>
      </w:r>
    </w:p>
    <w:p w14:paraId="2C65F643">
      <w:pPr>
        <w:pStyle w:val="29"/>
        <w:snapToGrid w:val="0"/>
        <w:spacing w:before="120" w:beforeLines="0" w:after="120" w:afterLines="0" w:line="420" w:lineRule="exact"/>
        <w:rPr>
          <w:rFonts w:hAnsi="宋体"/>
          <w:color w:val="0D0D0D"/>
        </w:rPr>
      </w:pPr>
      <w:r>
        <w:rPr>
          <w:rFonts w:hAnsi="宋体"/>
          <w:color w:val="0D0D0D"/>
        </w:rPr>
        <w:t>16.2 不可抗力事件发生后，应立即通知对方，并寄送有关权威机构出具的证明。</w:t>
      </w:r>
    </w:p>
    <w:p w14:paraId="126010F6">
      <w:pPr>
        <w:pStyle w:val="29"/>
        <w:snapToGrid w:val="0"/>
        <w:spacing w:before="120" w:beforeLines="0" w:after="120" w:afterLines="0" w:line="420" w:lineRule="exact"/>
        <w:rPr>
          <w:rFonts w:hAnsi="宋体"/>
          <w:color w:val="0D0D0D"/>
        </w:rPr>
      </w:pPr>
      <w:r>
        <w:rPr>
          <w:rFonts w:hAnsi="宋体"/>
          <w:color w:val="0D0D0D"/>
        </w:rPr>
        <w:t>16.3 不可抗力事件延续120天以上，双方应通过友好协商，确定是否继续履行合同。</w:t>
      </w:r>
    </w:p>
    <w:p w14:paraId="1D0A94D2">
      <w:pPr>
        <w:pStyle w:val="29"/>
        <w:snapToGrid w:val="0"/>
        <w:spacing w:before="120" w:beforeLines="0" w:after="120" w:afterLines="0" w:line="420" w:lineRule="exact"/>
        <w:rPr>
          <w:rFonts w:hAnsi="宋体"/>
          <w:b/>
          <w:color w:val="0D0D0D"/>
        </w:rPr>
      </w:pPr>
      <w:r>
        <w:rPr>
          <w:rFonts w:hAnsi="宋体"/>
          <w:b/>
          <w:color w:val="0D0D0D"/>
        </w:rPr>
        <w:t>十七、诉讼</w:t>
      </w:r>
    </w:p>
    <w:p w14:paraId="2E155C19">
      <w:pPr>
        <w:pStyle w:val="29"/>
        <w:snapToGrid w:val="0"/>
        <w:spacing w:before="120" w:beforeLines="0" w:after="120" w:afterLines="0" w:line="420" w:lineRule="exact"/>
        <w:rPr>
          <w:rFonts w:hAnsi="宋体"/>
          <w:color w:val="0D0D0D"/>
        </w:rPr>
      </w:pPr>
      <w:r>
        <w:rPr>
          <w:rFonts w:hAnsi="宋体"/>
          <w:color w:val="0D0D0D"/>
        </w:rPr>
        <w:t>17.1</w:t>
      </w:r>
      <w:r>
        <w:rPr>
          <w:rFonts w:hint="eastAsia" w:hAnsi="宋体"/>
          <w:color w:val="0D0D0D"/>
        </w:rPr>
        <w:t xml:space="preserve"> </w:t>
      </w:r>
      <w:r>
        <w:rPr>
          <w:rFonts w:hint="eastAsia" w:hAnsi="宋体"/>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p>
    <w:p w14:paraId="7941A8CF">
      <w:pPr>
        <w:pStyle w:val="29"/>
        <w:snapToGrid w:val="0"/>
        <w:spacing w:before="120" w:beforeLines="0" w:after="120" w:afterLines="0" w:line="420" w:lineRule="exact"/>
        <w:rPr>
          <w:rFonts w:hAnsi="宋体"/>
          <w:b/>
          <w:color w:val="0D0D0D"/>
        </w:rPr>
      </w:pPr>
      <w:r>
        <w:rPr>
          <w:rFonts w:hAnsi="宋体"/>
          <w:b/>
          <w:color w:val="0D0D0D"/>
        </w:rPr>
        <w:t>十八、合同生效及其它</w:t>
      </w:r>
    </w:p>
    <w:p w14:paraId="003BCAA2">
      <w:pPr>
        <w:pStyle w:val="29"/>
        <w:snapToGrid w:val="0"/>
        <w:spacing w:before="120" w:beforeLines="0" w:after="120" w:afterLines="0" w:line="420" w:lineRule="exact"/>
        <w:rPr>
          <w:rFonts w:hAnsi="宋体"/>
          <w:color w:val="0D0D0D"/>
        </w:rPr>
      </w:pPr>
      <w:r>
        <w:rPr>
          <w:rFonts w:hAnsi="宋体"/>
          <w:color w:val="0D0D0D"/>
        </w:rPr>
        <w:t>18.1 合同经双方法定代表人或授权委托代理人签字并加盖单位公章后生效。</w:t>
      </w:r>
    </w:p>
    <w:p w14:paraId="4EA4312E">
      <w:pPr>
        <w:pStyle w:val="29"/>
        <w:snapToGrid w:val="0"/>
        <w:spacing w:before="120" w:beforeLines="0" w:after="120" w:afterLines="0" w:line="420" w:lineRule="exact"/>
        <w:rPr>
          <w:rFonts w:hAnsi="宋体"/>
          <w:color w:val="0D0D0D"/>
        </w:rPr>
      </w:pPr>
      <w:r>
        <w:rPr>
          <w:rFonts w:hAnsi="宋体"/>
          <w:color w:val="0D0D0D"/>
        </w:rPr>
        <w:t>18.2</w:t>
      </w:r>
      <w:r>
        <w:rPr>
          <w:rFonts w:hint="eastAsia" w:hAnsi="宋体"/>
          <w:color w:val="0D0D0D"/>
        </w:rPr>
        <w:t xml:space="preserve"> </w:t>
      </w:r>
      <w:r>
        <w:rPr>
          <w:rFonts w:hAnsi="宋体"/>
          <w:color w:val="0D0D0D"/>
        </w:rPr>
        <w:t>合同执行中涉及采购资金和采购内容修改或补充的，须经部门审批，并签书面补充协议报监督管理部门备案，方可作为主合同不可分割的一部分。</w:t>
      </w:r>
    </w:p>
    <w:p w14:paraId="6060187D">
      <w:pPr>
        <w:pStyle w:val="29"/>
        <w:snapToGrid w:val="0"/>
        <w:spacing w:before="120" w:beforeLines="0" w:after="120" w:afterLines="0" w:line="420" w:lineRule="exact"/>
        <w:rPr>
          <w:rFonts w:hAnsi="宋体"/>
          <w:color w:val="0D0D0D"/>
        </w:rPr>
      </w:pPr>
      <w:r>
        <w:rPr>
          <w:rFonts w:hAnsi="宋体"/>
          <w:color w:val="0D0D0D"/>
        </w:rPr>
        <w:t>18.3</w:t>
      </w:r>
      <w:r>
        <w:rPr>
          <w:rFonts w:hint="eastAsia" w:hAnsi="宋体"/>
          <w:color w:val="0D0D0D"/>
        </w:rPr>
        <w:t xml:space="preserve"> </w:t>
      </w:r>
      <w:r>
        <w:rPr>
          <w:rFonts w:hAnsi="宋体"/>
          <w:color w:val="0D0D0D"/>
        </w:rPr>
        <w:t>本合同未尽事宜，遵照《</w:t>
      </w:r>
      <w:r>
        <w:rPr>
          <w:rFonts w:hint="eastAsia" w:hAnsi="宋体"/>
          <w:color w:val="0D0D0D"/>
        </w:rPr>
        <w:t>民法典</w:t>
      </w:r>
      <w:r>
        <w:rPr>
          <w:rFonts w:hAnsi="宋体"/>
          <w:color w:val="0D0D0D"/>
        </w:rPr>
        <w:t>》有关条文执行。</w:t>
      </w:r>
    </w:p>
    <w:p w14:paraId="4005204C">
      <w:pPr>
        <w:pStyle w:val="29"/>
        <w:snapToGrid w:val="0"/>
        <w:spacing w:before="120" w:beforeLines="0" w:after="120" w:afterLines="0" w:line="420" w:lineRule="exact"/>
        <w:rPr>
          <w:rFonts w:hAnsi="宋体"/>
          <w:color w:val="0D0D0D"/>
        </w:rPr>
      </w:pPr>
      <w:r>
        <w:rPr>
          <w:rFonts w:hAnsi="宋体"/>
          <w:color w:val="0D0D0D"/>
        </w:rPr>
        <w:t xml:space="preserve">18.4 </w:t>
      </w:r>
      <w:r>
        <w:rPr>
          <w:rFonts w:hAnsi="宋体"/>
          <w:color w:val="0C0C0C"/>
        </w:rPr>
        <w:t>本合同正本一式</w:t>
      </w:r>
      <w:r>
        <w:rPr>
          <w:rFonts w:hint="eastAsia" w:hAnsi="宋体"/>
          <w:color w:val="0C0C0C"/>
        </w:rPr>
        <w:t>肆</w:t>
      </w:r>
      <w:r>
        <w:rPr>
          <w:rFonts w:hAnsi="宋体"/>
          <w:color w:val="0C0C0C"/>
        </w:rPr>
        <w:t>份，具有同等法律效力，甲</w:t>
      </w:r>
      <w:r>
        <w:rPr>
          <w:rFonts w:hint="eastAsia" w:hAnsi="宋体"/>
          <w:color w:val="0C0C0C"/>
        </w:rPr>
        <w:t>方贰</w:t>
      </w:r>
      <w:r>
        <w:rPr>
          <w:rFonts w:hAnsi="宋体"/>
          <w:color w:val="0C0C0C"/>
        </w:rPr>
        <w:t>份</w:t>
      </w:r>
      <w:r>
        <w:rPr>
          <w:rFonts w:hint="eastAsia" w:hAnsi="宋体"/>
          <w:color w:val="0C0C0C"/>
        </w:rPr>
        <w:t>，乙方贰份</w:t>
      </w:r>
      <w:r>
        <w:rPr>
          <w:rFonts w:hAnsi="宋体"/>
          <w:color w:val="0C0C0C"/>
        </w:rPr>
        <w:t>。</w:t>
      </w:r>
    </w:p>
    <w:p w14:paraId="685A08EB">
      <w:pPr>
        <w:spacing w:line="360" w:lineRule="auto"/>
        <w:rPr>
          <w:rFonts w:hAnsi="宋体"/>
          <w:color w:val="0D0D0D"/>
        </w:rPr>
      </w:pPr>
      <w:r>
        <w:rPr>
          <w:rFonts w:hAnsi="宋体"/>
          <w:color w:val="0D0D0D"/>
        </w:rPr>
        <w:t xml:space="preserve"> </w:t>
      </w:r>
    </w:p>
    <w:p w14:paraId="6602C466">
      <w:pPr>
        <w:spacing w:line="360" w:lineRule="auto"/>
        <w:rPr>
          <w:rFonts w:hAnsi="宋体"/>
          <w:color w:val="0D0D0D"/>
        </w:rPr>
      </w:pPr>
    </w:p>
    <w:p w14:paraId="62E494EB">
      <w:pPr>
        <w:pStyle w:val="29"/>
        <w:snapToGrid w:val="0"/>
        <w:spacing w:before="120" w:beforeLines="0" w:after="120" w:afterLines="0" w:line="420" w:lineRule="exact"/>
        <w:rPr>
          <w:rFonts w:hAnsi="宋体"/>
          <w:color w:val="0C0C0C"/>
        </w:rPr>
      </w:pPr>
      <w:r>
        <w:rPr>
          <w:rFonts w:hAnsi="宋体"/>
          <w:color w:val="0D0D0D"/>
        </w:rPr>
        <w:t xml:space="preserve"> </w:t>
      </w:r>
      <w:r>
        <w:rPr>
          <w:rFonts w:hint="eastAsia" w:hAnsi="宋体"/>
          <w:color w:val="0C0C0C"/>
        </w:rPr>
        <w:t xml:space="preserve">甲方：                                        乙方：  </w:t>
      </w:r>
    </w:p>
    <w:p w14:paraId="78613253">
      <w:pPr>
        <w:pStyle w:val="29"/>
        <w:snapToGrid w:val="0"/>
        <w:spacing w:before="120" w:beforeLines="0" w:after="120" w:afterLines="0" w:line="420" w:lineRule="exact"/>
        <w:rPr>
          <w:rFonts w:hAnsi="宋体"/>
          <w:color w:val="0C0C0C"/>
        </w:rPr>
      </w:pPr>
      <w:r>
        <w:rPr>
          <w:rFonts w:hint="eastAsia" w:hAnsi="宋体"/>
          <w:color w:val="0C0C0C"/>
        </w:rPr>
        <w:t>法定代表人：                                  法定代表人：</w:t>
      </w:r>
    </w:p>
    <w:p w14:paraId="79BB4E40">
      <w:pPr>
        <w:pStyle w:val="29"/>
        <w:snapToGrid w:val="0"/>
        <w:spacing w:before="120" w:beforeLines="0" w:after="120" w:afterLines="0" w:line="420" w:lineRule="exact"/>
        <w:rPr>
          <w:rFonts w:hAnsi="宋体"/>
          <w:color w:val="0C0C0C"/>
        </w:rPr>
      </w:pPr>
      <w:r>
        <w:rPr>
          <w:rFonts w:hint="eastAsia" w:hAnsi="宋体"/>
          <w:color w:val="0C0C0C"/>
        </w:rPr>
        <w:t xml:space="preserve">委托代理人：                                  法定代表人电话： </w:t>
      </w:r>
    </w:p>
    <w:p w14:paraId="51D066F1">
      <w:pPr>
        <w:pStyle w:val="29"/>
        <w:snapToGrid w:val="0"/>
        <w:spacing w:before="120" w:beforeLines="0" w:after="120" w:afterLines="0" w:line="420" w:lineRule="exact"/>
        <w:rPr>
          <w:rFonts w:hAnsi="宋体"/>
          <w:color w:val="0C0C0C"/>
        </w:rPr>
      </w:pPr>
      <w:r>
        <w:rPr>
          <w:rFonts w:hint="eastAsia" w:hAnsi="宋体"/>
          <w:color w:val="0C0C0C"/>
        </w:rPr>
        <w:t>地 址：台州市甲南大道东段9号                 委托代理人电话：</w:t>
      </w:r>
    </w:p>
    <w:p w14:paraId="1E477121">
      <w:pPr>
        <w:pStyle w:val="29"/>
        <w:snapToGrid w:val="0"/>
        <w:spacing w:before="120" w:beforeLines="0" w:after="120" w:afterLines="0" w:line="420" w:lineRule="exact"/>
        <w:ind w:firstLine="5520" w:firstLineChars="2300"/>
        <w:rPr>
          <w:rFonts w:hAnsi="宋体"/>
          <w:color w:val="0C0C0C"/>
        </w:rPr>
      </w:pPr>
      <w:r>
        <w:rPr>
          <w:rFonts w:hint="eastAsia" w:hAnsi="宋体"/>
          <w:color w:val="0C0C0C"/>
        </w:rPr>
        <w:t xml:space="preserve"> 地 址：</w:t>
      </w:r>
    </w:p>
    <w:p w14:paraId="512BAA08">
      <w:pPr>
        <w:pStyle w:val="29"/>
        <w:snapToGrid w:val="0"/>
        <w:spacing w:before="120" w:beforeLines="0" w:after="120" w:afterLines="0" w:line="420" w:lineRule="exact"/>
        <w:rPr>
          <w:rFonts w:hAnsi="宋体"/>
          <w:color w:val="0C0C0C"/>
        </w:rPr>
      </w:pPr>
      <w:r>
        <w:rPr>
          <w:rFonts w:hint="eastAsia" w:hAnsi="宋体"/>
          <w:color w:val="0C0C0C"/>
        </w:rPr>
        <w:t>电 话： 0576-88909650                         电 话：</w:t>
      </w:r>
    </w:p>
    <w:p w14:paraId="28DFF92C">
      <w:pPr>
        <w:pStyle w:val="29"/>
        <w:snapToGrid w:val="0"/>
        <w:spacing w:before="120" w:beforeLines="0" w:after="120" w:afterLines="0" w:line="420" w:lineRule="exact"/>
        <w:rPr>
          <w:rFonts w:hAnsi="宋体"/>
          <w:color w:val="0C0C0C"/>
        </w:rPr>
      </w:pPr>
      <w:r>
        <w:rPr>
          <w:rFonts w:hint="eastAsia" w:hAnsi="宋体"/>
          <w:color w:val="0C0C0C"/>
        </w:rPr>
        <w:t>开 户 行：建设银行台州湾新区支行              开 户 行：</w:t>
      </w:r>
    </w:p>
    <w:p w14:paraId="7735AFBB">
      <w:pPr>
        <w:pStyle w:val="29"/>
        <w:snapToGrid w:val="0"/>
        <w:spacing w:before="120" w:beforeLines="0" w:after="120" w:afterLines="0" w:line="420" w:lineRule="exact"/>
        <w:rPr>
          <w:rFonts w:hAnsi="宋体"/>
          <w:color w:val="0C0C0C"/>
        </w:rPr>
      </w:pPr>
      <w:r>
        <w:rPr>
          <w:rFonts w:hint="eastAsia" w:hAnsi="宋体"/>
          <w:color w:val="0C0C0C"/>
        </w:rPr>
        <w:t>帐 号： 33050110284009125999                  帐 号：</w:t>
      </w:r>
    </w:p>
    <w:p w14:paraId="516DBB68">
      <w:pPr>
        <w:pStyle w:val="29"/>
        <w:snapToGrid w:val="0"/>
        <w:spacing w:before="120" w:beforeLines="0" w:after="120" w:afterLines="0" w:line="420" w:lineRule="exact"/>
        <w:rPr>
          <w:rFonts w:hAnsi="宋体"/>
          <w:color w:val="0C0C0C"/>
        </w:rPr>
      </w:pPr>
      <w:r>
        <w:rPr>
          <w:rFonts w:hint="eastAsia" w:hAnsi="宋体"/>
          <w:color w:val="0C0C0C"/>
        </w:rPr>
        <w:t>税 号：                                       税 号：</w:t>
      </w:r>
    </w:p>
    <w:p w14:paraId="2A710489">
      <w:pPr>
        <w:pStyle w:val="29"/>
        <w:snapToGrid w:val="0"/>
        <w:spacing w:before="120" w:beforeLines="0" w:after="120" w:afterLines="0" w:line="420" w:lineRule="exact"/>
        <w:rPr>
          <w:rFonts w:hAnsi="宋体"/>
          <w:color w:val="0C0C0C"/>
        </w:rPr>
      </w:pPr>
      <w:r>
        <w:rPr>
          <w:rFonts w:hint="eastAsia" w:hAnsi="宋体"/>
          <w:color w:val="0C0C0C"/>
        </w:rPr>
        <w:t>签订地点：                     签订日期：                       年  月  日</w:t>
      </w:r>
    </w:p>
    <w:p w14:paraId="124072EE">
      <w:pPr>
        <w:pStyle w:val="29"/>
        <w:snapToGrid w:val="0"/>
        <w:spacing w:before="120" w:beforeLines="0" w:after="120" w:afterLines="0" w:line="420" w:lineRule="exact"/>
        <w:rPr>
          <w:rFonts w:hAnsi="宋体"/>
          <w:color w:val="0C0C0C"/>
        </w:rPr>
        <w:sectPr>
          <w:headerReference r:id="rId9" w:type="default"/>
          <w:footerReference r:id="rId10" w:type="default"/>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0BF02BB5">
      <w:pPr>
        <w:adjustRightInd w:val="0"/>
        <w:spacing w:line="360" w:lineRule="exact"/>
        <w:ind w:firstLine="600" w:firstLineChars="200"/>
        <w:jc w:val="center"/>
        <w:rPr>
          <w:rFonts w:ascii="黑体" w:hAnsi="黑体" w:eastAsia="黑体"/>
          <w:szCs w:val="28"/>
        </w:rPr>
      </w:pPr>
      <w:r>
        <w:rPr>
          <w:rFonts w:hint="eastAsia" w:ascii="黑体" w:hAnsi="黑体" w:eastAsia="黑体"/>
          <w:sz w:val="30"/>
          <w:szCs w:val="30"/>
        </w:rPr>
        <w:t>项目廉政责任书</w:t>
      </w:r>
    </w:p>
    <w:p w14:paraId="355730E8">
      <w:pPr>
        <w:autoSpaceDE w:val="0"/>
        <w:autoSpaceDN w:val="0"/>
        <w:spacing w:line="360" w:lineRule="exact"/>
        <w:ind w:firstLine="482"/>
        <w:rPr>
          <w:sz w:val="21"/>
          <w:szCs w:val="21"/>
        </w:rPr>
      </w:pPr>
    </w:p>
    <w:p w14:paraId="708BA0A4">
      <w:pPr>
        <w:autoSpaceDE w:val="0"/>
        <w:autoSpaceDN w:val="0"/>
        <w:spacing w:line="360" w:lineRule="auto"/>
        <w:ind w:firstLine="482"/>
        <w:rPr>
          <w:sz w:val="24"/>
        </w:rPr>
      </w:pPr>
      <w:r>
        <w:rPr>
          <w:rFonts w:hint="eastAsia"/>
          <w:sz w:val="24"/>
        </w:rPr>
        <w:t>项目名称：</w:t>
      </w:r>
      <w:r>
        <w:rPr>
          <w:rFonts w:hint="eastAsia"/>
          <w:bCs/>
          <w:sz w:val="24"/>
          <w:u w:val="single"/>
        </w:rPr>
        <w:t>台州湾新区中国家庭帆船赛台州站配套工程（浮筒平台采购）</w:t>
      </w:r>
      <w:r>
        <w:rPr>
          <w:rFonts w:hint="eastAsia"/>
          <w:bCs/>
          <w:sz w:val="24"/>
          <w:u w:val="single"/>
          <w:lang w:eastAsia="zh-CN"/>
        </w:rPr>
        <w:t>（</w:t>
      </w:r>
      <w:r>
        <w:rPr>
          <w:rFonts w:hint="eastAsia"/>
          <w:bCs/>
          <w:sz w:val="24"/>
          <w:u w:val="single"/>
          <w:lang w:val="en-US" w:eastAsia="zh-CN"/>
        </w:rPr>
        <w:t>重新招标）</w:t>
      </w:r>
      <w:r>
        <w:rPr>
          <w:rFonts w:hint="eastAsia"/>
          <w:sz w:val="24"/>
          <w:u w:val="single"/>
        </w:rPr>
        <w:t xml:space="preserve">  </w:t>
      </w:r>
    </w:p>
    <w:p w14:paraId="68DC8608">
      <w:pPr>
        <w:autoSpaceDE w:val="0"/>
        <w:autoSpaceDN w:val="0"/>
        <w:spacing w:line="360" w:lineRule="auto"/>
        <w:ind w:firstLine="482"/>
        <w:rPr>
          <w:sz w:val="24"/>
        </w:rPr>
      </w:pPr>
      <w:r>
        <w:rPr>
          <w:rFonts w:hint="eastAsia"/>
          <w:sz w:val="24"/>
        </w:rPr>
        <w:t>采购人（甲方）：</w:t>
      </w:r>
      <w:r>
        <w:rPr>
          <w:rFonts w:hint="eastAsia"/>
          <w:sz w:val="24"/>
          <w:u w:val="single"/>
        </w:rPr>
        <w:t xml:space="preserve">   </w:t>
      </w:r>
      <w:r>
        <w:rPr>
          <w:rFonts w:hint="eastAsia"/>
          <w:bCs/>
          <w:sz w:val="24"/>
          <w:u w:val="single"/>
        </w:rPr>
        <w:t>台州东发建设集团有限公司</w:t>
      </w:r>
      <w:r>
        <w:rPr>
          <w:sz w:val="24"/>
          <w:u w:val="single"/>
        </w:rPr>
        <w:t xml:space="preserve"> </w:t>
      </w:r>
      <w:r>
        <w:rPr>
          <w:rFonts w:hint="eastAsia"/>
          <w:sz w:val="24"/>
          <w:u w:val="single"/>
        </w:rPr>
        <w:t xml:space="preserve">      </w:t>
      </w:r>
    </w:p>
    <w:p w14:paraId="72E2DB10">
      <w:pPr>
        <w:autoSpaceDE w:val="0"/>
        <w:autoSpaceDN w:val="0"/>
        <w:spacing w:line="360" w:lineRule="auto"/>
        <w:ind w:firstLine="482"/>
        <w:rPr>
          <w:sz w:val="24"/>
        </w:rPr>
      </w:pPr>
      <w:r>
        <w:rPr>
          <w:rFonts w:hint="eastAsia"/>
          <w:sz w:val="24"/>
        </w:rPr>
        <w:t>中标单位（乙方）：</w:t>
      </w:r>
      <w:r>
        <w:rPr>
          <w:rFonts w:hint="eastAsia"/>
          <w:sz w:val="24"/>
          <w:u w:val="single"/>
        </w:rPr>
        <w:t xml:space="preserve">                                   </w:t>
      </w:r>
    </w:p>
    <w:p w14:paraId="03143467">
      <w:pPr>
        <w:autoSpaceDE w:val="0"/>
        <w:autoSpaceDN w:val="0"/>
        <w:spacing w:line="360" w:lineRule="auto"/>
        <w:ind w:firstLine="482"/>
        <w:rPr>
          <w:sz w:val="24"/>
        </w:rPr>
      </w:pPr>
      <w:r>
        <w:rPr>
          <w:rFonts w:hint="eastAsia"/>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2E9964AA">
      <w:pPr>
        <w:autoSpaceDE w:val="0"/>
        <w:autoSpaceDN w:val="0"/>
        <w:spacing w:line="360" w:lineRule="auto"/>
        <w:rPr>
          <w:sz w:val="24"/>
        </w:rPr>
      </w:pPr>
      <w:r>
        <w:rPr>
          <w:rFonts w:hint="eastAsia"/>
          <w:sz w:val="24"/>
        </w:rPr>
        <w:t>　　第一条 甲乙双方的责任</w:t>
      </w:r>
    </w:p>
    <w:p w14:paraId="7E8E0D1E">
      <w:pPr>
        <w:spacing w:line="360" w:lineRule="auto"/>
        <w:jc w:val="left"/>
        <w:rPr>
          <w:sz w:val="24"/>
        </w:rPr>
      </w:pPr>
      <w:r>
        <w:rPr>
          <w:rFonts w:hint="eastAsia"/>
          <w:sz w:val="24"/>
        </w:rPr>
        <w:t>　　（一）应严格遵守国家关于市场准入、项目招标投标和市场活动等有关法律、法规，相关政策，以及廉政建设的各项规定。</w:t>
      </w:r>
    </w:p>
    <w:p w14:paraId="30567673">
      <w:pPr>
        <w:autoSpaceDE w:val="0"/>
        <w:autoSpaceDN w:val="0"/>
        <w:spacing w:line="360" w:lineRule="auto"/>
        <w:rPr>
          <w:sz w:val="24"/>
        </w:rPr>
      </w:pPr>
      <w:r>
        <w:rPr>
          <w:rFonts w:hint="eastAsia"/>
          <w:sz w:val="24"/>
        </w:rPr>
        <w:t>　　（二）严格执行项目双方合同文件，自觉按合同办事。</w:t>
      </w:r>
    </w:p>
    <w:p w14:paraId="75A93175">
      <w:pPr>
        <w:spacing w:line="360" w:lineRule="auto"/>
        <w:rPr>
          <w:sz w:val="24"/>
        </w:rPr>
      </w:pPr>
      <w:r>
        <w:rPr>
          <w:rFonts w:hint="eastAsia"/>
          <w:sz w:val="24"/>
        </w:rPr>
        <w:t>　　（三）业务活动必须坚持公开、公平、公正、诚信、透明的原则（除法律法规另有规定者外），不得为获取不正当的利益，损害国家、集体和对方利益，不得违反工程建设管理、施工安装的规章制度。</w:t>
      </w:r>
    </w:p>
    <w:p w14:paraId="74BB67A3">
      <w:pPr>
        <w:spacing w:line="360" w:lineRule="auto"/>
        <w:jc w:val="left"/>
        <w:rPr>
          <w:sz w:val="24"/>
        </w:rPr>
      </w:pPr>
      <w:r>
        <w:rPr>
          <w:rFonts w:hint="eastAsia"/>
          <w:sz w:val="24"/>
        </w:rPr>
        <w:t>　　（四）发现对方在业务活动中有违规、违纪、违法行为的，应及时提醒对方，情节严重的，应向其上级主管部门或纪检监察、司法等有关机关举报。</w:t>
      </w:r>
    </w:p>
    <w:p w14:paraId="51BE1690">
      <w:pPr>
        <w:autoSpaceDE w:val="0"/>
        <w:autoSpaceDN w:val="0"/>
        <w:spacing w:line="360" w:lineRule="auto"/>
        <w:rPr>
          <w:sz w:val="24"/>
        </w:rPr>
      </w:pPr>
      <w:r>
        <w:rPr>
          <w:rFonts w:hint="eastAsia"/>
          <w:sz w:val="24"/>
        </w:rPr>
        <w:t>　　第二条 甲方的责任</w:t>
      </w:r>
    </w:p>
    <w:p w14:paraId="6646D46B">
      <w:pPr>
        <w:autoSpaceDE w:val="0"/>
        <w:autoSpaceDN w:val="0"/>
        <w:spacing w:line="360" w:lineRule="auto"/>
        <w:rPr>
          <w:sz w:val="24"/>
        </w:rPr>
      </w:pPr>
      <w:r>
        <w:rPr>
          <w:rFonts w:hint="eastAsia"/>
          <w:sz w:val="24"/>
        </w:rPr>
        <w:t>　　甲方的领导和从事该项目的工作人员，在项目的事前、事中、事后应遵守以下规定：</w:t>
      </w:r>
    </w:p>
    <w:p w14:paraId="1AC37281">
      <w:pPr>
        <w:autoSpaceDE w:val="0"/>
        <w:autoSpaceDN w:val="0"/>
        <w:spacing w:line="360" w:lineRule="auto"/>
        <w:rPr>
          <w:sz w:val="24"/>
        </w:rPr>
      </w:pPr>
      <w:r>
        <w:rPr>
          <w:rFonts w:hint="eastAsia"/>
          <w:sz w:val="24"/>
        </w:rPr>
        <w:t>　　（一）不准向乙方和相关单位索要或接受回扣、礼金、有价证券、贵重物品和好处费、感谢费等。</w:t>
      </w:r>
    </w:p>
    <w:p w14:paraId="03C4F069">
      <w:pPr>
        <w:autoSpaceDE w:val="0"/>
        <w:autoSpaceDN w:val="0"/>
        <w:spacing w:line="360" w:lineRule="auto"/>
        <w:rPr>
          <w:sz w:val="24"/>
        </w:rPr>
      </w:pPr>
      <w:r>
        <w:rPr>
          <w:rFonts w:hint="eastAsia"/>
          <w:sz w:val="24"/>
        </w:rPr>
        <w:t>　　（二）不准在乙方和相关单位报销任何应由甲方或个人支付的费用。</w:t>
      </w:r>
    </w:p>
    <w:p w14:paraId="0796A487">
      <w:pPr>
        <w:spacing w:line="360" w:lineRule="auto"/>
        <w:jc w:val="left"/>
        <w:rPr>
          <w:sz w:val="24"/>
        </w:rPr>
      </w:pPr>
      <w:r>
        <w:rPr>
          <w:rFonts w:hint="eastAsia"/>
          <w:sz w:val="24"/>
        </w:rPr>
        <w:t>　　（三）不准要求、暗示和接受乙方和相关单位为个人装修住房、婚丧嫁娶、配偶子女的工作安排以及出国（境）、旅游等提供方便。</w:t>
      </w:r>
    </w:p>
    <w:p w14:paraId="61B9F316">
      <w:pPr>
        <w:autoSpaceDE w:val="0"/>
        <w:autoSpaceDN w:val="0"/>
        <w:spacing w:line="360" w:lineRule="auto"/>
        <w:rPr>
          <w:sz w:val="24"/>
        </w:rPr>
      </w:pPr>
      <w:r>
        <w:rPr>
          <w:rFonts w:hint="eastAsia"/>
          <w:sz w:val="24"/>
        </w:rPr>
        <w:t>　　（四）不准参加有可能影响公正执行公务的乙方和相关单位的宴请和健身、娱乐等活动。</w:t>
      </w:r>
    </w:p>
    <w:p w14:paraId="0BBA94B2">
      <w:pPr>
        <w:spacing w:line="360" w:lineRule="auto"/>
        <w:jc w:val="left"/>
        <w:rPr>
          <w:sz w:val="24"/>
        </w:rPr>
      </w:pPr>
      <w:r>
        <w:rPr>
          <w:rFonts w:hint="eastAsia"/>
          <w:sz w:val="24"/>
        </w:rPr>
        <w:t>　　（五）不准向乙方介绍或为配偶、子女、亲属参与同甲方项目合同有关的设备、材料、劳务等经济活动。不得以任何理由向乙方和相关单位推荐其他单位和要求乙方购买项目合同规定以外的材料、设备等。</w:t>
      </w:r>
    </w:p>
    <w:p w14:paraId="1BEC5446">
      <w:pPr>
        <w:autoSpaceDE w:val="0"/>
        <w:autoSpaceDN w:val="0"/>
        <w:spacing w:line="360" w:lineRule="auto"/>
        <w:rPr>
          <w:sz w:val="24"/>
        </w:rPr>
      </w:pPr>
      <w:r>
        <w:rPr>
          <w:rFonts w:hint="eastAsia"/>
          <w:sz w:val="24"/>
        </w:rPr>
        <w:t>　　第三条 乙方的责任</w:t>
      </w:r>
    </w:p>
    <w:p w14:paraId="1E3C144E">
      <w:pPr>
        <w:spacing w:line="360" w:lineRule="auto"/>
        <w:jc w:val="left"/>
        <w:rPr>
          <w:sz w:val="24"/>
        </w:rPr>
      </w:pPr>
      <w:r>
        <w:rPr>
          <w:rFonts w:hint="eastAsia"/>
          <w:sz w:val="24"/>
        </w:rPr>
        <w:t>　　应与甲方保持正常的业务交往，按照有关法律法规和程序开展业务工作，严格执行项目的有关方针、政策，并遵守以下规定：</w:t>
      </w:r>
    </w:p>
    <w:p w14:paraId="74576AF2">
      <w:pPr>
        <w:spacing w:line="360" w:lineRule="auto"/>
        <w:jc w:val="left"/>
        <w:rPr>
          <w:sz w:val="24"/>
        </w:rPr>
      </w:pPr>
      <w:r>
        <w:rPr>
          <w:rFonts w:hint="eastAsia"/>
          <w:sz w:val="24"/>
        </w:rPr>
        <w:t>　　（一）不准以任何理由向甲方、相关单位及其工作人员索要、接受或赠送礼金、有价证券、贵重物品和回扣、好处费、感谢费等。</w:t>
      </w:r>
    </w:p>
    <w:p w14:paraId="70309076">
      <w:pPr>
        <w:autoSpaceDE w:val="0"/>
        <w:autoSpaceDN w:val="0"/>
        <w:spacing w:line="360" w:lineRule="auto"/>
        <w:rPr>
          <w:sz w:val="24"/>
        </w:rPr>
      </w:pPr>
      <w:r>
        <w:rPr>
          <w:rFonts w:hint="eastAsia"/>
          <w:sz w:val="24"/>
        </w:rPr>
        <w:t>　　（二）不准以任何理由为甲方和相关单位报销应由对方或个人支付的费用。</w:t>
      </w:r>
    </w:p>
    <w:p w14:paraId="07F79592">
      <w:pPr>
        <w:spacing w:line="360" w:lineRule="auto"/>
        <w:jc w:val="left"/>
        <w:rPr>
          <w:sz w:val="24"/>
        </w:rPr>
      </w:pPr>
      <w:r>
        <w:rPr>
          <w:rFonts w:hint="eastAsia"/>
          <w:sz w:val="24"/>
        </w:rPr>
        <w:t>　　（三）不准接受或暗示为甲方、相关单位或个人装修住房、婚丧嫁娶、配偶子女的工作安排以及出国（境）、旅游等提供方便。</w:t>
      </w:r>
    </w:p>
    <w:p w14:paraId="20408D96">
      <w:pPr>
        <w:spacing w:line="360" w:lineRule="auto"/>
        <w:jc w:val="left"/>
        <w:rPr>
          <w:sz w:val="24"/>
        </w:rPr>
      </w:pPr>
      <w:r>
        <w:rPr>
          <w:rFonts w:hint="eastAsia"/>
          <w:sz w:val="24"/>
        </w:rPr>
        <w:t>　　（四）不准以任何理由为甲方、相关单位或个人组织有可能影响公正执行公务的宴请、健身、娱乐等活动。</w:t>
      </w:r>
    </w:p>
    <w:p w14:paraId="1D93935D">
      <w:pPr>
        <w:autoSpaceDE w:val="0"/>
        <w:autoSpaceDN w:val="0"/>
        <w:spacing w:line="360" w:lineRule="auto"/>
        <w:rPr>
          <w:sz w:val="24"/>
        </w:rPr>
      </w:pPr>
      <w:r>
        <w:rPr>
          <w:rFonts w:hint="eastAsia"/>
          <w:sz w:val="24"/>
        </w:rPr>
        <w:t>　　第四条 违约责任</w:t>
      </w:r>
    </w:p>
    <w:p w14:paraId="2128548A">
      <w:pPr>
        <w:spacing w:line="360" w:lineRule="auto"/>
        <w:jc w:val="left"/>
        <w:rPr>
          <w:sz w:val="24"/>
        </w:rPr>
      </w:pPr>
      <w:r>
        <w:rPr>
          <w:rFonts w:hint="eastAsia"/>
          <w:sz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6413BDF">
      <w:pPr>
        <w:spacing w:line="360" w:lineRule="auto"/>
        <w:jc w:val="left"/>
        <w:rPr>
          <w:sz w:val="24"/>
        </w:rPr>
      </w:pPr>
      <w:r>
        <w:rPr>
          <w:rFonts w:hint="eastAsia"/>
          <w:sz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25A77C2E">
      <w:pPr>
        <w:autoSpaceDE w:val="0"/>
        <w:autoSpaceDN w:val="0"/>
        <w:spacing w:line="360" w:lineRule="auto"/>
        <w:rPr>
          <w:sz w:val="24"/>
        </w:rPr>
      </w:pPr>
      <w:r>
        <w:rPr>
          <w:rFonts w:hint="eastAsia"/>
          <w:sz w:val="24"/>
        </w:rPr>
        <w:t>　　第五条 本责任书作为项目合同的附件，与项目合同具有同等法律效力。经双方签署后立即生效。</w:t>
      </w:r>
    </w:p>
    <w:p w14:paraId="0AAB1690">
      <w:pPr>
        <w:autoSpaceDE w:val="0"/>
        <w:autoSpaceDN w:val="0"/>
        <w:spacing w:line="360" w:lineRule="auto"/>
        <w:rPr>
          <w:sz w:val="24"/>
        </w:rPr>
      </w:pPr>
      <w:r>
        <w:rPr>
          <w:rFonts w:hint="eastAsia"/>
          <w:sz w:val="24"/>
        </w:rPr>
        <w:t>　　第六条 本责任书的有效期为双方签署之日起至该项目完工验收合格时止。</w:t>
      </w:r>
    </w:p>
    <w:p w14:paraId="755CB4EB">
      <w:pPr>
        <w:autoSpaceDE w:val="0"/>
        <w:autoSpaceDN w:val="0"/>
        <w:spacing w:line="360" w:lineRule="auto"/>
        <w:rPr>
          <w:sz w:val="24"/>
        </w:rPr>
      </w:pPr>
      <w:r>
        <w:rPr>
          <w:rFonts w:hint="eastAsia"/>
          <w:sz w:val="24"/>
        </w:rPr>
        <w:t>　　第七条 本责任书一式肆份，</w:t>
      </w:r>
      <w:r>
        <w:rPr>
          <w:sz w:val="24"/>
        </w:rPr>
        <w:t>甲</w:t>
      </w:r>
      <w:r>
        <w:rPr>
          <w:rFonts w:hint="eastAsia"/>
          <w:sz w:val="24"/>
        </w:rPr>
        <w:t>方贰</w:t>
      </w:r>
      <w:r>
        <w:rPr>
          <w:sz w:val="24"/>
        </w:rPr>
        <w:t>份</w:t>
      </w:r>
      <w:r>
        <w:rPr>
          <w:rFonts w:hint="eastAsia"/>
          <w:sz w:val="24"/>
        </w:rPr>
        <w:t>，乙方贰份。</w:t>
      </w:r>
    </w:p>
    <w:p w14:paraId="31555A26">
      <w:pPr>
        <w:autoSpaceDE w:val="0"/>
        <w:autoSpaceDN w:val="0"/>
        <w:spacing w:line="360" w:lineRule="auto"/>
        <w:ind w:firstLine="482"/>
        <w:rPr>
          <w:sz w:val="24"/>
        </w:rPr>
      </w:pPr>
    </w:p>
    <w:p w14:paraId="7187A1E2">
      <w:pPr>
        <w:autoSpaceDE w:val="0"/>
        <w:autoSpaceDN w:val="0"/>
        <w:spacing w:line="360" w:lineRule="auto"/>
        <w:ind w:firstLine="482"/>
        <w:rPr>
          <w:sz w:val="24"/>
        </w:rPr>
      </w:pPr>
    </w:p>
    <w:p w14:paraId="0D61F516">
      <w:pPr>
        <w:autoSpaceDE w:val="0"/>
        <w:autoSpaceDN w:val="0"/>
        <w:spacing w:line="360" w:lineRule="auto"/>
        <w:ind w:firstLine="482"/>
        <w:rPr>
          <w:sz w:val="24"/>
        </w:rPr>
      </w:pPr>
      <w:r>
        <w:rPr>
          <w:rFonts w:hint="eastAsia"/>
          <w:sz w:val="24"/>
        </w:rPr>
        <w:t>甲方单位：（盖章）　　　　　　　　                　　　乙方单位：（盖章）</w:t>
      </w:r>
    </w:p>
    <w:p w14:paraId="5BDB6B8E">
      <w:pPr>
        <w:autoSpaceDE w:val="0"/>
        <w:autoSpaceDN w:val="0"/>
        <w:spacing w:line="360" w:lineRule="auto"/>
        <w:ind w:firstLine="482"/>
        <w:rPr>
          <w:sz w:val="24"/>
        </w:rPr>
      </w:pPr>
      <w:r>
        <w:rPr>
          <w:rFonts w:hint="eastAsia"/>
          <w:sz w:val="24"/>
        </w:rPr>
        <w:t>法定代表人：　　　　　　　　　               　　　　　法定代表人：</w:t>
      </w:r>
    </w:p>
    <w:p w14:paraId="68B6B639">
      <w:pPr>
        <w:autoSpaceDE w:val="0"/>
        <w:autoSpaceDN w:val="0"/>
        <w:spacing w:line="360" w:lineRule="auto"/>
        <w:ind w:firstLine="482"/>
        <w:rPr>
          <w:sz w:val="24"/>
        </w:rPr>
      </w:pPr>
      <w:r>
        <w:rPr>
          <w:rFonts w:hint="eastAsia"/>
          <w:sz w:val="24"/>
        </w:rPr>
        <w:t>地址：　　　　　　　　　　　　　               　　　　地址：</w:t>
      </w:r>
    </w:p>
    <w:p w14:paraId="30381D75">
      <w:pPr>
        <w:autoSpaceDE w:val="0"/>
        <w:autoSpaceDN w:val="0"/>
        <w:spacing w:line="360" w:lineRule="auto"/>
        <w:ind w:firstLine="482"/>
        <w:rPr>
          <w:sz w:val="24"/>
        </w:rPr>
      </w:pPr>
      <w:r>
        <w:rPr>
          <w:rFonts w:hint="eastAsia"/>
          <w:sz w:val="24"/>
        </w:rPr>
        <w:t>电话：　　　　　　　　　　　　　　　               　　电话：</w:t>
      </w:r>
    </w:p>
    <w:p w14:paraId="5279C968">
      <w:pPr>
        <w:autoSpaceDE w:val="0"/>
        <w:autoSpaceDN w:val="0"/>
        <w:spacing w:line="360" w:lineRule="auto"/>
        <w:ind w:firstLine="482"/>
        <w:rPr>
          <w:sz w:val="24"/>
        </w:rPr>
      </w:pPr>
      <w:r>
        <w:rPr>
          <w:rFonts w:hint="eastAsia"/>
          <w:sz w:val="24"/>
        </w:rPr>
        <w:t>年　月　日　　　　　　　　　　　　　               　　年　月　日</w:t>
      </w:r>
    </w:p>
    <w:p w14:paraId="1D874966">
      <w:pPr>
        <w:spacing w:line="300" w:lineRule="auto"/>
        <w:ind w:left="-282" w:leftChars="-407" w:hanging="858" w:hangingChars="407"/>
        <w:jc w:val="center"/>
        <w:rPr>
          <w:rFonts w:ascii="宋体" w:hAnsi="宋体"/>
          <w:b/>
          <w:bCs/>
          <w:color w:val="0D0D0D"/>
          <w:sz w:val="21"/>
          <w:szCs w:val="21"/>
        </w:rPr>
        <w:sectPr>
          <w:footnotePr>
            <w:numRestart w:val="eachPage"/>
          </w:footnotePr>
          <w:endnotePr>
            <w:numRestart w:val="eachSect"/>
          </w:endnotePr>
          <w:pgSz w:w="11907" w:h="16840"/>
          <w:pgMar w:top="1247" w:right="1361" w:bottom="1247" w:left="1361" w:header="851" w:footer="824" w:gutter="0"/>
          <w:cols w:space="720" w:num="1"/>
          <w:docGrid w:linePitch="435" w:charSpace="-6554"/>
        </w:sectPr>
      </w:pPr>
    </w:p>
    <w:p w14:paraId="299ECD4C">
      <w:pPr>
        <w:pStyle w:val="29"/>
        <w:tabs>
          <w:tab w:val="left" w:pos="2472"/>
        </w:tabs>
        <w:snapToGrid w:val="0"/>
        <w:spacing w:line="240" w:lineRule="auto"/>
        <w:ind w:left="357" w:firstLine="826" w:firstLineChars="257"/>
        <w:jc w:val="center"/>
        <w:rPr>
          <w:rFonts w:hAnsi="宋体"/>
          <w:b/>
          <w:color w:val="0D0D0D"/>
          <w:sz w:val="32"/>
          <w:szCs w:val="32"/>
        </w:rPr>
      </w:pPr>
      <w:r>
        <w:rPr>
          <w:b/>
          <w:color w:val="0D0D0D"/>
          <w:sz w:val="32"/>
          <w:szCs w:val="32"/>
        </w:rPr>
        <w:t>第六章　报价文件格式</w:t>
      </w:r>
    </w:p>
    <w:p w14:paraId="05C952C3">
      <w:pPr>
        <w:spacing w:line="320" w:lineRule="exact"/>
        <w:jc w:val="left"/>
        <w:rPr>
          <w:b/>
          <w:color w:val="0C0C0C"/>
        </w:rPr>
      </w:pPr>
      <w:r>
        <w:rPr>
          <w:rFonts w:hint="eastAsia"/>
          <w:b/>
          <w:color w:val="0C0C0C"/>
        </w:rPr>
        <w:t>1、授权委托书格式：</w:t>
      </w:r>
    </w:p>
    <w:p w14:paraId="79BCAC8A">
      <w:pPr>
        <w:spacing w:line="360" w:lineRule="auto"/>
        <w:ind w:firstLine="321" w:firstLineChars="100"/>
        <w:jc w:val="center"/>
        <w:rPr>
          <w:rFonts w:hAnsi="宋体"/>
          <w:b/>
          <w:sz w:val="32"/>
          <w:szCs w:val="32"/>
          <w:u w:val="single"/>
        </w:rPr>
      </w:pPr>
      <w:bookmarkStart w:id="4" w:name="_Toc24373_WPSOffice_Level1"/>
      <w:bookmarkStart w:id="5" w:name="_Toc6870_WPSOffice_Level1"/>
      <w:r>
        <w:rPr>
          <w:b/>
          <w:sz w:val="32"/>
          <w:szCs w:val="32"/>
        </w:rPr>
        <w:t>授权</w:t>
      </w:r>
      <w:r>
        <w:rPr>
          <w:rFonts w:hint="eastAsia"/>
          <w:b/>
          <w:sz w:val="32"/>
          <w:szCs w:val="32"/>
        </w:rPr>
        <w:t>委托</w:t>
      </w:r>
      <w:r>
        <w:rPr>
          <w:b/>
          <w:sz w:val="32"/>
          <w:szCs w:val="32"/>
        </w:rPr>
        <w:t>书</w:t>
      </w:r>
      <w:bookmarkEnd w:id="4"/>
      <w:bookmarkEnd w:id="5"/>
    </w:p>
    <w:p w14:paraId="10178284">
      <w:pPr>
        <w:snapToGrid w:val="0"/>
        <w:spacing w:before="156" w:beforeLines="50" w:after="50" w:line="360" w:lineRule="auto"/>
        <w:rPr>
          <w:rFonts w:ascii="宋体" w:hAnsi="宋体" w:eastAsia="宋体" w:cs="Times New Roman"/>
          <w:kern w:val="2"/>
          <w:sz w:val="24"/>
          <w:szCs w:val="24"/>
          <w:lang w:val="en-US" w:eastAsia="zh-CN" w:bidi="ar-SA"/>
        </w:rPr>
      </w:pPr>
      <w:r>
        <w:rPr>
          <w:rFonts w:ascii="宋体" w:hAnsi="宋体" w:eastAsia="宋体" w:cs="Times New Roman"/>
          <w:kern w:val="2"/>
          <w:sz w:val="24"/>
          <w:szCs w:val="24"/>
          <w:u w:val="single"/>
          <w:lang w:val="en-US" w:eastAsia="zh-CN" w:bidi="ar-SA"/>
        </w:rPr>
        <w:t>（</w:t>
      </w:r>
      <w:r>
        <w:rPr>
          <w:rFonts w:hint="eastAsia" w:ascii="宋体" w:hAnsi="宋体" w:cs="Times New Roman"/>
          <w:kern w:val="2"/>
          <w:sz w:val="24"/>
          <w:szCs w:val="24"/>
          <w:u w:val="single"/>
          <w:lang w:val="en-US" w:eastAsia="zh-CN" w:bidi="ar-SA"/>
        </w:rPr>
        <w:t>招标人或招标代理机构</w:t>
      </w:r>
      <w:r>
        <w:rPr>
          <w:rFonts w:ascii="宋体" w:hAnsi="宋体" w:eastAsia="宋体" w:cs="Times New Roman"/>
          <w:kern w:val="2"/>
          <w:sz w:val="24"/>
          <w:szCs w:val="24"/>
          <w:u w:val="single"/>
          <w:lang w:val="en-US" w:eastAsia="zh-CN" w:bidi="ar-SA"/>
        </w:rPr>
        <w:t xml:space="preserve">全称） </w:t>
      </w:r>
      <w:r>
        <w:rPr>
          <w:rFonts w:ascii="宋体" w:hAnsi="宋体" w:eastAsia="宋体" w:cs="Times New Roman"/>
          <w:kern w:val="2"/>
          <w:sz w:val="24"/>
          <w:szCs w:val="24"/>
          <w:lang w:val="en-US" w:eastAsia="zh-CN" w:bidi="ar-SA"/>
        </w:rPr>
        <w:t xml:space="preserve"> </w:t>
      </w:r>
      <w:r>
        <w:rPr>
          <w:rFonts w:hint="eastAsia" w:ascii="宋体" w:hAnsi="宋体" w:eastAsia="宋体" w:cs="Times New Roman"/>
          <w:kern w:val="2"/>
          <w:sz w:val="24"/>
          <w:szCs w:val="24"/>
          <w:lang w:val="en-US" w:eastAsia="zh-CN" w:bidi="ar-SA"/>
        </w:rPr>
        <w:t>：</w:t>
      </w:r>
    </w:p>
    <w:p w14:paraId="0535A673">
      <w:pPr>
        <w:pStyle w:val="29"/>
        <w:spacing w:line="360" w:lineRule="auto"/>
        <w:ind w:firstLine="480" w:firstLineChars="200"/>
        <w:rPr>
          <w:rFonts w:hAnsi="宋体"/>
        </w:rPr>
      </w:pPr>
      <w:r>
        <w:rPr>
          <w:rFonts w:hAnsi="宋体"/>
          <w:u w:val="single"/>
        </w:rPr>
        <w:t xml:space="preserve">  （</w:t>
      </w:r>
      <w:r>
        <w:rPr>
          <w:rFonts w:hint="eastAsia" w:hAnsi="宋体"/>
          <w:u w:val="single"/>
        </w:rPr>
        <w:t>供应商</w:t>
      </w:r>
      <w:r>
        <w:rPr>
          <w:rFonts w:hAnsi="宋体"/>
          <w:u w:val="single"/>
        </w:rPr>
        <w:t xml:space="preserve">全称）  </w:t>
      </w:r>
      <w:r>
        <w:rPr>
          <w:rFonts w:hAnsi="宋体"/>
        </w:rPr>
        <w:t>法定代表人</w:t>
      </w:r>
      <w:r>
        <w:rPr>
          <w:rFonts w:hint="eastAsia" w:ascii="Arial" w:hAnsi="Arial" w:cs="Arial"/>
        </w:rPr>
        <w:t>（或营业执照中单位负责人）</w:t>
      </w:r>
      <w:r>
        <w:rPr>
          <w:rFonts w:hAnsi="宋体"/>
          <w:u w:val="single"/>
        </w:rPr>
        <w:tab/>
      </w:r>
      <w:r>
        <w:rPr>
          <w:rFonts w:hAnsi="宋体"/>
          <w:u w:val="single"/>
        </w:rPr>
        <w:t>（法定代表</w:t>
      </w:r>
      <w:r>
        <w:rPr>
          <w:rFonts w:hint="eastAsia" w:hAnsi="宋体"/>
          <w:u w:val="single"/>
        </w:rPr>
        <w:t>人</w:t>
      </w:r>
      <w:r>
        <w:rPr>
          <w:rFonts w:hint="eastAsia" w:ascii="Arial" w:hAnsi="Arial" w:cs="Arial"/>
          <w:u w:val="single"/>
        </w:rPr>
        <w:t>或营业执照中单位负责人</w:t>
      </w:r>
      <w:r>
        <w:rPr>
          <w:rFonts w:hAnsi="宋体"/>
          <w:u w:val="single"/>
        </w:rPr>
        <w:t xml:space="preserve">姓名） </w:t>
      </w:r>
      <w:r>
        <w:rPr>
          <w:rFonts w:hAnsi="宋体"/>
        </w:rPr>
        <w:t>授权</w:t>
      </w:r>
      <w:r>
        <w:rPr>
          <w:rFonts w:hint="eastAsia" w:hAnsi="宋体"/>
          <w:u w:val="single"/>
        </w:rPr>
        <w:t xml:space="preserve">   （全权代表</w:t>
      </w:r>
      <w:r>
        <w:rPr>
          <w:rFonts w:hAnsi="宋体"/>
          <w:u w:val="single"/>
        </w:rPr>
        <w:t>姓名</w:t>
      </w:r>
      <w:r>
        <w:rPr>
          <w:rFonts w:hint="eastAsia" w:hAnsi="宋体"/>
          <w:u w:val="single"/>
        </w:rPr>
        <w:t xml:space="preserve">） </w:t>
      </w:r>
      <w:r>
        <w:rPr>
          <w:rFonts w:hAnsi="宋体"/>
        </w:rPr>
        <w:t>为</w:t>
      </w:r>
      <w:r>
        <w:rPr>
          <w:rFonts w:hint="eastAsia" w:hAnsi="宋体"/>
        </w:rPr>
        <w:t>全权代表</w:t>
      </w:r>
      <w:r>
        <w:rPr>
          <w:rFonts w:hAnsi="宋体"/>
        </w:rPr>
        <w:t>，参加贵单位组织的</w:t>
      </w:r>
      <w:r>
        <w:rPr>
          <w:rFonts w:hint="eastAsia" w:hAnsi="宋体"/>
          <w:u w:val="single"/>
        </w:rPr>
        <w:t xml:space="preserve"> </w:t>
      </w:r>
      <w:r>
        <w:rPr>
          <w:rFonts w:hAnsi="宋体"/>
          <w:u w:val="single"/>
        </w:rPr>
        <w:t xml:space="preserve">                        </w:t>
      </w:r>
      <w:r>
        <w:rPr>
          <w:rFonts w:hint="eastAsia" w:hAnsi="宋体"/>
          <w:u w:val="single"/>
        </w:rPr>
        <w:t>（项目名称）</w:t>
      </w:r>
      <w:r>
        <w:rPr>
          <w:rFonts w:hAnsi="宋体"/>
        </w:rPr>
        <w:t>的采购活动，并代表我方全权办理针对上述项目的投标、开标、评标、签约等具体事务和签署相关文件。</w:t>
      </w:r>
      <w:r>
        <w:rPr>
          <w:rFonts w:hint="eastAsia" w:hAnsi="宋体"/>
        </w:rPr>
        <w:t>我方对全权代表的签字事项负全部责任。</w:t>
      </w:r>
    </w:p>
    <w:p w14:paraId="4FC50B61">
      <w:pPr>
        <w:pStyle w:val="29"/>
        <w:spacing w:line="360" w:lineRule="auto"/>
        <w:ind w:firstLine="480" w:firstLineChars="200"/>
        <w:rPr>
          <w:rFonts w:hAnsi="宋体"/>
        </w:rPr>
      </w:pPr>
      <w:r>
        <w:rPr>
          <w:rFonts w:hint="eastAsia" w:hAnsi="宋体"/>
        </w:rPr>
        <w:t>在撤销授权的书面通知以前，本授权书一直有效。全权代表在授权委托书有效期内签署的所有文件不因授权的撤销而失效。</w:t>
      </w:r>
    </w:p>
    <w:p w14:paraId="77FFB8CC">
      <w:pPr>
        <w:pStyle w:val="29"/>
        <w:spacing w:line="360" w:lineRule="auto"/>
        <w:ind w:firstLine="480" w:firstLineChars="200"/>
        <w:rPr>
          <w:rFonts w:hAnsi="宋体"/>
        </w:rPr>
      </w:pPr>
      <w:r>
        <w:rPr>
          <w:rFonts w:hint="eastAsia" w:hAnsi="宋体"/>
        </w:rPr>
        <w:t>全权代表无转委托权，特此委托。</w:t>
      </w:r>
    </w:p>
    <w:p w14:paraId="56439682">
      <w:pPr>
        <w:spacing w:line="360" w:lineRule="auto"/>
        <w:rPr>
          <w:sz w:val="24"/>
        </w:rPr>
      </w:pPr>
    </w:p>
    <w:p w14:paraId="57991F1A">
      <w:pPr>
        <w:spacing w:line="360" w:lineRule="auto"/>
        <w:rPr>
          <w:sz w:val="24"/>
        </w:rPr>
      </w:pPr>
      <w:r>
        <w:rPr>
          <w:rFonts w:hint="eastAsia" w:ascii="宋体"/>
          <w:sz w:val="24"/>
        </w:rPr>
        <w:t>法定代表人签字或盖章：</w:t>
      </w:r>
    </w:p>
    <w:p w14:paraId="3F11CAEE">
      <w:pPr>
        <w:spacing w:line="360" w:lineRule="auto"/>
        <w:rPr>
          <w:sz w:val="24"/>
        </w:rPr>
      </w:pPr>
      <w:r>
        <w:rPr>
          <w:rFonts w:hint="eastAsia" w:ascii="宋体"/>
          <w:sz w:val="24"/>
        </w:rPr>
        <w:t>供应商全称（签字或盖章）：                              日期：</w:t>
      </w:r>
    </w:p>
    <w:p w14:paraId="151D1C7D">
      <w:pPr>
        <w:spacing w:line="360" w:lineRule="auto"/>
        <w:rPr>
          <w:sz w:val="24"/>
        </w:rPr>
      </w:pPr>
    </w:p>
    <w:p w14:paraId="72F66EB2">
      <w:pPr>
        <w:spacing w:line="360" w:lineRule="auto"/>
        <w:rPr>
          <w:b/>
          <w:sz w:val="24"/>
        </w:rPr>
      </w:pPr>
      <w:r>
        <w:rPr>
          <w:rFonts w:hint="eastAsia" w:ascii="宋体"/>
          <w:b/>
          <w:sz w:val="24"/>
        </w:rPr>
        <w:t>附：</w:t>
      </w: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37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A5C0275">
            <w:pPr>
              <w:spacing w:line="360" w:lineRule="auto"/>
              <w:rPr>
                <w:rFonts w:ascii="宋体"/>
                <w:b/>
                <w:sz w:val="24"/>
              </w:rPr>
            </w:pPr>
          </w:p>
          <w:p w14:paraId="4B99D122">
            <w:pPr>
              <w:spacing w:line="360" w:lineRule="auto"/>
              <w:ind w:firstLine="361" w:firstLineChars="150"/>
              <w:rPr>
                <w:rFonts w:ascii="宋体"/>
                <w:b/>
                <w:sz w:val="24"/>
              </w:rPr>
            </w:pPr>
            <w:r>
              <w:rPr>
                <w:rFonts w:hint="eastAsia" w:ascii="宋体"/>
                <w:b/>
                <w:sz w:val="24"/>
              </w:rPr>
              <w:t>法定代表身份证（身份证正反面）</w:t>
            </w:r>
          </w:p>
        </w:tc>
      </w:tr>
    </w:tbl>
    <w:p w14:paraId="70564EA2">
      <w:pPr>
        <w:spacing w:line="360" w:lineRule="auto"/>
        <w:rPr>
          <w:sz w:val="24"/>
        </w:rPr>
      </w:pPr>
      <w:r>
        <w:rPr>
          <w:rFonts w:hint="eastAsia" w:ascii="宋体"/>
          <w:sz w:val="24"/>
        </w:rPr>
        <w:t xml:space="preserve">法定代表人姓名：                                 </w:t>
      </w:r>
    </w:p>
    <w:p w14:paraId="6E8689F1">
      <w:pPr>
        <w:spacing w:line="360" w:lineRule="auto"/>
        <w:rPr>
          <w:sz w:val="24"/>
        </w:rPr>
      </w:pPr>
      <w:r>
        <w:rPr>
          <w:rFonts w:hint="eastAsia" w:ascii="宋体"/>
          <w:sz w:val="24"/>
        </w:rPr>
        <w:t>传真：</w:t>
      </w:r>
    </w:p>
    <w:p w14:paraId="54C61A82">
      <w:pPr>
        <w:spacing w:line="360" w:lineRule="auto"/>
        <w:rPr>
          <w:rFonts w:ascii="宋体"/>
          <w:sz w:val="24"/>
        </w:rPr>
      </w:pPr>
      <w:r>
        <w:rPr>
          <w:rFonts w:hint="eastAsia" w:ascii="宋体"/>
          <w:sz w:val="24"/>
        </w:rPr>
        <w:t>电话：</w:t>
      </w:r>
    </w:p>
    <w:p w14:paraId="7CAC9BBC">
      <w:pPr>
        <w:spacing w:line="360" w:lineRule="auto"/>
        <w:rPr>
          <w:sz w:val="24"/>
        </w:rPr>
      </w:pPr>
      <w:r>
        <w:rPr>
          <w:rFonts w:hint="eastAsia" w:ascii="宋体"/>
          <w:sz w:val="24"/>
        </w:rPr>
        <w:t>详细通讯地址：</w:t>
      </w:r>
    </w:p>
    <w:p w14:paraId="310741CA">
      <w:pPr>
        <w:spacing w:line="360" w:lineRule="auto"/>
        <w:rPr>
          <w:rFonts w:ascii="宋体"/>
          <w:sz w:val="24"/>
        </w:rPr>
      </w:pPr>
      <w:r>
        <w:rPr>
          <w:rFonts w:hint="eastAsia" w:ascii="宋体"/>
          <w:sz w:val="24"/>
        </w:rPr>
        <w:t>邮政编码：</w:t>
      </w:r>
    </w:p>
    <w:p w14:paraId="63328FC3">
      <w:pPr>
        <w:spacing w:line="360" w:lineRule="auto"/>
        <w:rPr>
          <w:b/>
          <w:sz w:val="24"/>
        </w:rPr>
      </w:pPr>
    </w:p>
    <w:tbl>
      <w:tblPr>
        <w:tblStyle w:val="4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6D2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C0DE0C5">
            <w:pPr>
              <w:spacing w:line="360" w:lineRule="auto"/>
              <w:rPr>
                <w:rFonts w:ascii="宋体"/>
                <w:b/>
                <w:sz w:val="24"/>
              </w:rPr>
            </w:pPr>
          </w:p>
          <w:p w14:paraId="2D302ED6">
            <w:pPr>
              <w:spacing w:line="360" w:lineRule="auto"/>
              <w:ind w:firstLine="361" w:firstLineChars="150"/>
              <w:rPr>
                <w:rFonts w:ascii="宋体"/>
                <w:b/>
                <w:sz w:val="24"/>
              </w:rPr>
            </w:pPr>
            <w:r>
              <w:rPr>
                <w:rFonts w:hint="eastAsia" w:ascii="宋体"/>
                <w:b/>
                <w:sz w:val="24"/>
              </w:rPr>
              <w:t>全权代表身份证（身份证正反面）</w:t>
            </w:r>
          </w:p>
        </w:tc>
      </w:tr>
    </w:tbl>
    <w:p w14:paraId="562CAA1F">
      <w:pPr>
        <w:spacing w:line="360" w:lineRule="auto"/>
        <w:rPr>
          <w:rFonts w:ascii="宋体"/>
          <w:sz w:val="24"/>
        </w:rPr>
      </w:pPr>
      <w:r>
        <w:rPr>
          <w:rFonts w:hint="eastAsia" w:ascii="宋体"/>
          <w:sz w:val="24"/>
        </w:rPr>
        <w:t xml:space="preserve">全权代表姓名：       </w:t>
      </w:r>
    </w:p>
    <w:p w14:paraId="5B4840EF">
      <w:pPr>
        <w:spacing w:line="360" w:lineRule="auto"/>
        <w:rPr>
          <w:sz w:val="24"/>
        </w:rPr>
      </w:pPr>
      <w:r>
        <w:rPr>
          <w:rFonts w:hint="eastAsia" w:ascii="宋体"/>
          <w:sz w:val="24"/>
        </w:rPr>
        <w:t xml:space="preserve">职务：                           </w:t>
      </w:r>
    </w:p>
    <w:p w14:paraId="12D96DB9">
      <w:pPr>
        <w:spacing w:line="360" w:lineRule="auto"/>
        <w:rPr>
          <w:sz w:val="24"/>
        </w:rPr>
      </w:pPr>
      <w:r>
        <w:rPr>
          <w:rFonts w:hint="eastAsia" w:ascii="宋体"/>
          <w:sz w:val="24"/>
        </w:rPr>
        <w:t>传真：</w:t>
      </w:r>
    </w:p>
    <w:p w14:paraId="69D08469">
      <w:pPr>
        <w:spacing w:line="360" w:lineRule="auto"/>
        <w:rPr>
          <w:rFonts w:ascii="宋体"/>
          <w:sz w:val="24"/>
        </w:rPr>
      </w:pPr>
      <w:r>
        <w:rPr>
          <w:rFonts w:hint="eastAsia" w:ascii="宋体"/>
          <w:sz w:val="24"/>
        </w:rPr>
        <w:t>电话：</w:t>
      </w:r>
    </w:p>
    <w:p w14:paraId="7F1DF557">
      <w:pPr>
        <w:spacing w:line="360" w:lineRule="auto"/>
        <w:rPr>
          <w:sz w:val="24"/>
        </w:rPr>
      </w:pPr>
      <w:r>
        <w:rPr>
          <w:rFonts w:hint="eastAsia" w:ascii="宋体"/>
          <w:sz w:val="24"/>
        </w:rPr>
        <w:t>详细通讯地址：</w:t>
      </w:r>
    </w:p>
    <w:p w14:paraId="44738F8C">
      <w:pPr>
        <w:spacing w:line="360" w:lineRule="auto"/>
        <w:rPr>
          <w:rFonts w:ascii="宋体" w:hAnsi="宋体"/>
          <w:b/>
        </w:rPr>
      </w:pPr>
      <w:r>
        <w:rPr>
          <w:rFonts w:hint="eastAsia" w:ascii="宋体"/>
          <w:sz w:val="24"/>
        </w:rPr>
        <w:t>邮政编码：</w:t>
      </w:r>
    </w:p>
    <w:p w14:paraId="51C8FA50">
      <w:pPr>
        <w:pStyle w:val="29"/>
        <w:snapToGrid w:val="0"/>
        <w:spacing w:before="295" w:beforeLines="0" w:after="295" w:afterLines="0" w:line="240" w:lineRule="auto"/>
        <w:rPr>
          <w:rFonts w:hAnsi="宋体"/>
        </w:rPr>
        <w:sectPr>
          <w:footerReference r:id="rId12" w:type="first"/>
          <w:footerReference r:id="rId11" w:type="default"/>
          <w:pgSz w:w="11906" w:h="16838"/>
          <w:pgMar w:top="1247" w:right="1361" w:bottom="1247" w:left="1361" w:header="851" w:footer="851" w:gutter="0"/>
          <w:pgNumType w:fmt="numberInDash"/>
          <w:cols w:space="720" w:num="1"/>
          <w:docGrid w:type="lines" w:linePitch="312" w:charSpace="0"/>
        </w:sectPr>
      </w:pPr>
    </w:p>
    <w:p w14:paraId="3C5E6A11">
      <w:pPr>
        <w:spacing w:line="320" w:lineRule="exact"/>
        <w:jc w:val="left"/>
        <w:rPr>
          <w:b/>
          <w:color w:val="0C0C0C"/>
        </w:rPr>
      </w:pPr>
      <w:r>
        <w:rPr>
          <w:rFonts w:hint="eastAsia"/>
          <w:b/>
          <w:color w:val="0C0C0C"/>
        </w:rPr>
        <w:t>2、开标一览表：</w:t>
      </w:r>
    </w:p>
    <w:p w14:paraId="56908FB8">
      <w:pPr>
        <w:spacing w:line="360" w:lineRule="atLeast"/>
        <w:ind w:left="641" w:leftChars="229" w:firstLine="2870" w:firstLineChars="953"/>
        <w:rPr>
          <w:rFonts w:ascii="宋体" w:hAnsi="宋体"/>
          <w:b/>
          <w:color w:val="0C0C0C"/>
          <w:sz w:val="24"/>
        </w:rPr>
      </w:pPr>
      <w:r>
        <w:rPr>
          <w:rFonts w:hint="eastAsia" w:ascii="宋体" w:hAnsi="宋体"/>
          <w:b/>
          <w:color w:val="0C0C0C"/>
          <w:sz w:val="30"/>
        </w:rPr>
        <w:t>开标一览表</w:t>
      </w:r>
      <w:r>
        <w:rPr>
          <w:rFonts w:hint="eastAsia" w:ascii="宋体" w:hAnsi="宋体"/>
          <w:color w:val="0C0C0C"/>
          <w:sz w:val="24"/>
        </w:rPr>
        <w:t xml:space="preserve">                                                                                </w:t>
      </w:r>
    </w:p>
    <w:p w14:paraId="2ABD03C9">
      <w:pPr>
        <w:spacing w:line="320" w:lineRule="exact"/>
        <w:rPr>
          <w:rFonts w:ascii="Arial" w:hAnsi="Arial" w:cs="Arial"/>
          <w:color w:val="0C0C0C"/>
          <w:sz w:val="24"/>
        </w:rPr>
      </w:pPr>
      <w:r>
        <w:rPr>
          <w:rFonts w:hint="eastAsia" w:ascii="Arial" w:hAnsi="Arial" w:cs="Arial"/>
          <w:color w:val="0C0C0C"/>
          <w:sz w:val="24"/>
        </w:rPr>
        <w:t>致：</w:t>
      </w:r>
      <w:r>
        <w:rPr>
          <w:rFonts w:hint="eastAsia" w:ascii="宋体" w:hAnsi="宋体" w:cs="宋体"/>
          <w:color w:val="0C0C0C"/>
          <w:sz w:val="24"/>
        </w:rPr>
        <w:t>台州东发建设集团有限公司</w:t>
      </w:r>
      <w:r>
        <w:rPr>
          <w:rFonts w:hint="eastAsia" w:ascii="Arial" w:hAnsi="Arial" w:cs="Arial"/>
          <w:color w:val="0C0C0C"/>
          <w:sz w:val="24"/>
        </w:rPr>
        <w:t>（采购人名称）</w:t>
      </w:r>
    </w:p>
    <w:p w14:paraId="5774B7D0">
      <w:pPr>
        <w:ind w:firstLine="480" w:firstLineChars="200"/>
        <w:jc w:val="left"/>
        <w:outlineLvl w:val="0"/>
        <w:rPr>
          <w:rFonts w:ascii="新宋体" w:hAnsi="新宋体" w:eastAsia="新宋体"/>
          <w:color w:val="0C0C0C"/>
          <w:sz w:val="22"/>
          <w:szCs w:val="22"/>
        </w:rPr>
      </w:pPr>
      <w:r>
        <w:rPr>
          <w:rFonts w:ascii="Arial" w:hAnsi="Arial" w:cs="Arial"/>
          <w:color w:val="0C0C0C"/>
          <w:sz w:val="24"/>
        </w:rPr>
        <w:t>经研究，我们决定</w:t>
      </w:r>
      <w:r>
        <w:rPr>
          <w:rFonts w:ascii="Arial" w:hAnsi="Arial" w:cs="Arial"/>
          <w:color w:val="0C0C0C"/>
          <w:sz w:val="24"/>
          <w:szCs w:val="28"/>
        </w:rPr>
        <w:t>参加</w:t>
      </w:r>
      <w:r>
        <w:rPr>
          <w:rFonts w:hint="eastAsia" w:ascii="Arial" w:hAnsi="Arial" w:cs="Arial"/>
          <w:color w:val="0C0C0C"/>
          <w:sz w:val="24"/>
          <w:szCs w:val="28"/>
        </w:rPr>
        <w:t>你单位的</w:t>
      </w:r>
      <w:r>
        <w:rPr>
          <w:rFonts w:hint="eastAsia" w:ascii="Arial" w:hAnsi="Arial" w:cs="Arial"/>
          <w:color w:val="0C0C0C"/>
          <w:sz w:val="24"/>
          <w:szCs w:val="28"/>
          <w:u w:val="single"/>
        </w:rPr>
        <w:t>台州湾新区中国家庭帆船赛台州站配套工程（浮筒平台采购）</w:t>
      </w:r>
      <w:r>
        <w:rPr>
          <w:rFonts w:hint="eastAsia" w:ascii="Arial" w:hAnsi="Arial" w:cs="Arial"/>
          <w:color w:val="0C0C0C"/>
          <w:sz w:val="24"/>
          <w:szCs w:val="28"/>
          <w:u w:val="single"/>
          <w:lang w:eastAsia="zh-CN"/>
        </w:rPr>
        <w:t>（</w:t>
      </w:r>
      <w:r>
        <w:rPr>
          <w:rFonts w:hint="eastAsia" w:ascii="Arial" w:hAnsi="Arial" w:cs="Arial"/>
          <w:color w:val="0C0C0C"/>
          <w:sz w:val="24"/>
          <w:szCs w:val="28"/>
          <w:u w:val="single"/>
          <w:lang w:val="en-US" w:eastAsia="zh-CN"/>
        </w:rPr>
        <w:t>重新招标）</w:t>
      </w:r>
      <w:r>
        <w:rPr>
          <w:rFonts w:ascii="Arial" w:hAnsi="Arial" w:cs="Arial"/>
          <w:color w:val="0C0C0C"/>
          <w:sz w:val="24"/>
        </w:rPr>
        <w:t>的</w:t>
      </w:r>
      <w:r>
        <w:rPr>
          <w:rFonts w:hint="eastAsia" w:ascii="Arial" w:hAnsi="Arial" w:cs="Arial"/>
          <w:color w:val="0C0C0C"/>
          <w:sz w:val="24"/>
          <w:szCs w:val="28"/>
        </w:rPr>
        <w:t>招标</w:t>
      </w:r>
      <w:r>
        <w:rPr>
          <w:rFonts w:ascii="Arial" w:hAnsi="Arial" w:cs="Arial"/>
          <w:color w:val="0C0C0C"/>
          <w:sz w:val="24"/>
          <w:szCs w:val="28"/>
        </w:rPr>
        <w:t>采购活动并提交</w:t>
      </w:r>
      <w:r>
        <w:rPr>
          <w:rFonts w:hint="eastAsia" w:ascii="Arial" w:hAnsi="Arial" w:cs="Arial"/>
          <w:color w:val="0C0C0C"/>
          <w:sz w:val="24"/>
          <w:szCs w:val="28"/>
        </w:rPr>
        <w:t>投标</w:t>
      </w:r>
      <w:r>
        <w:rPr>
          <w:rFonts w:ascii="Arial" w:hAnsi="Arial" w:cs="Arial"/>
          <w:color w:val="0C0C0C"/>
          <w:sz w:val="24"/>
          <w:szCs w:val="28"/>
        </w:rPr>
        <w:t>文件。为此，我方郑重声明以下诸点，并负法律责任。</w:t>
      </w:r>
    </w:p>
    <w:p w14:paraId="1A6438E7">
      <w:pPr>
        <w:pStyle w:val="22"/>
        <w:adjustRightInd w:val="0"/>
        <w:snapToGrid w:val="0"/>
        <w:spacing w:line="240" w:lineRule="auto"/>
        <w:rPr>
          <w:rFonts w:ascii="Arial" w:hAnsi="Arial" w:cs="Arial"/>
          <w:color w:val="0C0C0C"/>
          <w:spacing w:val="0"/>
          <w:sz w:val="24"/>
          <w:szCs w:val="24"/>
        </w:rPr>
      </w:pPr>
      <w:r>
        <w:rPr>
          <w:rFonts w:ascii="Arial" w:hAnsi="Arial" w:cs="Arial"/>
          <w:color w:val="0C0C0C"/>
          <w:spacing w:val="0"/>
          <w:sz w:val="24"/>
          <w:szCs w:val="24"/>
        </w:rPr>
        <w:t>1、如果我们的招标文件被接受，我们将履行招标文件中规定的每一项要求，并按我们投标文件中的承诺按期、按质、按量提供服务。</w:t>
      </w:r>
    </w:p>
    <w:p w14:paraId="4764C387">
      <w:pPr>
        <w:pStyle w:val="22"/>
        <w:adjustRightInd w:val="0"/>
        <w:snapToGrid w:val="0"/>
        <w:spacing w:line="240" w:lineRule="auto"/>
        <w:ind w:firstLine="309" w:firstLineChars="129"/>
        <w:rPr>
          <w:rFonts w:ascii="Arial" w:hAnsi="Arial" w:cs="Arial"/>
          <w:color w:val="0C0C0C"/>
          <w:spacing w:val="0"/>
          <w:sz w:val="24"/>
          <w:szCs w:val="24"/>
        </w:rPr>
      </w:pPr>
      <w:r>
        <w:rPr>
          <w:rFonts w:ascii="Arial" w:hAnsi="Arial" w:cs="Arial"/>
          <w:color w:val="0C0C0C"/>
          <w:spacing w:val="0"/>
          <w:sz w:val="24"/>
          <w:szCs w:val="24"/>
        </w:rPr>
        <w:t>2、我们同意按采购文件规定遵守采购人有关采购的各项规定。</w:t>
      </w:r>
    </w:p>
    <w:p w14:paraId="1126ADFA">
      <w:pPr>
        <w:pStyle w:val="22"/>
        <w:adjustRightInd w:val="0"/>
        <w:snapToGrid w:val="0"/>
        <w:spacing w:line="240" w:lineRule="auto"/>
        <w:ind w:firstLine="300" w:firstLineChars="125"/>
        <w:rPr>
          <w:rFonts w:ascii="Arial" w:hAnsi="Arial" w:cs="Arial"/>
          <w:color w:val="0C0C0C"/>
          <w:sz w:val="24"/>
          <w:szCs w:val="24"/>
        </w:rPr>
      </w:pPr>
      <w:r>
        <w:rPr>
          <w:rFonts w:ascii="Arial" w:hAnsi="Arial" w:cs="Arial"/>
          <w:color w:val="0C0C0C"/>
          <w:spacing w:val="0"/>
          <w:sz w:val="24"/>
          <w:szCs w:val="24"/>
        </w:rPr>
        <w:t>3、</w:t>
      </w:r>
      <w:r>
        <w:rPr>
          <w:rFonts w:ascii="Arial" w:hAnsi="Arial" w:cs="Arial"/>
          <w:color w:val="0C0C0C"/>
          <w:sz w:val="24"/>
          <w:szCs w:val="24"/>
        </w:rPr>
        <w:t>我方同意提供按照贵方可能要求的与投标有关的一切数据或资料，</w:t>
      </w:r>
      <w:r>
        <w:rPr>
          <w:rFonts w:ascii="Arial" w:hAnsi="Arial" w:cs="Arial"/>
          <w:color w:val="0C0C0C"/>
          <w:spacing w:val="0"/>
          <w:sz w:val="24"/>
          <w:szCs w:val="24"/>
        </w:rPr>
        <w:t>我方若未成为成交投标人，采购人有权不做任何解释。</w:t>
      </w:r>
    </w:p>
    <w:p w14:paraId="50FDC820">
      <w:pPr>
        <w:ind w:firstLine="300" w:firstLineChars="125"/>
        <w:rPr>
          <w:rFonts w:ascii="宋体" w:hAnsi="宋体"/>
          <w:color w:val="0C0C0C"/>
          <w:sz w:val="24"/>
        </w:rPr>
      </w:pPr>
      <w:r>
        <w:rPr>
          <w:rFonts w:hint="eastAsia" w:ascii="Arial" w:hAnsi="Arial" w:cs="Arial"/>
          <w:color w:val="0C0C0C"/>
          <w:sz w:val="24"/>
        </w:rPr>
        <w:t>4、我方如果中标，将保证履行招标文件以及招标文件修改书（如有）中的全部责任和义务，按质、按量、按期完成《合同书》中的全部任务。</w:t>
      </w:r>
    </w:p>
    <w:tbl>
      <w:tblPr>
        <w:tblStyle w:val="4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1EEE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40BBD307">
            <w:pPr>
              <w:spacing w:line="360" w:lineRule="auto"/>
              <w:outlineLvl w:val="0"/>
              <w:rPr>
                <w:rFonts w:ascii="宋体" w:hAnsi="宋体"/>
                <w:color w:val="0C0C0C"/>
                <w:sz w:val="24"/>
                <w:szCs w:val="21"/>
              </w:rPr>
            </w:pPr>
            <w:r>
              <w:rPr>
                <w:rFonts w:hint="eastAsia" w:ascii="宋体" w:hAnsi="宋体"/>
                <w:color w:val="0C0C0C"/>
                <w:sz w:val="24"/>
                <w:szCs w:val="21"/>
              </w:rPr>
              <w:t>1、投标总报价</w:t>
            </w:r>
          </w:p>
        </w:tc>
        <w:tc>
          <w:tcPr>
            <w:tcW w:w="6338" w:type="dxa"/>
            <w:vAlign w:val="center"/>
          </w:tcPr>
          <w:p w14:paraId="2A71C6AF">
            <w:pPr>
              <w:wordWrap w:val="0"/>
              <w:spacing w:line="360" w:lineRule="auto"/>
              <w:ind w:right="420" w:firstLine="420" w:firstLineChars="200"/>
              <w:outlineLvl w:val="0"/>
              <w:rPr>
                <w:rFonts w:ascii="宋体" w:hAnsi="宋体"/>
                <w:bCs/>
                <w:color w:val="0C0C0C"/>
                <w:sz w:val="21"/>
                <w:szCs w:val="21"/>
              </w:rPr>
            </w:pPr>
            <w:r>
              <w:rPr>
                <w:rFonts w:hint="eastAsia" w:ascii="宋体" w:hAnsi="宋体"/>
                <w:bCs/>
                <w:color w:val="0C0C0C"/>
                <w:sz w:val="21"/>
                <w:szCs w:val="21"/>
              </w:rPr>
              <w:t>大写：</w:t>
            </w:r>
            <w:r>
              <w:rPr>
                <w:rFonts w:hint="eastAsia" w:ascii="宋体" w:hAnsi="宋体"/>
                <w:bCs/>
                <w:color w:val="0C0C0C"/>
                <w:sz w:val="21"/>
                <w:szCs w:val="21"/>
                <w:u w:val="single"/>
              </w:rPr>
              <w:t xml:space="preserve">                      </w:t>
            </w:r>
            <w:r>
              <w:rPr>
                <w:rFonts w:hint="eastAsia" w:ascii="宋体" w:hAnsi="宋体"/>
                <w:bCs/>
                <w:color w:val="0C0C0C"/>
                <w:sz w:val="21"/>
                <w:szCs w:val="21"/>
              </w:rPr>
              <w:t xml:space="preserve"> 元；小写：</w:t>
            </w:r>
            <w:r>
              <w:rPr>
                <w:rFonts w:hint="eastAsia" w:ascii="宋体" w:hAnsi="宋体"/>
                <w:bCs/>
                <w:color w:val="0C0C0C"/>
                <w:sz w:val="21"/>
                <w:szCs w:val="21"/>
                <w:u w:val="single"/>
              </w:rPr>
              <w:t xml:space="preserve">         </w:t>
            </w:r>
            <w:r>
              <w:rPr>
                <w:rFonts w:hint="eastAsia" w:ascii="宋体" w:hAnsi="宋体"/>
                <w:bCs/>
                <w:color w:val="0C0C0C"/>
                <w:sz w:val="21"/>
                <w:szCs w:val="21"/>
              </w:rPr>
              <w:t>元</w:t>
            </w:r>
          </w:p>
        </w:tc>
      </w:tr>
      <w:tr w14:paraId="5970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63C7CE78">
            <w:pPr>
              <w:snapToGrid w:val="0"/>
              <w:spacing w:before="50" w:after="50"/>
              <w:rPr>
                <w:rFonts w:ascii="宋体" w:hAnsi="宋体"/>
                <w:color w:val="0C0C0C"/>
                <w:sz w:val="24"/>
                <w:szCs w:val="21"/>
              </w:rPr>
            </w:pPr>
            <w:r>
              <w:rPr>
                <w:rFonts w:hint="eastAsia" w:ascii="宋体" w:hAnsi="宋体"/>
                <w:color w:val="0C0C0C"/>
                <w:sz w:val="24"/>
                <w:szCs w:val="21"/>
              </w:rPr>
              <w:t>2、交货期</w:t>
            </w:r>
          </w:p>
        </w:tc>
        <w:tc>
          <w:tcPr>
            <w:tcW w:w="6338" w:type="dxa"/>
            <w:vAlign w:val="center"/>
          </w:tcPr>
          <w:p w14:paraId="7F31EF7C">
            <w:pPr>
              <w:spacing w:line="360" w:lineRule="auto"/>
              <w:jc w:val="center"/>
              <w:outlineLvl w:val="0"/>
              <w:rPr>
                <w:rFonts w:ascii="宋体" w:hAnsi="宋体"/>
                <w:color w:val="0C0C0C"/>
                <w:sz w:val="24"/>
                <w:szCs w:val="21"/>
              </w:rPr>
            </w:pPr>
            <w:r>
              <w:rPr>
                <w:rFonts w:hint="eastAsia" w:ascii="宋体" w:hAnsi="宋体"/>
                <w:color w:val="0C0C0C"/>
                <w:sz w:val="24"/>
                <w:szCs w:val="21"/>
              </w:rPr>
              <w:t>自收到中标通知书后7日内完成供货</w:t>
            </w:r>
          </w:p>
        </w:tc>
      </w:tr>
      <w:tr w14:paraId="2F860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65F4C922">
            <w:pPr>
              <w:snapToGrid w:val="0"/>
              <w:spacing w:before="50" w:after="50"/>
              <w:rPr>
                <w:rFonts w:ascii="宋体" w:hAnsi="宋体"/>
                <w:color w:val="0C0C0C"/>
                <w:sz w:val="24"/>
                <w:szCs w:val="21"/>
              </w:rPr>
            </w:pPr>
            <w:r>
              <w:rPr>
                <w:rFonts w:hint="eastAsia" w:ascii="宋体" w:hAnsi="宋体"/>
                <w:color w:val="0C0C0C"/>
                <w:sz w:val="24"/>
                <w:szCs w:val="21"/>
              </w:rPr>
              <w:t>3、质量等级</w:t>
            </w:r>
          </w:p>
        </w:tc>
        <w:tc>
          <w:tcPr>
            <w:tcW w:w="6338" w:type="dxa"/>
            <w:vAlign w:val="center"/>
          </w:tcPr>
          <w:p w14:paraId="17C29F3C">
            <w:pPr>
              <w:spacing w:line="360" w:lineRule="auto"/>
              <w:jc w:val="center"/>
              <w:outlineLvl w:val="0"/>
              <w:rPr>
                <w:rFonts w:ascii="宋体" w:hAnsi="宋体"/>
                <w:color w:val="0C0C0C"/>
                <w:sz w:val="24"/>
                <w:szCs w:val="21"/>
              </w:rPr>
            </w:pPr>
            <w:r>
              <w:rPr>
                <w:rFonts w:hint="eastAsia" w:ascii="宋体" w:hAnsi="宋体"/>
                <w:color w:val="0C0C0C"/>
                <w:sz w:val="24"/>
                <w:szCs w:val="21"/>
              </w:rPr>
              <w:t>符合要求</w:t>
            </w:r>
          </w:p>
        </w:tc>
      </w:tr>
    </w:tbl>
    <w:p w14:paraId="63555819">
      <w:pPr>
        <w:spacing w:line="320" w:lineRule="exact"/>
        <w:rPr>
          <w:rFonts w:ascii="宋体" w:hAnsi="宋体"/>
          <w:color w:val="0C0C0C"/>
          <w:sz w:val="24"/>
        </w:rPr>
      </w:pPr>
    </w:p>
    <w:p w14:paraId="266440D3">
      <w:pPr>
        <w:spacing w:line="320" w:lineRule="exact"/>
        <w:ind w:left="420"/>
        <w:rPr>
          <w:rFonts w:ascii="宋体" w:hAnsi="宋体"/>
          <w:color w:val="0C0C0C"/>
          <w:sz w:val="24"/>
        </w:rPr>
      </w:pPr>
      <w:r>
        <w:rPr>
          <w:rFonts w:hint="eastAsia" w:ascii="宋体" w:hAnsi="宋体"/>
          <w:color w:val="0C0C0C"/>
          <w:sz w:val="24"/>
        </w:rPr>
        <w:t xml:space="preserve">投标人（盖章）：     </w:t>
      </w:r>
    </w:p>
    <w:p w14:paraId="46198067">
      <w:pPr>
        <w:spacing w:line="320" w:lineRule="exact"/>
        <w:ind w:left="420"/>
        <w:rPr>
          <w:rFonts w:ascii="宋体" w:hAnsi="宋体"/>
          <w:color w:val="0C0C0C"/>
          <w:sz w:val="24"/>
        </w:rPr>
      </w:pPr>
    </w:p>
    <w:p w14:paraId="1E215D4E">
      <w:pPr>
        <w:spacing w:line="320" w:lineRule="exact"/>
        <w:rPr>
          <w:rFonts w:ascii="宋体" w:hAnsi="宋体"/>
          <w:color w:val="0C0C0C"/>
          <w:sz w:val="24"/>
        </w:rPr>
      </w:pPr>
      <w:r>
        <w:rPr>
          <w:rFonts w:hint="eastAsia" w:ascii="宋体" w:hAnsi="宋体"/>
          <w:color w:val="0C0C0C"/>
          <w:sz w:val="24"/>
        </w:rPr>
        <w:t xml:space="preserve"> 法定代表人（签字或盖章）：                         日期：    </w:t>
      </w:r>
    </w:p>
    <w:p w14:paraId="588526BA">
      <w:pPr>
        <w:spacing w:line="320" w:lineRule="exact"/>
        <w:rPr>
          <w:rFonts w:ascii="宋体" w:hAnsi="宋体"/>
          <w:color w:val="0C0C0C"/>
          <w:sz w:val="24"/>
        </w:rPr>
      </w:pPr>
    </w:p>
    <w:p w14:paraId="0903B437">
      <w:pPr>
        <w:snapToGrid w:val="0"/>
        <w:ind w:right="140"/>
        <w:rPr>
          <w:rFonts w:ascii="宋体" w:hAnsi="宋体" w:cs="宋体"/>
          <w:color w:val="0D0D0D"/>
          <w:sz w:val="24"/>
        </w:rPr>
      </w:pPr>
    </w:p>
    <w:p w14:paraId="6B55D9F8">
      <w:pPr>
        <w:snapToGrid w:val="0"/>
        <w:ind w:right="140"/>
        <w:rPr>
          <w:rFonts w:ascii="宋体" w:hAnsi="宋体" w:cs="宋体"/>
          <w:color w:val="0D0D0D"/>
          <w:sz w:val="24"/>
        </w:rPr>
      </w:pPr>
    </w:p>
    <w:p w14:paraId="5F9E7DDE">
      <w:pPr>
        <w:snapToGrid w:val="0"/>
        <w:ind w:right="140"/>
        <w:rPr>
          <w:rFonts w:ascii="宋体" w:hAnsi="宋体" w:cs="宋体"/>
          <w:color w:val="0D0D0D"/>
          <w:sz w:val="24"/>
        </w:rPr>
      </w:pPr>
    </w:p>
    <w:p w14:paraId="0E5F4D9B">
      <w:pPr>
        <w:snapToGrid w:val="0"/>
        <w:ind w:right="140"/>
        <w:rPr>
          <w:rFonts w:ascii="宋体" w:hAnsi="宋体" w:cs="宋体"/>
          <w:color w:val="0D0D0D"/>
          <w:sz w:val="24"/>
        </w:rPr>
      </w:pPr>
    </w:p>
    <w:p w14:paraId="0027204A">
      <w:pPr>
        <w:snapToGrid w:val="0"/>
        <w:ind w:right="140"/>
        <w:rPr>
          <w:rFonts w:ascii="宋体" w:hAnsi="宋体" w:cs="宋体"/>
          <w:color w:val="0D0D0D"/>
          <w:sz w:val="24"/>
        </w:rPr>
      </w:pPr>
    </w:p>
    <w:p w14:paraId="2A93D88A">
      <w:pPr>
        <w:snapToGrid w:val="0"/>
        <w:ind w:right="140"/>
        <w:rPr>
          <w:rFonts w:ascii="宋体" w:hAnsi="宋体" w:cs="宋体"/>
          <w:color w:val="0D0D0D"/>
          <w:sz w:val="24"/>
        </w:rPr>
      </w:pPr>
    </w:p>
    <w:p w14:paraId="0BD7BC45">
      <w:pPr>
        <w:snapToGrid w:val="0"/>
        <w:ind w:right="140"/>
        <w:rPr>
          <w:rFonts w:ascii="宋体" w:hAnsi="宋体" w:cs="宋体"/>
          <w:color w:val="0D0D0D"/>
          <w:sz w:val="24"/>
        </w:rPr>
      </w:pPr>
    </w:p>
    <w:p w14:paraId="1834AFCA">
      <w:pPr>
        <w:snapToGrid w:val="0"/>
        <w:ind w:right="140"/>
        <w:rPr>
          <w:rFonts w:ascii="宋体" w:hAnsi="宋体" w:cs="宋体"/>
          <w:color w:val="0D0D0D"/>
          <w:sz w:val="24"/>
        </w:rPr>
      </w:pPr>
    </w:p>
    <w:p w14:paraId="39054B6D">
      <w:pPr>
        <w:snapToGrid w:val="0"/>
        <w:ind w:right="140"/>
        <w:rPr>
          <w:rFonts w:ascii="宋体" w:hAnsi="宋体" w:cs="宋体"/>
          <w:color w:val="0D0D0D"/>
          <w:sz w:val="24"/>
        </w:rPr>
      </w:pPr>
    </w:p>
    <w:p w14:paraId="613D451D">
      <w:pPr>
        <w:snapToGrid w:val="0"/>
        <w:ind w:right="140"/>
        <w:rPr>
          <w:rFonts w:ascii="宋体" w:hAnsi="宋体" w:cs="宋体"/>
          <w:color w:val="0D0D0D"/>
          <w:sz w:val="24"/>
        </w:rPr>
      </w:pPr>
    </w:p>
    <w:p w14:paraId="4D8CADEE">
      <w:pPr>
        <w:snapToGrid w:val="0"/>
        <w:ind w:right="140"/>
        <w:rPr>
          <w:rFonts w:ascii="宋体" w:hAnsi="宋体" w:cs="宋体"/>
          <w:color w:val="0D0D0D"/>
          <w:sz w:val="24"/>
        </w:rPr>
      </w:pPr>
    </w:p>
    <w:p w14:paraId="647837A6">
      <w:pPr>
        <w:snapToGrid w:val="0"/>
        <w:ind w:right="140"/>
        <w:rPr>
          <w:rFonts w:ascii="宋体" w:hAnsi="宋体" w:cs="宋体"/>
          <w:color w:val="0D0D0D"/>
          <w:sz w:val="24"/>
        </w:rPr>
      </w:pPr>
    </w:p>
    <w:p w14:paraId="6458BDD8">
      <w:pPr>
        <w:snapToGrid w:val="0"/>
        <w:ind w:right="140"/>
        <w:rPr>
          <w:rFonts w:ascii="宋体" w:hAnsi="宋体" w:cs="宋体"/>
          <w:color w:val="0D0D0D"/>
          <w:sz w:val="24"/>
        </w:rPr>
      </w:pPr>
    </w:p>
    <w:p w14:paraId="6A3FFE91">
      <w:pPr>
        <w:snapToGrid w:val="0"/>
        <w:ind w:right="140"/>
        <w:rPr>
          <w:rFonts w:ascii="宋体" w:hAnsi="宋体" w:cs="宋体"/>
          <w:color w:val="0D0D0D"/>
          <w:sz w:val="24"/>
        </w:rPr>
      </w:pPr>
    </w:p>
    <w:p w14:paraId="38394BAC">
      <w:pPr>
        <w:snapToGrid w:val="0"/>
        <w:ind w:right="140"/>
        <w:rPr>
          <w:rFonts w:ascii="宋体" w:hAnsi="宋体" w:cs="宋体"/>
          <w:color w:val="0D0D0D"/>
          <w:sz w:val="24"/>
        </w:rPr>
      </w:pPr>
    </w:p>
    <w:p w14:paraId="6E2935CE">
      <w:pPr>
        <w:snapToGrid w:val="0"/>
        <w:ind w:right="140"/>
        <w:rPr>
          <w:rFonts w:ascii="宋体" w:hAnsi="宋体" w:cs="宋体"/>
          <w:color w:val="0D0D0D"/>
          <w:sz w:val="24"/>
        </w:rPr>
      </w:pPr>
    </w:p>
    <w:p w14:paraId="14A53B62">
      <w:pPr>
        <w:snapToGrid w:val="0"/>
        <w:ind w:right="140"/>
        <w:rPr>
          <w:rFonts w:ascii="宋体" w:hAnsi="宋体" w:cs="宋体"/>
          <w:color w:val="0D0D0D"/>
          <w:sz w:val="24"/>
        </w:rPr>
        <w:sectPr>
          <w:footerReference r:id="rId13" w:type="default"/>
          <w:pgSz w:w="11906" w:h="16838"/>
          <w:pgMar w:top="1440" w:right="1188" w:bottom="1440" w:left="1797" w:header="851" w:footer="992" w:gutter="0"/>
          <w:pgNumType w:fmt="numberInDash"/>
          <w:cols w:space="720" w:num="1"/>
          <w:docGrid w:type="lines" w:linePitch="312" w:charSpace="0"/>
        </w:sectPr>
      </w:pPr>
    </w:p>
    <w:p w14:paraId="703341E0">
      <w:pPr>
        <w:spacing w:line="320" w:lineRule="exact"/>
        <w:jc w:val="left"/>
        <w:rPr>
          <w:b/>
          <w:color w:val="0C0C0C"/>
        </w:rPr>
      </w:pPr>
      <w:r>
        <w:rPr>
          <w:rFonts w:hint="eastAsia"/>
          <w:b/>
          <w:color w:val="0C0C0C"/>
        </w:rPr>
        <w:t>3、投标报价清单：</w:t>
      </w:r>
    </w:p>
    <w:p w14:paraId="2DA70332">
      <w:pPr>
        <w:jc w:val="center"/>
        <w:outlineLvl w:val="0"/>
        <w:rPr>
          <w:rFonts w:ascii="宋体" w:hAnsi="宋体" w:cs="宋体"/>
          <w:b/>
          <w:color w:val="0D0D0D"/>
          <w:szCs w:val="28"/>
        </w:rPr>
      </w:pPr>
      <w:r>
        <w:rPr>
          <w:rFonts w:hint="eastAsia" w:ascii="宋体" w:hAnsi="宋体" w:cs="宋体"/>
          <w:b/>
          <w:color w:val="0D0D0D"/>
          <w:szCs w:val="28"/>
        </w:rPr>
        <w:t>台州湾新区中国家庭帆船赛台州站配套工程（浮筒平台采购）</w:t>
      </w:r>
      <w:r>
        <w:rPr>
          <w:rFonts w:hint="eastAsia" w:ascii="宋体" w:hAnsi="宋体" w:cs="宋体"/>
          <w:b/>
          <w:color w:val="0D0D0D"/>
          <w:szCs w:val="28"/>
          <w:lang w:eastAsia="zh-CN"/>
        </w:rPr>
        <w:t>（</w:t>
      </w:r>
      <w:r>
        <w:rPr>
          <w:rFonts w:hint="eastAsia" w:ascii="宋体" w:hAnsi="宋体" w:cs="宋体"/>
          <w:b/>
          <w:color w:val="0D0D0D"/>
          <w:szCs w:val="28"/>
          <w:lang w:val="en-US" w:eastAsia="zh-CN"/>
        </w:rPr>
        <w:t>重新招标）</w:t>
      </w:r>
    </w:p>
    <w:p w14:paraId="7D7623E5">
      <w:pPr>
        <w:pStyle w:val="40"/>
        <w:ind w:left="0" w:leftChars="0"/>
        <w:jc w:val="center"/>
        <w:rPr>
          <w:rFonts w:ascii="宋体" w:hAnsi="宋体" w:cs="宋体"/>
          <w:b/>
          <w:color w:val="0D0D0D"/>
          <w:sz w:val="28"/>
          <w:szCs w:val="28"/>
        </w:rPr>
      </w:pPr>
      <w:r>
        <w:rPr>
          <w:rFonts w:hint="eastAsia" w:ascii="宋体" w:hAnsi="宋体" w:cs="宋体"/>
          <w:b/>
          <w:color w:val="0D0D0D"/>
          <w:sz w:val="28"/>
          <w:szCs w:val="28"/>
        </w:rPr>
        <w:t>投标报价清单</w:t>
      </w:r>
    </w:p>
    <w:p w14:paraId="5177B874">
      <w:pPr>
        <w:pStyle w:val="40"/>
        <w:ind w:left="0" w:leftChars="0"/>
        <w:rPr>
          <w:rFonts w:ascii="宋体" w:hAnsi="宋体" w:cs="宋体"/>
          <w:color w:val="0D0D0D"/>
          <w:sz w:val="24"/>
        </w:rPr>
      </w:pPr>
      <w:r>
        <w:rPr>
          <w:rFonts w:hint="eastAsia" w:ascii="宋体" w:hAnsi="宋体" w:cs="宋体"/>
          <w:color w:val="0D0D0D"/>
          <w:sz w:val="24"/>
        </w:rPr>
        <w:t>台州东发建设集团有限公司：</w:t>
      </w:r>
    </w:p>
    <w:p w14:paraId="58A22812">
      <w:pPr>
        <w:rPr>
          <w:rFonts w:ascii="宋体" w:hAnsi="宋体" w:cs="宋体"/>
          <w:bCs/>
          <w:color w:val="0D0D0D"/>
          <w:sz w:val="24"/>
        </w:rPr>
      </w:pPr>
      <w:r>
        <w:rPr>
          <w:rFonts w:hint="eastAsia" w:ascii="宋体" w:hAnsi="宋体" w:cs="宋体"/>
          <w:color w:val="0D0D0D"/>
          <w:sz w:val="24"/>
        </w:rPr>
        <w:t xml:space="preserve">    根据己收到的招标文件，我单位经考察现场和研究上述项目的招标文件后，在全部同意招标文件内容前提下，我方保证，按如下投标报价承包上述项目。</w:t>
      </w:r>
    </w:p>
    <w:tbl>
      <w:tblPr>
        <w:tblStyle w:val="47"/>
        <w:tblW w:w="11280" w:type="dxa"/>
        <w:tblInd w:w="-12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777"/>
        <w:gridCol w:w="1093"/>
        <w:gridCol w:w="1080"/>
        <w:gridCol w:w="1330"/>
        <w:gridCol w:w="1040"/>
        <w:gridCol w:w="1897"/>
        <w:gridCol w:w="1238"/>
        <w:gridCol w:w="1229"/>
        <w:gridCol w:w="1096"/>
      </w:tblGrid>
      <w:tr w14:paraId="33D10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1280" w:type="dxa"/>
            <w:gridSpan w:val="10"/>
            <w:tcBorders>
              <w:top w:val="single" w:color="auto" w:sz="4" w:space="0"/>
              <w:left w:val="single" w:color="auto" w:sz="4" w:space="0"/>
              <w:bottom w:val="single" w:color="auto" w:sz="4" w:space="0"/>
              <w:right w:val="single" w:color="auto" w:sz="4" w:space="0"/>
            </w:tcBorders>
            <w:vAlign w:val="center"/>
          </w:tcPr>
          <w:p w14:paraId="231D207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台州湾新区中国家庭帆船赛台州站配套工程（浮筒平台采购）</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重新招标）</w:t>
            </w:r>
          </w:p>
        </w:tc>
      </w:tr>
      <w:tr w14:paraId="52ADB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500" w:type="dxa"/>
            <w:tcBorders>
              <w:top w:val="single" w:color="auto" w:sz="4" w:space="0"/>
              <w:left w:val="single" w:color="auto" w:sz="4" w:space="0"/>
              <w:bottom w:val="single" w:color="auto" w:sz="4" w:space="0"/>
              <w:right w:val="single" w:color="auto" w:sz="4" w:space="0"/>
            </w:tcBorders>
            <w:vAlign w:val="center"/>
          </w:tcPr>
          <w:p w14:paraId="4AA7433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777" w:type="dxa"/>
            <w:tcBorders>
              <w:top w:val="single" w:color="auto" w:sz="4" w:space="0"/>
              <w:left w:val="single" w:color="auto" w:sz="4" w:space="0"/>
              <w:bottom w:val="single" w:color="auto" w:sz="4" w:space="0"/>
              <w:right w:val="single" w:color="auto" w:sz="4" w:space="0"/>
            </w:tcBorders>
            <w:vAlign w:val="center"/>
          </w:tcPr>
          <w:p w14:paraId="239361D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采购名称</w:t>
            </w:r>
          </w:p>
        </w:tc>
        <w:tc>
          <w:tcPr>
            <w:tcW w:w="1093" w:type="dxa"/>
            <w:tcBorders>
              <w:top w:val="single" w:color="auto" w:sz="4" w:space="0"/>
              <w:left w:val="single" w:color="auto" w:sz="4" w:space="0"/>
              <w:bottom w:val="single" w:color="auto" w:sz="4" w:space="0"/>
              <w:right w:val="single" w:color="auto" w:sz="4" w:space="0"/>
            </w:tcBorders>
            <w:vAlign w:val="center"/>
          </w:tcPr>
          <w:p w14:paraId="754368A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颜色</w:t>
            </w:r>
          </w:p>
        </w:tc>
        <w:tc>
          <w:tcPr>
            <w:tcW w:w="1080" w:type="dxa"/>
            <w:tcBorders>
              <w:top w:val="single" w:color="auto" w:sz="4" w:space="0"/>
              <w:left w:val="single" w:color="auto" w:sz="4" w:space="0"/>
              <w:bottom w:val="single" w:color="auto" w:sz="4" w:space="0"/>
              <w:right w:val="single" w:color="auto" w:sz="4" w:space="0"/>
            </w:tcBorders>
            <w:vAlign w:val="center"/>
          </w:tcPr>
          <w:p w14:paraId="78AAC03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尺寸</w:t>
            </w:r>
          </w:p>
        </w:tc>
        <w:tc>
          <w:tcPr>
            <w:tcW w:w="1330" w:type="dxa"/>
            <w:tcBorders>
              <w:top w:val="single" w:color="auto" w:sz="4" w:space="0"/>
              <w:left w:val="single" w:color="auto" w:sz="4" w:space="0"/>
              <w:bottom w:val="single" w:color="auto" w:sz="4" w:space="0"/>
              <w:right w:val="single" w:color="auto" w:sz="4" w:space="0"/>
            </w:tcBorders>
            <w:vAlign w:val="center"/>
          </w:tcPr>
          <w:p w14:paraId="0879DE4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参考图例</w:t>
            </w:r>
          </w:p>
        </w:tc>
        <w:tc>
          <w:tcPr>
            <w:tcW w:w="1040" w:type="dxa"/>
            <w:tcBorders>
              <w:top w:val="single" w:color="auto" w:sz="4" w:space="0"/>
              <w:left w:val="single" w:color="auto" w:sz="4" w:space="0"/>
              <w:bottom w:val="single" w:color="auto" w:sz="4" w:space="0"/>
              <w:right w:val="single" w:color="auto" w:sz="4" w:space="0"/>
            </w:tcBorders>
            <w:vAlign w:val="center"/>
          </w:tcPr>
          <w:p w14:paraId="1D62894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单位及数量</w:t>
            </w:r>
          </w:p>
        </w:tc>
        <w:tc>
          <w:tcPr>
            <w:tcW w:w="1897" w:type="dxa"/>
            <w:tcBorders>
              <w:left w:val="single" w:color="auto" w:sz="4" w:space="0"/>
              <w:bottom w:val="single" w:color="auto" w:sz="4" w:space="0"/>
              <w:right w:val="single" w:color="auto" w:sz="4" w:space="0"/>
            </w:tcBorders>
            <w:vAlign w:val="center"/>
          </w:tcPr>
          <w:p w14:paraId="3D7D520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备注</w:t>
            </w:r>
          </w:p>
        </w:tc>
        <w:tc>
          <w:tcPr>
            <w:tcW w:w="1238" w:type="dxa"/>
            <w:tcBorders>
              <w:left w:val="single" w:color="auto" w:sz="4" w:space="0"/>
              <w:bottom w:val="single" w:color="auto" w:sz="4" w:space="0"/>
              <w:right w:val="single" w:color="auto" w:sz="4" w:space="0"/>
            </w:tcBorders>
            <w:vAlign w:val="center"/>
          </w:tcPr>
          <w:p w14:paraId="172E611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单价上限价（元）</w:t>
            </w:r>
          </w:p>
        </w:tc>
        <w:tc>
          <w:tcPr>
            <w:tcW w:w="1229" w:type="dxa"/>
            <w:tcBorders>
              <w:left w:val="single" w:color="auto" w:sz="4" w:space="0"/>
              <w:bottom w:val="single" w:color="auto" w:sz="4" w:space="0"/>
              <w:right w:val="single" w:color="auto" w:sz="4" w:space="0"/>
            </w:tcBorders>
            <w:vAlign w:val="center"/>
          </w:tcPr>
          <w:p w14:paraId="2104B4A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单价（元）</w:t>
            </w:r>
          </w:p>
        </w:tc>
        <w:tc>
          <w:tcPr>
            <w:tcW w:w="1096" w:type="dxa"/>
            <w:tcBorders>
              <w:left w:val="single" w:color="auto" w:sz="4" w:space="0"/>
              <w:bottom w:val="single" w:color="auto" w:sz="4" w:space="0"/>
              <w:right w:val="single" w:color="auto" w:sz="4" w:space="0"/>
            </w:tcBorders>
            <w:vAlign w:val="center"/>
          </w:tcPr>
          <w:p w14:paraId="68FA570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合计（元）</w:t>
            </w:r>
          </w:p>
        </w:tc>
      </w:tr>
      <w:tr w14:paraId="619F6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00" w:type="dxa"/>
            <w:tcBorders>
              <w:top w:val="single" w:color="auto" w:sz="4" w:space="0"/>
              <w:left w:val="single" w:color="auto" w:sz="4" w:space="0"/>
              <w:bottom w:val="single" w:color="auto" w:sz="4" w:space="0"/>
              <w:right w:val="single" w:color="auto" w:sz="4" w:space="0"/>
            </w:tcBorders>
            <w:vAlign w:val="center"/>
          </w:tcPr>
          <w:p w14:paraId="66732F5D">
            <w:pPr>
              <w:widowControl/>
              <w:jc w:val="center"/>
              <w:textAlignment w:val="center"/>
              <w:rPr>
                <w:rFonts w:ascii="宋体" w:hAnsi="宋体" w:cs="Arial"/>
                <w:bCs/>
                <w:sz w:val="21"/>
                <w:szCs w:val="21"/>
              </w:rPr>
            </w:pPr>
            <w:r>
              <w:rPr>
                <w:rFonts w:hint="eastAsia" w:ascii="宋体" w:hAnsi="宋体" w:cs="宋体"/>
                <w:color w:val="171A1D"/>
                <w:kern w:val="0"/>
                <w:sz w:val="21"/>
                <w:szCs w:val="21"/>
                <w:lang w:bidi="ar"/>
              </w:rPr>
              <w:t>1</w:t>
            </w:r>
          </w:p>
        </w:tc>
        <w:tc>
          <w:tcPr>
            <w:tcW w:w="777" w:type="dxa"/>
            <w:tcBorders>
              <w:top w:val="single" w:color="auto" w:sz="4" w:space="0"/>
              <w:left w:val="single" w:color="auto" w:sz="4" w:space="0"/>
              <w:bottom w:val="single" w:color="auto" w:sz="4" w:space="0"/>
              <w:right w:val="single" w:color="auto" w:sz="4" w:space="0"/>
            </w:tcBorders>
            <w:vAlign w:val="center"/>
          </w:tcPr>
          <w:p w14:paraId="7022D8D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浮桶</w:t>
            </w:r>
          </w:p>
        </w:tc>
        <w:tc>
          <w:tcPr>
            <w:tcW w:w="1093" w:type="dxa"/>
            <w:tcBorders>
              <w:top w:val="single" w:color="auto" w:sz="4" w:space="0"/>
              <w:left w:val="single" w:color="auto" w:sz="4" w:space="0"/>
              <w:bottom w:val="single" w:color="auto" w:sz="4" w:space="0"/>
              <w:right w:val="single" w:color="auto" w:sz="4" w:space="0"/>
            </w:tcBorders>
            <w:vAlign w:val="center"/>
          </w:tcPr>
          <w:p w14:paraId="14A1E81F">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蓝色、灰色</w:t>
            </w:r>
          </w:p>
        </w:tc>
        <w:tc>
          <w:tcPr>
            <w:tcW w:w="1080" w:type="dxa"/>
            <w:tcBorders>
              <w:top w:val="single" w:color="auto" w:sz="4" w:space="0"/>
              <w:left w:val="single" w:color="auto" w:sz="4" w:space="0"/>
              <w:bottom w:val="single" w:color="auto" w:sz="4" w:space="0"/>
              <w:right w:val="single" w:color="auto" w:sz="4" w:space="0"/>
            </w:tcBorders>
            <w:vAlign w:val="center"/>
          </w:tcPr>
          <w:p w14:paraId="114C010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500*500*400</w:t>
            </w:r>
          </w:p>
        </w:tc>
        <w:tc>
          <w:tcPr>
            <w:tcW w:w="1330" w:type="dxa"/>
            <w:tcBorders>
              <w:top w:val="single" w:color="auto" w:sz="4" w:space="0"/>
              <w:left w:val="single" w:color="auto" w:sz="4" w:space="0"/>
              <w:bottom w:val="single" w:color="auto" w:sz="4" w:space="0"/>
              <w:right w:val="single" w:color="auto" w:sz="4" w:space="0"/>
            </w:tcBorders>
            <w:vAlign w:val="center"/>
          </w:tcPr>
          <w:p w14:paraId="3404742E">
            <w:pPr>
              <w:widowControl/>
              <w:jc w:val="center"/>
              <w:textAlignment w:val="center"/>
              <w:rPr>
                <w:rFonts w:ascii="宋体" w:hAnsi="宋体" w:cs="宋体"/>
                <w:color w:val="000000"/>
                <w:kern w:val="0"/>
                <w:sz w:val="22"/>
                <w:szCs w:val="22"/>
                <w:lang w:bidi="ar"/>
              </w:rPr>
            </w:pPr>
            <w:r>
              <w:drawing>
                <wp:inline distT="0" distB="0" distL="114300" distR="114300">
                  <wp:extent cx="608330" cy="474345"/>
                  <wp:effectExtent l="0" t="0" r="1270" b="1905"/>
                  <wp:docPr id="19" name="Picture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8" descr="3"/>
                          <pic:cNvPicPr>
                            <a:picLocks noChangeAspect="1"/>
                          </pic:cNvPicPr>
                        </pic:nvPicPr>
                        <pic:blipFill>
                          <a:blip r:embed="rId15"/>
                          <a:stretch>
                            <a:fillRect/>
                          </a:stretch>
                        </pic:blipFill>
                        <pic:spPr>
                          <a:xfrm>
                            <a:off x="0" y="0"/>
                            <a:ext cx="608330" cy="474345"/>
                          </a:xfrm>
                          <a:prstGeom prst="rect">
                            <a:avLst/>
                          </a:prstGeom>
                          <a:noFill/>
                          <a:ln w="9525">
                            <a:noFill/>
                          </a:ln>
                        </pic:spPr>
                      </pic:pic>
                    </a:graphicData>
                  </a:graphic>
                </wp:inline>
              </w:drawing>
            </w:r>
          </w:p>
        </w:tc>
        <w:tc>
          <w:tcPr>
            <w:tcW w:w="1040" w:type="dxa"/>
            <w:tcBorders>
              <w:top w:val="single" w:color="auto" w:sz="4" w:space="0"/>
              <w:left w:val="single" w:color="auto" w:sz="4" w:space="0"/>
              <w:bottom w:val="single" w:color="auto" w:sz="4" w:space="0"/>
              <w:right w:val="single" w:color="auto" w:sz="4" w:space="0"/>
            </w:tcBorders>
            <w:vAlign w:val="center"/>
          </w:tcPr>
          <w:p w14:paraId="038C3754">
            <w:pPr>
              <w:widowControl/>
              <w:jc w:val="center"/>
              <w:textAlignment w:val="center"/>
              <w:rPr>
                <w:rFonts w:ascii="宋体" w:hAnsi="宋体" w:cs="宋体"/>
                <w:color w:val="000000"/>
                <w:sz w:val="22"/>
                <w:szCs w:val="22"/>
              </w:rPr>
            </w:pPr>
            <w:r>
              <w:rPr>
                <w:rFonts w:hint="eastAsia" w:ascii="宋体" w:hAnsi="宋体" w:cs="宋体"/>
                <w:color w:val="000000"/>
                <w:kern w:val="0"/>
                <w:sz w:val="24"/>
                <w:lang w:bidi="ar"/>
              </w:rPr>
              <w:t>2700个</w:t>
            </w:r>
          </w:p>
        </w:tc>
        <w:tc>
          <w:tcPr>
            <w:tcW w:w="1897" w:type="dxa"/>
            <w:tcBorders>
              <w:top w:val="single" w:color="auto" w:sz="4" w:space="0"/>
              <w:left w:val="single" w:color="auto" w:sz="4" w:space="0"/>
              <w:bottom w:val="single" w:color="auto" w:sz="4" w:space="0"/>
              <w:right w:val="single" w:color="auto" w:sz="4" w:space="0"/>
            </w:tcBorders>
            <w:vAlign w:val="center"/>
          </w:tcPr>
          <w:p w14:paraId="766AF283">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材质：HDPE材质；含插销</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蓝色：2402个；</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 xml:space="preserve">灰色：298个                                                                                                                                                       </w:t>
            </w:r>
          </w:p>
        </w:tc>
        <w:tc>
          <w:tcPr>
            <w:tcW w:w="1238" w:type="dxa"/>
            <w:tcBorders>
              <w:top w:val="single" w:color="auto" w:sz="4" w:space="0"/>
              <w:left w:val="single" w:color="auto" w:sz="4" w:space="0"/>
              <w:bottom w:val="single" w:color="auto" w:sz="4" w:space="0"/>
              <w:right w:val="single" w:color="auto" w:sz="4" w:space="0"/>
            </w:tcBorders>
            <w:vAlign w:val="center"/>
          </w:tcPr>
          <w:p w14:paraId="2279420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108</w:t>
            </w:r>
          </w:p>
        </w:tc>
        <w:tc>
          <w:tcPr>
            <w:tcW w:w="1229" w:type="dxa"/>
            <w:tcBorders>
              <w:top w:val="single" w:color="auto" w:sz="4" w:space="0"/>
              <w:left w:val="single" w:color="auto" w:sz="4" w:space="0"/>
              <w:bottom w:val="single" w:color="auto" w:sz="4" w:space="0"/>
              <w:right w:val="single" w:color="auto" w:sz="4" w:space="0"/>
            </w:tcBorders>
            <w:vAlign w:val="center"/>
          </w:tcPr>
          <w:p w14:paraId="6441EBF7">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14:paraId="30026826">
            <w:pPr>
              <w:widowControl/>
              <w:jc w:val="left"/>
              <w:textAlignment w:val="center"/>
              <w:rPr>
                <w:rFonts w:ascii="宋体" w:hAnsi="宋体" w:cs="宋体"/>
                <w:color w:val="000000"/>
                <w:kern w:val="0"/>
                <w:sz w:val="22"/>
                <w:szCs w:val="22"/>
                <w:lang w:bidi="ar"/>
              </w:rPr>
            </w:pPr>
          </w:p>
        </w:tc>
      </w:tr>
      <w:tr w14:paraId="32636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500" w:type="dxa"/>
            <w:tcBorders>
              <w:top w:val="single" w:color="auto" w:sz="4" w:space="0"/>
              <w:left w:val="single" w:color="auto" w:sz="4" w:space="0"/>
              <w:bottom w:val="single" w:color="auto" w:sz="4" w:space="0"/>
              <w:right w:val="single" w:color="auto" w:sz="4" w:space="0"/>
            </w:tcBorders>
            <w:vAlign w:val="center"/>
          </w:tcPr>
          <w:p w14:paraId="6EBAA0BC">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2</w:t>
            </w:r>
          </w:p>
        </w:tc>
        <w:tc>
          <w:tcPr>
            <w:tcW w:w="777" w:type="dxa"/>
            <w:tcBorders>
              <w:top w:val="single" w:color="auto" w:sz="4" w:space="0"/>
              <w:left w:val="single" w:color="auto" w:sz="4" w:space="0"/>
              <w:bottom w:val="single" w:color="auto" w:sz="4" w:space="0"/>
              <w:right w:val="single" w:color="auto" w:sz="4" w:space="0"/>
            </w:tcBorders>
            <w:vAlign w:val="center"/>
          </w:tcPr>
          <w:p w14:paraId="1E356AE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栏杆</w:t>
            </w:r>
          </w:p>
        </w:tc>
        <w:tc>
          <w:tcPr>
            <w:tcW w:w="1093" w:type="dxa"/>
            <w:tcBorders>
              <w:top w:val="single" w:color="auto" w:sz="4" w:space="0"/>
              <w:left w:val="single" w:color="auto" w:sz="4" w:space="0"/>
              <w:bottom w:val="single" w:color="auto" w:sz="4" w:space="0"/>
              <w:right w:val="single" w:color="auto" w:sz="4" w:space="0"/>
            </w:tcBorders>
            <w:vAlign w:val="center"/>
          </w:tcPr>
          <w:p w14:paraId="53F3537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白色</w:t>
            </w:r>
          </w:p>
        </w:tc>
        <w:tc>
          <w:tcPr>
            <w:tcW w:w="1080" w:type="dxa"/>
            <w:tcBorders>
              <w:top w:val="single" w:color="auto" w:sz="4" w:space="0"/>
              <w:left w:val="single" w:color="auto" w:sz="4" w:space="0"/>
              <w:bottom w:val="single" w:color="auto" w:sz="4" w:space="0"/>
              <w:right w:val="single" w:color="auto" w:sz="4" w:space="0"/>
            </w:tcBorders>
            <w:vAlign w:val="center"/>
          </w:tcPr>
          <w:p w14:paraId="0FBE423E">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120*120*1150</w:t>
            </w:r>
          </w:p>
        </w:tc>
        <w:tc>
          <w:tcPr>
            <w:tcW w:w="1330" w:type="dxa"/>
            <w:tcBorders>
              <w:top w:val="single" w:color="auto" w:sz="4" w:space="0"/>
              <w:left w:val="single" w:color="auto" w:sz="4" w:space="0"/>
              <w:bottom w:val="single" w:color="auto" w:sz="4" w:space="0"/>
              <w:right w:val="single" w:color="auto" w:sz="4" w:space="0"/>
            </w:tcBorders>
            <w:vAlign w:val="center"/>
          </w:tcPr>
          <w:p w14:paraId="4A1B7DFD">
            <w:pPr>
              <w:widowControl/>
              <w:jc w:val="center"/>
              <w:textAlignment w:val="center"/>
              <w:rPr>
                <w:rFonts w:ascii="宋体" w:hAnsi="宋体" w:cs="宋体"/>
                <w:b/>
                <w:color w:val="000000"/>
                <w:sz w:val="24"/>
              </w:rPr>
            </w:pPr>
            <w:r>
              <w:drawing>
                <wp:inline distT="0" distB="0" distL="114300" distR="114300">
                  <wp:extent cx="545465" cy="607060"/>
                  <wp:effectExtent l="0" t="0" r="6985" b="2540"/>
                  <wp:docPr id="5" name="Picture 239" descr="[3H$KNU49%TL(~}%C)2YK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9" descr="[3H$KNU49%TL(~}%C)2YKZK"/>
                          <pic:cNvPicPr>
                            <a:picLocks noChangeAspect="1"/>
                          </pic:cNvPicPr>
                        </pic:nvPicPr>
                        <pic:blipFill>
                          <a:blip r:embed="rId16"/>
                          <a:stretch>
                            <a:fillRect/>
                          </a:stretch>
                        </pic:blipFill>
                        <pic:spPr>
                          <a:xfrm>
                            <a:off x="0" y="0"/>
                            <a:ext cx="545465" cy="607060"/>
                          </a:xfrm>
                          <a:prstGeom prst="rect">
                            <a:avLst/>
                          </a:prstGeom>
                          <a:noFill/>
                          <a:ln w="9525">
                            <a:noFill/>
                          </a:ln>
                        </pic:spPr>
                      </pic:pic>
                    </a:graphicData>
                  </a:graphic>
                </wp:inline>
              </w:drawing>
            </w:r>
          </w:p>
        </w:tc>
        <w:tc>
          <w:tcPr>
            <w:tcW w:w="1040" w:type="dxa"/>
            <w:tcBorders>
              <w:top w:val="single" w:color="auto" w:sz="4" w:space="0"/>
              <w:left w:val="single" w:color="auto" w:sz="4" w:space="0"/>
              <w:bottom w:val="single" w:color="auto" w:sz="4" w:space="0"/>
              <w:right w:val="single" w:color="auto" w:sz="4" w:space="0"/>
            </w:tcBorders>
            <w:vAlign w:val="center"/>
          </w:tcPr>
          <w:p w14:paraId="612F10DC">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21米</w:t>
            </w:r>
          </w:p>
        </w:tc>
        <w:tc>
          <w:tcPr>
            <w:tcW w:w="1897" w:type="dxa"/>
            <w:tcBorders>
              <w:top w:val="single" w:color="auto" w:sz="4" w:space="0"/>
              <w:left w:val="single" w:color="auto" w:sz="4" w:space="0"/>
              <w:bottom w:val="single" w:color="auto" w:sz="4" w:space="0"/>
              <w:right w:val="single" w:color="auto" w:sz="4" w:space="0"/>
            </w:tcBorders>
            <w:vAlign w:val="center"/>
          </w:tcPr>
          <w:p w14:paraId="0852EE84">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HDPE立柱+</w:t>
            </w:r>
            <w:r>
              <w:rPr>
                <w:rFonts w:ascii="Calibri" w:hAnsi="Calibri" w:cs="Calibri"/>
                <w:color w:val="000000"/>
                <w:kern w:val="0"/>
                <w:sz w:val="24"/>
                <w:lang w:bidi="ar"/>
              </w:rPr>
              <w:t>φ</w:t>
            </w:r>
            <w:r>
              <w:rPr>
                <w:rStyle w:val="140"/>
                <w:rFonts w:hint="default"/>
                <w:sz w:val="24"/>
                <w:szCs w:val="24"/>
                <w:lang w:bidi="ar"/>
              </w:rPr>
              <w:t>40PPR横杆</w:t>
            </w:r>
          </w:p>
        </w:tc>
        <w:tc>
          <w:tcPr>
            <w:tcW w:w="1238" w:type="dxa"/>
            <w:tcBorders>
              <w:top w:val="single" w:color="auto" w:sz="4" w:space="0"/>
              <w:left w:val="single" w:color="auto" w:sz="4" w:space="0"/>
              <w:bottom w:val="single" w:color="auto" w:sz="4" w:space="0"/>
              <w:right w:val="single" w:color="auto" w:sz="4" w:space="0"/>
            </w:tcBorders>
            <w:vAlign w:val="center"/>
          </w:tcPr>
          <w:p w14:paraId="6F1B8ABB">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100</w:t>
            </w:r>
          </w:p>
        </w:tc>
        <w:tc>
          <w:tcPr>
            <w:tcW w:w="1229" w:type="dxa"/>
            <w:tcBorders>
              <w:top w:val="single" w:color="auto" w:sz="4" w:space="0"/>
              <w:left w:val="single" w:color="auto" w:sz="4" w:space="0"/>
              <w:bottom w:val="single" w:color="auto" w:sz="4" w:space="0"/>
              <w:right w:val="single" w:color="auto" w:sz="4" w:space="0"/>
            </w:tcBorders>
            <w:vAlign w:val="center"/>
          </w:tcPr>
          <w:p w14:paraId="6B4CE34E">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14:paraId="7C5F41AE">
            <w:pPr>
              <w:widowControl/>
              <w:jc w:val="left"/>
              <w:textAlignment w:val="center"/>
              <w:rPr>
                <w:rFonts w:ascii="宋体" w:hAnsi="宋体" w:cs="宋体"/>
                <w:color w:val="000000"/>
                <w:kern w:val="0"/>
                <w:sz w:val="22"/>
                <w:szCs w:val="22"/>
                <w:lang w:bidi="ar"/>
              </w:rPr>
            </w:pPr>
          </w:p>
        </w:tc>
      </w:tr>
      <w:tr w14:paraId="4B072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00" w:type="dxa"/>
            <w:tcBorders>
              <w:top w:val="single" w:color="auto" w:sz="4" w:space="0"/>
              <w:left w:val="single" w:color="auto" w:sz="4" w:space="0"/>
              <w:bottom w:val="single" w:color="auto" w:sz="4" w:space="0"/>
              <w:right w:val="single" w:color="auto" w:sz="4" w:space="0"/>
            </w:tcBorders>
            <w:vAlign w:val="center"/>
          </w:tcPr>
          <w:p w14:paraId="6B90CE4D">
            <w:pPr>
              <w:widowControl/>
              <w:jc w:val="center"/>
              <w:textAlignment w:val="center"/>
              <w:rPr>
                <w:rFonts w:ascii="宋体" w:hAnsi="宋体" w:cs="宋体"/>
                <w:color w:val="171A1D"/>
                <w:kern w:val="0"/>
                <w:sz w:val="21"/>
                <w:szCs w:val="21"/>
                <w:lang w:bidi="ar"/>
              </w:rPr>
            </w:pPr>
            <w:r>
              <w:rPr>
                <w:rFonts w:hint="eastAsia" w:ascii="宋体" w:hAnsi="宋体" w:cs="宋体"/>
                <w:color w:val="171A1D"/>
                <w:kern w:val="0"/>
                <w:sz w:val="21"/>
                <w:szCs w:val="21"/>
                <w:lang w:bidi="ar"/>
              </w:rPr>
              <w:t>3</w:t>
            </w:r>
          </w:p>
        </w:tc>
        <w:tc>
          <w:tcPr>
            <w:tcW w:w="777" w:type="dxa"/>
            <w:tcBorders>
              <w:top w:val="single" w:color="auto" w:sz="4" w:space="0"/>
              <w:left w:val="single" w:color="auto" w:sz="4" w:space="0"/>
              <w:bottom w:val="single" w:color="auto" w:sz="4" w:space="0"/>
              <w:right w:val="single" w:color="auto" w:sz="4" w:space="0"/>
            </w:tcBorders>
            <w:vAlign w:val="center"/>
          </w:tcPr>
          <w:p w14:paraId="46FE2819">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固定锚</w:t>
            </w:r>
          </w:p>
        </w:tc>
        <w:tc>
          <w:tcPr>
            <w:tcW w:w="1093" w:type="dxa"/>
            <w:tcBorders>
              <w:top w:val="single" w:color="auto" w:sz="4" w:space="0"/>
              <w:left w:val="single" w:color="auto" w:sz="4" w:space="0"/>
              <w:bottom w:val="single" w:color="auto" w:sz="4" w:space="0"/>
              <w:right w:val="single" w:color="auto" w:sz="4" w:space="0"/>
            </w:tcBorders>
            <w:vAlign w:val="center"/>
          </w:tcPr>
          <w:p w14:paraId="611602C4">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本色</w:t>
            </w:r>
          </w:p>
        </w:tc>
        <w:tc>
          <w:tcPr>
            <w:tcW w:w="1080" w:type="dxa"/>
            <w:tcBorders>
              <w:top w:val="single" w:color="auto" w:sz="4" w:space="0"/>
              <w:left w:val="single" w:color="auto" w:sz="4" w:space="0"/>
              <w:bottom w:val="single" w:color="auto" w:sz="4" w:space="0"/>
              <w:right w:val="single" w:color="auto" w:sz="4" w:space="0"/>
            </w:tcBorders>
            <w:vAlign w:val="center"/>
          </w:tcPr>
          <w:p w14:paraId="5C69A3F6">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w:t>
            </w:r>
          </w:p>
        </w:tc>
        <w:tc>
          <w:tcPr>
            <w:tcW w:w="1330" w:type="dxa"/>
            <w:tcBorders>
              <w:top w:val="single" w:color="auto" w:sz="4" w:space="0"/>
              <w:left w:val="single" w:color="auto" w:sz="4" w:space="0"/>
              <w:bottom w:val="single" w:color="auto" w:sz="4" w:space="0"/>
              <w:right w:val="single" w:color="auto" w:sz="4" w:space="0"/>
            </w:tcBorders>
            <w:vAlign w:val="center"/>
          </w:tcPr>
          <w:p w14:paraId="5DF92B3C">
            <w:pPr>
              <w:widowControl/>
              <w:jc w:val="center"/>
              <w:textAlignment w:val="center"/>
              <w:rPr>
                <w:rFonts w:ascii="宋体" w:hAnsi="宋体" w:cs="宋体"/>
                <w:color w:val="000000"/>
                <w:kern w:val="0"/>
                <w:sz w:val="22"/>
                <w:szCs w:val="22"/>
                <w:lang w:bidi="ar"/>
              </w:rPr>
            </w:pPr>
          </w:p>
        </w:tc>
        <w:tc>
          <w:tcPr>
            <w:tcW w:w="1040" w:type="dxa"/>
            <w:tcBorders>
              <w:top w:val="single" w:color="auto" w:sz="4" w:space="0"/>
              <w:left w:val="single" w:color="auto" w:sz="4" w:space="0"/>
              <w:bottom w:val="single" w:color="auto" w:sz="4" w:space="0"/>
              <w:right w:val="single" w:color="auto" w:sz="4" w:space="0"/>
            </w:tcBorders>
            <w:vAlign w:val="center"/>
          </w:tcPr>
          <w:p w14:paraId="7B3D2428">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9套</w:t>
            </w:r>
          </w:p>
        </w:tc>
        <w:tc>
          <w:tcPr>
            <w:tcW w:w="1897" w:type="dxa"/>
            <w:tcBorders>
              <w:top w:val="single" w:color="auto" w:sz="4" w:space="0"/>
              <w:left w:val="single" w:color="auto" w:sz="4" w:space="0"/>
              <w:bottom w:val="single" w:color="auto" w:sz="4" w:space="0"/>
              <w:right w:val="single" w:color="auto" w:sz="4" w:space="0"/>
            </w:tcBorders>
            <w:vAlign w:val="center"/>
          </w:tcPr>
          <w:p w14:paraId="6AC51698">
            <w:pPr>
              <w:widowControl/>
              <w:jc w:val="left"/>
              <w:textAlignment w:val="center"/>
              <w:rPr>
                <w:rFonts w:ascii="宋体" w:hAnsi="宋体" w:cs="宋体"/>
                <w:kern w:val="0"/>
                <w:sz w:val="32"/>
                <w:szCs w:val="32"/>
                <w:lang w:bidi="ar"/>
              </w:rPr>
            </w:pPr>
            <w:r>
              <w:rPr>
                <w:rFonts w:hint="eastAsia" w:ascii="宋体" w:hAnsi="宋体" w:cs="宋体"/>
                <w:color w:val="000000"/>
                <w:kern w:val="0"/>
                <w:sz w:val="22"/>
                <w:szCs w:val="22"/>
                <w:lang w:bidi="ar"/>
              </w:rPr>
              <w:t>含锚绳</w:t>
            </w:r>
          </w:p>
        </w:tc>
        <w:tc>
          <w:tcPr>
            <w:tcW w:w="1238" w:type="dxa"/>
            <w:tcBorders>
              <w:top w:val="single" w:color="auto" w:sz="4" w:space="0"/>
              <w:left w:val="single" w:color="auto" w:sz="4" w:space="0"/>
              <w:bottom w:val="single" w:color="auto" w:sz="4" w:space="0"/>
              <w:right w:val="single" w:color="auto" w:sz="4" w:space="0"/>
            </w:tcBorders>
            <w:vAlign w:val="center"/>
          </w:tcPr>
          <w:p w14:paraId="0FBD1A21">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4"/>
                <w:lang w:bidi="ar"/>
              </w:rPr>
              <w:t>500</w:t>
            </w:r>
          </w:p>
        </w:tc>
        <w:tc>
          <w:tcPr>
            <w:tcW w:w="1229" w:type="dxa"/>
            <w:tcBorders>
              <w:top w:val="single" w:color="auto" w:sz="4" w:space="0"/>
              <w:left w:val="single" w:color="auto" w:sz="4" w:space="0"/>
              <w:bottom w:val="single" w:color="auto" w:sz="4" w:space="0"/>
              <w:right w:val="single" w:color="auto" w:sz="4" w:space="0"/>
            </w:tcBorders>
            <w:vAlign w:val="center"/>
          </w:tcPr>
          <w:p w14:paraId="5F9FB2EE">
            <w:pPr>
              <w:widowControl/>
              <w:jc w:val="left"/>
              <w:textAlignment w:val="center"/>
              <w:rPr>
                <w:rFonts w:ascii="宋体" w:hAnsi="宋体" w:cs="宋体"/>
                <w:color w:val="000000"/>
                <w:kern w:val="0"/>
                <w:sz w:val="22"/>
                <w:szCs w:val="22"/>
                <w:lang w:bidi="ar"/>
              </w:rPr>
            </w:pPr>
          </w:p>
        </w:tc>
        <w:tc>
          <w:tcPr>
            <w:tcW w:w="1096" w:type="dxa"/>
            <w:tcBorders>
              <w:top w:val="single" w:color="auto" w:sz="4" w:space="0"/>
              <w:left w:val="single" w:color="auto" w:sz="4" w:space="0"/>
              <w:bottom w:val="single" w:color="auto" w:sz="4" w:space="0"/>
              <w:right w:val="single" w:color="auto" w:sz="4" w:space="0"/>
            </w:tcBorders>
            <w:vAlign w:val="center"/>
          </w:tcPr>
          <w:p w14:paraId="213A134A">
            <w:pPr>
              <w:widowControl/>
              <w:jc w:val="left"/>
              <w:textAlignment w:val="center"/>
              <w:rPr>
                <w:rFonts w:ascii="宋体" w:hAnsi="宋体" w:cs="宋体"/>
                <w:color w:val="000000"/>
                <w:kern w:val="0"/>
                <w:sz w:val="22"/>
                <w:szCs w:val="22"/>
                <w:lang w:bidi="ar"/>
              </w:rPr>
            </w:pPr>
          </w:p>
        </w:tc>
      </w:tr>
      <w:tr w14:paraId="31E05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280" w:type="dxa"/>
            <w:gridSpan w:val="10"/>
            <w:tcBorders>
              <w:top w:val="single" w:color="auto" w:sz="4" w:space="0"/>
              <w:left w:val="single" w:color="auto" w:sz="4" w:space="0"/>
              <w:bottom w:val="single" w:color="auto" w:sz="4" w:space="0"/>
              <w:right w:val="single" w:color="auto" w:sz="4" w:space="0"/>
            </w:tcBorders>
            <w:vAlign w:val="center"/>
          </w:tcPr>
          <w:p w14:paraId="6BF0277A">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总报价=1+2+3= </w:t>
            </w:r>
            <w:r>
              <w:rPr>
                <w:rFonts w:hint="eastAsia" w:ascii="宋体" w:hAnsi="宋体" w:cs="宋体"/>
                <w:color w:val="000000"/>
                <w:kern w:val="0"/>
                <w:sz w:val="22"/>
                <w:szCs w:val="22"/>
                <w:u w:val="single"/>
                <w:lang w:bidi="ar"/>
              </w:rPr>
              <w:t xml:space="preserve">      元（结转至附件</w:t>
            </w:r>
            <w:r>
              <w:rPr>
                <w:rFonts w:hint="eastAsia" w:hAnsi="宋体" w:cs="宋体"/>
                <w:color w:val="000000"/>
                <w:kern w:val="0"/>
                <w:sz w:val="22"/>
                <w:szCs w:val="22"/>
                <w:u w:val="single"/>
                <w:lang w:bidi="ar"/>
              </w:rPr>
              <w:t>2</w:t>
            </w:r>
            <w:r>
              <w:rPr>
                <w:rFonts w:hint="eastAsia" w:ascii="宋体" w:hAnsi="宋体" w:cs="宋体"/>
                <w:color w:val="000000"/>
                <w:kern w:val="0"/>
                <w:sz w:val="22"/>
                <w:szCs w:val="22"/>
                <w:u w:val="single"/>
                <w:lang w:bidi="ar"/>
              </w:rPr>
              <w:t>开标一览表）</w:t>
            </w:r>
          </w:p>
        </w:tc>
      </w:tr>
    </w:tbl>
    <w:p w14:paraId="494780C9">
      <w:pPr>
        <w:rPr>
          <w:rFonts w:ascii="宋体" w:hAnsi="宋体" w:cs="宋体"/>
          <w:bCs/>
          <w:color w:val="0D0D0D"/>
          <w:sz w:val="24"/>
        </w:rPr>
      </w:pPr>
    </w:p>
    <w:p w14:paraId="7E5FC04A">
      <w:pPr>
        <w:pStyle w:val="40"/>
        <w:ind w:left="0" w:leftChars="0"/>
        <w:jc w:val="left"/>
        <w:rPr>
          <w:rFonts w:ascii="宋体" w:hAnsi="宋体" w:cs="宋体"/>
          <w:bCs/>
          <w:color w:val="0C0C0C"/>
          <w:sz w:val="21"/>
          <w:szCs w:val="21"/>
        </w:rPr>
      </w:pPr>
      <w:r>
        <w:rPr>
          <w:rFonts w:hint="eastAsia" w:ascii="宋体" w:hAnsi="宋体" w:cs="宋体"/>
          <w:b/>
          <w:color w:val="0C0C0C"/>
          <w:sz w:val="21"/>
          <w:szCs w:val="13"/>
        </w:rPr>
        <w:t>注：1、投标人须按上表格式统一填报的投标报价结算（建议投标报价保留整数）。</w:t>
      </w:r>
      <w:r>
        <w:rPr>
          <w:rFonts w:hint="eastAsia" w:ascii="宋体" w:hAnsi="宋体" w:cs="宋体"/>
          <w:b/>
          <w:bCs/>
          <w:color w:val="0C0C0C"/>
          <w:sz w:val="21"/>
          <w:szCs w:val="21"/>
        </w:rPr>
        <w:t>投标人应充分考虑项目实际材料运输工作量的不确定因素，投标报价时结合实际情况及自身的综合实力填报投标报价。应包括货款、标准附件、备品备件、专用工具、包装、运输、装卸、保险、税金、货到就位以及拼装、调试、培训、指导、保修等一切税金和费用，如有漏项，视同已包含在其总项目中。</w:t>
      </w:r>
      <w:r>
        <w:rPr>
          <w:rFonts w:hint="eastAsia" w:ascii="宋体" w:hAnsi="宋体" w:cs="宋体"/>
          <w:bCs/>
          <w:color w:val="0C0C0C"/>
          <w:sz w:val="21"/>
          <w:szCs w:val="21"/>
        </w:rPr>
        <w:t>采购人可根据实际情况调整采购数量，各投标人应根据本项目实际情况和自身的综合实力，竞报投标报价。</w:t>
      </w:r>
    </w:p>
    <w:p w14:paraId="53948D8B">
      <w:pPr>
        <w:pStyle w:val="40"/>
        <w:ind w:left="0" w:leftChars="0"/>
        <w:jc w:val="left"/>
        <w:rPr>
          <w:rFonts w:ascii="宋体" w:hAnsi="宋体" w:cs="宋体"/>
          <w:color w:val="0C0C0C"/>
          <w:sz w:val="21"/>
          <w:szCs w:val="13"/>
          <w:highlight w:val="red"/>
        </w:rPr>
      </w:pPr>
      <w:r>
        <w:rPr>
          <w:rFonts w:hint="eastAsia" w:ascii="宋体" w:hAnsi="宋体" w:cs="宋体"/>
          <w:color w:val="0C0C0C"/>
          <w:sz w:val="21"/>
          <w:szCs w:val="13"/>
        </w:rPr>
        <w:t>2、交货工期：</w:t>
      </w:r>
      <w:r>
        <w:rPr>
          <w:rFonts w:hint="eastAsia" w:ascii="宋体" w:hAnsi="宋体"/>
          <w:color w:val="0D0D0D"/>
          <w:sz w:val="21"/>
        </w:rPr>
        <w:t>自收到中标通知书后7日内完成供货；</w:t>
      </w:r>
    </w:p>
    <w:p w14:paraId="00FD8F14">
      <w:pPr>
        <w:pStyle w:val="40"/>
        <w:ind w:left="0" w:leftChars="0"/>
        <w:jc w:val="left"/>
        <w:rPr>
          <w:rFonts w:ascii="宋体" w:hAnsi="宋体" w:cs="宋体"/>
          <w:color w:val="0C0C0C"/>
          <w:sz w:val="21"/>
          <w:szCs w:val="13"/>
        </w:rPr>
      </w:pPr>
      <w:r>
        <w:rPr>
          <w:rFonts w:hint="eastAsia" w:ascii="宋体" w:hAnsi="宋体" w:cs="宋体"/>
          <w:color w:val="0C0C0C"/>
          <w:sz w:val="21"/>
          <w:szCs w:val="13"/>
        </w:rPr>
        <w:t>3、同意第二章《招标需求》所有条款内容，本项目工程量暂估，结算时按实际结算。</w:t>
      </w:r>
    </w:p>
    <w:p w14:paraId="2B2880E1">
      <w:pPr>
        <w:pStyle w:val="40"/>
        <w:ind w:left="0" w:leftChars="0"/>
        <w:jc w:val="left"/>
        <w:rPr>
          <w:rFonts w:ascii="宋体" w:hAnsi="宋体" w:cs="宋体"/>
          <w:color w:val="0C0C0C"/>
          <w:sz w:val="21"/>
          <w:szCs w:val="13"/>
        </w:rPr>
      </w:pPr>
      <w:r>
        <w:rPr>
          <w:rFonts w:hint="eastAsia" w:ascii="宋体" w:hAnsi="宋体" w:cs="宋体"/>
          <w:color w:val="0C0C0C"/>
          <w:sz w:val="21"/>
          <w:szCs w:val="13"/>
        </w:rPr>
        <w:t>4、如果我方中标，我方将按照招标文件规定提交履约担保，共同地和分别地承担责任。</w:t>
      </w:r>
    </w:p>
    <w:p w14:paraId="513DE2DD">
      <w:pPr>
        <w:pStyle w:val="40"/>
        <w:ind w:left="0" w:leftChars="0"/>
        <w:jc w:val="left"/>
        <w:rPr>
          <w:rFonts w:ascii="宋体" w:hAnsi="宋体" w:cs="宋体"/>
          <w:color w:val="0C0C0C"/>
          <w:sz w:val="21"/>
          <w:szCs w:val="13"/>
        </w:rPr>
      </w:pPr>
      <w:r>
        <w:rPr>
          <w:rFonts w:hint="eastAsia" w:ascii="宋体" w:hAnsi="宋体" w:cs="宋体"/>
          <w:color w:val="0C0C0C"/>
          <w:sz w:val="21"/>
          <w:szCs w:val="13"/>
        </w:rPr>
        <w:t>5、除非另外达成协议并生效，你方的中标通知书和本投标文件将构成约束我们双方的合同。</w:t>
      </w:r>
    </w:p>
    <w:p w14:paraId="51C724F6">
      <w:pPr>
        <w:pStyle w:val="40"/>
        <w:ind w:left="0" w:leftChars="0"/>
        <w:jc w:val="left"/>
        <w:rPr>
          <w:rFonts w:ascii="宋体" w:hAnsi="宋体"/>
          <w:sz w:val="21"/>
          <w:szCs w:val="21"/>
        </w:rPr>
      </w:pPr>
      <w:r>
        <w:rPr>
          <w:rFonts w:hint="eastAsia" w:ascii="宋体" w:hAnsi="宋体" w:cs="宋体"/>
          <w:color w:val="0C0C0C"/>
          <w:sz w:val="21"/>
          <w:szCs w:val="13"/>
        </w:rPr>
        <w:t>6、我方的投标担保已按招标文件的要求递交。</w:t>
      </w:r>
    </w:p>
    <w:p w14:paraId="0C99EDF2">
      <w:pPr>
        <w:spacing w:line="320" w:lineRule="exact"/>
        <w:rPr>
          <w:rFonts w:ascii="宋体" w:hAnsi="宋体"/>
          <w:sz w:val="21"/>
          <w:szCs w:val="21"/>
        </w:rPr>
      </w:pPr>
      <w:r>
        <w:rPr>
          <w:rFonts w:hint="eastAsia" w:ascii="宋体" w:hAnsi="宋体"/>
          <w:sz w:val="21"/>
          <w:szCs w:val="21"/>
        </w:rPr>
        <w:t xml:space="preserve">法定代表人（签字或盖章）：                    投标人（盖章）：                          </w:t>
      </w:r>
    </w:p>
    <w:p w14:paraId="1A4A3208">
      <w:pPr>
        <w:spacing w:line="320" w:lineRule="exact"/>
        <w:rPr>
          <w:rFonts w:ascii="宋体" w:hAnsi="宋体"/>
          <w:sz w:val="21"/>
          <w:szCs w:val="21"/>
        </w:rPr>
      </w:pPr>
      <w:r>
        <w:rPr>
          <w:rFonts w:hint="eastAsia" w:ascii="宋体" w:hAnsi="宋体"/>
          <w:sz w:val="21"/>
          <w:szCs w:val="21"/>
        </w:rPr>
        <w:t xml:space="preserve"> 日期：     年   月   日</w:t>
      </w:r>
    </w:p>
    <w:p w14:paraId="4AAD87D9">
      <w:pPr>
        <w:spacing w:line="320" w:lineRule="exact"/>
        <w:jc w:val="left"/>
        <w:rPr>
          <w:b/>
          <w:color w:val="0C0C0C"/>
        </w:rPr>
      </w:pPr>
    </w:p>
    <w:p w14:paraId="4E1A529E">
      <w:pPr>
        <w:spacing w:line="320" w:lineRule="exact"/>
        <w:jc w:val="left"/>
        <w:rPr>
          <w:b/>
          <w:color w:val="0C0C0C"/>
        </w:rPr>
      </w:pPr>
    </w:p>
    <w:p w14:paraId="69E77FB6">
      <w:pPr>
        <w:spacing w:line="320" w:lineRule="exact"/>
        <w:jc w:val="left"/>
        <w:rPr>
          <w:b/>
          <w:color w:val="0C0C0C"/>
        </w:rPr>
      </w:pPr>
      <w:r>
        <w:rPr>
          <w:rFonts w:hint="eastAsia"/>
          <w:b/>
          <w:color w:val="0C0C0C"/>
        </w:rPr>
        <w:t>4、诚信投标承诺书：</w:t>
      </w:r>
    </w:p>
    <w:p w14:paraId="61FA8A8A">
      <w:pPr>
        <w:jc w:val="center"/>
        <w:outlineLvl w:val="0"/>
        <w:rPr>
          <w:rFonts w:hint="eastAsia" w:ascii="宋体" w:hAnsi="宋体" w:cs="宋体"/>
          <w:b/>
          <w:color w:val="0D0D0D"/>
          <w:szCs w:val="28"/>
        </w:rPr>
      </w:pPr>
      <w:r>
        <w:rPr>
          <w:rFonts w:hint="eastAsia" w:ascii="宋体" w:hAnsi="宋体"/>
          <w:b/>
          <w:bCs/>
          <w:color w:val="0C0C0C"/>
          <w:szCs w:val="22"/>
        </w:rPr>
        <w:t xml:space="preserve"> </w:t>
      </w:r>
      <w:r>
        <w:rPr>
          <w:rFonts w:hint="eastAsia" w:ascii="宋体" w:hAnsi="宋体" w:cs="宋体"/>
          <w:b/>
          <w:color w:val="0D0D0D"/>
          <w:szCs w:val="28"/>
        </w:rPr>
        <w:t>台州湾新区中国家庭帆船赛台州站配套工程（浮筒平台采购）</w:t>
      </w:r>
    </w:p>
    <w:p w14:paraId="7B0F5154">
      <w:pPr>
        <w:jc w:val="center"/>
        <w:outlineLvl w:val="0"/>
        <w:rPr>
          <w:rFonts w:ascii="宋体" w:hAnsi="宋体"/>
          <w:b/>
          <w:bCs/>
          <w:color w:val="0C0C0C"/>
          <w:szCs w:val="22"/>
        </w:rPr>
      </w:pPr>
      <w:r>
        <w:rPr>
          <w:rFonts w:hint="eastAsia" w:ascii="宋体" w:hAnsi="宋体" w:cs="宋体"/>
          <w:b/>
          <w:color w:val="0D0D0D"/>
          <w:szCs w:val="28"/>
          <w:lang w:eastAsia="zh-CN"/>
        </w:rPr>
        <w:t>（</w:t>
      </w:r>
      <w:r>
        <w:rPr>
          <w:rFonts w:hint="eastAsia" w:ascii="宋体" w:hAnsi="宋体" w:cs="宋体"/>
          <w:b/>
          <w:color w:val="0D0D0D"/>
          <w:szCs w:val="28"/>
          <w:lang w:val="en-US" w:eastAsia="zh-CN"/>
        </w:rPr>
        <w:t>重新招标）</w:t>
      </w:r>
    </w:p>
    <w:p w14:paraId="15FB7248">
      <w:pPr>
        <w:tabs>
          <w:tab w:val="left" w:pos="570"/>
        </w:tabs>
        <w:spacing w:line="360" w:lineRule="auto"/>
        <w:ind w:firstLine="562" w:firstLineChars="200"/>
        <w:jc w:val="center"/>
        <w:rPr>
          <w:rFonts w:ascii="宋体" w:hAnsi="宋体" w:cs="宋体"/>
          <w:color w:val="0C0C0C"/>
        </w:rPr>
      </w:pPr>
      <w:r>
        <w:rPr>
          <w:rFonts w:hint="eastAsia" w:ascii="宋体" w:hAnsi="宋体" w:cs="宋体"/>
          <w:b/>
          <w:color w:val="0C0C0C"/>
        </w:rPr>
        <w:t>诚信投标承诺书</w:t>
      </w:r>
    </w:p>
    <w:p w14:paraId="301B7435">
      <w:pPr>
        <w:tabs>
          <w:tab w:val="left" w:pos="570"/>
        </w:tabs>
        <w:spacing w:line="500" w:lineRule="exact"/>
        <w:ind w:firstLine="480" w:firstLineChars="200"/>
        <w:jc w:val="left"/>
        <w:rPr>
          <w:rFonts w:ascii="宋体" w:hAnsi="宋体" w:cs="宋体"/>
          <w:color w:val="0C0C0C"/>
          <w:sz w:val="24"/>
          <w:szCs w:val="22"/>
        </w:rPr>
      </w:pPr>
      <w:r>
        <w:rPr>
          <w:rFonts w:hint="eastAsia" w:ascii="宋体" w:hAnsi="宋体" w:cs="宋体"/>
          <w:color w:val="0C0C0C"/>
          <w:sz w:val="24"/>
          <w:szCs w:val="22"/>
        </w:rPr>
        <w:t>针对本次招标项目，我公司郑重承诺：本单位自愿参加</w:t>
      </w:r>
      <w:r>
        <w:rPr>
          <w:rFonts w:hint="eastAsia" w:ascii="宋体" w:hAnsi="宋体" w:cs="宋体"/>
          <w:color w:val="0C0C0C"/>
          <w:sz w:val="24"/>
          <w:szCs w:val="22"/>
          <w:u w:val="single"/>
        </w:rPr>
        <w:t xml:space="preserve"> 台州湾新区中国家庭帆船赛台州站配套工程（浮筒平台采购）</w:t>
      </w:r>
      <w:r>
        <w:rPr>
          <w:rFonts w:hint="eastAsia" w:ascii="宋体" w:hAnsi="宋体" w:cs="宋体"/>
          <w:color w:val="0C0C0C"/>
          <w:sz w:val="24"/>
          <w:szCs w:val="22"/>
          <w:u w:val="single"/>
          <w:lang w:eastAsia="zh-CN"/>
        </w:rPr>
        <w:t>（</w:t>
      </w:r>
      <w:r>
        <w:rPr>
          <w:rFonts w:hint="eastAsia" w:ascii="宋体" w:hAnsi="宋体" w:cs="宋体"/>
          <w:color w:val="0C0C0C"/>
          <w:sz w:val="24"/>
          <w:szCs w:val="22"/>
          <w:u w:val="single"/>
          <w:lang w:val="en-US" w:eastAsia="zh-CN"/>
        </w:rPr>
        <w:t>重新招标）</w:t>
      </w:r>
      <w:r>
        <w:rPr>
          <w:rFonts w:hint="eastAsia" w:ascii="宋体" w:hAnsi="宋体" w:cs="宋体"/>
          <w:color w:val="0C0C0C"/>
          <w:sz w:val="24"/>
          <w:szCs w:val="22"/>
        </w:rPr>
        <w:t xml:space="preserve"> 的投标。</w:t>
      </w:r>
    </w:p>
    <w:p w14:paraId="6F6BB5AE">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1、本公司所填列的技术要求、服务、数量等相关内容都是真实、准确的；</w:t>
      </w:r>
    </w:p>
    <w:p w14:paraId="65FB5965">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2、本公司保证在本次招标项目中所提供的资料全部真实和合法；</w:t>
      </w:r>
    </w:p>
    <w:p w14:paraId="492007BC">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3、本公司保证绝不采取不正当手段诋毁排挤其他投标人；</w:t>
      </w:r>
    </w:p>
    <w:p w14:paraId="2C14E9B0">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4、本公司保证绝不向采购人、采购单位有关工作人员提供不正当利益，以影响采购结果的公正性。</w:t>
      </w:r>
    </w:p>
    <w:p w14:paraId="233644FE">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5、同意此次招标文件中的各项内容。</w:t>
      </w:r>
    </w:p>
    <w:p w14:paraId="338ED6E5">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6、同意提供按照贵方可能要求的与招标有关的一切数据或资料等。</w:t>
      </w:r>
    </w:p>
    <w:p w14:paraId="239946D6">
      <w:pPr>
        <w:tabs>
          <w:tab w:val="left" w:pos="570"/>
        </w:tabs>
        <w:spacing w:line="500" w:lineRule="exact"/>
        <w:ind w:firstLine="480" w:firstLineChars="200"/>
        <w:jc w:val="left"/>
        <w:rPr>
          <w:rFonts w:ascii="宋体" w:hAnsi="宋体" w:cs="宋体"/>
          <w:sz w:val="24"/>
          <w:szCs w:val="22"/>
        </w:rPr>
      </w:pPr>
      <w:r>
        <w:rPr>
          <w:rFonts w:hint="eastAsia" w:ascii="宋体" w:hAnsi="宋体" w:cs="宋体"/>
          <w:sz w:val="24"/>
          <w:szCs w:val="22"/>
        </w:rPr>
        <w:t>7、本单位如中标，保证按照投标文件的承诺与贵方签订合同，保证履行合同条款。</w:t>
      </w:r>
    </w:p>
    <w:p w14:paraId="1412D4C9">
      <w:pPr>
        <w:tabs>
          <w:tab w:val="left" w:pos="570"/>
        </w:tabs>
        <w:spacing w:line="500" w:lineRule="exact"/>
        <w:ind w:firstLine="482" w:firstLineChars="200"/>
        <w:jc w:val="left"/>
        <w:rPr>
          <w:rFonts w:ascii="宋体" w:hAnsi="宋体" w:cs="宋体"/>
          <w:b/>
          <w:bCs/>
          <w:sz w:val="24"/>
          <w:szCs w:val="22"/>
        </w:rPr>
      </w:pPr>
      <w:r>
        <w:rPr>
          <w:rFonts w:hint="eastAsia" w:ascii="宋体" w:hAnsi="宋体" w:cs="宋体"/>
          <w:b/>
          <w:bCs/>
          <w:sz w:val="24"/>
          <w:szCs w:val="22"/>
        </w:rPr>
        <w:t>8、本公司承诺如出现招标文件第三章三、（五）5情形的（如IP地址相同等），将自愿罚没投标保证金。</w:t>
      </w:r>
    </w:p>
    <w:p w14:paraId="7D3EB626">
      <w:pPr>
        <w:tabs>
          <w:tab w:val="left" w:pos="570"/>
        </w:tabs>
        <w:spacing w:line="500" w:lineRule="exact"/>
        <w:ind w:firstLine="480" w:firstLineChars="200"/>
        <w:jc w:val="left"/>
        <w:rPr>
          <w:rFonts w:ascii="宋体" w:hAnsi="宋体" w:cs="宋体"/>
          <w:sz w:val="24"/>
          <w:szCs w:val="22"/>
          <w:u w:val="single"/>
        </w:rPr>
      </w:pPr>
      <w:r>
        <w:rPr>
          <w:rFonts w:hint="eastAsia" w:ascii="宋体" w:hAnsi="宋体" w:cs="宋体"/>
          <w:sz w:val="24"/>
          <w:szCs w:val="22"/>
        </w:rPr>
        <w:t>本公司若有违反本承诺内容的行为，愿意承担法律责任，并愿意赔偿为招标人造成的损失。如已中标的，自动放弃中标资格；给采购人造成损失的，依法承担赔偿责任。</w:t>
      </w:r>
    </w:p>
    <w:p w14:paraId="2EC5E368">
      <w:pPr>
        <w:tabs>
          <w:tab w:val="left" w:pos="570"/>
        </w:tabs>
        <w:spacing w:line="440" w:lineRule="exact"/>
        <w:jc w:val="left"/>
        <w:rPr>
          <w:rFonts w:ascii="宋体" w:hAnsi="宋体" w:cs="宋体"/>
          <w:u w:val="single"/>
        </w:rPr>
      </w:pPr>
    </w:p>
    <w:p w14:paraId="7D1D9DFA">
      <w:pPr>
        <w:spacing w:line="320" w:lineRule="exact"/>
        <w:ind w:left="420" w:firstLine="960" w:firstLineChars="400"/>
        <w:rPr>
          <w:rFonts w:ascii="宋体" w:hAnsi="宋体"/>
          <w:sz w:val="24"/>
        </w:rPr>
      </w:pPr>
      <w:r>
        <w:rPr>
          <w:rFonts w:hint="eastAsia" w:ascii="宋体" w:hAnsi="宋体"/>
          <w:sz w:val="24"/>
        </w:rPr>
        <w:t xml:space="preserve">投标人（盖章）：     </w:t>
      </w:r>
    </w:p>
    <w:p w14:paraId="1939031D">
      <w:pPr>
        <w:spacing w:line="320" w:lineRule="exact"/>
        <w:ind w:left="420"/>
        <w:rPr>
          <w:rFonts w:ascii="宋体" w:hAnsi="宋体"/>
          <w:sz w:val="24"/>
        </w:rPr>
      </w:pPr>
    </w:p>
    <w:p w14:paraId="1B070157">
      <w:pPr>
        <w:snapToGrid w:val="0"/>
        <w:spacing w:before="50" w:after="50" w:line="360" w:lineRule="auto"/>
        <w:jc w:val="center"/>
        <w:rPr>
          <w:rFonts w:ascii="宋体" w:hAnsi="宋体" w:cs="宋体"/>
          <w:szCs w:val="20"/>
          <w:u w:val="single"/>
        </w:rPr>
      </w:pPr>
      <w:r>
        <w:rPr>
          <w:rFonts w:hint="eastAsia" w:ascii="宋体" w:hAnsi="宋体"/>
          <w:sz w:val="24"/>
        </w:rPr>
        <w:t xml:space="preserve"> 法定代表人（签字或盖章）：                          日期：</w:t>
      </w:r>
    </w:p>
    <w:sectPr>
      <w:pgSz w:w="11906" w:h="16838"/>
      <w:pgMar w:top="1440" w:right="1188"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E3F9">
    <w:pPr>
      <w:pStyle w:val="33"/>
      <w:jc w:val="center"/>
    </w:pPr>
    <w:r>
      <w:fldChar w:fldCharType="begin"/>
    </w:r>
    <w:r>
      <w:rPr>
        <w:rStyle w:val="50"/>
      </w:rPr>
      <w:instrText xml:space="preserve"> PAGE </w:instrText>
    </w:r>
    <w:r>
      <w:fldChar w:fldCharType="separate"/>
    </w:r>
    <w:r>
      <w:rPr>
        <w:rStyle w:val="50"/>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FE85">
    <w:pPr>
      <w:pStyle w:val="33"/>
      <w:jc w:val="center"/>
    </w:pPr>
    <w:r>
      <w:fldChar w:fldCharType="begin"/>
    </w:r>
    <w:r>
      <w:instrText xml:space="preserve"> PAGE   \* MERGEFORMAT </w:instrText>
    </w:r>
    <w:r>
      <w:fldChar w:fldCharType="separate"/>
    </w:r>
    <w:r>
      <w:rPr>
        <w:lang w:val="zh-CN"/>
      </w:rPr>
      <w:t>-</w:t>
    </w:r>
    <w:r>
      <w:t xml:space="preserve"> 8 -</w:t>
    </w:r>
    <w:r>
      <w:fldChar w:fldCharType="end"/>
    </w:r>
  </w:p>
  <w:p w14:paraId="15F2B0FC">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98686">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33</w:t>
    </w:r>
    <w:r>
      <w:fldChar w:fldCharType="end"/>
    </w:r>
  </w:p>
  <w:p w14:paraId="61C26175">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EFDB1">
    <w:pPr>
      <w:pStyle w:val="33"/>
      <w:jc w:val="center"/>
    </w:pPr>
    <w:r>
      <w:fldChar w:fldCharType="begin"/>
    </w:r>
    <w:r>
      <w:instrText xml:space="preserve"> PAGE   \* MERGEFORMAT </w:instrText>
    </w:r>
    <w:r>
      <w:fldChar w:fldCharType="separate"/>
    </w:r>
    <w:r>
      <w:rPr>
        <w:lang w:val="zh-CN"/>
      </w:rPr>
      <w:t>-</w:t>
    </w:r>
    <w:r>
      <w:t xml:space="preserve"> 8 -</w:t>
    </w:r>
    <w:r>
      <w:fldChar w:fldCharType="end"/>
    </w:r>
  </w:p>
  <w:p w14:paraId="1DFE8A94">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3B7D">
    <w:pPr>
      <w:pStyle w:val="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152400</wp:posOffset>
              </wp:positionV>
              <wp:extent cx="24765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650" cy="165100"/>
                      </a:xfrm>
                      <a:prstGeom prst="rect">
                        <a:avLst/>
                      </a:prstGeom>
                      <a:noFill/>
                      <a:ln w="15875">
                        <a:noFill/>
                      </a:ln>
                    </wps:spPr>
                    <wps:txbx>
                      <w:txbxContent>
                        <w:p w14:paraId="5A1C6BC8">
                          <w:pPr>
                            <w:pStyle w:val="33"/>
                            <w:jc w:val="center"/>
                          </w:pPr>
                          <w:r>
                            <w:fldChar w:fldCharType="begin"/>
                          </w:r>
                          <w:r>
                            <w:instrText xml:space="preserve"> PAGE   \* MERGEFORMAT </w:instrText>
                          </w:r>
                          <w:r>
                            <w:fldChar w:fldCharType="separate"/>
                          </w:r>
                          <w:r>
                            <w:rPr>
                              <w:lang w:val="zh-CN"/>
                            </w:rPr>
                            <w:t>31</w:t>
                          </w:r>
                          <w:r>
                            <w:fldChar w:fldCharType="end"/>
                          </w:r>
                        </w:p>
                      </w:txbxContent>
                    </wps:txbx>
                    <wps:bodyPr wrap="none" lIns="0" tIns="0" rIns="0" bIns="0"/>
                  </wps:wsp>
                </a:graphicData>
              </a:graphic>
            </wp:anchor>
          </w:drawing>
        </mc:Choice>
        <mc:Fallback>
          <w:pict>
            <v:shape id="_x0000_s1026" o:spid="_x0000_s1026" o:spt="202" type="#_x0000_t202" style="position:absolute;left:0pt;margin-top:12pt;height:13pt;width:19.5pt;mso-position-horizontal:center;mso-position-horizontal-relative:margin;mso-wrap-style:none;z-index:251659264;mso-width-relative:page;mso-height-relative:page;" filled="f" stroked="f" coordsize="21600,21600" o:gfxdata="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i9ARtMAAAAFAQAADwAAAAAAAAABACAAAAAiAAAAZHJzL2Rvd25yZXYueG1s&#10;UEsBAhQAFAAAAAgAh07iQELLXhnEAQAAewMAAA4AAAAAAAAAAQAgAAAAIgEAAGRycy9lMm9Eb2Mu&#10;eG1sUEsFBgAAAAAGAAYAWQEAAFgFAAAAAA==&#10;">
              <v:fill on="f" focussize="0,0"/>
              <v:stroke on="f" weight="1.25pt"/>
              <v:imagedata o:title=""/>
              <o:lock v:ext="edit" aspectratio="f"/>
              <v:textbox inset="0mm,0mm,0mm,0mm">
                <w:txbxContent>
                  <w:p w14:paraId="5A1C6BC8">
                    <w:pPr>
                      <w:pStyle w:val="33"/>
                      <w:jc w:val="center"/>
                    </w:pPr>
                    <w:r>
                      <w:fldChar w:fldCharType="begin"/>
                    </w:r>
                    <w:r>
                      <w:instrText xml:space="preserve"> PAGE   \* MERGEFORMAT </w:instrText>
                    </w:r>
                    <w:r>
                      <w:fldChar w:fldCharType="separate"/>
                    </w:r>
                    <w:r>
                      <w:rPr>
                        <w:lang w:val="zh-CN"/>
                      </w:rPr>
                      <w:t>31</w:t>
                    </w:r>
                    <w:r>
                      <w:fldChar w:fldCharType="end"/>
                    </w:r>
                  </w:p>
                </w:txbxContent>
              </v:textbox>
            </v:shape>
          </w:pict>
        </mc:Fallback>
      </mc:AlternateContent>
    </w:r>
  </w:p>
  <w:p w14:paraId="07D225FA">
    <w:pPr>
      <w:pStyle w:val="3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77584">
    <w:pPr>
      <w:pStyle w:val="38"/>
      <w:framePr w:wrap="around" w:vAnchor="text" w:hAnchor="page" w:x="5897" w:y="97"/>
      <w:rPr>
        <w:rStyle w:val="54"/>
      </w:rPr>
    </w:pPr>
    <w:r>
      <w:fldChar w:fldCharType="begin"/>
    </w:r>
    <w:r>
      <w:rPr>
        <w:rStyle w:val="54"/>
      </w:rPr>
      <w:instrText xml:space="preserve">PAGE  </w:instrText>
    </w:r>
    <w:r>
      <w:fldChar w:fldCharType="separate"/>
    </w:r>
    <w:r>
      <w:rPr>
        <w:rStyle w:val="54"/>
      </w:rPr>
      <w:t>0</w:t>
    </w:r>
    <w:r>
      <w:fldChar w:fldCharType="end"/>
    </w:r>
  </w:p>
  <w:p w14:paraId="627E62CF">
    <w:pPr>
      <w:pStyle w:val="3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FC023">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0989">
    <w:pPr>
      <w:pStyle w:val="34"/>
      <w:jc w:val="right"/>
      <w:rPr>
        <w:rFonts w:ascii="宋体" w:hAnsi="宋体"/>
      </w:rPr>
    </w:pPr>
    <w:r>
      <w:rPr>
        <w:rFonts w:hint="eastAsia" w:ascii="宋体" w:hAnsi="宋体"/>
        <w:bCs/>
      </w:rPr>
      <w:t>台州湾新区滨康大道（海昌路—海丰路）北半幅道路工程、东海大道（聚海大道-渔舟路）道路工程（绿化工程）（苗木采购）</w:t>
    </w:r>
    <w:r>
      <w:rPr>
        <w:rFonts w:hint="eastAsia" w:ascii="宋体" w:hAnsi="宋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3AB63">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25E5">
    <w:pPr>
      <w:pStyle w:val="34"/>
      <w:tabs>
        <w:tab w:val="left" w:pos="4200"/>
        <w:tab w:val="left" w:pos="4620"/>
        <w:tab w:val="left" w:pos="5040"/>
        <w:tab w:val="left" w:pos="5460"/>
        <w:tab w:val="left" w:pos="5880"/>
        <w:tab w:val="left" w:pos="6300"/>
        <w:tab w:val="clear" w:pos="8306"/>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E34F">
    <w:pPr>
      <w:pStyle w:val="34"/>
      <w:tabs>
        <w:tab w:val="left" w:pos="4200"/>
        <w:tab w:val="left" w:pos="4620"/>
        <w:tab w:val="left" w:pos="5040"/>
        <w:tab w:val="left" w:pos="5460"/>
        <w:tab w:val="left" w:pos="5880"/>
        <w:tab w:val="left" w:pos="6300"/>
        <w:tab w:val="clear" w:pos="8306"/>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25ABD"/>
    <w:multiLevelType w:val="singleLevel"/>
    <w:tmpl w:val="D0525ABD"/>
    <w:lvl w:ilvl="0" w:tentative="0">
      <w:start w:val="1"/>
      <w:numFmt w:val="chineseCounting"/>
      <w:suff w:val="nothing"/>
      <w:lvlText w:val="%1、"/>
      <w:lvlJc w:val="left"/>
      <w:rPr>
        <w:rFonts w:hint="eastAsia"/>
      </w:rPr>
    </w:lvl>
  </w:abstractNum>
  <w:abstractNum w:abstractNumId="1">
    <w:nsid w:val="F683B775"/>
    <w:multiLevelType w:val="singleLevel"/>
    <w:tmpl w:val="F683B775"/>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2">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0D"/>
    <w:multiLevelType w:val="singleLevel"/>
    <w:tmpl w:val="0000000D"/>
    <w:lvl w:ilvl="0" w:tentative="0">
      <w:start w:val="1"/>
      <w:numFmt w:val="decimal"/>
      <w:pStyle w:val="23"/>
      <w:lvlText w:val="%1."/>
      <w:lvlJc w:val="left"/>
      <w:pPr>
        <w:tabs>
          <w:tab w:val="left" w:pos="1200"/>
        </w:tabs>
        <w:ind w:left="1200" w:hanging="360"/>
      </w:pPr>
    </w:lvl>
  </w:abstractNum>
  <w:abstractNum w:abstractNumId="4">
    <w:nsid w:val="0000000E"/>
    <w:multiLevelType w:val="multilevel"/>
    <w:tmpl w:val="0000000E"/>
    <w:lvl w:ilvl="0" w:tentative="0">
      <w:start w:val="1"/>
      <w:numFmt w:val="bullet"/>
      <w:pStyle w:val="129"/>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pStyle w:val="114"/>
      <w:lvlText w:val="o"/>
      <w:lvlJc w:val="left"/>
      <w:pPr>
        <w:tabs>
          <w:tab w:val="left" w:pos="1440"/>
        </w:tabs>
        <w:ind w:left="1800" w:hanging="360"/>
      </w:pPr>
      <w:rPr>
        <w:rFonts w:hint="default" w:ascii="Courier New" w:hAnsi="Courier New"/>
      </w:rPr>
    </w:lvl>
    <w:lvl w:ilvl="3" w:tentative="0">
      <w:start w:val="1"/>
      <w:numFmt w:val="bullet"/>
      <w:pStyle w:val="106"/>
      <w:lvlText w:val=""/>
      <w:lvlJc w:val="left"/>
      <w:pPr>
        <w:tabs>
          <w:tab w:val="left" w:pos="2160"/>
        </w:tabs>
        <w:ind w:left="2520" w:hanging="360"/>
      </w:pPr>
      <w:rPr>
        <w:rFonts w:hint="default" w:ascii="Wingdings" w:hAnsi="Wingdings"/>
      </w:rPr>
    </w:lvl>
    <w:lvl w:ilvl="4" w:tentative="0">
      <w:start w:val="1"/>
      <w:numFmt w:val="bullet"/>
      <w:pStyle w:val="118"/>
      <w:lvlText w:val=""/>
      <w:lvlJc w:val="left"/>
      <w:pPr>
        <w:tabs>
          <w:tab w:val="left" w:pos="2880"/>
        </w:tabs>
        <w:ind w:left="3240" w:hanging="360"/>
      </w:pPr>
      <w:rPr>
        <w:rFonts w:hint="default" w:ascii="Wingdings" w:hAnsi="Wingdings"/>
      </w:rPr>
    </w:lvl>
    <w:lvl w:ilvl="5" w:tentative="0">
      <w:start w:val="1"/>
      <w:numFmt w:val="bullet"/>
      <w:pStyle w:val="137"/>
      <w:lvlText w:val=""/>
      <w:lvlJc w:val="left"/>
      <w:pPr>
        <w:tabs>
          <w:tab w:val="left" w:pos="3600"/>
        </w:tabs>
        <w:ind w:left="3960" w:hanging="360"/>
      </w:pPr>
      <w:rPr>
        <w:rFonts w:hint="default" w:ascii="Symbol" w:hAnsi="Symbol"/>
      </w:rPr>
    </w:lvl>
    <w:lvl w:ilvl="6" w:tentative="0">
      <w:start w:val="1"/>
      <w:numFmt w:val="bullet"/>
      <w:pStyle w:val="125"/>
      <w:lvlText w:val="o"/>
      <w:lvlJc w:val="left"/>
      <w:pPr>
        <w:tabs>
          <w:tab w:val="left" w:pos="4320"/>
        </w:tabs>
        <w:ind w:left="4680" w:hanging="360"/>
      </w:pPr>
      <w:rPr>
        <w:rFonts w:hint="default" w:ascii="Courier New" w:hAnsi="Courier New"/>
      </w:rPr>
    </w:lvl>
    <w:lvl w:ilvl="7" w:tentative="0">
      <w:start w:val="1"/>
      <w:numFmt w:val="bullet"/>
      <w:pStyle w:val="128"/>
      <w:lvlText w:val=""/>
      <w:lvlJc w:val="left"/>
      <w:pPr>
        <w:tabs>
          <w:tab w:val="left" w:pos="5040"/>
        </w:tabs>
        <w:ind w:left="5400" w:hanging="360"/>
      </w:pPr>
      <w:rPr>
        <w:rFonts w:hint="default" w:ascii="Wingdings" w:hAnsi="Wingdings"/>
      </w:rPr>
    </w:lvl>
    <w:lvl w:ilvl="8" w:tentative="0">
      <w:start w:val="1"/>
      <w:numFmt w:val="bullet"/>
      <w:pStyle w:val="139"/>
      <w:lvlText w:val=""/>
      <w:lvlJc w:val="left"/>
      <w:pPr>
        <w:tabs>
          <w:tab w:val="left" w:pos="5760"/>
        </w:tabs>
        <w:ind w:left="6120" w:hanging="360"/>
      </w:pPr>
      <w:rPr>
        <w:rFonts w:hint="default" w:ascii="Wingdings" w:hAnsi="Wingdings"/>
      </w:rPr>
    </w:lvl>
  </w:abstractNum>
  <w:abstractNum w:abstractNumId="5">
    <w:nsid w:val="061EABC1"/>
    <w:multiLevelType w:val="singleLevel"/>
    <w:tmpl w:val="061EABC1"/>
    <w:lvl w:ilvl="0" w:tentative="0">
      <w:start w:val="1"/>
      <w:numFmt w:val="bullet"/>
      <w:pStyle w:val="26"/>
      <w:lvlText w:val=""/>
      <w:lvlJc w:val="left"/>
      <w:pPr>
        <w:tabs>
          <w:tab w:val="left" w:pos="780"/>
        </w:tabs>
        <w:ind w:left="780" w:hanging="360"/>
      </w:pPr>
      <w:rPr>
        <w:rFonts w:hint="default" w:ascii="Wingdings" w:hAnsi="Wingdings"/>
      </w:rPr>
    </w:lvl>
  </w:abstractNum>
  <w:num w:numId="1">
    <w:abstractNumId w:val="1"/>
  </w:num>
  <w:num w:numId="2">
    <w:abstractNumId w:val="3"/>
  </w:num>
  <w:num w:numId="3">
    <w:abstractNumId w:val="5"/>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5NWMxNGI5YmU5ZTNlNDQzM2RmYjU5YzIyOTdhZmMifQ=="/>
  </w:docVars>
  <w:rsids>
    <w:rsidRoot w:val="00172A27"/>
    <w:rsid w:val="0001083A"/>
    <w:rsid w:val="000114D9"/>
    <w:rsid w:val="00013457"/>
    <w:rsid w:val="00013AE8"/>
    <w:rsid w:val="00015CD6"/>
    <w:rsid w:val="00021855"/>
    <w:rsid w:val="000238E0"/>
    <w:rsid w:val="00036874"/>
    <w:rsid w:val="00044F84"/>
    <w:rsid w:val="00050A17"/>
    <w:rsid w:val="000518CF"/>
    <w:rsid w:val="000520D8"/>
    <w:rsid w:val="00055B06"/>
    <w:rsid w:val="00074BFF"/>
    <w:rsid w:val="0007597B"/>
    <w:rsid w:val="000772BA"/>
    <w:rsid w:val="00081576"/>
    <w:rsid w:val="000A01DB"/>
    <w:rsid w:val="000A50D2"/>
    <w:rsid w:val="000B2C01"/>
    <w:rsid w:val="000C1AAE"/>
    <w:rsid w:val="000D0BAB"/>
    <w:rsid w:val="000D1165"/>
    <w:rsid w:val="000E5FFB"/>
    <w:rsid w:val="000E78C7"/>
    <w:rsid w:val="000F2243"/>
    <w:rsid w:val="000F4A56"/>
    <w:rsid w:val="000F50E5"/>
    <w:rsid w:val="000F7635"/>
    <w:rsid w:val="000F77E3"/>
    <w:rsid w:val="001004AD"/>
    <w:rsid w:val="00102EA4"/>
    <w:rsid w:val="001047E6"/>
    <w:rsid w:val="00115906"/>
    <w:rsid w:val="00115B2D"/>
    <w:rsid w:val="001167C6"/>
    <w:rsid w:val="001171B9"/>
    <w:rsid w:val="001177A5"/>
    <w:rsid w:val="001218DB"/>
    <w:rsid w:val="00123B4A"/>
    <w:rsid w:val="00124D40"/>
    <w:rsid w:val="00125488"/>
    <w:rsid w:val="00127523"/>
    <w:rsid w:val="0013122F"/>
    <w:rsid w:val="00133234"/>
    <w:rsid w:val="001336D7"/>
    <w:rsid w:val="001430E5"/>
    <w:rsid w:val="00146F00"/>
    <w:rsid w:val="00150E85"/>
    <w:rsid w:val="001518BB"/>
    <w:rsid w:val="001527B0"/>
    <w:rsid w:val="00153FC4"/>
    <w:rsid w:val="00156E34"/>
    <w:rsid w:val="0015729D"/>
    <w:rsid w:val="00163639"/>
    <w:rsid w:val="00172A27"/>
    <w:rsid w:val="00172EDE"/>
    <w:rsid w:val="00174349"/>
    <w:rsid w:val="00175E87"/>
    <w:rsid w:val="0017708D"/>
    <w:rsid w:val="0017721C"/>
    <w:rsid w:val="00181C59"/>
    <w:rsid w:val="00187C79"/>
    <w:rsid w:val="001A1479"/>
    <w:rsid w:val="001A1481"/>
    <w:rsid w:val="001B4BEC"/>
    <w:rsid w:val="001B5CA2"/>
    <w:rsid w:val="001C17D3"/>
    <w:rsid w:val="001C56FA"/>
    <w:rsid w:val="001D0989"/>
    <w:rsid w:val="001D3246"/>
    <w:rsid w:val="001D5F19"/>
    <w:rsid w:val="001D728C"/>
    <w:rsid w:val="001E5897"/>
    <w:rsid w:val="001F4EE5"/>
    <w:rsid w:val="0020044A"/>
    <w:rsid w:val="00202606"/>
    <w:rsid w:val="00202DC4"/>
    <w:rsid w:val="002119CA"/>
    <w:rsid w:val="00215002"/>
    <w:rsid w:val="00215C03"/>
    <w:rsid w:val="0022084F"/>
    <w:rsid w:val="00221293"/>
    <w:rsid w:val="002226C4"/>
    <w:rsid w:val="00222942"/>
    <w:rsid w:val="00231925"/>
    <w:rsid w:val="00232085"/>
    <w:rsid w:val="00233A38"/>
    <w:rsid w:val="00237F03"/>
    <w:rsid w:val="00244998"/>
    <w:rsid w:val="00245F24"/>
    <w:rsid w:val="00252709"/>
    <w:rsid w:val="002573EC"/>
    <w:rsid w:val="002601A4"/>
    <w:rsid w:val="00264550"/>
    <w:rsid w:val="0027650F"/>
    <w:rsid w:val="00286F0B"/>
    <w:rsid w:val="00286F6D"/>
    <w:rsid w:val="002922A9"/>
    <w:rsid w:val="00297789"/>
    <w:rsid w:val="002A41B8"/>
    <w:rsid w:val="002A44DE"/>
    <w:rsid w:val="002A5FC2"/>
    <w:rsid w:val="002A6E74"/>
    <w:rsid w:val="002B1845"/>
    <w:rsid w:val="002B3A78"/>
    <w:rsid w:val="002B4C42"/>
    <w:rsid w:val="002C2D5B"/>
    <w:rsid w:val="002C3F42"/>
    <w:rsid w:val="002D4A34"/>
    <w:rsid w:val="002D73B8"/>
    <w:rsid w:val="002E04E2"/>
    <w:rsid w:val="002E207C"/>
    <w:rsid w:val="002E43CB"/>
    <w:rsid w:val="002F4192"/>
    <w:rsid w:val="002F4346"/>
    <w:rsid w:val="003018C5"/>
    <w:rsid w:val="0031511E"/>
    <w:rsid w:val="00316B4F"/>
    <w:rsid w:val="00316BF6"/>
    <w:rsid w:val="00317329"/>
    <w:rsid w:val="00320C42"/>
    <w:rsid w:val="003220B6"/>
    <w:rsid w:val="0032392E"/>
    <w:rsid w:val="003256DC"/>
    <w:rsid w:val="0033028F"/>
    <w:rsid w:val="00332C9A"/>
    <w:rsid w:val="00333646"/>
    <w:rsid w:val="003340AE"/>
    <w:rsid w:val="0033746C"/>
    <w:rsid w:val="003472BA"/>
    <w:rsid w:val="003477AB"/>
    <w:rsid w:val="00350C0E"/>
    <w:rsid w:val="003555FC"/>
    <w:rsid w:val="003559C5"/>
    <w:rsid w:val="00384C19"/>
    <w:rsid w:val="0039302E"/>
    <w:rsid w:val="00394DDD"/>
    <w:rsid w:val="00395121"/>
    <w:rsid w:val="003C1149"/>
    <w:rsid w:val="003C123C"/>
    <w:rsid w:val="003C211B"/>
    <w:rsid w:val="003C2AF1"/>
    <w:rsid w:val="003D048E"/>
    <w:rsid w:val="003D3D0B"/>
    <w:rsid w:val="003D4BE8"/>
    <w:rsid w:val="003D62A0"/>
    <w:rsid w:val="003D7400"/>
    <w:rsid w:val="003D7576"/>
    <w:rsid w:val="003D7B33"/>
    <w:rsid w:val="003E3AF3"/>
    <w:rsid w:val="003E4387"/>
    <w:rsid w:val="003E7BCA"/>
    <w:rsid w:val="003F1564"/>
    <w:rsid w:val="003F19BE"/>
    <w:rsid w:val="003F5AE4"/>
    <w:rsid w:val="003F6186"/>
    <w:rsid w:val="003F7AB0"/>
    <w:rsid w:val="00410815"/>
    <w:rsid w:val="0041212D"/>
    <w:rsid w:val="00414B13"/>
    <w:rsid w:val="004228B0"/>
    <w:rsid w:val="00423186"/>
    <w:rsid w:val="00424481"/>
    <w:rsid w:val="00425641"/>
    <w:rsid w:val="004256BE"/>
    <w:rsid w:val="004353A9"/>
    <w:rsid w:val="00441819"/>
    <w:rsid w:val="00457E84"/>
    <w:rsid w:val="00463319"/>
    <w:rsid w:val="00466E77"/>
    <w:rsid w:val="00471C09"/>
    <w:rsid w:val="0047201C"/>
    <w:rsid w:val="00476E4B"/>
    <w:rsid w:val="004830D3"/>
    <w:rsid w:val="00485718"/>
    <w:rsid w:val="00487FC0"/>
    <w:rsid w:val="004915B8"/>
    <w:rsid w:val="004A04A0"/>
    <w:rsid w:val="004A118F"/>
    <w:rsid w:val="004A2249"/>
    <w:rsid w:val="004A74BE"/>
    <w:rsid w:val="004B0410"/>
    <w:rsid w:val="004B3839"/>
    <w:rsid w:val="004B5812"/>
    <w:rsid w:val="004C2994"/>
    <w:rsid w:val="004C4A0D"/>
    <w:rsid w:val="004D024D"/>
    <w:rsid w:val="004D21D8"/>
    <w:rsid w:val="004D5A80"/>
    <w:rsid w:val="004D7319"/>
    <w:rsid w:val="004E0B46"/>
    <w:rsid w:val="004E0D81"/>
    <w:rsid w:val="004E10FC"/>
    <w:rsid w:val="004E2927"/>
    <w:rsid w:val="004E29D9"/>
    <w:rsid w:val="004E3E22"/>
    <w:rsid w:val="004E6A6E"/>
    <w:rsid w:val="004F0858"/>
    <w:rsid w:val="004F51A2"/>
    <w:rsid w:val="00502DC7"/>
    <w:rsid w:val="0050324D"/>
    <w:rsid w:val="00505137"/>
    <w:rsid w:val="00507D98"/>
    <w:rsid w:val="00514807"/>
    <w:rsid w:val="00526FCA"/>
    <w:rsid w:val="0053109A"/>
    <w:rsid w:val="005321B3"/>
    <w:rsid w:val="00532802"/>
    <w:rsid w:val="00545032"/>
    <w:rsid w:val="00555EB7"/>
    <w:rsid w:val="00555ED1"/>
    <w:rsid w:val="00556E76"/>
    <w:rsid w:val="005629DF"/>
    <w:rsid w:val="00563686"/>
    <w:rsid w:val="005740CC"/>
    <w:rsid w:val="00584C18"/>
    <w:rsid w:val="00586BB1"/>
    <w:rsid w:val="00597AAC"/>
    <w:rsid w:val="005A16C6"/>
    <w:rsid w:val="005A287D"/>
    <w:rsid w:val="005A79CA"/>
    <w:rsid w:val="005A7F81"/>
    <w:rsid w:val="005B3616"/>
    <w:rsid w:val="005B7096"/>
    <w:rsid w:val="005B72DE"/>
    <w:rsid w:val="005C0545"/>
    <w:rsid w:val="005C3B9D"/>
    <w:rsid w:val="005D0FE3"/>
    <w:rsid w:val="005E15E8"/>
    <w:rsid w:val="005E23FA"/>
    <w:rsid w:val="005E3A24"/>
    <w:rsid w:val="005E636D"/>
    <w:rsid w:val="005E6FAC"/>
    <w:rsid w:val="005F1A45"/>
    <w:rsid w:val="005F6FBC"/>
    <w:rsid w:val="00601EE4"/>
    <w:rsid w:val="0060321D"/>
    <w:rsid w:val="00615BAD"/>
    <w:rsid w:val="00617CA3"/>
    <w:rsid w:val="00622DAE"/>
    <w:rsid w:val="00623807"/>
    <w:rsid w:val="00624315"/>
    <w:rsid w:val="006265C3"/>
    <w:rsid w:val="00640A10"/>
    <w:rsid w:val="006423AA"/>
    <w:rsid w:val="00654DE8"/>
    <w:rsid w:val="00665B5E"/>
    <w:rsid w:val="006728FC"/>
    <w:rsid w:val="00675164"/>
    <w:rsid w:val="00675D13"/>
    <w:rsid w:val="00676DB9"/>
    <w:rsid w:val="006773DE"/>
    <w:rsid w:val="0068401D"/>
    <w:rsid w:val="00687D8B"/>
    <w:rsid w:val="006A1753"/>
    <w:rsid w:val="006A210B"/>
    <w:rsid w:val="006A449F"/>
    <w:rsid w:val="006A605C"/>
    <w:rsid w:val="006B2188"/>
    <w:rsid w:val="006B397F"/>
    <w:rsid w:val="006B589A"/>
    <w:rsid w:val="006C2FBE"/>
    <w:rsid w:val="006C415F"/>
    <w:rsid w:val="006C5B7A"/>
    <w:rsid w:val="006C5EF9"/>
    <w:rsid w:val="006D0F32"/>
    <w:rsid w:val="006D1D62"/>
    <w:rsid w:val="006D3F53"/>
    <w:rsid w:val="006E0A9C"/>
    <w:rsid w:val="006E1B0F"/>
    <w:rsid w:val="006E25C4"/>
    <w:rsid w:val="006E2864"/>
    <w:rsid w:val="006E2F50"/>
    <w:rsid w:val="006F42C2"/>
    <w:rsid w:val="0070223F"/>
    <w:rsid w:val="00702F32"/>
    <w:rsid w:val="00710F8D"/>
    <w:rsid w:val="00716FDE"/>
    <w:rsid w:val="007239BD"/>
    <w:rsid w:val="007257CC"/>
    <w:rsid w:val="00725FE6"/>
    <w:rsid w:val="0072789C"/>
    <w:rsid w:val="00730B1D"/>
    <w:rsid w:val="00741B51"/>
    <w:rsid w:val="00741DDD"/>
    <w:rsid w:val="00750FDE"/>
    <w:rsid w:val="007573A3"/>
    <w:rsid w:val="0077136F"/>
    <w:rsid w:val="00773BEA"/>
    <w:rsid w:val="00785C2B"/>
    <w:rsid w:val="00786ACD"/>
    <w:rsid w:val="00787B8E"/>
    <w:rsid w:val="007907D6"/>
    <w:rsid w:val="00791728"/>
    <w:rsid w:val="0079700B"/>
    <w:rsid w:val="00797A45"/>
    <w:rsid w:val="007A0C27"/>
    <w:rsid w:val="007A2629"/>
    <w:rsid w:val="007B0C9C"/>
    <w:rsid w:val="007B12EE"/>
    <w:rsid w:val="007B35C4"/>
    <w:rsid w:val="007B6575"/>
    <w:rsid w:val="007C0FE4"/>
    <w:rsid w:val="007D4E73"/>
    <w:rsid w:val="007D6349"/>
    <w:rsid w:val="007E1968"/>
    <w:rsid w:val="007E2DE2"/>
    <w:rsid w:val="007E3743"/>
    <w:rsid w:val="007E3C85"/>
    <w:rsid w:val="007E521E"/>
    <w:rsid w:val="007E59DC"/>
    <w:rsid w:val="007F0B18"/>
    <w:rsid w:val="007F419C"/>
    <w:rsid w:val="007F7DBC"/>
    <w:rsid w:val="00800812"/>
    <w:rsid w:val="00803C6B"/>
    <w:rsid w:val="008043FB"/>
    <w:rsid w:val="008059B3"/>
    <w:rsid w:val="008077A0"/>
    <w:rsid w:val="00815822"/>
    <w:rsid w:val="00817428"/>
    <w:rsid w:val="008204D1"/>
    <w:rsid w:val="008264AD"/>
    <w:rsid w:val="008279D3"/>
    <w:rsid w:val="00830F1F"/>
    <w:rsid w:val="00834C87"/>
    <w:rsid w:val="00835D16"/>
    <w:rsid w:val="008366FA"/>
    <w:rsid w:val="00843743"/>
    <w:rsid w:val="00845369"/>
    <w:rsid w:val="0084555E"/>
    <w:rsid w:val="00846F18"/>
    <w:rsid w:val="008472DD"/>
    <w:rsid w:val="008514DB"/>
    <w:rsid w:val="008515BA"/>
    <w:rsid w:val="00853959"/>
    <w:rsid w:val="00857066"/>
    <w:rsid w:val="00870146"/>
    <w:rsid w:val="008754A9"/>
    <w:rsid w:val="00876407"/>
    <w:rsid w:val="008771C1"/>
    <w:rsid w:val="00882911"/>
    <w:rsid w:val="0088536E"/>
    <w:rsid w:val="00885E10"/>
    <w:rsid w:val="00886843"/>
    <w:rsid w:val="00890794"/>
    <w:rsid w:val="00891936"/>
    <w:rsid w:val="0089200E"/>
    <w:rsid w:val="008931F4"/>
    <w:rsid w:val="008954A0"/>
    <w:rsid w:val="00895BE7"/>
    <w:rsid w:val="008A26B5"/>
    <w:rsid w:val="008A3195"/>
    <w:rsid w:val="008A5A71"/>
    <w:rsid w:val="008A6E61"/>
    <w:rsid w:val="008B7972"/>
    <w:rsid w:val="008C0592"/>
    <w:rsid w:val="008C57C2"/>
    <w:rsid w:val="008C6CFC"/>
    <w:rsid w:val="008C72BE"/>
    <w:rsid w:val="008D4FAE"/>
    <w:rsid w:val="008D67EC"/>
    <w:rsid w:val="008E6A10"/>
    <w:rsid w:val="008E7FE0"/>
    <w:rsid w:val="008F119F"/>
    <w:rsid w:val="00912BA3"/>
    <w:rsid w:val="009176FA"/>
    <w:rsid w:val="009226B4"/>
    <w:rsid w:val="00924141"/>
    <w:rsid w:val="0093042E"/>
    <w:rsid w:val="00931EFA"/>
    <w:rsid w:val="00937EA8"/>
    <w:rsid w:val="0094051B"/>
    <w:rsid w:val="009479C5"/>
    <w:rsid w:val="009642F0"/>
    <w:rsid w:val="00966FFA"/>
    <w:rsid w:val="00971505"/>
    <w:rsid w:val="009725EF"/>
    <w:rsid w:val="009751FD"/>
    <w:rsid w:val="009777D0"/>
    <w:rsid w:val="00980501"/>
    <w:rsid w:val="00981139"/>
    <w:rsid w:val="009839D5"/>
    <w:rsid w:val="00990953"/>
    <w:rsid w:val="009957C5"/>
    <w:rsid w:val="009A4BBD"/>
    <w:rsid w:val="009B2BF6"/>
    <w:rsid w:val="009C1CF4"/>
    <w:rsid w:val="009C1DFF"/>
    <w:rsid w:val="009D36C0"/>
    <w:rsid w:val="009D4166"/>
    <w:rsid w:val="009D668F"/>
    <w:rsid w:val="009E367D"/>
    <w:rsid w:val="009F0CDE"/>
    <w:rsid w:val="009F3E5B"/>
    <w:rsid w:val="00A10311"/>
    <w:rsid w:val="00A1180F"/>
    <w:rsid w:val="00A12348"/>
    <w:rsid w:val="00A1578C"/>
    <w:rsid w:val="00A23D9C"/>
    <w:rsid w:val="00A30446"/>
    <w:rsid w:val="00A31C59"/>
    <w:rsid w:val="00A37124"/>
    <w:rsid w:val="00A43548"/>
    <w:rsid w:val="00A46D53"/>
    <w:rsid w:val="00A54C91"/>
    <w:rsid w:val="00A60CE4"/>
    <w:rsid w:val="00A63B1B"/>
    <w:rsid w:val="00A6436E"/>
    <w:rsid w:val="00A6629D"/>
    <w:rsid w:val="00A67763"/>
    <w:rsid w:val="00A67AE5"/>
    <w:rsid w:val="00A725DD"/>
    <w:rsid w:val="00A82DA8"/>
    <w:rsid w:val="00A900DE"/>
    <w:rsid w:val="00A907C3"/>
    <w:rsid w:val="00A95F35"/>
    <w:rsid w:val="00A97887"/>
    <w:rsid w:val="00AA2BFB"/>
    <w:rsid w:val="00AA7ADA"/>
    <w:rsid w:val="00AB6876"/>
    <w:rsid w:val="00AC1AA0"/>
    <w:rsid w:val="00AC49CB"/>
    <w:rsid w:val="00AC564D"/>
    <w:rsid w:val="00AD4D2C"/>
    <w:rsid w:val="00AD5C40"/>
    <w:rsid w:val="00AE0916"/>
    <w:rsid w:val="00AE380E"/>
    <w:rsid w:val="00AE3F6A"/>
    <w:rsid w:val="00AE6CA4"/>
    <w:rsid w:val="00AF6A5A"/>
    <w:rsid w:val="00B01D71"/>
    <w:rsid w:val="00B030A3"/>
    <w:rsid w:val="00B07C1E"/>
    <w:rsid w:val="00B11221"/>
    <w:rsid w:val="00B130EC"/>
    <w:rsid w:val="00B13FA4"/>
    <w:rsid w:val="00B31D15"/>
    <w:rsid w:val="00B4013C"/>
    <w:rsid w:val="00B43DAE"/>
    <w:rsid w:val="00B51855"/>
    <w:rsid w:val="00B642B2"/>
    <w:rsid w:val="00B66CB8"/>
    <w:rsid w:val="00B72085"/>
    <w:rsid w:val="00B720A6"/>
    <w:rsid w:val="00B72914"/>
    <w:rsid w:val="00B7356E"/>
    <w:rsid w:val="00B73EBD"/>
    <w:rsid w:val="00B76CBE"/>
    <w:rsid w:val="00B76E7B"/>
    <w:rsid w:val="00B8586B"/>
    <w:rsid w:val="00B90BF6"/>
    <w:rsid w:val="00BA0102"/>
    <w:rsid w:val="00BA13EB"/>
    <w:rsid w:val="00BA5A96"/>
    <w:rsid w:val="00BA6035"/>
    <w:rsid w:val="00BA7E52"/>
    <w:rsid w:val="00BB01D8"/>
    <w:rsid w:val="00BB4199"/>
    <w:rsid w:val="00BB4370"/>
    <w:rsid w:val="00BC7CA8"/>
    <w:rsid w:val="00BD1671"/>
    <w:rsid w:val="00BD234A"/>
    <w:rsid w:val="00BD255E"/>
    <w:rsid w:val="00BD3103"/>
    <w:rsid w:val="00BE44D3"/>
    <w:rsid w:val="00BE676D"/>
    <w:rsid w:val="00BE6844"/>
    <w:rsid w:val="00BF1452"/>
    <w:rsid w:val="00BF1743"/>
    <w:rsid w:val="00BF2497"/>
    <w:rsid w:val="00BF2B06"/>
    <w:rsid w:val="00BF5483"/>
    <w:rsid w:val="00C02D7A"/>
    <w:rsid w:val="00C035C1"/>
    <w:rsid w:val="00C03C36"/>
    <w:rsid w:val="00C04D54"/>
    <w:rsid w:val="00C128F8"/>
    <w:rsid w:val="00C21D16"/>
    <w:rsid w:val="00C21F28"/>
    <w:rsid w:val="00C22BFF"/>
    <w:rsid w:val="00C24C3C"/>
    <w:rsid w:val="00C269B0"/>
    <w:rsid w:val="00C33333"/>
    <w:rsid w:val="00C33762"/>
    <w:rsid w:val="00C404C5"/>
    <w:rsid w:val="00C40A7E"/>
    <w:rsid w:val="00C42710"/>
    <w:rsid w:val="00C51387"/>
    <w:rsid w:val="00C6016B"/>
    <w:rsid w:val="00C60BA7"/>
    <w:rsid w:val="00C8027B"/>
    <w:rsid w:val="00C8098B"/>
    <w:rsid w:val="00C817E5"/>
    <w:rsid w:val="00C87BB8"/>
    <w:rsid w:val="00C901E1"/>
    <w:rsid w:val="00CA18B3"/>
    <w:rsid w:val="00CA1CF0"/>
    <w:rsid w:val="00CA4568"/>
    <w:rsid w:val="00CB3A98"/>
    <w:rsid w:val="00CB4423"/>
    <w:rsid w:val="00CC513B"/>
    <w:rsid w:val="00CD7CDE"/>
    <w:rsid w:val="00CE333B"/>
    <w:rsid w:val="00CE3F73"/>
    <w:rsid w:val="00CF0324"/>
    <w:rsid w:val="00CF1D9D"/>
    <w:rsid w:val="00CF3278"/>
    <w:rsid w:val="00D028D2"/>
    <w:rsid w:val="00D066D1"/>
    <w:rsid w:val="00D17A09"/>
    <w:rsid w:val="00D2199E"/>
    <w:rsid w:val="00D2261B"/>
    <w:rsid w:val="00D22EF5"/>
    <w:rsid w:val="00D2594F"/>
    <w:rsid w:val="00D26584"/>
    <w:rsid w:val="00D269BC"/>
    <w:rsid w:val="00D30289"/>
    <w:rsid w:val="00D314FB"/>
    <w:rsid w:val="00D44EC3"/>
    <w:rsid w:val="00D459A9"/>
    <w:rsid w:val="00D57392"/>
    <w:rsid w:val="00D609D4"/>
    <w:rsid w:val="00D7626E"/>
    <w:rsid w:val="00D82A55"/>
    <w:rsid w:val="00D8311D"/>
    <w:rsid w:val="00D85923"/>
    <w:rsid w:val="00D9646D"/>
    <w:rsid w:val="00DA148F"/>
    <w:rsid w:val="00DA1EBC"/>
    <w:rsid w:val="00DB06E8"/>
    <w:rsid w:val="00DB0F18"/>
    <w:rsid w:val="00DB4401"/>
    <w:rsid w:val="00DC3B03"/>
    <w:rsid w:val="00DD208D"/>
    <w:rsid w:val="00DD3D5A"/>
    <w:rsid w:val="00DE34AF"/>
    <w:rsid w:val="00DF240A"/>
    <w:rsid w:val="00DF66CC"/>
    <w:rsid w:val="00DF6EF7"/>
    <w:rsid w:val="00E0315F"/>
    <w:rsid w:val="00E0341B"/>
    <w:rsid w:val="00E06349"/>
    <w:rsid w:val="00E12E9D"/>
    <w:rsid w:val="00E13287"/>
    <w:rsid w:val="00E13DB5"/>
    <w:rsid w:val="00E20BA1"/>
    <w:rsid w:val="00E223E8"/>
    <w:rsid w:val="00E2455B"/>
    <w:rsid w:val="00E35B55"/>
    <w:rsid w:val="00E35E90"/>
    <w:rsid w:val="00E454E1"/>
    <w:rsid w:val="00E47C0D"/>
    <w:rsid w:val="00E55C9F"/>
    <w:rsid w:val="00E57BC5"/>
    <w:rsid w:val="00E637F4"/>
    <w:rsid w:val="00E70518"/>
    <w:rsid w:val="00E7392E"/>
    <w:rsid w:val="00E86DE4"/>
    <w:rsid w:val="00E875BD"/>
    <w:rsid w:val="00E9320D"/>
    <w:rsid w:val="00E9389A"/>
    <w:rsid w:val="00EA1864"/>
    <w:rsid w:val="00EA36B3"/>
    <w:rsid w:val="00EA5660"/>
    <w:rsid w:val="00EA5BEA"/>
    <w:rsid w:val="00EA6286"/>
    <w:rsid w:val="00EA6992"/>
    <w:rsid w:val="00EB4249"/>
    <w:rsid w:val="00EB4525"/>
    <w:rsid w:val="00EC0042"/>
    <w:rsid w:val="00EC0BC8"/>
    <w:rsid w:val="00EC0BC9"/>
    <w:rsid w:val="00EC1459"/>
    <w:rsid w:val="00ED661B"/>
    <w:rsid w:val="00EE07FA"/>
    <w:rsid w:val="00EE628D"/>
    <w:rsid w:val="00EE7EBF"/>
    <w:rsid w:val="00EF5FD9"/>
    <w:rsid w:val="00EF623E"/>
    <w:rsid w:val="00F03B52"/>
    <w:rsid w:val="00F03C02"/>
    <w:rsid w:val="00F05BB0"/>
    <w:rsid w:val="00F0691D"/>
    <w:rsid w:val="00F20BC8"/>
    <w:rsid w:val="00F27594"/>
    <w:rsid w:val="00F320CC"/>
    <w:rsid w:val="00F32E03"/>
    <w:rsid w:val="00F42060"/>
    <w:rsid w:val="00F44F9C"/>
    <w:rsid w:val="00F457CC"/>
    <w:rsid w:val="00F47155"/>
    <w:rsid w:val="00F476D7"/>
    <w:rsid w:val="00F50285"/>
    <w:rsid w:val="00F51058"/>
    <w:rsid w:val="00F5799C"/>
    <w:rsid w:val="00F604B0"/>
    <w:rsid w:val="00F72ACA"/>
    <w:rsid w:val="00F7309A"/>
    <w:rsid w:val="00F76889"/>
    <w:rsid w:val="00F83A48"/>
    <w:rsid w:val="00F83E2B"/>
    <w:rsid w:val="00F91DD8"/>
    <w:rsid w:val="00FA7744"/>
    <w:rsid w:val="00FB002C"/>
    <w:rsid w:val="00FB2A83"/>
    <w:rsid w:val="00FB3B69"/>
    <w:rsid w:val="00FB656C"/>
    <w:rsid w:val="00FB6D61"/>
    <w:rsid w:val="00FC20B7"/>
    <w:rsid w:val="00FC3996"/>
    <w:rsid w:val="00FD4A7A"/>
    <w:rsid w:val="00FE2660"/>
    <w:rsid w:val="00FE4C2C"/>
    <w:rsid w:val="00FF586C"/>
    <w:rsid w:val="00FF5EBD"/>
    <w:rsid w:val="00FF66D1"/>
    <w:rsid w:val="01021094"/>
    <w:rsid w:val="016C74A8"/>
    <w:rsid w:val="016D7723"/>
    <w:rsid w:val="01805223"/>
    <w:rsid w:val="01CA0B33"/>
    <w:rsid w:val="01D95951"/>
    <w:rsid w:val="01EA4C52"/>
    <w:rsid w:val="01FB48A4"/>
    <w:rsid w:val="027D5C40"/>
    <w:rsid w:val="02B14781"/>
    <w:rsid w:val="03F40B0B"/>
    <w:rsid w:val="04082143"/>
    <w:rsid w:val="041E263F"/>
    <w:rsid w:val="046554F3"/>
    <w:rsid w:val="0469763D"/>
    <w:rsid w:val="04F50394"/>
    <w:rsid w:val="051C342F"/>
    <w:rsid w:val="05493B23"/>
    <w:rsid w:val="05A434F1"/>
    <w:rsid w:val="06256BCF"/>
    <w:rsid w:val="064E06A4"/>
    <w:rsid w:val="067B48EA"/>
    <w:rsid w:val="069738E4"/>
    <w:rsid w:val="06B07C4D"/>
    <w:rsid w:val="06B465B7"/>
    <w:rsid w:val="06B569B6"/>
    <w:rsid w:val="06ED3B1C"/>
    <w:rsid w:val="07927A80"/>
    <w:rsid w:val="07AF43E8"/>
    <w:rsid w:val="07C85B93"/>
    <w:rsid w:val="07D151AA"/>
    <w:rsid w:val="07ED3417"/>
    <w:rsid w:val="08027BA7"/>
    <w:rsid w:val="08474605"/>
    <w:rsid w:val="085379A4"/>
    <w:rsid w:val="088515D5"/>
    <w:rsid w:val="08C605E0"/>
    <w:rsid w:val="08CC3F42"/>
    <w:rsid w:val="08F23321"/>
    <w:rsid w:val="09076062"/>
    <w:rsid w:val="097D6558"/>
    <w:rsid w:val="09D328AF"/>
    <w:rsid w:val="09FE3852"/>
    <w:rsid w:val="0A1447F7"/>
    <w:rsid w:val="0A9B62DE"/>
    <w:rsid w:val="0AA150CD"/>
    <w:rsid w:val="0AB87521"/>
    <w:rsid w:val="0AD53E7E"/>
    <w:rsid w:val="0AD8497F"/>
    <w:rsid w:val="0B37005B"/>
    <w:rsid w:val="0B690133"/>
    <w:rsid w:val="0B7D34FB"/>
    <w:rsid w:val="0C080AD5"/>
    <w:rsid w:val="0C132F61"/>
    <w:rsid w:val="0C3D6E6B"/>
    <w:rsid w:val="0C5937D4"/>
    <w:rsid w:val="0CB36150"/>
    <w:rsid w:val="0CF5549F"/>
    <w:rsid w:val="0D193396"/>
    <w:rsid w:val="0DB12D96"/>
    <w:rsid w:val="0E076386"/>
    <w:rsid w:val="0E660C05"/>
    <w:rsid w:val="0F35547F"/>
    <w:rsid w:val="0F55458E"/>
    <w:rsid w:val="0FBE719D"/>
    <w:rsid w:val="0FFF5595"/>
    <w:rsid w:val="11073F19"/>
    <w:rsid w:val="117A3601"/>
    <w:rsid w:val="117C6435"/>
    <w:rsid w:val="11920FEA"/>
    <w:rsid w:val="11AD1FFA"/>
    <w:rsid w:val="11D4745D"/>
    <w:rsid w:val="120D6101"/>
    <w:rsid w:val="12317617"/>
    <w:rsid w:val="124144E7"/>
    <w:rsid w:val="12A92D39"/>
    <w:rsid w:val="12B72BFB"/>
    <w:rsid w:val="12D45631"/>
    <w:rsid w:val="12D803B6"/>
    <w:rsid w:val="12E623B1"/>
    <w:rsid w:val="12F33049"/>
    <w:rsid w:val="13212EF5"/>
    <w:rsid w:val="13F143E8"/>
    <w:rsid w:val="141A7E92"/>
    <w:rsid w:val="144022FA"/>
    <w:rsid w:val="14AF764B"/>
    <w:rsid w:val="14BD2D29"/>
    <w:rsid w:val="15360084"/>
    <w:rsid w:val="157C0486"/>
    <w:rsid w:val="15986862"/>
    <w:rsid w:val="15A33CB4"/>
    <w:rsid w:val="15FC5139"/>
    <w:rsid w:val="161103F3"/>
    <w:rsid w:val="16674F83"/>
    <w:rsid w:val="1675368F"/>
    <w:rsid w:val="16855EF5"/>
    <w:rsid w:val="169C15F6"/>
    <w:rsid w:val="182F15F3"/>
    <w:rsid w:val="18BD0D8B"/>
    <w:rsid w:val="18F60BE4"/>
    <w:rsid w:val="190D6541"/>
    <w:rsid w:val="191401B2"/>
    <w:rsid w:val="191B2775"/>
    <w:rsid w:val="19246166"/>
    <w:rsid w:val="197267FA"/>
    <w:rsid w:val="19AD4290"/>
    <w:rsid w:val="19BC4972"/>
    <w:rsid w:val="19FB4549"/>
    <w:rsid w:val="1A5711F3"/>
    <w:rsid w:val="1A77355B"/>
    <w:rsid w:val="1A942A37"/>
    <w:rsid w:val="1AAE00D3"/>
    <w:rsid w:val="1BA56F67"/>
    <w:rsid w:val="1C614829"/>
    <w:rsid w:val="1CA76040"/>
    <w:rsid w:val="1CD3743B"/>
    <w:rsid w:val="1CDA5CA5"/>
    <w:rsid w:val="1CE07536"/>
    <w:rsid w:val="1D372595"/>
    <w:rsid w:val="1D6C62F0"/>
    <w:rsid w:val="1DAD27D8"/>
    <w:rsid w:val="1DDB572A"/>
    <w:rsid w:val="1E064063"/>
    <w:rsid w:val="1E104896"/>
    <w:rsid w:val="1E2C13C1"/>
    <w:rsid w:val="1E3E6FBF"/>
    <w:rsid w:val="1EA21FA7"/>
    <w:rsid w:val="1EBF6BBB"/>
    <w:rsid w:val="1ED35B41"/>
    <w:rsid w:val="1EE85FCC"/>
    <w:rsid w:val="1FA2250E"/>
    <w:rsid w:val="1FC50A0D"/>
    <w:rsid w:val="1FD368D8"/>
    <w:rsid w:val="1FF07FDC"/>
    <w:rsid w:val="2049507A"/>
    <w:rsid w:val="20592BAC"/>
    <w:rsid w:val="205D3825"/>
    <w:rsid w:val="209D2C18"/>
    <w:rsid w:val="20A24EE7"/>
    <w:rsid w:val="20A502E1"/>
    <w:rsid w:val="20CE4219"/>
    <w:rsid w:val="212D579A"/>
    <w:rsid w:val="214976C0"/>
    <w:rsid w:val="21524CBD"/>
    <w:rsid w:val="215C491E"/>
    <w:rsid w:val="21AE07DF"/>
    <w:rsid w:val="21D95588"/>
    <w:rsid w:val="221D7711"/>
    <w:rsid w:val="225A33A0"/>
    <w:rsid w:val="22614E71"/>
    <w:rsid w:val="227D52A3"/>
    <w:rsid w:val="22A90AFD"/>
    <w:rsid w:val="22AB3BEB"/>
    <w:rsid w:val="22C94C2C"/>
    <w:rsid w:val="22D7460F"/>
    <w:rsid w:val="22E850AE"/>
    <w:rsid w:val="230D433C"/>
    <w:rsid w:val="232E5022"/>
    <w:rsid w:val="236164A0"/>
    <w:rsid w:val="239D4C64"/>
    <w:rsid w:val="23BC5492"/>
    <w:rsid w:val="23D4786E"/>
    <w:rsid w:val="23FE3057"/>
    <w:rsid w:val="243811EA"/>
    <w:rsid w:val="24620B34"/>
    <w:rsid w:val="249A178C"/>
    <w:rsid w:val="24A51FCA"/>
    <w:rsid w:val="24DB51E1"/>
    <w:rsid w:val="24F83518"/>
    <w:rsid w:val="25450F9C"/>
    <w:rsid w:val="25536518"/>
    <w:rsid w:val="25824282"/>
    <w:rsid w:val="25C30591"/>
    <w:rsid w:val="260B3695"/>
    <w:rsid w:val="263621D9"/>
    <w:rsid w:val="26744954"/>
    <w:rsid w:val="267A34D0"/>
    <w:rsid w:val="27004CA0"/>
    <w:rsid w:val="272146F0"/>
    <w:rsid w:val="273300AF"/>
    <w:rsid w:val="27BD18F4"/>
    <w:rsid w:val="28450363"/>
    <w:rsid w:val="28652BCB"/>
    <w:rsid w:val="28B40E89"/>
    <w:rsid w:val="29055BE8"/>
    <w:rsid w:val="293A353A"/>
    <w:rsid w:val="294A0F9B"/>
    <w:rsid w:val="29B94821"/>
    <w:rsid w:val="2A0305DE"/>
    <w:rsid w:val="2A811E1E"/>
    <w:rsid w:val="2A825C24"/>
    <w:rsid w:val="2A9A558F"/>
    <w:rsid w:val="2AE943C7"/>
    <w:rsid w:val="2AF177F9"/>
    <w:rsid w:val="2B2239E9"/>
    <w:rsid w:val="2B407425"/>
    <w:rsid w:val="2BC707B3"/>
    <w:rsid w:val="2BD934FD"/>
    <w:rsid w:val="2C4F21F7"/>
    <w:rsid w:val="2CB12996"/>
    <w:rsid w:val="2CFC1CC4"/>
    <w:rsid w:val="2D331690"/>
    <w:rsid w:val="2D8C697F"/>
    <w:rsid w:val="2DB27268"/>
    <w:rsid w:val="2DDD086A"/>
    <w:rsid w:val="2E3778B9"/>
    <w:rsid w:val="2E7A61E1"/>
    <w:rsid w:val="2E936D1A"/>
    <w:rsid w:val="2E9C72D5"/>
    <w:rsid w:val="2EB90887"/>
    <w:rsid w:val="2EC13FA8"/>
    <w:rsid w:val="2F0C6C63"/>
    <w:rsid w:val="2F6A3C0F"/>
    <w:rsid w:val="2F833390"/>
    <w:rsid w:val="2F863BF1"/>
    <w:rsid w:val="2FD75727"/>
    <w:rsid w:val="2FF335CC"/>
    <w:rsid w:val="300D7CBA"/>
    <w:rsid w:val="306F722C"/>
    <w:rsid w:val="30710B10"/>
    <w:rsid w:val="30883624"/>
    <w:rsid w:val="312373BE"/>
    <w:rsid w:val="318A630B"/>
    <w:rsid w:val="31943EFE"/>
    <w:rsid w:val="31FB0EA1"/>
    <w:rsid w:val="322D3BD0"/>
    <w:rsid w:val="324374BB"/>
    <w:rsid w:val="32552CA4"/>
    <w:rsid w:val="325B3B5B"/>
    <w:rsid w:val="326D276E"/>
    <w:rsid w:val="327F73FC"/>
    <w:rsid w:val="32933F66"/>
    <w:rsid w:val="32A606E6"/>
    <w:rsid w:val="331C2212"/>
    <w:rsid w:val="33243F85"/>
    <w:rsid w:val="33922C82"/>
    <w:rsid w:val="3398324B"/>
    <w:rsid w:val="339D29C1"/>
    <w:rsid w:val="34BA5625"/>
    <w:rsid w:val="34BD2A27"/>
    <w:rsid w:val="34DB6175"/>
    <w:rsid w:val="34F9204F"/>
    <w:rsid w:val="35F23F4E"/>
    <w:rsid w:val="35F64042"/>
    <w:rsid w:val="362F3F71"/>
    <w:rsid w:val="36764892"/>
    <w:rsid w:val="36896F37"/>
    <w:rsid w:val="36D80A45"/>
    <w:rsid w:val="37502835"/>
    <w:rsid w:val="375C3D81"/>
    <w:rsid w:val="378C0BB9"/>
    <w:rsid w:val="37D12FD5"/>
    <w:rsid w:val="37E140C6"/>
    <w:rsid w:val="3812452E"/>
    <w:rsid w:val="38446FE8"/>
    <w:rsid w:val="386016CA"/>
    <w:rsid w:val="38664C27"/>
    <w:rsid w:val="38881470"/>
    <w:rsid w:val="389163B8"/>
    <w:rsid w:val="38A020FB"/>
    <w:rsid w:val="38A968F5"/>
    <w:rsid w:val="38B01A5E"/>
    <w:rsid w:val="38C211EC"/>
    <w:rsid w:val="38DB4914"/>
    <w:rsid w:val="38F613A5"/>
    <w:rsid w:val="391263E7"/>
    <w:rsid w:val="398C3DFF"/>
    <w:rsid w:val="39D553ED"/>
    <w:rsid w:val="3A342EF5"/>
    <w:rsid w:val="3A3C74D7"/>
    <w:rsid w:val="3A784CF1"/>
    <w:rsid w:val="3AAE727E"/>
    <w:rsid w:val="3B0E43DD"/>
    <w:rsid w:val="3B9E6B4C"/>
    <w:rsid w:val="3BF83840"/>
    <w:rsid w:val="3C012C74"/>
    <w:rsid w:val="3C2D137C"/>
    <w:rsid w:val="3C337289"/>
    <w:rsid w:val="3C3417D1"/>
    <w:rsid w:val="3C392377"/>
    <w:rsid w:val="3CB65091"/>
    <w:rsid w:val="3CBB00A5"/>
    <w:rsid w:val="3CC44DE0"/>
    <w:rsid w:val="3D2A6DFA"/>
    <w:rsid w:val="3D4D2F00"/>
    <w:rsid w:val="3DB40CB8"/>
    <w:rsid w:val="3DC4050A"/>
    <w:rsid w:val="3E282C82"/>
    <w:rsid w:val="3E3E07E3"/>
    <w:rsid w:val="3EA67D5F"/>
    <w:rsid w:val="3EDD07A8"/>
    <w:rsid w:val="3EFD1D40"/>
    <w:rsid w:val="3F0F09D8"/>
    <w:rsid w:val="3F5150C5"/>
    <w:rsid w:val="3F7C7EBE"/>
    <w:rsid w:val="3FD41FB6"/>
    <w:rsid w:val="3FE960BF"/>
    <w:rsid w:val="3FFC0393"/>
    <w:rsid w:val="400C0149"/>
    <w:rsid w:val="412443FB"/>
    <w:rsid w:val="415A7CB2"/>
    <w:rsid w:val="41765975"/>
    <w:rsid w:val="41BC1C9B"/>
    <w:rsid w:val="421E2958"/>
    <w:rsid w:val="425C4FB1"/>
    <w:rsid w:val="42C245E4"/>
    <w:rsid w:val="42C95E08"/>
    <w:rsid w:val="43363701"/>
    <w:rsid w:val="433F6DD1"/>
    <w:rsid w:val="43400D1A"/>
    <w:rsid w:val="43A0304D"/>
    <w:rsid w:val="43E541AC"/>
    <w:rsid w:val="444A1F0B"/>
    <w:rsid w:val="44561E0F"/>
    <w:rsid w:val="446F65AC"/>
    <w:rsid w:val="44926D5D"/>
    <w:rsid w:val="44B07254"/>
    <w:rsid w:val="44BE0921"/>
    <w:rsid w:val="44D03153"/>
    <w:rsid w:val="44F87EAD"/>
    <w:rsid w:val="45053F4D"/>
    <w:rsid w:val="453B3274"/>
    <w:rsid w:val="45534EA2"/>
    <w:rsid w:val="455D44EC"/>
    <w:rsid w:val="461F306C"/>
    <w:rsid w:val="46416C29"/>
    <w:rsid w:val="46864226"/>
    <w:rsid w:val="472B2D94"/>
    <w:rsid w:val="47441BF2"/>
    <w:rsid w:val="478F25B4"/>
    <w:rsid w:val="47D83900"/>
    <w:rsid w:val="485023CA"/>
    <w:rsid w:val="48D53F0A"/>
    <w:rsid w:val="492C2BE3"/>
    <w:rsid w:val="497173A6"/>
    <w:rsid w:val="499E0BD7"/>
    <w:rsid w:val="49A52363"/>
    <w:rsid w:val="49E307DA"/>
    <w:rsid w:val="4A0B3732"/>
    <w:rsid w:val="4A122160"/>
    <w:rsid w:val="4A5F7D81"/>
    <w:rsid w:val="4AAC4B68"/>
    <w:rsid w:val="4B1F4BF8"/>
    <w:rsid w:val="4B88775A"/>
    <w:rsid w:val="4BAE4EA6"/>
    <w:rsid w:val="4BC444AE"/>
    <w:rsid w:val="4BEB703E"/>
    <w:rsid w:val="4BEF50DC"/>
    <w:rsid w:val="4C181498"/>
    <w:rsid w:val="4C537959"/>
    <w:rsid w:val="4C725EAD"/>
    <w:rsid w:val="4C9C53DC"/>
    <w:rsid w:val="4CDE0F1B"/>
    <w:rsid w:val="4D52311A"/>
    <w:rsid w:val="4D816CB1"/>
    <w:rsid w:val="4DAD1720"/>
    <w:rsid w:val="4DC43694"/>
    <w:rsid w:val="4E185162"/>
    <w:rsid w:val="4E3C15DA"/>
    <w:rsid w:val="4ECC1E2C"/>
    <w:rsid w:val="4F0631A5"/>
    <w:rsid w:val="4F433E4B"/>
    <w:rsid w:val="4FA86F97"/>
    <w:rsid w:val="50335E7A"/>
    <w:rsid w:val="507C3513"/>
    <w:rsid w:val="50917265"/>
    <w:rsid w:val="50BE5ADC"/>
    <w:rsid w:val="51190719"/>
    <w:rsid w:val="513975A4"/>
    <w:rsid w:val="51411F75"/>
    <w:rsid w:val="5165628A"/>
    <w:rsid w:val="517B2984"/>
    <w:rsid w:val="518C2F88"/>
    <w:rsid w:val="52607FF9"/>
    <w:rsid w:val="53294953"/>
    <w:rsid w:val="533D2DF7"/>
    <w:rsid w:val="53511928"/>
    <w:rsid w:val="536F7C48"/>
    <w:rsid w:val="539C1AE3"/>
    <w:rsid w:val="53B92684"/>
    <w:rsid w:val="53CC0BBB"/>
    <w:rsid w:val="53E779DA"/>
    <w:rsid w:val="53F4642B"/>
    <w:rsid w:val="54D21D02"/>
    <w:rsid w:val="54F62570"/>
    <w:rsid w:val="54F9273C"/>
    <w:rsid w:val="552C1044"/>
    <w:rsid w:val="55710E9E"/>
    <w:rsid w:val="557334DB"/>
    <w:rsid w:val="558926D2"/>
    <w:rsid w:val="55977CC9"/>
    <w:rsid w:val="55A0415C"/>
    <w:rsid w:val="55EF0851"/>
    <w:rsid w:val="55F1064B"/>
    <w:rsid w:val="563C4F40"/>
    <w:rsid w:val="569B7587"/>
    <w:rsid w:val="56B4452B"/>
    <w:rsid w:val="56B525A0"/>
    <w:rsid w:val="56EC3232"/>
    <w:rsid w:val="57255927"/>
    <w:rsid w:val="5758355C"/>
    <w:rsid w:val="57751F04"/>
    <w:rsid w:val="577669A3"/>
    <w:rsid w:val="5788776F"/>
    <w:rsid w:val="57D4062C"/>
    <w:rsid w:val="57E76309"/>
    <w:rsid w:val="57F17E20"/>
    <w:rsid w:val="585B5117"/>
    <w:rsid w:val="594B6B72"/>
    <w:rsid w:val="59583A4A"/>
    <w:rsid w:val="595F7B1C"/>
    <w:rsid w:val="59A42B4E"/>
    <w:rsid w:val="59FC2D73"/>
    <w:rsid w:val="5A080741"/>
    <w:rsid w:val="5A0B13F3"/>
    <w:rsid w:val="5A0F2366"/>
    <w:rsid w:val="5A1C6830"/>
    <w:rsid w:val="5A291A28"/>
    <w:rsid w:val="5A8D59CF"/>
    <w:rsid w:val="5A9D65AB"/>
    <w:rsid w:val="5ADC6EA5"/>
    <w:rsid w:val="5B1B719B"/>
    <w:rsid w:val="5B4251BB"/>
    <w:rsid w:val="5B477E65"/>
    <w:rsid w:val="5BAC006B"/>
    <w:rsid w:val="5C0002A3"/>
    <w:rsid w:val="5C017CDC"/>
    <w:rsid w:val="5C0F5FEB"/>
    <w:rsid w:val="5C826A02"/>
    <w:rsid w:val="5C9A79D1"/>
    <w:rsid w:val="5CB050E1"/>
    <w:rsid w:val="5CBC2D74"/>
    <w:rsid w:val="5CFA1623"/>
    <w:rsid w:val="5DA834AD"/>
    <w:rsid w:val="5DE46F9D"/>
    <w:rsid w:val="5DED7039"/>
    <w:rsid w:val="5DF53244"/>
    <w:rsid w:val="5E256E3F"/>
    <w:rsid w:val="5E742342"/>
    <w:rsid w:val="5EA92C74"/>
    <w:rsid w:val="5EDD07E6"/>
    <w:rsid w:val="5F374F24"/>
    <w:rsid w:val="5F3D7421"/>
    <w:rsid w:val="5F9A2B00"/>
    <w:rsid w:val="5FA078D9"/>
    <w:rsid w:val="5FB52333"/>
    <w:rsid w:val="5FF8644F"/>
    <w:rsid w:val="603D2207"/>
    <w:rsid w:val="604C4978"/>
    <w:rsid w:val="60700FAB"/>
    <w:rsid w:val="61405951"/>
    <w:rsid w:val="619C00AC"/>
    <w:rsid w:val="61A050DE"/>
    <w:rsid w:val="61C92463"/>
    <w:rsid w:val="62431354"/>
    <w:rsid w:val="628979F0"/>
    <w:rsid w:val="632D3C65"/>
    <w:rsid w:val="63393468"/>
    <w:rsid w:val="635D67B3"/>
    <w:rsid w:val="63746DB1"/>
    <w:rsid w:val="63B06609"/>
    <w:rsid w:val="63B81EDC"/>
    <w:rsid w:val="63E13364"/>
    <w:rsid w:val="64370C94"/>
    <w:rsid w:val="646805F0"/>
    <w:rsid w:val="646C02EC"/>
    <w:rsid w:val="648E23CC"/>
    <w:rsid w:val="64AC1ED4"/>
    <w:rsid w:val="6593435C"/>
    <w:rsid w:val="65A601E8"/>
    <w:rsid w:val="6630389E"/>
    <w:rsid w:val="66371C77"/>
    <w:rsid w:val="6638385D"/>
    <w:rsid w:val="665E5B82"/>
    <w:rsid w:val="66B13A74"/>
    <w:rsid w:val="67487979"/>
    <w:rsid w:val="67527CC0"/>
    <w:rsid w:val="678A38D8"/>
    <w:rsid w:val="67C25D3D"/>
    <w:rsid w:val="67DF60F0"/>
    <w:rsid w:val="682239F3"/>
    <w:rsid w:val="68301C3C"/>
    <w:rsid w:val="68A17B45"/>
    <w:rsid w:val="68F56E18"/>
    <w:rsid w:val="68FA7C11"/>
    <w:rsid w:val="694B3CE5"/>
    <w:rsid w:val="697F0C2B"/>
    <w:rsid w:val="69BE786F"/>
    <w:rsid w:val="69F57CC3"/>
    <w:rsid w:val="69F963AE"/>
    <w:rsid w:val="6A82508F"/>
    <w:rsid w:val="6AA64735"/>
    <w:rsid w:val="6AC24019"/>
    <w:rsid w:val="6ADC3089"/>
    <w:rsid w:val="6AF24886"/>
    <w:rsid w:val="6B3D6C60"/>
    <w:rsid w:val="6B9A4B34"/>
    <w:rsid w:val="6BC16BCF"/>
    <w:rsid w:val="6C7833CE"/>
    <w:rsid w:val="6C992F9A"/>
    <w:rsid w:val="6D0F045C"/>
    <w:rsid w:val="6D106B2C"/>
    <w:rsid w:val="6D2C6FA7"/>
    <w:rsid w:val="6DA01D6C"/>
    <w:rsid w:val="6E3D297C"/>
    <w:rsid w:val="6E494945"/>
    <w:rsid w:val="6E54206C"/>
    <w:rsid w:val="6F08045A"/>
    <w:rsid w:val="6F085346"/>
    <w:rsid w:val="6F3E0414"/>
    <w:rsid w:val="6FA84FA3"/>
    <w:rsid w:val="6FE763A8"/>
    <w:rsid w:val="70525D42"/>
    <w:rsid w:val="705F0D15"/>
    <w:rsid w:val="7099701F"/>
    <w:rsid w:val="70CF4937"/>
    <w:rsid w:val="70FC052C"/>
    <w:rsid w:val="71395A23"/>
    <w:rsid w:val="71AA673A"/>
    <w:rsid w:val="71BA3FF3"/>
    <w:rsid w:val="71BE2151"/>
    <w:rsid w:val="71E41F32"/>
    <w:rsid w:val="71EB5125"/>
    <w:rsid w:val="722B5E25"/>
    <w:rsid w:val="723A01C1"/>
    <w:rsid w:val="724071D4"/>
    <w:rsid w:val="72414CAC"/>
    <w:rsid w:val="731B002C"/>
    <w:rsid w:val="73A61EB0"/>
    <w:rsid w:val="73B86B69"/>
    <w:rsid w:val="73BC4A4C"/>
    <w:rsid w:val="73C5308F"/>
    <w:rsid w:val="73D93FF3"/>
    <w:rsid w:val="73E82F84"/>
    <w:rsid w:val="73F66EBD"/>
    <w:rsid w:val="74235540"/>
    <w:rsid w:val="74563326"/>
    <w:rsid w:val="74627D7E"/>
    <w:rsid w:val="7463466C"/>
    <w:rsid w:val="74672AB4"/>
    <w:rsid w:val="749F164B"/>
    <w:rsid w:val="74AD4C67"/>
    <w:rsid w:val="74D74870"/>
    <w:rsid w:val="74E76CDB"/>
    <w:rsid w:val="75570DC9"/>
    <w:rsid w:val="75604E93"/>
    <w:rsid w:val="7583635B"/>
    <w:rsid w:val="75AE3D7D"/>
    <w:rsid w:val="76074761"/>
    <w:rsid w:val="760F469C"/>
    <w:rsid w:val="7618517F"/>
    <w:rsid w:val="761D7286"/>
    <w:rsid w:val="76586AC0"/>
    <w:rsid w:val="76CF1B29"/>
    <w:rsid w:val="76D404FA"/>
    <w:rsid w:val="77692CC8"/>
    <w:rsid w:val="77A3720D"/>
    <w:rsid w:val="77D925BA"/>
    <w:rsid w:val="78506EAE"/>
    <w:rsid w:val="78CE1B28"/>
    <w:rsid w:val="78EA71D0"/>
    <w:rsid w:val="78F33B6A"/>
    <w:rsid w:val="79CF199B"/>
    <w:rsid w:val="79F564A6"/>
    <w:rsid w:val="7A057CCF"/>
    <w:rsid w:val="7A7B40CD"/>
    <w:rsid w:val="7AA6211F"/>
    <w:rsid w:val="7AB102AF"/>
    <w:rsid w:val="7AC909B7"/>
    <w:rsid w:val="7AF54336"/>
    <w:rsid w:val="7B0021CC"/>
    <w:rsid w:val="7B3C549C"/>
    <w:rsid w:val="7B9F45BD"/>
    <w:rsid w:val="7BA17549"/>
    <w:rsid w:val="7C3E38B6"/>
    <w:rsid w:val="7CAE3CED"/>
    <w:rsid w:val="7CD13DF0"/>
    <w:rsid w:val="7CF4661E"/>
    <w:rsid w:val="7D077C20"/>
    <w:rsid w:val="7D394BB3"/>
    <w:rsid w:val="7D443A69"/>
    <w:rsid w:val="7D463597"/>
    <w:rsid w:val="7D713990"/>
    <w:rsid w:val="7D7B6100"/>
    <w:rsid w:val="7DC264AD"/>
    <w:rsid w:val="7DE50C72"/>
    <w:rsid w:val="7DED5A62"/>
    <w:rsid w:val="7DF96000"/>
    <w:rsid w:val="7DFB6B6E"/>
    <w:rsid w:val="7E201623"/>
    <w:rsid w:val="7E5232ED"/>
    <w:rsid w:val="7E642C27"/>
    <w:rsid w:val="7EB22406"/>
    <w:rsid w:val="7EB82A62"/>
    <w:rsid w:val="7ECA2B50"/>
    <w:rsid w:val="7ED02E62"/>
    <w:rsid w:val="7EEC771F"/>
    <w:rsid w:val="7EF7254F"/>
    <w:rsid w:val="7EFC6DF2"/>
    <w:rsid w:val="7F8B451C"/>
    <w:rsid w:val="7FF0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iPriority="99"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7"/>
    <w:qFormat/>
    <w:uiPriority w:val="0"/>
    <w:pPr>
      <w:keepNext/>
      <w:keepLines/>
      <w:spacing w:before="260" w:after="260" w:line="413" w:lineRule="auto"/>
      <w:outlineLvl w:val="2"/>
    </w:pPr>
    <w:rPr>
      <w:b/>
      <w:bCs/>
      <w:sz w:val="32"/>
      <w:szCs w:val="32"/>
    </w:rPr>
  </w:style>
  <w:style w:type="paragraph" w:styleId="6">
    <w:name w:val="heading 4"/>
    <w:basedOn w:val="1"/>
    <w:next w:val="1"/>
    <w:link w:val="58"/>
    <w:qFormat/>
    <w:uiPriority w:val="0"/>
    <w:pPr>
      <w:keepNext/>
      <w:keepLines/>
      <w:spacing w:before="280" w:after="290" w:line="372" w:lineRule="auto"/>
      <w:outlineLvl w:val="3"/>
    </w:pPr>
    <w:rPr>
      <w:rFonts w:ascii="Arial" w:hAnsi="Arial" w:eastAsia="黑体"/>
      <w:b/>
      <w:bCs/>
      <w:szCs w:val="28"/>
    </w:rPr>
  </w:style>
  <w:style w:type="paragraph" w:styleId="7">
    <w:name w:val="heading 5"/>
    <w:basedOn w:val="1"/>
    <w:next w:val="1"/>
    <w:link w:val="59"/>
    <w:qFormat/>
    <w:uiPriority w:val="0"/>
    <w:pPr>
      <w:keepNext/>
      <w:keepLines/>
      <w:widowControl/>
      <w:tabs>
        <w:tab w:val="left" w:pos="1008"/>
      </w:tabs>
      <w:spacing w:before="280" w:after="290" w:line="372" w:lineRule="auto"/>
      <w:ind w:left="1008" w:hanging="1008"/>
      <w:jc w:val="left"/>
      <w:outlineLvl w:val="4"/>
    </w:pPr>
    <w:rPr>
      <w:b/>
      <w:bCs/>
      <w:kern w:val="0"/>
      <w:szCs w:val="28"/>
    </w:rPr>
  </w:style>
  <w:style w:type="paragraph" w:styleId="8">
    <w:name w:val="heading 6"/>
    <w:basedOn w:val="1"/>
    <w:next w:val="1"/>
    <w:link w:val="60"/>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9">
    <w:name w:val="heading 7"/>
    <w:basedOn w:val="1"/>
    <w:next w:val="1"/>
    <w:link w:val="6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0">
    <w:name w:val="heading 8"/>
    <w:basedOn w:val="1"/>
    <w:next w:val="1"/>
    <w:link w:val="62"/>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1">
    <w:name w:val="heading 9"/>
    <w:basedOn w:val="1"/>
    <w:next w:val="1"/>
    <w:link w:val="63"/>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 w:val="21"/>
      <w:szCs w:val="21"/>
    </w:rPr>
  </w:style>
  <w:style w:type="character" w:default="1" w:styleId="48">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签发人"/>
    <w:basedOn w:val="1"/>
    <w:qFormat/>
    <w:uiPriority w:val="0"/>
    <w:rPr>
      <w:rFonts w:eastAsia="楷体"/>
      <w:sz w:val="32"/>
    </w:rPr>
  </w:style>
  <w:style w:type="paragraph" w:styleId="12">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3">
    <w:name w:val="Normal Indent"/>
    <w:basedOn w:val="1"/>
    <w:link w:val="64"/>
    <w:qFormat/>
    <w:uiPriority w:val="0"/>
    <w:pPr>
      <w:ind w:firstLine="420"/>
    </w:pPr>
    <w:rPr>
      <w:sz w:val="21"/>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List Bullet"/>
    <w:basedOn w:val="1"/>
    <w:next w:val="1"/>
    <w:unhideWhenUsed/>
    <w:qFormat/>
    <w:uiPriority w:val="99"/>
    <w:pPr>
      <w:numPr>
        <w:ilvl w:val="0"/>
        <w:numId w:val="1"/>
      </w:numPr>
    </w:pPr>
  </w:style>
  <w:style w:type="paragraph" w:styleId="16">
    <w:name w:val="Document Map"/>
    <w:basedOn w:val="1"/>
    <w:link w:val="65"/>
    <w:qFormat/>
    <w:uiPriority w:val="0"/>
    <w:pPr>
      <w:shd w:val="clear" w:color="auto" w:fill="000080"/>
    </w:pPr>
    <w:rPr>
      <w:kern w:val="0"/>
      <w:sz w:val="20"/>
      <w:shd w:val="clear" w:color="auto" w:fill="000080"/>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66"/>
    <w:qFormat/>
    <w:uiPriority w:val="0"/>
    <w:pPr>
      <w:jc w:val="left"/>
    </w:pPr>
    <w:rPr>
      <w:sz w:val="21"/>
    </w:rPr>
  </w:style>
  <w:style w:type="paragraph" w:styleId="19">
    <w:name w:val="Body Text 3"/>
    <w:basedOn w:val="1"/>
    <w:qFormat/>
    <w:uiPriority w:val="0"/>
    <w:pPr>
      <w:snapToGrid w:val="0"/>
      <w:spacing w:before="50" w:after="50"/>
    </w:pPr>
    <w:rPr>
      <w:rFonts w:hAnsi="宋体" w:eastAsia="仿宋_GB2312"/>
      <w:b/>
      <w:bCs/>
      <w:sz w:val="24"/>
      <w:szCs w:val="20"/>
    </w:rPr>
  </w:style>
  <w:style w:type="paragraph" w:styleId="20">
    <w:name w:val="Body Text"/>
    <w:basedOn w:val="1"/>
    <w:next w:val="21"/>
    <w:link w:val="67"/>
    <w:qFormat/>
    <w:uiPriority w:val="0"/>
    <w:pPr>
      <w:spacing w:after="120"/>
    </w:pPr>
  </w:style>
  <w:style w:type="paragraph" w:styleId="21">
    <w:name w:val="Body Text First Indent"/>
    <w:basedOn w:val="20"/>
    <w:next w:val="1"/>
    <w:unhideWhenUsed/>
    <w:qFormat/>
    <w:uiPriority w:val="0"/>
    <w:pPr>
      <w:ind w:firstLine="420" w:firstLineChars="100"/>
    </w:pPr>
    <w:rPr>
      <w:rFonts w:eastAsia="仿宋_GB2312"/>
      <w:sz w:val="21"/>
    </w:rPr>
  </w:style>
  <w:style w:type="paragraph" w:styleId="22">
    <w:name w:val="Body Text Indent"/>
    <w:basedOn w:val="1"/>
    <w:next w:val="1"/>
    <w:link w:val="68"/>
    <w:qFormat/>
    <w:uiPriority w:val="0"/>
    <w:pPr>
      <w:spacing w:line="200" w:lineRule="atLeast"/>
      <w:ind w:firstLine="301"/>
    </w:pPr>
    <w:rPr>
      <w:rFonts w:ascii="宋体" w:hAnsi="Courier New"/>
      <w:spacing w:val="-4"/>
      <w:sz w:val="18"/>
      <w:szCs w:val="20"/>
    </w:rPr>
  </w:style>
  <w:style w:type="paragraph" w:styleId="23">
    <w:name w:val="List Number 3"/>
    <w:basedOn w:val="1"/>
    <w:qFormat/>
    <w:uiPriority w:val="0"/>
    <w:pPr>
      <w:numPr>
        <w:ilvl w:val="0"/>
        <w:numId w:val="2"/>
      </w:numPr>
      <w:ind w:left="720"/>
    </w:pPr>
    <w:rPr>
      <w:sz w:val="21"/>
    </w:rPr>
  </w:style>
  <w:style w:type="paragraph" w:styleId="24">
    <w:name w:val="List 2"/>
    <w:basedOn w:val="1"/>
    <w:qFormat/>
    <w:uiPriority w:val="0"/>
    <w:pPr>
      <w:ind w:left="200" w:leftChars="200" w:hanging="200" w:hangingChars="200"/>
    </w:pPr>
  </w:style>
  <w:style w:type="paragraph" w:styleId="25">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26">
    <w:name w:val="List Bullet 2"/>
    <w:basedOn w:val="1"/>
    <w:next w:val="15"/>
    <w:unhideWhenUsed/>
    <w:qFormat/>
    <w:uiPriority w:val="99"/>
    <w:pPr>
      <w:numPr>
        <w:ilvl w:val="0"/>
        <w:numId w:val="3"/>
      </w:numPr>
    </w:p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0"/>
    <w:pPr>
      <w:ind w:left="840" w:leftChars="400"/>
    </w:pPr>
    <w:rPr>
      <w:sz w:val="21"/>
    </w:rPr>
  </w:style>
  <w:style w:type="paragraph" w:styleId="29">
    <w:name w:val="Plain Text"/>
    <w:basedOn w:val="1"/>
    <w:next w:val="1"/>
    <w:link w:val="69"/>
    <w:qFormat/>
    <w:uiPriority w:val="0"/>
    <w:pPr>
      <w:spacing w:before="156" w:beforeLines="50" w:after="156" w:afterLines="50" w:line="400" w:lineRule="atLeast"/>
    </w:pPr>
    <w:rPr>
      <w:rFonts w:ascii="宋体" w:hAnsi="Courier New"/>
      <w:sz w:val="24"/>
    </w:rPr>
  </w:style>
  <w:style w:type="paragraph" w:styleId="30">
    <w:name w:val="Date"/>
    <w:basedOn w:val="1"/>
    <w:next w:val="1"/>
    <w:qFormat/>
    <w:uiPriority w:val="0"/>
    <w:pPr>
      <w:ind w:left="2500" w:leftChars="2500"/>
    </w:pPr>
    <w:rPr>
      <w:rFonts w:eastAsia="楷体_GB2312"/>
      <w:sz w:val="32"/>
      <w:szCs w:val="20"/>
    </w:rPr>
  </w:style>
  <w:style w:type="paragraph" w:styleId="31">
    <w:name w:val="Body Text Indent 2"/>
    <w:basedOn w:val="1"/>
    <w:qFormat/>
    <w:uiPriority w:val="0"/>
    <w:pPr>
      <w:snapToGrid w:val="0"/>
      <w:ind w:firstLine="542" w:firstLineChars="225"/>
    </w:pPr>
    <w:rPr>
      <w:rFonts w:ascii="仿宋_GB2312" w:hAnsi="宋体" w:cs="Arial"/>
      <w:b/>
      <w:bCs/>
      <w:color w:val="000000"/>
      <w:sz w:val="24"/>
    </w:rPr>
  </w:style>
  <w:style w:type="paragraph" w:styleId="32">
    <w:name w:val="Balloon Text"/>
    <w:basedOn w:val="1"/>
    <w:qFormat/>
    <w:uiPriority w:val="0"/>
    <w:rPr>
      <w:sz w:val="18"/>
      <w:szCs w:val="20"/>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0"/>
    <w:rPr>
      <w:sz w:val="21"/>
    </w:rPr>
  </w:style>
  <w:style w:type="paragraph" w:styleId="36">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style>
  <w:style w:type="paragraph" w:styleId="38">
    <w:name w:val="footnote text"/>
    <w:basedOn w:val="1"/>
    <w:qFormat/>
    <w:uiPriority w:val="0"/>
    <w:pPr>
      <w:snapToGrid w:val="0"/>
      <w:jc w:val="left"/>
    </w:pPr>
    <w:rPr>
      <w:rFonts w:eastAsia="仿宋_GB2312"/>
      <w:sz w:val="18"/>
      <w:szCs w:val="20"/>
    </w:rPr>
  </w:style>
  <w:style w:type="paragraph" w:styleId="39">
    <w:name w:val="toc 6"/>
    <w:basedOn w:val="1"/>
    <w:next w:val="1"/>
    <w:unhideWhenUsed/>
    <w:qFormat/>
    <w:uiPriority w:val="39"/>
    <w:pPr>
      <w:ind w:left="2100" w:leftChars="1000"/>
    </w:pPr>
    <w:rPr>
      <w:rFonts w:ascii="Calibri" w:hAnsi="Calibri"/>
    </w:rPr>
  </w:style>
  <w:style w:type="paragraph" w:styleId="40">
    <w:name w:val="Body Text Indent 3"/>
    <w:basedOn w:val="1"/>
    <w:qFormat/>
    <w:uiPriority w:val="0"/>
    <w:pPr>
      <w:spacing w:after="120"/>
      <w:ind w:left="420" w:leftChars="200"/>
    </w:pPr>
    <w:rPr>
      <w:sz w:val="16"/>
      <w:szCs w:val="16"/>
    </w:rPr>
  </w:style>
  <w:style w:type="paragraph" w:styleId="41">
    <w:name w:val="toc 2"/>
    <w:basedOn w:val="1"/>
    <w:next w:val="1"/>
    <w:qFormat/>
    <w:uiPriority w:val="0"/>
    <w:pPr>
      <w:tabs>
        <w:tab w:val="right" w:leader="dot" w:pos="8302"/>
      </w:tabs>
      <w:adjustRightInd w:val="0"/>
      <w:snapToGrid w:val="0"/>
      <w:spacing w:line="360" w:lineRule="exact"/>
      <w:ind w:left="210"/>
      <w:jc w:val="left"/>
    </w:pPr>
    <w:rPr>
      <w:smallCaps/>
      <w:color w:val="000000"/>
      <w:sz w:val="21"/>
      <w:szCs w:val="21"/>
    </w:rPr>
  </w:style>
  <w:style w:type="paragraph" w:styleId="42">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43">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4">
    <w:name w:val="Title"/>
    <w:basedOn w:val="1"/>
    <w:next w:val="1"/>
    <w:link w:val="73"/>
    <w:qFormat/>
    <w:uiPriority w:val="0"/>
    <w:pPr>
      <w:spacing w:before="240" w:after="60"/>
      <w:jc w:val="center"/>
      <w:outlineLvl w:val="0"/>
    </w:pPr>
    <w:rPr>
      <w:rFonts w:ascii="Arial" w:hAnsi="Arial" w:cs="Arial"/>
      <w:b/>
      <w:bCs/>
      <w:sz w:val="32"/>
      <w:szCs w:val="32"/>
    </w:rPr>
  </w:style>
  <w:style w:type="paragraph" w:styleId="45">
    <w:name w:val="annotation subject"/>
    <w:basedOn w:val="18"/>
    <w:next w:val="18"/>
    <w:link w:val="74"/>
    <w:qFormat/>
    <w:uiPriority w:val="0"/>
    <w:rPr>
      <w:rFonts w:ascii="宋体"/>
      <w:b/>
      <w:bCs/>
      <w:kern w:val="0"/>
      <w:sz w:val="28"/>
      <w:szCs w:val="20"/>
    </w:rPr>
  </w:style>
  <w:style w:type="paragraph" w:styleId="46">
    <w:name w:val="Body Text First Indent 2"/>
    <w:basedOn w:val="22"/>
    <w:next w:val="1"/>
    <w:qFormat/>
    <w:uiPriority w:val="0"/>
    <w:pPr>
      <w:spacing w:after="120" w:line="240" w:lineRule="auto"/>
      <w:ind w:left="420" w:leftChars="200" w:firstLine="420" w:firstLineChars="200"/>
    </w:pPr>
    <w:rPr>
      <w:rFonts w:ascii="等线" w:hAnsi="等线" w:eastAsia="等线"/>
      <w:sz w:val="21"/>
    </w:r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标题 2 字符"/>
    <w:link w:val="4"/>
    <w:qFormat/>
    <w:uiPriority w:val="0"/>
    <w:rPr>
      <w:rFonts w:ascii="Arial" w:hAnsi="Arial" w:eastAsia="黑体"/>
      <w:b/>
      <w:bCs/>
      <w:kern w:val="2"/>
      <w:sz w:val="32"/>
      <w:szCs w:val="32"/>
    </w:rPr>
  </w:style>
  <w:style w:type="character" w:customStyle="1" w:styleId="56">
    <w:name w:val="标题 1 字符"/>
    <w:link w:val="3"/>
    <w:qFormat/>
    <w:uiPriority w:val="0"/>
    <w:rPr>
      <w:b/>
      <w:bCs/>
      <w:kern w:val="44"/>
      <w:sz w:val="44"/>
      <w:szCs w:val="44"/>
    </w:rPr>
  </w:style>
  <w:style w:type="character" w:customStyle="1" w:styleId="57">
    <w:name w:val="标题 3 字符"/>
    <w:link w:val="5"/>
    <w:qFormat/>
    <w:uiPriority w:val="0"/>
    <w:rPr>
      <w:b/>
      <w:bCs/>
      <w:kern w:val="2"/>
      <w:sz w:val="32"/>
      <w:szCs w:val="32"/>
    </w:rPr>
  </w:style>
  <w:style w:type="character" w:customStyle="1" w:styleId="58">
    <w:name w:val="标题 4 字符"/>
    <w:link w:val="6"/>
    <w:qFormat/>
    <w:uiPriority w:val="0"/>
    <w:rPr>
      <w:rFonts w:ascii="Arial" w:hAnsi="Arial" w:eastAsia="黑体"/>
      <w:b/>
      <w:bCs/>
      <w:kern w:val="2"/>
      <w:sz w:val="28"/>
      <w:szCs w:val="28"/>
    </w:rPr>
  </w:style>
  <w:style w:type="character" w:customStyle="1" w:styleId="59">
    <w:name w:val="标题 5 字符"/>
    <w:link w:val="7"/>
    <w:qFormat/>
    <w:uiPriority w:val="0"/>
    <w:rPr>
      <w:b/>
      <w:bCs/>
      <w:sz w:val="28"/>
      <w:szCs w:val="28"/>
    </w:rPr>
  </w:style>
  <w:style w:type="character" w:customStyle="1" w:styleId="60">
    <w:name w:val="标题 6 字符"/>
    <w:link w:val="8"/>
    <w:qFormat/>
    <w:uiPriority w:val="0"/>
    <w:rPr>
      <w:rFonts w:ascii="Arial" w:hAnsi="Arial" w:eastAsia="黑体"/>
      <w:b/>
      <w:bCs/>
      <w:sz w:val="24"/>
      <w:szCs w:val="24"/>
    </w:rPr>
  </w:style>
  <w:style w:type="character" w:customStyle="1" w:styleId="61">
    <w:name w:val="标题 7 字符"/>
    <w:link w:val="9"/>
    <w:qFormat/>
    <w:uiPriority w:val="0"/>
    <w:rPr>
      <w:b/>
      <w:bCs/>
      <w:sz w:val="24"/>
      <w:szCs w:val="24"/>
    </w:rPr>
  </w:style>
  <w:style w:type="character" w:customStyle="1" w:styleId="62">
    <w:name w:val="标题 8 字符"/>
    <w:link w:val="10"/>
    <w:qFormat/>
    <w:uiPriority w:val="0"/>
    <w:rPr>
      <w:rFonts w:ascii="Arial" w:hAnsi="Arial" w:eastAsia="黑体"/>
      <w:sz w:val="24"/>
      <w:szCs w:val="24"/>
    </w:rPr>
  </w:style>
  <w:style w:type="character" w:customStyle="1" w:styleId="63">
    <w:name w:val="标题 9 字符"/>
    <w:link w:val="11"/>
    <w:qFormat/>
    <w:uiPriority w:val="0"/>
    <w:rPr>
      <w:rFonts w:ascii="Arial" w:hAnsi="Arial" w:eastAsia="黑体"/>
      <w:sz w:val="21"/>
      <w:szCs w:val="21"/>
    </w:rPr>
  </w:style>
  <w:style w:type="character" w:customStyle="1" w:styleId="64">
    <w:name w:val="正文缩进 字符"/>
    <w:link w:val="13"/>
    <w:qFormat/>
    <w:uiPriority w:val="0"/>
    <w:rPr>
      <w:rFonts w:eastAsia="宋体"/>
      <w:kern w:val="2"/>
      <w:sz w:val="21"/>
      <w:lang w:val="en-US" w:eastAsia="zh-CN" w:bidi="ar-SA"/>
    </w:rPr>
  </w:style>
  <w:style w:type="character" w:customStyle="1" w:styleId="65">
    <w:name w:val="文档结构图 字符"/>
    <w:link w:val="16"/>
    <w:qFormat/>
    <w:uiPriority w:val="0"/>
    <w:rPr>
      <w:szCs w:val="24"/>
      <w:shd w:val="clear" w:color="auto" w:fill="000080"/>
    </w:rPr>
  </w:style>
  <w:style w:type="character" w:customStyle="1" w:styleId="66">
    <w:name w:val="批注文字 字符"/>
    <w:link w:val="18"/>
    <w:qFormat/>
    <w:uiPriority w:val="0"/>
    <w:rPr>
      <w:kern w:val="2"/>
      <w:sz w:val="21"/>
      <w:szCs w:val="24"/>
    </w:rPr>
  </w:style>
  <w:style w:type="character" w:customStyle="1" w:styleId="67">
    <w:name w:val="正文文本 字符"/>
    <w:link w:val="20"/>
    <w:qFormat/>
    <w:uiPriority w:val="0"/>
    <w:rPr>
      <w:kern w:val="2"/>
      <w:sz w:val="28"/>
      <w:szCs w:val="24"/>
    </w:rPr>
  </w:style>
  <w:style w:type="character" w:customStyle="1" w:styleId="68">
    <w:name w:val="正文文本缩进 字符"/>
    <w:link w:val="22"/>
    <w:qFormat/>
    <w:uiPriority w:val="0"/>
    <w:rPr>
      <w:rFonts w:ascii="宋体" w:hAnsi="Courier New"/>
      <w:spacing w:val="-4"/>
      <w:kern w:val="2"/>
      <w:sz w:val="18"/>
    </w:rPr>
  </w:style>
  <w:style w:type="character" w:customStyle="1" w:styleId="69">
    <w:name w:val="纯文本 字符"/>
    <w:link w:val="29"/>
    <w:qFormat/>
    <w:uiPriority w:val="0"/>
    <w:rPr>
      <w:rFonts w:ascii="宋体" w:hAnsi="Courier New" w:eastAsia="宋体"/>
      <w:kern w:val="2"/>
      <w:sz w:val="24"/>
      <w:szCs w:val="24"/>
      <w:lang w:val="en-US" w:eastAsia="zh-CN" w:bidi="ar-SA"/>
    </w:rPr>
  </w:style>
  <w:style w:type="character" w:customStyle="1" w:styleId="70">
    <w:name w:val="页脚 字符"/>
    <w:link w:val="33"/>
    <w:qFormat/>
    <w:uiPriority w:val="0"/>
    <w:rPr>
      <w:kern w:val="2"/>
      <w:sz w:val="18"/>
      <w:szCs w:val="18"/>
    </w:rPr>
  </w:style>
  <w:style w:type="character" w:customStyle="1" w:styleId="71">
    <w:name w:val="页眉 字符"/>
    <w:link w:val="34"/>
    <w:qFormat/>
    <w:uiPriority w:val="0"/>
    <w:rPr>
      <w:kern w:val="2"/>
      <w:sz w:val="18"/>
      <w:szCs w:val="18"/>
    </w:rPr>
  </w:style>
  <w:style w:type="character" w:customStyle="1" w:styleId="72">
    <w:name w:val="副标题 字符"/>
    <w:link w:val="36"/>
    <w:qFormat/>
    <w:uiPriority w:val="0"/>
    <w:rPr>
      <w:rFonts w:ascii="Cambria" w:hAnsi="Cambria"/>
      <w:b/>
      <w:bCs/>
      <w:kern w:val="28"/>
      <w:sz w:val="32"/>
      <w:szCs w:val="32"/>
    </w:rPr>
  </w:style>
  <w:style w:type="character" w:customStyle="1" w:styleId="73">
    <w:name w:val="标题 字符"/>
    <w:link w:val="44"/>
    <w:qFormat/>
    <w:uiPriority w:val="0"/>
    <w:rPr>
      <w:rFonts w:ascii="Arial" w:hAnsi="Arial" w:eastAsia="宋体" w:cs="Arial"/>
      <w:b/>
      <w:bCs/>
      <w:kern w:val="2"/>
      <w:sz w:val="32"/>
      <w:szCs w:val="32"/>
      <w:lang w:val="en-US" w:eastAsia="zh-CN" w:bidi="ar-SA"/>
    </w:rPr>
  </w:style>
  <w:style w:type="character" w:customStyle="1" w:styleId="74">
    <w:name w:val="批注主题 字符"/>
    <w:link w:val="45"/>
    <w:qFormat/>
    <w:uiPriority w:val="0"/>
    <w:rPr>
      <w:rFonts w:ascii="宋体"/>
      <w:b/>
      <w:bCs/>
      <w:sz w:val="28"/>
    </w:rPr>
  </w:style>
  <w:style w:type="character" w:customStyle="1" w:styleId="75">
    <w:name w:val="批注文字 Char1"/>
    <w:qFormat/>
    <w:uiPriority w:val="0"/>
    <w:rPr>
      <w:kern w:val="2"/>
      <w:sz w:val="28"/>
      <w:szCs w:val="24"/>
    </w:rPr>
  </w:style>
  <w:style w:type="character" w:customStyle="1" w:styleId="76">
    <w:name w:val="fx_label"/>
    <w:basedOn w:val="48"/>
    <w:qFormat/>
    <w:uiPriority w:val="0"/>
  </w:style>
  <w:style w:type="character" w:customStyle="1" w:styleId="77">
    <w:name w:val="列出段落 Char"/>
    <w:link w:val="78"/>
    <w:qFormat/>
    <w:uiPriority w:val="0"/>
    <w:rPr>
      <w:kern w:val="2"/>
      <w:sz w:val="21"/>
      <w:szCs w:val="22"/>
    </w:rPr>
  </w:style>
  <w:style w:type="paragraph" w:customStyle="1" w:styleId="78">
    <w:name w:val="List Paragraph1"/>
    <w:basedOn w:val="1"/>
    <w:link w:val="77"/>
    <w:qFormat/>
    <w:uiPriority w:val="0"/>
    <w:pPr>
      <w:ind w:firstLine="420" w:firstLineChars="200"/>
    </w:pPr>
    <w:rPr>
      <w:sz w:val="21"/>
      <w:szCs w:val="22"/>
    </w:rPr>
  </w:style>
  <w:style w:type="character" w:customStyle="1" w:styleId="79">
    <w:name w:val="纯文本 Char2"/>
    <w:qFormat/>
    <w:uiPriority w:val="0"/>
    <w:rPr>
      <w:rFonts w:ascii="宋体" w:hAnsi="Courier New" w:eastAsia="宋体"/>
      <w:kern w:val="2"/>
      <w:sz w:val="24"/>
      <w:szCs w:val="24"/>
      <w:lang w:val="en-US" w:eastAsia="zh-CN" w:bidi="ar-SA"/>
    </w:rPr>
  </w:style>
  <w:style w:type="character" w:customStyle="1" w:styleId="80">
    <w:name w:val="Char Char1"/>
    <w:qFormat/>
    <w:uiPriority w:val="0"/>
    <w:rPr>
      <w:rFonts w:ascii="Arial" w:hAnsi="Arial" w:eastAsia="黑体"/>
      <w:b/>
      <w:bCs/>
      <w:kern w:val="2"/>
      <w:sz w:val="32"/>
      <w:szCs w:val="32"/>
      <w:lang w:val="en-US" w:eastAsia="zh-CN" w:bidi="ar-SA"/>
    </w:rPr>
  </w:style>
  <w:style w:type="character" w:customStyle="1" w:styleId="81">
    <w:name w:val="标题4 Char Char"/>
    <w:qFormat/>
    <w:uiPriority w:val="0"/>
    <w:rPr>
      <w:rFonts w:eastAsia="仿宋_GB2312"/>
      <w:kern w:val="2"/>
      <w:sz w:val="32"/>
      <w:lang w:val="en-US" w:eastAsia="zh-CN" w:bidi="ar-SA"/>
    </w:rPr>
  </w:style>
  <w:style w:type="character" w:customStyle="1" w:styleId="82">
    <w:name w:val="引用 Char1"/>
    <w:qFormat/>
    <w:uiPriority w:val="0"/>
    <w:rPr>
      <w:i/>
      <w:iCs/>
      <w:color w:val="000000"/>
      <w:kern w:val="2"/>
      <w:sz w:val="28"/>
      <w:szCs w:val="24"/>
    </w:rPr>
  </w:style>
  <w:style w:type="character" w:customStyle="1" w:styleId="83">
    <w:name w:val="font11"/>
    <w:qFormat/>
    <w:uiPriority w:val="0"/>
    <w:rPr>
      <w:rFonts w:hint="eastAsia" w:ascii="宋体" w:hAnsi="宋体" w:eastAsia="宋体" w:cs="宋体"/>
      <w:color w:val="FF0000"/>
      <w:sz w:val="20"/>
      <w:szCs w:val="20"/>
      <w:u w:val="none"/>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引用 字符"/>
    <w:link w:val="86"/>
    <w:qFormat/>
    <w:uiPriority w:val="0"/>
    <w:rPr>
      <w:i/>
      <w:iCs/>
      <w:color w:val="000000"/>
      <w:kern w:val="2"/>
      <w:sz w:val="21"/>
      <w:szCs w:val="22"/>
    </w:rPr>
  </w:style>
  <w:style w:type="paragraph" w:styleId="86">
    <w:name w:val="Quote"/>
    <w:basedOn w:val="1"/>
    <w:next w:val="1"/>
    <w:link w:val="85"/>
    <w:qFormat/>
    <w:uiPriority w:val="0"/>
    <w:rPr>
      <w:i/>
      <w:iCs/>
      <w:color w:val="000000"/>
      <w:sz w:val="21"/>
      <w:szCs w:val="22"/>
    </w:rPr>
  </w:style>
  <w:style w:type="character" w:customStyle="1" w:styleId="87">
    <w:name w:val="文档结构图 Char1"/>
    <w:qFormat/>
    <w:uiPriority w:val="0"/>
    <w:rPr>
      <w:rFonts w:ascii="宋体"/>
      <w:kern w:val="2"/>
      <w:sz w:val="18"/>
      <w:szCs w:val="18"/>
    </w:rPr>
  </w:style>
  <w:style w:type="character" w:customStyle="1" w:styleId="88">
    <w:name w:val="font21"/>
    <w:basedOn w:val="48"/>
    <w:qFormat/>
    <w:uiPriority w:val="0"/>
    <w:rPr>
      <w:rFonts w:hint="default" w:ascii="Segoe UI" w:hAnsi="Segoe UI" w:eastAsia="Segoe UI" w:cs="Segoe UI"/>
      <w:color w:val="171A1D"/>
      <w:sz w:val="21"/>
      <w:szCs w:val="21"/>
      <w:u w:val="none"/>
    </w:rPr>
  </w:style>
  <w:style w:type="character" w:customStyle="1" w:styleId="89">
    <w:name w:val="明显引用 Char1"/>
    <w:qFormat/>
    <w:uiPriority w:val="0"/>
    <w:rPr>
      <w:b/>
      <w:bCs/>
      <w:i/>
      <w:iCs/>
      <w:color w:val="4F81BD"/>
      <w:kern w:val="2"/>
      <w:sz w:val="28"/>
      <w:szCs w:val="24"/>
    </w:rPr>
  </w:style>
  <w:style w:type="character" w:customStyle="1" w:styleId="90">
    <w:name w:val="普通文字 Char Char Char1"/>
    <w:qFormat/>
    <w:uiPriority w:val="0"/>
    <w:rPr>
      <w:rFonts w:ascii="宋体" w:hAnsi="Courier New" w:eastAsia="宋体"/>
      <w:kern w:val="2"/>
      <w:sz w:val="24"/>
      <w:szCs w:val="24"/>
      <w:lang w:val="en-US" w:eastAsia="zh-CN" w:bidi="ar-SA"/>
    </w:rPr>
  </w:style>
  <w:style w:type="character" w:customStyle="1" w:styleId="91">
    <w:name w:val="明显引用 字符"/>
    <w:link w:val="92"/>
    <w:qFormat/>
    <w:uiPriority w:val="0"/>
    <w:rPr>
      <w:b/>
      <w:bCs/>
      <w:i/>
      <w:iCs/>
      <w:color w:val="4F81BD"/>
      <w:kern w:val="2"/>
      <w:sz w:val="21"/>
      <w:szCs w:val="22"/>
    </w:rPr>
  </w:style>
  <w:style w:type="paragraph" w:styleId="92">
    <w:name w:val="Intense Quote"/>
    <w:basedOn w:val="1"/>
    <w:next w:val="1"/>
    <w:link w:val="91"/>
    <w:qFormat/>
    <w:uiPriority w:val="0"/>
    <w:pPr>
      <w:pBdr>
        <w:bottom w:val="single" w:color="4F81BD" w:sz="4" w:space="4"/>
      </w:pBdr>
      <w:spacing w:before="200" w:after="280"/>
      <w:ind w:left="936" w:right="936"/>
    </w:pPr>
    <w:rPr>
      <w:b/>
      <w:bCs/>
      <w:i/>
      <w:iCs/>
      <w:color w:val="4F81BD"/>
      <w:sz w:val="21"/>
      <w:szCs w:val="22"/>
    </w:rPr>
  </w:style>
  <w:style w:type="character" w:customStyle="1" w:styleId="93">
    <w:name w:val="font161"/>
    <w:qFormat/>
    <w:uiPriority w:val="0"/>
    <w:rPr>
      <w:b/>
      <w:bCs/>
      <w:sz w:val="32"/>
      <w:szCs w:val="32"/>
    </w:rPr>
  </w:style>
  <w:style w:type="character" w:customStyle="1" w:styleId="94">
    <w:name w:val="正文文字4 Char Char"/>
    <w:qFormat/>
    <w:uiPriority w:val="0"/>
    <w:rPr>
      <w:rFonts w:eastAsia="宋体"/>
      <w:kern w:val="2"/>
      <w:sz w:val="21"/>
      <w:szCs w:val="24"/>
      <w:lang w:val="en-US" w:eastAsia="zh-CN" w:bidi="ar-SA"/>
    </w:rPr>
  </w:style>
  <w:style w:type="character" w:customStyle="1" w:styleId="95">
    <w:name w:val="Char Char8"/>
    <w:qFormat/>
    <w:uiPriority w:val="0"/>
    <w:rPr>
      <w:rFonts w:eastAsia="宋体"/>
      <w:kern w:val="2"/>
      <w:sz w:val="21"/>
      <w:szCs w:val="24"/>
      <w:lang w:val="en-US" w:eastAsia="zh-CN" w:bidi="ar-SA"/>
    </w:rPr>
  </w:style>
  <w:style w:type="character" w:customStyle="1" w:styleId="96">
    <w:name w:val="标题5 Char Char"/>
    <w:link w:val="97"/>
    <w:qFormat/>
    <w:uiPriority w:val="0"/>
    <w:rPr>
      <w:rFonts w:ascii="Arial" w:hAnsi="Arial"/>
      <w:b/>
      <w:bCs/>
      <w:sz w:val="24"/>
      <w:szCs w:val="32"/>
    </w:rPr>
  </w:style>
  <w:style w:type="paragraph" w:customStyle="1" w:styleId="97">
    <w:name w:val="标题5"/>
    <w:basedOn w:val="5"/>
    <w:link w:val="96"/>
    <w:qFormat/>
    <w:uiPriority w:val="0"/>
    <w:rPr>
      <w:rFonts w:ascii="Arial" w:hAnsi="Arial"/>
      <w:kern w:val="0"/>
      <w:sz w:val="24"/>
    </w:rPr>
  </w:style>
  <w:style w:type="character" w:customStyle="1" w:styleId="98">
    <w:name w:val="批注主题 Char1"/>
    <w:qFormat/>
    <w:uiPriority w:val="0"/>
    <w:rPr>
      <w:b/>
      <w:bCs/>
      <w:kern w:val="2"/>
      <w:sz w:val="28"/>
      <w:szCs w:val="24"/>
    </w:rPr>
  </w:style>
  <w:style w:type="character" w:customStyle="1" w:styleId="99">
    <w:name w:val="Char Char6"/>
    <w:qFormat/>
    <w:uiPriority w:val="0"/>
    <w:rPr>
      <w:rFonts w:eastAsia="宋体"/>
      <w:kern w:val="2"/>
      <w:sz w:val="21"/>
      <w:szCs w:val="24"/>
      <w:lang w:val="en-US" w:eastAsia="zh-CN" w:bidi="ar-SA"/>
    </w:rPr>
  </w:style>
  <w:style w:type="character" w:customStyle="1" w:styleId="100">
    <w:name w:val="Char Char7"/>
    <w:qFormat/>
    <w:uiPriority w:val="0"/>
    <w:rPr>
      <w:rFonts w:ascii="宋体" w:hAnsi="Courier New" w:eastAsia="宋体"/>
      <w:kern w:val="2"/>
      <w:sz w:val="21"/>
      <w:lang w:val="en-US" w:eastAsia="zh-CN" w:bidi="ar-SA"/>
    </w:rPr>
  </w:style>
  <w:style w:type="character" w:customStyle="1" w:styleId="101">
    <w:name w:val="ZJ正文 Char"/>
    <w:link w:val="102"/>
    <w:qFormat/>
    <w:uiPriority w:val="0"/>
    <w:rPr>
      <w:kern w:val="2"/>
      <w:sz w:val="24"/>
      <w:szCs w:val="24"/>
    </w:rPr>
  </w:style>
  <w:style w:type="paragraph" w:customStyle="1" w:styleId="102">
    <w:name w:val="ZJ正文"/>
    <w:basedOn w:val="1"/>
    <w:link w:val="101"/>
    <w:qFormat/>
    <w:uiPriority w:val="0"/>
    <w:pPr>
      <w:ind w:firstLine="480" w:firstLineChars="200"/>
    </w:pPr>
    <w:rPr>
      <w:sz w:val="24"/>
    </w:rPr>
  </w:style>
  <w:style w:type="character" w:customStyle="1" w:styleId="103">
    <w:name w:val="副标题 Char1"/>
    <w:qFormat/>
    <w:uiPriority w:val="0"/>
    <w:rPr>
      <w:rFonts w:ascii="Cambria" w:hAnsi="Cambria" w:cs="Times New Roman"/>
      <w:b/>
      <w:bCs/>
      <w:kern w:val="28"/>
      <w:sz w:val="32"/>
      <w:szCs w:val="32"/>
    </w:rPr>
  </w:style>
  <w:style w:type="character" w:customStyle="1" w:styleId="104">
    <w:name w:val="Char Char19"/>
    <w:qFormat/>
    <w:uiPriority w:val="0"/>
    <w:rPr>
      <w:rFonts w:ascii="Arial" w:hAnsi="Arial" w:eastAsia="黑体"/>
      <w:b/>
      <w:bCs/>
      <w:kern w:val="2"/>
      <w:sz w:val="32"/>
      <w:szCs w:val="32"/>
      <w:lang w:val="en-US" w:eastAsia="zh-CN" w:bidi="ar-SA"/>
    </w:rPr>
  </w:style>
  <w:style w:type="character" w:customStyle="1" w:styleId="105">
    <w:name w:val="htd01"/>
    <w:basedOn w:val="48"/>
    <w:qFormat/>
    <w:uiPriority w:val="0"/>
  </w:style>
  <w:style w:type="paragraph" w:customStyle="1" w:styleId="106">
    <w:name w:val="注释级别 4"/>
    <w:basedOn w:val="1"/>
    <w:qFormat/>
    <w:uiPriority w:val="0"/>
    <w:pPr>
      <w:keepNext/>
      <w:numPr>
        <w:ilvl w:val="3"/>
        <w:numId w:val="4"/>
      </w:numPr>
      <w:tabs>
        <w:tab w:val="left" w:pos="0"/>
        <w:tab w:val="clear" w:pos="2160"/>
      </w:tabs>
      <w:spacing w:line="360" w:lineRule="auto"/>
      <w:outlineLvl w:val="3"/>
    </w:pPr>
    <w:rPr>
      <w:rFonts w:ascii="宋体"/>
      <w:sz w:val="24"/>
    </w:rPr>
  </w:style>
  <w:style w:type="paragraph" w:customStyle="1" w:styleId="10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08">
    <w:name w:val="1"/>
    <w:basedOn w:val="1"/>
    <w:next w:val="1"/>
    <w:qFormat/>
    <w:uiPriority w:val="0"/>
    <w:rPr>
      <w:sz w:val="21"/>
    </w:rPr>
  </w:style>
  <w:style w:type="paragraph" w:customStyle="1" w:styleId="109">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默认段落字体 Para Char Char Char Char Char Char Char Char Char1 Char Char Char Char"/>
    <w:basedOn w:val="1"/>
    <w:qFormat/>
    <w:uiPriority w:val="0"/>
    <w:rPr>
      <w:rFonts w:ascii="Tahoma" w:hAnsi="Tahoma"/>
      <w:sz w:val="24"/>
      <w:szCs w:val="20"/>
    </w:rPr>
  </w:style>
  <w:style w:type="paragraph" w:customStyle="1" w:styleId="111">
    <w:name w:val="p0"/>
    <w:basedOn w:val="1"/>
    <w:qFormat/>
    <w:uiPriority w:val="0"/>
    <w:pPr>
      <w:widowControl/>
    </w:pPr>
    <w:rPr>
      <w:kern w:val="0"/>
      <w:szCs w:val="28"/>
    </w:rPr>
  </w:style>
  <w:style w:type="paragraph" w:customStyle="1" w:styleId="112">
    <w:name w:val="6'"/>
    <w:basedOn w:val="1"/>
    <w:qFormat/>
    <w:uiPriority w:val="0"/>
    <w:pPr>
      <w:autoSpaceDE w:val="0"/>
      <w:autoSpaceDN w:val="0"/>
      <w:adjustRightInd w:val="0"/>
      <w:snapToGrid w:val="0"/>
      <w:spacing w:line="320" w:lineRule="exact"/>
      <w:jc w:val="center"/>
      <w:textAlignment w:val="baseline"/>
    </w:pPr>
    <w:rPr>
      <w:spacing w:val="20"/>
      <w:kern w:val="28"/>
      <w:sz w:val="21"/>
      <w:szCs w:val="20"/>
    </w:rPr>
  </w:style>
  <w:style w:type="paragraph" w:customStyle="1" w:styleId="113">
    <w:name w:val="4、正文"/>
    <w:basedOn w:val="1"/>
    <w:qFormat/>
    <w:uiPriority w:val="0"/>
    <w:pPr>
      <w:ind w:firstLine="200" w:firstLineChars="200"/>
    </w:pPr>
    <w:rPr>
      <w:rFonts w:ascii="宋体"/>
      <w:sz w:val="24"/>
      <w:szCs w:val="28"/>
    </w:rPr>
  </w:style>
  <w:style w:type="paragraph" w:customStyle="1" w:styleId="114">
    <w:name w:val="注释级别 3"/>
    <w:basedOn w:val="1"/>
    <w:qFormat/>
    <w:uiPriority w:val="0"/>
    <w:pPr>
      <w:keepNext/>
      <w:numPr>
        <w:ilvl w:val="2"/>
        <w:numId w:val="4"/>
      </w:numPr>
      <w:tabs>
        <w:tab w:val="left" w:pos="0"/>
        <w:tab w:val="clear" w:pos="1440"/>
      </w:tabs>
      <w:spacing w:line="360" w:lineRule="auto"/>
      <w:outlineLvl w:val="2"/>
    </w:pPr>
    <w:rPr>
      <w:rFonts w:ascii="宋体"/>
      <w:sz w:val="24"/>
    </w:rPr>
  </w:style>
  <w:style w:type="paragraph" w:customStyle="1" w:styleId="11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7">
    <w:name w:val="Char1 Char Char Char Char Char1 Char"/>
    <w:basedOn w:val="1"/>
    <w:qFormat/>
    <w:uiPriority w:val="0"/>
    <w:pPr>
      <w:widowControl/>
      <w:spacing w:after="160" w:line="240" w:lineRule="exact"/>
      <w:jc w:val="left"/>
    </w:pPr>
    <w:rPr>
      <w:sz w:val="21"/>
    </w:rPr>
  </w:style>
  <w:style w:type="paragraph" w:customStyle="1" w:styleId="118">
    <w:name w:val="注释级别 5"/>
    <w:basedOn w:val="1"/>
    <w:qFormat/>
    <w:uiPriority w:val="0"/>
    <w:pPr>
      <w:keepNext/>
      <w:numPr>
        <w:ilvl w:val="4"/>
        <w:numId w:val="4"/>
      </w:numPr>
      <w:tabs>
        <w:tab w:val="left" w:pos="0"/>
        <w:tab w:val="clear" w:pos="2880"/>
      </w:tabs>
      <w:spacing w:line="360" w:lineRule="auto"/>
      <w:outlineLvl w:val="4"/>
    </w:pPr>
    <w:rPr>
      <w:rFonts w:ascii="宋体"/>
      <w:sz w:val="24"/>
    </w:rPr>
  </w:style>
  <w:style w:type="paragraph" w:customStyle="1" w:styleId="119">
    <w:name w:val="_Style 117"/>
    <w:unhideWhenUsed/>
    <w:qFormat/>
    <w:uiPriority w:val="99"/>
    <w:rPr>
      <w:rFonts w:ascii="Times New Roman" w:hAnsi="Times New Roman" w:eastAsia="宋体" w:cs="Times New Roman"/>
      <w:kern w:val="2"/>
      <w:sz w:val="28"/>
      <w:szCs w:val="24"/>
      <w:lang w:val="en-US" w:eastAsia="zh-CN" w:bidi="ar-SA"/>
    </w:rPr>
  </w:style>
  <w:style w:type="paragraph" w:customStyle="1" w:styleId="12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1">
    <w:name w:val="正文段"/>
    <w:basedOn w:val="1"/>
    <w:qFormat/>
    <w:uiPriority w:val="0"/>
    <w:pPr>
      <w:widowControl/>
      <w:snapToGrid w:val="0"/>
      <w:spacing w:after="156" w:afterLines="50"/>
      <w:ind w:firstLine="200" w:firstLineChars="200"/>
    </w:pPr>
    <w:rPr>
      <w:kern w:val="0"/>
      <w:sz w:val="24"/>
      <w:szCs w:val="20"/>
    </w:rPr>
  </w:style>
  <w:style w:type="paragraph" w:customStyle="1" w:styleId="122">
    <w:name w:val="Char1"/>
    <w:basedOn w:val="1"/>
    <w:qFormat/>
    <w:uiPriority w:val="0"/>
    <w:pPr>
      <w:jc w:val="center"/>
    </w:pPr>
    <w:rPr>
      <w:rFonts w:ascii="仿宋_GB2312" w:eastAsia="仿宋_GB2312"/>
      <w:b/>
      <w:kern w:val="0"/>
      <w:sz w:val="32"/>
      <w:szCs w:val="32"/>
      <w:lang w:val="en-GB"/>
    </w:rPr>
  </w:style>
  <w:style w:type="paragraph" w:customStyle="1" w:styleId="123">
    <w:name w:val="表格"/>
    <w:basedOn w:val="1"/>
    <w:qFormat/>
    <w:uiPriority w:val="0"/>
    <w:pPr>
      <w:jc w:val="center"/>
      <w:textAlignment w:val="center"/>
    </w:pPr>
    <w:rPr>
      <w:rFonts w:ascii="华文细黑" w:hAnsi="华文细黑"/>
      <w:kern w:val="0"/>
      <w:sz w:val="21"/>
      <w:szCs w:val="20"/>
    </w:rPr>
  </w:style>
  <w:style w:type="paragraph" w:customStyle="1" w:styleId="124">
    <w:name w:val="Char2"/>
    <w:basedOn w:val="1"/>
    <w:qFormat/>
    <w:uiPriority w:val="0"/>
    <w:rPr>
      <w:rFonts w:ascii="仿宋_GB2312" w:eastAsia="仿宋_GB2312"/>
      <w:b/>
      <w:sz w:val="32"/>
      <w:szCs w:val="32"/>
    </w:rPr>
  </w:style>
  <w:style w:type="paragraph" w:customStyle="1" w:styleId="125">
    <w:name w:val="注释级别 7"/>
    <w:basedOn w:val="1"/>
    <w:qFormat/>
    <w:uiPriority w:val="0"/>
    <w:pPr>
      <w:keepNext/>
      <w:numPr>
        <w:ilvl w:val="6"/>
        <w:numId w:val="4"/>
      </w:numPr>
      <w:tabs>
        <w:tab w:val="left" w:pos="0"/>
        <w:tab w:val="clear" w:pos="4320"/>
      </w:tabs>
      <w:spacing w:line="360" w:lineRule="auto"/>
      <w:outlineLvl w:val="6"/>
    </w:pPr>
    <w:rPr>
      <w:rFonts w:ascii="宋体"/>
      <w:sz w:val="24"/>
    </w:rPr>
  </w:style>
  <w:style w:type="paragraph" w:customStyle="1" w:styleId="126">
    <w:name w:val="样式 标题 3 + Arial"/>
    <w:basedOn w:val="5"/>
    <w:qFormat/>
    <w:uiPriority w:val="0"/>
    <w:pPr>
      <w:spacing w:before="312" w:beforeLines="100" w:after="0" w:line="360" w:lineRule="auto"/>
    </w:pPr>
    <w:rPr>
      <w:rFonts w:ascii="Arial" w:hAnsi="Arial"/>
      <w:sz w:val="24"/>
    </w:rPr>
  </w:style>
  <w:style w:type="paragraph" w:customStyle="1" w:styleId="127">
    <w:name w:val="Char"/>
    <w:basedOn w:val="1"/>
    <w:qFormat/>
    <w:uiPriority w:val="0"/>
    <w:rPr>
      <w:sz w:val="24"/>
    </w:rPr>
  </w:style>
  <w:style w:type="paragraph" w:customStyle="1" w:styleId="128">
    <w:name w:val="注释级别 8"/>
    <w:basedOn w:val="1"/>
    <w:qFormat/>
    <w:uiPriority w:val="0"/>
    <w:pPr>
      <w:keepNext/>
      <w:numPr>
        <w:ilvl w:val="7"/>
        <w:numId w:val="4"/>
      </w:numPr>
      <w:tabs>
        <w:tab w:val="left" w:pos="0"/>
        <w:tab w:val="clear" w:pos="5040"/>
      </w:tabs>
      <w:spacing w:line="360" w:lineRule="auto"/>
      <w:outlineLvl w:val="7"/>
    </w:pPr>
    <w:rPr>
      <w:rFonts w:ascii="宋体"/>
      <w:sz w:val="24"/>
    </w:rPr>
  </w:style>
  <w:style w:type="paragraph" w:customStyle="1" w:styleId="129">
    <w:name w:val="占位符文本2"/>
    <w:basedOn w:val="1"/>
    <w:qFormat/>
    <w:uiPriority w:val="0"/>
    <w:pPr>
      <w:keepNext/>
      <w:numPr>
        <w:ilvl w:val="0"/>
        <w:numId w:val="4"/>
      </w:numPr>
      <w:spacing w:line="360" w:lineRule="auto"/>
      <w:outlineLvl w:val="0"/>
    </w:pPr>
    <w:rPr>
      <w:rFonts w:ascii="宋体"/>
      <w:sz w:val="24"/>
    </w:rPr>
  </w:style>
  <w:style w:type="paragraph" w:styleId="130">
    <w:name w:val="List Paragraph"/>
    <w:basedOn w:val="1"/>
    <w:qFormat/>
    <w:uiPriority w:val="0"/>
    <w:pPr>
      <w:ind w:firstLine="420" w:firstLineChars="200"/>
    </w:pPr>
    <w:rPr>
      <w:rFonts w:ascii="Calibri" w:hAnsi="Calibri"/>
      <w:sz w:val="21"/>
      <w:szCs w:val="22"/>
    </w:rPr>
  </w:style>
  <w:style w:type="paragraph" w:customStyle="1" w:styleId="131">
    <w:name w:val="表格文字"/>
    <w:basedOn w:val="1"/>
    <w:qFormat/>
    <w:uiPriority w:val="0"/>
    <w:pPr>
      <w:adjustRightInd w:val="0"/>
      <w:spacing w:line="420" w:lineRule="atLeast"/>
      <w:jc w:val="left"/>
      <w:textAlignment w:val="baseline"/>
    </w:pPr>
    <w:rPr>
      <w:kern w:val="0"/>
      <w:sz w:val="21"/>
      <w:szCs w:val="20"/>
    </w:rPr>
  </w:style>
  <w:style w:type="paragraph" w:customStyle="1" w:styleId="132">
    <w:name w:val="样式 样式 样式1 + 首行缩进:  2 字符 + 左侧:  0.74 厘米"/>
    <w:basedOn w:val="133"/>
    <w:qFormat/>
    <w:uiPriority w:val="0"/>
    <w:pPr>
      <w:ind w:firstLine="200"/>
    </w:pPr>
  </w:style>
  <w:style w:type="paragraph" w:customStyle="1" w:styleId="133">
    <w:name w:val="样式 样式1 + 首行缩进:  2 字符"/>
    <w:basedOn w:val="1"/>
    <w:qFormat/>
    <w:uiPriority w:val="0"/>
    <w:pPr>
      <w:spacing w:line="360" w:lineRule="exact"/>
      <w:ind w:firstLine="420" w:firstLineChars="200"/>
    </w:pPr>
    <w:rPr>
      <w:rFonts w:ascii="Arial" w:hAnsi="Arial" w:cs="宋体"/>
      <w:sz w:val="21"/>
      <w:szCs w:val="20"/>
    </w:rPr>
  </w:style>
  <w:style w:type="paragraph" w:customStyle="1" w:styleId="134">
    <w:name w:val="样式 正文文本"/>
    <w:basedOn w:val="1"/>
    <w:qFormat/>
    <w:uiPriority w:val="0"/>
    <w:pPr>
      <w:adjustRightInd w:val="0"/>
      <w:snapToGrid w:val="0"/>
      <w:spacing w:line="400" w:lineRule="exact"/>
      <w:ind w:firstLine="200" w:firstLineChars="200"/>
    </w:pPr>
    <w:rPr>
      <w:rFonts w:ascii="Arial" w:hAnsi="Arial" w:cs="宋体"/>
      <w:color w:val="000000"/>
      <w:sz w:val="21"/>
      <w:szCs w:val="20"/>
    </w:rPr>
  </w:style>
  <w:style w:type="paragraph" w:customStyle="1" w:styleId="135">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136">
    <w:name w:val="正文缩进2字符"/>
    <w:basedOn w:val="1"/>
    <w:qFormat/>
    <w:uiPriority w:val="0"/>
    <w:pPr>
      <w:ind w:firstLine="480" w:firstLineChars="200"/>
    </w:pPr>
    <w:rPr>
      <w:rFonts w:hint="eastAsia" w:ascii="宋体" w:hAnsi="宋体"/>
      <w:sz w:val="24"/>
      <w:szCs w:val="20"/>
    </w:rPr>
  </w:style>
  <w:style w:type="paragraph" w:customStyle="1" w:styleId="137">
    <w:name w:val="注释级别 6"/>
    <w:basedOn w:val="1"/>
    <w:qFormat/>
    <w:uiPriority w:val="0"/>
    <w:pPr>
      <w:keepNext/>
      <w:numPr>
        <w:ilvl w:val="5"/>
        <w:numId w:val="4"/>
      </w:numPr>
      <w:tabs>
        <w:tab w:val="left" w:pos="0"/>
        <w:tab w:val="clear" w:pos="3600"/>
      </w:tabs>
      <w:spacing w:line="360" w:lineRule="auto"/>
      <w:outlineLvl w:val="5"/>
    </w:pPr>
    <w:rPr>
      <w:rFonts w:ascii="宋体"/>
      <w:sz w:val="24"/>
    </w:rPr>
  </w:style>
  <w:style w:type="paragraph" w:customStyle="1" w:styleId="13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9">
    <w:name w:val="注释级别 9"/>
    <w:basedOn w:val="1"/>
    <w:qFormat/>
    <w:uiPriority w:val="0"/>
    <w:pPr>
      <w:keepNext/>
      <w:numPr>
        <w:ilvl w:val="8"/>
        <w:numId w:val="4"/>
      </w:numPr>
      <w:tabs>
        <w:tab w:val="left" w:pos="0"/>
        <w:tab w:val="clear" w:pos="5760"/>
      </w:tabs>
      <w:spacing w:line="360" w:lineRule="auto"/>
      <w:outlineLvl w:val="8"/>
    </w:pPr>
    <w:rPr>
      <w:rFonts w:ascii="宋体"/>
      <w:sz w:val="24"/>
    </w:rPr>
  </w:style>
  <w:style w:type="character" w:customStyle="1" w:styleId="140">
    <w:name w:val="font01"/>
    <w:basedOn w:val="4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35</Pages>
  <Words>18403</Words>
  <Characters>19457</Characters>
  <Lines>159</Lines>
  <Paragraphs>45</Paragraphs>
  <TotalTime>8</TotalTime>
  <ScaleCrop>false</ScaleCrop>
  <LinksUpToDate>false</LinksUpToDate>
  <CharactersWithSpaces>21630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2024-09-23T02:15:00Z</dcterms:created>
  <dc:creator>费国炎</dc:creator>
  <cp:lastModifiedBy>ZERO</cp:lastModifiedBy>
  <cp:lastPrinted>2024-01-11T08:01:00Z</cp:lastPrinted>
  <dcterms:modified xsi:type="dcterms:W3CDTF">2024-10-14T03:04:39Z</dcterms:modified>
  <dc:title>浙江省政府采购招标文件（范本）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57BC999A61A443E2B9CFFFCB005B12A5_13</vt:lpwstr>
  </property>
</Properties>
</file>