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88E22A">
      <w:pPr>
        <w:adjustRightInd w:val="0"/>
        <w:snapToGrid w:val="0"/>
        <w:spacing w:line="1200" w:lineRule="exact"/>
        <w:jc w:val="both"/>
        <w:rPr>
          <w:rFonts w:hint="eastAsia" w:ascii="宋体" w:eastAsia="宋体" w:cs="宋体"/>
          <w:b/>
          <w:bCs/>
          <w:color w:val="auto"/>
          <w:sz w:val="84"/>
          <w:szCs w:val="84"/>
          <w:highlight w:val="none"/>
          <w:lang w:val="en-US" w:eastAsia="zh-CN"/>
        </w:rPr>
      </w:pPr>
    </w:p>
    <w:p w14:paraId="689C3074">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台州湾新区小额工程</w:t>
      </w:r>
    </w:p>
    <w:p w14:paraId="6E256D3D">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招 标 文 件</w:t>
      </w:r>
    </w:p>
    <w:p w14:paraId="2220D11B">
      <w:pPr>
        <w:pStyle w:val="61"/>
        <w:rPr>
          <w:rFonts w:hint="eastAsia" w:ascii="宋体" w:hAnsi="宋体" w:eastAsia="宋体" w:cs="宋体"/>
          <w:b/>
          <w:color w:val="auto"/>
          <w:sz w:val="72"/>
          <w:szCs w:val="72"/>
          <w:highlight w:val="none"/>
        </w:rPr>
      </w:pPr>
    </w:p>
    <w:p w14:paraId="3653CD56">
      <w:pPr>
        <w:pStyle w:val="23"/>
        <w:ind w:left="0" w:leftChars="0"/>
        <w:jc w:val="center"/>
        <w:rPr>
          <w:rFonts w:hint="eastAsia" w:ascii="宋体" w:hAnsi="宋体" w:eastAsia="宋体" w:cs="宋体"/>
          <w:bCs/>
          <w:color w:val="auto"/>
          <w:sz w:val="36"/>
          <w:szCs w:val="32"/>
          <w:highlight w:val="none"/>
        </w:rPr>
      </w:pPr>
      <w:r>
        <w:rPr>
          <w:rFonts w:hint="eastAsia" w:ascii="宋体" w:hAnsi="宋体" w:eastAsia="宋体" w:cs="宋体"/>
          <w:bCs/>
          <w:color w:val="auto"/>
          <w:sz w:val="36"/>
          <w:szCs w:val="32"/>
          <w:highlight w:val="none"/>
        </w:rPr>
        <w:t>（项目编号：QBJ2024</w:t>
      </w:r>
      <w:r>
        <w:rPr>
          <w:rFonts w:hint="eastAsia" w:eastAsia="宋体" w:cs="宋体"/>
          <w:bCs/>
          <w:color w:val="auto"/>
          <w:sz w:val="36"/>
          <w:szCs w:val="32"/>
          <w:highlight w:val="none"/>
          <w:lang w:val="en-US" w:eastAsia="zh-CN"/>
        </w:rPr>
        <w:t xml:space="preserve">   </w:t>
      </w:r>
      <w:r>
        <w:rPr>
          <w:rFonts w:hint="eastAsia" w:ascii="宋体" w:hAnsi="宋体" w:eastAsia="宋体" w:cs="宋体"/>
          <w:bCs/>
          <w:color w:val="auto"/>
          <w:sz w:val="36"/>
          <w:szCs w:val="32"/>
          <w:highlight w:val="none"/>
        </w:rPr>
        <w:t>）</w:t>
      </w:r>
    </w:p>
    <w:p w14:paraId="4C6DC7EB">
      <w:pPr>
        <w:pStyle w:val="11"/>
        <w:jc w:val="center"/>
        <w:rPr>
          <w:rFonts w:hint="eastAsia"/>
          <w:color w:val="auto"/>
          <w:highlight w:val="none"/>
        </w:rPr>
      </w:pPr>
    </w:p>
    <w:p w14:paraId="1E979559">
      <w:pPr>
        <w:pStyle w:val="28"/>
        <w:ind w:firstLine="0" w:firstLineChars="0"/>
        <w:rPr>
          <w:rFonts w:hint="eastAsia"/>
          <w:color w:val="auto"/>
          <w:highlight w:val="none"/>
        </w:rPr>
      </w:pPr>
    </w:p>
    <w:p w14:paraId="24BBD260">
      <w:pPr>
        <w:pStyle w:val="11"/>
        <w:jc w:val="center"/>
        <w:rPr>
          <w:color w:val="auto"/>
          <w:highlight w:val="none"/>
        </w:rPr>
      </w:pPr>
    </w:p>
    <w:p w14:paraId="00268F0F">
      <w:pPr>
        <w:spacing w:line="480" w:lineRule="auto"/>
        <w:jc w:val="center"/>
        <w:rPr>
          <w:rFonts w:hint="default" w:ascii="宋体" w:hAnsi="宋体" w:eastAsia="宋体" w:cs="宋体"/>
          <w:b w:val="0"/>
          <w:bCs w:val="0"/>
          <w:color w:val="auto"/>
          <w:sz w:val="28"/>
          <w:highlight w:val="none"/>
          <w:u w:val="single"/>
          <w:lang w:val="en-US" w:eastAsia="zh-CN"/>
        </w:rPr>
      </w:pPr>
      <w:r>
        <w:rPr>
          <w:rFonts w:hint="eastAsia" w:ascii="宋体" w:hAnsi="宋体" w:eastAsia="宋体" w:cs="宋体"/>
          <w:b w:val="0"/>
          <w:bCs w:val="0"/>
          <w:color w:val="auto"/>
          <w:sz w:val="28"/>
          <w:highlight w:val="none"/>
          <w:lang w:val="en-US" w:eastAsia="zh-CN"/>
        </w:rPr>
        <w:t>项目名称：</w:t>
      </w:r>
      <w:r>
        <w:rPr>
          <w:rFonts w:hint="eastAsia" w:ascii="宋体" w:hAnsi="宋体" w:eastAsia="宋体" w:cs="宋体"/>
          <w:b w:val="0"/>
          <w:bCs w:val="0"/>
          <w:color w:val="auto"/>
          <w:sz w:val="28"/>
          <w:highlight w:val="none"/>
          <w:u w:val="single"/>
          <w:lang w:val="en-US" w:eastAsia="zh-CN"/>
        </w:rPr>
        <w:t>台州湾陆岛联动综合码头工程（一期）建筑工程一切险及安全生产责任险保险服务项目</w:t>
      </w:r>
    </w:p>
    <w:p w14:paraId="54086D5B">
      <w:pPr>
        <w:spacing w:line="480" w:lineRule="auto"/>
        <w:ind w:firstLine="840" w:firstLineChars="300"/>
        <w:rPr>
          <w:rFonts w:hint="eastAsia" w:ascii="宋体" w:hAnsi="宋体" w:eastAsia="宋体" w:cs="宋体"/>
          <w:color w:val="auto"/>
          <w:sz w:val="28"/>
          <w:highlight w:val="none"/>
          <w:u w:val="single"/>
          <w:lang w:eastAsia="zh-CN"/>
        </w:rPr>
      </w:pPr>
      <w:r>
        <w:rPr>
          <w:rFonts w:hint="eastAsia" w:ascii="宋体" w:hAnsi="宋体" w:eastAsia="宋体" w:cs="宋体"/>
          <w:color w:val="auto"/>
          <w:sz w:val="28"/>
          <w:highlight w:val="none"/>
          <w:lang w:val="en-US" w:eastAsia="zh-CN"/>
        </w:rPr>
        <w:t>招标</w:t>
      </w:r>
      <w:r>
        <w:rPr>
          <w:rFonts w:hint="eastAsia" w:ascii="宋体" w:hAnsi="宋体" w:eastAsia="宋体" w:cs="宋体"/>
          <w:color w:val="auto"/>
          <w:sz w:val="28"/>
          <w:highlight w:val="none"/>
        </w:rPr>
        <w:t>人</w:t>
      </w:r>
      <w:r>
        <w:rPr>
          <w:rFonts w:hint="eastAsia" w:ascii="宋体" w:hAnsi="宋体" w:eastAsia="宋体" w:cs="宋体"/>
          <w:color w:val="auto"/>
          <w:sz w:val="28"/>
          <w:highlight w:val="none"/>
          <w:lang w:val="en-US" w:eastAsia="zh-CN"/>
        </w:rPr>
        <w:t>1</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lang w:eastAsia="zh-CN"/>
        </w:rPr>
        <w:t>台州西廊港口开发有限公司</w:t>
      </w:r>
      <w:r>
        <w:rPr>
          <w:rFonts w:hint="eastAsia" w:ascii="宋体" w:hAnsi="宋体" w:eastAsia="宋体" w:cs="宋体"/>
          <w:color w:val="auto"/>
          <w:sz w:val="28"/>
          <w:highlight w:val="none"/>
        </w:rPr>
        <w:t>（盖章）</w:t>
      </w:r>
    </w:p>
    <w:p w14:paraId="4D52428C">
      <w:pPr>
        <w:spacing w:line="480" w:lineRule="auto"/>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lang w:val="en-US" w:eastAsia="zh-CN"/>
        </w:rPr>
        <w:t>招标</w:t>
      </w:r>
      <w:r>
        <w:rPr>
          <w:rFonts w:hint="eastAsia" w:ascii="宋体" w:hAnsi="宋体" w:eastAsia="宋体" w:cs="宋体"/>
          <w:color w:val="auto"/>
          <w:sz w:val="28"/>
          <w:highlight w:val="none"/>
        </w:rPr>
        <w:t>人</w:t>
      </w:r>
      <w:r>
        <w:rPr>
          <w:rFonts w:hint="eastAsia" w:ascii="宋体" w:hAnsi="宋体" w:eastAsia="宋体" w:cs="宋体"/>
          <w:color w:val="auto"/>
          <w:sz w:val="28"/>
          <w:highlight w:val="none"/>
          <w:lang w:val="en-US" w:eastAsia="zh-CN"/>
        </w:rPr>
        <w:t>2</w:t>
      </w:r>
      <w:r>
        <w:rPr>
          <w:rFonts w:hint="eastAsia" w:ascii="宋体" w:hAnsi="宋体" w:eastAsia="宋体" w:cs="宋体"/>
          <w:color w:val="auto"/>
          <w:sz w:val="28"/>
          <w:highlight w:val="none"/>
        </w:rPr>
        <w:t>：</w:t>
      </w:r>
      <w:r>
        <w:rPr>
          <w:rFonts w:hint="eastAsia" w:ascii="宋体" w:hAnsi="宋体" w:eastAsia="宋体" w:cs="宋体"/>
          <w:color w:val="auto"/>
          <w:sz w:val="28"/>
          <w:highlight w:val="none"/>
          <w:u w:val="single"/>
        </w:rPr>
        <w:t>中交第三航务工程局有限公司</w:t>
      </w:r>
      <w:r>
        <w:rPr>
          <w:rFonts w:hint="eastAsia" w:ascii="宋体" w:hAnsi="宋体" w:eastAsia="宋体" w:cs="宋体"/>
          <w:color w:val="auto"/>
          <w:sz w:val="28"/>
          <w:highlight w:val="none"/>
        </w:rPr>
        <w:t>（盖章）</w:t>
      </w:r>
    </w:p>
    <w:p w14:paraId="1023C237">
      <w:pPr>
        <w:spacing w:line="480" w:lineRule="auto"/>
        <w:ind w:firstLine="840" w:firstLineChars="300"/>
        <w:rPr>
          <w:rFonts w:hint="default" w:ascii="宋体" w:hAnsi="宋体" w:eastAsia="宋体" w:cs="宋体"/>
          <w:color w:val="auto"/>
          <w:sz w:val="28"/>
          <w:highlight w:val="none"/>
          <w:lang w:val="en-US" w:eastAsia="zh-CN"/>
        </w:rPr>
      </w:pPr>
      <w:r>
        <w:rPr>
          <w:rFonts w:hint="eastAsia" w:ascii="宋体" w:hAnsi="宋体" w:eastAsia="宋体" w:cs="宋体"/>
          <w:color w:val="auto"/>
          <w:sz w:val="28"/>
          <w:highlight w:val="none"/>
        </w:rPr>
        <w:t>联 系 人：</w:t>
      </w:r>
      <w:r>
        <w:rPr>
          <w:rFonts w:hint="eastAsia" w:ascii="宋体" w:hAnsi="宋体" w:eastAsia="宋体" w:cs="宋体"/>
          <w:color w:val="auto"/>
          <w:sz w:val="28"/>
          <w:highlight w:val="none"/>
          <w:u w:val="single"/>
          <w:lang w:val="en-US" w:eastAsia="zh-CN"/>
        </w:rPr>
        <w:t>李康德</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 xml:space="preserve"> </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联系电话：</w:t>
      </w:r>
      <w:r>
        <w:rPr>
          <w:rFonts w:hint="eastAsia" w:ascii="宋体" w:hAnsi="宋体" w:eastAsia="宋体" w:cs="宋体"/>
          <w:color w:val="auto"/>
          <w:sz w:val="28"/>
          <w:highlight w:val="none"/>
          <w:u w:val="single"/>
          <w:lang w:val="en-US" w:eastAsia="zh-CN"/>
        </w:rPr>
        <w:t>13857688987</w:t>
      </w:r>
    </w:p>
    <w:p w14:paraId="1A5803FD">
      <w:pPr>
        <w:spacing w:line="480" w:lineRule="auto"/>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招标代理：</w:t>
      </w:r>
      <w:r>
        <w:rPr>
          <w:rFonts w:hint="eastAsia" w:ascii="宋体" w:hAnsi="宋体" w:eastAsia="宋体" w:cs="宋体"/>
          <w:color w:val="auto"/>
          <w:sz w:val="28"/>
          <w:highlight w:val="none"/>
          <w:u w:val="single"/>
          <w:lang w:eastAsia="zh-CN"/>
        </w:rPr>
        <w:t>台州市建设咨询有限公司</w:t>
      </w:r>
      <w:r>
        <w:rPr>
          <w:rFonts w:hint="eastAsia" w:ascii="宋体" w:hAnsi="宋体" w:eastAsia="宋体" w:cs="宋体"/>
          <w:color w:val="auto"/>
          <w:sz w:val="28"/>
          <w:highlight w:val="none"/>
        </w:rPr>
        <w:t>（盖章）</w:t>
      </w:r>
    </w:p>
    <w:p w14:paraId="34ECCCC6">
      <w:pPr>
        <w:spacing w:line="480" w:lineRule="auto"/>
        <w:ind w:firstLine="840" w:firstLineChars="300"/>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rPr>
        <w:t>联 系 人：</w:t>
      </w:r>
      <w:r>
        <w:rPr>
          <w:rFonts w:hint="eastAsia" w:ascii="宋体" w:hAnsi="宋体" w:eastAsia="宋体" w:cs="宋体"/>
          <w:color w:val="auto"/>
          <w:sz w:val="28"/>
          <w:highlight w:val="none"/>
          <w:u w:val="single"/>
          <w:lang w:val="en-US" w:eastAsia="zh-CN"/>
        </w:rPr>
        <w:t xml:space="preserve">葛俊 </w:t>
      </w:r>
      <w:r>
        <w:rPr>
          <w:rFonts w:hint="eastAsia" w:ascii="宋体" w:hAnsi="宋体" w:eastAsia="宋体" w:cs="宋体"/>
          <w:color w:val="auto"/>
          <w:sz w:val="28"/>
          <w:highlight w:val="none"/>
          <w:lang w:val="en-US" w:eastAsia="zh-CN"/>
        </w:rPr>
        <w:t xml:space="preserve">  </w:t>
      </w:r>
      <w:r>
        <w:rPr>
          <w:rFonts w:hint="eastAsia" w:ascii="宋体" w:hAnsi="宋体" w:eastAsia="宋体" w:cs="宋体"/>
          <w:color w:val="auto"/>
          <w:sz w:val="28"/>
          <w:highlight w:val="none"/>
        </w:rPr>
        <w:t>联系电话：</w:t>
      </w:r>
      <w:r>
        <w:rPr>
          <w:rFonts w:hint="eastAsia" w:ascii="宋体" w:hAnsi="宋体" w:eastAsia="宋体" w:cs="宋体"/>
          <w:color w:val="auto"/>
          <w:sz w:val="28"/>
          <w:highlight w:val="none"/>
          <w:u w:val="single"/>
        </w:rPr>
        <w:t>0576-8851778</w:t>
      </w:r>
      <w:r>
        <w:rPr>
          <w:rFonts w:hint="eastAsia" w:ascii="宋体" w:hAnsi="宋体" w:eastAsia="宋体" w:cs="宋体"/>
          <w:color w:val="auto"/>
          <w:sz w:val="28"/>
          <w:highlight w:val="none"/>
          <w:u w:val="single"/>
          <w:lang w:val="en-US" w:eastAsia="zh-CN"/>
        </w:rPr>
        <w:t>2</w:t>
      </w:r>
    </w:p>
    <w:p w14:paraId="18073A41">
      <w:pPr>
        <w:pStyle w:val="11"/>
        <w:rPr>
          <w:rFonts w:hint="eastAsia"/>
          <w:color w:val="auto"/>
          <w:sz w:val="28"/>
          <w:highlight w:val="none"/>
          <w:u w:val="single"/>
        </w:rPr>
      </w:pPr>
    </w:p>
    <w:p w14:paraId="007DCB13">
      <w:pPr>
        <w:pStyle w:val="11"/>
        <w:rPr>
          <w:rFonts w:hint="eastAsia"/>
          <w:color w:val="auto"/>
          <w:sz w:val="28"/>
          <w:highlight w:val="none"/>
          <w:u w:val="single"/>
        </w:rPr>
      </w:pPr>
    </w:p>
    <w:p w14:paraId="1C9F5809">
      <w:pPr>
        <w:pStyle w:val="11"/>
        <w:rPr>
          <w:rFonts w:hint="eastAsia"/>
          <w:color w:val="auto"/>
          <w:sz w:val="28"/>
          <w:highlight w:val="none"/>
          <w:u w:val="single"/>
        </w:rPr>
      </w:pPr>
    </w:p>
    <w:p w14:paraId="43CB6348">
      <w:pPr>
        <w:pStyle w:val="11"/>
        <w:rPr>
          <w:rFonts w:hint="eastAsia"/>
          <w:color w:val="auto"/>
          <w:sz w:val="28"/>
          <w:highlight w:val="none"/>
          <w:u w:val="single"/>
        </w:rPr>
      </w:pPr>
    </w:p>
    <w:p w14:paraId="3DEE5958">
      <w:pPr>
        <w:pStyle w:val="11"/>
        <w:rPr>
          <w:rFonts w:hint="eastAsia"/>
          <w:color w:val="auto"/>
          <w:sz w:val="28"/>
          <w:highlight w:val="none"/>
          <w:u w:val="single"/>
        </w:rPr>
      </w:pPr>
    </w:p>
    <w:p w14:paraId="6399AA91">
      <w:pPr>
        <w:pStyle w:val="11"/>
        <w:jc w:val="both"/>
        <w:rPr>
          <w:rFonts w:hint="eastAsia"/>
          <w:color w:val="auto"/>
          <w:sz w:val="28"/>
          <w:highlight w:val="none"/>
          <w:u w:val="single"/>
        </w:rPr>
      </w:pPr>
    </w:p>
    <w:p w14:paraId="756BA33C">
      <w:pPr>
        <w:pStyle w:val="11"/>
        <w:ind w:firstLine="3360" w:firstLineChars="1200"/>
        <w:jc w:val="both"/>
        <w:rPr>
          <w:color w:val="auto"/>
          <w:highlight w:val="none"/>
          <w:u w:val="none"/>
        </w:rPr>
      </w:pPr>
      <w:r>
        <w:rPr>
          <w:rFonts w:hint="eastAsia"/>
          <w:color w:val="auto"/>
          <w:sz w:val="28"/>
          <w:highlight w:val="none"/>
          <w:u w:val="none"/>
        </w:rPr>
        <w:t>20</w:t>
      </w:r>
      <w:r>
        <w:rPr>
          <w:rFonts w:hint="eastAsia"/>
          <w:color w:val="auto"/>
          <w:sz w:val="28"/>
          <w:highlight w:val="none"/>
          <w:u w:val="none"/>
          <w:lang w:val="en-US" w:eastAsia="zh-CN"/>
        </w:rPr>
        <w:t>24</w:t>
      </w:r>
      <w:r>
        <w:rPr>
          <w:rFonts w:hint="eastAsia"/>
          <w:color w:val="auto"/>
          <w:sz w:val="28"/>
          <w:highlight w:val="none"/>
          <w:u w:val="none"/>
        </w:rPr>
        <w:t>年</w:t>
      </w:r>
      <w:r>
        <w:rPr>
          <w:rFonts w:hint="eastAsia"/>
          <w:color w:val="auto"/>
          <w:sz w:val="28"/>
          <w:highlight w:val="none"/>
          <w:u w:val="none"/>
          <w:lang w:val="en-US" w:eastAsia="zh-CN"/>
        </w:rPr>
        <w:t>10</w:t>
      </w:r>
      <w:r>
        <w:rPr>
          <w:rFonts w:hint="eastAsia"/>
          <w:color w:val="auto"/>
          <w:sz w:val="28"/>
          <w:highlight w:val="none"/>
          <w:u w:val="none"/>
        </w:rPr>
        <w:t>月</w:t>
      </w:r>
    </w:p>
    <w:p w14:paraId="424EDAFD">
      <w:pPr>
        <w:spacing w:line="360" w:lineRule="auto"/>
        <w:jc w:val="center"/>
        <w:rPr>
          <w:rFonts w:hint="eastAsia" w:ascii="宋体" w:cs="Arial"/>
          <w:b/>
          <w:bCs/>
          <w:color w:val="auto"/>
          <w:sz w:val="36"/>
          <w:szCs w:val="36"/>
          <w:highlight w:val="none"/>
        </w:rPr>
        <w:sectPr>
          <w:headerReference r:id="rId4" w:type="first"/>
          <w:headerReference r:id="rId3" w:type="default"/>
          <w:footerReference r:id="rId5" w:type="default"/>
          <w:pgSz w:w="11906" w:h="16838"/>
          <w:pgMar w:top="1134" w:right="1587" w:bottom="1134" w:left="1587" w:header="851" w:footer="850" w:gutter="0"/>
          <w:pgNumType w:fmt="numberInDash" w:start="1"/>
          <w:cols w:space="720" w:num="1"/>
          <w:titlePg/>
          <w:docGrid w:linePitch="312" w:charSpace="0"/>
        </w:sectPr>
      </w:pPr>
    </w:p>
    <w:p w14:paraId="1252E2F1">
      <w:pPr>
        <w:spacing w:line="360" w:lineRule="auto"/>
        <w:jc w:val="center"/>
        <w:rPr>
          <w:rFonts w:hint="eastAsia" w:ascii="宋体" w:cs="Arial"/>
          <w:b/>
          <w:bCs/>
          <w:color w:val="auto"/>
          <w:sz w:val="36"/>
          <w:szCs w:val="36"/>
          <w:highlight w:val="none"/>
        </w:rPr>
      </w:pPr>
    </w:p>
    <w:p w14:paraId="6FD699B3">
      <w:pPr>
        <w:spacing w:line="360" w:lineRule="auto"/>
        <w:jc w:val="center"/>
        <w:rPr>
          <w:rFonts w:hint="eastAsia" w:ascii="宋体" w:cs="Arial"/>
          <w:b/>
          <w:bCs/>
          <w:color w:val="auto"/>
          <w:sz w:val="36"/>
          <w:szCs w:val="36"/>
          <w:highlight w:val="none"/>
        </w:rPr>
      </w:pPr>
    </w:p>
    <w:p w14:paraId="13C01784">
      <w:pPr>
        <w:spacing w:before="0" w:beforeLines="0" w:after="0" w:afterLines="0" w:line="240" w:lineRule="auto"/>
        <w:ind w:left="0" w:leftChars="0" w:right="0" w:rightChars="0" w:firstLine="0" w:firstLineChars="0"/>
        <w:jc w:val="center"/>
        <w:rPr>
          <w:b/>
          <w:bCs/>
          <w:color w:val="auto"/>
          <w:sz w:val="40"/>
          <w:szCs w:val="48"/>
          <w:highlight w:val="none"/>
        </w:rPr>
      </w:pPr>
      <w:bookmarkStart w:id="0" w:name="_Toc30240_WPSOffice_Type1"/>
      <w:r>
        <w:rPr>
          <w:rFonts w:ascii="宋体" w:hAnsi="宋体" w:eastAsia="宋体"/>
          <w:b/>
          <w:bCs/>
          <w:color w:val="auto"/>
          <w:sz w:val="40"/>
          <w:szCs w:val="48"/>
          <w:highlight w:val="none"/>
        </w:rPr>
        <w:t>目</w:t>
      </w:r>
      <w:r>
        <w:rPr>
          <w:rFonts w:hint="eastAsia" w:ascii="宋体" w:hAnsi="宋体" w:eastAsia="宋体"/>
          <w:b/>
          <w:bCs/>
          <w:color w:val="auto"/>
          <w:sz w:val="40"/>
          <w:szCs w:val="48"/>
          <w:highlight w:val="none"/>
          <w:lang w:val="en-US" w:eastAsia="zh-CN"/>
        </w:rPr>
        <w:t xml:space="preserve">  </w:t>
      </w:r>
      <w:r>
        <w:rPr>
          <w:rFonts w:ascii="宋体" w:hAnsi="宋体" w:eastAsia="宋体"/>
          <w:b/>
          <w:bCs/>
          <w:color w:val="auto"/>
          <w:sz w:val="40"/>
          <w:szCs w:val="48"/>
          <w:highlight w:val="none"/>
        </w:rPr>
        <w:t>录</w:t>
      </w:r>
    </w:p>
    <w:p w14:paraId="5BC6624E">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p>
    <w:p w14:paraId="7E0073E3">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p>
    <w:p w14:paraId="411FF025">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p>
    <w:p w14:paraId="759B975C">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_Toc22387_WPSOffice_Level1 </w:instrText>
      </w:r>
      <w:r>
        <w:rPr>
          <w:color w:val="auto"/>
          <w:sz w:val="28"/>
          <w:szCs w:val="28"/>
          <w:highlight w:val="none"/>
        </w:rPr>
        <w:fldChar w:fldCharType="separate"/>
      </w:r>
      <w:r>
        <w:rPr>
          <w:rFonts w:hint="eastAsia" w:ascii="宋体"/>
          <w:color w:val="auto"/>
          <w:sz w:val="28"/>
          <w:szCs w:val="28"/>
          <w:highlight w:val="none"/>
        </w:rPr>
        <w:t>第一章 公开招标采购公告</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p>
    <w:p w14:paraId="7D2BD7DA">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_Toc30644_WPSOffice_Level1 </w:instrText>
      </w:r>
      <w:r>
        <w:rPr>
          <w:color w:val="auto"/>
          <w:sz w:val="28"/>
          <w:szCs w:val="28"/>
          <w:highlight w:val="none"/>
        </w:rPr>
        <w:fldChar w:fldCharType="separate"/>
      </w:r>
      <w:r>
        <w:rPr>
          <w:rFonts w:hint="eastAsia" w:ascii="宋体"/>
          <w:color w:val="auto"/>
          <w:sz w:val="28"/>
          <w:szCs w:val="28"/>
          <w:highlight w:val="none"/>
        </w:rPr>
        <w:t>第二章 投标人须知</w:t>
      </w:r>
      <w:r>
        <w:rPr>
          <w:color w:val="auto"/>
          <w:sz w:val="28"/>
          <w:szCs w:val="28"/>
          <w:highlight w:val="none"/>
        </w:rPr>
        <w:tab/>
      </w:r>
      <w:r>
        <w:rPr>
          <w:rFonts w:hint="eastAsia"/>
          <w:color w:val="auto"/>
          <w:sz w:val="28"/>
          <w:szCs w:val="28"/>
          <w:highlight w:val="none"/>
          <w:lang w:val="en-US" w:eastAsia="zh-CN"/>
        </w:rPr>
        <w:t>6</w:t>
      </w:r>
      <w:r>
        <w:rPr>
          <w:color w:val="auto"/>
          <w:sz w:val="28"/>
          <w:szCs w:val="28"/>
          <w:highlight w:val="none"/>
        </w:rPr>
        <w:fldChar w:fldCharType="end"/>
      </w:r>
    </w:p>
    <w:p w14:paraId="6B829EC3">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_Toc28048_WPSOffice_Level1 </w:instrText>
      </w:r>
      <w:r>
        <w:rPr>
          <w:color w:val="auto"/>
          <w:sz w:val="28"/>
          <w:szCs w:val="28"/>
          <w:highlight w:val="none"/>
        </w:rPr>
        <w:fldChar w:fldCharType="separate"/>
      </w:r>
      <w:r>
        <w:rPr>
          <w:rFonts w:hint="eastAsia" w:ascii="宋体" w:cs="Times New Roman"/>
          <w:color w:val="auto"/>
          <w:sz w:val="28"/>
          <w:szCs w:val="28"/>
          <w:highlight w:val="none"/>
        </w:rPr>
        <w:t xml:space="preserve">第三章 </w:t>
      </w:r>
      <w:r>
        <w:rPr>
          <w:rFonts w:hint="eastAsia" w:ascii="宋体"/>
          <w:color w:val="auto"/>
          <w:sz w:val="28"/>
          <w:szCs w:val="28"/>
          <w:highlight w:val="none"/>
        </w:rPr>
        <w:t>公开招标需求</w:t>
      </w:r>
      <w:r>
        <w:rPr>
          <w:color w:val="auto"/>
          <w:sz w:val="28"/>
          <w:szCs w:val="28"/>
          <w:highlight w:val="none"/>
        </w:rPr>
        <w:tab/>
      </w:r>
      <w:bookmarkStart w:id="1" w:name="_Toc28048_WPSOffice_Level1Page"/>
      <w:r>
        <w:rPr>
          <w:color w:val="auto"/>
          <w:sz w:val="28"/>
          <w:szCs w:val="28"/>
          <w:highlight w:val="none"/>
        </w:rPr>
        <w:t>2</w:t>
      </w:r>
      <w:bookmarkEnd w:id="1"/>
      <w:r>
        <w:rPr>
          <w:rFonts w:hint="eastAsia"/>
          <w:color w:val="auto"/>
          <w:sz w:val="28"/>
          <w:szCs w:val="28"/>
          <w:highlight w:val="none"/>
          <w:lang w:val="en-US" w:eastAsia="zh-CN"/>
        </w:rPr>
        <w:t>0</w:t>
      </w:r>
      <w:r>
        <w:rPr>
          <w:color w:val="auto"/>
          <w:sz w:val="28"/>
          <w:szCs w:val="28"/>
          <w:highlight w:val="none"/>
        </w:rPr>
        <w:fldChar w:fldCharType="end"/>
      </w:r>
    </w:p>
    <w:p w14:paraId="21694E20">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_Toc29458_WPSOffice_Level1 </w:instrText>
      </w:r>
      <w:r>
        <w:rPr>
          <w:color w:val="auto"/>
          <w:sz w:val="28"/>
          <w:szCs w:val="28"/>
          <w:highlight w:val="none"/>
        </w:rPr>
        <w:fldChar w:fldCharType="separate"/>
      </w:r>
      <w:r>
        <w:rPr>
          <w:rFonts w:hint="eastAsia" w:ascii="宋体" w:hAnsi="Times New Roman" w:eastAsia="宋体" w:cs="Times New Roman"/>
          <w:color w:val="auto"/>
          <w:sz w:val="28"/>
          <w:szCs w:val="28"/>
          <w:highlight w:val="none"/>
        </w:rPr>
        <w:t>第四章 评标办法及评分标准</w:t>
      </w:r>
      <w:r>
        <w:rPr>
          <w:color w:val="auto"/>
          <w:sz w:val="28"/>
          <w:szCs w:val="28"/>
          <w:highlight w:val="none"/>
        </w:rPr>
        <w:tab/>
      </w:r>
      <w:bookmarkStart w:id="2" w:name="_Toc29458_WPSOffice_Level1Page"/>
      <w:r>
        <w:rPr>
          <w:color w:val="auto"/>
          <w:sz w:val="28"/>
          <w:szCs w:val="28"/>
          <w:highlight w:val="none"/>
        </w:rPr>
        <w:t>2</w:t>
      </w:r>
      <w:bookmarkEnd w:id="2"/>
      <w:r>
        <w:rPr>
          <w:rFonts w:hint="eastAsia"/>
          <w:color w:val="auto"/>
          <w:sz w:val="28"/>
          <w:szCs w:val="28"/>
          <w:highlight w:val="none"/>
          <w:lang w:val="en-US" w:eastAsia="zh-CN"/>
        </w:rPr>
        <w:t>2</w:t>
      </w:r>
      <w:r>
        <w:rPr>
          <w:color w:val="auto"/>
          <w:sz w:val="28"/>
          <w:szCs w:val="28"/>
          <w:highlight w:val="none"/>
        </w:rPr>
        <w:fldChar w:fldCharType="end"/>
      </w:r>
    </w:p>
    <w:p w14:paraId="304672A6">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color w:val="auto"/>
          <w:sz w:val="28"/>
          <w:szCs w:val="28"/>
          <w:highlight w:val="none"/>
          <w:lang w:val="en-US" w:eastAsia="zh-CN"/>
        </w:rPr>
        <w:t>第五章 合同条款</w:t>
      </w:r>
      <w:r>
        <w:rPr>
          <w:color w:val="auto"/>
          <w:sz w:val="28"/>
          <w:szCs w:val="28"/>
          <w:highlight w:val="none"/>
        </w:rPr>
        <w:tab/>
      </w:r>
      <w:r>
        <w:rPr>
          <w:color w:val="auto"/>
          <w:sz w:val="28"/>
          <w:szCs w:val="28"/>
          <w:highlight w:val="none"/>
        </w:rPr>
        <w:t>2</w:t>
      </w:r>
      <w:r>
        <w:rPr>
          <w:rFonts w:hint="eastAsia"/>
          <w:color w:val="auto"/>
          <w:sz w:val="28"/>
          <w:szCs w:val="28"/>
          <w:highlight w:val="none"/>
          <w:lang w:val="en-US" w:eastAsia="zh-CN"/>
        </w:rPr>
        <w:t>6</w:t>
      </w:r>
    </w:p>
    <w:p w14:paraId="5B43181C">
      <w:pPr>
        <w:pStyle w:val="71"/>
        <w:keepNext w:val="0"/>
        <w:keepLines w:val="0"/>
        <w:pageBreakBefore w:val="0"/>
        <w:widowControl/>
        <w:tabs>
          <w:tab w:val="right" w:leader="dot" w:pos="8732"/>
        </w:tabs>
        <w:kinsoku/>
        <w:wordWrap/>
        <w:overflowPunct/>
        <w:topLinePunct w:val="0"/>
        <w:autoSpaceDE/>
        <w:autoSpaceDN/>
        <w:bidi w:val="0"/>
        <w:adjustRightInd/>
        <w:snapToGrid/>
        <w:spacing w:line="480" w:lineRule="auto"/>
        <w:textAlignment w:val="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_Toc17045_WPSOffice_Level1 </w:instrText>
      </w:r>
      <w:r>
        <w:rPr>
          <w:color w:val="auto"/>
          <w:sz w:val="28"/>
          <w:szCs w:val="28"/>
          <w:highlight w:val="none"/>
        </w:rPr>
        <w:fldChar w:fldCharType="separate"/>
      </w:r>
      <w:r>
        <w:rPr>
          <w:rFonts w:hint="eastAsia" w:ascii="宋体"/>
          <w:color w:val="auto"/>
          <w:sz w:val="28"/>
          <w:szCs w:val="28"/>
          <w:highlight w:val="none"/>
        </w:rPr>
        <w:t>第六章 投标文件格式</w:t>
      </w:r>
      <w:r>
        <w:rPr>
          <w:color w:val="auto"/>
          <w:sz w:val="28"/>
          <w:szCs w:val="28"/>
          <w:highlight w:val="none"/>
        </w:rPr>
        <w:tab/>
      </w:r>
      <w:bookmarkStart w:id="3" w:name="_Toc17045_WPSOffice_Level1Page"/>
      <w:r>
        <w:rPr>
          <w:color w:val="auto"/>
          <w:sz w:val="28"/>
          <w:szCs w:val="28"/>
          <w:highlight w:val="none"/>
        </w:rPr>
        <w:t>7</w:t>
      </w:r>
      <w:bookmarkEnd w:id="3"/>
      <w:r>
        <w:rPr>
          <w:rFonts w:hint="eastAsia"/>
          <w:color w:val="auto"/>
          <w:sz w:val="28"/>
          <w:szCs w:val="28"/>
          <w:highlight w:val="none"/>
          <w:lang w:val="en-US" w:eastAsia="zh-CN"/>
        </w:rPr>
        <w:t>5</w:t>
      </w:r>
      <w:r>
        <w:rPr>
          <w:color w:val="auto"/>
          <w:sz w:val="28"/>
          <w:szCs w:val="28"/>
          <w:highlight w:val="none"/>
        </w:rPr>
        <w:fldChar w:fldCharType="end"/>
      </w:r>
    </w:p>
    <w:bookmarkEnd w:id="0"/>
    <w:p w14:paraId="13610972">
      <w:pPr>
        <w:pStyle w:val="11"/>
        <w:jc w:val="center"/>
        <w:rPr>
          <w:color w:val="auto"/>
          <w:highlight w:val="none"/>
        </w:rPr>
      </w:pPr>
    </w:p>
    <w:p w14:paraId="08668A4A">
      <w:pPr>
        <w:pStyle w:val="11"/>
        <w:jc w:val="center"/>
        <w:rPr>
          <w:color w:val="auto"/>
          <w:highlight w:val="none"/>
        </w:rPr>
      </w:pPr>
    </w:p>
    <w:p w14:paraId="5CF84501">
      <w:pPr>
        <w:pStyle w:val="11"/>
        <w:jc w:val="center"/>
        <w:rPr>
          <w:color w:val="auto"/>
          <w:highlight w:val="none"/>
        </w:rPr>
      </w:pPr>
    </w:p>
    <w:p w14:paraId="3771BC37">
      <w:pPr>
        <w:pStyle w:val="11"/>
        <w:jc w:val="center"/>
        <w:rPr>
          <w:color w:val="auto"/>
          <w:highlight w:val="none"/>
        </w:rPr>
      </w:pPr>
    </w:p>
    <w:p w14:paraId="6D8FDC31">
      <w:pPr>
        <w:pStyle w:val="11"/>
        <w:jc w:val="center"/>
        <w:rPr>
          <w:color w:val="auto"/>
          <w:highlight w:val="none"/>
        </w:rPr>
      </w:pPr>
    </w:p>
    <w:p w14:paraId="521A0391">
      <w:pPr>
        <w:pStyle w:val="11"/>
        <w:jc w:val="center"/>
        <w:rPr>
          <w:color w:val="auto"/>
          <w:highlight w:val="none"/>
        </w:rPr>
      </w:pPr>
    </w:p>
    <w:p w14:paraId="2F465FBC">
      <w:pPr>
        <w:pStyle w:val="11"/>
        <w:jc w:val="center"/>
        <w:rPr>
          <w:color w:val="auto"/>
          <w:highlight w:val="none"/>
        </w:rPr>
      </w:pPr>
    </w:p>
    <w:p w14:paraId="6B18963F">
      <w:pPr>
        <w:pStyle w:val="11"/>
        <w:jc w:val="center"/>
        <w:rPr>
          <w:color w:val="auto"/>
          <w:highlight w:val="none"/>
        </w:rPr>
      </w:pPr>
    </w:p>
    <w:p w14:paraId="38C4877E">
      <w:pPr>
        <w:pStyle w:val="11"/>
        <w:jc w:val="center"/>
        <w:rPr>
          <w:color w:val="auto"/>
          <w:highlight w:val="none"/>
        </w:rPr>
      </w:pPr>
    </w:p>
    <w:p w14:paraId="37527A1E">
      <w:pPr>
        <w:pStyle w:val="11"/>
        <w:jc w:val="center"/>
        <w:rPr>
          <w:color w:val="auto"/>
          <w:highlight w:val="none"/>
        </w:rPr>
      </w:pPr>
    </w:p>
    <w:p w14:paraId="31D86172">
      <w:pPr>
        <w:pStyle w:val="11"/>
        <w:jc w:val="center"/>
        <w:rPr>
          <w:color w:val="auto"/>
          <w:highlight w:val="none"/>
        </w:rPr>
      </w:pPr>
    </w:p>
    <w:p w14:paraId="50CB8D5A">
      <w:pPr>
        <w:pStyle w:val="11"/>
        <w:jc w:val="center"/>
        <w:rPr>
          <w:color w:val="auto"/>
          <w:highlight w:val="none"/>
        </w:rPr>
      </w:pPr>
    </w:p>
    <w:p w14:paraId="00DF1C16">
      <w:pPr>
        <w:pStyle w:val="11"/>
        <w:jc w:val="center"/>
        <w:rPr>
          <w:color w:val="auto"/>
          <w:highlight w:val="none"/>
        </w:rPr>
      </w:pPr>
    </w:p>
    <w:p w14:paraId="2CF1BF58">
      <w:pPr>
        <w:pStyle w:val="11"/>
        <w:jc w:val="center"/>
        <w:rPr>
          <w:color w:val="auto"/>
          <w:highlight w:val="none"/>
        </w:rPr>
      </w:pPr>
    </w:p>
    <w:p w14:paraId="1E2B6FA1">
      <w:pPr>
        <w:pStyle w:val="11"/>
        <w:jc w:val="center"/>
        <w:rPr>
          <w:color w:val="auto"/>
          <w:highlight w:val="none"/>
        </w:rPr>
      </w:pPr>
    </w:p>
    <w:p w14:paraId="2A1318EA">
      <w:pPr>
        <w:pStyle w:val="11"/>
        <w:jc w:val="center"/>
        <w:rPr>
          <w:color w:val="auto"/>
          <w:highlight w:val="none"/>
        </w:rPr>
      </w:pPr>
    </w:p>
    <w:p w14:paraId="4745FCBE">
      <w:pPr>
        <w:pStyle w:val="11"/>
        <w:jc w:val="center"/>
        <w:rPr>
          <w:color w:val="auto"/>
          <w:highlight w:val="none"/>
        </w:rPr>
      </w:pPr>
    </w:p>
    <w:p w14:paraId="6529BFEB">
      <w:pPr>
        <w:tabs>
          <w:tab w:val="left" w:pos="180"/>
          <w:tab w:val="left" w:pos="360"/>
          <w:tab w:val="left" w:pos="540"/>
          <w:tab w:val="left" w:pos="8280"/>
        </w:tabs>
        <w:autoSpaceDE w:val="0"/>
        <w:autoSpaceDN w:val="0"/>
        <w:adjustRightInd w:val="0"/>
        <w:spacing w:line="360" w:lineRule="auto"/>
        <w:ind w:right="23"/>
        <w:jc w:val="center"/>
        <w:rPr>
          <w:rFonts w:hint="eastAsia" w:ascii="宋体"/>
          <w:b/>
          <w:color w:val="auto"/>
          <w:kern w:val="0"/>
          <w:sz w:val="36"/>
          <w:szCs w:val="36"/>
          <w:highlight w:val="none"/>
        </w:rPr>
        <w:sectPr>
          <w:footerReference r:id="rId6" w:type="default"/>
          <w:pgSz w:w="11906" w:h="16838"/>
          <w:pgMar w:top="1134" w:right="1587" w:bottom="1134" w:left="1587" w:header="851" w:footer="850" w:gutter="0"/>
          <w:pgNumType w:fmt="numberInDash" w:start="1"/>
          <w:cols w:space="720" w:num="1"/>
          <w:docGrid w:linePitch="312" w:charSpace="0"/>
        </w:sectPr>
      </w:pPr>
      <w:bookmarkStart w:id="4" w:name="_Toc22387_WPSOffice_Level1"/>
    </w:p>
    <w:p w14:paraId="7FD9CA5F">
      <w:pPr>
        <w:tabs>
          <w:tab w:val="left" w:pos="180"/>
          <w:tab w:val="left" w:pos="360"/>
          <w:tab w:val="left" w:pos="540"/>
          <w:tab w:val="left" w:pos="8280"/>
        </w:tabs>
        <w:autoSpaceDE w:val="0"/>
        <w:autoSpaceDN w:val="0"/>
        <w:adjustRightInd w:val="0"/>
        <w:spacing w:line="360" w:lineRule="auto"/>
        <w:ind w:right="23"/>
        <w:jc w:val="center"/>
        <w:rPr>
          <w:rFonts w:hint="eastAsia" w:ascii="宋体"/>
          <w:b/>
          <w:color w:val="auto"/>
          <w:kern w:val="0"/>
          <w:sz w:val="36"/>
          <w:szCs w:val="36"/>
          <w:highlight w:val="none"/>
        </w:rPr>
      </w:pPr>
      <w:r>
        <w:rPr>
          <w:rFonts w:hint="eastAsia" w:ascii="宋体"/>
          <w:b/>
          <w:color w:val="auto"/>
          <w:kern w:val="0"/>
          <w:sz w:val="36"/>
          <w:szCs w:val="36"/>
          <w:highlight w:val="none"/>
        </w:rPr>
        <w:t>第一章 公开</w:t>
      </w:r>
      <w:r>
        <w:rPr>
          <w:rFonts w:hint="eastAsia" w:ascii="宋体"/>
          <w:b/>
          <w:color w:val="auto"/>
          <w:sz w:val="36"/>
          <w:szCs w:val="36"/>
          <w:highlight w:val="none"/>
        </w:rPr>
        <w:t>招标采购公告</w:t>
      </w:r>
      <w:bookmarkEnd w:id="4"/>
    </w:p>
    <w:p w14:paraId="05F692C7">
      <w:pPr>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根据《中华人民共和国招标投标法》等相关法律、法规规定,受</w:t>
      </w:r>
      <w:r>
        <w:rPr>
          <w:rFonts w:hint="eastAsia" w:ascii="宋体" w:cs="宋体"/>
          <w:color w:val="auto"/>
          <w:sz w:val="24"/>
          <w:highlight w:val="none"/>
          <w:u w:val="single"/>
          <w:lang w:eastAsia="zh-CN"/>
        </w:rPr>
        <w:t>台州西廊港口开发有限公司、中交第三航务工程局有限公司</w:t>
      </w:r>
      <w:r>
        <w:rPr>
          <w:rFonts w:hint="eastAsia" w:ascii="宋体" w:cs="宋体"/>
          <w:color w:val="auto"/>
          <w:sz w:val="24"/>
          <w:highlight w:val="none"/>
        </w:rPr>
        <w:t>委托</w:t>
      </w:r>
      <w:r>
        <w:rPr>
          <w:rFonts w:hint="eastAsia" w:ascii="宋体" w:cs="宋体"/>
          <w:color w:val="auto"/>
          <w:sz w:val="24"/>
          <w:highlight w:val="none"/>
          <w:lang w:eastAsia="zh-CN"/>
        </w:rPr>
        <w:t>，</w:t>
      </w:r>
      <w:r>
        <w:rPr>
          <w:rFonts w:hint="eastAsia" w:ascii="宋体" w:cs="宋体"/>
          <w:color w:val="auto"/>
          <w:sz w:val="24"/>
          <w:highlight w:val="none"/>
          <w:lang w:val="en-US" w:eastAsia="zh-CN"/>
        </w:rPr>
        <w:t>现</w:t>
      </w:r>
      <w:r>
        <w:rPr>
          <w:rFonts w:hint="eastAsia" w:ascii="宋体" w:cs="宋体"/>
          <w:color w:val="auto"/>
          <w:sz w:val="24"/>
          <w:highlight w:val="none"/>
        </w:rPr>
        <w:t>就其</w:t>
      </w:r>
      <w:r>
        <w:rPr>
          <w:rFonts w:hint="eastAsia" w:ascii="宋体" w:cs="宋体"/>
          <w:color w:val="auto"/>
          <w:sz w:val="24"/>
          <w:highlight w:val="none"/>
          <w:u w:val="single"/>
          <w:lang w:eastAsia="zh-CN"/>
        </w:rPr>
        <w:t>台州湾陆岛联动综合码头工程（一期）建筑工程一切险及安全生产责任险保险服务</w:t>
      </w:r>
      <w:r>
        <w:rPr>
          <w:rFonts w:hint="eastAsia" w:ascii="宋体" w:cs="宋体"/>
          <w:color w:val="auto"/>
          <w:sz w:val="24"/>
          <w:highlight w:val="none"/>
          <w:u w:val="single"/>
          <w:lang w:val="en-US" w:eastAsia="zh-CN"/>
        </w:rPr>
        <w:t>项目</w:t>
      </w:r>
      <w:r>
        <w:rPr>
          <w:rFonts w:hint="eastAsia" w:ascii="宋体" w:cs="宋体"/>
          <w:color w:val="auto"/>
          <w:sz w:val="24"/>
          <w:highlight w:val="none"/>
        </w:rPr>
        <w:t>进行公开招标采购，欢迎合格</w:t>
      </w:r>
      <w:r>
        <w:rPr>
          <w:rFonts w:hint="eastAsia" w:ascii="宋体" w:cs="宋体"/>
          <w:color w:val="auto"/>
          <w:sz w:val="24"/>
          <w:highlight w:val="none"/>
          <w:lang w:eastAsia="zh-CN"/>
        </w:rPr>
        <w:t>的</w:t>
      </w:r>
      <w:r>
        <w:rPr>
          <w:rFonts w:hint="eastAsia" w:ascii="宋体" w:cs="宋体"/>
          <w:color w:val="auto"/>
          <w:sz w:val="24"/>
          <w:highlight w:val="none"/>
          <w:lang w:val="en-US" w:eastAsia="zh-CN"/>
        </w:rPr>
        <w:t>投标人</w:t>
      </w:r>
      <w:r>
        <w:rPr>
          <w:rFonts w:hint="eastAsia" w:ascii="宋体" w:cs="宋体"/>
          <w:color w:val="auto"/>
          <w:sz w:val="24"/>
          <w:highlight w:val="none"/>
        </w:rPr>
        <w:t>前来投标。</w:t>
      </w:r>
    </w:p>
    <w:p w14:paraId="701E9FBA">
      <w:pPr>
        <w:spacing w:line="360" w:lineRule="auto"/>
        <w:ind w:firstLine="480" w:firstLineChars="200"/>
        <w:rPr>
          <w:rFonts w:hint="default" w:ascii="宋体" w:eastAsia="宋体" w:cs="宋体"/>
          <w:b w:val="0"/>
          <w:bCs w:val="0"/>
          <w:color w:val="auto"/>
          <w:sz w:val="24"/>
          <w:highlight w:val="none"/>
          <w:lang w:val="en-US" w:eastAsia="zh-CN"/>
        </w:rPr>
      </w:pPr>
      <w:r>
        <w:rPr>
          <w:rFonts w:hint="eastAsia" w:ascii="宋体" w:cs="宋体"/>
          <w:b/>
          <w:bCs/>
          <w:color w:val="auto"/>
          <w:sz w:val="24"/>
          <w:highlight w:val="none"/>
        </w:rPr>
        <w:t>一、项目编号：</w:t>
      </w:r>
      <w:r>
        <w:rPr>
          <w:rFonts w:hint="eastAsia" w:ascii="宋体" w:cs="宋体"/>
          <w:b/>
          <w:bCs/>
          <w:color w:val="auto"/>
          <w:sz w:val="24"/>
          <w:highlight w:val="none"/>
          <w:lang w:eastAsia="zh-CN"/>
        </w:rPr>
        <w:t>QBJ202</w:t>
      </w:r>
      <w:r>
        <w:rPr>
          <w:rFonts w:hint="eastAsia" w:ascii="宋体" w:cs="宋体"/>
          <w:b/>
          <w:bCs/>
          <w:color w:val="auto"/>
          <w:sz w:val="24"/>
          <w:highlight w:val="none"/>
          <w:lang w:val="en-US" w:eastAsia="zh-CN"/>
        </w:rPr>
        <w:t xml:space="preserve">4 </w:t>
      </w:r>
    </w:p>
    <w:p w14:paraId="42B2E1BA">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招标</w:t>
      </w:r>
      <w:r>
        <w:rPr>
          <w:rFonts w:hint="eastAsia" w:ascii="宋体" w:hAnsi="宋体" w:cs="宋体"/>
          <w:b/>
          <w:color w:val="auto"/>
          <w:sz w:val="24"/>
          <w:highlight w:val="none"/>
        </w:rPr>
        <w:t>方式：</w:t>
      </w:r>
      <w:r>
        <w:rPr>
          <w:rFonts w:hint="eastAsia" w:ascii="宋体" w:hAnsi="宋体" w:cs="宋体"/>
          <w:color w:val="auto"/>
          <w:sz w:val="24"/>
          <w:highlight w:val="none"/>
        </w:rPr>
        <w:t>公开招标</w:t>
      </w:r>
    </w:p>
    <w:p w14:paraId="6D7362EA">
      <w:pPr>
        <w:spacing w:line="360" w:lineRule="auto"/>
        <w:ind w:firstLine="480" w:firstLineChars="200"/>
        <w:rPr>
          <w:rFonts w:hint="eastAsia" w:ascii="宋体" w:cs="宋体"/>
          <w:b/>
          <w:bCs/>
          <w:color w:val="auto"/>
          <w:sz w:val="24"/>
          <w:highlight w:val="none"/>
        </w:rPr>
      </w:pPr>
      <w:r>
        <w:rPr>
          <w:rFonts w:hint="eastAsia" w:ascii="宋体" w:cs="宋体"/>
          <w:b/>
          <w:bCs/>
          <w:color w:val="auto"/>
          <w:sz w:val="24"/>
          <w:highlight w:val="none"/>
          <w:lang w:val="en-US" w:eastAsia="zh-CN"/>
        </w:rPr>
        <w:t>三</w:t>
      </w:r>
      <w:r>
        <w:rPr>
          <w:rFonts w:hint="eastAsia" w:ascii="宋体" w:cs="宋体"/>
          <w:b/>
          <w:bCs/>
          <w:color w:val="auto"/>
          <w:sz w:val="24"/>
          <w:highlight w:val="none"/>
        </w:rPr>
        <w:t>、招标项目概况：</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712"/>
        <w:gridCol w:w="1364"/>
        <w:gridCol w:w="567"/>
        <w:gridCol w:w="550"/>
        <w:gridCol w:w="1731"/>
      </w:tblGrid>
      <w:tr w14:paraId="7D1A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04" w:type="dxa"/>
            <w:noWrap w:val="0"/>
            <w:vAlign w:val="center"/>
          </w:tcPr>
          <w:p w14:paraId="6B47CE3D">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lang w:val="en-US" w:eastAsia="zh-CN"/>
              </w:rPr>
              <w:t>序</w:t>
            </w:r>
            <w:r>
              <w:rPr>
                <w:rFonts w:hint="eastAsia" w:ascii="宋体" w:hAnsi="宋体"/>
                <w:b/>
                <w:color w:val="auto"/>
                <w:sz w:val="24"/>
                <w:highlight w:val="none"/>
              </w:rPr>
              <w:t>号</w:t>
            </w:r>
          </w:p>
        </w:tc>
        <w:tc>
          <w:tcPr>
            <w:tcW w:w="3712" w:type="dxa"/>
            <w:noWrap w:val="0"/>
            <w:vAlign w:val="center"/>
          </w:tcPr>
          <w:p w14:paraId="32B1ADFC">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标项内容</w:t>
            </w:r>
          </w:p>
        </w:tc>
        <w:tc>
          <w:tcPr>
            <w:tcW w:w="1364" w:type="dxa"/>
            <w:noWrap w:val="0"/>
            <w:vAlign w:val="center"/>
          </w:tcPr>
          <w:p w14:paraId="74AFBFFD">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cs="宋体"/>
                <w:b/>
                <w:color w:val="auto"/>
                <w:kern w:val="0"/>
                <w:sz w:val="24"/>
                <w:highlight w:val="none"/>
              </w:rPr>
              <w:t>简要技术要求</w:t>
            </w:r>
          </w:p>
        </w:tc>
        <w:tc>
          <w:tcPr>
            <w:tcW w:w="567" w:type="dxa"/>
            <w:noWrap w:val="0"/>
            <w:vAlign w:val="center"/>
          </w:tcPr>
          <w:p w14:paraId="1E4A3B71">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550" w:type="dxa"/>
            <w:noWrap w:val="0"/>
            <w:vAlign w:val="center"/>
          </w:tcPr>
          <w:p w14:paraId="4005E9CC">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单位</w:t>
            </w:r>
          </w:p>
        </w:tc>
        <w:tc>
          <w:tcPr>
            <w:tcW w:w="1731" w:type="dxa"/>
            <w:noWrap w:val="0"/>
            <w:vAlign w:val="center"/>
          </w:tcPr>
          <w:p w14:paraId="0D713434">
            <w:pPr>
              <w:tabs>
                <w:tab w:val="left" w:pos="8280"/>
              </w:tabs>
              <w:autoSpaceDE w:val="0"/>
              <w:autoSpaceDN w:val="0"/>
              <w:adjustRightInd w:val="0"/>
              <w:spacing w:line="360" w:lineRule="auto"/>
              <w:ind w:right="25"/>
              <w:jc w:val="center"/>
              <w:rPr>
                <w:rFonts w:hint="eastAsia" w:ascii="宋体" w:hAnsi="宋体"/>
                <w:b/>
                <w:color w:val="auto"/>
                <w:sz w:val="24"/>
                <w:highlight w:val="none"/>
              </w:rPr>
            </w:pPr>
            <w:r>
              <w:rPr>
                <w:rFonts w:hint="eastAsia" w:ascii="宋体" w:hAnsi="宋体"/>
                <w:b/>
                <w:color w:val="auto"/>
                <w:sz w:val="24"/>
                <w:highlight w:val="none"/>
              </w:rPr>
              <w:t>预算</w:t>
            </w:r>
          </w:p>
          <w:p w14:paraId="7148B52A">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（万元）</w:t>
            </w:r>
          </w:p>
        </w:tc>
      </w:tr>
      <w:tr w14:paraId="613B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04" w:type="dxa"/>
            <w:noWrap w:val="0"/>
            <w:vAlign w:val="center"/>
          </w:tcPr>
          <w:p w14:paraId="75C54198">
            <w:pPr>
              <w:shd w:val="clear" w:color="auto" w:fill="auto"/>
              <w:tabs>
                <w:tab w:val="left" w:pos="8280"/>
              </w:tabs>
              <w:autoSpaceDE w:val="0"/>
              <w:autoSpaceDN w:val="0"/>
              <w:adjustRightInd w:val="0"/>
              <w:spacing w:line="360" w:lineRule="auto"/>
              <w:ind w:right="25"/>
              <w:jc w:val="center"/>
              <w:rPr>
                <w:rFonts w:ascii="宋体" w:hAnsi="宋体"/>
                <w:color w:val="auto"/>
                <w:sz w:val="24"/>
                <w:highlight w:val="none"/>
              </w:rPr>
            </w:pPr>
            <w:r>
              <w:rPr>
                <w:rFonts w:hint="eastAsia" w:ascii="宋体" w:hAnsi="宋体"/>
                <w:color w:val="auto"/>
                <w:sz w:val="24"/>
                <w:highlight w:val="none"/>
              </w:rPr>
              <w:t>1</w:t>
            </w:r>
          </w:p>
        </w:tc>
        <w:tc>
          <w:tcPr>
            <w:tcW w:w="3712" w:type="dxa"/>
            <w:noWrap w:val="0"/>
            <w:vAlign w:val="center"/>
          </w:tcPr>
          <w:p w14:paraId="0BC6B0A2">
            <w:pPr>
              <w:shd w:val="clear" w:color="auto" w:fill="auto"/>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台州湾陆岛联动综合码头工程（一期）建筑工程一切险及安全生产责任险保险服务</w:t>
            </w:r>
          </w:p>
        </w:tc>
        <w:tc>
          <w:tcPr>
            <w:tcW w:w="1364" w:type="dxa"/>
            <w:noWrap w:val="0"/>
            <w:vAlign w:val="center"/>
          </w:tcPr>
          <w:p w14:paraId="758E8874">
            <w:pPr>
              <w:shd w:val="clear" w:color="auto" w:fill="auto"/>
              <w:spacing w:line="360" w:lineRule="auto"/>
              <w:jc w:val="center"/>
              <w:rPr>
                <w:rFonts w:ascii="宋体" w:hAnsi="宋体"/>
                <w:color w:val="auto"/>
                <w:sz w:val="24"/>
                <w:highlight w:val="none"/>
              </w:rPr>
            </w:pPr>
            <w:r>
              <w:rPr>
                <w:rFonts w:hint="eastAsia" w:ascii="宋体" w:hAnsi="宋体" w:cs="宋体"/>
                <w:color w:val="auto"/>
                <w:sz w:val="24"/>
                <w:highlight w:val="none"/>
              </w:rPr>
              <w:t>详见第</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章“公开招标需求”</w:t>
            </w:r>
          </w:p>
        </w:tc>
        <w:tc>
          <w:tcPr>
            <w:tcW w:w="567" w:type="dxa"/>
            <w:noWrap w:val="0"/>
            <w:vAlign w:val="center"/>
          </w:tcPr>
          <w:p w14:paraId="6605CBE7">
            <w:pPr>
              <w:widowControl/>
              <w:shd w:val="clear" w:color="auto" w:fill="auto"/>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550" w:type="dxa"/>
            <w:noWrap w:val="0"/>
            <w:vAlign w:val="center"/>
          </w:tcPr>
          <w:p w14:paraId="55D3A4EB">
            <w:pPr>
              <w:widowControl/>
              <w:shd w:val="clear" w:color="auto" w:fill="auto"/>
              <w:spacing w:line="360" w:lineRule="auto"/>
              <w:jc w:val="center"/>
              <w:rPr>
                <w:rFonts w:ascii="宋体" w:hAnsi="宋体"/>
                <w:color w:val="auto"/>
                <w:sz w:val="24"/>
                <w:highlight w:val="none"/>
              </w:rPr>
            </w:pPr>
            <w:r>
              <w:rPr>
                <w:rFonts w:hint="eastAsia" w:ascii="宋体" w:hAnsi="宋体"/>
                <w:color w:val="auto"/>
                <w:sz w:val="24"/>
                <w:highlight w:val="none"/>
              </w:rPr>
              <w:t>项</w:t>
            </w:r>
          </w:p>
        </w:tc>
        <w:tc>
          <w:tcPr>
            <w:tcW w:w="1731" w:type="dxa"/>
            <w:noWrap w:val="0"/>
            <w:vAlign w:val="center"/>
          </w:tcPr>
          <w:p w14:paraId="311B9397">
            <w:pPr>
              <w:shd w:val="clear" w:color="auto" w:fill="auto"/>
              <w:tabs>
                <w:tab w:val="left" w:pos="8280"/>
              </w:tabs>
              <w:autoSpaceDE w:val="0"/>
              <w:autoSpaceDN w:val="0"/>
              <w:adjustRightInd w:val="0"/>
              <w:spacing w:line="360" w:lineRule="auto"/>
              <w:ind w:right="25"/>
              <w:jc w:val="center"/>
              <w:rPr>
                <w:rFonts w:hint="default" w:ascii="宋体" w:hAnsi="宋体" w:eastAsia="宋体"/>
                <w:color w:val="auto"/>
                <w:sz w:val="24"/>
                <w:highlight w:val="none"/>
                <w:lang w:val="en-US" w:eastAsia="zh-CN"/>
              </w:rPr>
            </w:pPr>
            <w:r>
              <w:rPr>
                <w:rFonts w:hint="default" w:ascii="宋体" w:hAnsi="宋体" w:eastAsia="宋体"/>
                <w:color w:val="auto"/>
                <w:sz w:val="24"/>
                <w:highlight w:val="none"/>
                <w:lang w:val="en-US" w:eastAsia="zh-CN"/>
              </w:rPr>
              <w:t>407</w:t>
            </w:r>
            <w:r>
              <w:rPr>
                <w:rFonts w:hint="eastAsia" w:ascii="宋体" w:hAnsi="宋体" w:eastAsia="宋体"/>
                <w:color w:val="auto"/>
                <w:sz w:val="24"/>
                <w:highlight w:val="none"/>
                <w:lang w:val="en-US" w:eastAsia="zh-CN"/>
              </w:rPr>
              <w:t>.</w:t>
            </w:r>
            <w:r>
              <w:rPr>
                <w:rFonts w:hint="default" w:ascii="宋体" w:hAnsi="宋体" w:eastAsia="宋体"/>
                <w:color w:val="auto"/>
                <w:sz w:val="24"/>
                <w:highlight w:val="none"/>
                <w:lang w:val="en-US" w:eastAsia="zh-CN"/>
              </w:rPr>
              <w:t>9</w:t>
            </w:r>
            <w:r>
              <w:rPr>
                <w:rFonts w:hint="eastAsia" w:ascii="宋体" w:hAnsi="宋体" w:eastAsia="宋体"/>
                <w:color w:val="auto"/>
                <w:sz w:val="24"/>
                <w:highlight w:val="none"/>
                <w:lang w:val="en-US" w:eastAsia="zh-CN"/>
              </w:rPr>
              <w:t>462</w:t>
            </w:r>
          </w:p>
        </w:tc>
      </w:tr>
    </w:tbl>
    <w:p w14:paraId="5A72279A">
      <w:pPr>
        <w:spacing w:line="360" w:lineRule="auto"/>
        <w:ind w:firstLine="480" w:firstLineChars="200"/>
        <w:rPr>
          <w:rFonts w:hint="eastAsia" w:ascii="宋体" w:cs="宋体"/>
          <w:b/>
          <w:bCs/>
          <w:color w:val="auto"/>
          <w:sz w:val="24"/>
          <w:highlight w:val="none"/>
          <w:lang w:val="en-US" w:eastAsia="zh-CN"/>
        </w:rPr>
      </w:pPr>
      <w:r>
        <w:rPr>
          <w:rFonts w:hint="eastAsia" w:ascii="宋体" w:cs="宋体"/>
          <w:b/>
          <w:bCs/>
          <w:color w:val="auto"/>
          <w:sz w:val="24"/>
          <w:highlight w:val="none"/>
          <w:lang w:val="en-US" w:eastAsia="zh-CN"/>
        </w:rPr>
        <w:t>建筑工程一切险及安全生产责任险保险期限：</w:t>
      </w:r>
    </w:p>
    <w:p w14:paraId="74F9175A">
      <w:pPr>
        <w:spacing w:line="360" w:lineRule="auto"/>
        <w:ind w:firstLine="480" w:firstLineChars="200"/>
        <w:rPr>
          <w:rFonts w:hint="eastAsia" w:ascii="宋体" w:hAnsi="Times New Roman" w:eastAsia="宋体" w:cs="宋体"/>
          <w:b/>
          <w:bCs/>
          <w:color w:val="auto"/>
          <w:sz w:val="24"/>
          <w:highlight w:val="none"/>
          <w:lang w:val="en-US" w:eastAsia="zh-CN"/>
        </w:rPr>
      </w:pPr>
      <w:r>
        <w:rPr>
          <w:rFonts w:hint="eastAsia" w:ascii="宋体" w:cs="宋体"/>
          <w:b/>
          <w:bCs/>
          <w:color w:val="auto"/>
          <w:sz w:val="24"/>
          <w:highlight w:val="none"/>
          <w:lang w:val="en-US" w:eastAsia="zh-CN"/>
        </w:rPr>
        <w:t>自本保险合同签订之日起至本工程竣工验收合格之日止，保险服务期为30个月。如遇工期延期，本保险期限将免费延期12个月，且不加收任何附加保险费，被保险人须提前30天通知保险人。如在免费延期12个月后仍未完工，投保人在缴纳本保险合同项下按日比例计算的保险费后，保险期限可以继续延长。超过12个月部分的保费=本项目建筑工程一切险保险金额（815892366元）×（建筑工程一切险保</w:t>
      </w:r>
      <w:r>
        <w:rPr>
          <w:rFonts w:hint="eastAsia" w:ascii="宋体" w:hAnsi="Times New Roman" w:eastAsia="宋体" w:cs="宋体"/>
          <w:b/>
          <w:bCs/>
          <w:color w:val="auto"/>
          <w:sz w:val="24"/>
          <w:highlight w:val="none"/>
          <w:lang w:val="en-US" w:eastAsia="zh-CN"/>
        </w:rPr>
        <w:t>险费率+安全生产责任险费率）×（延期时间-365天）/900天。</w:t>
      </w:r>
    </w:p>
    <w:p w14:paraId="0593463D">
      <w:pPr>
        <w:spacing w:line="360" w:lineRule="auto"/>
        <w:ind w:firstLine="482" w:firstLineChars="200"/>
        <w:rPr>
          <w:rFonts w:hint="eastAsia" w:ascii="宋体" w:hAnsi="Times New Roman" w:eastAsia="宋体" w:cs="宋体"/>
          <w:b/>
          <w:bCs/>
          <w:color w:val="auto"/>
          <w:sz w:val="24"/>
          <w:highlight w:val="none"/>
          <w:lang w:val="en-US" w:eastAsia="zh-CN"/>
        </w:rPr>
      </w:pPr>
      <w:r>
        <w:rPr>
          <w:rFonts w:hint="eastAsia" w:ascii="宋体" w:hAnsi="Times New Roman" w:eastAsia="宋体" w:cs="宋体"/>
          <w:b/>
          <w:bCs/>
          <w:color w:val="auto"/>
          <w:sz w:val="24"/>
          <w:highlight w:val="none"/>
          <w:lang w:val="en-US" w:eastAsia="zh-CN"/>
        </w:rPr>
        <w:t>建筑工程一切险及安全生产责任险保证期：</w:t>
      </w:r>
    </w:p>
    <w:p w14:paraId="56A89C8A">
      <w:pPr>
        <w:spacing w:line="360" w:lineRule="auto"/>
        <w:ind w:firstLine="482" w:firstLineChars="200"/>
        <w:rPr>
          <w:rFonts w:hint="eastAsia" w:ascii="宋体" w:hAnsi="Times New Roman" w:eastAsia="宋体" w:cs="宋体"/>
          <w:b/>
          <w:bCs/>
          <w:color w:val="auto"/>
          <w:sz w:val="24"/>
          <w:highlight w:val="none"/>
          <w:lang w:val="en-US" w:eastAsia="zh-CN"/>
        </w:rPr>
      </w:pPr>
      <w:r>
        <w:rPr>
          <w:rFonts w:hint="eastAsia" w:ascii="宋体" w:hAnsi="Times New Roman" w:eastAsia="宋体" w:cs="宋体"/>
          <w:b/>
          <w:bCs/>
          <w:color w:val="auto"/>
          <w:sz w:val="24"/>
          <w:szCs w:val="24"/>
          <w:highlight w:val="none"/>
        </w:rPr>
        <w:t>本工程竣工验收合格之日起至本工程缺陷责任期终止证书颁发之日止，预计</w:t>
      </w:r>
      <w:r>
        <w:rPr>
          <w:rFonts w:hint="eastAsia" w:ascii="宋体" w:hAnsi="Times New Roman" w:eastAsia="宋体" w:cs="宋体"/>
          <w:b/>
          <w:bCs/>
          <w:color w:val="auto"/>
          <w:sz w:val="24"/>
          <w:szCs w:val="24"/>
          <w:highlight w:val="none"/>
          <w:lang w:val="en-US" w:eastAsia="zh-CN"/>
        </w:rPr>
        <w:t>12</w:t>
      </w:r>
      <w:r>
        <w:rPr>
          <w:rFonts w:hint="eastAsia" w:ascii="宋体" w:hAnsi="Times New Roman" w:eastAsia="宋体" w:cs="宋体"/>
          <w:b/>
          <w:bCs/>
          <w:color w:val="auto"/>
          <w:sz w:val="24"/>
          <w:szCs w:val="24"/>
          <w:highlight w:val="none"/>
        </w:rPr>
        <w:t>个月。如遇工期延期，则保证期相应顺延。</w:t>
      </w:r>
    </w:p>
    <w:p w14:paraId="207DA024">
      <w:pPr>
        <w:spacing w:line="360" w:lineRule="auto"/>
        <w:ind w:firstLine="480" w:firstLineChars="200"/>
        <w:rPr>
          <w:rFonts w:hint="eastAsia" w:ascii="宋体" w:cs="宋体"/>
          <w:b/>
          <w:bCs/>
          <w:color w:val="auto"/>
          <w:sz w:val="24"/>
          <w:highlight w:val="none"/>
        </w:rPr>
      </w:pPr>
      <w:r>
        <w:rPr>
          <w:rFonts w:hint="eastAsia" w:ascii="宋体" w:cs="宋体"/>
          <w:b/>
          <w:bCs/>
          <w:color w:val="auto"/>
          <w:sz w:val="24"/>
          <w:highlight w:val="none"/>
          <w:lang w:val="en-US" w:eastAsia="zh-CN"/>
        </w:rPr>
        <w:t>四</w:t>
      </w:r>
      <w:r>
        <w:rPr>
          <w:rFonts w:hint="eastAsia" w:ascii="宋体" w:cs="宋体"/>
          <w:b/>
          <w:bCs/>
          <w:color w:val="auto"/>
          <w:sz w:val="24"/>
          <w:highlight w:val="none"/>
        </w:rPr>
        <w:t>、合格投标</w:t>
      </w:r>
      <w:r>
        <w:rPr>
          <w:rFonts w:hint="eastAsia" w:ascii="宋体" w:cs="宋体"/>
          <w:b/>
          <w:bCs/>
          <w:color w:val="auto"/>
          <w:sz w:val="24"/>
          <w:highlight w:val="none"/>
          <w:lang w:val="en-US" w:eastAsia="zh-CN"/>
        </w:rPr>
        <w:t>人</w:t>
      </w:r>
      <w:r>
        <w:rPr>
          <w:rFonts w:hint="eastAsia" w:ascii="宋体" w:cs="宋体"/>
          <w:b/>
          <w:bCs/>
          <w:color w:val="auto"/>
          <w:sz w:val="24"/>
          <w:highlight w:val="none"/>
        </w:rPr>
        <w:t>的资格条件：</w:t>
      </w:r>
    </w:p>
    <w:p w14:paraId="0E623EF1">
      <w:pPr>
        <w:pStyle w:val="45"/>
        <w:spacing w:before="0" w:line="360" w:lineRule="auto"/>
        <w:ind w:left="0" w:right="0"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一）具有独立法人资格或经其授权的省级分支机构（省级分支机构包含直辖市级别分支机构，下同）或经其授权的地市级分支机构【企业法人投标的提供企业法人营业执照；分支机构参与投标需同时提供总公司的企业法人营业执照、分支机构营业执照和总公司授权书，三者缺一不可，否则不予认可。同一总公司只允许自身或授权一家分支机构参加投标，否则均按否决投标处理】。</w:t>
      </w:r>
    </w:p>
    <w:p w14:paraId="5AE01866">
      <w:pPr>
        <w:pStyle w:val="45"/>
        <w:spacing w:before="0" w:line="360" w:lineRule="auto"/>
        <w:ind w:left="0" w:right="0" w:firstLine="480" w:firstLineChars="200"/>
        <w:rPr>
          <w:rFonts w:hint="eastAsia" w:ascii="宋体" w:eastAsia="宋体" w:cs="宋体"/>
          <w:color w:val="auto"/>
          <w:sz w:val="24"/>
          <w:szCs w:val="24"/>
          <w:highlight w:val="none"/>
          <w:lang w:eastAsia="zh-CN"/>
        </w:rPr>
      </w:pPr>
      <w:r>
        <w:rPr>
          <w:rFonts w:hint="eastAsia" w:ascii="宋体" w:eastAsia="宋体" w:cs="宋体"/>
          <w:color w:val="auto"/>
          <w:sz w:val="24"/>
          <w:szCs w:val="24"/>
          <w:highlight w:val="none"/>
        </w:rPr>
        <w:t>（</w:t>
      </w:r>
      <w:r>
        <w:rPr>
          <w:rFonts w:hint="eastAsia" w:ascii="宋体" w:eastAsia="宋体" w:cs="宋体"/>
          <w:color w:val="auto"/>
          <w:sz w:val="24"/>
          <w:szCs w:val="24"/>
          <w:highlight w:val="none"/>
          <w:lang w:val="en-US" w:eastAsia="zh-CN"/>
        </w:rPr>
        <w:t>二</w:t>
      </w:r>
      <w:r>
        <w:rPr>
          <w:rFonts w:hint="eastAsia" w:ascii="宋体" w:eastAsia="宋体" w:cs="宋体"/>
          <w:color w:val="auto"/>
          <w:sz w:val="24"/>
          <w:szCs w:val="24"/>
          <w:highlight w:val="none"/>
        </w:rPr>
        <w:t>）投标人是企业法人或其授权的分支机构的须具有</w:t>
      </w:r>
      <w:r>
        <w:rPr>
          <w:rFonts w:hint="eastAsia" w:ascii="宋体" w:eastAsia="宋体" w:cs="宋体"/>
          <w:color w:val="auto"/>
          <w:sz w:val="24"/>
          <w:szCs w:val="24"/>
          <w:highlight w:val="none"/>
          <w:lang w:eastAsia="zh-CN"/>
        </w:rPr>
        <w:t>国家金融监督管理总局</w:t>
      </w:r>
      <w:r>
        <w:rPr>
          <w:rFonts w:hint="eastAsia" w:ascii="宋体" w:eastAsia="宋体" w:cs="宋体"/>
          <w:color w:val="auto"/>
          <w:sz w:val="24"/>
          <w:szCs w:val="24"/>
          <w:highlight w:val="none"/>
        </w:rPr>
        <w:t>颁发的《保险许可证》，许可证须在有效期内</w:t>
      </w:r>
      <w:r>
        <w:rPr>
          <w:rFonts w:hint="eastAsia" w:ascii="宋体" w:eastAsia="宋体" w:cs="宋体"/>
          <w:color w:val="auto"/>
          <w:sz w:val="24"/>
          <w:szCs w:val="24"/>
          <w:highlight w:val="none"/>
          <w:lang w:eastAsia="zh-CN"/>
        </w:rPr>
        <w:t>。</w:t>
      </w:r>
    </w:p>
    <w:p w14:paraId="00F07D95">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投标人业绩要求：投标人自2019年1月1日（以合同签订时间为准）以来，至少承担过一项保险（投保）金额5亿元及以上（或保险费金额200万元及以上）的</w:t>
      </w:r>
      <w:r>
        <w:rPr>
          <w:rFonts w:hint="eastAsia" w:ascii="宋体" w:hAnsi="宋体" w:eastAsia="宋体" w:cs="宋体"/>
          <w:color w:val="auto"/>
          <w:sz w:val="24"/>
          <w:szCs w:val="24"/>
          <w:highlight w:val="none"/>
          <w:lang w:val="en-US" w:eastAsia="zh-CN"/>
        </w:rPr>
        <w:t>交通基础设施建设项目</w:t>
      </w:r>
      <w:r>
        <w:rPr>
          <w:rFonts w:hint="eastAsia" w:ascii="宋体" w:hAnsi="宋体" w:cs="宋体"/>
          <w:color w:val="auto"/>
          <w:sz w:val="24"/>
          <w:highlight w:val="none"/>
          <w:lang w:val="en-US" w:eastAsia="zh-CN"/>
        </w:rPr>
        <w:t>建筑工程一切险保险服务。【①须提供能体现投标人与项目关系的保险合同或保险单。②认可总公司及其下属所有分支机构的承保服务业绩。③交通基础设施建设项目包含：公路、水运、铁路、轨道交通、机场等基础设施建设项目。】</w:t>
      </w:r>
    </w:p>
    <w:p w14:paraId="76E88B9F">
      <w:pPr>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cs="宋体"/>
          <w:color w:val="auto"/>
          <w:sz w:val="24"/>
          <w:highlight w:val="none"/>
        </w:rPr>
        <w:t>本项目不接受联合体投标。</w:t>
      </w:r>
    </w:p>
    <w:p w14:paraId="4F40ED57">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cs="宋体"/>
          <w:b/>
          <w:bCs/>
          <w:color w:val="auto"/>
          <w:sz w:val="24"/>
          <w:highlight w:val="none"/>
          <w:lang w:val="en-US" w:eastAsia="zh-CN"/>
        </w:rPr>
        <w:t>五</w:t>
      </w:r>
      <w:r>
        <w:rPr>
          <w:rFonts w:hint="eastAsia" w:ascii="宋体" w:cs="宋体"/>
          <w:b/>
          <w:bCs/>
          <w:color w:val="auto"/>
          <w:sz w:val="24"/>
          <w:highlight w:val="none"/>
        </w:rPr>
        <w:t>、</w:t>
      </w:r>
      <w:r>
        <w:rPr>
          <w:rFonts w:hint="eastAsia" w:ascii="宋体" w:hAnsi="宋体" w:cs="宋体"/>
          <w:b/>
          <w:color w:val="auto"/>
          <w:kern w:val="0"/>
          <w:sz w:val="24"/>
          <w:highlight w:val="none"/>
        </w:rPr>
        <w:t>获取招标文件方式：</w:t>
      </w:r>
    </w:p>
    <w:p w14:paraId="35E3455A">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网上下载-台州湾新区小额工程电子交易平台（</w:t>
      </w:r>
      <w:r>
        <w:rPr>
          <w:rFonts w:ascii="宋体" w:hAnsi="宋体" w:cs="宋体"/>
          <w:b/>
          <w:color w:val="auto"/>
          <w:kern w:val="0"/>
          <w:sz w:val="24"/>
          <w:highlight w:val="none"/>
        </w:rPr>
        <w:t>http://www.tzwztb.com/</w:t>
      </w:r>
      <w:r>
        <w:rPr>
          <w:rFonts w:hint="eastAsia" w:ascii="宋体" w:hAnsi="宋体" w:cs="宋体"/>
          <w:b/>
          <w:color w:val="auto"/>
          <w:kern w:val="0"/>
          <w:sz w:val="24"/>
          <w:highlight w:val="none"/>
        </w:rPr>
        <w:t>)</w:t>
      </w:r>
    </w:p>
    <w:p w14:paraId="4D422E21">
      <w:pPr>
        <w:tabs>
          <w:tab w:val="left" w:pos="180"/>
          <w:tab w:val="left" w:pos="360"/>
          <w:tab w:val="left" w:pos="540"/>
          <w:tab w:val="left" w:pos="8280"/>
        </w:tabs>
        <w:autoSpaceDE w:val="0"/>
        <w:autoSpaceDN w:val="0"/>
        <w:spacing w:line="360" w:lineRule="auto"/>
        <w:ind w:firstLine="480" w:firstLineChars="200"/>
        <w:rPr>
          <w:rFonts w:hint="eastAsia" w:ascii="宋体" w:cs="宋体"/>
          <w:b/>
          <w:bCs/>
          <w:color w:val="auto"/>
          <w:sz w:val="24"/>
          <w:highlight w:val="none"/>
        </w:rPr>
      </w:pPr>
      <w:r>
        <w:rPr>
          <w:rFonts w:hint="eastAsia" w:ascii="宋体" w:cs="宋体"/>
          <w:b/>
          <w:bCs/>
          <w:color w:val="auto"/>
          <w:sz w:val="24"/>
          <w:highlight w:val="none"/>
          <w:lang w:val="en-US" w:eastAsia="zh-CN"/>
        </w:rPr>
        <w:t>六</w:t>
      </w:r>
      <w:r>
        <w:rPr>
          <w:rFonts w:hint="eastAsia" w:ascii="宋体" w:cs="宋体"/>
          <w:b/>
          <w:bCs/>
          <w:color w:val="auto"/>
          <w:sz w:val="24"/>
          <w:highlight w:val="none"/>
        </w:rPr>
        <w:t>、招标答疑会</w:t>
      </w:r>
    </w:p>
    <w:p w14:paraId="423645BD">
      <w:pPr>
        <w:tabs>
          <w:tab w:val="left" w:pos="180"/>
          <w:tab w:val="left" w:pos="360"/>
          <w:tab w:val="left" w:pos="540"/>
          <w:tab w:val="left" w:pos="8280"/>
        </w:tabs>
        <w:autoSpaceDE w:val="0"/>
        <w:autoSpaceDN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rPr>
        <w:t>不组织。</w:t>
      </w:r>
    </w:p>
    <w:p w14:paraId="380DD04A">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hint="eastAsia" w:ascii="宋体" w:cs="宋体"/>
          <w:b/>
          <w:color w:val="auto"/>
          <w:kern w:val="0"/>
          <w:sz w:val="24"/>
          <w:highlight w:val="none"/>
        </w:rPr>
      </w:pPr>
      <w:r>
        <w:rPr>
          <w:rFonts w:hint="eastAsia" w:ascii="宋体" w:cs="宋体"/>
          <w:b/>
          <w:color w:val="auto"/>
          <w:sz w:val="24"/>
          <w:highlight w:val="none"/>
          <w:lang w:val="en-US" w:eastAsia="zh-CN"/>
        </w:rPr>
        <w:t>七</w:t>
      </w:r>
      <w:r>
        <w:rPr>
          <w:rFonts w:hint="eastAsia" w:ascii="宋体" w:cs="宋体"/>
          <w:b/>
          <w:color w:val="auto"/>
          <w:sz w:val="24"/>
          <w:highlight w:val="none"/>
        </w:rPr>
        <w:t>、</w:t>
      </w:r>
      <w:r>
        <w:rPr>
          <w:rFonts w:hint="eastAsia" w:ascii="宋体" w:cs="宋体"/>
          <w:b/>
          <w:color w:val="auto"/>
          <w:kern w:val="0"/>
          <w:sz w:val="24"/>
          <w:highlight w:val="none"/>
        </w:rPr>
        <w:t>投标截止及开标时间、地点：</w:t>
      </w:r>
    </w:p>
    <w:p w14:paraId="640997AD">
      <w:pPr>
        <w:spacing w:line="360" w:lineRule="auto"/>
        <w:ind w:firstLine="480" w:firstLineChars="200"/>
        <w:rPr>
          <w:rFonts w:hint="eastAsia" w:ascii="宋体" w:cs="宋体"/>
          <w:bCs/>
          <w:color w:val="auto"/>
          <w:kern w:val="0"/>
          <w:sz w:val="24"/>
          <w:highlight w:val="none"/>
        </w:rPr>
      </w:pPr>
      <w:r>
        <w:rPr>
          <w:rFonts w:hint="eastAsia" w:ascii="宋体" w:cs="宋体"/>
          <w:color w:val="auto"/>
          <w:sz w:val="24"/>
          <w:highlight w:val="none"/>
          <w:lang w:val="en-US" w:eastAsia="zh-CN"/>
        </w:rPr>
        <w:t>1）</w:t>
      </w:r>
      <w:r>
        <w:rPr>
          <w:rFonts w:hint="eastAsia" w:ascii="宋体" w:cs="宋体"/>
          <w:color w:val="auto"/>
          <w:sz w:val="24"/>
          <w:highlight w:val="none"/>
        </w:rPr>
        <w:t>投标人应于20</w:t>
      </w:r>
      <w:r>
        <w:rPr>
          <w:rFonts w:hint="eastAsia" w:ascii="宋体" w:cs="宋体"/>
          <w:color w:val="auto"/>
          <w:sz w:val="24"/>
          <w:highlight w:val="none"/>
          <w:lang w:val="en-US" w:eastAsia="zh-CN"/>
        </w:rPr>
        <w:t>24</w:t>
      </w:r>
      <w:r>
        <w:rPr>
          <w:rFonts w:hint="eastAsia" w:ascii="宋体" w:cs="宋体"/>
          <w:color w:val="auto"/>
          <w:sz w:val="24"/>
          <w:highlight w:val="none"/>
        </w:rPr>
        <w:t>年</w:t>
      </w:r>
      <w:r>
        <w:rPr>
          <w:rFonts w:hint="eastAsia" w:ascii="宋体" w:cs="宋体"/>
          <w:color w:val="auto"/>
          <w:sz w:val="24"/>
          <w:highlight w:val="none"/>
          <w:lang w:val="en-US" w:eastAsia="zh-CN"/>
        </w:rPr>
        <w:t xml:space="preserve">    </w:t>
      </w:r>
      <w:r>
        <w:rPr>
          <w:rFonts w:hint="eastAsia" w:ascii="宋体" w:cs="宋体"/>
          <w:color w:val="auto"/>
          <w:sz w:val="24"/>
          <w:highlight w:val="none"/>
        </w:rPr>
        <w:t>月</w:t>
      </w:r>
      <w:r>
        <w:rPr>
          <w:rFonts w:hint="eastAsia" w:ascii="宋体" w:cs="宋体"/>
          <w:color w:val="auto"/>
          <w:sz w:val="24"/>
          <w:highlight w:val="none"/>
          <w:lang w:val="en-US" w:eastAsia="zh-CN"/>
        </w:rPr>
        <w:t xml:space="preserve">     </w:t>
      </w:r>
      <w:r>
        <w:rPr>
          <w:rFonts w:hint="eastAsia" w:ascii="宋体" w:cs="宋体"/>
          <w:color w:val="auto"/>
          <w:sz w:val="24"/>
          <w:highlight w:val="none"/>
        </w:rPr>
        <w:t>日</w:t>
      </w:r>
      <w:r>
        <w:rPr>
          <w:rFonts w:hint="eastAsia" w:ascii="宋体" w:cs="宋体"/>
          <w:color w:val="auto"/>
          <w:sz w:val="24"/>
          <w:highlight w:val="none"/>
          <w:lang w:val="en-US" w:eastAsia="zh-CN"/>
        </w:rPr>
        <w:t>09时30分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t>http://www.tzwztb.com/</w:t>
      </w:r>
      <w:r>
        <w:rPr>
          <w:rFonts w:hint="eastAsia" w:ascii="宋体" w:hAnsi="宋体" w:cs="宋体"/>
          <w:color w:val="auto"/>
          <w:sz w:val="24"/>
          <w:szCs w:val="24"/>
          <w:highlight w:val="none"/>
        </w:rPr>
        <w:t>）进行在线提交；</w:t>
      </w:r>
    </w:p>
    <w:p w14:paraId="2BB45FEB">
      <w:pPr>
        <w:spacing w:line="360" w:lineRule="auto"/>
        <w:ind w:firstLine="480" w:firstLineChars="200"/>
        <w:rPr>
          <w:rFonts w:hint="eastAsia" w:ascii="宋体" w:hAnsi="宋体" w:cs="宋体"/>
          <w:b/>
          <w:color w:val="auto"/>
          <w:sz w:val="24"/>
          <w:highlight w:val="none"/>
          <w:u w:val="single"/>
        </w:rPr>
      </w:pPr>
      <w:r>
        <w:rPr>
          <w:rFonts w:hint="eastAsia" w:ascii="宋体" w:hAnsi="宋体" w:cs="宋体"/>
          <w:b/>
          <w:color w:val="auto"/>
          <w:sz w:val="24"/>
          <w:highlight w:val="none"/>
          <w:u w:val="single"/>
        </w:rPr>
        <w:t>投标人应在投标截止时间前缴纳保证金（或购买电子保函，电子保函截止时间为开标前一工作日下午16点前）。</w:t>
      </w:r>
    </w:p>
    <w:p w14:paraId="4DBEB0FF">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、开标时间及地点</w:t>
      </w:r>
      <w:r>
        <w:rPr>
          <w:rFonts w:hint="eastAsia" w:ascii="宋体" w:hAnsi="宋体" w:cs="宋体"/>
          <w:color w:val="auto"/>
          <w:sz w:val="24"/>
          <w:highlight w:val="none"/>
        </w:rPr>
        <w:t>：</w:t>
      </w:r>
    </w:p>
    <w:p w14:paraId="4D8F266D">
      <w:pPr>
        <w:spacing w:line="360" w:lineRule="auto"/>
        <w:ind w:firstLine="480" w:firstLineChars="200"/>
        <w:rPr>
          <w:rFonts w:hint="eastAsia"/>
          <w:color w:val="auto"/>
          <w:highlight w:val="none"/>
        </w:rPr>
      </w:pPr>
      <w:r>
        <w:rPr>
          <w:rFonts w:hint="eastAsia" w:ascii="宋体" w:hAnsi="宋体" w:cs="宋体"/>
          <w:bCs/>
          <w:color w:val="auto"/>
          <w:kern w:val="0"/>
          <w:sz w:val="24"/>
          <w:highlight w:val="none"/>
        </w:rPr>
        <w:t>开标时间与投标截止时间相同。（投标人代表一律不参加现场开标，开标过程中投标人、招标人可通过在线直播参与监督开标过程。直播网络地址：</w:t>
      </w:r>
      <w:r>
        <w:rPr>
          <w:color w:val="auto"/>
          <w:highlight w:val="none"/>
        </w:rPr>
        <w:fldChar w:fldCharType="begin"/>
      </w:r>
      <w:r>
        <w:rPr>
          <w:color w:val="auto"/>
          <w:highlight w:val="none"/>
        </w:rPr>
        <w:instrText xml:space="preserve"> HYPERLINK "http://www.tzwztb.com/live/" </w:instrText>
      </w:r>
      <w:r>
        <w:rPr>
          <w:color w:val="auto"/>
          <w:highlight w:val="none"/>
        </w:rPr>
        <w:fldChar w:fldCharType="separate"/>
      </w:r>
      <w:r>
        <w:rPr>
          <w:rStyle w:val="34"/>
          <w:color w:val="auto"/>
          <w:highlight w:val="none"/>
        </w:rPr>
        <w:t>www.tzwztb.com/live/</w:t>
      </w:r>
      <w:r>
        <w:rPr>
          <w:color w:val="auto"/>
          <w:highlight w:val="none"/>
        </w:rPr>
        <w:fldChar w:fldCharType="end"/>
      </w:r>
      <w:r>
        <w:rPr>
          <w:color w:val="auto"/>
          <w:highlight w:val="none"/>
        </w:rPr>
        <w:t xml:space="preserve"> </w:t>
      </w:r>
      <w:r>
        <w:rPr>
          <w:rFonts w:hint="eastAsia"/>
          <w:color w:val="auto"/>
          <w:highlight w:val="none"/>
        </w:rPr>
        <w:t>。</w:t>
      </w:r>
    </w:p>
    <w:p w14:paraId="5FD3E970">
      <w:pPr>
        <w:spacing w:line="360" w:lineRule="auto"/>
        <w:ind w:firstLine="480" w:firstLineChars="200"/>
        <w:rPr>
          <w:rFonts w:hint="eastAsia" w:ascii="宋体" w:cs="宋体"/>
          <w:bCs/>
          <w:color w:val="auto"/>
          <w:kern w:val="0"/>
          <w:sz w:val="24"/>
          <w:highlight w:val="none"/>
        </w:rPr>
      </w:pPr>
      <w:r>
        <w:rPr>
          <w:rFonts w:hint="eastAsia" w:ascii="宋体" w:cs="宋体"/>
          <w:b/>
          <w:color w:val="auto"/>
          <w:kern w:val="0"/>
          <w:sz w:val="24"/>
          <w:highlight w:val="none"/>
          <w:lang w:val="en-US" w:eastAsia="zh-CN"/>
        </w:rPr>
        <w:t>九</w:t>
      </w:r>
      <w:r>
        <w:rPr>
          <w:rFonts w:hint="eastAsia" w:ascii="宋体" w:cs="宋体"/>
          <w:b/>
          <w:color w:val="auto"/>
          <w:kern w:val="0"/>
          <w:sz w:val="24"/>
          <w:highlight w:val="none"/>
        </w:rPr>
        <w:t>、投标保证金：</w:t>
      </w:r>
    </w:p>
    <w:p w14:paraId="77AE2788">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1.投标保证金金额：</w:t>
      </w:r>
      <w:r>
        <w:rPr>
          <w:rFonts w:hint="eastAsia" w:ascii="宋体" w:hAnsi="宋体" w:eastAsia="宋体" w:cs="宋体"/>
          <w:bCs/>
          <w:color w:val="auto"/>
          <w:kern w:val="0"/>
          <w:sz w:val="24"/>
          <w:highlight w:val="none"/>
          <w:u w:val="single"/>
          <w:lang w:val="en-US" w:eastAsia="zh-CN"/>
        </w:rPr>
        <w:t xml:space="preserve">      </w:t>
      </w:r>
      <w:r>
        <w:rPr>
          <w:rFonts w:hint="eastAsia" w:ascii="宋体" w:hAnsi="宋体" w:eastAsia="宋体" w:cs="宋体"/>
          <w:bCs/>
          <w:color w:val="auto"/>
          <w:kern w:val="0"/>
          <w:sz w:val="24"/>
          <w:highlight w:val="none"/>
        </w:rPr>
        <w:t>元。</w:t>
      </w:r>
    </w:p>
    <w:p w14:paraId="519D0C7D">
      <w:pPr>
        <w:pStyle w:val="29"/>
        <w:ind w:left="0" w:leftChars="0" w:firstLine="48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2.投标保证金缴纳方式：银行转账、银行保函、保险机构保证保险保单、融资担保公司保函。</w:t>
      </w:r>
    </w:p>
    <w:p w14:paraId="1C2D1851">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（1）现金转账</w:t>
      </w:r>
    </w:p>
    <w:p w14:paraId="51514BB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① 电汇或银行转账（请不要使用“支付宝”等第三方支付平台），通过“台州湾新区小额工程电子交易平台”取得相应的银行账号后支付，投标保证金收款账号根据不同</w:t>
      </w:r>
      <w:r>
        <w:rPr>
          <w:rFonts w:hint="eastAsia" w:ascii="宋体" w:hAnsi="宋体" w:cs="宋体"/>
          <w:bCs/>
          <w:color w:val="auto"/>
          <w:kern w:val="0"/>
          <w:sz w:val="24"/>
          <w:highlight w:val="none"/>
          <w:lang w:val="en-US" w:eastAsia="zh-CN"/>
        </w:rPr>
        <w:t>项目</w:t>
      </w:r>
      <w:r>
        <w:rPr>
          <w:rFonts w:hint="eastAsia" w:ascii="宋体" w:hAnsi="宋体" w:cs="宋体"/>
          <w:bCs/>
          <w:color w:val="auto"/>
          <w:kern w:val="0"/>
          <w:sz w:val="24"/>
          <w:highlight w:val="none"/>
        </w:rPr>
        <w:t>（标段）由系统随机生成，此账号只在本</w:t>
      </w:r>
      <w:r>
        <w:rPr>
          <w:rFonts w:hint="eastAsia" w:ascii="宋体" w:hAnsi="宋体" w:cs="宋体"/>
          <w:bCs/>
          <w:color w:val="auto"/>
          <w:kern w:val="0"/>
          <w:sz w:val="24"/>
          <w:highlight w:val="none"/>
          <w:lang w:val="en-US" w:eastAsia="zh-CN"/>
        </w:rPr>
        <w:t>项目</w:t>
      </w:r>
      <w:r>
        <w:rPr>
          <w:rFonts w:hint="eastAsia" w:ascii="宋体" w:hAnsi="宋体" w:cs="宋体"/>
          <w:bCs/>
          <w:color w:val="auto"/>
          <w:kern w:val="0"/>
          <w:sz w:val="24"/>
          <w:highlight w:val="none"/>
        </w:rPr>
        <w:t>（标段）中使用有效，请注意核对。</w:t>
      </w:r>
    </w:p>
    <w:p w14:paraId="6631B17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②</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投标人缴纳的投标保证金必须在投标截止时间前到达上述指定账户，否则导致投标无效等后果由投标人自行承担。另外须注意双休日银行柜台休息对公转账的影响。开标结束后，未中标投标单位</w:t>
      </w:r>
      <w:r>
        <w:rPr>
          <w:rFonts w:hint="eastAsia" w:ascii="宋体" w:hAnsi="宋体" w:cs="宋体"/>
          <w:bCs/>
          <w:color w:val="auto"/>
          <w:kern w:val="0"/>
          <w:sz w:val="24"/>
          <w:highlight w:val="none"/>
          <w:lang w:val="en-US" w:eastAsia="zh-CN"/>
        </w:rPr>
        <w:t>及时</w:t>
      </w:r>
      <w:r>
        <w:rPr>
          <w:rFonts w:hint="eastAsia" w:ascii="宋体" w:hAnsi="宋体" w:cs="宋体"/>
          <w:bCs/>
          <w:color w:val="auto"/>
          <w:kern w:val="0"/>
          <w:sz w:val="24"/>
          <w:highlight w:val="none"/>
        </w:rPr>
        <w:t>返还</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中标人的投标保证金由招标人暂时保管，待履约担保办理完毕并签订</w:t>
      </w:r>
      <w:r>
        <w:rPr>
          <w:rFonts w:hint="eastAsia" w:ascii="宋体" w:hAnsi="宋体" w:cs="宋体"/>
          <w:bCs/>
          <w:color w:val="auto"/>
          <w:kern w:val="0"/>
          <w:sz w:val="24"/>
          <w:highlight w:val="none"/>
          <w:lang w:val="en-US" w:eastAsia="zh-CN"/>
        </w:rPr>
        <w:t>服务</w:t>
      </w:r>
      <w:r>
        <w:rPr>
          <w:rFonts w:hint="eastAsia" w:ascii="宋体" w:hAnsi="宋体" w:cs="宋体"/>
          <w:bCs/>
          <w:color w:val="auto"/>
          <w:kern w:val="0"/>
          <w:sz w:val="24"/>
          <w:highlight w:val="none"/>
        </w:rPr>
        <w:t>合同后，招标人返还中标人。</w:t>
      </w:r>
    </w:p>
    <w:p w14:paraId="53E07A36">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（2）银行保函、保险机构保证保险保单、融资担保公司保函（以下合称“工程保函”）</w:t>
      </w:r>
    </w:p>
    <w:p w14:paraId="23E34BB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①工程保函的受益人</w:t>
      </w:r>
      <w:r>
        <w:rPr>
          <w:rFonts w:hint="eastAsia" w:ascii="宋体" w:hAnsi="宋体" w:eastAsia="宋体" w:cs="宋体"/>
          <w:bCs/>
          <w:color w:val="auto"/>
          <w:kern w:val="0"/>
          <w:sz w:val="24"/>
          <w:highlight w:val="none"/>
          <w:u w:val="none"/>
          <w:lang w:eastAsia="zh-CN"/>
        </w:rPr>
        <w:t>：</w:t>
      </w:r>
      <w:r>
        <w:rPr>
          <w:rFonts w:hint="eastAsia" w:ascii="宋体" w:hAnsi="宋体" w:eastAsia="宋体" w:cs="宋体"/>
          <w:bCs/>
          <w:color w:val="auto"/>
          <w:kern w:val="0"/>
          <w:sz w:val="24"/>
          <w:highlight w:val="none"/>
          <w:u w:val="single"/>
          <w:lang w:eastAsia="zh-CN"/>
        </w:rPr>
        <w:t>台州西廊港口开发有限公司</w:t>
      </w:r>
      <w:r>
        <w:rPr>
          <w:rFonts w:hint="eastAsia" w:ascii="宋体" w:hAnsi="宋体" w:cs="宋体"/>
          <w:bCs/>
          <w:color w:val="auto"/>
          <w:kern w:val="0"/>
          <w:sz w:val="24"/>
          <w:highlight w:val="none"/>
        </w:rPr>
        <w:t>；</w:t>
      </w:r>
    </w:p>
    <w:p w14:paraId="66E52FA9">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②工程保函的有效期为1年；</w:t>
      </w:r>
    </w:p>
    <w:p w14:paraId="7183B3DB">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③递交方式：</w:t>
      </w:r>
    </w:p>
    <w:p w14:paraId="7868729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递交方式一（电子保函系统）：</w:t>
      </w:r>
    </w:p>
    <w:p w14:paraId="6285021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通过台州湾新区小额工程电子交易平台选择“电子保函”递交方式，并按系统流程进行操作、购买电子保函。</w:t>
      </w:r>
    </w:p>
    <w:p w14:paraId="34512FC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auto"/>
          <w:kern w:val="0"/>
          <w:sz w:val="24"/>
          <w:highlight w:val="none"/>
          <w:u w:val="single"/>
        </w:rPr>
        <w:t>投标电子保函针对具体项目标段的要求“一标段一保函”，每个标段对应相应的订单号，汇款时备注订单号。</w:t>
      </w:r>
    </w:p>
    <w:p w14:paraId="1ECB586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递交方式二（非电子保函系统）：</w:t>
      </w:r>
    </w:p>
    <w:p w14:paraId="7A6BD7D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投标人须在投标截止时间前将工程保函纸质原件、基本账户证明材料复印件（加盖公章）、保费支付的银行回单一并按要求递交。 </w:t>
      </w:r>
    </w:p>
    <w:p w14:paraId="3FE1E5A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递交方式：现场递交。</w:t>
      </w:r>
    </w:p>
    <w:p w14:paraId="7F4D9131">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提交地点：</w:t>
      </w:r>
      <w:r>
        <w:rPr>
          <w:rFonts w:hint="eastAsia" w:ascii="宋体" w:hAnsi="宋体" w:cs="宋体"/>
          <w:bCs/>
          <w:color w:val="auto"/>
          <w:kern w:val="0"/>
          <w:sz w:val="24"/>
          <w:highlight w:val="none"/>
          <w:u w:val="single"/>
        </w:rPr>
        <w:t>台州湾新区海虹街道一楼大厅</w:t>
      </w:r>
    </w:p>
    <w:p w14:paraId="4D4AD9DF">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auto"/>
          <w:kern w:val="0"/>
          <w:sz w:val="24"/>
          <w:highlight w:val="none"/>
          <w:u w:val="single"/>
          <w:lang w:val="en-US" w:eastAsia="zh-CN"/>
        </w:rPr>
      </w:pPr>
      <w:r>
        <w:rPr>
          <w:rFonts w:hint="eastAsia" w:ascii="宋体" w:hAnsi="宋体" w:cs="宋体"/>
          <w:bCs/>
          <w:color w:val="auto"/>
          <w:kern w:val="0"/>
          <w:sz w:val="24"/>
          <w:highlight w:val="none"/>
        </w:rPr>
        <w:t>提交时间：</w:t>
      </w:r>
      <w:r>
        <w:rPr>
          <w:rFonts w:ascii="宋体" w:hAnsi="宋体" w:cs="宋体"/>
          <w:bCs/>
          <w:color w:val="auto"/>
          <w:kern w:val="0"/>
          <w:sz w:val="24"/>
          <w:highlight w:val="none"/>
          <w:u w:val="single"/>
        </w:rPr>
        <w:t>202</w:t>
      </w:r>
      <w:r>
        <w:rPr>
          <w:rFonts w:hint="eastAsia" w:ascii="宋体" w:hAnsi="宋体" w:cs="宋体"/>
          <w:bCs/>
          <w:color w:val="auto"/>
          <w:kern w:val="0"/>
          <w:sz w:val="24"/>
          <w:highlight w:val="none"/>
          <w:u w:val="single"/>
          <w:lang w:val="en-US" w:eastAsia="zh-CN"/>
        </w:rPr>
        <w:t>4</w:t>
      </w:r>
      <w:r>
        <w:rPr>
          <w:rFonts w:ascii="宋体" w:hAnsi="宋体" w:cs="宋体"/>
          <w:bCs/>
          <w:color w:val="auto"/>
          <w:kern w:val="0"/>
          <w:sz w:val="24"/>
          <w:highlight w:val="none"/>
          <w:u w:val="single"/>
        </w:rPr>
        <w:t>年</w:t>
      </w:r>
      <w:r>
        <w:rPr>
          <w:rFonts w:hint="eastAsia" w:ascii="宋体" w:hAnsi="宋体" w:cs="宋体"/>
          <w:bCs/>
          <w:color w:val="auto"/>
          <w:kern w:val="0"/>
          <w:sz w:val="24"/>
          <w:highlight w:val="none"/>
          <w:u w:val="single"/>
          <w:lang w:val="en-US" w:eastAsia="zh-CN"/>
        </w:rPr>
        <w:t xml:space="preserve">    </w:t>
      </w:r>
      <w:r>
        <w:rPr>
          <w:rFonts w:ascii="宋体" w:hAnsi="宋体" w:cs="宋体"/>
          <w:bCs/>
          <w:color w:val="auto"/>
          <w:kern w:val="0"/>
          <w:sz w:val="24"/>
          <w:highlight w:val="none"/>
          <w:u w:val="single"/>
        </w:rPr>
        <w:t>月</w:t>
      </w:r>
      <w:r>
        <w:rPr>
          <w:rFonts w:hint="eastAsia" w:ascii="宋体" w:hAnsi="宋体" w:cs="宋体"/>
          <w:bCs/>
          <w:color w:val="auto"/>
          <w:kern w:val="0"/>
          <w:sz w:val="24"/>
          <w:highlight w:val="none"/>
          <w:u w:val="single"/>
          <w:lang w:val="en-US" w:eastAsia="zh-CN"/>
        </w:rPr>
        <w:t xml:space="preserve">     </w:t>
      </w:r>
      <w:r>
        <w:rPr>
          <w:rFonts w:ascii="宋体" w:hAnsi="宋体" w:cs="宋体"/>
          <w:bCs/>
          <w:color w:val="auto"/>
          <w:kern w:val="0"/>
          <w:sz w:val="24"/>
          <w:highlight w:val="none"/>
          <w:u w:val="single"/>
        </w:rPr>
        <w:t>日</w:t>
      </w:r>
      <w:r>
        <w:rPr>
          <w:rFonts w:hint="eastAsia" w:ascii="宋体" w:hAnsi="宋体" w:cs="宋体"/>
          <w:bCs/>
          <w:color w:val="auto"/>
          <w:kern w:val="0"/>
          <w:sz w:val="24"/>
          <w:highlight w:val="none"/>
          <w:u w:val="single"/>
          <w:lang w:val="en-US" w:eastAsia="zh-CN"/>
        </w:rPr>
        <w:t>09:00</w:t>
      </w:r>
      <w:r>
        <w:rPr>
          <w:rFonts w:hint="eastAsia" w:ascii="宋体" w:hAnsi="宋体" w:cs="宋体"/>
          <w:bCs/>
          <w:color w:val="auto"/>
          <w:kern w:val="0"/>
          <w:sz w:val="24"/>
          <w:highlight w:val="none"/>
          <w:u w:val="single"/>
        </w:rPr>
        <w:t>-</w:t>
      </w:r>
      <w:r>
        <w:rPr>
          <w:rFonts w:hint="eastAsia" w:ascii="宋体" w:hAnsi="宋体" w:cs="宋体"/>
          <w:bCs/>
          <w:color w:val="auto"/>
          <w:kern w:val="0"/>
          <w:sz w:val="24"/>
          <w:highlight w:val="none"/>
          <w:u w:val="single"/>
          <w:lang w:val="en-US" w:eastAsia="zh-CN"/>
        </w:rPr>
        <w:t>09:30</w:t>
      </w:r>
    </w:p>
    <w:p w14:paraId="48EC89B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w:t>
      </w:r>
      <w:r>
        <w:rPr>
          <w:rFonts w:hint="eastAsia" w:ascii="宋体" w:hAnsi="宋体" w:cs="宋体"/>
          <w:bCs/>
          <w:color w:val="auto"/>
          <w:kern w:val="0"/>
          <w:sz w:val="24"/>
          <w:highlight w:val="none"/>
          <w:u w:val="single"/>
        </w:rPr>
        <w:t>台州市建设咨询有限公司</w:t>
      </w:r>
      <w:r>
        <w:rPr>
          <w:rFonts w:hint="eastAsia" w:ascii="宋体" w:hAnsi="宋体" w:cs="宋体"/>
          <w:bCs/>
          <w:color w:val="auto"/>
          <w:kern w:val="0"/>
          <w:sz w:val="24"/>
          <w:highlight w:val="none"/>
        </w:rPr>
        <w:t>（代理机构）</w:t>
      </w:r>
    </w:p>
    <w:p w14:paraId="5EC4E21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接收人联系方式：</w:t>
      </w:r>
      <w:r>
        <w:rPr>
          <w:rFonts w:hint="eastAsia" w:ascii="宋体" w:hAnsi="宋体" w:cs="宋体"/>
          <w:bCs/>
          <w:color w:val="auto"/>
          <w:kern w:val="0"/>
          <w:sz w:val="24"/>
          <w:highlight w:val="none"/>
          <w:u w:val="single"/>
        </w:rPr>
        <w:t>0576-</w:t>
      </w:r>
      <w:r>
        <w:rPr>
          <w:rFonts w:hint="eastAsia" w:ascii="宋体" w:hAnsi="宋体" w:cs="宋体"/>
          <w:bCs/>
          <w:color w:val="auto"/>
          <w:kern w:val="0"/>
          <w:sz w:val="24"/>
          <w:highlight w:val="none"/>
          <w:u w:val="single"/>
          <w:lang w:val="en-US" w:eastAsia="zh-CN"/>
        </w:rPr>
        <w:t>88517782</w:t>
      </w:r>
      <w:r>
        <w:rPr>
          <w:rFonts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3624EC7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Cs/>
          <w:color w:val="auto"/>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14:paraId="3A33C9E5">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3、注意事项</w:t>
      </w:r>
    </w:p>
    <w:p w14:paraId="218EA7BA">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①若招标文件允许联合体投标且投标人以联合体身份投标的，由联合体牵头人提交投标保证金；</w:t>
      </w:r>
    </w:p>
    <w:p w14:paraId="1D617658">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②以银行转账形式提交的投标保证金应当从投标人基本账户转出，购买工程保函的费用应当从投标人基本账户支付；</w:t>
      </w:r>
    </w:p>
    <w:p w14:paraId="3A5E3F7E">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③若有疑问，请咨询技术服务热线：0576-88865509</w:t>
      </w:r>
    </w:p>
    <w:p w14:paraId="172E885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④以上未按要求提供或提供不清晰的，评标委员会可能做出不利于投标人的评审结果，由此造成的风险由投标人自行承担。</w:t>
      </w:r>
    </w:p>
    <w:p w14:paraId="636FCDD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bCs/>
          <w:color w:val="auto"/>
          <w:kern w:val="0"/>
          <w:sz w:val="24"/>
          <w:highlight w:val="none"/>
        </w:rPr>
      </w:pPr>
      <w:r>
        <w:rPr>
          <w:rFonts w:hint="eastAsia" w:ascii="宋体" w:hAnsi="宋体" w:cs="宋体"/>
          <w:b/>
          <w:color w:val="auto"/>
          <w:kern w:val="0"/>
          <w:sz w:val="24"/>
          <w:highlight w:val="none"/>
        </w:rPr>
        <w:t>4、</w:t>
      </w:r>
      <w:r>
        <w:rPr>
          <w:rFonts w:hint="eastAsia" w:ascii="宋体" w:hAnsi="宋体" w:cs="宋体"/>
          <w:bCs/>
          <w:color w:val="auto"/>
          <w:kern w:val="0"/>
          <w:sz w:val="24"/>
          <w:highlight w:val="none"/>
        </w:rPr>
        <w:t>购买工程电子保函截止时间：</w:t>
      </w:r>
      <w:r>
        <w:rPr>
          <w:rFonts w:hint="eastAsia" w:ascii="宋体" w:hAnsi="宋体" w:cs="宋体"/>
          <w:b/>
          <w:bCs w:val="0"/>
          <w:color w:val="auto"/>
          <w:kern w:val="0"/>
          <w:sz w:val="24"/>
          <w:highlight w:val="none"/>
        </w:rPr>
        <w:t>投标截止时间前一工作日下午16：00之前。</w:t>
      </w:r>
    </w:p>
    <w:p w14:paraId="4F1F31C3">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十、公告期限</w:t>
      </w:r>
    </w:p>
    <w:p w14:paraId="53A0798F">
      <w:pPr>
        <w:spacing w:line="360" w:lineRule="auto"/>
        <w:ind w:firstLine="480" w:firstLineChars="200"/>
        <w:rPr>
          <w:rFonts w:hint="eastAsia"/>
          <w:color w:val="auto"/>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01FF1D98">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十</w:t>
      </w:r>
      <w:r>
        <w:rPr>
          <w:rFonts w:hint="eastAsia" w:ascii="宋体" w:hAnsi="宋体" w:cs="宋体"/>
          <w:b/>
          <w:color w:val="auto"/>
          <w:kern w:val="0"/>
          <w:sz w:val="24"/>
          <w:highlight w:val="none"/>
          <w:lang w:val="en-US" w:eastAsia="zh-CN"/>
        </w:rPr>
        <w:t>一</w:t>
      </w:r>
      <w:r>
        <w:rPr>
          <w:rFonts w:hint="eastAsia" w:ascii="宋体" w:hAnsi="宋体" w:cs="宋体"/>
          <w:b/>
          <w:color w:val="auto"/>
          <w:kern w:val="0"/>
          <w:sz w:val="24"/>
          <w:highlight w:val="none"/>
        </w:rPr>
        <w:t>、相关注意事项：</w:t>
      </w:r>
    </w:p>
    <w:p w14:paraId="10B997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认为招标文件使自己的权益受到损害的，可以自获取招标文件之日或者招标公告期限届满之日（公告期限届满后获取招标文件的，以公告期限届满之日为准）起3个工作日内，对招标文件需求的以书面形式向招标人提出质疑，对其他内容的以书面形式向招标人和招标代理机构提出质疑。质疑投标人对招标人、招标代理机构的答复不满意或者招标人、招标代理机构未在规定的时间内作出答复的，可以在答复期满后十五个工作日内向招标人监督管理部门投诉。</w:t>
      </w:r>
    </w:p>
    <w:p w14:paraId="6E0588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2、本项目所有公告发布网站：“台州湾新区小额工程电子交易平台</w:t>
      </w:r>
      <w:r>
        <w:rPr>
          <w:rFonts w:ascii="宋体" w:hAnsi="宋体" w:cs="宋体"/>
          <w:color w:val="auto"/>
          <w:sz w:val="24"/>
          <w:highlight w:val="none"/>
        </w:rPr>
        <w:t>”</w:t>
      </w:r>
      <w:r>
        <w:rPr>
          <w:rFonts w:hint="eastAsia" w:ascii="宋体" w:hAnsi="宋体" w:cs="宋体"/>
          <w:color w:val="auto"/>
          <w:sz w:val="24"/>
          <w:highlight w:val="none"/>
        </w:rPr>
        <w:t>（http://www.tzwztb.com）及“浙江省政府采购网”（http:// www.zjzfcg.gov.cn）。</w:t>
      </w:r>
    </w:p>
    <w:p w14:paraId="3A3982BF">
      <w:pPr>
        <w:snapToGrid w:val="0"/>
        <w:spacing w:line="360" w:lineRule="auto"/>
        <w:ind w:firstLine="240" w:firstLineChars="100"/>
        <w:rPr>
          <w:rFonts w:hint="eastAsia" w:ascii="宋体" w:hAnsi="宋体" w:cs="宋体"/>
          <w:b/>
          <w:color w:val="auto"/>
          <w:sz w:val="24"/>
          <w:szCs w:val="20"/>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、联系方式：</w:t>
      </w:r>
    </w:p>
    <w:p w14:paraId="2323C33C">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（一）招标代理机构</w:t>
      </w:r>
    </w:p>
    <w:p w14:paraId="0B512152">
      <w:pPr>
        <w:spacing w:line="360" w:lineRule="auto"/>
        <w:ind w:firstLine="480" w:firstLineChars="200"/>
        <w:rPr>
          <w:rFonts w:hint="eastAsia"/>
          <w:color w:val="auto"/>
          <w:szCs w:val="21"/>
          <w:highlight w:val="none"/>
        </w:rPr>
      </w:pPr>
      <w:r>
        <w:rPr>
          <w:rFonts w:hint="eastAsia" w:ascii="宋体" w:hAnsi="宋体" w:cs="宋体"/>
          <w:color w:val="auto"/>
          <w:sz w:val="24"/>
          <w:highlight w:val="none"/>
        </w:rPr>
        <w:t>代理机构名称：</w:t>
      </w:r>
      <w:r>
        <w:rPr>
          <w:rFonts w:hint="eastAsia" w:ascii="宋体" w:hAnsi="宋体" w:cs="宋体"/>
          <w:color w:val="auto"/>
          <w:sz w:val="24"/>
          <w:highlight w:val="none"/>
          <w:u w:val="single"/>
        </w:rPr>
        <w:t>台州市建设咨询有限公司</w:t>
      </w:r>
    </w:p>
    <w:p w14:paraId="51BE5856">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 xml:space="preserve">  葛俊</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single"/>
          <w:lang w:val="en-US" w:eastAsia="zh-CN"/>
        </w:rPr>
        <w:t xml:space="preserve">   </w:t>
      </w:r>
    </w:p>
    <w:p w14:paraId="00D68CA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w:t>
      </w:r>
      <w:r>
        <w:rPr>
          <w:rFonts w:hint="eastAsia" w:ascii="宋体" w:hAnsi="宋体" w:cs="宋体"/>
          <w:color w:val="auto"/>
          <w:sz w:val="24"/>
          <w:highlight w:val="none"/>
          <w:u w:val="single"/>
          <w:lang w:val="en-US" w:eastAsia="zh-CN"/>
        </w:rPr>
        <w:t>2</w:t>
      </w:r>
    </w:p>
    <w:p w14:paraId="59875B4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市府大道507号台州国际商务广场1幢11楼</w:t>
      </w:r>
    </w:p>
    <w:p w14:paraId="555DF10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（二）</w:t>
      </w:r>
      <w:r>
        <w:rPr>
          <w:rFonts w:hint="eastAsia" w:ascii="宋体" w:hAnsi="宋体" w:cs="宋体"/>
          <w:b/>
          <w:color w:val="auto"/>
          <w:kern w:val="0"/>
          <w:sz w:val="24"/>
          <w:highlight w:val="none"/>
          <w:lang w:val="en-US" w:eastAsia="zh-CN"/>
        </w:rPr>
        <w:t>招标</w:t>
      </w:r>
      <w:r>
        <w:rPr>
          <w:rFonts w:hint="eastAsia" w:ascii="宋体" w:hAnsi="宋体" w:cs="宋体"/>
          <w:b/>
          <w:color w:val="auto"/>
          <w:kern w:val="0"/>
          <w:sz w:val="24"/>
          <w:highlight w:val="none"/>
        </w:rPr>
        <w:t>人</w:t>
      </w:r>
    </w:p>
    <w:p w14:paraId="5C0BCE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名称</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台州西廊港口开发有限公司</w:t>
      </w:r>
      <w:r>
        <w:rPr>
          <w:rFonts w:hint="eastAsia" w:ascii="宋体" w:hAnsi="宋体" w:cs="宋体"/>
          <w:color w:val="auto"/>
          <w:sz w:val="24"/>
          <w:highlight w:val="none"/>
          <w:u w:val="single"/>
        </w:rPr>
        <w:t xml:space="preserve"> </w:t>
      </w:r>
    </w:p>
    <w:p w14:paraId="243DD587">
      <w:pPr>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名称</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rPr>
        <w:t>中交第三航务工程局有限公司</w:t>
      </w:r>
    </w:p>
    <w:p w14:paraId="3B8BDA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Cs w:val="21"/>
          <w:highlight w:val="none"/>
          <w:lang w:val="en-US" w:eastAsia="zh-CN"/>
        </w:rPr>
        <w:t>李先生</w:t>
      </w:r>
      <w:r>
        <w:rPr>
          <w:rFonts w:hint="eastAsia" w:ascii="宋体" w:hAnsi="宋体" w:cs="宋体"/>
          <w:color w:val="auto"/>
          <w:sz w:val="24"/>
          <w:highlight w:val="none"/>
        </w:rPr>
        <w:t xml:space="preserve"> </w:t>
      </w:r>
    </w:p>
    <w:p w14:paraId="09C09F7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13857688987</w:t>
      </w:r>
    </w:p>
    <w:p w14:paraId="6BFE237D">
      <w:pPr>
        <w:pStyle w:val="11"/>
        <w:spacing w:after="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地址：</w:t>
      </w:r>
      <w:r>
        <w:rPr>
          <w:rFonts w:hint="eastAsia" w:ascii="宋体" w:hAnsi="宋体" w:cs="宋体"/>
          <w:color w:val="auto"/>
          <w:szCs w:val="21"/>
          <w:highlight w:val="none"/>
        </w:rPr>
        <w:t>台州市台州湾新区甲南大道东段9号</w:t>
      </w:r>
    </w:p>
    <w:p w14:paraId="1920C810">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b/>
          <w:color w:val="auto"/>
          <w:sz w:val="24"/>
          <w:highlight w:val="none"/>
        </w:rPr>
        <w:t>（三）同级监管机构</w:t>
      </w:r>
    </w:p>
    <w:p w14:paraId="684E7CD4">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color w:val="auto"/>
          <w:sz w:val="24"/>
          <w:highlight w:val="none"/>
        </w:rPr>
        <w:t>名 称：</w:t>
      </w:r>
      <w:r>
        <w:rPr>
          <w:rFonts w:hint="eastAsia" w:ascii="宋体" w:hAnsi="宋体" w:eastAsia="宋体" w:cs="宋体"/>
          <w:color w:val="auto"/>
          <w:sz w:val="24"/>
          <w:highlight w:val="none"/>
          <w:u w:val="single"/>
          <w:lang w:val="en-US" w:eastAsia="zh-CN"/>
        </w:rPr>
        <w:t>台州湾新区行政审批与投资服务局</w:t>
      </w:r>
    </w:p>
    <w:p w14:paraId="354834BF">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color w:val="auto"/>
          <w:sz w:val="24"/>
          <w:highlight w:val="none"/>
          <w:u w:val="single"/>
        </w:rPr>
        <w:t>台州市甲南大道东段9号</w:t>
      </w:r>
    </w:p>
    <w:p w14:paraId="4F9F60A9">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徐先生</w:t>
      </w:r>
      <w:r>
        <w:rPr>
          <w:rFonts w:hint="eastAsia" w:ascii="宋体" w:hAnsi="宋体" w:cs="宋体"/>
          <w:color w:val="auto"/>
          <w:sz w:val="24"/>
          <w:highlight w:val="none"/>
        </w:rPr>
        <w:t xml:space="preserve">            </w:t>
      </w:r>
    </w:p>
    <w:p w14:paraId="1E38C8D4">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w:t>
      </w:r>
      <w:r>
        <w:rPr>
          <w:rFonts w:hint="eastAsia" w:ascii="宋体" w:hAnsi="宋体" w:cs="宋体"/>
          <w:color w:val="auto"/>
          <w:sz w:val="24"/>
          <w:highlight w:val="none"/>
          <w:u w:val="single"/>
          <w:lang w:val="en-US" w:eastAsia="zh-CN"/>
        </w:rPr>
        <w:t>88538849</w:t>
      </w:r>
    </w:p>
    <w:p w14:paraId="49B2DFBD">
      <w:pPr>
        <w:pStyle w:val="61"/>
        <w:rPr>
          <w:rFonts w:hint="eastAsia" w:ascii="宋体" w:hAnsi="宋体" w:cs="宋体"/>
          <w:b/>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（四）台州湾新区小额工程电子交易平台</w:t>
      </w:r>
    </w:p>
    <w:p w14:paraId="5F564CFA">
      <w:pPr>
        <w:spacing w:line="360" w:lineRule="auto"/>
        <w:ind w:firstLine="720" w:firstLineChars="3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w:t>
      </w:r>
      <w:r>
        <w:rPr>
          <w:rFonts w:hint="eastAsia" w:ascii="宋体" w:hAnsi="宋体" w:cs="宋体"/>
          <w:color w:val="auto"/>
          <w:sz w:val="24"/>
          <w:highlight w:val="none"/>
          <w:u w:val="single"/>
          <w:lang w:val="en-US" w:eastAsia="zh-CN"/>
        </w:rPr>
        <w:t>蔡永正、王明月</w:t>
      </w:r>
    </w:p>
    <w:p w14:paraId="32C7E2AB">
      <w:pPr>
        <w:spacing w:line="360" w:lineRule="auto"/>
        <w:ind w:firstLine="720" w:firstLineChars="30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88865509</w:t>
      </w:r>
    </w:p>
    <w:p w14:paraId="52FA6239">
      <w:pPr>
        <w:snapToGrid w:val="0"/>
        <w:spacing w:line="336" w:lineRule="auto"/>
        <w:ind w:firstLine="5760" w:firstLineChars="2400"/>
        <w:jc w:val="left"/>
        <w:rPr>
          <w:rFonts w:hint="eastAsia" w:ascii="宋体" w:hAnsi="宋体" w:cs="宋体"/>
          <w:color w:val="auto"/>
          <w:sz w:val="24"/>
          <w:highlight w:val="none"/>
        </w:rPr>
      </w:pPr>
    </w:p>
    <w:p w14:paraId="02B84D64">
      <w:pPr>
        <w:spacing w:line="360" w:lineRule="auto"/>
        <w:ind w:firstLine="480" w:firstLineChars="200"/>
        <w:jc w:val="right"/>
        <w:rPr>
          <w:rFonts w:hint="eastAsia" w:ascii="宋体" w:hAnsi="宋体" w:cs="宋体"/>
          <w:color w:val="auto"/>
          <w:sz w:val="24"/>
          <w:highlight w:val="none"/>
        </w:rPr>
      </w:pPr>
    </w:p>
    <w:p w14:paraId="256EFE8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台州市建设咨询有限公司</w:t>
      </w:r>
    </w:p>
    <w:p w14:paraId="6C9F1CA4">
      <w:pPr>
        <w:snapToGrid w:val="0"/>
        <w:spacing w:line="360" w:lineRule="auto"/>
        <w:jc w:val="center"/>
        <w:rPr>
          <w:rFonts w:hAnsi="宋体" w:cs="宋体"/>
          <w:color w:val="auto"/>
          <w:sz w:val="36"/>
          <w:szCs w:val="36"/>
          <w:highlight w:val="none"/>
        </w:rPr>
        <w:sectPr>
          <w:footerReference r:id="rId7" w:type="default"/>
          <w:pgSz w:w="11906" w:h="16838"/>
          <w:pgMar w:top="1134" w:right="1587" w:bottom="1134" w:left="1587" w:header="851" w:footer="850" w:gutter="0"/>
          <w:pgNumType w:fmt="numberInDash" w:start="1"/>
          <w:cols w:space="720" w:num="1"/>
          <w:docGrid w:linePitch="312" w:charSpace="0"/>
        </w:sect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p>
    <w:p w14:paraId="2F25E5DF">
      <w:pPr>
        <w:numPr>
          <w:ilvl w:val="0"/>
          <w:numId w:val="0"/>
        </w:numPr>
        <w:tabs>
          <w:tab w:val="left" w:pos="0"/>
        </w:tabs>
        <w:spacing w:line="360" w:lineRule="auto"/>
        <w:ind w:leftChars="0"/>
        <w:jc w:val="center"/>
        <w:rPr>
          <w:rFonts w:hint="eastAsia" w:ascii="宋体"/>
          <w:b/>
          <w:color w:val="auto"/>
          <w:sz w:val="36"/>
          <w:szCs w:val="36"/>
          <w:highlight w:val="none"/>
        </w:rPr>
      </w:pPr>
      <w:bookmarkStart w:id="5" w:name="_Toc30644_WPSOffice_Level1"/>
      <w:r>
        <w:rPr>
          <w:rFonts w:hint="eastAsia" w:ascii="宋体"/>
          <w:b/>
          <w:color w:val="auto"/>
          <w:sz w:val="36"/>
          <w:szCs w:val="36"/>
          <w:highlight w:val="none"/>
          <w:lang w:val="en-US" w:eastAsia="zh-CN"/>
        </w:rPr>
        <w:t xml:space="preserve">第二章 </w:t>
      </w:r>
      <w:r>
        <w:rPr>
          <w:rFonts w:hint="eastAsia" w:ascii="宋体"/>
          <w:b/>
          <w:color w:val="auto"/>
          <w:sz w:val="36"/>
          <w:szCs w:val="36"/>
          <w:highlight w:val="none"/>
        </w:rPr>
        <w:t>投标人须知</w:t>
      </w:r>
      <w:bookmarkEnd w:id="5"/>
    </w:p>
    <w:p w14:paraId="0C7B8F54">
      <w:pPr>
        <w:spacing w:line="360" w:lineRule="auto"/>
        <w:jc w:val="center"/>
        <w:rPr>
          <w:rFonts w:hint="eastAsia" w:ascii="宋体"/>
          <w:b/>
          <w:color w:val="auto"/>
          <w:sz w:val="24"/>
          <w:szCs w:val="24"/>
          <w:highlight w:val="none"/>
        </w:rPr>
      </w:pPr>
      <w:r>
        <w:rPr>
          <w:rFonts w:hint="eastAsia" w:ascii="宋体"/>
          <w:b/>
          <w:color w:val="auto"/>
          <w:sz w:val="24"/>
          <w:szCs w:val="24"/>
          <w:highlight w:val="none"/>
        </w:rPr>
        <w:t>前  附 表</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05C69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21B861D">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9470262">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内容、要求</w:t>
            </w:r>
          </w:p>
        </w:tc>
      </w:tr>
      <w:tr w14:paraId="40519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EF404AC">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B3F3EEC">
            <w:pPr>
              <w:snapToGrid w:val="0"/>
              <w:spacing w:line="360" w:lineRule="auto"/>
              <w:ind w:left="1200" w:hanging="1100" w:hangingChars="5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val="en-US" w:eastAsia="zh-CN"/>
              </w:rPr>
              <w:t>台州湾陆岛联动综合码头工程（一期）建筑工程一切险及安全生产责任险保险服务项目</w:t>
            </w:r>
          </w:p>
        </w:tc>
      </w:tr>
      <w:tr w14:paraId="64334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55C6AC1">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5C4572E">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采购内容及数量：详见第</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章“招标需求”</w:t>
            </w:r>
          </w:p>
        </w:tc>
      </w:tr>
      <w:tr w14:paraId="51758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01B1050">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7EB8BDA">
            <w:pPr>
              <w:numPr>
                <w:ilvl w:val="0"/>
                <w:numId w:val="0"/>
              </w:numPr>
              <w:spacing w:line="360" w:lineRule="auto"/>
              <w:rPr>
                <w:rFonts w:hint="default" w:ascii="宋体" w:hAnsi="宋体" w:eastAsia="宋体" w:cs="宋体"/>
                <w:b w:val="0"/>
                <w:bCs w:val="0"/>
                <w:color w:val="auto"/>
                <w:kern w:val="2"/>
                <w:sz w:val="22"/>
                <w:szCs w:val="22"/>
                <w:highlight w:val="none"/>
                <w:u w:val="none"/>
                <w:lang w:val="en-US" w:eastAsia="zh-CN" w:bidi="ar-SA"/>
              </w:rPr>
            </w:pPr>
            <w:r>
              <w:rPr>
                <w:rFonts w:hint="eastAsia" w:hAnsi="宋体" w:eastAsia="宋体" w:cs="宋体"/>
                <w:color w:val="auto"/>
                <w:sz w:val="22"/>
                <w:szCs w:val="22"/>
                <w:highlight w:val="none"/>
                <w:lang w:val="en-US" w:eastAsia="zh-CN"/>
              </w:rPr>
              <w:t>服务期限:</w:t>
            </w:r>
            <w:r>
              <w:rPr>
                <w:rFonts w:hint="eastAsia" w:ascii="宋体" w:hAnsi="宋体" w:eastAsia="宋体" w:cs="宋体"/>
                <w:b w:val="0"/>
                <w:bCs w:val="0"/>
                <w:color w:val="auto"/>
                <w:kern w:val="2"/>
                <w:sz w:val="22"/>
                <w:szCs w:val="22"/>
                <w:highlight w:val="none"/>
                <w:u w:val="none"/>
                <w:lang w:val="en-US" w:eastAsia="zh-CN" w:bidi="ar-SA"/>
              </w:rPr>
              <w:t>合同签订之日至工程竣工验收后缺陷责任期终止证书颁发之日。</w:t>
            </w:r>
          </w:p>
          <w:p w14:paraId="2ECE641A">
            <w:pPr>
              <w:numPr>
                <w:ilvl w:val="0"/>
                <w:numId w:val="0"/>
              </w:numPr>
              <w:spacing w:line="360" w:lineRule="auto"/>
              <w:rPr>
                <w:rFonts w:hint="eastAsia" w:ascii="宋体" w:hAnsi="宋体" w:eastAsia="宋体" w:cs="宋体"/>
                <w:b/>
                <w:bCs/>
                <w:color w:val="auto"/>
                <w:kern w:val="2"/>
                <w:sz w:val="22"/>
                <w:szCs w:val="22"/>
                <w:highlight w:val="none"/>
                <w:u w:val="none"/>
                <w:lang w:val="en-US" w:eastAsia="zh-CN" w:bidi="ar-SA"/>
              </w:rPr>
            </w:pPr>
            <w:r>
              <w:rPr>
                <w:rFonts w:hint="eastAsia" w:ascii="宋体" w:hAnsi="宋体" w:eastAsia="宋体" w:cs="宋体"/>
                <w:b/>
                <w:bCs/>
                <w:color w:val="auto"/>
                <w:kern w:val="2"/>
                <w:sz w:val="22"/>
                <w:szCs w:val="22"/>
                <w:highlight w:val="none"/>
                <w:u w:val="none"/>
                <w:lang w:val="en-US" w:eastAsia="zh-CN" w:bidi="ar-SA"/>
              </w:rPr>
              <w:t>（1）建筑工程一切险及安全生产责任险保险期限明确：</w:t>
            </w:r>
          </w:p>
          <w:p w14:paraId="66B444A0">
            <w:pPr>
              <w:spacing w:line="360" w:lineRule="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自本保险合同签订之日起至本工程竣工验收合格之日止，保险服务期为30个月。如遇工期延期，本保险期限将免费延期12个月，且不加收任何附加保险费，被保险人须提前30天通知保险人。如在免费延期12个月后仍未完工，投保人在缴纳本保险合同项下按日比例计算的保险费后，保险期限可以继续延长。超过12个月部分的保费=本项目建筑工程一切险保险金额（</w:t>
            </w:r>
            <w:r>
              <w:rPr>
                <w:rFonts w:hint="eastAsia" w:ascii="宋体" w:cs="宋体"/>
                <w:b/>
                <w:bCs/>
                <w:color w:val="auto"/>
                <w:sz w:val="24"/>
                <w:highlight w:val="none"/>
                <w:lang w:val="en-US" w:eastAsia="zh-CN"/>
              </w:rPr>
              <w:t>815892366元</w:t>
            </w:r>
            <w:r>
              <w:rPr>
                <w:rFonts w:hint="eastAsia" w:ascii="宋体" w:hAnsi="宋体" w:eastAsia="宋体" w:cs="宋体"/>
                <w:b w:val="0"/>
                <w:bCs w:val="0"/>
                <w:color w:val="auto"/>
                <w:kern w:val="2"/>
                <w:sz w:val="22"/>
                <w:szCs w:val="22"/>
                <w:highlight w:val="none"/>
                <w:u w:val="none"/>
                <w:lang w:val="en-US" w:eastAsia="zh-CN" w:bidi="ar-SA"/>
              </w:rPr>
              <w:t>）×（建筑工程一切险保险费率+安全生产责任险费率）×（延期时间-365天）/900天。</w:t>
            </w:r>
          </w:p>
          <w:p w14:paraId="4880C549">
            <w:pPr>
              <w:spacing w:line="360" w:lineRule="auto"/>
              <w:rPr>
                <w:rFonts w:hint="eastAsia" w:ascii="宋体" w:hAnsi="宋体" w:eastAsia="宋体" w:cs="宋体"/>
                <w:b/>
                <w:bCs/>
                <w:color w:val="auto"/>
                <w:kern w:val="2"/>
                <w:sz w:val="22"/>
                <w:szCs w:val="22"/>
                <w:highlight w:val="none"/>
                <w:u w:val="none"/>
                <w:lang w:val="en-US" w:eastAsia="zh-CN" w:bidi="ar-SA"/>
              </w:rPr>
            </w:pPr>
            <w:r>
              <w:rPr>
                <w:rFonts w:hint="eastAsia" w:ascii="宋体" w:hAnsi="宋体" w:eastAsia="宋体" w:cs="宋体"/>
                <w:b/>
                <w:bCs/>
                <w:color w:val="auto"/>
                <w:kern w:val="2"/>
                <w:sz w:val="22"/>
                <w:szCs w:val="22"/>
                <w:highlight w:val="none"/>
                <w:u w:val="none"/>
                <w:lang w:val="en-US" w:eastAsia="zh-CN" w:bidi="ar-SA"/>
              </w:rPr>
              <w:t>（2）建筑工程一切险及安全生产责任险保证期：</w:t>
            </w:r>
          </w:p>
          <w:p w14:paraId="36EB2A18">
            <w:pPr>
              <w:pStyle w:val="27"/>
              <w:spacing w:before="0" w:beforeAutospacing="0" w:after="0" w:afterAutospacing="0"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u w:val="none"/>
                <w:lang w:val="en-US" w:eastAsia="zh-CN" w:bidi="ar-SA"/>
              </w:rPr>
              <w:t>本工程竣工验收合格之日起至本工程缺陷责任期终止证书颁发之日止，预计12个月。如遇工期延期，则保证期相应顺延。</w:t>
            </w:r>
          </w:p>
        </w:tc>
      </w:tr>
      <w:tr w14:paraId="5054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76007F8">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30FC61DB">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投标报价及费用：</w:t>
            </w:r>
          </w:p>
          <w:p w14:paraId="6D4F4433">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1、本项目投标应以人民币报价；</w:t>
            </w:r>
          </w:p>
          <w:p w14:paraId="6445368A">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2、不论投标结果如何，投标人均应自行承担所有与投标有关的全部费用；</w:t>
            </w:r>
          </w:p>
          <w:p w14:paraId="4F83C6DD">
            <w:pPr>
              <w:pStyle w:val="2"/>
              <w:numPr>
                <w:ilvl w:val="0"/>
                <w:numId w:val="0"/>
              </w:numPr>
              <w:ind w:left="0" w:firstLine="0"/>
              <w:jc w:val="left"/>
              <w:rPr>
                <w:rFonts w:hint="eastAsia" w:eastAsia="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3、本项目保险经纪服务费2.8万元由中标人承担。</w:t>
            </w:r>
          </w:p>
        </w:tc>
      </w:tr>
      <w:tr w14:paraId="4B6EF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C8B1A1B">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F05AEE2">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w:t>
            </w:r>
          </w:p>
          <w:p w14:paraId="3E930D3F">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投标保证金缴纳方式：银行转账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银行保函、保险机构保证保险保单、融资担保公司保函。</w:t>
            </w:r>
          </w:p>
        </w:tc>
      </w:tr>
      <w:tr w14:paraId="778E6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9EE8D9F">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02E2641">
            <w:pPr>
              <w:snapToGrid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现场踏勘：</w:t>
            </w:r>
            <w:r>
              <w:rPr>
                <w:rFonts w:hint="eastAsia" w:ascii="宋体" w:hAnsi="宋体" w:eastAsia="宋体" w:cs="宋体"/>
                <w:color w:val="auto"/>
                <w:sz w:val="22"/>
                <w:szCs w:val="22"/>
                <w:highlight w:val="none"/>
                <w:lang w:val="en-US" w:eastAsia="zh-CN"/>
              </w:rPr>
              <w:t>不组织</w:t>
            </w:r>
          </w:p>
        </w:tc>
      </w:tr>
      <w:tr w14:paraId="4CFAC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0BBCAD7A">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FC09277">
            <w:p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bidi="ar"/>
              </w:rPr>
              <w:t>答疑与澄清：投标人获取招标文件后，若有问题需要澄清，应自招标文件发布在交易场所（发布招标公告的媒体上）3日内，向招标人（招标代理）提出。</w:t>
            </w:r>
          </w:p>
        </w:tc>
      </w:tr>
      <w:tr w14:paraId="6FB20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2CB2ECE0">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5DA84498">
            <w:pPr>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投标截止时间及地点：</w:t>
            </w:r>
            <w:r>
              <w:rPr>
                <w:rFonts w:hint="eastAsia" w:ascii="宋体" w:hAnsi="宋体" w:eastAsia="宋体" w:cs="宋体"/>
                <w:color w:val="auto"/>
                <w:sz w:val="22"/>
                <w:szCs w:val="22"/>
                <w:highlight w:val="none"/>
                <w:u w:val="single"/>
              </w:rPr>
              <w:t>见招标公告；</w:t>
            </w:r>
          </w:p>
        </w:tc>
      </w:tr>
      <w:tr w14:paraId="75C35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444D09D">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4714D45">
            <w:pPr>
              <w:snapToGrid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开标时间及地点：</w:t>
            </w:r>
            <w:r>
              <w:rPr>
                <w:rFonts w:hint="eastAsia" w:ascii="宋体" w:hAnsi="宋体" w:eastAsia="宋体" w:cs="宋体"/>
                <w:color w:val="auto"/>
                <w:sz w:val="22"/>
                <w:szCs w:val="22"/>
                <w:highlight w:val="none"/>
                <w:u w:val="single"/>
              </w:rPr>
              <w:t>见招标公告；</w:t>
            </w:r>
            <w:r>
              <w:rPr>
                <w:rFonts w:hint="eastAsia" w:ascii="宋体" w:hAnsi="宋体" w:eastAsia="宋体" w:cs="宋体"/>
                <w:color w:val="auto"/>
                <w:sz w:val="22"/>
                <w:szCs w:val="22"/>
                <w:highlight w:val="none"/>
              </w:rPr>
              <w:t xml:space="preserve"> </w:t>
            </w:r>
          </w:p>
        </w:tc>
      </w:tr>
      <w:tr w14:paraId="5A656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41B9B284">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900DA69">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评标办法及评分标准：详见本招标文件第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章《评标办法及评分标准》</w:t>
            </w:r>
          </w:p>
        </w:tc>
      </w:tr>
      <w:tr w14:paraId="5C0DF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7CFF418">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4614ACA">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▲投标有效期：自投标截止日起 90 天投标文件应保持有效</w:t>
            </w:r>
            <w:r>
              <w:rPr>
                <w:rFonts w:hint="eastAsia" w:ascii="宋体" w:hAnsi="宋体" w:eastAsia="宋体" w:cs="宋体"/>
                <w:color w:val="auto"/>
                <w:sz w:val="22"/>
                <w:szCs w:val="22"/>
                <w:highlight w:val="none"/>
              </w:rPr>
              <w:tab/>
            </w:r>
          </w:p>
        </w:tc>
      </w:tr>
      <w:tr w14:paraId="14F2D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6A967362">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D8FD105">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实质性条款：带▲是实质性条款，投标人不得负偏离，否则为无效标。</w:t>
            </w:r>
          </w:p>
        </w:tc>
      </w:tr>
      <w:tr w14:paraId="1586E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7A20991C">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635F4B05">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签订合同时间：中标通知书发出后30日内。</w:t>
            </w:r>
          </w:p>
        </w:tc>
      </w:tr>
      <w:tr w14:paraId="009F9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4B6F133">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EC9C21F">
            <w:pPr>
              <w:autoSpaceDE w:val="0"/>
              <w:autoSpaceDN w:val="0"/>
              <w:snapToGrid w:val="0"/>
              <w:spacing w:line="360" w:lineRule="auto"/>
              <w:textAlignment w:val="bottom"/>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履约担保金额为中标合同金额的</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lang w:eastAsia="zh-CN"/>
              </w:rPr>
              <w:t>%，如不能办理工程保函采用现金的，中标人必须通过其基本账户转出，以转账、电汇或银行汇票方式存入招标人指定账户。</w:t>
            </w:r>
          </w:p>
        </w:tc>
      </w:tr>
      <w:tr w14:paraId="1BCDE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ADE462A">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4A038AF5">
            <w:pPr>
              <w:autoSpaceDE w:val="0"/>
              <w:autoSpaceDN w:val="0"/>
              <w:snapToGrid w:val="0"/>
              <w:spacing w:line="360" w:lineRule="auto"/>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投标文件递交要求：</w:t>
            </w:r>
          </w:p>
          <w:p w14:paraId="7A4468D2">
            <w:pPr>
              <w:autoSpaceDE w:val="0"/>
              <w:autoSpaceDN w:val="0"/>
              <w:snapToGrid w:val="0"/>
              <w:spacing w:line="360" w:lineRule="auto"/>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1、投标人无需到开标现场，电子投标文件上传至台州湾新区小额工程电子交易平台。如遇有问题的请联系蔡先生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王女士，0576-88865509。</w:t>
            </w:r>
          </w:p>
          <w:p w14:paraId="10C412F1">
            <w:pPr>
              <w:autoSpaceDE w:val="0"/>
              <w:autoSpaceDN w:val="0"/>
              <w:snapToGrid w:val="0"/>
              <w:spacing w:line="360" w:lineRule="auto"/>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2、电子投标文件上传步骤：</w:t>
            </w:r>
          </w:p>
          <w:p w14:paraId="0BD8DD89">
            <w:pPr>
              <w:autoSpaceDE w:val="0"/>
              <w:autoSpaceDN w:val="0"/>
              <w:snapToGrid w:val="0"/>
              <w:spacing w:line="360" w:lineRule="auto"/>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台州湾新区小额工程电子交易平台（网址：http://www.tzwztb.com/）；</w:t>
            </w:r>
          </w:p>
          <w:p w14:paraId="24B5CCDB">
            <w:pPr>
              <w:autoSpaceDE w:val="0"/>
              <w:autoSpaceDN w:val="0"/>
              <w:snapToGrid w:val="0"/>
              <w:spacing w:line="360" w:lineRule="auto"/>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投标人应提前办好ca锁（办理网址：http://www.tseal.cn/tcloud/common.xhtml?projId=295），绑定平台账户。</w:t>
            </w:r>
          </w:p>
          <w:p w14:paraId="6272931D">
            <w:pPr>
              <w:autoSpaceDE w:val="0"/>
              <w:autoSpaceDN w:val="0"/>
              <w:snapToGrid w:val="0"/>
              <w:spacing w:line="360" w:lineRule="auto"/>
              <w:jc w:val="left"/>
              <w:textAlignment w:val="bottom"/>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缴纳保证金（或购买、上传电子保函）后，点击“电子投标文件制作工具”，进入制作页面，签章并加密上传电子投标文件。</w:t>
            </w:r>
          </w:p>
        </w:tc>
      </w:tr>
      <w:tr w14:paraId="5A3A7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1AA550D4">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1B529030">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本</w:t>
            </w:r>
            <w:r>
              <w:rPr>
                <w:rFonts w:hint="eastAsia" w:ascii="宋体" w:hAnsi="宋体" w:eastAsia="宋体" w:cs="宋体"/>
                <w:b/>
                <w:color w:val="auto"/>
                <w:sz w:val="22"/>
                <w:szCs w:val="22"/>
                <w:highlight w:val="none"/>
                <w:lang w:val="en-US" w:eastAsia="zh-CN"/>
              </w:rPr>
              <w:t>项目</w:t>
            </w:r>
            <w:r>
              <w:rPr>
                <w:rFonts w:hint="eastAsia" w:ascii="宋体" w:hAnsi="宋体" w:eastAsia="宋体" w:cs="宋体"/>
                <w:b/>
                <w:color w:val="auto"/>
                <w:sz w:val="22"/>
                <w:szCs w:val="22"/>
                <w:highlight w:val="none"/>
              </w:rPr>
              <w:t>为电子招投标，电子投标文件格式中注明盖章的，均应按要求使用CA锁加盖公章和法定代表人章。</w:t>
            </w:r>
          </w:p>
        </w:tc>
      </w:tr>
      <w:tr w14:paraId="6D442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3F37AD08">
            <w:pPr>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03014663">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解释：本招标文件的解释权属于招标</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rPr>
              <w:t>。</w:t>
            </w:r>
          </w:p>
        </w:tc>
      </w:tr>
      <w:tr w14:paraId="4A6A6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14:paraId="5CC15CF5">
            <w:pPr>
              <w:snapToGrid w:val="0"/>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14:paraId="2E75E3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只推荐1名中标候选人。</w:t>
            </w:r>
          </w:p>
          <w:p w14:paraId="28D9F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本次保险服务招标为首席保险人招标，要求采用共保人模式。</w:t>
            </w:r>
          </w:p>
          <w:p w14:paraId="2EB122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首席保险人和共保人应符合以下要求：</w:t>
            </w:r>
          </w:p>
          <w:p w14:paraId="5FDD5B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1、第一中标人作为本项目的首席保险人，全面负责一切对招标人的服务（包括承保、出单、收取/划拨保险费、风险管控及防灾防损基金的设立与运用、理赔、保险培训等）和共保人协调工作。</w:t>
            </w:r>
          </w:p>
          <w:p w14:paraId="3A36BB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2、</w:t>
            </w:r>
            <w:r>
              <w:rPr>
                <w:rFonts w:hint="eastAsia" w:ascii="宋体" w:hAnsi="宋体" w:eastAsia="宋体" w:cs="宋体"/>
                <w:b/>
                <w:bCs/>
                <w:color w:val="auto"/>
                <w:kern w:val="2"/>
                <w:sz w:val="22"/>
                <w:szCs w:val="22"/>
                <w:highlight w:val="none"/>
                <w:u w:val="none"/>
                <w:lang w:val="en-US" w:eastAsia="zh-CN" w:bidi="ar-SA"/>
              </w:rPr>
              <w:t>首席保险人份额不低于40%，且其他单个共保人份额不得大于首席保险人份额。</w:t>
            </w:r>
          </w:p>
          <w:p w14:paraId="749B96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3、首席保险人需在收到中标通知书7个工作日内出具暂保单。</w:t>
            </w:r>
          </w:p>
          <w:p w14:paraId="31400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2"/>
                <w:sz w:val="22"/>
                <w:szCs w:val="22"/>
                <w:highlight w:val="none"/>
                <w:u w:val="none"/>
                <w:lang w:val="en-US" w:eastAsia="zh-CN" w:bidi="ar-SA"/>
              </w:rPr>
            </w:pPr>
            <w:r>
              <w:rPr>
                <w:rFonts w:hint="eastAsia" w:ascii="宋体" w:hAnsi="宋体" w:eastAsia="宋体" w:cs="宋体"/>
                <w:b w:val="0"/>
                <w:bCs w:val="0"/>
                <w:color w:val="auto"/>
                <w:kern w:val="2"/>
                <w:sz w:val="22"/>
                <w:szCs w:val="22"/>
                <w:highlight w:val="none"/>
                <w:u w:val="none"/>
                <w:lang w:val="en-US" w:eastAsia="zh-CN" w:bidi="ar-SA"/>
              </w:rPr>
              <w:t>4、共保人的确定及共保份额：首席保险人及保险经纪人在本次招标通过资格审查的投标人中综合考虑承保能力、后期服务能力及以往合作情况等因素综合确定，并征得招标人同意。</w:t>
            </w:r>
          </w:p>
          <w:p w14:paraId="19356DB7">
            <w:pPr>
              <w:autoSpaceDE w:val="0"/>
              <w:autoSpaceDN w:val="0"/>
              <w:snapToGrid w:val="0"/>
              <w:spacing w:line="360" w:lineRule="auto"/>
              <w:textAlignment w:val="bottom"/>
              <w:rPr>
                <w:rFonts w:hint="eastAsia" w:ascii="宋体" w:hAnsi="宋体" w:eastAsia="宋体" w:cs="宋体"/>
                <w:color w:val="auto"/>
                <w:sz w:val="22"/>
                <w:szCs w:val="22"/>
                <w:highlight w:val="none"/>
              </w:rPr>
            </w:pPr>
            <w:r>
              <w:rPr>
                <w:rFonts w:hint="eastAsia" w:ascii="宋体" w:hAnsi="宋体" w:eastAsia="宋体" w:cs="宋体"/>
                <w:b w:val="0"/>
                <w:bCs w:val="0"/>
                <w:color w:val="auto"/>
                <w:kern w:val="2"/>
                <w:sz w:val="22"/>
                <w:szCs w:val="22"/>
                <w:highlight w:val="none"/>
                <w:u w:val="none"/>
                <w:lang w:val="en-US" w:eastAsia="zh-CN" w:bidi="ar-SA"/>
              </w:rPr>
              <w:t>5、共保协议应向招标人报备。</w:t>
            </w:r>
          </w:p>
        </w:tc>
      </w:tr>
    </w:tbl>
    <w:p w14:paraId="4D64C4F4">
      <w:pPr>
        <w:rPr>
          <w:rFonts w:hint="eastAsia" w:ascii="宋体" w:cs="宋体"/>
          <w:b/>
          <w:bCs/>
          <w:color w:val="auto"/>
          <w:szCs w:val="21"/>
          <w:highlight w:val="none"/>
        </w:rPr>
      </w:pPr>
    </w:p>
    <w:p w14:paraId="33FE9A9D">
      <w:pPr>
        <w:snapToGrid w:val="0"/>
        <w:spacing w:beforeLines="0" w:afterLines="0" w:line="240" w:lineRule="auto"/>
        <w:rPr>
          <w:rFonts w:hAnsi="宋体"/>
          <w:b/>
          <w:color w:val="auto"/>
          <w:sz w:val="30"/>
          <w:szCs w:val="30"/>
          <w:highlight w:val="none"/>
        </w:rPr>
      </w:pPr>
      <w:r>
        <w:rPr>
          <w:rFonts w:hint="eastAsia" w:ascii="宋体" w:cs="宋体"/>
          <w:b/>
          <w:bCs/>
          <w:color w:val="auto"/>
          <w:szCs w:val="21"/>
          <w:highlight w:val="none"/>
        </w:rPr>
        <w:br w:type="page"/>
      </w:r>
      <w:r>
        <w:rPr>
          <w:rFonts w:hAnsi="宋体"/>
          <w:b/>
          <w:color w:val="auto"/>
          <w:sz w:val="30"/>
          <w:szCs w:val="30"/>
          <w:highlight w:val="none"/>
        </w:rPr>
        <w:t>一、总  则</w:t>
      </w:r>
    </w:p>
    <w:p w14:paraId="483CB901">
      <w:pPr>
        <w:snapToGrid w:val="0"/>
        <w:spacing w:line="360" w:lineRule="auto"/>
        <w:ind w:firstLine="471" w:firstLineChars="196"/>
        <w:jc w:val="left"/>
        <w:outlineLvl w:val="1"/>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 xml:space="preserve"> 适用范围</w:t>
      </w:r>
    </w:p>
    <w:p w14:paraId="195B4F6F">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本招标文件适用于本项目的招标、投标、评标、定标、验收、合同履约、付款等行为（法律、法规另有规定的，从其规定）。</w:t>
      </w:r>
    </w:p>
    <w:p w14:paraId="1F84524B">
      <w:pPr>
        <w:snapToGrid w:val="0"/>
        <w:spacing w:beforeLines="50" w:line="360" w:lineRule="auto"/>
        <w:ind w:firstLine="353" w:firstLineChars="147"/>
        <w:jc w:val="left"/>
        <w:outlineLvl w:val="1"/>
        <w:rPr>
          <w:rFonts w:ascii="宋体" w:hAnsi="宋体"/>
          <w:b/>
          <w:color w:val="auto"/>
          <w:sz w:val="24"/>
          <w:szCs w:val="24"/>
          <w:highlight w:val="none"/>
        </w:rPr>
      </w:pPr>
      <w:r>
        <w:rPr>
          <w:rFonts w:hint="eastAsia" w:ascii="宋体" w:hAnsi="宋体"/>
          <w:b/>
          <w:color w:val="auto"/>
          <w:sz w:val="24"/>
          <w:szCs w:val="24"/>
          <w:highlight w:val="none"/>
        </w:rPr>
        <w:t>（二）定义</w:t>
      </w:r>
    </w:p>
    <w:p w14:paraId="6D4D2E89">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招标采购单位系指组织本次招标的代理机构（“</w:t>
      </w:r>
      <w:r>
        <w:rPr>
          <w:rFonts w:hint="eastAsia" w:ascii="宋体" w:hAnsi="宋体"/>
          <w:color w:val="auto"/>
          <w:sz w:val="24"/>
          <w:szCs w:val="24"/>
          <w:highlight w:val="none"/>
          <w:lang w:val="en-US" w:eastAsia="zh-CN"/>
        </w:rPr>
        <w:t>招标</w:t>
      </w:r>
      <w:r>
        <w:rPr>
          <w:rFonts w:ascii="宋体" w:hAnsi="宋体"/>
          <w:color w:val="auto"/>
          <w:sz w:val="24"/>
          <w:szCs w:val="24"/>
          <w:highlight w:val="none"/>
        </w:rPr>
        <w:t>人”）和</w:t>
      </w:r>
      <w:r>
        <w:rPr>
          <w:rFonts w:hint="eastAsia" w:ascii="宋体" w:hAnsi="宋体"/>
          <w:color w:val="auto"/>
          <w:sz w:val="24"/>
          <w:szCs w:val="24"/>
          <w:highlight w:val="none"/>
          <w:lang w:val="en-US" w:eastAsia="zh-CN"/>
        </w:rPr>
        <w:t>招标</w:t>
      </w:r>
      <w:r>
        <w:rPr>
          <w:rFonts w:ascii="宋体" w:hAnsi="宋体"/>
          <w:color w:val="auto"/>
          <w:sz w:val="24"/>
          <w:szCs w:val="24"/>
          <w:highlight w:val="none"/>
        </w:rPr>
        <w:t>单位。</w:t>
      </w:r>
    </w:p>
    <w:p w14:paraId="2A39839F">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投标人”系指向招标方提交投标文件的单位或个人。</w:t>
      </w:r>
    </w:p>
    <w:p w14:paraId="60E11945">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ascii="宋体" w:hAnsi="宋体"/>
          <w:color w:val="auto"/>
          <w:sz w:val="24"/>
          <w:szCs w:val="24"/>
          <w:highlight w:val="none"/>
        </w:rPr>
        <w:t>“服务”系指招标文件规定投标人须承担的</w:t>
      </w:r>
      <w:r>
        <w:rPr>
          <w:rFonts w:hint="eastAsia" w:ascii="宋体" w:hAnsi="宋体"/>
          <w:color w:val="auto"/>
          <w:sz w:val="24"/>
          <w:szCs w:val="24"/>
          <w:highlight w:val="none"/>
          <w:lang w:val="en-US" w:eastAsia="zh-CN"/>
        </w:rPr>
        <w:t>咨询</w:t>
      </w:r>
      <w:r>
        <w:rPr>
          <w:rFonts w:ascii="宋体" w:hAnsi="宋体"/>
          <w:color w:val="auto"/>
          <w:sz w:val="24"/>
          <w:szCs w:val="24"/>
          <w:highlight w:val="none"/>
        </w:rPr>
        <w:t>、技术协助、培训、技术指导以及其他类似的义务。</w:t>
      </w:r>
    </w:p>
    <w:p w14:paraId="140B9C11">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ascii="宋体" w:hAnsi="宋体"/>
          <w:color w:val="auto"/>
          <w:sz w:val="24"/>
          <w:szCs w:val="24"/>
          <w:highlight w:val="none"/>
        </w:rPr>
        <w:t>“项目”系指投标人按招标文件规定向</w:t>
      </w:r>
      <w:r>
        <w:rPr>
          <w:rFonts w:hint="eastAsia" w:ascii="宋体" w:hAnsi="宋体"/>
          <w:color w:val="auto"/>
          <w:sz w:val="24"/>
          <w:szCs w:val="24"/>
          <w:highlight w:val="none"/>
          <w:lang w:val="en-US" w:eastAsia="zh-CN"/>
        </w:rPr>
        <w:t>招标</w:t>
      </w:r>
      <w:r>
        <w:rPr>
          <w:rFonts w:ascii="宋体" w:hAnsi="宋体"/>
          <w:color w:val="auto"/>
          <w:sz w:val="24"/>
          <w:szCs w:val="24"/>
          <w:highlight w:val="none"/>
        </w:rPr>
        <w:t>人提供的服务。</w:t>
      </w:r>
    </w:p>
    <w:p w14:paraId="60549E5F">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ascii="宋体" w:hAnsi="宋体"/>
          <w:color w:val="auto"/>
          <w:sz w:val="24"/>
          <w:szCs w:val="24"/>
          <w:highlight w:val="none"/>
        </w:rPr>
        <w:t>“书面形式”包括信函、传真、电报等。</w:t>
      </w:r>
    </w:p>
    <w:p w14:paraId="468CAC00">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ascii="宋体" w:hAnsi="宋体"/>
          <w:color w:val="auto"/>
          <w:sz w:val="24"/>
          <w:szCs w:val="24"/>
          <w:highlight w:val="none"/>
        </w:rPr>
        <w:t>“▲”系指实质性要求条款。</w:t>
      </w:r>
    </w:p>
    <w:p w14:paraId="21A20175">
      <w:pPr>
        <w:snapToGrid w:val="0"/>
        <w:spacing w:beforeLines="50" w:line="360" w:lineRule="auto"/>
        <w:ind w:firstLine="471" w:firstLineChars="196"/>
        <w:jc w:val="left"/>
        <w:outlineLvl w:val="1"/>
        <w:rPr>
          <w:rFonts w:ascii="宋体" w:hAnsi="宋体"/>
          <w:b/>
          <w:color w:val="auto"/>
          <w:sz w:val="24"/>
          <w:szCs w:val="24"/>
          <w:highlight w:val="none"/>
        </w:rPr>
      </w:pPr>
      <w:r>
        <w:rPr>
          <w:rFonts w:hint="eastAsia" w:ascii="宋体" w:hAnsi="宋体"/>
          <w:b/>
          <w:color w:val="auto"/>
          <w:sz w:val="24"/>
          <w:szCs w:val="24"/>
          <w:highlight w:val="none"/>
        </w:rPr>
        <w:t>（三）招标方式</w:t>
      </w:r>
    </w:p>
    <w:p w14:paraId="09CBE1BE">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本次招标采用公开招标方式进行。</w:t>
      </w:r>
    </w:p>
    <w:p w14:paraId="6F47C381">
      <w:pPr>
        <w:snapToGrid w:val="0"/>
        <w:spacing w:beforeLines="50" w:line="360" w:lineRule="auto"/>
        <w:ind w:firstLine="471" w:firstLineChars="196"/>
        <w:jc w:val="left"/>
        <w:outlineLvl w:val="1"/>
        <w:rPr>
          <w:rFonts w:ascii="宋体" w:hAnsi="宋体"/>
          <w:b/>
          <w:color w:val="auto"/>
          <w:sz w:val="24"/>
          <w:szCs w:val="24"/>
          <w:highlight w:val="none"/>
        </w:rPr>
      </w:pPr>
      <w:r>
        <w:rPr>
          <w:rFonts w:hint="eastAsia" w:ascii="宋体" w:hAnsi="宋体"/>
          <w:b/>
          <w:color w:val="auto"/>
          <w:sz w:val="24"/>
          <w:szCs w:val="24"/>
          <w:highlight w:val="none"/>
        </w:rPr>
        <w:t>（四）投标委托</w:t>
      </w:r>
    </w:p>
    <w:p w14:paraId="2534490B">
      <w:pPr>
        <w:pStyle w:val="13"/>
        <w:snapToGrid w:val="0"/>
        <w:spacing w:line="360" w:lineRule="auto"/>
        <w:ind w:firstLine="480" w:firstLineChars="200"/>
        <w:jc w:val="left"/>
        <w:rPr>
          <w:rFonts w:hAnsi="宋体"/>
          <w:color w:val="auto"/>
          <w:sz w:val="24"/>
          <w:szCs w:val="24"/>
          <w:highlight w:val="none"/>
        </w:rPr>
      </w:pPr>
      <w:r>
        <w:rPr>
          <w:rFonts w:hAnsi="宋体"/>
          <w:color w:val="auto"/>
          <w:sz w:val="24"/>
          <w:szCs w:val="24"/>
          <w:highlight w:val="none"/>
        </w:rPr>
        <w:t>投标人代表须携带有效身份证件。如投标人代表不是法定代表人，须有法定代表人出具的授权委托书。</w:t>
      </w:r>
    </w:p>
    <w:p w14:paraId="50B13731">
      <w:pPr>
        <w:snapToGrid w:val="0"/>
        <w:spacing w:beforeLines="50" w:line="360" w:lineRule="auto"/>
        <w:ind w:firstLine="471" w:firstLineChars="196"/>
        <w:jc w:val="left"/>
        <w:outlineLvl w:val="1"/>
        <w:rPr>
          <w:rFonts w:ascii="宋体" w:hAnsi="宋体"/>
          <w:b/>
          <w:color w:val="auto"/>
          <w:sz w:val="24"/>
          <w:szCs w:val="24"/>
          <w:highlight w:val="none"/>
        </w:rPr>
      </w:pPr>
      <w:r>
        <w:rPr>
          <w:rFonts w:hint="eastAsia" w:ascii="宋体" w:hAnsi="宋体"/>
          <w:b/>
          <w:color w:val="auto"/>
          <w:sz w:val="24"/>
          <w:szCs w:val="24"/>
          <w:highlight w:val="none"/>
        </w:rPr>
        <w:t>（五）投标费用</w:t>
      </w:r>
    </w:p>
    <w:p w14:paraId="34A3F07B">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不论投标结果如何，投标人均应自行承担所有与投标有关的全部费用（招标文件有相关规定除外）。</w:t>
      </w:r>
    </w:p>
    <w:p w14:paraId="6FB3C25F">
      <w:pPr>
        <w:snapToGrid w:val="0"/>
        <w:spacing w:beforeLines="50" w:line="360" w:lineRule="auto"/>
        <w:ind w:firstLine="471" w:firstLineChars="196"/>
        <w:jc w:val="left"/>
        <w:rPr>
          <w:rFonts w:ascii="宋体" w:hAnsi="宋体"/>
          <w:b/>
          <w:color w:val="auto"/>
          <w:sz w:val="24"/>
          <w:szCs w:val="24"/>
          <w:highlight w:val="none"/>
        </w:rPr>
      </w:pPr>
      <w:r>
        <w:rPr>
          <w:rFonts w:hint="eastAsia" w:ascii="宋体" w:hAnsi="宋体"/>
          <w:b/>
          <w:color w:val="auto"/>
          <w:sz w:val="24"/>
          <w:szCs w:val="24"/>
          <w:highlight w:val="none"/>
        </w:rPr>
        <w:t>（六）联合体投标</w:t>
      </w:r>
    </w:p>
    <w:p w14:paraId="7EAD7496">
      <w:pPr>
        <w:snapToGrid w:val="0"/>
        <w:spacing w:line="360" w:lineRule="auto"/>
        <w:ind w:firstLine="480" w:firstLineChars="200"/>
        <w:jc w:val="left"/>
        <w:rPr>
          <w:rFonts w:ascii="宋体" w:hAnsi="宋体"/>
          <w:color w:val="auto"/>
          <w:sz w:val="24"/>
          <w:szCs w:val="24"/>
          <w:highlight w:val="none"/>
        </w:rPr>
      </w:pPr>
      <w:r>
        <w:rPr>
          <w:rFonts w:hint="eastAsia" w:ascii="宋体" w:hAnsi="宋体" w:cs="Arial"/>
          <w:color w:val="auto"/>
          <w:sz w:val="24"/>
          <w:szCs w:val="24"/>
          <w:highlight w:val="none"/>
        </w:rPr>
        <w:t>本项目不接受联合体投标</w:t>
      </w:r>
      <w:r>
        <w:rPr>
          <w:rFonts w:hint="eastAsia" w:ascii="宋体" w:hAnsi="宋体"/>
          <w:color w:val="auto"/>
          <w:sz w:val="24"/>
          <w:szCs w:val="24"/>
          <w:highlight w:val="none"/>
        </w:rPr>
        <w:t>。</w:t>
      </w:r>
    </w:p>
    <w:p w14:paraId="63155B78">
      <w:pPr>
        <w:snapToGrid w:val="0"/>
        <w:spacing w:beforeLines="50" w:line="360" w:lineRule="auto"/>
        <w:ind w:firstLine="471" w:firstLineChars="196"/>
        <w:rPr>
          <w:rFonts w:ascii="宋体" w:hAnsi="宋体" w:cs="宋体"/>
          <w:b/>
          <w:color w:val="auto"/>
          <w:kern w:val="0"/>
          <w:sz w:val="24"/>
          <w:szCs w:val="24"/>
          <w:highlight w:val="none"/>
        </w:rPr>
      </w:pPr>
      <w:r>
        <w:rPr>
          <w:rFonts w:hint="eastAsia" w:ascii="宋体" w:hAnsi="宋体"/>
          <w:b/>
          <w:color w:val="auto"/>
          <w:sz w:val="24"/>
          <w:szCs w:val="24"/>
          <w:highlight w:val="none"/>
        </w:rPr>
        <w:t>（七）</w:t>
      </w:r>
      <w:r>
        <w:rPr>
          <w:rFonts w:hint="eastAsia" w:ascii="宋体" w:hAnsi="宋体" w:cs="宋体"/>
          <w:b/>
          <w:color w:val="auto"/>
          <w:kern w:val="0"/>
          <w:sz w:val="24"/>
          <w:szCs w:val="24"/>
          <w:highlight w:val="none"/>
        </w:rPr>
        <w:t>转包与分包</w:t>
      </w:r>
    </w:p>
    <w:p w14:paraId="5F2A0430">
      <w:pPr>
        <w:snapToGrid w:val="0"/>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本项目不允许转包</w:t>
      </w:r>
      <w:r>
        <w:rPr>
          <w:rFonts w:hint="eastAsia" w:ascii="宋体" w:hAnsi="宋体" w:cs="宋体"/>
          <w:color w:val="auto"/>
          <w:kern w:val="0"/>
          <w:sz w:val="24"/>
          <w:szCs w:val="24"/>
          <w:highlight w:val="none"/>
        </w:rPr>
        <w:t>、分包</w:t>
      </w:r>
      <w:r>
        <w:rPr>
          <w:rFonts w:ascii="宋体" w:hAnsi="宋体" w:cs="宋体"/>
          <w:color w:val="auto"/>
          <w:kern w:val="0"/>
          <w:sz w:val="24"/>
          <w:szCs w:val="24"/>
          <w:highlight w:val="none"/>
        </w:rPr>
        <w:t>。</w:t>
      </w:r>
    </w:p>
    <w:p w14:paraId="171FC5F3">
      <w:pPr>
        <w:pStyle w:val="16"/>
        <w:numPr>
          <w:ilvl w:val="0"/>
          <w:numId w:val="5"/>
        </w:numPr>
        <w:snapToGrid w:val="0"/>
        <w:spacing w:before="156" w:after="156" w:line="360" w:lineRule="auto"/>
        <w:ind w:left="2" w:leftChars="1" w:firstLine="480" w:firstLineChars="200"/>
        <w:rPr>
          <w:rFonts w:hint="eastAsia" w:hAnsi="宋体"/>
          <w:b/>
          <w:color w:val="auto"/>
          <w:sz w:val="24"/>
          <w:szCs w:val="24"/>
          <w:highlight w:val="none"/>
        </w:rPr>
      </w:pPr>
      <w:r>
        <w:rPr>
          <w:rFonts w:hint="eastAsia" w:hAnsi="宋体"/>
          <w:b/>
          <w:color w:val="auto"/>
          <w:sz w:val="24"/>
          <w:szCs w:val="24"/>
          <w:highlight w:val="none"/>
        </w:rPr>
        <w:t>特别说明：</w:t>
      </w:r>
    </w:p>
    <w:p w14:paraId="1EBC3E62">
      <w:pPr>
        <w:pStyle w:val="16"/>
        <w:numPr>
          <w:ilvl w:val="0"/>
          <w:numId w:val="0"/>
        </w:numPr>
        <w:snapToGrid w:val="0"/>
        <w:spacing w:before="156" w:after="156" w:line="360" w:lineRule="auto"/>
        <w:ind w:leftChars="201"/>
        <w:rPr>
          <w:rFonts w:hAnsi="宋体"/>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1.</w:t>
      </w:r>
      <w:r>
        <w:rPr>
          <w:rFonts w:hint="eastAsia" w:hAnsi="宋体" w:cs="宋体"/>
          <w:b/>
          <w:bCs/>
          <w:color w:val="auto"/>
          <w:sz w:val="24"/>
          <w:szCs w:val="24"/>
          <w:highlight w:val="none"/>
        </w:rPr>
        <w:t>投标所使用的资格、信誉、荣誉、业绩与企业认证必须为投标人所拥有</w:t>
      </w:r>
      <w:r>
        <w:rPr>
          <w:rFonts w:hAnsi="宋体"/>
          <w:color w:val="auto"/>
          <w:sz w:val="24"/>
          <w:szCs w:val="24"/>
          <w:highlight w:val="none"/>
        </w:rPr>
        <w:t>。</w:t>
      </w:r>
    </w:p>
    <w:p w14:paraId="74602B3E">
      <w:pPr>
        <w:pStyle w:val="16"/>
        <w:snapToGrid w:val="0"/>
        <w:spacing w:before="156" w:after="156" w:line="360" w:lineRule="auto"/>
        <w:ind w:left="2" w:leftChars="1" w:firstLine="480" w:firstLineChars="200"/>
        <w:rPr>
          <w:rFonts w:hAnsi="宋体"/>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2</w:t>
      </w:r>
      <w:r>
        <w:rPr>
          <w:rFonts w:hAnsi="宋体"/>
          <w:color w:val="auto"/>
          <w:sz w:val="24"/>
          <w:szCs w:val="24"/>
          <w:highlight w:val="none"/>
        </w:rPr>
        <w:t>、投标人应仔细阅读招标文件的所有内容，按照招标文件的要求提交投标文件，并对所提供的全部资料的真实性承担法律责任。</w:t>
      </w:r>
    </w:p>
    <w:p w14:paraId="00C34E94">
      <w:pPr>
        <w:pStyle w:val="16"/>
        <w:snapToGrid w:val="0"/>
        <w:spacing w:before="156" w:after="156" w:line="360" w:lineRule="auto"/>
        <w:ind w:firstLine="470" w:firstLineChars="196"/>
        <w:jc w:val="left"/>
        <w:outlineLvl w:val="1"/>
        <w:rPr>
          <w:rFonts w:hAnsi="宋体"/>
          <w:color w:val="auto"/>
          <w:sz w:val="24"/>
          <w:szCs w:val="24"/>
          <w:highlight w:val="none"/>
        </w:rPr>
      </w:pPr>
      <w:r>
        <w:rPr>
          <w:rFonts w:hAnsi="宋体"/>
          <w:color w:val="auto"/>
          <w:sz w:val="24"/>
          <w:szCs w:val="24"/>
          <w:highlight w:val="none"/>
        </w:rPr>
        <w:t>▲</w:t>
      </w:r>
      <w:r>
        <w:rPr>
          <w:rFonts w:hint="eastAsia" w:hAnsi="宋体"/>
          <w:color w:val="auto"/>
          <w:sz w:val="24"/>
          <w:szCs w:val="24"/>
          <w:highlight w:val="none"/>
        </w:rPr>
        <w:t>3</w:t>
      </w:r>
      <w:r>
        <w:rPr>
          <w:rFonts w:hAnsi="宋体"/>
          <w:color w:val="auto"/>
          <w:sz w:val="24"/>
          <w:szCs w:val="24"/>
          <w:highlight w:val="none"/>
        </w:rPr>
        <w:t>、投标人在投标活动中提供任何虚假材料,其投标无效，并报监管部门查处；中标后发现的,构成犯罪的，依法追究刑事责任；尚不构成犯罪的，依照招标投标法第五十四条的规定处罚。</w:t>
      </w:r>
    </w:p>
    <w:p w14:paraId="00EE5B86">
      <w:pPr>
        <w:pStyle w:val="16"/>
        <w:snapToGrid w:val="0"/>
        <w:spacing w:before="156" w:after="156" w:line="360" w:lineRule="auto"/>
        <w:ind w:firstLine="471" w:firstLineChars="196"/>
        <w:jc w:val="left"/>
        <w:outlineLvl w:val="1"/>
        <w:rPr>
          <w:rFonts w:hAnsi="宋体"/>
          <w:b/>
          <w:bCs/>
          <w:color w:val="auto"/>
          <w:sz w:val="24"/>
          <w:szCs w:val="24"/>
          <w:highlight w:val="none"/>
        </w:rPr>
      </w:pPr>
      <w:r>
        <w:rPr>
          <w:rFonts w:hAnsi="宋体"/>
          <w:b/>
          <w:bCs/>
          <w:color w:val="auto"/>
          <w:sz w:val="24"/>
          <w:szCs w:val="24"/>
          <w:highlight w:val="none"/>
        </w:rPr>
        <w:t>（九）质疑和投诉</w:t>
      </w:r>
    </w:p>
    <w:p w14:paraId="4EECB866">
      <w:pPr>
        <w:pStyle w:val="16"/>
        <w:snapToGrid w:val="0"/>
        <w:spacing w:before="156" w:after="156" w:line="360" w:lineRule="auto"/>
        <w:ind w:left="2" w:leftChars="1" w:firstLine="480" w:firstLineChars="200"/>
        <w:rPr>
          <w:rFonts w:hAnsi="宋体"/>
          <w:color w:val="auto"/>
          <w:sz w:val="24"/>
          <w:szCs w:val="24"/>
          <w:highlight w:val="none"/>
        </w:rPr>
      </w:pPr>
      <w:r>
        <w:rPr>
          <w:rFonts w:hint="eastAsia" w:hAnsi="宋体"/>
          <w:color w:val="auto"/>
          <w:sz w:val="24"/>
          <w:szCs w:val="24"/>
          <w:highlight w:val="none"/>
        </w:rPr>
        <w:t>1.投标人认为</w:t>
      </w:r>
      <w:r>
        <w:rPr>
          <w:rFonts w:hAnsi="宋体"/>
          <w:color w:val="auto"/>
          <w:sz w:val="24"/>
          <w:szCs w:val="24"/>
          <w:highlight w:val="none"/>
        </w:rPr>
        <w:t>招标投标活动不符合法律、行政法规规定的，可以</w:t>
      </w:r>
      <w:r>
        <w:rPr>
          <w:rFonts w:hint="eastAsia" w:hAnsi="宋体"/>
          <w:color w:val="auto"/>
          <w:sz w:val="24"/>
          <w:szCs w:val="24"/>
          <w:highlight w:val="none"/>
        </w:rPr>
        <w:t>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hAnsi="宋体"/>
          <w:color w:val="auto"/>
          <w:sz w:val="24"/>
          <w:szCs w:val="24"/>
          <w:highlight w:val="none"/>
          <w:lang w:val="en-US" w:eastAsia="zh-CN"/>
        </w:rPr>
        <w:t>招标</w:t>
      </w:r>
      <w:r>
        <w:rPr>
          <w:rFonts w:hint="eastAsia" w:hAnsi="宋体"/>
          <w:color w:val="auto"/>
          <w:sz w:val="24"/>
          <w:szCs w:val="24"/>
          <w:highlight w:val="none"/>
        </w:rPr>
        <w:t>人、</w:t>
      </w:r>
      <w:r>
        <w:rPr>
          <w:rFonts w:hint="eastAsia" w:hAnsi="宋体"/>
          <w:color w:val="auto"/>
          <w:sz w:val="24"/>
          <w:szCs w:val="24"/>
          <w:highlight w:val="none"/>
          <w:lang w:val="en-US" w:eastAsia="zh-CN"/>
        </w:rPr>
        <w:t>招标</w:t>
      </w:r>
      <w:r>
        <w:rPr>
          <w:rFonts w:hint="eastAsia" w:hAnsi="宋体"/>
          <w:color w:val="auto"/>
          <w:sz w:val="24"/>
          <w:szCs w:val="24"/>
          <w:highlight w:val="none"/>
        </w:rPr>
        <w:t>代理机构提出（附相关有效证明材料），</w:t>
      </w:r>
      <w:r>
        <w:rPr>
          <w:rFonts w:hint="eastAsia" w:hAnsi="宋体"/>
          <w:color w:val="auto"/>
          <w:sz w:val="24"/>
          <w:szCs w:val="24"/>
          <w:highlight w:val="none"/>
          <w:lang w:val="en-US" w:eastAsia="zh-CN"/>
        </w:rPr>
        <w:t>招标</w:t>
      </w:r>
      <w:r>
        <w:rPr>
          <w:rFonts w:hint="eastAsia" w:hAnsi="宋体"/>
          <w:color w:val="auto"/>
          <w:sz w:val="24"/>
          <w:szCs w:val="24"/>
          <w:highlight w:val="none"/>
        </w:rPr>
        <w:t>人、</w:t>
      </w:r>
      <w:r>
        <w:rPr>
          <w:rFonts w:hint="eastAsia" w:hAnsi="宋体"/>
          <w:color w:val="auto"/>
          <w:sz w:val="24"/>
          <w:szCs w:val="24"/>
          <w:highlight w:val="none"/>
          <w:lang w:val="en-US" w:eastAsia="zh-CN"/>
        </w:rPr>
        <w:t>招标</w:t>
      </w:r>
      <w:r>
        <w:rPr>
          <w:rFonts w:hint="eastAsia" w:hAnsi="宋体"/>
          <w:color w:val="auto"/>
          <w:sz w:val="24"/>
          <w:szCs w:val="24"/>
          <w:highlight w:val="none"/>
        </w:rPr>
        <w:t>代理机构应给予答复。投标人对答复不服或认为采购代理机构有违反有关规定及其他弄虚作假情形的，可在接到答复之日起3日内向招标监管机构书面申请核查，并提交相关材料。</w:t>
      </w:r>
    </w:p>
    <w:p w14:paraId="71CC0865">
      <w:pPr>
        <w:pStyle w:val="16"/>
        <w:snapToGrid w:val="0"/>
        <w:spacing w:before="156" w:after="156" w:line="360" w:lineRule="auto"/>
        <w:ind w:firstLine="480" w:firstLineChars="200"/>
        <w:rPr>
          <w:rFonts w:hAnsi="宋体"/>
          <w:bCs/>
          <w:color w:val="auto"/>
          <w:sz w:val="24"/>
          <w:szCs w:val="24"/>
          <w:highlight w:val="none"/>
        </w:rPr>
      </w:pPr>
      <w:r>
        <w:rPr>
          <w:rFonts w:hint="eastAsia" w:hAnsi="宋体" w:cs="宋体"/>
          <w:bCs/>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28B43D63">
      <w:pPr>
        <w:pStyle w:val="16"/>
        <w:snapToGrid w:val="0"/>
        <w:spacing w:beforeLines="0" w:afterLines="0" w:line="360" w:lineRule="auto"/>
        <w:rPr>
          <w:rFonts w:hAnsi="宋体"/>
          <w:b/>
          <w:color w:val="auto"/>
          <w:sz w:val="30"/>
          <w:szCs w:val="30"/>
          <w:highlight w:val="none"/>
        </w:rPr>
      </w:pPr>
      <w:r>
        <w:rPr>
          <w:rFonts w:hAnsi="宋体"/>
          <w:b/>
          <w:color w:val="auto"/>
          <w:sz w:val="30"/>
          <w:szCs w:val="30"/>
          <w:highlight w:val="none"/>
        </w:rPr>
        <w:t>二、招标文件</w:t>
      </w:r>
    </w:p>
    <w:p w14:paraId="70D1E34D">
      <w:pPr>
        <w:snapToGrid w:val="0"/>
        <w:spacing w:line="360" w:lineRule="auto"/>
        <w:ind w:firstLine="471" w:firstLineChars="196"/>
        <w:jc w:val="left"/>
        <w:rPr>
          <w:rFonts w:ascii="宋体" w:hAnsi="宋体"/>
          <w:b/>
          <w:color w:val="auto"/>
          <w:sz w:val="24"/>
          <w:szCs w:val="24"/>
          <w:highlight w:val="none"/>
        </w:rPr>
      </w:pPr>
      <w:r>
        <w:rPr>
          <w:rFonts w:hint="eastAsia" w:ascii="宋体" w:hAnsi="宋体"/>
          <w:b/>
          <w:color w:val="auto"/>
          <w:sz w:val="24"/>
          <w:szCs w:val="24"/>
          <w:highlight w:val="none"/>
        </w:rPr>
        <w:t>（一）招标文件的构成。本招标文件由以下部份组成：</w:t>
      </w:r>
    </w:p>
    <w:p w14:paraId="0578FB08">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.公开招标采购公告</w:t>
      </w:r>
    </w:p>
    <w:p w14:paraId="65C2E15B">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2.投标人须知</w:t>
      </w:r>
    </w:p>
    <w:p w14:paraId="64F11FC6">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3.招标需求</w:t>
      </w:r>
    </w:p>
    <w:p w14:paraId="648FC862">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4.评标办法及评分标准</w:t>
      </w:r>
    </w:p>
    <w:p w14:paraId="72A27637">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.合同主要条款</w:t>
      </w:r>
    </w:p>
    <w:p w14:paraId="5D3129D4">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w:t>
      </w:r>
      <w:r>
        <w:rPr>
          <w:rFonts w:ascii="宋体" w:hAnsi="宋体"/>
          <w:color w:val="auto"/>
          <w:sz w:val="24"/>
          <w:szCs w:val="24"/>
          <w:highlight w:val="none"/>
        </w:rPr>
        <w:t>投标文件格式</w:t>
      </w:r>
    </w:p>
    <w:p w14:paraId="23D8D15A">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7.本项目</w:t>
      </w:r>
      <w:r>
        <w:rPr>
          <w:rFonts w:ascii="宋体" w:hAnsi="宋体"/>
          <w:color w:val="auto"/>
          <w:sz w:val="24"/>
          <w:szCs w:val="24"/>
          <w:highlight w:val="none"/>
        </w:rPr>
        <w:t>招标文件</w:t>
      </w:r>
      <w:r>
        <w:rPr>
          <w:rFonts w:hint="eastAsia" w:ascii="宋体" w:hAnsi="宋体"/>
          <w:color w:val="auto"/>
          <w:sz w:val="24"/>
          <w:szCs w:val="24"/>
          <w:highlight w:val="none"/>
        </w:rPr>
        <w:t>的</w:t>
      </w:r>
      <w:r>
        <w:rPr>
          <w:rFonts w:ascii="宋体" w:hAnsi="宋体"/>
          <w:color w:val="auto"/>
          <w:sz w:val="24"/>
          <w:szCs w:val="24"/>
          <w:highlight w:val="none"/>
        </w:rPr>
        <w:t>澄清、答复、修改、补充的内容</w:t>
      </w:r>
    </w:p>
    <w:p w14:paraId="483188F0">
      <w:pPr>
        <w:snapToGrid w:val="0"/>
        <w:spacing w:beforeLines="50" w:line="360" w:lineRule="auto"/>
        <w:ind w:firstLine="471" w:firstLineChars="196"/>
        <w:jc w:val="left"/>
        <w:rPr>
          <w:rFonts w:ascii="宋体" w:hAnsi="宋体"/>
          <w:b/>
          <w:color w:val="auto"/>
          <w:sz w:val="24"/>
          <w:szCs w:val="24"/>
          <w:highlight w:val="none"/>
        </w:rPr>
      </w:pPr>
      <w:r>
        <w:rPr>
          <w:rFonts w:hint="eastAsia" w:ascii="宋体" w:hAnsi="宋体"/>
          <w:b/>
          <w:color w:val="auto"/>
          <w:sz w:val="24"/>
          <w:szCs w:val="24"/>
          <w:highlight w:val="none"/>
        </w:rPr>
        <w:t>（二）投标人的风险</w:t>
      </w:r>
    </w:p>
    <w:p w14:paraId="78DC449C">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投标人没有按照招标文件要求提供全部资料，或者投标人没有对招标文件在各方面作出实质性响应是投标人的风险，并可能导致其投标被拒绝。</w:t>
      </w:r>
    </w:p>
    <w:p w14:paraId="07E42A2C">
      <w:pPr>
        <w:pStyle w:val="6"/>
        <w:widowControl w:val="0"/>
        <w:numPr>
          <w:ilvl w:val="0"/>
          <w:numId w:val="0"/>
        </w:numPr>
        <w:tabs>
          <w:tab w:val="left" w:pos="720"/>
          <w:tab w:val="clear" w:pos="360"/>
        </w:tabs>
        <w:snapToGrid w:val="0"/>
        <w:spacing w:beforeLines="50" w:after="156" w:line="360" w:lineRule="auto"/>
        <w:ind w:leftChars="196"/>
        <w:rPr>
          <w:rFonts w:ascii="宋体" w:hAnsi="宋体"/>
          <w:b/>
          <w:color w:val="auto"/>
          <w:sz w:val="24"/>
          <w:szCs w:val="24"/>
          <w:highlight w:val="none"/>
        </w:rPr>
      </w:pPr>
      <w:r>
        <w:rPr>
          <w:rFonts w:hint="eastAsia" w:ascii="宋体" w:hAnsi="宋体"/>
          <w:b/>
          <w:color w:val="auto"/>
          <w:sz w:val="24"/>
          <w:szCs w:val="24"/>
          <w:highlight w:val="none"/>
        </w:rPr>
        <w:t>（三）招标文件的澄清与修改</w:t>
      </w:r>
      <w:r>
        <w:rPr>
          <w:rFonts w:ascii="宋体" w:hAnsi="宋体"/>
          <w:b/>
          <w:color w:val="auto"/>
          <w:sz w:val="24"/>
          <w:szCs w:val="24"/>
          <w:highlight w:val="none"/>
        </w:rPr>
        <w:t xml:space="preserve"> </w:t>
      </w:r>
    </w:p>
    <w:p w14:paraId="0268727B">
      <w:pPr>
        <w:pStyle w:val="16"/>
        <w:snapToGrid w:val="0"/>
        <w:spacing w:before="156" w:after="156"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1.投标人应认真阅读本招标文件，发现其中有误或有不合理要求的，投标人必须在投标截止时间</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日前以书面形式要求招标单位澄清。招标单位对应当自收到异议之日起3日内作出答复；招标单位对已发出的招标文件进行必要澄清、答复、修改或补充的，</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代理机构应当在招标文件要求提交投标文件截止时间</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日前，在指定的信息发布媒体上发布更正公告，招标人、</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代理机构对投标人所作的任何口头解释、介绍、答复，只能供投标人参考，对招标人无任何约束力。</w:t>
      </w:r>
    </w:p>
    <w:p w14:paraId="4E6376A9">
      <w:pPr>
        <w:pStyle w:val="16"/>
        <w:snapToGrid w:val="0"/>
        <w:spacing w:before="156" w:after="156"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2.招标文件澄清、答复、修改、补充的内容为招标文件的组成部分。当招标文件与招标文件的答复、澄清、修改、补充通知就同一内容的表述不一致时，以最后发出的书面文件为准。</w:t>
      </w:r>
    </w:p>
    <w:p w14:paraId="360409B7">
      <w:pPr>
        <w:pStyle w:val="16"/>
        <w:snapToGrid w:val="0"/>
        <w:spacing w:before="156" w:after="156" w:line="360" w:lineRule="auto"/>
        <w:ind w:firstLine="480" w:firstLineChars="200"/>
        <w:rPr>
          <w:rFonts w:hAnsi="宋体"/>
          <w:color w:val="auto"/>
          <w:sz w:val="24"/>
          <w:szCs w:val="24"/>
          <w:highlight w:val="none"/>
        </w:rPr>
      </w:pPr>
      <w:r>
        <w:rPr>
          <w:rFonts w:hint="eastAsia" w:hAnsi="宋体" w:cs="宋体"/>
          <w:color w:val="auto"/>
          <w:sz w:val="24"/>
          <w:szCs w:val="24"/>
          <w:highlight w:val="none"/>
        </w:rPr>
        <w:t>3.招标文件的澄清、答复、修改或补充都应该通过</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代理机构以法定形式发布，</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人非通过本机构，不得擅自澄清、答复、修改或补充招标文件。</w:t>
      </w:r>
    </w:p>
    <w:p w14:paraId="55325AE5">
      <w:pPr>
        <w:pStyle w:val="16"/>
        <w:snapToGrid w:val="0"/>
        <w:spacing w:beforeLines="0" w:afterLines="0" w:line="360" w:lineRule="auto"/>
        <w:rPr>
          <w:rFonts w:hAnsi="宋体"/>
          <w:b/>
          <w:color w:val="auto"/>
          <w:sz w:val="24"/>
          <w:szCs w:val="24"/>
          <w:highlight w:val="none"/>
        </w:rPr>
      </w:pPr>
      <w:r>
        <w:rPr>
          <w:rFonts w:hAnsi="宋体"/>
          <w:b/>
          <w:color w:val="auto"/>
          <w:sz w:val="24"/>
          <w:szCs w:val="24"/>
          <w:highlight w:val="none"/>
        </w:rPr>
        <w:t>三、投标文件的编制</w:t>
      </w:r>
    </w:p>
    <w:p w14:paraId="34CB1562">
      <w:pPr>
        <w:snapToGrid w:val="0"/>
        <w:spacing w:line="360" w:lineRule="auto"/>
        <w:ind w:firstLine="471" w:firstLineChars="196"/>
        <w:jc w:val="left"/>
        <w:outlineLvl w:val="0"/>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ab/>
      </w:r>
      <w:r>
        <w:rPr>
          <w:rFonts w:hint="eastAsia" w:ascii="宋体" w:hAnsi="宋体"/>
          <w:b/>
          <w:color w:val="auto"/>
          <w:sz w:val="24"/>
          <w:szCs w:val="24"/>
          <w:highlight w:val="none"/>
        </w:rPr>
        <w:t>投标文件的要求</w:t>
      </w:r>
    </w:p>
    <w:p w14:paraId="08A42EA8">
      <w:pPr>
        <w:snapToGrid w:val="0"/>
        <w:spacing w:line="360" w:lineRule="auto"/>
        <w:ind w:firstLine="470" w:firstLineChars="196"/>
        <w:jc w:val="left"/>
        <w:outlineLvl w:val="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1</w:t>
      </w:r>
      <w:r>
        <w:rPr>
          <w:rFonts w:hint="eastAsia" w:ascii="宋体" w:hAnsi="宋体"/>
          <w:color w:val="auto"/>
          <w:sz w:val="24"/>
          <w:szCs w:val="24"/>
          <w:highlight w:val="none"/>
        </w:rPr>
        <w:t>、投标人应仔细阅读招标文件的所有内容，按照要求详细编制投标文件，并保证投标文件的正确性和真实性。</w:t>
      </w:r>
    </w:p>
    <w:p w14:paraId="27DAA9D4">
      <w:pPr>
        <w:snapToGrid w:val="0"/>
        <w:spacing w:line="360" w:lineRule="auto"/>
        <w:ind w:firstLine="470" w:firstLineChars="196"/>
        <w:jc w:val="left"/>
        <w:outlineLvl w:val="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2</w:t>
      </w:r>
      <w:r>
        <w:rPr>
          <w:rFonts w:hint="eastAsia" w:ascii="宋体" w:hAnsi="宋体"/>
          <w:color w:val="auto"/>
          <w:sz w:val="24"/>
          <w:szCs w:val="24"/>
          <w:highlight w:val="none"/>
        </w:rPr>
        <w:t>、不按招标文件的要求提供的投标文件将被拒绝。</w:t>
      </w:r>
    </w:p>
    <w:p w14:paraId="6B5843E4">
      <w:pPr>
        <w:snapToGrid w:val="0"/>
        <w:spacing w:line="360" w:lineRule="auto"/>
        <w:ind w:firstLine="471" w:firstLineChars="196"/>
        <w:jc w:val="left"/>
        <w:outlineLvl w:val="0"/>
        <w:rPr>
          <w:rFonts w:hint="eastAsia" w:ascii="宋体" w:hAnsi="宋体"/>
          <w:b/>
          <w:color w:val="auto"/>
          <w:sz w:val="24"/>
          <w:szCs w:val="24"/>
          <w:highlight w:val="none"/>
        </w:rPr>
      </w:pPr>
      <w:r>
        <w:rPr>
          <w:rFonts w:hint="eastAsia" w:ascii="宋体" w:hAnsi="宋体"/>
          <w:b/>
          <w:color w:val="auto"/>
          <w:sz w:val="24"/>
          <w:szCs w:val="24"/>
          <w:highlight w:val="none"/>
        </w:rPr>
        <w:t>（二）投标文件的组成</w:t>
      </w:r>
    </w:p>
    <w:p w14:paraId="306C4C37">
      <w:pPr>
        <w:snapToGrid w:val="0"/>
        <w:spacing w:line="360" w:lineRule="auto"/>
        <w:ind w:firstLine="471" w:firstLineChars="196"/>
        <w:jc w:val="left"/>
        <w:outlineLvl w:val="0"/>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投标人接到招标文件后，按照</w:t>
      </w:r>
      <w:r>
        <w:rPr>
          <w:rFonts w:hint="eastAsia" w:ascii="宋体" w:hAnsi="宋体"/>
          <w:b/>
          <w:color w:val="auto"/>
          <w:sz w:val="24"/>
          <w:szCs w:val="24"/>
          <w:highlight w:val="none"/>
          <w:lang w:val="en-US" w:eastAsia="zh-CN"/>
        </w:rPr>
        <w:t>招标</w:t>
      </w:r>
      <w:r>
        <w:rPr>
          <w:rFonts w:hint="eastAsia" w:ascii="宋体" w:hAnsi="宋体"/>
          <w:b/>
          <w:color w:val="auto"/>
          <w:sz w:val="24"/>
          <w:szCs w:val="24"/>
          <w:highlight w:val="none"/>
        </w:rPr>
        <w:t>人的要求提供：资信技术标和商务标。</w:t>
      </w:r>
    </w:p>
    <w:p w14:paraId="006C94CF">
      <w:pPr>
        <w:autoSpaceDE w:val="0"/>
        <w:autoSpaceDN w:val="0"/>
        <w:adjustRightInd w:val="0"/>
        <w:spacing w:line="360" w:lineRule="auto"/>
        <w:ind w:left="480"/>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.资信技术标</w:t>
      </w:r>
    </w:p>
    <w:p w14:paraId="5AE7662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（1）拟投入人员一览表（</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w:t>
      </w:r>
    </w:p>
    <w:p w14:paraId="2D3E490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（2）拟投入主要人员简历表（</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w:t>
      </w:r>
    </w:p>
    <w:p w14:paraId="22B938E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（3）诚信投标承诺书（</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w:t>
      </w:r>
    </w:p>
    <w:p w14:paraId="0A0FD8D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（4）业务授权书（</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w:t>
      </w:r>
    </w:p>
    <w:p w14:paraId="79AEAE2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（5）法定代表人（负责人）授权委托书（</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）或法定代表人（负责人）身份证明（</w:t>
      </w:r>
      <w:r>
        <w:rPr>
          <w:rFonts w:hint="eastAsia" w:ascii="宋体" w:hAnsi="宋体"/>
          <w:bCs/>
          <w:color w:val="auto"/>
          <w:sz w:val="24"/>
          <w:highlight w:val="none"/>
        </w:rPr>
        <w:t>格式见附件</w:t>
      </w:r>
      <w:r>
        <w:rPr>
          <w:rFonts w:hint="eastAsia" w:ascii="宋体" w:hAnsi="宋体" w:eastAsia="宋体" w:cs="宋体"/>
          <w:color w:val="auto"/>
          <w:sz w:val="24"/>
          <w:szCs w:val="24"/>
          <w:highlight w:val="none"/>
          <w:lang w:val="en-US" w:eastAsia="zh-CN"/>
        </w:rPr>
        <w:t>）；</w:t>
      </w:r>
    </w:p>
    <w:p w14:paraId="7792239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（6）证书材料：</w:t>
      </w:r>
    </w:p>
    <w:p w14:paraId="07CAC48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对应附件3拟投入本项目的所有人员还须提供与投标人签订的劳动合同和投标截止时间前最近六个月以上（含六个月）投标人为其缴纳的社保证明（由社保机构出具），社保证明打印或出具时间须在招标公告公开发布之日（含发布日）以后；本项目不接受返聘人员。</w:t>
      </w:r>
    </w:p>
    <w:p w14:paraId="6CDB28A1">
      <w:pPr>
        <w:spacing w:line="360" w:lineRule="auto"/>
        <w:ind w:firstLine="480" w:firstLineChars="200"/>
        <w:rPr>
          <w:rFonts w:hint="eastAsia" w:ascii="宋体" w:hAnsi="宋体"/>
          <w:bCs/>
          <w:color w:val="auto"/>
          <w:sz w:val="24"/>
          <w:highlight w:val="none"/>
          <w:lang w:val="en-US" w:eastAsia="zh-CN"/>
        </w:rPr>
      </w:pPr>
      <w:r>
        <w:rPr>
          <w:rFonts w:hint="eastAsia" w:ascii="宋体" w:hAnsi="宋体" w:eastAsia="宋体" w:cs="宋体"/>
          <w:color w:val="auto"/>
          <w:sz w:val="24"/>
          <w:szCs w:val="24"/>
          <w:highlight w:val="none"/>
          <w:lang w:val="en-US" w:eastAsia="zh-CN"/>
        </w:rPr>
        <w:t>②《营业执照》、《保险许可证》。</w:t>
      </w:r>
    </w:p>
    <w:p w14:paraId="265C1E66">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③投标人业绩证明材料： </w:t>
      </w:r>
    </w:p>
    <w:p w14:paraId="72316BEA">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保险合同或保单。 </w:t>
      </w:r>
    </w:p>
    <w:p w14:paraId="377487AF">
      <w:pPr>
        <w:spacing w:line="360" w:lineRule="auto"/>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注：保险合同或保单必须体现保险机构名称、保险（投保）金额（或保险费金额）、项目规模及合同各方盖章页；若保险合同未能体现保险机构名称、保险（投保）金额（或保险费金额）、项目规模，还需提供发包人或行业主管部门出具的有效证明资料（只认可投标单位及其下属分支机构的承保服务业绩）。 </w:t>
      </w:r>
    </w:p>
    <w:p w14:paraId="08206184">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bCs/>
          <w:color w:val="auto"/>
          <w:sz w:val="24"/>
          <w:highlight w:val="none"/>
          <w:lang w:val="en-US" w:eastAsia="zh-CN"/>
        </w:rPr>
        <w:t>（7）投标人根据第四章评标办法及评分标准自行编制</w:t>
      </w:r>
      <w:r>
        <w:rPr>
          <w:rFonts w:hint="eastAsia" w:ascii="宋体" w:hAnsi="宋体"/>
          <w:bCs/>
          <w:color w:val="auto"/>
          <w:sz w:val="24"/>
          <w:highlight w:val="none"/>
          <w:lang w:eastAsia="zh-CN"/>
        </w:rPr>
        <w:t>。</w:t>
      </w:r>
    </w:p>
    <w:p w14:paraId="33EC074F">
      <w:pPr>
        <w:autoSpaceDE w:val="0"/>
        <w:autoSpaceDN w:val="0"/>
        <w:adjustRightInd w:val="0"/>
        <w:spacing w:line="360" w:lineRule="auto"/>
        <w:ind w:left="480"/>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val="en-US" w:eastAsia="zh-CN"/>
        </w:rPr>
        <w:t>2.商务标</w:t>
      </w:r>
    </w:p>
    <w:p w14:paraId="77F1F137">
      <w:pPr>
        <w:autoSpaceDE w:val="0"/>
        <w:autoSpaceDN w:val="0"/>
        <w:adjustRightInd w:val="0"/>
        <w:spacing w:line="360" w:lineRule="auto"/>
        <w:ind w:left="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（1）开标一览表（格式见附件）。</w:t>
      </w:r>
    </w:p>
    <w:p w14:paraId="15D6A7B2">
      <w:pPr>
        <w:autoSpaceDE w:val="0"/>
        <w:autoSpaceDN w:val="0"/>
        <w:adjustRightInd w:val="0"/>
        <w:spacing w:line="360" w:lineRule="auto"/>
        <w:ind w:left="480"/>
        <w:rPr>
          <w:rFonts w:hint="eastAsia" w:ascii="宋体" w:hAnsi="宋体" w:eastAsia="宋体" w:cs="宋体"/>
          <w:b w:val="0"/>
          <w:color w:val="auto"/>
          <w:spacing w:val="0"/>
          <w:kern w:val="2"/>
          <w:sz w:val="24"/>
          <w:szCs w:val="24"/>
          <w:highlight w:val="none"/>
          <w:lang w:val="en-US" w:eastAsia="zh-CN" w:bidi="ar-SA"/>
        </w:rPr>
      </w:pPr>
      <w:r>
        <w:rPr>
          <w:rFonts w:hint="eastAsia" w:ascii="宋体" w:hAnsi="宋体" w:eastAsia="宋体" w:cs="宋体"/>
          <w:b w:val="0"/>
          <w:color w:val="auto"/>
          <w:spacing w:val="0"/>
          <w:kern w:val="2"/>
          <w:sz w:val="24"/>
          <w:szCs w:val="24"/>
          <w:highlight w:val="none"/>
          <w:lang w:val="en-US" w:eastAsia="zh-CN" w:bidi="ar-SA"/>
        </w:rPr>
        <w:t>（2）投标报价汇总表</w:t>
      </w:r>
      <w:r>
        <w:rPr>
          <w:rFonts w:hint="eastAsia" w:ascii="宋体" w:hAnsi="宋体" w:eastAsia="宋体" w:cs="宋体"/>
          <w:color w:val="auto"/>
          <w:sz w:val="24"/>
          <w:highlight w:val="none"/>
          <w:lang w:val="en-US" w:eastAsia="zh-CN"/>
        </w:rPr>
        <w:t>（格式见附件）。</w:t>
      </w:r>
    </w:p>
    <w:p w14:paraId="62CAB65D">
      <w:pPr>
        <w:autoSpaceDE w:val="0"/>
        <w:autoSpaceDN w:val="0"/>
        <w:adjustRightInd w:val="0"/>
        <w:spacing w:line="360" w:lineRule="auto"/>
        <w:ind w:left="48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（三）投标文件的语言及计量</w:t>
      </w:r>
    </w:p>
    <w:p w14:paraId="2A90034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投标文件以及投标人与</w:t>
      </w:r>
      <w:r>
        <w:rPr>
          <w:rFonts w:hint="eastAsia" w:ascii="宋体" w:hAnsi="宋体"/>
          <w:color w:val="auto"/>
          <w:sz w:val="24"/>
          <w:szCs w:val="24"/>
          <w:highlight w:val="none"/>
          <w:lang w:val="en-US" w:eastAsia="zh-CN"/>
        </w:rPr>
        <w:t>招标</w:t>
      </w:r>
      <w:r>
        <w:rPr>
          <w:rFonts w:ascii="宋体" w:hAnsi="宋体"/>
          <w:color w:val="auto"/>
          <w:sz w:val="24"/>
          <w:szCs w:val="24"/>
          <w:highlight w:val="none"/>
        </w:rPr>
        <w:t>人就有关投标事宜的所有来往函电，均应以中文汉语书写。除签名、盖章、专用名称等特殊情形外，以中文汉语以外的文字表述的投标文件视同未提供。</w:t>
      </w:r>
    </w:p>
    <w:p w14:paraId="16A1094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投标计量单位，招标文件已有明确规定的，使用招标文件规定的计量单位；招标文件没有规定的，应采用中华人民共和国法定计量单位（货币单位：人民币元），否则视同未响应。</w:t>
      </w:r>
    </w:p>
    <w:p w14:paraId="3FA69C88">
      <w:pPr>
        <w:snapToGrid w:val="0"/>
        <w:spacing w:beforeLines="50" w:line="360" w:lineRule="auto"/>
        <w:ind w:firstLine="472" w:firstLineChars="196"/>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（四）投标报价</w:t>
      </w:r>
    </w:p>
    <w:p w14:paraId="02A33693">
      <w:pPr>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1、报价要求：各投标人应根据招标人的要求</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在招标文件规定的有效报价内,结合本项目实际情况和自身的综合实力，竞报投标报价。投标报价应是招标文件所确定的招标范围内全部工作内容的价格表现</w:t>
      </w:r>
      <w:r>
        <w:rPr>
          <w:rFonts w:hint="eastAsia" w:ascii="宋体" w:hAnsi="宋体" w:eastAsia="宋体" w:cs="Times New Roman"/>
          <w:color w:val="auto"/>
          <w:sz w:val="24"/>
          <w:szCs w:val="24"/>
          <w:highlight w:val="none"/>
          <w:lang w:eastAsia="zh-CN"/>
        </w:rPr>
        <w:t>。</w:t>
      </w:r>
    </w:p>
    <w:p w14:paraId="0D915BF5">
      <w:pPr>
        <w:spacing w:line="360" w:lineRule="auto"/>
        <w:ind w:firstLine="480" w:firstLineChars="200"/>
        <w:rPr>
          <w:rFonts w:hAnsi="宋体"/>
          <w:color w:val="auto"/>
          <w:sz w:val="24"/>
          <w:szCs w:val="24"/>
          <w:highlight w:val="none"/>
        </w:rPr>
      </w:pPr>
      <w:r>
        <w:rPr>
          <w:rFonts w:hint="eastAsia" w:ascii="宋体" w:hAnsi="宋体" w:eastAsia="宋体" w:cs="宋体"/>
          <w:color w:val="auto"/>
          <w:sz w:val="24"/>
          <w:szCs w:val="24"/>
          <w:highlight w:val="none"/>
        </w:rPr>
        <w:t>2、</w:t>
      </w:r>
      <w:r>
        <w:rPr>
          <w:rFonts w:hint="eastAsia" w:hAnsi="宋体"/>
          <w:color w:val="auto"/>
          <w:sz w:val="24"/>
          <w:szCs w:val="24"/>
          <w:highlight w:val="none"/>
        </w:rPr>
        <w:t>报价组成：</w:t>
      </w:r>
    </w:p>
    <w:p w14:paraId="71BCCCB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1投标报价应按</w:t>
      </w:r>
      <w:r>
        <w:rPr>
          <w:rFonts w:hint="eastAsia" w:ascii="宋体" w:hAnsi="宋体"/>
          <w:color w:val="auto"/>
          <w:sz w:val="24"/>
          <w:szCs w:val="24"/>
          <w:highlight w:val="none"/>
        </w:rPr>
        <w:t>招标文件</w:t>
      </w:r>
      <w:r>
        <w:rPr>
          <w:rFonts w:ascii="宋体" w:hAnsi="宋体"/>
          <w:color w:val="auto"/>
          <w:sz w:val="24"/>
          <w:szCs w:val="24"/>
          <w:highlight w:val="none"/>
        </w:rPr>
        <w:t>中相关附表格式填写。</w:t>
      </w:r>
    </w:p>
    <w:p w14:paraId="48D9BD0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▲2.2投标报价是履行合同的最终价格，招标文件所确定的服务内容内的价格表现。各投标人可根据保险服务服务期和工作内容，并结合自身技术与管理水平、经济实力、市场风险等因素自行报价。</w:t>
      </w:r>
    </w:p>
    <w:p w14:paraId="7623F1A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highlight w:val="none"/>
        </w:rPr>
        <w:t>投标文件只允许有一个报价，有选择的</w:t>
      </w:r>
      <w:r>
        <w:rPr>
          <w:rFonts w:hint="eastAsia" w:ascii="宋体" w:hAnsi="宋体"/>
          <w:color w:val="auto"/>
          <w:sz w:val="24"/>
          <w:highlight w:val="none"/>
        </w:rPr>
        <w:t>或有条件的</w:t>
      </w:r>
      <w:r>
        <w:rPr>
          <w:rFonts w:ascii="宋体" w:hAnsi="宋体"/>
          <w:color w:val="auto"/>
          <w:sz w:val="24"/>
          <w:highlight w:val="none"/>
        </w:rPr>
        <w:t>报价将不予接受</w:t>
      </w:r>
      <w:r>
        <w:rPr>
          <w:rFonts w:hint="eastAsia" w:ascii="宋体" w:hAnsi="宋体"/>
          <w:color w:val="auto"/>
          <w:sz w:val="24"/>
          <w:szCs w:val="24"/>
          <w:highlight w:val="none"/>
        </w:rPr>
        <w:t>。</w:t>
      </w:r>
    </w:p>
    <w:p w14:paraId="660080F3">
      <w:pPr>
        <w:pStyle w:val="6"/>
        <w:widowControl w:val="0"/>
        <w:numPr>
          <w:ilvl w:val="0"/>
          <w:numId w:val="0"/>
        </w:numPr>
        <w:tabs>
          <w:tab w:val="left" w:pos="720"/>
          <w:tab w:val="clear" w:pos="360"/>
        </w:tabs>
        <w:snapToGrid w:val="0"/>
        <w:spacing w:beforeLines="50" w:after="156" w:line="360" w:lineRule="auto"/>
        <w:ind w:leftChars="196"/>
        <w:rPr>
          <w:rFonts w:ascii="宋体" w:hAnsi="宋体"/>
          <w:b/>
          <w:color w:val="auto"/>
          <w:sz w:val="24"/>
          <w:szCs w:val="24"/>
          <w:highlight w:val="none"/>
        </w:rPr>
      </w:pPr>
      <w:r>
        <w:rPr>
          <w:rFonts w:hint="eastAsia" w:ascii="宋体" w:hAnsi="宋体"/>
          <w:b/>
          <w:color w:val="auto"/>
          <w:sz w:val="24"/>
          <w:szCs w:val="24"/>
          <w:highlight w:val="none"/>
        </w:rPr>
        <w:t>（五）投标文件的有效期</w:t>
      </w:r>
    </w:p>
    <w:p w14:paraId="06A6968B">
      <w:pPr>
        <w:pStyle w:val="6"/>
        <w:widowControl w:val="0"/>
        <w:tabs>
          <w:tab w:val="left" w:pos="720"/>
        </w:tabs>
        <w:snapToGrid w:val="0"/>
        <w:spacing w:after="156"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自投标截止日起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90</w:t>
      </w:r>
      <w:r>
        <w:rPr>
          <w:rFonts w:ascii="宋体" w:hAnsi="宋体"/>
          <w:color w:val="auto"/>
          <w:sz w:val="24"/>
          <w:szCs w:val="24"/>
          <w:highlight w:val="none"/>
        </w:rPr>
        <w:t>天投标</w:t>
      </w:r>
      <w:r>
        <w:rPr>
          <w:rFonts w:hint="eastAsia" w:ascii="宋体" w:hAnsi="宋体"/>
          <w:color w:val="auto"/>
          <w:sz w:val="24"/>
          <w:szCs w:val="24"/>
          <w:highlight w:val="none"/>
        </w:rPr>
        <w:t>文件</w:t>
      </w:r>
      <w:r>
        <w:rPr>
          <w:rFonts w:ascii="宋体" w:hAnsi="宋体"/>
          <w:color w:val="auto"/>
          <w:sz w:val="24"/>
          <w:szCs w:val="24"/>
          <w:highlight w:val="none"/>
        </w:rPr>
        <w:t>应保持有效。</w:t>
      </w:r>
      <w:r>
        <w:rPr>
          <w:rFonts w:hint="eastAsia" w:ascii="宋体" w:hAnsi="宋体"/>
          <w:color w:val="auto"/>
          <w:sz w:val="24"/>
          <w:szCs w:val="24"/>
          <w:highlight w:val="none"/>
        </w:rPr>
        <w:t>中标人投标文件有效期延长至合同有效期。</w:t>
      </w:r>
      <w:r>
        <w:rPr>
          <w:rFonts w:ascii="宋体" w:hAnsi="宋体"/>
          <w:color w:val="auto"/>
          <w:sz w:val="24"/>
          <w:szCs w:val="24"/>
          <w:highlight w:val="none"/>
        </w:rPr>
        <w:t>有效期</w:t>
      </w:r>
      <w:r>
        <w:rPr>
          <w:rFonts w:hint="eastAsia" w:ascii="宋体" w:hAnsi="宋体"/>
          <w:color w:val="auto"/>
          <w:sz w:val="24"/>
          <w:szCs w:val="24"/>
          <w:highlight w:val="none"/>
        </w:rPr>
        <w:t>不足</w:t>
      </w:r>
      <w:r>
        <w:rPr>
          <w:rFonts w:ascii="宋体" w:hAnsi="宋体"/>
          <w:color w:val="auto"/>
          <w:sz w:val="24"/>
          <w:szCs w:val="24"/>
          <w:highlight w:val="none"/>
        </w:rPr>
        <w:t>的投标</w:t>
      </w:r>
      <w:r>
        <w:rPr>
          <w:rFonts w:hint="eastAsia" w:ascii="宋体" w:hAnsi="宋体"/>
          <w:color w:val="auto"/>
          <w:sz w:val="24"/>
          <w:szCs w:val="24"/>
          <w:highlight w:val="none"/>
        </w:rPr>
        <w:t>文件</w:t>
      </w:r>
      <w:r>
        <w:rPr>
          <w:rFonts w:ascii="宋体" w:hAnsi="宋体"/>
          <w:color w:val="auto"/>
          <w:sz w:val="24"/>
          <w:szCs w:val="24"/>
          <w:highlight w:val="none"/>
        </w:rPr>
        <w:t>将被拒绝。</w:t>
      </w:r>
    </w:p>
    <w:p w14:paraId="6B9B5AED">
      <w:pPr>
        <w:pStyle w:val="6"/>
        <w:widowControl w:val="0"/>
        <w:tabs>
          <w:tab w:val="left" w:pos="720"/>
        </w:tabs>
        <w:snapToGrid w:val="0"/>
        <w:spacing w:after="156" w:line="360" w:lineRule="auto"/>
        <w:ind w:left="0" w:firstLine="480" w:firstLineChars="200"/>
        <w:rPr>
          <w:rFonts w:ascii="宋体" w:hAnsi="宋体"/>
          <w:color w:val="auto"/>
          <w:sz w:val="24"/>
          <w:szCs w:val="24"/>
          <w:highlight w:val="none"/>
        </w:rPr>
      </w:pPr>
      <w:r>
        <w:rPr>
          <w:rFonts w:ascii="宋体" w:hAnsi="宋体"/>
          <w:color w:val="auto"/>
          <w:sz w:val="24"/>
          <w:szCs w:val="24"/>
          <w:highlight w:val="none"/>
        </w:rPr>
        <w:t>在特殊情况下，</w:t>
      </w:r>
      <w:r>
        <w:rPr>
          <w:rFonts w:hint="eastAsia" w:ascii="宋体" w:hAnsi="宋体"/>
          <w:color w:val="auto"/>
          <w:sz w:val="24"/>
          <w:szCs w:val="24"/>
          <w:highlight w:val="none"/>
          <w:lang w:val="en-US" w:eastAsia="zh-CN"/>
        </w:rPr>
        <w:t>招标</w:t>
      </w:r>
      <w:r>
        <w:rPr>
          <w:rFonts w:ascii="宋体" w:hAnsi="宋体"/>
          <w:color w:val="auto"/>
          <w:sz w:val="24"/>
          <w:szCs w:val="24"/>
          <w:highlight w:val="none"/>
        </w:rPr>
        <w:t>人可与投标人协商延长投标书的有效期，这种要求和答复均以书面形式进行。</w:t>
      </w:r>
    </w:p>
    <w:p w14:paraId="38853FE2">
      <w:pPr>
        <w:snapToGrid w:val="0"/>
        <w:spacing w:line="360" w:lineRule="auto"/>
        <w:ind w:firstLine="480" w:firstLineChars="200"/>
        <w:jc w:val="left"/>
        <w:outlineLvl w:val="0"/>
        <w:rPr>
          <w:rFonts w:ascii="宋体" w:hAnsi="宋体"/>
          <w:b/>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投标人可拒绝接受延期要求而不会导致投标保证金被没收。同意延长有效期的投标人需要相应延长投标保证金的有效期，但不能修改投标文件。</w:t>
      </w:r>
    </w:p>
    <w:p w14:paraId="5642BAD1">
      <w:pPr>
        <w:snapToGrid w:val="0"/>
        <w:spacing w:line="360" w:lineRule="auto"/>
        <w:ind w:firstLine="480" w:firstLineChars="200"/>
        <w:jc w:val="left"/>
        <w:outlineLvl w:val="0"/>
        <w:rPr>
          <w:rFonts w:ascii="宋体" w:hAnsi="宋体"/>
          <w:b/>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中标人的投标文件自开标之日起至合同履行完毕止均应保持有效。</w:t>
      </w:r>
    </w:p>
    <w:p w14:paraId="6D1D4B46">
      <w:pPr>
        <w:snapToGrid w:val="0"/>
        <w:spacing w:line="360" w:lineRule="auto"/>
        <w:ind w:firstLine="480" w:firstLineChars="200"/>
        <w:jc w:val="left"/>
        <w:rPr>
          <w:rFonts w:hint="eastAsia" w:ascii="宋体" w:hAnsi="宋体"/>
          <w:b/>
          <w:color w:val="auto"/>
          <w:sz w:val="24"/>
          <w:szCs w:val="24"/>
          <w:highlight w:val="none"/>
        </w:rPr>
      </w:pPr>
      <w:r>
        <w:rPr>
          <w:rFonts w:hint="eastAsia" w:ascii="宋体" w:hAnsi="宋体"/>
          <w:b/>
          <w:color w:val="auto"/>
          <w:sz w:val="24"/>
          <w:szCs w:val="24"/>
          <w:highlight w:val="none"/>
        </w:rPr>
        <w:t>（六）投标保证金</w:t>
      </w:r>
    </w:p>
    <w:p w14:paraId="3A2D4898">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1.投标人须按规定提交投标保证金。否则，其投标将被拒绝。</w:t>
      </w:r>
    </w:p>
    <w:p w14:paraId="564C4DD4">
      <w:pPr>
        <w:snapToGrid w:val="0"/>
        <w:spacing w:line="360" w:lineRule="auto"/>
        <w:ind w:firstLine="480" w:firstLineChars="200"/>
        <w:jc w:val="left"/>
        <w:outlineLvl w:val="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2.保证金形式：银行转账、银行保函、保险机构保证保险保单、融资担保公司保函。</w:t>
      </w:r>
    </w:p>
    <w:p w14:paraId="0E761FC4">
      <w:pPr>
        <w:snapToGrid w:val="0"/>
        <w:spacing w:line="360" w:lineRule="auto"/>
        <w:ind w:firstLine="482" w:firstLineChars="200"/>
        <w:jc w:val="left"/>
        <w:outlineLvl w:val="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rPr>
        <w:t>.投标人有下列情形之一的，投标保证金将不予退还：</w:t>
      </w:r>
    </w:p>
    <w:p w14:paraId="21EB9BF5">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（1）投标人在投标有效期内撤回投标文件的；</w:t>
      </w:r>
    </w:p>
    <w:p w14:paraId="5A96CD12">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（2）未按规定提交履约保证金的；</w:t>
      </w:r>
    </w:p>
    <w:p w14:paraId="1BB928BE">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（3）投标人在投标过程中弄虚作假，提供虚假材料的；</w:t>
      </w:r>
    </w:p>
    <w:p w14:paraId="5E1EE381">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（4）中标人无正当理由不与</w:t>
      </w:r>
      <w:r>
        <w:rPr>
          <w:rFonts w:hint="eastAsia" w:ascii="宋体" w:hAnsi="宋体" w:eastAsia="宋体" w:cs="Times New Roman"/>
          <w:color w:val="auto"/>
          <w:sz w:val="24"/>
          <w:szCs w:val="24"/>
          <w:highlight w:val="none"/>
          <w:lang w:val="en-US" w:eastAsia="zh-CN"/>
        </w:rPr>
        <w:t>招标</w:t>
      </w:r>
      <w:r>
        <w:rPr>
          <w:rFonts w:hint="eastAsia" w:ascii="宋体" w:hAnsi="宋体" w:eastAsia="宋体" w:cs="Times New Roman"/>
          <w:color w:val="auto"/>
          <w:sz w:val="24"/>
          <w:szCs w:val="24"/>
          <w:highlight w:val="none"/>
        </w:rPr>
        <w:t>单位签订合同的；</w:t>
      </w:r>
    </w:p>
    <w:p w14:paraId="7D7EA1A9">
      <w:pPr>
        <w:snapToGrid w:val="0"/>
        <w:spacing w:line="360" w:lineRule="auto"/>
        <w:ind w:firstLine="480" w:firstLineChars="200"/>
        <w:jc w:val="left"/>
        <w:outlineLvl w:val="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（5）将中标项目转让给他人或者在投标文件中未说明且未经招标人同意，将中标项目分包给他人的；</w:t>
      </w:r>
    </w:p>
    <w:p w14:paraId="01C04943">
      <w:pPr>
        <w:snapToGrid w:val="0"/>
        <w:spacing w:line="360" w:lineRule="auto"/>
        <w:ind w:firstLine="470" w:firstLineChars="196"/>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（6）拒绝履行合同义务的；</w:t>
      </w:r>
    </w:p>
    <w:p w14:paraId="3FE159A9">
      <w:pPr>
        <w:snapToGrid w:val="0"/>
        <w:spacing w:line="360" w:lineRule="auto"/>
        <w:ind w:firstLine="470" w:firstLineChars="196"/>
        <w:rPr>
          <w:rFonts w:hint="eastAsia" w:ascii="宋体" w:hAnsi="宋体" w:eastAsia="宋体" w:cs="Times New Roman"/>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）两家或两家以上投标单位上传投标文件的ip地址（或工程清单锁地址）相同</w:t>
      </w:r>
      <w:r>
        <w:rPr>
          <w:rFonts w:hint="eastAsia" w:ascii="宋体" w:hAnsi="宋体"/>
          <w:color w:val="auto"/>
          <w:sz w:val="24"/>
          <w:szCs w:val="24"/>
          <w:highlight w:val="none"/>
          <w:lang w:eastAsia="zh-CN"/>
        </w:rPr>
        <w:t>。</w:t>
      </w:r>
    </w:p>
    <w:p w14:paraId="1B1D78B8">
      <w:pPr>
        <w:snapToGrid w:val="0"/>
        <w:spacing w:line="360" w:lineRule="auto"/>
        <w:ind w:firstLine="480" w:firstLineChars="200"/>
        <w:jc w:val="left"/>
        <w:outlineLvl w:val="0"/>
        <w:rPr>
          <w:rFonts w:ascii="宋体" w:hAnsi="宋体"/>
          <w:b/>
          <w:color w:val="auto"/>
          <w:sz w:val="24"/>
          <w:szCs w:val="24"/>
          <w:highlight w:val="none"/>
        </w:rPr>
      </w:pP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）有《关于印发&lt;台州市工程建设投标保函管理规定&gt;的通知》（台公管办〔2022〕2号）第十一条规定情形的。</w:t>
      </w:r>
    </w:p>
    <w:p w14:paraId="14EF31EA">
      <w:pPr>
        <w:snapToGrid w:val="0"/>
        <w:spacing w:beforeLines="50" w:line="360" w:lineRule="auto"/>
        <w:ind w:firstLine="471" w:firstLineChars="196"/>
        <w:jc w:val="left"/>
        <w:outlineLvl w:val="0"/>
        <w:rPr>
          <w:rFonts w:ascii="宋体" w:hAnsi="宋体"/>
          <w:b/>
          <w:color w:val="auto"/>
          <w:sz w:val="24"/>
          <w:szCs w:val="24"/>
          <w:highlight w:val="none"/>
        </w:rPr>
      </w:pPr>
      <w:r>
        <w:rPr>
          <w:rFonts w:hint="eastAsia" w:ascii="宋体" w:hAnsi="宋体"/>
          <w:b/>
          <w:color w:val="auto"/>
          <w:sz w:val="24"/>
          <w:szCs w:val="24"/>
          <w:highlight w:val="none"/>
        </w:rPr>
        <w:t>（七）投标文件的签署</w:t>
      </w:r>
    </w:p>
    <w:p w14:paraId="3E194D86">
      <w:pPr>
        <w:snapToGrid w:val="0"/>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投标人应</w:t>
      </w:r>
      <w:r>
        <w:rPr>
          <w:rFonts w:hint="eastAsia" w:ascii="宋体" w:hAnsi="宋体"/>
          <w:color w:val="auto"/>
          <w:sz w:val="24"/>
          <w:szCs w:val="24"/>
          <w:highlight w:val="none"/>
        </w:rPr>
        <w:t>按</w:t>
      </w:r>
      <w:r>
        <w:rPr>
          <w:rFonts w:ascii="宋体" w:hAnsi="宋体"/>
          <w:color w:val="auto"/>
          <w:sz w:val="24"/>
          <w:szCs w:val="24"/>
          <w:highlight w:val="none"/>
        </w:rPr>
        <w:t>本招标文件规定的</w:t>
      </w:r>
      <w:r>
        <w:rPr>
          <w:rFonts w:hint="eastAsia" w:ascii="宋体" w:hAnsi="宋体"/>
          <w:color w:val="auto"/>
          <w:sz w:val="24"/>
          <w:szCs w:val="24"/>
          <w:highlight w:val="none"/>
        </w:rPr>
        <w:t>投标文件的组成</w:t>
      </w:r>
      <w:r>
        <w:rPr>
          <w:rFonts w:ascii="宋体" w:hAnsi="宋体"/>
          <w:color w:val="auto"/>
          <w:sz w:val="24"/>
          <w:szCs w:val="24"/>
          <w:highlight w:val="none"/>
        </w:rPr>
        <w:t>编制投标文件，投标文件内容不完整、编排混乱导致投标文件被误读、漏读或者查找不到相关内容的，是投标人的责任。</w:t>
      </w:r>
    </w:p>
    <w:p w14:paraId="75181409">
      <w:pPr>
        <w:snapToGrid w:val="0"/>
        <w:spacing w:line="360" w:lineRule="auto"/>
        <w:ind w:firstLine="480" w:firstLineChars="200"/>
        <w:jc w:val="left"/>
        <w:rPr>
          <w:rFonts w:ascii="宋体" w:hAnsi="宋体"/>
          <w:b/>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bCs/>
          <w:color w:val="auto"/>
          <w:sz w:val="24"/>
          <w:szCs w:val="24"/>
          <w:highlight w:val="none"/>
        </w:rPr>
        <w:t>投标人按要求上传电子投标文件至交易平台，投标人在规定位置盖章并由法定代表人或法定代表人的授权委托人签署或盖章，投标人应写全称。</w:t>
      </w:r>
    </w:p>
    <w:p w14:paraId="18C24903">
      <w:pPr>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投标文件不得涂改，若有修改错漏处，须加盖单位公章或者法定代表人或授权委托人签字或盖章。投标文件因字迹潦草或表达不清所引起的后果由投标人负责。</w:t>
      </w:r>
    </w:p>
    <w:p w14:paraId="11A92993">
      <w:pPr>
        <w:snapToGrid w:val="0"/>
        <w:spacing w:beforeLines="50" w:line="360" w:lineRule="auto"/>
        <w:ind w:firstLine="353" w:firstLineChars="147"/>
        <w:jc w:val="left"/>
        <w:rPr>
          <w:rFonts w:ascii="宋体" w:hAnsi="宋体"/>
          <w:b/>
          <w:color w:val="auto"/>
          <w:sz w:val="24"/>
          <w:szCs w:val="24"/>
          <w:highlight w:val="none"/>
        </w:rPr>
      </w:pPr>
      <w:r>
        <w:rPr>
          <w:rFonts w:hint="eastAsia" w:ascii="宋体" w:hAnsi="宋体"/>
          <w:b/>
          <w:color w:val="auto"/>
          <w:sz w:val="24"/>
          <w:szCs w:val="24"/>
          <w:highlight w:val="none"/>
        </w:rPr>
        <w:t>（八）投标文件的包装、递交、修改和撤回</w:t>
      </w:r>
    </w:p>
    <w:p w14:paraId="6E7E8730">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1.本</w:t>
      </w:r>
      <w:r>
        <w:rPr>
          <w:rFonts w:hint="eastAsia" w:ascii="宋体" w:hAnsi="宋体" w:eastAsia="宋体" w:cs="Times New Roman"/>
          <w:bCs/>
          <w:color w:val="auto"/>
          <w:sz w:val="24"/>
          <w:szCs w:val="24"/>
          <w:highlight w:val="none"/>
          <w:lang w:val="en-US" w:eastAsia="zh-CN"/>
        </w:rPr>
        <w:t>项目</w:t>
      </w:r>
      <w:r>
        <w:rPr>
          <w:rFonts w:hint="eastAsia" w:ascii="宋体" w:hAnsi="宋体" w:eastAsia="宋体" w:cs="Times New Roman"/>
          <w:bCs/>
          <w:color w:val="auto"/>
          <w:sz w:val="24"/>
          <w:szCs w:val="24"/>
          <w:highlight w:val="none"/>
        </w:rPr>
        <w:t>采用电子投标，无需纸质投标文件；</w:t>
      </w:r>
    </w:p>
    <w:p w14:paraId="4970BC5E">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2.投标人应在投标截止时间前上传投标文件。逾期上传的或者未上传指定系统的，视为投标文件未送达。</w:t>
      </w:r>
    </w:p>
    <w:p w14:paraId="2D097E40">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 xml:space="preserve">3.在规定的投标截止时间前，投标人可以修改或撤回已递交的电子投标文件；修改好后重新上传加密电子投标文件。 </w:t>
      </w:r>
    </w:p>
    <w:p w14:paraId="79A9A448">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4.在投标截止时间至投标有效期满之前，投标人不得撤回其投标文件，否则其投标担保将被没收。</w:t>
      </w:r>
    </w:p>
    <w:p w14:paraId="737EAFF7">
      <w:pPr>
        <w:snapToGrid w:val="0"/>
        <w:spacing w:beforeLines="50" w:line="360" w:lineRule="auto"/>
        <w:ind w:firstLine="471" w:firstLineChars="196"/>
        <w:outlineLvl w:val="2"/>
        <w:rPr>
          <w:rFonts w:ascii="宋体" w:hAnsi="宋体"/>
          <w:b/>
          <w:color w:val="auto"/>
          <w:sz w:val="24"/>
          <w:szCs w:val="24"/>
          <w:highlight w:val="none"/>
        </w:rPr>
      </w:pPr>
      <w:r>
        <w:rPr>
          <w:rFonts w:hint="eastAsia" w:ascii="宋体" w:hAnsi="宋体"/>
          <w:b/>
          <w:color w:val="auto"/>
          <w:sz w:val="24"/>
          <w:szCs w:val="24"/>
          <w:highlight w:val="none"/>
        </w:rPr>
        <w:t>（九）投标无效的情形</w:t>
      </w:r>
    </w:p>
    <w:p w14:paraId="6FE6F580">
      <w:pPr>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43313CD">
      <w:pPr>
        <w:snapToGrid w:val="0"/>
        <w:spacing w:line="360" w:lineRule="auto"/>
        <w:ind w:firstLine="471" w:firstLineChars="196"/>
        <w:rPr>
          <w:rFonts w:ascii="宋体" w:hAnsi="宋体"/>
          <w:b/>
          <w:bCs/>
          <w:color w:val="auto"/>
          <w:sz w:val="24"/>
          <w:szCs w:val="24"/>
          <w:highlight w:val="none"/>
        </w:rPr>
      </w:pPr>
      <w:r>
        <w:rPr>
          <w:rFonts w:ascii="宋体" w:hAnsi="宋体"/>
          <w:b/>
          <w:bCs/>
          <w:color w:val="auto"/>
          <w:sz w:val="24"/>
          <w:szCs w:val="24"/>
          <w:highlight w:val="none"/>
        </w:rPr>
        <w:t>1</w:t>
      </w:r>
      <w:r>
        <w:rPr>
          <w:rFonts w:hint="eastAsia" w:ascii="宋体" w:hAnsi="宋体"/>
          <w:b/>
          <w:bCs/>
          <w:color w:val="auto"/>
          <w:sz w:val="24"/>
          <w:szCs w:val="24"/>
          <w:highlight w:val="none"/>
        </w:rPr>
        <w:t>.</w:t>
      </w:r>
      <w:r>
        <w:rPr>
          <w:rFonts w:ascii="宋体" w:hAnsi="宋体"/>
          <w:b/>
          <w:bCs/>
          <w:color w:val="auto"/>
          <w:sz w:val="24"/>
          <w:szCs w:val="24"/>
          <w:highlight w:val="none"/>
        </w:rPr>
        <w:t>在符合性审查和</w:t>
      </w:r>
      <w:r>
        <w:rPr>
          <w:rFonts w:hint="eastAsia" w:ascii="宋体" w:hAnsi="宋体"/>
          <w:b/>
          <w:bCs/>
          <w:color w:val="auto"/>
          <w:sz w:val="24"/>
          <w:szCs w:val="24"/>
          <w:highlight w:val="none"/>
          <w:lang w:val="en-US" w:eastAsia="zh-CN"/>
        </w:rPr>
        <w:t>资信技术标</w:t>
      </w:r>
      <w:r>
        <w:rPr>
          <w:rFonts w:ascii="宋体" w:hAnsi="宋体"/>
          <w:b/>
          <w:bCs/>
          <w:color w:val="auto"/>
          <w:sz w:val="24"/>
          <w:szCs w:val="24"/>
          <w:highlight w:val="none"/>
        </w:rPr>
        <w:t>评审时，如发现下列情形之一的，投标文件将被视为无效：</w:t>
      </w:r>
    </w:p>
    <w:p w14:paraId="1FE524F5">
      <w:pPr>
        <w:snapToGrid w:val="0"/>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未按照招标文件的规定提交投标保证金的；</w:t>
      </w:r>
    </w:p>
    <w:p w14:paraId="61B98D9F">
      <w:pPr>
        <w:snapToGrid w:val="0"/>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不具备招标文件中规定的资格要求的或</w:t>
      </w:r>
      <w:r>
        <w:rPr>
          <w:rFonts w:ascii="宋体" w:hAnsi="宋体"/>
          <w:color w:val="auto"/>
          <w:sz w:val="24"/>
          <w:szCs w:val="24"/>
          <w:highlight w:val="none"/>
        </w:rPr>
        <w:t>资格证明文件不全的</w:t>
      </w:r>
      <w:r>
        <w:rPr>
          <w:rFonts w:hint="eastAsia" w:ascii="宋体" w:hAnsi="宋体"/>
          <w:color w:val="auto"/>
          <w:sz w:val="24"/>
          <w:szCs w:val="24"/>
          <w:highlight w:val="none"/>
        </w:rPr>
        <w:t>；</w:t>
      </w:r>
    </w:p>
    <w:p w14:paraId="5D5A2CF7">
      <w:pPr>
        <w:snapToGrid w:val="0"/>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（3）投标文件未按招标文件要求签署、盖章的；</w:t>
      </w:r>
    </w:p>
    <w:p w14:paraId="654CB982">
      <w:pPr>
        <w:snapToGrid w:val="0"/>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投标代表人未能出具身份证明或与法定代表人授权委托人身份不符的；</w:t>
      </w:r>
      <w:r>
        <w:rPr>
          <w:rFonts w:ascii="宋体" w:hAnsi="宋体"/>
          <w:color w:val="auto"/>
          <w:sz w:val="24"/>
          <w:szCs w:val="24"/>
          <w:highlight w:val="none"/>
        </w:rPr>
        <w:t xml:space="preserve"> </w:t>
      </w:r>
    </w:p>
    <w:p w14:paraId="1B79AA66">
      <w:pPr>
        <w:snapToGrid w:val="0"/>
        <w:spacing w:line="360" w:lineRule="auto"/>
        <w:ind w:firstLine="470" w:firstLineChars="196"/>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）投标文件</w:t>
      </w:r>
      <w:r>
        <w:rPr>
          <w:rFonts w:hint="eastAsia" w:ascii="宋体" w:hAnsi="宋体"/>
          <w:color w:val="auto"/>
          <w:sz w:val="24"/>
          <w:szCs w:val="24"/>
          <w:highlight w:val="none"/>
        </w:rPr>
        <w:t>组成不符合招标文件要求的</w:t>
      </w:r>
      <w:r>
        <w:rPr>
          <w:rFonts w:ascii="宋体" w:hAnsi="宋体"/>
          <w:color w:val="auto"/>
          <w:sz w:val="24"/>
          <w:szCs w:val="24"/>
          <w:highlight w:val="none"/>
        </w:rPr>
        <w:t>；</w:t>
      </w:r>
    </w:p>
    <w:p w14:paraId="0AC476E7">
      <w:pPr>
        <w:snapToGrid w:val="0"/>
        <w:spacing w:line="360" w:lineRule="auto"/>
        <w:ind w:firstLine="470" w:firstLineChars="196"/>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投标文件的实质性内容未使用中文表述、意思表述不明确、前后矛盾或者使用计量单位不符合招标文件要求的（经评标委员会认定</w:t>
      </w:r>
      <w:r>
        <w:rPr>
          <w:rFonts w:hint="eastAsia" w:ascii="宋体" w:hAnsi="宋体"/>
          <w:color w:val="auto"/>
          <w:sz w:val="24"/>
          <w:szCs w:val="24"/>
          <w:highlight w:val="none"/>
        </w:rPr>
        <w:t>并</w:t>
      </w:r>
      <w:r>
        <w:rPr>
          <w:rFonts w:ascii="宋体" w:hAnsi="宋体"/>
          <w:color w:val="auto"/>
          <w:sz w:val="24"/>
          <w:szCs w:val="24"/>
          <w:highlight w:val="none"/>
        </w:rPr>
        <w:t>允许其当场更正的笔误除外）</w:t>
      </w:r>
      <w:r>
        <w:rPr>
          <w:rFonts w:hint="eastAsia" w:ascii="宋体" w:hAnsi="宋体"/>
          <w:color w:val="auto"/>
          <w:sz w:val="24"/>
          <w:szCs w:val="24"/>
          <w:highlight w:val="none"/>
        </w:rPr>
        <w:t>；</w:t>
      </w:r>
    </w:p>
    <w:p w14:paraId="225486F7">
      <w:pPr>
        <w:snapToGrid w:val="0"/>
        <w:spacing w:line="360" w:lineRule="auto"/>
        <w:ind w:firstLine="470" w:firstLineChars="196"/>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ascii="宋体" w:hAnsi="宋体"/>
          <w:color w:val="auto"/>
          <w:sz w:val="24"/>
          <w:szCs w:val="24"/>
          <w:highlight w:val="none"/>
        </w:rPr>
        <w:t>）投标有效期、</w:t>
      </w:r>
      <w:r>
        <w:rPr>
          <w:rFonts w:hint="eastAsia" w:ascii="宋体" w:hAnsi="宋体"/>
          <w:color w:val="auto"/>
          <w:sz w:val="24"/>
          <w:szCs w:val="24"/>
          <w:highlight w:val="none"/>
        </w:rPr>
        <w:t>服务</w:t>
      </w:r>
      <w:r>
        <w:rPr>
          <w:rFonts w:ascii="宋体" w:hAnsi="宋体"/>
          <w:color w:val="auto"/>
          <w:sz w:val="24"/>
          <w:szCs w:val="24"/>
          <w:highlight w:val="none"/>
        </w:rPr>
        <w:t>时间等商务条款不能满足招标文件要求的；</w:t>
      </w:r>
    </w:p>
    <w:p w14:paraId="433C4C3A">
      <w:pPr>
        <w:snapToGrid w:val="0"/>
        <w:spacing w:line="360" w:lineRule="auto"/>
        <w:ind w:firstLine="480" w:firstLineChars="200"/>
        <w:rPr>
          <w:rFonts w:hint="eastAsia" w:ascii="宋体" w:hAnsi="宋体" w:eastAsia="宋体" w:cs="Times New Roman"/>
          <w:bCs/>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lang w:val="en-US" w:eastAsia="zh-CN"/>
        </w:rPr>
        <w:t>8</w:t>
      </w:r>
      <w:r>
        <w:rPr>
          <w:rFonts w:ascii="宋体" w:hAnsi="宋体"/>
          <w:color w:val="auto"/>
          <w:sz w:val="24"/>
          <w:szCs w:val="24"/>
          <w:highlight w:val="none"/>
        </w:rPr>
        <w:t>）</w:t>
      </w:r>
      <w:r>
        <w:rPr>
          <w:rFonts w:hint="eastAsia" w:ascii="宋体" w:hAnsi="宋体"/>
          <w:color w:val="auto"/>
          <w:sz w:val="24"/>
          <w:szCs w:val="24"/>
          <w:highlight w:val="none"/>
        </w:rPr>
        <w:t>未实质性</w:t>
      </w:r>
      <w:r>
        <w:rPr>
          <w:rFonts w:ascii="宋体" w:hAnsi="宋体"/>
          <w:color w:val="auto"/>
          <w:sz w:val="24"/>
          <w:szCs w:val="24"/>
          <w:highlight w:val="none"/>
        </w:rPr>
        <w:t>响应招标文件要求或者投标文件有招标方不能接受的附加条</w:t>
      </w:r>
      <w:r>
        <w:rPr>
          <w:rFonts w:hint="eastAsia" w:ascii="宋体" w:hAnsi="宋体" w:eastAsia="宋体" w:cs="Times New Roman"/>
          <w:bCs/>
          <w:color w:val="auto"/>
          <w:sz w:val="24"/>
          <w:szCs w:val="24"/>
          <w:highlight w:val="none"/>
        </w:rPr>
        <w:t>件的；</w:t>
      </w:r>
    </w:p>
    <w:p w14:paraId="469FB406">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w:t>
      </w:r>
      <w:r>
        <w:rPr>
          <w:rFonts w:hint="eastAsia" w:ascii="宋体" w:hAnsi="宋体" w:eastAsia="宋体" w:cs="Times New Roman"/>
          <w:bCs/>
          <w:color w:val="auto"/>
          <w:sz w:val="24"/>
          <w:szCs w:val="24"/>
          <w:highlight w:val="none"/>
          <w:lang w:val="en-US" w:eastAsia="zh-CN"/>
        </w:rPr>
        <w:t>9</w:t>
      </w:r>
      <w:r>
        <w:rPr>
          <w:rFonts w:hint="eastAsia" w:ascii="宋体" w:hAnsi="宋体" w:eastAsia="宋体" w:cs="Times New Roman"/>
          <w:bCs/>
          <w:color w:val="auto"/>
          <w:sz w:val="24"/>
          <w:szCs w:val="24"/>
          <w:highlight w:val="none"/>
        </w:rPr>
        <w:t>）两家或两家以上投标单位上传投标文件的ip地址（或工程清单锁地址）相同，视为串标行为，取消评标资格。</w:t>
      </w:r>
    </w:p>
    <w:p w14:paraId="75320A04">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（10）</w:t>
      </w:r>
      <w:r>
        <w:rPr>
          <w:rFonts w:hint="eastAsia" w:ascii="宋体" w:hAnsi="宋体" w:eastAsia="宋体" w:cs="Times New Roman"/>
          <w:bCs/>
          <w:color w:val="auto"/>
          <w:sz w:val="24"/>
          <w:szCs w:val="24"/>
          <w:highlight w:val="none"/>
        </w:rPr>
        <w:t>法律法规或规章规定属无效标情形的。</w:t>
      </w:r>
    </w:p>
    <w:p w14:paraId="30979673">
      <w:pPr>
        <w:snapToGrid w:val="0"/>
        <w:spacing w:line="360" w:lineRule="auto"/>
        <w:ind w:firstLine="482" w:firstLineChars="200"/>
        <w:rPr>
          <w:rFonts w:hint="eastAsia"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lang w:val="en-US" w:eastAsia="zh-CN"/>
        </w:rPr>
        <w:t>2</w:t>
      </w:r>
      <w:r>
        <w:rPr>
          <w:rFonts w:hint="eastAsia" w:ascii="宋体" w:hAnsi="宋体" w:eastAsia="宋体" w:cs="Times New Roman"/>
          <w:b/>
          <w:bCs w:val="0"/>
          <w:color w:val="auto"/>
          <w:sz w:val="24"/>
          <w:szCs w:val="24"/>
          <w:highlight w:val="none"/>
        </w:rPr>
        <w:t>.在</w:t>
      </w:r>
      <w:r>
        <w:rPr>
          <w:rFonts w:hint="eastAsia" w:ascii="宋体" w:hAnsi="宋体" w:eastAsia="宋体" w:cs="Times New Roman"/>
          <w:b/>
          <w:bCs w:val="0"/>
          <w:color w:val="auto"/>
          <w:sz w:val="24"/>
          <w:szCs w:val="24"/>
          <w:highlight w:val="none"/>
          <w:lang w:val="en-US" w:eastAsia="zh-CN"/>
        </w:rPr>
        <w:t>商务标</w:t>
      </w:r>
      <w:r>
        <w:rPr>
          <w:rFonts w:hint="eastAsia" w:ascii="宋体" w:hAnsi="宋体" w:eastAsia="宋体" w:cs="Times New Roman"/>
          <w:b/>
          <w:bCs w:val="0"/>
          <w:color w:val="auto"/>
          <w:sz w:val="24"/>
          <w:szCs w:val="24"/>
          <w:highlight w:val="none"/>
        </w:rPr>
        <w:t>评审时，如发现下列情形之一的，投标文件将被视为无效：</w:t>
      </w:r>
    </w:p>
    <w:p w14:paraId="70815A93">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（1）未采用人民币报价或者未按照招标文件标明的币种报价的；</w:t>
      </w:r>
    </w:p>
    <w:p w14:paraId="0B151996">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（2）投标报价具有选择性，或者开标价格与投标文件承诺的优惠（折扣）价格不一致的；</w:t>
      </w:r>
    </w:p>
    <w:p w14:paraId="56E0C0BC">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（3）投标报价不得超过单价最高限价或总价最高限价，超过单价最高限价或总价最高限价的报价为无效标。</w:t>
      </w:r>
    </w:p>
    <w:p w14:paraId="53A53541">
      <w:pPr>
        <w:snapToGrid w:val="0"/>
        <w:spacing w:line="360" w:lineRule="auto"/>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rPr>
        <w:t>（4）</w:t>
      </w:r>
      <w:r>
        <w:rPr>
          <w:rFonts w:hint="eastAsia" w:ascii="宋体" w:hAnsi="宋体" w:eastAsia="宋体" w:cs="Times New Roman"/>
          <w:bCs/>
          <w:color w:val="auto"/>
          <w:sz w:val="24"/>
          <w:szCs w:val="24"/>
          <w:highlight w:val="none"/>
          <w:lang w:val="en-US" w:eastAsia="zh-CN"/>
        </w:rPr>
        <w:t>首席保险人份额低于40%；</w:t>
      </w:r>
    </w:p>
    <w:p w14:paraId="5AB6ABD6">
      <w:pPr>
        <w:snapToGrid w:val="0"/>
        <w:spacing w:line="360" w:lineRule="auto"/>
        <w:ind w:firstLine="480"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eastAsia="zh-CN"/>
        </w:rPr>
        <w:t>（</w:t>
      </w:r>
      <w:r>
        <w:rPr>
          <w:rFonts w:hint="eastAsia" w:ascii="宋体" w:hAnsi="宋体" w:eastAsia="宋体" w:cs="Times New Roman"/>
          <w:bCs/>
          <w:color w:val="auto"/>
          <w:sz w:val="24"/>
          <w:szCs w:val="24"/>
          <w:highlight w:val="none"/>
          <w:lang w:val="en-US" w:eastAsia="zh-CN"/>
        </w:rPr>
        <w:t>5）</w:t>
      </w:r>
      <w:r>
        <w:rPr>
          <w:rFonts w:hint="eastAsia" w:ascii="宋体" w:hAnsi="宋体" w:eastAsia="宋体" w:cs="Times New Roman"/>
          <w:bCs/>
          <w:color w:val="auto"/>
          <w:sz w:val="24"/>
          <w:szCs w:val="24"/>
          <w:highlight w:val="none"/>
        </w:rPr>
        <w:t>评标委员会认为投标人的报价明显低于其他通过符合性审查投标人的报价，有可能影响</w:t>
      </w:r>
      <w:r>
        <w:rPr>
          <w:rFonts w:hint="eastAsia" w:ascii="宋体" w:hAnsi="宋体" w:eastAsia="宋体" w:cs="Times New Roman"/>
          <w:bCs/>
          <w:color w:val="auto"/>
          <w:sz w:val="24"/>
          <w:szCs w:val="24"/>
          <w:highlight w:val="none"/>
          <w:lang w:val="en-US" w:eastAsia="zh-CN"/>
        </w:rPr>
        <w:t>服务</w:t>
      </w:r>
      <w:r>
        <w:rPr>
          <w:rFonts w:hint="eastAsia" w:ascii="宋体" w:hAnsi="宋体" w:eastAsia="宋体" w:cs="Times New Roman"/>
          <w:bCs/>
          <w:color w:val="auto"/>
          <w:sz w:val="24"/>
          <w:szCs w:val="24"/>
          <w:highlight w:val="none"/>
        </w:rPr>
        <w:t>质量或者不能诚信履约的，应当要求其在评标程序中给予的合理时间内提供书面说明，必要时提交相关证明材料;投标人不能证明其报价合理性的，评标委员会应当将其作为无效投标处理。</w:t>
      </w:r>
    </w:p>
    <w:p w14:paraId="76220D36">
      <w:pPr>
        <w:pStyle w:val="16"/>
        <w:snapToGrid w:val="0"/>
        <w:spacing w:beforeLines="0" w:afterLines="0" w:line="360" w:lineRule="auto"/>
        <w:rPr>
          <w:rFonts w:hAnsi="宋体"/>
          <w:b/>
          <w:color w:val="auto"/>
          <w:sz w:val="30"/>
          <w:szCs w:val="30"/>
          <w:highlight w:val="none"/>
        </w:rPr>
      </w:pPr>
    </w:p>
    <w:p w14:paraId="25B2369E">
      <w:pPr>
        <w:pStyle w:val="16"/>
        <w:snapToGrid w:val="0"/>
        <w:spacing w:beforeLines="0" w:afterLines="0" w:line="360" w:lineRule="auto"/>
        <w:rPr>
          <w:rFonts w:hAnsi="宋体"/>
          <w:b/>
          <w:color w:val="auto"/>
          <w:sz w:val="30"/>
          <w:szCs w:val="30"/>
          <w:highlight w:val="none"/>
        </w:rPr>
      </w:pPr>
      <w:r>
        <w:rPr>
          <w:rFonts w:hAnsi="宋体"/>
          <w:b/>
          <w:color w:val="auto"/>
          <w:sz w:val="30"/>
          <w:szCs w:val="30"/>
          <w:highlight w:val="none"/>
        </w:rPr>
        <w:t>四、开标</w:t>
      </w:r>
    </w:p>
    <w:p w14:paraId="4B817561">
      <w:pPr>
        <w:pStyle w:val="16"/>
        <w:snapToGrid w:val="0"/>
        <w:spacing w:before="0" w:beforeLines="0" w:after="0" w:afterLines="0" w:line="360" w:lineRule="auto"/>
        <w:ind w:firstLine="470" w:firstLineChars="19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（一）开标</w:t>
      </w:r>
    </w:p>
    <w:p w14:paraId="7BFF254D">
      <w:pPr>
        <w:pStyle w:val="27"/>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color w:val="auto"/>
          <w:highlight w:val="none"/>
          <w:u w:val="single"/>
        </w:rPr>
        <w:t>http://www.tzwztb.com/live/</w:t>
      </w:r>
      <w:r>
        <w:rPr>
          <w:rFonts w:hint="default"/>
          <w:color w:val="auto"/>
          <w:highlight w:val="none"/>
          <w:u w:val="single"/>
        </w:rPr>
        <w:t xml:space="preserve"> </w:t>
      </w:r>
      <w:r>
        <w:rPr>
          <w:color w:val="auto"/>
          <w:highlight w:val="none"/>
        </w:rPr>
        <w:t>。</w:t>
      </w:r>
    </w:p>
    <w:p w14:paraId="3E48AE7D">
      <w:pPr>
        <w:pStyle w:val="16"/>
        <w:snapToGrid w:val="0"/>
        <w:spacing w:before="120" w:after="12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（二）开标程序：</w:t>
      </w:r>
    </w:p>
    <w:p w14:paraId="1150F76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1、开标由招标代理机构工作人员主持。</w:t>
      </w:r>
    </w:p>
    <w:p w14:paraId="52C7BF7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2、投标人可进行在线沟通。</w:t>
      </w:r>
    </w:p>
    <w:p w14:paraId="7DA95D0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3、评标委员会依法对资格进行审查。</w:t>
      </w:r>
    </w:p>
    <w:p w14:paraId="7E10461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4、资格审查完成后，评标委员会对</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rPr>
        <w:t>技术标进行评审，主持人宣告技术标评审无效投标人名称及理由，公布经</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rPr>
        <w:t>技术标评审符合招标需求的投标人名单以及</w:t>
      </w:r>
      <w:r>
        <w:rPr>
          <w:rFonts w:hint="eastAsia" w:ascii="宋体" w:hAnsi="宋体" w:cs="宋体"/>
          <w:color w:val="auto"/>
          <w:sz w:val="24"/>
          <w:highlight w:val="none"/>
          <w:lang w:val="en-US" w:eastAsia="zh-CN"/>
        </w:rPr>
        <w:t>资信</w:t>
      </w:r>
      <w:r>
        <w:rPr>
          <w:rFonts w:hint="eastAsia" w:ascii="宋体" w:hAnsi="宋体" w:cs="宋体"/>
          <w:color w:val="auto"/>
          <w:sz w:val="24"/>
          <w:highlight w:val="none"/>
        </w:rPr>
        <w:t>技术标得分情况。</w:t>
      </w:r>
    </w:p>
    <w:p w14:paraId="70F86FE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5、开启各投标人商务标报价。</w:t>
      </w:r>
    </w:p>
    <w:p w14:paraId="2700F5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6、由评标委员会对投标人商务标报价的合理性、准确性等进行审查核实。</w:t>
      </w:r>
    </w:p>
    <w:p w14:paraId="4F5948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7、评标结束后，主持人公布商务标得分、综合得分以及推荐中标候选人排序名单。</w:t>
      </w:r>
    </w:p>
    <w:p w14:paraId="6D2AFB4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8、开标会议结束。</w:t>
      </w:r>
    </w:p>
    <w:p w14:paraId="421511F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9、其他注意事项：</w:t>
      </w:r>
    </w:p>
    <w:p w14:paraId="370B08D5">
      <w:pPr>
        <w:pStyle w:val="16"/>
        <w:spacing w:before="120" w:after="120" w:line="360" w:lineRule="auto"/>
        <w:ind w:firstLine="540" w:firstLineChars="225"/>
        <w:rPr>
          <w:rFonts w:hAnsi="宋体"/>
          <w:b w:val="0"/>
          <w:bCs/>
          <w:color w:val="auto"/>
          <w:sz w:val="24"/>
          <w:szCs w:val="24"/>
          <w:highlight w:val="none"/>
        </w:rPr>
      </w:pPr>
      <w:r>
        <w:rPr>
          <w:rFonts w:hAnsi="宋体"/>
          <w:b w:val="0"/>
          <w:bCs/>
          <w:color w:val="auto"/>
          <w:sz w:val="24"/>
          <w:szCs w:val="24"/>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4958782B">
      <w:pPr>
        <w:pStyle w:val="16"/>
        <w:spacing w:before="120" w:after="120" w:line="360" w:lineRule="auto"/>
        <w:ind w:firstLine="540" w:firstLineChars="225"/>
        <w:rPr>
          <w:rFonts w:hAnsi="宋体"/>
          <w:b w:val="0"/>
          <w:bCs/>
          <w:color w:val="auto"/>
          <w:sz w:val="24"/>
          <w:szCs w:val="24"/>
          <w:highlight w:val="none"/>
        </w:rPr>
      </w:pPr>
      <w:r>
        <w:rPr>
          <w:rFonts w:hAnsi="宋体"/>
          <w:b w:val="0"/>
          <w:bCs/>
          <w:color w:val="auto"/>
          <w:sz w:val="24"/>
          <w:szCs w:val="24"/>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354F9D77">
      <w:pPr>
        <w:autoSpaceDE w:val="0"/>
        <w:autoSpaceDN w:val="0"/>
        <w:adjustRightInd w:val="0"/>
        <w:spacing w:line="360" w:lineRule="auto"/>
        <w:ind w:right="-14" w:firstLine="480" w:firstLineChars="200"/>
        <w:jc w:val="left"/>
        <w:rPr>
          <w:rFonts w:hint="eastAsia" w:ascii="宋体" w:hAnsi="宋体"/>
          <w:bCs/>
          <w:color w:val="auto"/>
          <w:sz w:val="24"/>
          <w:szCs w:val="24"/>
          <w:highlight w:val="none"/>
        </w:rPr>
      </w:pPr>
      <w:r>
        <w:rPr>
          <w:rFonts w:ascii="宋体" w:hAnsi="宋体"/>
          <w:bCs/>
          <w:color w:val="auto"/>
          <w:sz w:val="24"/>
          <w:szCs w:val="24"/>
          <w:highlight w:val="none"/>
        </w:rPr>
        <w:t>3</w:t>
      </w:r>
      <w:r>
        <w:rPr>
          <w:rFonts w:hint="eastAsia" w:ascii="宋体" w:hAnsi="宋体"/>
          <w:bCs/>
          <w:color w:val="auto"/>
          <w:sz w:val="24"/>
          <w:szCs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0A5D585">
      <w:pPr>
        <w:autoSpaceDE w:val="0"/>
        <w:autoSpaceDN w:val="0"/>
        <w:adjustRightInd w:val="0"/>
        <w:spacing w:line="360" w:lineRule="auto"/>
        <w:ind w:right="-14"/>
        <w:jc w:val="left"/>
        <w:rPr>
          <w:rFonts w:ascii="宋体" w:hAnsi="宋体"/>
          <w:b/>
          <w:color w:val="auto"/>
          <w:sz w:val="24"/>
          <w:highlight w:val="none"/>
        </w:rPr>
      </w:pPr>
    </w:p>
    <w:p w14:paraId="20DFEBAC">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14:paraId="605524F6">
      <w:pPr>
        <w:autoSpaceDE w:val="0"/>
        <w:autoSpaceDN w:val="0"/>
        <w:adjustRightInd w:val="0"/>
        <w:spacing w:line="360" w:lineRule="auto"/>
        <w:ind w:right="-14" w:firstLine="480" w:firstLineChars="2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14:paraId="41D8E0E8">
      <w:pPr>
        <w:autoSpaceDE w:val="0"/>
        <w:autoSpaceDN w:val="0"/>
        <w:adjustRightInd w:val="0"/>
        <w:spacing w:line="360" w:lineRule="auto"/>
        <w:ind w:right="-14" w:firstLine="480" w:firstLineChars="200"/>
        <w:jc w:val="left"/>
        <w:rPr>
          <w:rFonts w:hint="eastAsia" w:ascii="宋体" w:hAnsi="宋体"/>
          <w:bCs/>
          <w:color w:val="auto"/>
          <w:sz w:val="24"/>
          <w:highlight w:val="none"/>
        </w:rPr>
      </w:pPr>
      <w:r>
        <w:rPr>
          <w:rFonts w:hint="eastAsia" w:ascii="宋体" w:hAnsi="宋体"/>
          <w:bCs/>
          <w:color w:val="auto"/>
          <w:sz w:val="24"/>
          <w:highlight w:val="none"/>
        </w:rPr>
        <w:t>（2）若投标人已申请多把CA锁，请注意使用差别。因ca锁使用错误引发的问题，由投标人自己负责。</w:t>
      </w:r>
    </w:p>
    <w:p w14:paraId="72F1E353">
      <w:pPr>
        <w:pStyle w:val="16"/>
        <w:spacing w:before="120" w:after="120" w:line="360" w:lineRule="auto"/>
        <w:ind w:firstLine="480" w:firstLineChars="200"/>
        <w:rPr>
          <w:rFonts w:hAnsi="宋体"/>
          <w:b w:val="0"/>
          <w:bCs/>
          <w:color w:val="auto"/>
          <w:highlight w:val="none"/>
        </w:rPr>
      </w:pPr>
      <w:r>
        <w:rPr>
          <w:rFonts w:hAnsi="宋体"/>
          <w:b w:val="0"/>
          <w:bCs/>
          <w:color w:val="auto"/>
          <w:sz w:val="24"/>
          <w:szCs w:val="24"/>
          <w:highlight w:val="none"/>
        </w:rPr>
        <w:t>（3）如有疑问，请咨询平台技术服务电话：</w:t>
      </w:r>
      <w:r>
        <w:rPr>
          <w:rFonts w:hAnsi="宋体"/>
          <w:b w:val="0"/>
          <w:color w:val="auto"/>
          <w:sz w:val="24"/>
          <w:szCs w:val="24"/>
          <w:highlight w:val="none"/>
        </w:rPr>
        <w:t>蔡先生</w:t>
      </w:r>
      <w:r>
        <w:rPr>
          <w:rFonts w:hint="eastAsia" w:hAnsi="宋体"/>
          <w:b w:val="0"/>
          <w:color w:val="auto"/>
          <w:sz w:val="24"/>
          <w:szCs w:val="24"/>
          <w:highlight w:val="none"/>
          <w:lang w:eastAsia="zh-CN"/>
        </w:rPr>
        <w:t>、</w:t>
      </w:r>
      <w:r>
        <w:rPr>
          <w:rFonts w:hAnsi="宋体"/>
          <w:b w:val="0"/>
          <w:color w:val="auto"/>
          <w:sz w:val="24"/>
          <w:szCs w:val="24"/>
          <w:highlight w:val="none"/>
        </w:rPr>
        <w:t>王女士</w:t>
      </w:r>
      <w:r>
        <w:rPr>
          <w:rFonts w:hint="eastAsia" w:hAnsi="宋体"/>
          <w:b w:val="0"/>
          <w:color w:val="auto"/>
          <w:sz w:val="24"/>
          <w:szCs w:val="24"/>
          <w:highlight w:val="none"/>
          <w:lang w:eastAsia="zh-CN"/>
        </w:rPr>
        <w:t>，</w:t>
      </w:r>
      <w:r>
        <w:rPr>
          <w:rFonts w:hint="eastAsia" w:hAnsi="宋体"/>
          <w:b w:val="0"/>
          <w:color w:val="auto"/>
          <w:sz w:val="24"/>
          <w:szCs w:val="24"/>
          <w:highlight w:val="none"/>
        </w:rPr>
        <w:t>0576-88865509</w:t>
      </w:r>
      <w:r>
        <w:rPr>
          <w:rFonts w:hAnsi="宋体"/>
          <w:b w:val="0"/>
          <w:bCs/>
          <w:color w:val="auto"/>
          <w:sz w:val="24"/>
          <w:szCs w:val="24"/>
          <w:highlight w:val="none"/>
        </w:rPr>
        <w:t>。QQ “台州湾新区小额工程交易平台交流”（群号：435057190），进行业务咨询。此群也作为不见面开标的备用远程交互群</w:t>
      </w:r>
      <w:r>
        <w:rPr>
          <w:rFonts w:hAnsi="宋体"/>
          <w:b w:val="0"/>
          <w:bCs/>
          <w:color w:val="auto"/>
          <w:highlight w:val="none"/>
        </w:rPr>
        <w:t>。</w:t>
      </w:r>
    </w:p>
    <w:p w14:paraId="757E616A">
      <w:pPr>
        <w:snapToGrid w:val="0"/>
        <w:spacing w:line="360" w:lineRule="auto"/>
        <w:ind w:firstLine="720" w:firstLineChars="300"/>
        <w:jc w:val="left"/>
        <w:rPr>
          <w:rFonts w:hint="eastAsia" w:ascii="宋体" w:hAnsi="宋体"/>
          <w:b/>
          <w:color w:val="auto"/>
          <w:kern w:val="0"/>
          <w:sz w:val="24"/>
          <w:highlight w:val="none"/>
        </w:rPr>
      </w:pPr>
      <w:r>
        <w:rPr>
          <w:rFonts w:hint="eastAsia" w:ascii="宋体" w:hAnsi="宋体"/>
          <w:b/>
          <w:color w:val="auto"/>
          <w:kern w:val="0"/>
          <w:sz w:val="24"/>
          <w:highlight w:val="none"/>
        </w:rPr>
        <w:t>（三）异常情况处理：</w:t>
      </w:r>
    </w:p>
    <w:p w14:paraId="5643EA93">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开评标</w:t>
      </w:r>
      <w:r>
        <w:rPr>
          <w:rFonts w:hint="eastAsia" w:ascii="宋体" w:hAnsi="宋体"/>
          <w:color w:val="auto"/>
          <w:sz w:val="24"/>
          <w:highlight w:val="none"/>
        </w:rPr>
        <w:t>过程中出现以下情形，导致电子交易平台无法正常运行，或者无法保证电子交易的公平、公正和安全时，</w:t>
      </w:r>
      <w:r>
        <w:rPr>
          <w:rFonts w:hint="eastAsia" w:ascii="宋体" w:hAnsi="宋体"/>
          <w:color w:val="auto"/>
          <w:sz w:val="24"/>
          <w:highlight w:val="none"/>
          <w:lang w:val="en-US" w:eastAsia="zh-CN"/>
        </w:rPr>
        <w:t>招标代理</w:t>
      </w:r>
      <w:r>
        <w:rPr>
          <w:rFonts w:hint="eastAsia" w:ascii="宋体" w:hAnsi="宋体"/>
          <w:color w:val="auto"/>
          <w:sz w:val="24"/>
          <w:highlight w:val="none"/>
        </w:rPr>
        <w:t>机构可中止电子交易活动：</w:t>
      </w:r>
    </w:p>
    <w:p w14:paraId="1A201C59">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1、电子交易平台发生故障而无法登录访问的；</w:t>
      </w:r>
    </w:p>
    <w:p w14:paraId="0166A3B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2、电子交易平台应用或数据库出现错误，不能进行正常操作的；</w:t>
      </w:r>
    </w:p>
    <w:p w14:paraId="227A60C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3、电子交易平台发现严重安全漏洞，有潜在泄密危险的；</w:t>
      </w:r>
    </w:p>
    <w:p w14:paraId="5E4D83B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4、病毒发作导致不能进行正常操作的；</w:t>
      </w:r>
    </w:p>
    <w:p w14:paraId="17E1083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5、其他无法保证电子交易的公平、公正和安全的情况。</w:t>
      </w:r>
    </w:p>
    <w:p w14:paraId="27306034">
      <w:pPr>
        <w:snapToGrid w:val="0"/>
        <w:spacing w:line="360" w:lineRule="auto"/>
        <w:ind w:firstLine="480" w:firstLineChars="200"/>
        <w:rPr>
          <w:color w:val="auto"/>
          <w:highlight w:val="none"/>
        </w:rPr>
      </w:pPr>
      <w:r>
        <w:rPr>
          <w:rFonts w:hint="eastAsia" w:ascii="宋体" w:hAnsi="宋体"/>
          <w:color w:val="auto"/>
          <w:sz w:val="24"/>
          <w:highlight w:val="none"/>
        </w:rPr>
        <w:t>出现前款规定情形，不影响</w:t>
      </w:r>
      <w:r>
        <w:rPr>
          <w:rFonts w:hint="eastAsia" w:ascii="宋体" w:hAnsi="宋体"/>
          <w:color w:val="auto"/>
          <w:sz w:val="24"/>
          <w:highlight w:val="none"/>
          <w:lang w:val="en-US" w:eastAsia="zh-CN"/>
        </w:rPr>
        <w:t>招标</w:t>
      </w:r>
      <w:r>
        <w:rPr>
          <w:rFonts w:hint="eastAsia" w:ascii="宋体" w:hAnsi="宋体"/>
          <w:color w:val="auto"/>
          <w:sz w:val="24"/>
          <w:highlight w:val="none"/>
        </w:rPr>
        <w:t>公平、公正性的，</w:t>
      </w:r>
      <w:r>
        <w:rPr>
          <w:rFonts w:hint="eastAsia" w:ascii="宋体" w:hAnsi="宋体"/>
          <w:color w:val="auto"/>
          <w:sz w:val="24"/>
          <w:highlight w:val="none"/>
          <w:lang w:val="en-US" w:eastAsia="zh-CN"/>
        </w:rPr>
        <w:t>招标代理</w:t>
      </w:r>
      <w:r>
        <w:rPr>
          <w:rFonts w:hint="eastAsia" w:ascii="宋体" w:hAnsi="宋体"/>
          <w:color w:val="auto"/>
          <w:sz w:val="24"/>
          <w:highlight w:val="none"/>
        </w:rPr>
        <w:t>机构可以待上述情形消除后继续组织电子交易活动。</w:t>
      </w:r>
    </w:p>
    <w:p w14:paraId="40072B97">
      <w:pPr>
        <w:pStyle w:val="16"/>
        <w:snapToGrid w:val="0"/>
        <w:spacing w:before="120" w:beforeLines="0" w:after="120" w:afterLines="0" w:line="240" w:lineRule="auto"/>
        <w:rPr>
          <w:rFonts w:ascii="宋体" w:hAnsi="宋体" w:eastAsia="宋体" w:cs="Times New Roman"/>
          <w:b/>
          <w:bCs/>
          <w:color w:val="auto"/>
          <w:sz w:val="30"/>
          <w:szCs w:val="30"/>
          <w:highlight w:val="none"/>
        </w:rPr>
      </w:pPr>
      <w:r>
        <w:rPr>
          <w:rFonts w:ascii="宋体" w:hAnsi="宋体" w:eastAsia="宋体" w:cs="Times New Roman"/>
          <w:b/>
          <w:bCs/>
          <w:color w:val="auto"/>
          <w:sz w:val="30"/>
          <w:szCs w:val="30"/>
          <w:highlight w:val="none"/>
        </w:rPr>
        <w:t>五、评标</w:t>
      </w:r>
    </w:p>
    <w:p w14:paraId="7FE2EE9B">
      <w:pPr>
        <w:pStyle w:val="16"/>
        <w:snapToGrid w:val="0"/>
        <w:spacing w:before="120" w:after="120" w:line="360" w:lineRule="auto"/>
        <w:ind w:left="785" w:leftChars="128" w:hanging="516" w:hangingChars="215"/>
        <w:rPr>
          <w:rFonts w:hAnsi="宋体"/>
          <w:b w:val="0"/>
          <w:color w:val="auto"/>
          <w:sz w:val="24"/>
          <w:szCs w:val="24"/>
          <w:highlight w:val="none"/>
        </w:rPr>
      </w:pPr>
      <w:r>
        <w:rPr>
          <w:rFonts w:hAnsi="宋体"/>
          <w:b w:val="0"/>
          <w:color w:val="auto"/>
          <w:sz w:val="24"/>
          <w:szCs w:val="24"/>
          <w:highlight w:val="none"/>
        </w:rPr>
        <w:t>（一）组建评标委员会</w:t>
      </w:r>
    </w:p>
    <w:p w14:paraId="2346A173">
      <w:pPr>
        <w:pStyle w:val="27"/>
        <w:widowControl w:val="0"/>
        <w:snapToGrid w:val="0"/>
        <w:spacing w:before="120" w:beforeLines="50" w:beforeAutospacing="0" w:after="0" w:afterAutospacing="0" w:line="360" w:lineRule="auto"/>
        <w:ind w:firstLine="480" w:firstLineChars="200"/>
        <w:jc w:val="both"/>
        <w:rPr>
          <w:color w:val="auto"/>
          <w:sz w:val="24"/>
          <w:szCs w:val="24"/>
          <w:highlight w:val="none"/>
        </w:rPr>
      </w:pPr>
      <w:r>
        <w:rPr>
          <w:color w:val="auto"/>
          <w:sz w:val="24"/>
          <w:szCs w:val="24"/>
          <w:highlight w:val="none"/>
        </w:rPr>
        <w:t>评标由招标人依法组建的评标委员会负责。</w:t>
      </w:r>
    </w:p>
    <w:p w14:paraId="27F5CA67">
      <w:pPr>
        <w:pStyle w:val="16"/>
        <w:snapToGrid w:val="0"/>
        <w:spacing w:before="120" w:after="120" w:line="360" w:lineRule="auto"/>
        <w:ind w:left="787" w:leftChars="129" w:hanging="516" w:hangingChars="215"/>
        <w:rPr>
          <w:rFonts w:hAnsi="宋体"/>
          <w:b w:val="0"/>
          <w:color w:val="auto"/>
          <w:sz w:val="24"/>
          <w:szCs w:val="24"/>
          <w:highlight w:val="none"/>
        </w:rPr>
      </w:pPr>
      <w:r>
        <w:rPr>
          <w:rFonts w:hAnsi="宋体"/>
          <w:b w:val="0"/>
          <w:color w:val="auto"/>
          <w:sz w:val="24"/>
          <w:szCs w:val="24"/>
          <w:highlight w:val="none"/>
        </w:rPr>
        <w:t>（二）评标的方式</w:t>
      </w:r>
    </w:p>
    <w:p w14:paraId="0F959EA3">
      <w:pPr>
        <w:pStyle w:val="16"/>
        <w:snapToGrid w:val="0"/>
        <w:spacing w:before="120" w:after="120" w:line="360" w:lineRule="auto"/>
        <w:ind w:left="719" w:leftChars="228" w:hanging="240" w:hangingChars="100"/>
        <w:rPr>
          <w:rFonts w:hAnsi="宋体"/>
          <w:b w:val="0"/>
          <w:bCs/>
          <w:color w:val="auto"/>
          <w:sz w:val="24"/>
          <w:szCs w:val="24"/>
          <w:highlight w:val="none"/>
        </w:rPr>
      </w:pPr>
      <w:r>
        <w:rPr>
          <w:rFonts w:hAnsi="宋体"/>
          <w:b w:val="0"/>
          <w:bCs/>
          <w:color w:val="auto"/>
          <w:sz w:val="24"/>
          <w:szCs w:val="24"/>
          <w:highlight w:val="none"/>
        </w:rPr>
        <w:t>本项目采用不公开方式评标，评标的依据为招标文件和投标文件。</w:t>
      </w:r>
    </w:p>
    <w:p w14:paraId="78375D8A">
      <w:pPr>
        <w:pStyle w:val="16"/>
        <w:snapToGrid w:val="0"/>
        <w:spacing w:before="120" w:after="120" w:line="360" w:lineRule="auto"/>
        <w:ind w:left="787" w:leftChars="129" w:hanging="516" w:hangingChars="215"/>
        <w:rPr>
          <w:rFonts w:hAnsi="宋体"/>
          <w:b w:val="0"/>
          <w:color w:val="auto"/>
          <w:sz w:val="24"/>
          <w:szCs w:val="24"/>
          <w:highlight w:val="none"/>
        </w:rPr>
      </w:pPr>
      <w:r>
        <w:rPr>
          <w:rFonts w:hAnsi="宋体"/>
          <w:b w:val="0"/>
          <w:color w:val="auto"/>
          <w:sz w:val="24"/>
          <w:szCs w:val="24"/>
          <w:highlight w:val="none"/>
        </w:rPr>
        <w:t>（三）</w:t>
      </w:r>
      <w:r>
        <w:rPr>
          <w:rFonts w:hAnsi="宋体"/>
          <w:b w:val="0"/>
          <w:bCs/>
          <w:color w:val="auto"/>
          <w:sz w:val="24"/>
          <w:szCs w:val="24"/>
          <w:highlight w:val="none"/>
        </w:rPr>
        <w:t>评标程序</w:t>
      </w:r>
    </w:p>
    <w:p w14:paraId="53EA82A4">
      <w:pPr>
        <w:snapToGrid w:val="0"/>
        <w:spacing w:line="360" w:lineRule="auto"/>
        <w:ind w:firstLine="471" w:firstLineChars="196"/>
        <w:rPr>
          <w:rFonts w:ascii="宋体" w:hAnsi="宋体"/>
          <w:b/>
          <w:bCs/>
          <w:color w:val="auto"/>
          <w:sz w:val="24"/>
          <w:szCs w:val="24"/>
          <w:highlight w:val="none"/>
        </w:rPr>
      </w:pPr>
      <w:r>
        <w:rPr>
          <w:rFonts w:ascii="宋体" w:hAnsi="宋体"/>
          <w:b/>
          <w:bCs/>
          <w:color w:val="auto"/>
          <w:sz w:val="24"/>
          <w:szCs w:val="24"/>
          <w:highlight w:val="none"/>
        </w:rPr>
        <w:t>1</w:t>
      </w:r>
      <w:r>
        <w:rPr>
          <w:rFonts w:hint="eastAsia" w:ascii="宋体" w:hAnsi="宋体"/>
          <w:b/>
          <w:bCs/>
          <w:color w:val="auto"/>
          <w:sz w:val="24"/>
          <w:szCs w:val="24"/>
          <w:highlight w:val="none"/>
        </w:rPr>
        <w:t>.</w:t>
      </w:r>
      <w:r>
        <w:rPr>
          <w:rFonts w:ascii="宋体" w:hAnsi="宋体"/>
          <w:b/>
          <w:bCs/>
          <w:color w:val="auto"/>
          <w:sz w:val="24"/>
          <w:szCs w:val="24"/>
          <w:highlight w:val="none"/>
        </w:rPr>
        <w:t>形式审查</w:t>
      </w:r>
    </w:p>
    <w:p w14:paraId="60607AA2">
      <w:pPr>
        <w:snapToGrid w:val="0"/>
        <w:spacing w:line="360" w:lineRule="auto"/>
        <w:ind w:firstLine="480" w:firstLineChars="200"/>
        <w:rPr>
          <w:rFonts w:hint="eastAsia" w:ascii="宋体" w:hAnsi="宋体"/>
          <w:b/>
          <w:color w:val="auto"/>
          <w:sz w:val="24"/>
          <w:szCs w:val="24"/>
          <w:highlight w:val="none"/>
        </w:rPr>
      </w:pP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人代表和代理机构工作人员协助评标委员会对投标人的资格</w:t>
      </w:r>
      <w:r>
        <w:rPr>
          <w:rFonts w:ascii="宋体" w:hAnsi="宋体"/>
          <w:color w:val="auto"/>
          <w:sz w:val="24"/>
          <w:szCs w:val="24"/>
          <w:highlight w:val="none"/>
        </w:rPr>
        <w:t>和投标文件的完整性、合法性等进行审查。</w:t>
      </w:r>
    </w:p>
    <w:p w14:paraId="2C9689F8">
      <w:pPr>
        <w:snapToGrid w:val="0"/>
        <w:spacing w:line="360" w:lineRule="auto"/>
        <w:ind w:firstLine="471" w:firstLineChars="196"/>
        <w:rPr>
          <w:rFonts w:ascii="宋体" w:hAnsi="宋体"/>
          <w:b/>
          <w:bCs/>
          <w:color w:val="auto"/>
          <w:sz w:val="24"/>
          <w:szCs w:val="24"/>
          <w:highlight w:val="none"/>
        </w:rPr>
      </w:pPr>
      <w:r>
        <w:rPr>
          <w:rFonts w:ascii="宋体" w:hAnsi="宋体"/>
          <w:b/>
          <w:bCs/>
          <w:color w:val="auto"/>
          <w:sz w:val="24"/>
          <w:szCs w:val="24"/>
          <w:highlight w:val="none"/>
        </w:rPr>
        <w:t>2</w:t>
      </w:r>
      <w:r>
        <w:rPr>
          <w:rFonts w:hint="eastAsia" w:ascii="宋体" w:hAnsi="宋体"/>
          <w:b/>
          <w:bCs/>
          <w:color w:val="auto"/>
          <w:sz w:val="24"/>
          <w:szCs w:val="24"/>
          <w:highlight w:val="none"/>
        </w:rPr>
        <w:t>.</w:t>
      </w:r>
      <w:r>
        <w:rPr>
          <w:rFonts w:ascii="宋体" w:hAnsi="宋体"/>
          <w:b/>
          <w:bCs/>
          <w:color w:val="auto"/>
          <w:sz w:val="24"/>
          <w:szCs w:val="24"/>
          <w:highlight w:val="none"/>
        </w:rPr>
        <w:t>实质审查与比较</w:t>
      </w:r>
    </w:p>
    <w:p w14:paraId="3C95E307">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1）评标委员会审查投标文件的实质性内容是否符合招标文件的实质性要求。</w:t>
      </w:r>
    </w:p>
    <w:p w14:paraId="07BB02A8">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2）评标委员会将根据投标人的投标文件进行审查、核对,如有疑问,将对投标人进行询标,投标人要向评标委员会澄清有关问题,并最终以书面形式进行答复。</w:t>
      </w:r>
      <w:r>
        <w:rPr>
          <w:rFonts w:hint="eastAsia" w:ascii="宋体" w:hAnsi="宋体"/>
          <w:color w:val="auto"/>
          <w:sz w:val="24"/>
          <w:szCs w:val="24"/>
          <w:highlight w:val="none"/>
        </w:rPr>
        <w:t>投标人代表未到场或者拒绝澄清或者澄清的内容改变了投标文件的实质性内容的，评标委员会有权对该投标文件作出不利于投标人的评判。</w:t>
      </w:r>
    </w:p>
    <w:p w14:paraId="5163D85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代理机构工作人员协助</w:t>
      </w:r>
      <w:r>
        <w:rPr>
          <w:rFonts w:ascii="宋体" w:hAnsi="宋体"/>
          <w:color w:val="auto"/>
          <w:sz w:val="24"/>
          <w:szCs w:val="24"/>
          <w:highlight w:val="none"/>
        </w:rPr>
        <w:t>评标委员会根据</w:t>
      </w:r>
      <w:r>
        <w:rPr>
          <w:rFonts w:hint="eastAsia" w:ascii="宋体" w:hAnsi="宋体"/>
          <w:color w:val="auto"/>
          <w:sz w:val="24"/>
          <w:szCs w:val="24"/>
          <w:highlight w:val="none"/>
        </w:rPr>
        <w:t>本项目的评分标准</w:t>
      </w:r>
      <w:r>
        <w:rPr>
          <w:rFonts w:ascii="宋体" w:hAnsi="宋体"/>
          <w:color w:val="auto"/>
          <w:sz w:val="24"/>
          <w:szCs w:val="24"/>
          <w:highlight w:val="none"/>
        </w:rPr>
        <w:t>计算各投标人的商务报价得分</w:t>
      </w:r>
      <w:r>
        <w:rPr>
          <w:rFonts w:hint="eastAsia" w:ascii="宋体" w:hAnsi="宋体"/>
          <w:color w:val="auto"/>
          <w:sz w:val="24"/>
          <w:szCs w:val="24"/>
          <w:highlight w:val="none"/>
        </w:rPr>
        <w:t>。</w:t>
      </w:r>
    </w:p>
    <w:p w14:paraId="1A9B9730">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）评标委员会完成评标后,评委对各部分得分汇总,</w:t>
      </w:r>
      <w:r>
        <w:rPr>
          <w:rFonts w:hint="eastAsia" w:ascii="宋体" w:hAnsi="宋体"/>
          <w:color w:val="auto"/>
          <w:sz w:val="24"/>
          <w:szCs w:val="24"/>
          <w:highlight w:val="none"/>
        </w:rPr>
        <w:t>计算</w:t>
      </w:r>
      <w:r>
        <w:rPr>
          <w:rFonts w:ascii="宋体" w:hAnsi="宋体"/>
          <w:color w:val="auto"/>
          <w:sz w:val="24"/>
          <w:szCs w:val="24"/>
          <w:highlight w:val="none"/>
        </w:rPr>
        <w:t>出本项目</w:t>
      </w:r>
      <w:r>
        <w:rPr>
          <w:rFonts w:hint="eastAsia" w:ascii="宋体" w:hAnsi="宋体"/>
          <w:color w:val="auto"/>
          <w:sz w:val="24"/>
          <w:szCs w:val="24"/>
          <w:highlight w:val="none"/>
        </w:rPr>
        <w:t>最终得分</w:t>
      </w:r>
      <w:r>
        <w:rPr>
          <w:rFonts w:ascii="宋体" w:hAnsi="宋体"/>
          <w:color w:val="auto"/>
          <w:sz w:val="24"/>
          <w:szCs w:val="24"/>
          <w:highlight w:val="none"/>
        </w:rPr>
        <w:t>。评标委员会按评标原则推荐中标候选人同时起草评标报告。</w:t>
      </w:r>
    </w:p>
    <w:p w14:paraId="2EA12594">
      <w:pPr>
        <w:snapToGrid w:val="0"/>
        <w:spacing w:line="360" w:lineRule="auto"/>
        <w:ind w:firstLine="358" w:firstLineChars="149"/>
        <w:rPr>
          <w:rFonts w:ascii="宋体" w:hAnsi="宋体"/>
          <w:b/>
          <w:color w:val="auto"/>
          <w:sz w:val="24"/>
          <w:szCs w:val="24"/>
          <w:highlight w:val="none"/>
        </w:rPr>
      </w:pPr>
      <w:r>
        <w:rPr>
          <w:rFonts w:hint="eastAsia" w:ascii="宋体" w:hAnsi="宋体"/>
          <w:b/>
          <w:color w:val="auto"/>
          <w:sz w:val="24"/>
          <w:szCs w:val="24"/>
          <w:highlight w:val="none"/>
        </w:rPr>
        <w:t>（四）澄清问题的形式</w:t>
      </w:r>
    </w:p>
    <w:p w14:paraId="0D081934">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312B4C02">
      <w:pPr>
        <w:pStyle w:val="16"/>
        <w:snapToGrid w:val="0"/>
        <w:spacing w:before="120" w:after="120" w:line="360" w:lineRule="auto"/>
        <w:ind w:left="784" w:leftChars="129" w:hanging="513" w:hangingChars="214"/>
        <w:rPr>
          <w:rFonts w:hAnsi="宋体"/>
          <w:b w:val="0"/>
          <w:color w:val="auto"/>
          <w:sz w:val="24"/>
          <w:szCs w:val="24"/>
          <w:highlight w:val="none"/>
        </w:rPr>
      </w:pPr>
      <w:r>
        <w:rPr>
          <w:rFonts w:hAnsi="宋体"/>
          <w:b w:val="0"/>
          <w:color w:val="auto"/>
          <w:sz w:val="24"/>
          <w:szCs w:val="24"/>
          <w:highlight w:val="none"/>
        </w:rPr>
        <w:t>（五）错误修正</w:t>
      </w:r>
    </w:p>
    <w:p w14:paraId="676F13EB">
      <w:pPr>
        <w:pStyle w:val="27"/>
        <w:spacing w:before="0" w:beforeAutospacing="0" w:after="0" w:afterAutospacing="0" w:line="360" w:lineRule="auto"/>
        <w:ind w:firstLine="480" w:firstLineChars="200"/>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投标文件报价出现前后不一致的，除招标文件另有规定外，按照下列规定修正：</w:t>
      </w:r>
    </w:p>
    <w:p w14:paraId="77DBD2FA">
      <w:pPr>
        <w:pStyle w:val="27"/>
        <w:numPr>
          <w:ilvl w:val="0"/>
          <w:numId w:val="6"/>
        </w:numPr>
        <w:spacing w:before="0" w:beforeAutospacing="0" w:after="0" w:afterAutospacing="0" w:line="360" w:lineRule="auto"/>
        <w:ind w:left="480" w:leftChars="0" w:firstLine="0" w:firstLineChars="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“台州湾新区小额工程电子交易平台”上开启的投标报价与电子投标文</w:t>
      </w:r>
    </w:p>
    <w:p w14:paraId="18076601">
      <w:pPr>
        <w:pStyle w:val="27"/>
        <w:numPr>
          <w:ilvl w:val="0"/>
          <w:numId w:val="0"/>
        </w:numPr>
        <w:spacing w:before="0" w:beforeAutospacing="0" w:after="0" w:afterAutospacing="0" w:line="360" w:lineRule="auto"/>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件中</w:t>
      </w:r>
      <w:r>
        <w:rPr>
          <w:rFonts w:ascii="宋体" w:hAnsi="宋体" w:eastAsia="宋体" w:cs="Times New Roman"/>
          <w:b w:val="0"/>
          <w:bCs/>
          <w:color w:val="auto"/>
          <w:kern w:val="2"/>
          <w:sz w:val="24"/>
          <w:szCs w:val="24"/>
          <w:highlight w:val="none"/>
          <w:lang w:val="en-US" w:eastAsia="zh-CN" w:bidi="ar-SA"/>
        </w:rPr>
        <w:t>开标一览表</w:t>
      </w:r>
      <w:r>
        <w:rPr>
          <w:rFonts w:hint="eastAsia" w:ascii="宋体" w:hAnsi="宋体" w:eastAsia="宋体" w:cs="Times New Roman"/>
          <w:b w:val="0"/>
          <w:bCs/>
          <w:color w:val="auto"/>
          <w:kern w:val="2"/>
          <w:sz w:val="24"/>
          <w:szCs w:val="24"/>
          <w:highlight w:val="none"/>
          <w:lang w:val="en-US" w:eastAsia="zh-CN" w:bidi="ar-SA"/>
        </w:rPr>
        <w:t>内容不一致的，以电子投标文件中开标一览表为准；</w:t>
      </w:r>
    </w:p>
    <w:p w14:paraId="4CB4B53E">
      <w:pPr>
        <w:pStyle w:val="27"/>
        <w:numPr>
          <w:ilvl w:val="0"/>
          <w:numId w:val="6"/>
        </w:numPr>
        <w:spacing w:before="0" w:beforeAutospacing="0" w:after="0" w:afterAutospacing="0" w:line="360" w:lineRule="auto"/>
        <w:ind w:left="480" w:leftChars="0" w:firstLine="0" w:firstLineChars="0"/>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投标文件中开标一览表内容与投标文件中相应内容不一致的，以开标一</w:t>
      </w:r>
    </w:p>
    <w:p w14:paraId="0FF386DE">
      <w:pPr>
        <w:pStyle w:val="27"/>
        <w:numPr>
          <w:ilvl w:val="0"/>
          <w:numId w:val="0"/>
        </w:numPr>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览表为准；</w:t>
      </w:r>
    </w:p>
    <w:p w14:paraId="692DE325">
      <w:pPr>
        <w:pStyle w:val="27"/>
        <w:numPr>
          <w:ilvl w:val="0"/>
          <w:numId w:val="6"/>
        </w:numPr>
        <w:spacing w:before="0" w:beforeAutospacing="0" w:after="0" w:afterAutospacing="0" w:line="360" w:lineRule="auto"/>
        <w:ind w:left="480" w:leftChars="0" w:firstLine="0" w:firstLineChars="0"/>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投标文件中</w:t>
      </w:r>
      <w:r>
        <w:rPr>
          <w:rFonts w:hint="eastAsia" w:ascii="宋体" w:hAnsi="宋体" w:eastAsia="宋体" w:cs="Times New Roman"/>
          <w:b w:val="0"/>
          <w:bCs/>
          <w:color w:val="auto"/>
          <w:kern w:val="2"/>
          <w:sz w:val="24"/>
          <w:szCs w:val="24"/>
          <w:highlight w:val="none"/>
          <w:lang w:val="en-US" w:eastAsia="zh-CN" w:bidi="ar-SA"/>
        </w:rPr>
        <w:t>报价明细表</w:t>
      </w:r>
      <w:r>
        <w:rPr>
          <w:rFonts w:ascii="宋体" w:hAnsi="宋体" w:eastAsia="宋体" w:cs="Times New Roman"/>
          <w:b w:val="0"/>
          <w:bCs/>
          <w:color w:val="auto"/>
          <w:kern w:val="2"/>
          <w:sz w:val="24"/>
          <w:szCs w:val="24"/>
          <w:highlight w:val="none"/>
          <w:lang w:val="en-US" w:eastAsia="zh-CN" w:bidi="ar-SA"/>
        </w:rPr>
        <w:t>内容与</w:t>
      </w:r>
      <w:r>
        <w:rPr>
          <w:rFonts w:hint="eastAsia" w:ascii="宋体" w:hAnsi="宋体" w:eastAsia="宋体" w:cs="Times New Roman"/>
          <w:b w:val="0"/>
          <w:bCs/>
          <w:color w:val="auto"/>
          <w:kern w:val="2"/>
          <w:sz w:val="24"/>
          <w:szCs w:val="24"/>
          <w:highlight w:val="none"/>
          <w:lang w:val="en-US" w:eastAsia="zh-CN" w:bidi="ar-SA"/>
        </w:rPr>
        <w:t>开标一览表内容不一致的，</w:t>
      </w:r>
      <w:r>
        <w:rPr>
          <w:rFonts w:ascii="宋体" w:hAnsi="宋体" w:eastAsia="宋体" w:cs="Times New Roman"/>
          <w:b w:val="0"/>
          <w:bCs/>
          <w:color w:val="auto"/>
          <w:kern w:val="2"/>
          <w:sz w:val="24"/>
          <w:szCs w:val="24"/>
          <w:highlight w:val="none"/>
          <w:lang w:val="en-US" w:eastAsia="zh-CN" w:bidi="ar-SA"/>
        </w:rPr>
        <w:t>以开标一览表</w:t>
      </w:r>
    </w:p>
    <w:p w14:paraId="4D9F1424">
      <w:pPr>
        <w:pStyle w:val="27"/>
        <w:numPr>
          <w:ilvl w:val="0"/>
          <w:numId w:val="0"/>
        </w:numPr>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为准；</w:t>
      </w:r>
    </w:p>
    <w:p w14:paraId="75F88FF1">
      <w:pPr>
        <w:pStyle w:val="27"/>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　　</w:t>
      </w:r>
      <w:r>
        <w:rPr>
          <w:rFonts w:hint="eastAsia" w:ascii="宋体" w:hAnsi="宋体" w:eastAsia="宋体" w:cs="Times New Roman"/>
          <w:b w:val="0"/>
          <w:bCs/>
          <w:color w:val="auto"/>
          <w:kern w:val="2"/>
          <w:sz w:val="24"/>
          <w:szCs w:val="24"/>
          <w:highlight w:val="none"/>
          <w:lang w:val="en-US" w:eastAsia="zh-CN" w:bidi="ar-SA"/>
        </w:rPr>
        <w:t>4</w:t>
      </w:r>
      <w:r>
        <w:rPr>
          <w:rFonts w:ascii="宋体" w:hAnsi="宋体" w:eastAsia="宋体" w:cs="Times New Roman"/>
          <w:b w:val="0"/>
          <w:bCs/>
          <w:color w:val="auto"/>
          <w:kern w:val="2"/>
          <w:sz w:val="24"/>
          <w:szCs w:val="24"/>
          <w:highlight w:val="none"/>
          <w:lang w:val="en-US" w:eastAsia="zh-CN" w:bidi="ar-SA"/>
        </w:rPr>
        <w:t>、大写金额和小写金额不一致的，以大写金额为准；</w:t>
      </w:r>
    </w:p>
    <w:p w14:paraId="00288A60">
      <w:pPr>
        <w:pStyle w:val="27"/>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　　</w:t>
      </w:r>
      <w:r>
        <w:rPr>
          <w:rFonts w:hint="eastAsia" w:ascii="宋体" w:hAnsi="宋体" w:eastAsia="宋体" w:cs="Times New Roman"/>
          <w:b w:val="0"/>
          <w:bCs/>
          <w:color w:val="auto"/>
          <w:kern w:val="2"/>
          <w:sz w:val="24"/>
          <w:szCs w:val="24"/>
          <w:highlight w:val="none"/>
          <w:lang w:val="en-US" w:eastAsia="zh-CN" w:bidi="ar-SA"/>
        </w:rPr>
        <w:t>5</w:t>
      </w:r>
      <w:r>
        <w:rPr>
          <w:rFonts w:ascii="宋体" w:hAnsi="宋体" w:eastAsia="宋体" w:cs="Times New Roman"/>
          <w:b w:val="0"/>
          <w:bCs/>
          <w:color w:val="auto"/>
          <w:kern w:val="2"/>
          <w:sz w:val="24"/>
          <w:szCs w:val="24"/>
          <w:highlight w:val="none"/>
          <w:lang w:val="en-US" w:eastAsia="zh-CN" w:bidi="ar-SA"/>
        </w:rPr>
        <w:t>、单价金额小数点或者百分比有明显错位的，以开标一览表的总价为准，并修改单价；</w:t>
      </w:r>
    </w:p>
    <w:p w14:paraId="1F6D6C7D">
      <w:pPr>
        <w:pStyle w:val="27"/>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　　</w:t>
      </w:r>
      <w:r>
        <w:rPr>
          <w:rFonts w:hint="eastAsia" w:ascii="宋体" w:hAnsi="宋体" w:eastAsia="宋体" w:cs="Times New Roman"/>
          <w:b w:val="0"/>
          <w:bCs/>
          <w:color w:val="auto"/>
          <w:kern w:val="2"/>
          <w:sz w:val="24"/>
          <w:szCs w:val="24"/>
          <w:highlight w:val="none"/>
          <w:lang w:val="en-US" w:eastAsia="zh-CN" w:bidi="ar-SA"/>
        </w:rPr>
        <w:t>6</w:t>
      </w:r>
      <w:r>
        <w:rPr>
          <w:rFonts w:ascii="宋体" w:hAnsi="宋体" w:eastAsia="宋体" w:cs="Times New Roman"/>
          <w:b w:val="0"/>
          <w:bCs/>
          <w:color w:val="auto"/>
          <w:kern w:val="2"/>
          <w:sz w:val="24"/>
          <w:szCs w:val="24"/>
          <w:highlight w:val="none"/>
          <w:lang w:val="en-US" w:eastAsia="zh-CN" w:bidi="ar-SA"/>
        </w:rPr>
        <w:t>、总价金额与按单价汇总金额不一致的，以单价金额计算结果为准。</w:t>
      </w:r>
    </w:p>
    <w:p w14:paraId="27F89E1C">
      <w:pPr>
        <w:pStyle w:val="27"/>
        <w:spacing w:before="0" w:beforeAutospacing="0" w:after="0" w:afterAutospacing="0" w:line="360" w:lineRule="auto"/>
        <w:jc w:val="both"/>
        <w:rPr>
          <w:rFonts w:ascii="宋体" w:hAnsi="宋体" w:eastAsia="宋体" w:cs="Times New Roman"/>
          <w:b w:val="0"/>
          <w:bCs/>
          <w:color w:val="auto"/>
          <w:kern w:val="2"/>
          <w:sz w:val="24"/>
          <w:szCs w:val="24"/>
          <w:highlight w:val="none"/>
          <w:lang w:val="en-US" w:eastAsia="zh-CN" w:bidi="ar-SA"/>
        </w:rPr>
      </w:pPr>
      <w:r>
        <w:rPr>
          <w:rFonts w:ascii="宋体" w:hAnsi="宋体" w:eastAsia="宋体" w:cs="Times New Roman"/>
          <w:b w:val="0"/>
          <w:bCs/>
          <w:color w:val="auto"/>
          <w:kern w:val="2"/>
          <w:sz w:val="24"/>
          <w:szCs w:val="24"/>
          <w:highlight w:val="none"/>
          <w:lang w:val="en-US" w:eastAsia="zh-CN" w:bidi="ar-SA"/>
        </w:rPr>
        <w:t>　　同时出现两种以上不一致的，按照前款规定的顺序修正。修正应当采用书面形式，并加盖公章或者由法定代表人或其授权的代表签字。修正后的报价经投标人确认后产生约束力，投标人不确认的，其投标无效。</w:t>
      </w:r>
    </w:p>
    <w:p w14:paraId="3ECCC3A4">
      <w:pPr>
        <w:autoSpaceDE w:val="0"/>
        <w:autoSpaceDN w:val="0"/>
        <w:adjustRightInd w:val="0"/>
        <w:spacing w:line="360" w:lineRule="auto"/>
        <w:ind w:firstLine="358" w:firstLineChars="149"/>
        <w:rPr>
          <w:rFonts w:ascii="宋体" w:hAnsi="宋体"/>
          <w:b/>
          <w:color w:val="auto"/>
          <w:kern w:val="0"/>
          <w:sz w:val="24"/>
          <w:szCs w:val="24"/>
          <w:highlight w:val="none"/>
        </w:rPr>
      </w:pPr>
      <w:r>
        <w:rPr>
          <w:rFonts w:hint="eastAsia" w:ascii="宋体" w:hAnsi="宋体"/>
          <w:b/>
          <w:color w:val="auto"/>
          <w:kern w:val="0"/>
          <w:sz w:val="24"/>
          <w:szCs w:val="24"/>
          <w:highlight w:val="none"/>
        </w:rPr>
        <w:t>（六）有下列情况之一的，本次招标作为废标处理，除</w:t>
      </w:r>
      <w:r>
        <w:rPr>
          <w:rFonts w:hint="eastAsia" w:ascii="宋体" w:hAnsi="宋体"/>
          <w:b/>
          <w:color w:val="auto"/>
          <w:kern w:val="0"/>
          <w:sz w:val="24"/>
          <w:szCs w:val="24"/>
          <w:highlight w:val="none"/>
          <w:lang w:val="en-US" w:eastAsia="zh-CN"/>
        </w:rPr>
        <w:t>招标</w:t>
      </w:r>
      <w:r>
        <w:rPr>
          <w:rFonts w:hint="eastAsia" w:ascii="宋体" w:hAnsi="宋体"/>
          <w:b/>
          <w:color w:val="auto"/>
          <w:kern w:val="0"/>
          <w:sz w:val="24"/>
          <w:szCs w:val="24"/>
          <w:highlight w:val="none"/>
        </w:rPr>
        <w:t>任务取消外，由</w:t>
      </w:r>
      <w:r>
        <w:rPr>
          <w:rFonts w:hint="eastAsia" w:ascii="宋体" w:hAnsi="宋体"/>
          <w:b/>
          <w:color w:val="auto"/>
          <w:kern w:val="0"/>
          <w:sz w:val="24"/>
          <w:szCs w:val="24"/>
          <w:highlight w:val="none"/>
          <w:lang w:val="en-US" w:eastAsia="zh-CN"/>
        </w:rPr>
        <w:t>招标</w:t>
      </w:r>
      <w:r>
        <w:rPr>
          <w:rFonts w:hint="eastAsia" w:ascii="宋体" w:hAnsi="宋体"/>
          <w:b/>
          <w:color w:val="auto"/>
          <w:kern w:val="0"/>
          <w:sz w:val="24"/>
          <w:szCs w:val="24"/>
          <w:highlight w:val="none"/>
        </w:rPr>
        <w:t>人重新组织招标：</w:t>
      </w:r>
    </w:p>
    <w:p w14:paraId="0B9B3B4F">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1、符合专业条件的</w:t>
      </w:r>
      <w:r>
        <w:rPr>
          <w:rFonts w:hint="eastAsia" w:ascii="宋体" w:hAnsi="宋体"/>
          <w:color w:val="auto"/>
          <w:sz w:val="24"/>
          <w:szCs w:val="24"/>
          <w:highlight w:val="none"/>
          <w:lang w:val="en-US" w:eastAsia="zh-CN"/>
        </w:rPr>
        <w:t>投标单位</w:t>
      </w:r>
      <w:r>
        <w:rPr>
          <w:rFonts w:hint="eastAsia" w:ascii="宋体" w:hAnsi="宋体"/>
          <w:color w:val="auto"/>
          <w:sz w:val="24"/>
          <w:szCs w:val="24"/>
          <w:highlight w:val="none"/>
        </w:rPr>
        <w:t>或者对招标文件作实质响应的</w:t>
      </w:r>
      <w:r>
        <w:rPr>
          <w:rFonts w:hint="eastAsia" w:ascii="宋体" w:hAnsi="宋体"/>
          <w:color w:val="auto"/>
          <w:sz w:val="24"/>
          <w:szCs w:val="24"/>
          <w:highlight w:val="none"/>
          <w:lang w:val="en-US" w:eastAsia="zh-CN"/>
        </w:rPr>
        <w:t>投标单位</w:t>
      </w:r>
      <w:r>
        <w:rPr>
          <w:rFonts w:hint="eastAsia" w:ascii="宋体" w:hAnsi="宋体"/>
          <w:color w:val="auto"/>
          <w:sz w:val="24"/>
          <w:szCs w:val="24"/>
          <w:highlight w:val="none"/>
        </w:rPr>
        <w:t>不足三家，评标委员会认定投标明显缺乏竞争的；</w:t>
      </w:r>
    </w:p>
    <w:p w14:paraId="2DA7CD71">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2、出现影响</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公正的违法、违规行为的；</w:t>
      </w:r>
    </w:p>
    <w:p w14:paraId="6D3E4FF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3、投标人的报价均超过了</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预算，</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人不能支付的；</w:t>
      </w:r>
    </w:p>
    <w:p w14:paraId="448E48CF">
      <w:pPr>
        <w:snapToGrid w:val="0"/>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4、因重大变故，</w:t>
      </w:r>
      <w:r>
        <w:rPr>
          <w:rFonts w:hint="eastAsia" w:ascii="宋体" w:hAnsi="宋体"/>
          <w:color w:val="auto"/>
          <w:sz w:val="24"/>
          <w:szCs w:val="24"/>
          <w:highlight w:val="none"/>
          <w:lang w:val="en-US" w:eastAsia="zh-CN"/>
        </w:rPr>
        <w:t>招标</w:t>
      </w:r>
      <w:r>
        <w:rPr>
          <w:rFonts w:ascii="宋体" w:hAnsi="宋体"/>
          <w:color w:val="auto"/>
          <w:sz w:val="24"/>
          <w:szCs w:val="24"/>
          <w:highlight w:val="none"/>
        </w:rPr>
        <w:t>任务取消的。</w:t>
      </w:r>
    </w:p>
    <w:p w14:paraId="7F29034E">
      <w:pPr>
        <w:pStyle w:val="16"/>
        <w:tabs>
          <w:tab w:val="left" w:pos="630"/>
        </w:tabs>
        <w:snapToGrid w:val="0"/>
        <w:spacing w:before="120" w:after="120" w:line="360" w:lineRule="auto"/>
        <w:ind w:firstLine="357" w:firstLineChars="149"/>
        <w:rPr>
          <w:rFonts w:hAnsi="宋体"/>
          <w:b w:val="0"/>
          <w:color w:val="auto"/>
          <w:sz w:val="24"/>
          <w:szCs w:val="24"/>
          <w:highlight w:val="none"/>
        </w:rPr>
      </w:pPr>
      <w:r>
        <w:rPr>
          <w:rFonts w:hAnsi="宋体"/>
          <w:b w:val="0"/>
          <w:color w:val="auto"/>
          <w:sz w:val="24"/>
          <w:szCs w:val="24"/>
          <w:highlight w:val="none"/>
        </w:rPr>
        <w:t>（七）评标原则和评标办法</w:t>
      </w:r>
    </w:p>
    <w:p w14:paraId="0A6B234F">
      <w:pPr>
        <w:pStyle w:val="16"/>
        <w:snapToGrid w:val="0"/>
        <w:spacing w:before="120" w:after="120" w:line="360" w:lineRule="auto"/>
        <w:ind w:firstLine="480" w:firstLineChars="200"/>
        <w:rPr>
          <w:rFonts w:hAnsi="宋体"/>
          <w:color w:val="auto"/>
          <w:sz w:val="24"/>
          <w:szCs w:val="24"/>
          <w:highlight w:val="none"/>
        </w:rPr>
      </w:pPr>
      <w:r>
        <w:rPr>
          <w:rFonts w:hAnsi="宋体"/>
          <w:color w:val="auto"/>
          <w:sz w:val="24"/>
          <w:szCs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FDDE18A">
      <w:pPr>
        <w:pStyle w:val="16"/>
        <w:snapToGrid w:val="0"/>
        <w:spacing w:before="120" w:after="120" w:line="360" w:lineRule="auto"/>
        <w:ind w:firstLine="480" w:firstLineChars="200"/>
        <w:rPr>
          <w:rFonts w:hAnsi="宋体"/>
          <w:color w:val="auto"/>
          <w:sz w:val="24"/>
          <w:szCs w:val="24"/>
          <w:highlight w:val="none"/>
        </w:rPr>
      </w:pPr>
      <w:r>
        <w:rPr>
          <w:rFonts w:hAnsi="宋体"/>
          <w:color w:val="auto"/>
          <w:sz w:val="24"/>
          <w:szCs w:val="24"/>
          <w:highlight w:val="none"/>
        </w:rPr>
        <w:t>2、评标办法。具体评标内容及评分标准等详见《第四章：评标办法及评分标准》。</w:t>
      </w:r>
    </w:p>
    <w:p w14:paraId="17EA2CC3">
      <w:pPr>
        <w:pStyle w:val="16"/>
        <w:snapToGrid w:val="0"/>
        <w:spacing w:before="120" w:after="120" w:line="360" w:lineRule="auto"/>
        <w:ind w:firstLine="357" w:firstLineChars="149"/>
        <w:rPr>
          <w:rFonts w:hAnsi="宋体"/>
          <w:b w:val="0"/>
          <w:color w:val="auto"/>
          <w:sz w:val="24"/>
          <w:szCs w:val="24"/>
          <w:highlight w:val="none"/>
        </w:rPr>
      </w:pPr>
      <w:r>
        <w:rPr>
          <w:rFonts w:hAnsi="宋体"/>
          <w:b w:val="0"/>
          <w:color w:val="auto"/>
          <w:sz w:val="24"/>
          <w:szCs w:val="24"/>
          <w:highlight w:val="none"/>
        </w:rPr>
        <w:t>（八）评标过程的监控</w:t>
      </w:r>
    </w:p>
    <w:p w14:paraId="1D780D18">
      <w:pPr>
        <w:pStyle w:val="27"/>
        <w:spacing w:before="0" w:beforeAutospacing="0" w:after="0" w:afterAutospacing="0" w:line="360" w:lineRule="auto"/>
        <w:ind w:firstLine="480" w:firstLineChars="200"/>
        <w:jc w:val="both"/>
        <w:rPr>
          <w:color w:val="auto"/>
          <w:sz w:val="24"/>
          <w:szCs w:val="24"/>
          <w:highlight w:val="none"/>
        </w:rPr>
      </w:pPr>
      <w:r>
        <w:rPr>
          <w:color w:val="auto"/>
          <w:sz w:val="24"/>
          <w:szCs w:val="24"/>
          <w:highlight w:val="none"/>
        </w:rPr>
        <w:t>本项目评标过程实行全程录音、录像监控，投标人在评标过程中所进行的试图影响评标结果的不公正活动，可能导致其投标被拒绝。</w:t>
      </w:r>
    </w:p>
    <w:p w14:paraId="79F8312C">
      <w:pPr>
        <w:pStyle w:val="75"/>
        <w:spacing w:line="240" w:lineRule="auto"/>
        <w:ind w:left="0" w:firstLine="0"/>
        <w:rPr>
          <w:rFonts w:hint="default" w:ascii="宋体" w:hAnsi="宋体" w:eastAsia="宋体" w:cs="Times New Roman"/>
          <w:b/>
          <w:bCs/>
          <w:color w:val="auto"/>
          <w:kern w:val="2"/>
          <w:sz w:val="30"/>
          <w:szCs w:val="30"/>
          <w:highlight w:val="none"/>
          <w:lang w:val="en-US" w:eastAsia="zh-CN" w:bidi="ar-SA"/>
        </w:rPr>
      </w:pPr>
      <w:r>
        <w:rPr>
          <w:rFonts w:hint="eastAsia" w:ascii="宋体" w:hAnsi="宋体" w:eastAsia="宋体" w:cs="Times New Roman"/>
          <w:b/>
          <w:bCs/>
          <w:color w:val="auto"/>
          <w:kern w:val="2"/>
          <w:sz w:val="30"/>
          <w:szCs w:val="30"/>
          <w:highlight w:val="none"/>
          <w:lang w:val="en-US" w:eastAsia="zh-CN" w:bidi="ar-SA"/>
        </w:rPr>
        <w:t>六、</w:t>
      </w:r>
      <w:bookmarkStart w:id="6" w:name="_Toc169487814"/>
      <w:bookmarkStart w:id="7" w:name="_Toc155342567"/>
      <w:r>
        <w:rPr>
          <w:rFonts w:hint="default" w:ascii="宋体" w:hAnsi="宋体" w:eastAsia="宋体" w:cs="Times New Roman"/>
          <w:b/>
          <w:bCs/>
          <w:color w:val="auto"/>
          <w:kern w:val="2"/>
          <w:sz w:val="30"/>
          <w:szCs w:val="30"/>
          <w:highlight w:val="none"/>
          <w:lang w:val="en-US" w:eastAsia="zh-CN" w:bidi="ar-SA"/>
        </w:rPr>
        <w:t>中标候选人公示</w:t>
      </w:r>
      <w:bookmarkEnd w:id="6"/>
      <w:bookmarkEnd w:id="7"/>
    </w:p>
    <w:p w14:paraId="2731DCFB">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1、招标人应当将评标委员会推荐的中标候选人在交易平台（发布招标公告的媒体上）进行公示，公示期不得少于3日（最后一日为工作日）。</w:t>
      </w:r>
    </w:p>
    <w:p w14:paraId="63958D23">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2、属于《中华人民共和国招标投标法实施条例》第二十二条、第四十四条、第五十四条规定事项投诉的，应当向招标人（招标代理机构）提出（附相关有效证明材料），招标人（招标代理机构）应给予答复。投标人对答复不服或认为招标人（招标代理机构）有违反有关规定及其他弄虚作假情形的，可在接到答复之日起 3 日内向招标监管机构申请核查，并提交相关材料。</w:t>
      </w:r>
    </w:p>
    <w:p w14:paraId="185E7165">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bookmarkStart w:id="8" w:name="_Toc4450"/>
      <w:bookmarkStart w:id="9" w:name="_Toc237769281"/>
      <w:bookmarkStart w:id="10" w:name="_Toc372899726"/>
      <w:bookmarkStart w:id="11" w:name="_Toc394573920"/>
      <w:bookmarkStart w:id="12" w:name="_Toc282596287"/>
      <w:bookmarkStart w:id="13" w:name="_Toc372899849"/>
      <w:bookmarkStart w:id="14" w:name="_Toc283886232"/>
      <w:bookmarkStart w:id="15" w:name="_Toc321925409"/>
      <w:bookmarkStart w:id="16" w:name="_Toc283976523"/>
      <w:bookmarkStart w:id="17" w:name="_Toc237768817"/>
      <w:bookmarkStart w:id="18" w:name="_Toc288556274"/>
      <w:r>
        <w:rPr>
          <w:rFonts w:hint="eastAsia" w:ascii="宋体" w:hAnsi="宋体" w:eastAsia="宋体" w:cs="Times New Roman"/>
          <w:b w:val="0"/>
          <w:bCs/>
          <w:color w:val="auto"/>
          <w:kern w:val="2"/>
          <w:sz w:val="24"/>
          <w:szCs w:val="24"/>
          <w:highlight w:val="none"/>
          <w:lang w:val="en-US" w:eastAsia="zh-CN" w:bidi="ar-SA"/>
        </w:rPr>
        <w:t>3、中标候选人有以下情形之一的，其资格无效：</w:t>
      </w:r>
    </w:p>
    <w:p w14:paraId="00CC2876">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（1）投标资格不符合第一章第四项投标人的资格要求规定的；</w:t>
      </w:r>
    </w:p>
    <w:p w14:paraId="4472B9D2">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（2）投标人提供虚假材料骗取投标资格的；</w:t>
      </w:r>
    </w:p>
    <w:p w14:paraId="2FA30FB3">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（3）按第四章“评标办法及评分标准”规定应作无效标处理的；</w:t>
      </w:r>
    </w:p>
    <w:p w14:paraId="2F3B74BB">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（4）法律法规规定作无效标处理的其它情形。</w:t>
      </w:r>
    </w:p>
    <w:p w14:paraId="60ACCF91">
      <w:pPr>
        <w:pStyle w:val="75"/>
        <w:spacing w:line="240" w:lineRule="auto"/>
        <w:ind w:left="0" w:firstLine="0"/>
        <w:rPr>
          <w:rFonts w:hint="default" w:ascii="宋体" w:hAnsi="宋体" w:eastAsia="宋体" w:cs="Times New Roman"/>
          <w:b/>
          <w:bCs/>
          <w:color w:val="auto"/>
          <w:kern w:val="2"/>
          <w:sz w:val="30"/>
          <w:szCs w:val="30"/>
          <w:highlight w:val="none"/>
          <w:lang w:val="en-US" w:eastAsia="zh-CN" w:bidi="ar-SA"/>
        </w:rPr>
      </w:pPr>
      <w:r>
        <w:rPr>
          <w:rFonts w:hint="default" w:ascii="宋体" w:hAnsi="宋体" w:eastAsia="宋体" w:cs="Times New Roman"/>
          <w:b/>
          <w:bCs/>
          <w:color w:val="auto"/>
          <w:kern w:val="2"/>
          <w:sz w:val="30"/>
          <w:szCs w:val="30"/>
          <w:highlight w:val="none"/>
          <w:lang w:val="en-US" w:eastAsia="zh-CN" w:bidi="ar-SA"/>
        </w:rPr>
        <w:t>七、中标通知书</w:t>
      </w:r>
      <w:bookmarkEnd w:id="8"/>
      <w:bookmarkEnd w:id="9"/>
      <w:bookmarkEnd w:id="10"/>
      <w:bookmarkEnd w:id="11"/>
      <w:bookmarkEnd w:id="12"/>
      <w:bookmarkEnd w:id="13"/>
      <w:bookmarkEnd w:id="14"/>
      <w:bookmarkEnd w:id="15"/>
      <w:bookmarkEnd w:id="16"/>
      <w:bookmarkEnd w:id="17"/>
      <w:bookmarkEnd w:id="18"/>
    </w:p>
    <w:p w14:paraId="7FEFF973">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1、招标人应当确定第一中标候选人为中标人。</w:t>
      </w:r>
    </w:p>
    <w:p w14:paraId="2B4BDD83">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2、第一中标候选人放弃中标，或者因不可抗力提出不能履行合同，或者因违反本章第六条第3项规定造成其资格无效的，本次招标失败，重新组织招标。</w:t>
      </w:r>
    </w:p>
    <w:p w14:paraId="4AD56623">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3、中标人确定后，招标人应当向中标人发出《中标通知书》。</w:t>
      </w:r>
    </w:p>
    <w:p w14:paraId="26A295F3">
      <w:pPr>
        <w:pStyle w:val="27"/>
        <w:spacing w:before="0" w:beforeAutospacing="0" w:after="0" w:afterAutospacing="0" w:line="360" w:lineRule="auto"/>
        <w:ind w:firstLine="480" w:firstLineChars="200"/>
        <w:jc w:val="both"/>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 w:val="0"/>
          <w:bCs/>
          <w:color w:val="auto"/>
          <w:kern w:val="2"/>
          <w:sz w:val="24"/>
          <w:szCs w:val="24"/>
          <w:highlight w:val="none"/>
          <w:lang w:val="en-US" w:eastAsia="zh-CN" w:bidi="ar-SA"/>
        </w:rPr>
        <w:t>4、《中标通知书》对招标人和中标人具有法律约束力。《中标通知书》发出后，如中标人因违反法律法规规定而中标无效的，应承担相应的法律责任，本次招标失败，应重新组织招标。</w:t>
      </w:r>
    </w:p>
    <w:p w14:paraId="4AE5C3B9">
      <w:pPr>
        <w:pStyle w:val="16"/>
        <w:snapToGrid w:val="0"/>
        <w:spacing w:before="120" w:beforeLines="0" w:after="120" w:afterLines="0" w:line="240" w:lineRule="auto"/>
        <w:rPr>
          <w:rFonts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lang w:val="en-US" w:eastAsia="zh-CN"/>
        </w:rPr>
        <w:t>八</w:t>
      </w:r>
      <w:r>
        <w:rPr>
          <w:rFonts w:ascii="宋体" w:hAnsi="宋体" w:eastAsia="宋体" w:cs="Times New Roman"/>
          <w:b/>
          <w:bCs/>
          <w:color w:val="auto"/>
          <w:sz w:val="30"/>
          <w:szCs w:val="30"/>
          <w:highlight w:val="none"/>
        </w:rPr>
        <w:t>、合同授予</w:t>
      </w:r>
    </w:p>
    <w:p w14:paraId="7B0881CC">
      <w:pPr>
        <w:spacing w:line="360" w:lineRule="auto"/>
        <w:ind w:firstLine="480" w:firstLineChars="200"/>
        <w:rPr>
          <w:rFonts w:hAnsi="宋体"/>
          <w:b/>
          <w:color w:val="auto"/>
          <w:sz w:val="30"/>
          <w:szCs w:val="30"/>
          <w:highlight w:val="none"/>
        </w:rPr>
      </w:pPr>
      <w:r>
        <w:rPr>
          <w:rFonts w:hint="eastAsia" w:ascii="宋体" w:hAnsi="宋体" w:cs="宋体"/>
          <w:b/>
          <w:color w:val="auto"/>
          <w:sz w:val="24"/>
          <w:highlight w:val="none"/>
          <w:lang w:bidi="ar"/>
        </w:rPr>
        <w:t>（一）签订合同</w:t>
      </w:r>
    </w:p>
    <w:p w14:paraId="4E8379E3">
      <w:pPr>
        <w:pStyle w:val="27"/>
        <w:spacing w:before="0" w:beforeAutospacing="0" w:after="0" w:afterAutospacing="0" w:line="360" w:lineRule="auto"/>
        <w:ind w:firstLine="600" w:firstLineChars="250"/>
        <w:jc w:val="both"/>
        <w:rPr>
          <w:color w:val="auto"/>
          <w:highlight w:val="none"/>
        </w:rPr>
      </w:pPr>
      <w:r>
        <w:rPr>
          <w:color w:val="auto"/>
          <w:highlight w:val="none"/>
        </w:rPr>
        <w:t>1、</w:t>
      </w:r>
      <w:r>
        <w:rPr>
          <w:rFonts w:hint="eastAsia"/>
          <w:color w:val="auto"/>
          <w:highlight w:val="none"/>
          <w:lang w:val="en-US" w:eastAsia="zh-CN"/>
        </w:rPr>
        <w:t>招标</w:t>
      </w:r>
      <w:r>
        <w:rPr>
          <w:color w:val="auto"/>
          <w:highlight w:val="none"/>
        </w:rPr>
        <w:t>人应当自中标通知书发出之日起</w:t>
      </w:r>
      <w:r>
        <w:rPr>
          <w:b/>
          <w:bCs/>
          <w:color w:val="auto"/>
          <w:highlight w:val="none"/>
          <w:u w:val="single"/>
        </w:rPr>
        <w:t>30</w:t>
      </w:r>
      <w:r>
        <w:rPr>
          <w:color w:val="auto"/>
          <w:highlight w:val="none"/>
        </w:rPr>
        <w:t>日内，按照招标文件和中标人投标文件的规定，与中标人签订书面合同。所签订的合同不得对招标文件确定的事项和中标人投标文件作实质性修改。</w:t>
      </w:r>
    </w:p>
    <w:p w14:paraId="330F1854">
      <w:pPr>
        <w:pStyle w:val="27"/>
        <w:spacing w:before="0" w:beforeAutospacing="0" w:after="0" w:afterAutospacing="0" w:line="360" w:lineRule="auto"/>
        <w:ind w:firstLine="600" w:firstLineChars="250"/>
        <w:jc w:val="both"/>
        <w:rPr>
          <w:color w:val="auto"/>
          <w:highlight w:val="none"/>
        </w:rPr>
      </w:pPr>
      <w:r>
        <w:rPr>
          <w:color w:val="auto"/>
          <w:highlight w:val="none"/>
        </w:rPr>
        <w:t>2、</w:t>
      </w:r>
      <w:r>
        <w:rPr>
          <w:rFonts w:hint="eastAsia"/>
          <w:color w:val="auto"/>
          <w:highlight w:val="none"/>
          <w:lang w:val="en-US" w:eastAsia="zh-CN"/>
        </w:rPr>
        <w:t>招标</w:t>
      </w:r>
      <w:r>
        <w:rPr>
          <w:color w:val="auto"/>
          <w:highlight w:val="none"/>
        </w:rPr>
        <w:t>人不得向中标人提出任何不合理的要求作为签订合同的条件。</w:t>
      </w:r>
    </w:p>
    <w:p w14:paraId="489C4C88">
      <w:pPr>
        <w:pStyle w:val="27"/>
        <w:spacing w:before="0" w:beforeAutospacing="0" w:after="0" w:afterAutospacing="0" w:line="360" w:lineRule="auto"/>
        <w:ind w:firstLine="600" w:firstLineChars="250"/>
        <w:jc w:val="both"/>
        <w:rPr>
          <w:color w:val="auto"/>
          <w:highlight w:val="none"/>
        </w:rPr>
      </w:pPr>
      <w:r>
        <w:rPr>
          <w:color w:val="auto"/>
          <w:highlight w:val="none"/>
        </w:rPr>
        <w:t>3、中标</w:t>
      </w:r>
      <w:r>
        <w:rPr>
          <w:rFonts w:hint="eastAsia"/>
          <w:color w:val="auto"/>
          <w:highlight w:val="none"/>
          <w:lang w:eastAsia="zh-CN"/>
        </w:rPr>
        <w:t>人</w:t>
      </w:r>
      <w:r>
        <w:rPr>
          <w:color w:val="auto"/>
          <w:highlight w:val="none"/>
        </w:rPr>
        <w:t>无故拖延、拒签合同的,投标保证金将不予退回并取消中标资格。</w:t>
      </w:r>
    </w:p>
    <w:p w14:paraId="658B6FA1">
      <w:pPr>
        <w:pStyle w:val="27"/>
        <w:spacing w:before="0" w:beforeAutospacing="0" w:after="0" w:afterAutospacing="0" w:line="360" w:lineRule="auto"/>
        <w:ind w:firstLine="600" w:firstLineChars="250"/>
        <w:jc w:val="both"/>
        <w:rPr>
          <w:color w:val="auto"/>
          <w:sz w:val="24"/>
          <w:szCs w:val="24"/>
          <w:highlight w:val="none"/>
        </w:rPr>
      </w:pPr>
      <w:r>
        <w:rPr>
          <w:color w:val="auto"/>
          <w:highlight w:val="none"/>
        </w:rPr>
        <w:t>4、中标</w:t>
      </w:r>
      <w:r>
        <w:rPr>
          <w:rFonts w:hint="eastAsia"/>
          <w:color w:val="auto"/>
          <w:highlight w:val="none"/>
          <w:lang w:eastAsia="zh-CN"/>
        </w:rPr>
        <w:t>人</w:t>
      </w:r>
      <w:r>
        <w:rPr>
          <w:color w:val="auto"/>
          <w:highlight w:val="none"/>
        </w:rPr>
        <w:t>拒绝与</w:t>
      </w:r>
      <w:r>
        <w:rPr>
          <w:rFonts w:hint="eastAsia"/>
          <w:color w:val="auto"/>
          <w:highlight w:val="none"/>
          <w:lang w:val="en-US" w:eastAsia="zh-CN"/>
        </w:rPr>
        <w:t>招标</w:t>
      </w:r>
      <w:r>
        <w:rPr>
          <w:color w:val="auto"/>
          <w:highlight w:val="none"/>
        </w:rPr>
        <w:t>人签订合同的，重新开展</w:t>
      </w:r>
      <w:r>
        <w:rPr>
          <w:rFonts w:hint="eastAsia"/>
          <w:color w:val="auto"/>
          <w:highlight w:val="none"/>
          <w:lang w:val="en-US" w:eastAsia="zh-CN"/>
        </w:rPr>
        <w:t>招标</w:t>
      </w:r>
      <w:r>
        <w:rPr>
          <w:color w:val="auto"/>
          <w:highlight w:val="none"/>
        </w:rPr>
        <w:t>活动。</w:t>
      </w:r>
    </w:p>
    <w:p w14:paraId="582ED94D">
      <w:pPr>
        <w:numPr>
          <w:ilvl w:val="0"/>
          <w:numId w:val="0"/>
        </w:numPr>
        <w:tabs>
          <w:tab w:val="left" w:pos="0"/>
        </w:tabs>
        <w:spacing w:line="360" w:lineRule="auto"/>
        <w:ind w:left="0" w:leftChars="0" w:firstLine="0" w:firstLineChars="0"/>
        <w:jc w:val="center"/>
        <w:rPr>
          <w:rFonts w:hint="eastAsia" w:ascii="宋体"/>
          <w:b/>
          <w:color w:val="auto"/>
          <w:sz w:val="36"/>
          <w:szCs w:val="36"/>
          <w:highlight w:val="none"/>
        </w:rPr>
      </w:pPr>
      <w:r>
        <w:rPr>
          <w:color w:val="auto"/>
          <w:sz w:val="24"/>
          <w:szCs w:val="24"/>
          <w:highlight w:val="none"/>
        </w:rPr>
        <w:br w:type="page"/>
      </w:r>
      <w:bookmarkStart w:id="19" w:name="_Toc28048_WPSOffice_Level1"/>
      <w:r>
        <w:rPr>
          <w:rFonts w:hint="eastAsia" w:ascii="宋体" w:cs="Times New Roman"/>
          <w:b/>
          <w:color w:val="auto"/>
          <w:kern w:val="2"/>
          <w:sz w:val="36"/>
          <w:szCs w:val="36"/>
          <w:highlight w:val="none"/>
          <w:lang w:val="en-US" w:eastAsia="zh-CN" w:bidi="ar-SA"/>
        </w:rPr>
        <w:t xml:space="preserve">第三章 </w:t>
      </w:r>
      <w:r>
        <w:rPr>
          <w:rFonts w:hint="eastAsia" w:ascii="宋体"/>
          <w:b/>
          <w:color w:val="auto"/>
          <w:sz w:val="36"/>
          <w:szCs w:val="36"/>
          <w:highlight w:val="none"/>
        </w:rPr>
        <w:t>公开招标需求</w:t>
      </w:r>
      <w:bookmarkEnd w:id="19"/>
    </w:p>
    <w:p w14:paraId="1EE6A126">
      <w:pPr>
        <w:spacing w:line="480" w:lineRule="exact"/>
        <w:ind w:firstLine="315" w:firstLineChars="150"/>
        <w:outlineLvl w:val="1"/>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一、项目简介</w:t>
      </w:r>
    </w:p>
    <w:p w14:paraId="6254256A">
      <w:pPr>
        <w:spacing w:line="500" w:lineRule="exact"/>
        <w:ind w:firstLine="356"/>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本项目为台州湾陆岛联动综合码头工程（一期）</w:t>
      </w:r>
      <w:r>
        <w:rPr>
          <w:rFonts w:hint="eastAsia" w:ascii="宋体" w:hAnsi="宋体" w:eastAsia="宋体"/>
          <w:color w:val="auto"/>
          <w:sz w:val="21"/>
          <w:szCs w:val="21"/>
          <w:highlight w:val="none"/>
          <w:lang w:eastAsia="zh-CN"/>
        </w:rPr>
        <w:t>建筑工程一切险</w:t>
      </w:r>
      <w:r>
        <w:rPr>
          <w:rFonts w:hint="eastAsia" w:ascii="宋体" w:hAnsi="宋体" w:eastAsia="宋体"/>
          <w:color w:val="auto"/>
          <w:sz w:val="21"/>
          <w:szCs w:val="21"/>
          <w:highlight w:val="none"/>
        </w:rPr>
        <w:t>及安全生产责任险保险</w:t>
      </w:r>
      <w:r>
        <w:rPr>
          <w:rFonts w:hint="eastAsia" w:ascii="宋体" w:hAnsi="宋体" w:eastAsia="宋体"/>
          <w:color w:val="auto"/>
          <w:sz w:val="21"/>
          <w:szCs w:val="21"/>
          <w:highlight w:val="none"/>
          <w:lang w:eastAsia="zh-CN"/>
        </w:rPr>
        <w:t>报务。</w:t>
      </w:r>
    </w:p>
    <w:p w14:paraId="57908C2F">
      <w:pPr>
        <w:spacing w:line="480" w:lineRule="exact"/>
        <w:ind w:firstLine="315" w:firstLineChars="15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二、服务内容及服务期</w:t>
      </w:r>
    </w:p>
    <w:p w14:paraId="47F77773">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1、本项目保险服务内容及范围：</w:t>
      </w:r>
    </w:p>
    <w:p w14:paraId="784EA00B">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本次招标的台州湾陆岛联动综合码头工程（一期）</w:t>
      </w:r>
      <w:r>
        <w:rPr>
          <w:rFonts w:hint="eastAsia" w:ascii="宋体" w:hAnsi="宋体" w:eastAsia="宋体"/>
          <w:color w:val="auto"/>
          <w:sz w:val="21"/>
          <w:szCs w:val="21"/>
          <w:highlight w:val="none"/>
          <w:lang w:eastAsia="zh-CN" w:bidi="ar"/>
        </w:rPr>
        <w:t>建筑工程一切险</w:t>
      </w:r>
      <w:r>
        <w:rPr>
          <w:rFonts w:hint="eastAsia" w:ascii="宋体" w:hAnsi="宋体" w:eastAsia="宋体"/>
          <w:color w:val="auto"/>
          <w:sz w:val="21"/>
          <w:szCs w:val="21"/>
          <w:highlight w:val="none"/>
          <w:lang w:bidi="ar"/>
        </w:rPr>
        <w:t>及安全生产责任险保险。</w:t>
      </w:r>
    </w:p>
    <w:p w14:paraId="067B8CED">
      <w:pPr>
        <w:adjustRightInd w:val="0"/>
        <w:snapToGrid w:val="0"/>
        <w:spacing w:line="440" w:lineRule="exact"/>
        <w:ind w:firstLine="356"/>
        <w:rPr>
          <w:rFonts w:hint="eastAsia" w:ascii="宋体" w:hAnsi="宋体" w:eastAsia="宋体"/>
          <w:color w:val="auto"/>
          <w:sz w:val="21"/>
          <w:szCs w:val="21"/>
          <w:highlight w:val="none"/>
          <w:lang w:eastAsia="zh-CN" w:bidi="ar"/>
        </w:rPr>
      </w:pPr>
      <w:r>
        <w:rPr>
          <w:rFonts w:hint="eastAsia" w:ascii="宋体" w:hAnsi="宋体" w:eastAsia="宋体"/>
          <w:color w:val="auto"/>
          <w:sz w:val="21"/>
          <w:szCs w:val="21"/>
          <w:highlight w:val="none"/>
          <w:lang w:bidi="ar"/>
        </w:rPr>
        <w:t>建筑工程施工：码头及引桥（包括客运泊位、滚装泊位、通用泊位一期工程即第一至第四结构段、长约5.5km的引桥）、引桥亮化美化工程、交通安全设施、生产辅助建筑物及配套工程（给排水、消防、供电、照明、节能、控制、通信等）、疏浚工程、大桥被动防碰撞设施、导助航工程等实施、完成及缺陷修复（不包括装卸工艺、滚装泊位的钢吊桥系统、水上监控预警系统、大桥主动防碰撞系统）。</w:t>
      </w:r>
      <w:r>
        <w:rPr>
          <w:rFonts w:hint="eastAsia" w:ascii="宋体" w:hAnsi="宋体" w:eastAsia="宋体"/>
          <w:color w:val="auto"/>
          <w:sz w:val="21"/>
          <w:szCs w:val="21"/>
          <w:highlight w:val="none"/>
          <w:lang w:val="en-US" w:eastAsia="zh-CN" w:bidi="ar"/>
        </w:rPr>
        <w:t>本项目</w:t>
      </w:r>
      <w:r>
        <w:rPr>
          <w:rFonts w:hint="eastAsia" w:ascii="宋体" w:hAnsi="宋体" w:eastAsia="宋体"/>
          <w:color w:val="auto"/>
          <w:sz w:val="21"/>
          <w:szCs w:val="21"/>
          <w:highlight w:val="none"/>
          <w:lang w:bidi="ar"/>
        </w:rPr>
        <w:t>含甲供材料运输及安装</w:t>
      </w:r>
      <w:r>
        <w:rPr>
          <w:rFonts w:hint="eastAsia" w:ascii="宋体" w:hAnsi="宋体" w:eastAsia="宋体"/>
          <w:color w:val="auto"/>
          <w:sz w:val="21"/>
          <w:szCs w:val="21"/>
          <w:highlight w:val="none"/>
          <w:lang w:eastAsia="zh-CN" w:bidi="ar"/>
        </w:rPr>
        <w:t>。</w:t>
      </w:r>
    </w:p>
    <w:p w14:paraId="241A8691">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2、服务期限</w:t>
      </w:r>
    </w:p>
    <w:p w14:paraId="564B9B43">
      <w:pPr>
        <w:spacing w:line="360" w:lineRule="auto"/>
        <w:ind w:firstLine="420" w:firstLineChars="200"/>
        <w:rPr>
          <w:rFonts w:hint="eastAsia" w:ascii="宋体" w:cs="宋体"/>
          <w:b/>
          <w:bCs/>
          <w:color w:val="auto"/>
          <w:sz w:val="24"/>
          <w:highlight w:val="none"/>
          <w:lang w:val="en-US" w:eastAsia="zh-CN"/>
        </w:rPr>
      </w:pPr>
      <w:r>
        <w:rPr>
          <w:rFonts w:hint="eastAsia" w:eastAsia="宋体" w:cs="宋体"/>
          <w:bCs/>
          <w:color w:val="auto"/>
          <w:sz w:val="21"/>
          <w:szCs w:val="21"/>
          <w:highlight w:val="none"/>
        </w:rPr>
        <w:t>（</w:t>
      </w:r>
      <w:r>
        <w:rPr>
          <w:rFonts w:hint="eastAsia" w:eastAsia="宋体" w:cs="宋体"/>
          <w:bCs/>
          <w:color w:val="auto"/>
          <w:sz w:val="21"/>
          <w:szCs w:val="21"/>
          <w:highlight w:val="none"/>
          <w:lang w:val="en-US" w:eastAsia="zh-CN"/>
        </w:rPr>
        <w:t>1</w:t>
      </w:r>
      <w:r>
        <w:rPr>
          <w:rFonts w:hint="eastAsia" w:eastAsia="宋体" w:cs="宋体"/>
          <w:bCs/>
          <w:color w:val="auto"/>
          <w:sz w:val="21"/>
          <w:szCs w:val="21"/>
          <w:highlight w:val="none"/>
        </w:rPr>
        <w:t>）</w:t>
      </w:r>
      <w:r>
        <w:rPr>
          <w:rFonts w:hint="eastAsia" w:ascii="宋体" w:cs="宋体"/>
          <w:b/>
          <w:bCs/>
          <w:color w:val="auto"/>
          <w:sz w:val="24"/>
          <w:highlight w:val="none"/>
          <w:lang w:val="en-US" w:eastAsia="zh-CN"/>
        </w:rPr>
        <w:t>建筑工程一切险及安全生产责任险保险期限：</w:t>
      </w:r>
    </w:p>
    <w:p w14:paraId="37D886CF">
      <w:pPr>
        <w:spacing w:line="360" w:lineRule="auto"/>
        <w:ind w:firstLine="480" w:firstLineChars="200"/>
        <w:rPr>
          <w:rFonts w:hint="eastAsia" w:ascii="宋体" w:hAnsi="Times New Roman" w:eastAsia="宋体" w:cs="宋体"/>
          <w:b/>
          <w:bCs/>
          <w:color w:val="auto"/>
          <w:sz w:val="24"/>
          <w:highlight w:val="none"/>
          <w:lang w:val="en-US" w:eastAsia="zh-CN"/>
        </w:rPr>
      </w:pPr>
      <w:r>
        <w:rPr>
          <w:rFonts w:hint="eastAsia" w:ascii="宋体" w:cs="宋体"/>
          <w:b/>
          <w:bCs/>
          <w:color w:val="auto"/>
          <w:sz w:val="24"/>
          <w:highlight w:val="none"/>
          <w:lang w:val="en-US" w:eastAsia="zh-CN"/>
        </w:rPr>
        <w:t>自本保险合同签订之日起至本工程竣工验收合格之日止，保险服务期为30个月。如遇工期延期，本保险期限将免费延期12个月，且不加收任何附加保险费，被保险人须提前30天通知保险人。如在免费延期12个月后仍未完工，投保人在缴纳本保险合同项下按日比例计算的保险费后，保险期限可以继续延长。超过12个月部分的保费=本项目建筑工程一切险保险金额（815892366元）×（建筑工程一切险保</w:t>
      </w:r>
      <w:r>
        <w:rPr>
          <w:rFonts w:hint="eastAsia" w:ascii="宋体" w:hAnsi="Times New Roman" w:eastAsia="宋体" w:cs="宋体"/>
          <w:b/>
          <w:bCs/>
          <w:color w:val="auto"/>
          <w:sz w:val="24"/>
          <w:highlight w:val="none"/>
          <w:lang w:val="en-US" w:eastAsia="zh-CN"/>
        </w:rPr>
        <w:t>险费率+安全生产责任险</w:t>
      </w:r>
      <w:r>
        <w:rPr>
          <w:rFonts w:hint="eastAsia" w:ascii="宋体" w:cs="宋体"/>
          <w:b/>
          <w:bCs/>
          <w:color w:val="auto"/>
          <w:sz w:val="24"/>
          <w:highlight w:val="none"/>
          <w:lang w:val="en-US" w:eastAsia="zh-CN"/>
        </w:rPr>
        <w:t>保</w:t>
      </w:r>
      <w:r>
        <w:rPr>
          <w:rFonts w:hint="eastAsia" w:ascii="宋体" w:hAnsi="Times New Roman" w:eastAsia="宋体" w:cs="宋体"/>
          <w:b/>
          <w:bCs/>
          <w:color w:val="auto"/>
          <w:sz w:val="24"/>
          <w:highlight w:val="none"/>
          <w:lang w:val="en-US" w:eastAsia="zh-CN"/>
        </w:rPr>
        <w:t>险费率）×（延期时间-365天）/900天。</w:t>
      </w:r>
    </w:p>
    <w:p w14:paraId="410C43D4">
      <w:pPr>
        <w:spacing w:line="360" w:lineRule="auto"/>
        <w:ind w:firstLine="420" w:firstLineChars="200"/>
        <w:rPr>
          <w:rFonts w:eastAsia="宋体" w:cs="宋体"/>
          <w:bCs/>
          <w:color w:val="auto"/>
          <w:sz w:val="21"/>
          <w:szCs w:val="21"/>
          <w:highlight w:val="none"/>
        </w:rPr>
      </w:pPr>
      <w:r>
        <w:rPr>
          <w:rFonts w:hint="eastAsia" w:eastAsia="宋体" w:cs="宋体"/>
          <w:bCs/>
          <w:color w:val="auto"/>
          <w:sz w:val="21"/>
          <w:szCs w:val="21"/>
          <w:highlight w:val="none"/>
        </w:rPr>
        <w:t>（</w:t>
      </w:r>
      <w:r>
        <w:rPr>
          <w:rFonts w:hint="eastAsia" w:eastAsia="宋体" w:cs="宋体"/>
          <w:bCs/>
          <w:color w:val="auto"/>
          <w:sz w:val="21"/>
          <w:szCs w:val="21"/>
          <w:highlight w:val="none"/>
          <w:lang w:val="en-US" w:eastAsia="zh-CN"/>
        </w:rPr>
        <w:t>2</w:t>
      </w:r>
      <w:r>
        <w:rPr>
          <w:rFonts w:hint="eastAsia" w:eastAsia="宋体" w:cs="宋体"/>
          <w:bCs/>
          <w:color w:val="auto"/>
          <w:sz w:val="21"/>
          <w:szCs w:val="21"/>
          <w:highlight w:val="none"/>
        </w:rPr>
        <w:t>）</w:t>
      </w:r>
      <w:r>
        <w:rPr>
          <w:rFonts w:hint="eastAsia" w:eastAsia="宋体" w:cs="宋体"/>
          <w:bCs/>
          <w:color w:val="auto"/>
          <w:sz w:val="21"/>
          <w:szCs w:val="21"/>
          <w:highlight w:val="none"/>
          <w:lang w:eastAsia="zh-CN"/>
        </w:rPr>
        <w:t>建筑工程一切险</w:t>
      </w:r>
      <w:r>
        <w:rPr>
          <w:rFonts w:hint="eastAsia" w:eastAsia="宋体" w:cs="宋体"/>
          <w:bCs/>
          <w:color w:val="auto"/>
          <w:sz w:val="21"/>
          <w:szCs w:val="21"/>
          <w:highlight w:val="none"/>
        </w:rPr>
        <w:t>及安全生产责任险保证期：</w:t>
      </w:r>
    </w:p>
    <w:p w14:paraId="296DC29D">
      <w:pPr>
        <w:adjustRightInd w:val="0"/>
        <w:snapToGrid w:val="0"/>
        <w:spacing w:line="440" w:lineRule="exact"/>
        <w:ind w:firstLine="420" w:firstLineChars="200"/>
        <w:rPr>
          <w:rFonts w:hint="eastAsia" w:eastAsia="宋体" w:cs="宋体"/>
          <w:bCs/>
          <w:color w:val="auto"/>
          <w:sz w:val="21"/>
          <w:szCs w:val="21"/>
          <w:highlight w:val="none"/>
        </w:rPr>
      </w:pPr>
      <w:r>
        <w:rPr>
          <w:rFonts w:hint="eastAsia" w:eastAsia="宋体" w:cs="宋体"/>
          <w:bCs/>
          <w:color w:val="auto"/>
          <w:sz w:val="21"/>
          <w:szCs w:val="21"/>
          <w:highlight w:val="none"/>
        </w:rPr>
        <w:t>本工程竣工验收合格之日起至本工程缺陷责任期终止证书颁发之日止，预计</w:t>
      </w:r>
      <w:r>
        <w:rPr>
          <w:rFonts w:hint="eastAsia" w:eastAsia="宋体" w:cs="宋体"/>
          <w:bCs/>
          <w:color w:val="auto"/>
          <w:sz w:val="21"/>
          <w:szCs w:val="21"/>
          <w:highlight w:val="none"/>
          <w:lang w:val="en-US" w:eastAsia="zh-CN"/>
        </w:rPr>
        <w:t>12</w:t>
      </w:r>
      <w:r>
        <w:rPr>
          <w:rFonts w:hint="eastAsia" w:eastAsia="宋体" w:cs="宋体"/>
          <w:bCs/>
          <w:color w:val="auto"/>
          <w:sz w:val="21"/>
          <w:szCs w:val="21"/>
          <w:highlight w:val="none"/>
        </w:rPr>
        <w:t>个月。如遇工期延期，则保证期相应顺延。</w:t>
      </w:r>
    </w:p>
    <w:p w14:paraId="2320C659">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3、保险方案</w:t>
      </w:r>
    </w:p>
    <w:p w14:paraId="523511AB">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见第</w:t>
      </w:r>
      <w:r>
        <w:rPr>
          <w:rFonts w:hint="eastAsia" w:ascii="宋体" w:hAnsi="宋体" w:eastAsia="宋体"/>
          <w:color w:val="auto"/>
          <w:sz w:val="21"/>
          <w:szCs w:val="21"/>
          <w:highlight w:val="none"/>
          <w:lang w:val="en-US" w:eastAsia="zh-CN" w:bidi="ar"/>
        </w:rPr>
        <w:t>五</w:t>
      </w:r>
      <w:r>
        <w:rPr>
          <w:rFonts w:hint="eastAsia" w:ascii="宋体" w:hAnsi="宋体" w:eastAsia="宋体"/>
          <w:color w:val="auto"/>
          <w:sz w:val="21"/>
          <w:szCs w:val="21"/>
          <w:highlight w:val="none"/>
          <w:lang w:bidi="ar"/>
        </w:rPr>
        <w:t>章合同条款及格式。</w:t>
      </w:r>
    </w:p>
    <w:p w14:paraId="643D9976">
      <w:pPr>
        <w:spacing w:line="480" w:lineRule="exact"/>
        <w:ind w:firstLine="315" w:firstLineChars="15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三、其他要求</w:t>
      </w:r>
    </w:p>
    <w:p w14:paraId="3C37B2C9">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1、首席保险人为本项目的拟中标单位，全面负责一切对招标人之服务(包括承保、出单、 收取/划拨保险费、风险管控和理赔)和共保人协调工作。</w:t>
      </w:r>
    </w:p>
    <w:p w14:paraId="594251DD">
      <w:pPr>
        <w:adjustRightInd w:val="0"/>
        <w:snapToGrid w:val="0"/>
        <w:spacing w:line="440" w:lineRule="exact"/>
        <w:ind w:firstLine="356"/>
        <w:rPr>
          <w:rFonts w:hint="eastAsia" w:ascii="宋体" w:hAnsi="宋体" w:eastAsia="宋体"/>
          <w:color w:val="auto"/>
          <w:sz w:val="21"/>
          <w:szCs w:val="21"/>
          <w:highlight w:val="none"/>
          <w:lang w:bidi="ar"/>
        </w:rPr>
      </w:pPr>
      <w:r>
        <w:rPr>
          <w:rFonts w:hint="eastAsia" w:ascii="宋体" w:hAnsi="宋体" w:eastAsia="宋体"/>
          <w:color w:val="auto"/>
          <w:sz w:val="21"/>
          <w:szCs w:val="21"/>
          <w:highlight w:val="none"/>
          <w:lang w:bidi="ar"/>
        </w:rPr>
        <w:t>本保险合同项下的保险由首席保险人和各共同保险人按比例共同承保， 一旦发生保险事 故， 首先由首席保险人无条件优先履行全部赔偿， 首席保险人对共同保险人享有请求权。各 保险人承担的保险责任， 按各保险人承保比例计算。保险费、赔款和共保各方共同确定的费 用支出由共保各方按共保比例分享和承担。首席保险人具体负责与投保人的联系以及办理承 保、防灾、理赔(包括确定赔偿金额) 等保险事务， 共同保险人有权参与上述事务。若共保 人意见不同的，以首席保险人的意见为准， 作为保险人的最终意见。若共保人之间产生争议的，其他各方概不负责。</w:t>
      </w:r>
    </w:p>
    <w:p w14:paraId="08E1457F">
      <w:pPr>
        <w:spacing w:line="360" w:lineRule="auto"/>
        <w:rPr>
          <w:rFonts w:hint="eastAsia" w:ascii="宋体" w:cs="宋体"/>
          <w:color w:val="auto"/>
          <w:sz w:val="21"/>
          <w:szCs w:val="21"/>
          <w:highlight w:val="none"/>
        </w:rPr>
      </w:pPr>
    </w:p>
    <w:p w14:paraId="438336E9">
      <w:pPr>
        <w:numPr>
          <w:ilvl w:val="0"/>
          <w:numId w:val="0"/>
        </w:numPr>
        <w:tabs>
          <w:tab w:val="left" w:pos="0"/>
        </w:tabs>
        <w:spacing w:line="360" w:lineRule="auto"/>
        <w:ind w:left="0" w:leftChars="0" w:firstLine="0" w:firstLineChars="0"/>
        <w:jc w:val="center"/>
        <w:rPr>
          <w:rFonts w:hint="eastAsia" w:ascii="宋体" w:hAnsi="Times New Roman" w:eastAsia="宋体" w:cs="Times New Roman"/>
          <w:b/>
          <w:color w:val="auto"/>
          <w:kern w:val="2"/>
          <w:sz w:val="36"/>
          <w:szCs w:val="36"/>
          <w:highlight w:val="none"/>
          <w:lang w:val="en-US" w:eastAsia="zh-CN" w:bidi="ar-SA"/>
        </w:rPr>
      </w:pPr>
    </w:p>
    <w:p w14:paraId="4C480248">
      <w:pPr>
        <w:numPr>
          <w:ilvl w:val="0"/>
          <w:numId w:val="0"/>
        </w:numPr>
        <w:tabs>
          <w:tab w:val="left" w:pos="0"/>
        </w:tabs>
        <w:spacing w:line="360" w:lineRule="auto"/>
        <w:ind w:left="0" w:leftChars="0" w:firstLine="0" w:firstLineChars="0"/>
        <w:jc w:val="center"/>
        <w:rPr>
          <w:rFonts w:hint="eastAsia" w:ascii="宋体" w:hAnsi="Times New Roman" w:eastAsia="宋体" w:cs="Times New Roman"/>
          <w:b/>
          <w:color w:val="auto"/>
          <w:kern w:val="2"/>
          <w:sz w:val="36"/>
          <w:szCs w:val="36"/>
          <w:highlight w:val="none"/>
          <w:lang w:val="en-US" w:eastAsia="zh-CN" w:bidi="ar-SA"/>
        </w:rPr>
      </w:pPr>
    </w:p>
    <w:p w14:paraId="44652FBF">
      <w:pPr>
        <w:rPr>
          <w:rFonts w:hint="eastAsia"/>
          <w:color w:val="auto"/>
          <w:highlight w:val="none"/>
          <w:lang w:val="en-US" w:eastAsia="zh-CN"/>
        </w:rPr>
      </w:pPr>
    </w:p>
    <w:p w14:paraId="352A6F03">
      <w:pPr>
        <w:rPr>
          <w:rFonts w:hint="eastAsia"/>
          <w:color w:val="auto"/>
          <w:highlight w:val="none"/>
          <w:lang w:val="en-US" w:eastAsia="zh-CN"/>
        </w:rPr>
      </w:pPr>
    </w:p>
    <w:p w14:paraId="7F32A2DB">
      <w:pPr>
        <w:rPr>
          <w:rFonts w:hint="eastAsia"/>
          <w:color w:val="auto"/>
          <w:highlight w:val="none"/>
          <w:lang w:val="en-US" w:eastAsia="zh-CN"/>
        </w:rPr>
      </w:pPr>
    </w:p>
    <w:p w14:paraId="5F27863D">
      <w:pPr>
        <w:rPr>
          <w:rFonts w:hint="eastAsia"/>
          <w:color w:val="auto"/>
          <w:highlight w:val="none"/>
          <w:lang w:val="en-US" w:eastAsia="zh-CN"/>
        </w:rPr>
      </w:pPr>
    </w:p>
    <w:p w14:paraId="796E5697">
      <w:pPr>
        <w:rPr>
          <w:rFonts w:hint="eastAsia"/>
          <w:color w:val="auto"/>
          <w:highlight w:val="none"/>
          <w:lang w:val="en-US" w:eastAsia="zh-CN"/>
        </w:rPr>
      </w:pPr>
    </w:p>
    <w:p w14:paraId="2E6C0276">
      <w:pPr>
        <w:rPr>
          <w:rFonts w:hint="eastAsia"/>
          <w:color w:val="auto"/>
          <w:highlight w:val="none"/>
          <w:lang w:val="en-US" w:eastAsia="zh-CN"/>
        </w:rPr>
      </w:pPr>
    </w:p>
    <w:p w14:paraId="23B65BD1">
      <w:pPr>
        <w:numPr>
          <w:ilvl w:val="0"/>
          <w:numId w:val="0"/>
        </w:numPr>
        <w:tabs>
          <w:tab w:val="left" w:pos="0"/>
        </w:tabs>
        <w:spacing w:line="360" w:lineRule="auto"/>
        <w:ind w:left="0" w:leftChars="0" w:firstLine="0" w:firstLineChars="0"/>
        <w:jc w:val="center"/>
        <w:rPr>
          <w:rFonts w:hint="eastAsia" w:ascii="宋体" w:hAnsi="Times New Roman" w:eastAsia="宋体" w:cs="Times New Roman"/>
          <w:b/>
          <w:color w:val="auto"/>
          <w:kern w:val="2"/>
          <w:sz w:val="36"/>
          <w:szCs w:val="36"/>
          <w:highlight w:val="none"/>
          <w:lang w:val="en-US" w:eastAsia="zh-CN" w:bidi="ar-SA"/>
        </w:rPr>
        <w:sectPr>
          <w:headerReference r:id="rId8" w:type="default"/>
          <w:footerReference r:id="rId9" w:type="default"/>
          <w:pgSz w:w="11906" w:h="16838"/>
          <w:pgMar w:top="1440" w:right="1800" w:bottom="1440" w:left="1800" w:header="851" w:footer="992" w:gutter="0"/>
          <w:pgNumType w:fmt="numberInDash"/>
          <w:cols w:space="720" w:num="1"/>
          <w:docGrid w:type="lines" w:linePitch="312" w:charSpace="0"/>
        </w:sectPr>
      </w:pPr>
    </w:p>
    <w:p w14:paraId="51571396">
      <w:pPr>
        <w:numPr>
          <w:ilvl w:val="0"/>
          <w:numId w:val="0"/>
        </w:numPr>
        <w:tabs>
          <w:tab w:val="left" w:pos="0"/>
        </w:tabs>
        <w:spacing w:line="360" w:lineRule="auto"/>
        <w:ind w:left="0" w:leftChars="0" w:firstLine="0" w:firstLineChars="0"/>
        <w:jc w:val="center"/>
        <w:rPr>
          <w:rFonts w:hint="eastAsia" w:ascii="宋体" w:hAnsi="Times New Roman" w:eastAsia="宋体" w:cs="Times New Roman"/>
          <w:b/>
          <w:color w:val="auto"/>
          <w:sz w:val="36"/>
          <w:szCs w:val="36"/>
          <w:highlight w:val="none"/>
        </w:rPr>
      </w:pPr>
      <w:bookmarkStart w:id="20" w:name="_Toc29458_WPSOffice_Level1"/>
      <w:r>
        <w:rPr>
          <w:rFonts w:hint="eastAsia" w:ascii="宋体" w:hAnsi="Times New Roman" w:eastAsia="宋体" w:cs="Times New Roman"/>
          <w:b/>
          <w:color w:val="auto"/>
          <w:kern w:val="2"/>
          <w:sz w:val="36"/>
          <w:szCs w:val="36"/>
          <w:highlight w:val="none"/>
          <w:lang w:val="en-US" w:eastAsia="zh-CN" w:bidi="ar-SA"/>
        </w:rPr>
        <w:t xml:space="preserve">第四章 </w:t>
      </w:r>
      <w:r>
        <w:rPr>
          <w:rFonts w:hint="eastAsia" w:ascii="宋体" w:hAnsi="Times New Roman" w:eastAsia="宋体" w:cs="Times New Roman"/>
          <w:b/>
          <w:color w:val="auto"/>
          <w:sz w:val="36"/>
          <w:szCs w:val="36"/>
          <w:highlight w:val="none"/>
        </w:rPr>
        <w:t>评标办法及评分标准</w:t>
      </w:r>
      <w:bookmarkEnd w:id="20"/>
    </w:p>
    <w:p w14:paraId="04E77885">
      <w:pPr>
        <w:spacing w:before="120" w:beforeLines="50" w:after="120" w:afterLines="50" w:line="360" w:lineRule="auto"/>
        <w:rPr>
          <w:rFonts w:hint="eastAsia" w:ascii="宋体" w:hAnsi="宋体" w:cs="宋体"/>
          <w:b/>
          <w:color w:val="auto"/>
          <w:sz w:val="24"/>
          <w:highlight w:val="none"/>
        </w:rPr>
      </w:pPr>
      <w:r>
        <w:rPr>
          <w:rFonts w:hint="eastAsia" w:ascii="宋体" w:hAnsi="宋体" w:cs="宋体"/>
          <w:b/>
          <w:color w:val="auto"/>
          <w:sz w:val="24"/>
          <w:highlight w:val="none"/>
        </w:rPr>
        <w:t>一、总则</w:t>
      </w:r>
    </w:p>
    <w:p w14:paraId="6C6A7EB9">
      <w:pPr>
        <w:spacing w:before="156" w:beforeLines="50" w:after="156" w:afterLines="50"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评标工作应遵循公开、公平、公正、科学、择优原则，科学、严谨的态度，认真进行评标，推进技术进步，确保服务质量，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3D44E316">
      <w:pPr>
        <w:numPr>
          <w:ilvl w:val="0"/>
          <w:numId w:val="7"/>
        </w:numPr>
        <w:spacing w:before="156" w:beforeLines="50" w:after="156" w:afterLines="50" w:line="360" w:lineRule="auto"/>
        <w:ind w:left="0" w:leftChars="0" w:firstLine="0" w:firstLineChars="0"/>
        <w:rPr>
          <w:rFonts w:hint="eastAsia" w:ascii="宋体" w:hAnsi="宋体" w:cs="宋体"/>
          <w:b/>
          <w:color w:val="auto"/>
          <w:sz w:val="24"/>
          <w:highlight w:val="none"/>
        </w:rPr>
      </w:pPr>
      <w:r>
        <w:rPr>
          <w:rFonts w:hint="eastAsia" w:ascii="宋体" w:hAnsi="宋体" w:cs="宋体"/>
          <w:b/>
          <w:color w:val="auto"/>
          <w:sz w:val="24"/>
          <w:highlight w:val="none"/>
        </w:rPr>
        <w:t>评标内容及标准</w:t>
      </w:r>
    </w:p>
    <w:p w14:paraId="30E2E8D1">
      <w:pPr>
        <w:snapToGrid w:val="0"/>
        <w:spacing w:line="360" w:lineRule="auto"/>
        <w:rPr>
          <w:rFonts w:hint="eastAsia" w:ascii="Times New Roman" w:hAnsi="Times New Roman" w:eastAsia="宋体" w:cs="Times New Roman"/>
          <w:b/>
          <w:bCs/>
          <w:color w:val="auto"/>
          <w:kern w:val="2"/>
          <w:sz w:val="24"/>
          <w:highlight w:val="none"/>
          <w:lang w:val="en-US" w:eastAsia="zh-CN"/>
        </w:rPr>
      </w:pPr>
      <w:r>
        <w:rPr>
          <w:rFonts w:hint="eastAsia" w:ascii="Times New Roman" w:hAnsi="Times New Roman" w:eastAsia="宋体" w:cs="Times New Roman"/>
          <w:b/>
          <w:bCs/>
          <w:color w:val="auto"/>
          <w:kern w:val="2"/>
          <w:sz w:val="24"/>
          <w:highlight w:val="none"/>
          <w:lang w:val="en-US" w:eastAsia="zh-CN"/>
        </w:rPr>
        <w:t>（一）资格审查</w:t>
      </w:r>
    </w:p>
    <w:p w14:paraId="4C3FAA05">
      <w:pPr>
        <w:pStyle w:val="28"/>
        <w:tabs>
          <w:tab w:val="left" w:pos="574"/>
        </w:tabs>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评标委员会按照招标文件载明的资格后审条款，对投标人的资格要求等进行审查，凡不符合资格后审要求的，以无效标处理，不再进入下一阶段评审。</w:t>
      </w:r>
    </w:p>
    <w:p w14:paraId="2C08CC08">
      <w:pPr>
        <w:numPr>
          <w:ilvl w:val="0"/>
          <w:numId w:val="0"/>
        </w:numPr>
        <w:snapToGrid w:val="0"/>
        <w:spacing w:line="360" w:lineRule="auto"/>
        <w:ind w:firstLine="480" w:firstLineChars="20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投标人不得存在下列情形之一： </w:t>
      </w:r>
    </w:p>
    <w:p w14:paraId="059842AD">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（1）为本项目提供招标代理服务的； </w:t>
      </w:r>
    </w:p>
    <w:p w14:paraId="6CD878EA">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（2）为本项目的代建人； </w:t>
      </w:r>
    </w:p>
    <w:p w14:paraId="4E967B06">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（3）与本项目的代建人或招标代理机构同为一个法定代表人的； </w:t>
      </w:r>
    </w:p>
    <w:p w14:paraId="2FA71AFC">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（4）与本项目的代建人或招标代理机构相互任职或工作的； </w:t>
      </w:r>
    </w:p>
    <w:p w14:paraId="681ABFDC">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（5）与本项目的代建人或招标代理机构相互控股或参股的； </w:t>
      </w:r>
    </w:p>
    <w:p w14:paraId="79A609E9">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（6）被责令停业的； </w:t>
      </w:r>
    </w:p>
    <w:p w14:paraId="65A98055">
      <w:pPr>
        <w:numPr>
          <w:ilvl w:val="0"/>
          <w:numId w:val="0"/>
        </w:numPr>
        <w:snapToGrid w:val="0"/>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 xml:space="preserve">（7）被暂停或取消投标资格的（包括投标人、项目负责人）； </w:t>
      </w:r>
    </w:p>
    <w:p w14:paraId="5CB2BB4A">
      <w:pPr>
        <w:numPr>
          <w:ilvl w:val="0"/>
          <w:numId w:val="0"/>
        </w:numPr>
        <w:snapToGrid w:val="0"/>
        <w:spacing w:line="360" w:lineRule="auto"/>
        <w:rPr>
          <w:rFonts w:hint="default" w:ascii="宋体" w:hAnsi="宋体" w:cs="宋体"/>
          <w:b/>
          <w:bCs/>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根据转发最高人民检察院国家发展改革委《关于在招标投标活动中全面开展行贿犯罪档案查询的通知》的通知（浙检发预字[2015]号）规定，投标人（包括法定代表人）和项目负责人其一有行贿犯罪记录的【由电子投标文件网上截止之日上溯3年，行贿犯罪记录日期以中国裁判文书网（http://wenshu.court.gov.cn/）查询结果为准】。</w:t>
      </w:r>
    </w:p>
    <w:p w14:paraId="334D1316">
      <w:pPr>
        <w:numPr>
          <w:ilvl w:val="0"/>
          <w:numId w:val="0"/>
        </w:numPr>
        <w:snapToGrid w:val="0"/>
        <w:spacing w:line="360" w:lineRule="auto"/>
        <w:rPr>
          <w:rFonts w:hint="eastAsia" w:ascii="宋体" w:hAnsi="宋体" w:cs="宋体"/>
          <w:b/>
          <w:bCs/>
          <w:color w:val="auto"/>
          <w:sz w:val="24"/>
          <w:highlight w:val="none"/>
          <w:lang w:eastAsia="zh-CN"/>
        </w:rPr>
      </w:pPr>
      <w:r>
        <w:rPr>
          <w:rFonts w:hint="eastAsia" w:ascii="宋体" w:hAnsi="宋体" w:cs="宋体"/>
          <w:b/>
          <w:bCs/>
          <w:color w:val="auto"/>
          <w:kern w:val="2"/>
          <w:sz w:val="24"/>
          <w:szCs w:val="24"/>
          <w:highlight w:val="none"/>
          <w:lang w:val="en-US" w:eastAsia="zh-CN" w:bidi="ar-SA"/>
        </w:rPr>
        <w:t>（二）</w:t>
      </w:r>
      <w:r>
        <w:rPr>
          <w:rFonts w:hint="eastAsia" w:ascii="宋体" w:hAnsi="宋体" w:cs="宋体"/>
          <w:b/>
          <w:bCs/>
          <w:color w:val="auto"/>
          <w:sz w:val="24"/>
          <w:highlight w:val="none"/>
          <w:lang w:val="en-US" w:eastAsia="zh-CN"/>
        </w:rPr>
        <w:t>资信技术标</w:t>
      </w:r>
      <w:r>
        <w:rPr>
          <w:rFonts w:hint="eastAsia" w:ascii="宋体" w:hAnsi="宋体" w:cs="宋体"/>
          <w:b/>
          <w:bCs/>
          <w:color w:val="auto"/>
          <w:sz w:val="24"/>
          <w:highlight w:val="none"/>
        </w:rPr>
        <w:t>评</w:t>
      </w:r>
      <w:r>
        <w:rPr>
          <w:rFonts w:hint="eastAsia" w:ascii="宋体" w:hAnsi="宋体" w:cs="宋体"/>
          <w:b/>
          <w:bCs/>
          <w:color w:val="auto"/>
          <w:sz w:val="24"/>
          <w:highlight w:val="none"/>
          <w:lang w:val="en-US" w:eastAsia="zh-CN"/>
        </w:rPr>
        <w:t>审</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40分</w:t>
      </w:r>
      <w:r>
        <w:rPr>
          <w:rFonts w:hint="eastAsia" w:ascii="宋体" w:hAnsi="宋体" w:cs="宋体"/>
          <w:b/>
          <w:bCs/>
          <w:color w:val="auto"/>
          <w:sz w:val="24"/>
          <w:highlight w:val="none"/>
          <w:lang w:eastAsia="zh-CN"/>
        </w:rPr>
        <w:t>）</w:t>
      </w:r>
    </w:p>
    <w:p w14:paraId="30C23DED">
      <w:pPr>
        <w:autoSpaceDE w:val="0"/>
        <w:autoSpaceDN w:val="0"/>
        <w:adjustRightInd w:val="0"/>
        <w:spacing w:line="360" w:lineRule="auto"/>
        <w:ind w:firstLine="360" w:firstLineChars="15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资信</w:t>
      </w:r>
      <w:r>
        <w:rPr>
          <w:rFonts w:hint="eastAsia" w:ascii="Times New Roman" w:hAnsi="Times New Roman" w:eastAsia="宋体" w:cs="Times New Roman"/>
          <w:color w:val="auto"/>
          <w:sz w:val="24"/>
          <w:highlight w:val="none"/>
        </w:rPr>
        <w:t>技术标评审（</w:t>
      </w:r>
      <w:r>
        <w:rPr>
          <w:rFonts w:hint="eastAsia" w:ascii="Times New Roman" w:hAnsi="Times New Roman" w:eastAsia="宋体" w:cs="Times New Roman"/>
          <w:color w:val="auto"/>
          <w:sz w:val="24"/>
          <w:highlight w:val="none"/>
          <w:lang w:val="en-US" w:eastAsia="zh-CN"/>
        </w:rPr>
        <w:t>40</w:t>
      </w:r>
      <w:r>
        <w:rPr>
          <w:rFonts w:hint="eastAsia" w:ascii="Times New Roman" w:hAnsi="Times New Roman" w:eastAsia="宋体" w:cs="Times New Roman"/>
          <w:color w:val="auto"/>
          <w:sz w:val="24"/>
          <w:highlight w:val="none"/>
        </w:rPr>
        <w:t>分）</w:t>
      </w:r>
    </w:p>
    <w:p w14:paraId="3CE523DC">
      <w:pPr>
        <w:autoSpaceDE w:val="0"/>
        <w:autoSpaceDN w:val="0"/>
        <w:adjustRightInd w:val="0"/>
        <w:spacing w:line="360" w:lineRule="auto"/>
        <w:ind w:firstLine="360" w:firstLineChars="150"/>
        <w:rPr>
          <w:rFonts w:ascii="宋体"/>
          <w:b/>
          <w:color w:val="auto"/>
          <w:kern w:val="0"/>
          <w:sz w:val="30"/>
          <w:highlight w:val="none"/>
        </w:rPr>
      </w:pPr>
      <w:r>
        <w:rPr>
          <w:rFonts w:hint="eastAsia" w:ascii="宋体" w:hAnsi="宋体"/>
          <w:color w:val="auto"/>
          <w:sz w:val="24"/>
          <w:highlight w:val="none"/>
          <w:lang w:val="en-US" w:eastAsia="zh-CN"/>
        </w:rPr>
        <w:t>资信</w:t>
      </w:r>
      <w:r>
        <w:rPr>
          <w:rFonts w:hint="eastAsia" w:ascii="宋体" w:hAnsi="宋体"/>
          <w:bCs/>
          <w:color w:val="auto"/>
          <w:sz w:val="24"/>
          <w:highlight w:val="none"/>
        </w:rPr>
        <w:t>技术标</w:t>
      </w:r>
      <w:r>
        <w:rPr>
          <w:rFonts w:hint="eastAsia"/>
          <w:color w:val="auto"/>
          <w:sz w:val="24"/>
          <w:highlight w:val="none"/>
        </w:rPr>
        <w:t>按照评标委员会成员的独立评分结果取平均值，为投标人的</w:t>
      </w:r>
      <w:r>
        <w:rPr>
          <w:rFonts w:hint="eastAsia" w:ascii="宋体" w:hAnsi="宋体"/>
          <w:color w:val="auto"/>
          <w:sz w:val="24"/>
          <w:highlight w:val="none"/>
          <w:lang w:val="en-US" w:eastAsia="zh-CN"/>
        </w:rPr>
        <w:t>资信</w:t>
      </w:r>
      <w:r>
        <w:rPr>
          <w:rFonts w:hint="eastAsia" w:ascii="宋体" w:hAnsi="宋体"/>
          <w:bCs/>
          <w:color w:val="auto"/>
          <w:sz w:val="24"/>
          <w:highlight w:val="none"/>
        </w:rPr>
        <w:t>技术标</w:t>
      </w:r>
      <w:r>
        <w:rPr>
          <w:rFonts w:hint="eastAsia"/>
          <w:color w:val="auto"/>
          <w:sz w:val="24"/>
          <w:highlight w:val="none"/>
        </w:rPr>
        <w:t>得分。（评委评分结果保留一位小数，每项平均值小数点后保留2位，第3位四舍五入）。</w:t>
      </w:r>
      <w:r>
        <w:rPr>
          <w:rFonts w:hint="eastAsia" w:ascii="宋体"/>
          <w:b/>
          <w:color w:val="auto"/>
          <w:kern w:val="0"/>
          <w:sz w:val="30"/>
          <w:highlight w:val="none"/>
        </w:rPr>
        <w:t xml:space="preserve"> </w:t>
      </w:r>
    </w:p>
    <w:p w14:paraId="4E952FE6">
      <w:pPr>
        <w:spacing w:line="360" w:lineRule="auto"/>
        <w:ind w:right="-275" w:rightChars="-131"/>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资信</w:t>
      </w:r>
      <w:r>
        <w:rPr>
          <w:rFonts w:hint="eastAsia" w:ascii="宋体" w:hAnsi="宋体"/>
          <w:bCs/>
          <w:color w:val="auto"/>
          <w:sz w:val="24"/>
          <w:highlight w:val="none"/>
        </w:rPr>
        <w:t>技术标内容缺项的，该项得0分，以下各项的总和为投标人的</w:t>
      </w:r>
      <w:r>
        <w:rPr>
          <w:rFonts w:hint="eastAsia" w:ascii="宋体" w:hAnsi="宋体"/>
          <w:color w:val="auto"/>
          <w:sz w:val="24"/>
          <w:highlight w:val="none"/>
          <w:lang w:val="en-US" w:eastAsia="zh-CN"/>
        </w:rPr>
        <w:t>资信</w:t>
      </w:r>
      <w:r>
        <w:rPr>
          <w:rFonts w:hint="eastAsia" w:ascii="宋体" w:hAnsi="宋体"/>
          <w:bCs/>
          <w:color w:val="auto"/>
          <w:sz w:val="24"/>
          <w:highlight w:val="none"/>
        </w:rPr>
        <w:t>技术标得分。</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9"/>
        <w:gridCol w:w="6617"/>
        <w:gridCol w:w="817"/>
      </w:tblGrid>
      <w:tr w14:paraId="70BF0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4805668A">
            <w:pPr>
              <w:pStyle w:val="24"/>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评审内容</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6C47BD0E">
            <w:pPr>
              <w:pStyle w:val="24"/>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评分标准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0D0B0533">
            <w:pPr>
              <w:pStyle w:val="24"/>
              <w:keepNext w:val="0"/>
              <w:keepLines w:val="0"/>
              <w:pageBreakBefore w:val="0"/>
              <w:kinsoku/>
              <w:wordWrap/>
              <w:overflowPunct/>
              <w:topLinePunct w:val="0"/>
              <w:bidi w:val="0"/>
              <w:spacing w:line="360" w:lineRule="auto"/>
              <w:ind w:left="0" w:leftChars="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14:paraId="34AE1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68DB7070">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偿付能力充足率</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21D9BA9F">
            <w:pPr>
              <w:keepNext w:val="0"/>
              <w:keepLines w:val="0"/>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对投标人总公司的偿付能力从高到低进行排名，偿付能力排名前</w:t>
            </w:r>
            <w:r>
              <w:rPr>
                <w:rFonts w:hint="eastAsia" w:asciiTheme="minorEastAsia" w:hAnsiTheme="minorEastAsia" w:eastAsiaTheme="minorEastAsia" w:cstheme="minorEastAsia"/>
                <w:color w:val="auto"/>
                <w:sz w:val="22"/>
                <w:szCs w:val="22"/>
                <w:highlight w:val="none"/>
                <w:lang w:val="en-US" w:eastAsia="zh-CN"/>
              </w:rPr>
              <w:t>50</w:t>
            </w:r>
            <w:r>
              <w:rPr>
                <w:rFonts w:hint="eastAsia" w:asciiTheme="minorEastAsia" w:hAnsiTheme="minorEastAsia" w:eastAsiaTheme="minorEastAsia" w:cstheme="minorEastAsia"/>
                <w:color w:val="auto"/>
                <w:sz w:val="22"/>
                <w:szCs w:val="22"/>
                <w:highlight w:val="none"/>
              </w:rPr>
              <w:t>%的投标单位得2分,偿付能力排名</w:t>
            </w:r>
            <w:r>
              <w:rPr>
                <w:rFonts w:hint="eastAsia" w:asciiTheme="minorEastAsia" w:hAnsiTheme="minorEastAsia" w:eastAsiaTheme="minorEastAsia" w:cstheme="minorEastAsia"/>
                <w:color w:val="auto"/>
                <w:sz w:val="22"/>
                <w:szCs w:val="22"/>
                <w:highlight w:val="none"/>
                <w:lang w:val="en-US" w:eastAsia="zh-CN"/>
              </w:rPr>
              <w:t>50%以下</w:t>
            </w:r>
            <w:r>
              <w:rPr>
                <w:rFonts w:hint="eastAsia" w:asciiTheme="minorEastAsia" w:hAnsiTheme="minorEastAsia" w:eastAsiaTheme="minorEastAsia" w:cstheme="minorEastAsia"/>
                <w:color w:val="auto"/>
                <w:sz w:val="22"/>
                <w:szCs w:val="22"/>
                <w:highlight w:val="none"/>
              </w:rPr>
              <w:t>的投标单位得1分。得分单位数量按百分比计算后</w:t>
            </w:r>
            <w:r>
              <w:rPr>
                <w:rFonts w:hint="eastAsia" w:asciiTheme="minorEastAsia" w:hAnsiTheme="minorEastAsia" w:eastAsiaTheme="minorEastAsia" w:cstheme="minorEastAsia"/>
                <w:color w:val="auto"/>
                <w:sz w:val="22"/>
                <w:szCs w:val="22"/>
                <w:highlight w:val="none"/>
                <w:lang w:val="en-US" w:eastAsia="zh-CN"/>
              </w:rPr>
              <w:t>按小数点后</w:t>
            </w:r>
            <w:r>
              <w:rPr>
                <w:rFonts w:hint="eastAsia" w:asciiTheme="minorEastAsia" w:hAnsiTheme="minorEastAsia" w:eastAsiaTheme="minorEastAsia" w:cstheme="minorEastAsia"/>
                <w:color w:val="auto"/>
                <w:sz w:val="22"/>
                <w:szCs w:val="22"/>
                <w:highlight w:val="none"/>
              </w:rPr>
              <w:t>直接舍去取整</w:t>
            </w:r>
            <w:r>
              <w:rPr>
                <w:rFonts w:hint="eastAsia" w:asciiTheme="minorEastAsia" w:hAnsiTheme="minorEastAsia" w:eastAsiaTheme="minorEastAsia" w:cstheme="minorEastAsia"/>
                <w:color w:val="auto"/>
                <w:sz w:val="22"/>
                <w:szCs w:val="22"/>
                <w:highlight w:val="none"/>
                <w:lang w:val="en-US" w:eastAsia="zh-CN"/>
              </w:rPr>
              <w:t>计入</w:t>
            </w:r>
            <w:r>
              <w:rPr>
                <w:rFonts w:hint="eastAsia" w:asciiTheme="minorEastAsia" w:hAnsiTheme="minorEastAsia" w:eastAsiaTheme="minorEastAsia" w:cstheme="minorEastAsia"/>
                <w:color w:val="auto"/>
                <w:sz w:val="22"/>
                <w:szCs w:val="22"/>
                <w:highlight w:val="none"/>
              </w:rPr>
              <w:t>。如各得分区间排名存在并列，则排名区间末位的所有投标单位均得本区间分值。</w:t>
            </w:r>
          </w:p>
          <w:p w14:paraId="244D1AA1">
            <w:pPr>
              <w:keepNext w:val="0"/>
              <w:keepLines w:val="0"/>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(证明材料:以投标人法人机构 2024年第2季度偿付能力报告的数据为准。)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00E01269">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62C84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1" w:hRule="atLeast"/>
          <w:jc w:val="center"/>
        </w:trPr>
        <w:tc>
          <w:tcPr>
            <w:tcW w:w="1229" w:type="dxa"/>
            <w:tcBorders>
              <w:top w:val="single" w:color="auto" w:sz="4" w:space="0"/>
              <w:left w:val="single" w:color="auto" w:sz="4" w:space="0"/>
              <w:right w:val="single" w:color="auto" w:sz="4" w:space="0"/>
            </w:tcBorders>
            <w:noWrap w:val="0"/>
            <w:vAlign w:val="center"/>
          </w:tcPr>
          <w:p w14:paraId="6FAFF735">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SA"/>
              </w:rPr>
              <w:t>万张保单投诉量</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33A1DD62">
            <w:pPr>
              <w:keepNext w:val="0"/>
              <w:keepLines w:val="0"/>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以投标人法人机构的万张保单投诉量进行打分，万张保单投诉量为0.00的，得2分；投诉量在0.01（含）至0.3之间的，得1分；其余得0.5分。</w:t>
            </w:r>
          </w:p>
          <w:p w14:paraId="657BD86E">
            <w:pPr>
              <w:keepNext w:val="0"/>
              <w:keepLines w:val="0"/>
              <w:pageBreakBefore w:val="0"/>
              <w:widowControl/>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b/>
                <w:bCs/>
                <w:color w:val="auto"/>
                <w:kern w:val="2"/>
                <w:sz w:val="22"/>
                <w:szCs w:val="22"/>
                <w:highlight w:val="none"/>
                <w:lang w:val="en-US" w:eastAsia="zh-CN" w:bidi="ar-SA"/>
              </w:rPr>
              <w:t>注：</w:t>
            </w:r>
            <w:r>
              <w:rPr>
                <w:rFonts w:hint="eastAsia" w:asciiTheme="minorEastAsia" w:hAnsiTheme="minorEastAsia" w:eastAsiaTheme="minorEastAsia" w:cstheme="minorEastAsia"/>
                <w:b/>
                <w:bCs/>
                <w:color w:val="auto"/>
                <w:kern w:val="2"/>
                <w:sz w:val="22"/>
                <w:szCs w:val="22"/>
                <w:highlight w:val="none"/>
                <w:u w:val="none"/>
                <w:lang w:val="en-US" w:eastAsia="zh-CN" w:bidi="ar-SA"/>
              </w:rPr>
              <w:t>①万张保单投诉量以原银保监会消费者权益保护局关于2023年第一季度保险消费投诉情况的通报（银保监消保发〔2023〕6号）中的附件2023年第一季度保</w:t>
            </w:r>
            <w:bookmarkStart w:id="105" w:name="_GoBack"/>
            <w:bookmarkEnd w:id="105"/>
            <w:r>
              <w:rPr>
                <w:rFonts w:hint="eastAsia" w:asciiTheme="minorEastAsia" w:hAnsiTheme="minorEastAsia" w:eastAsiaTheme="minorEastAsia" w:cstheme="minorEastAsia"/>
                <w:b/>
                <w:bCs/>
                <w:color w:val="auto"/>
                <w:kern w:val="2"/>
                <w:sz w:val="22"/>
                <w:szCs w:val="22"/>
                <w:highlight w:val="none"/>
                <w:u w:val="none"/>
                <w:lang w:val="en-US" w:eastAsia="zh-CN" w:bidi="ar-SA"/>
              </w:rPr>
              <w:t>险消费投诉情况通报附件1-2.xlsx的数据为准，需提供清晰扫描件并加盖投标人单位电子公章。</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F0DDB6D">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r>
      <w:tr w14:paraId="77EC8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2"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71FDE6D7">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承保业绩</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1718968D">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对投标人自 2019 年1月1日以来(以合同签订时间为准)独家或首席承担过的交通基础设施建设项目的建筑工程一切险保险服务的单个项目保险承保业绩保险(投保)金额从高到低进行排名，排名前</w:t>
            </w:r>
            <w:r>
              <w:rPr>
                <w:rFonts w:hint="eastAsia" w:ascii="宋体" w:hAnsi="宋体" w:eastAsia="宋体" w:cs="宋体"/>
                <w:color w:val="auto"/>
                <w:sz w:val="22"/>
                <w:szCs w:val="22"/>
                <w:highlight w:val="none"/>
                <w:lang w:val="en-US" w:eastAsia="zh-CN"/>
              </w:rPr>
              <w:t>50</w:t>
            </w:r>
            <w:r>
              <w:rPr>
                <w:rFonts w:hint="eastAsia" w:ascii="宋体" w:hAnsi="宋体" w:eastAsia="宋体" w:cs="宋体"/>
                <w:color w:val="auto"/>
                <w:sz w:val="22"/>
                <w:szCs w:val="22"/>
                <w:highlight w:val="none"/>
              </w:rPr>
              <w:t>%的投标单位得2分，排名</w:t>
            </w:r>
            <w:r>
              <w:rPr>
                <w:rFonts w:hint="eastAsia" w:ascii="宋体" w:hAnsi="宋体" w:eastAsia="宋体" w:cs="宋体"/>
                <w:color w:val="auto"/>
                <w:sz w:val="22"/>
                <w:szCs w:val="22"/>
                <w:highlight w:val="none"/>
                <w:lang w:val="en-US" w:eastAsia="zh-CN"/>
              </w:rPr>
              <w:t>50</w:t>
            </w:r>
            <w:r>
              <w:rPr>
                <w:rFonts w:hint="eastAsia" w:ascii="宋体" w:hAnsi="宋体" w:eastAsia="宋体" w:cs="宋体"/>
                <w:color w:val="auto"/>
                <w:sz w:val="22"/>
                <w:szCs w:val="22"/>
                <w:highlight w:val="none"/>
              </w:rPr>
              <w:t>%以下得投标单位得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分。得分单位数量按百分比计算后</w:t>
            </w:r>
            <w:r>
              <w:rPr>
                <w:rFonts w:hint="eastAsia" w:asciiTheme="minorEastAsia" w:hAnsiTheme="minorEastAsia" w:eastAsiaTheme="minorEastAsia" w:cstheme="minorEastAsia"/>
                <w:color w:val="auto"/>
                <w:sz w:val="22"/>
                <w:szCs w:val="22"/>
                <w:highlight w:val="none"/>
                <w:lang w:val="en-US" w:eastAsia="zh-CN"/>
              </w:rPr>
              <w:t>按小数点后</w:t>
            </w:r>
            <w:r>
              <w:rPr>
                <w:rFonts w:hint="eastAsia" w:asciiTheme="minorEastAsia" w:hAnsiTheme="minorEastAsia" w:eastAsiaTheme="minorEastAsia" w:cstheme="minorEastAsia"/>
                <w:color w:val="auto"/>
                <w:sz w:val="22"/>
                <w:szCs w:val="22"/>
                <w:highlight w:val="none"/>
              </w:rPr>
              <w:t>直接舍去取整</w:t>
            </w:r>
            <w:r>
              <w:rPr>
                <w:rFonts w:hint="eastAsia" w:asciiTheme="minorEastAsia" w:hAnsiTheme="minorEastAsia" w:eastAsiaTheme="minorEastAsia" w:cstheme="minorEastAsia"/>
                <w:color w:val="auto"/>
                <w:sz w:val="22"/>
                <w:szCs w:val="22"/>
                <w:highlight w:val="none"/>
                <w:lang w:val="en-US" w:eastAsia="zh-CN"/>
              </w:rPr>
              <w:t>计入</w:t>
            </w:r>
            <w:r>
              <w:rPr>
                <w:rFonts w:hint="eastAsia" w:ascii="宋体" w:hAnsi="宋体" w:eastAsia="宋体" w:cs="宋体"/>
                <w:color w:val="auto"/>
                <w:sz w:val="22"/>
                <w:szCs w:val="22"/>
                <w:highlight w:val="none"/>
              </w:rPr>
              <w:t>。如各得分区间排名存在并列，则排名区间末位的所有投标单位均得本区间分值。</w:t>
            </w:r>
          </w:p>
          <w:p w14:paraId="1BB00119">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业绩证明材料为①须提供能体现投标人与项目关系的保险合同或保险单。②认可总公司及其下属所有分支机构的承保服务业绩。③交通基础设施建设项目包含:公路、水运、铁路、轨道交通、机场等基础设施建设项目。</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71BAB333">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7CCF1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5"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42966CD0">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理赔业绩</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6ABF8A47">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自201</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年1月1日以来（以赔款计算书中的出险日期为准）（以支付凭证出具日期为准）独家或首席承保的</w:t>
            </w:r>
            <w:r>
              <w:rPr>
                <w:rFonts w:hint="eastAsia" w:ascii="宋体" w:hAnsi="宋体" w:eastAsia="宋体" w:cs="宋体"/>
                <w:color w:val="auto"/>
                <w:sz w:val="22"/>
                <w:szCs w:val="22"/>
                <w:highlight w:val="none"/>
                <w:lang w:val="en-US" w:eastAsia="zh-CN"/>
              </w:rPr>
              <w:t>交通基础设施建设项目</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建筑工程一切险</w:t>
            </w:r>
            <w:r>
              <w:rPr>
                <w:rFonts w:hint="eastAsia" w:ascii="宋体" w:hAnsi="宋体" w:eastAsia="宋体" w:cs="宋体"/>
                <w:color w:val="auto"/>
                <w:sz w:val="22"/>
                <w:szCs w:val="22"/>
                <w:highlight w:val="none"/>
              </w:rPr>
              <w:t>保险服务已结案件实际单笔赔款金额（投标人份额内）人民币</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00万元及以上的保险理赔业绩，每有一个得1分，最多加2分。</w:t>
            </w:r>
          </w:p>
          <w:p w14:paraId="07445DEC">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注：①需附赔款计算书以及相应的保险合同或其他理赔证明；②投标人分支机构经营予以认可；③同一立案编号视为同一案件。</w:t>
            </w:r>
            <w:r>
              <w:rPr>
                <w:rFonts w:hint="eastAsia" w:ascii="宋体" w:hAnsi="宋体" w:eastAsia="宋体" w:cs="宋体"/>
                <w:color w:val="auto"/>
                <w:sz w:val="22"/>
                <w:szCs w:val="22"/>
                <w:highlight w:val="none"/>
                <w:lang w:val="en-US" w:eastAsia="zh-CN"/>
              </w:rPr>
              <w:t>③交通基础设施建设项目包含：公路、水运、铁路、轨道交通、机场等基础设施建设项目。</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6FCA7C4">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4DD36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29" w:type="dxa"/>
            <w:tcBorders>
              <w:left w:val="single" w:color="auto" w:sz="4" w:space="0"/>
              <w:right w:val="single" w:color="auto" w:sz="4" w:space="0"/>
            </w:tcBorders>
            <w:noWrap w:val="0"/>
            <w:vAlign w:val="center"/>
          </w:tcPr>
          <w:p w14:paraId="2EA18468">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投标人理赔权限</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6697EEFF">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人法人机构授权本项目投标人理赔权限的授权额度在100万元以下的不得分，授权额度在100万元（含）～200万元（不含）的得1分，授权额度在200万元及以上的得2分；以投标人法人机构针对本项目的授权额度为准。</w:t>
            </w:r>
          </w:p>
          <w:p w14:paraId="49FF0B2F">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注：①如投标人为法人机构，则须提供该法人机构针对本项目的授权额度授权文件，否则不得分；②如投标人为分支机构，则须投标人法人机构授权给本项目分支机构理赔权限授权文件，否则不得分。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24EE885B">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r>
      <w:tr w14:paraId="2BD98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8"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7AB6845B">
            <w:pPr>
              <w:pStyle w:val="16"/>
              <w:keepNext w:val="0"/>
              <w:keepLines w:val="0"/>
              <w:pageBreakBefore w:val="0"/>
              <w:kinsoku/>
              <w:wordWrap/>
              <w:overflowPunct/>
              <w:topLinePunct w:val="0"/>
              <w:bidi w:val="0"/>
              <w:spacing w:line="360" w:lineRule="auto"/>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服务方案</w:t>
            </w:r>
          </w:p>
        </w:tc>
        <w:tc>
          <w:tcPr>
            <w:tcW w:w="6617" w:type="dxa"/>
            <w:tcBorders>
              <w:left w:val="single" w:color="auto" w:sz="4" w:space="0"/>
              <w:bottom w:val="single" w:color="auto" w:sz="4" w:space="0"/>
              <w:right w:val="single" w:color="auto" w:sz="4" w:space="0"/>
            </w:tcBorders>
            <w:noWrap w:val="0"/>
            <w:vAlign w:val="center"/>
          </w:tcPr>
          <w:p w14:paraId="62699ED1">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服务方案的内容是否全面；相关人员的组织分工是否合理；项目风险分析、防灾防损服务是否合理进行评审：</w:t>
            </w:r>
          </w:p>
          <w:p w14:paraId="2B1D83D5">
            <w:pPr>
              <w:keepNext w:val="0"/>
              <w:keepLines w:val="0"/>
              <w:pageBreakBefore w:val="0"/>
              <w:widowControl/>
              <w:numPr>
                <w:ilvl w:val="0"/>
                <w:numId w:val="8"/>
              </w:numPr>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服务方案的内容、相关人员的组织分工、风险分析、防灾防损等服务内容全面、分工明确、</w:t>
            </w:r>
            <w:r>
              <w:rPr>
                <w:rFonts w:hint="eastAsia" w:ascii="宋体" w:hAnsi="宋体" w:eastAsia="宋体" w:cs="宋体"/>
                <w:color w:val="auto"/>
                <w:kern w:val="2"/>
                <w:sz w:val="22"/>
                <w:szCs w:val="22"/>
                <w:highlight w:val="none"/>
                <w:lang w:val="zh-CN" w:eastAsia="zh-CN" w:bidi="ar-SA"/>
              </w:rPr>
              <w:t>阐述</w:t>
            </w:r>
            <w:r>
              <w:rPr>
                <w:rFonts w:hint="eastAsia" w:ascii="宋体" w:hAnsi="宋体" w:eastAsia="宋体" w:cs="宋体"/>
                <w:color w:val="auto"/>
                <w:kern w:val="2"/>
                <w:sz w:val="22"/>
                <w:szCs w:val="22"/>
                <w:highlight w:val="none"/>
                <w:lang w:val="en-US" w:eastAsia="zh-CN" w:bidi="ar-SA"/>
              </w:rPr>
              <w:t>详</w:t>
            </w:r>
            <w:r>
              <w:rPr>
                <w:rFonts w:hint="eastAsia" w:ascii="宋体" w:hAnsi="宋体" w:eastAsia="宋体" w:cs="宋体"/>
                <w:color w:val="auto"/>
                <w:kern w:val="2"/>
                <w:sz w:val="22"/>
                <w:szCs w:val="22"/>
                <w:highlight w:val="none"/>
                <w:lang w:val="zh-CN" w:eastAsia="zh-CN" w:bidi="ar-SA"/>
              </w:rPr>
              <w:t>细</w:t>
            </w:r>
            <w:r>
              <w:rPr>
                <w:rFonts w:hint="eastAsia" w:ascii="宋体" w:hAnsi="宋体" w:eastAsia="宋体" w:cs="宋体"/>
                <w:color w:val="auto"/>
                <w:kern w:val="2"/>
                <w:sz w:val="22"/>
                <w:szCs w:val="22"/>
                <w:highlight w:val="none"/>
                <w:lang w:val="en-US" w:eastAsia="zh-CN" w:bidi="ar-SA"/>
              </w:rPr>
              <w:t>的得9-13分；</w:t>
            </w:r>
          </w:p>
          <w:p w14:paraId="001ACBBD">
            <w:pPr>
              <w:keepNext w:val="0"/>
              <w:keepLines w:val="0"/>
              <w:pageBreakBefore w:val="0"/>
              <w:widowControl/>
              <w:numPr>
                <w:ilvl w:val="0"/>
                <w:numId w:val="8"/>
              </w:numPr>
              <w:kinsoku/>
              <w:wordWrap/>
              <w:overflowPunct/>
              <w:topLinePunct w:val="0"/>
              <w:bidi w:val="0"/>
              <w:spacing w:line="360" w:lineRule="auto"/>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服务方案的内容、相关人员的组织分工、风险分析、防灾防损等服务内容欠全面、分工欠明确、</w:t>
            </w:r>
            <w:r>
              <w:rPr>
                <w:rFonts w:hint="eastAsia" w:ascii="宋体" w:hAnsi="宋体" w:eastAsia="宋体" w:cs="宋体"/>
                <w:color w:val="auto"/>
                <w:kern w:val="2"/>
                <w:sz w:val="22"/>
                <w:szCs w:val="22"/>
                <w:highlight w:val="none"/>
                <w:lang w:val="zh-CN" w:eastAsia="zh-CN" w:bidi="ar-SA"/>
              </w:rPr>
              <w:t>阐述</w:t>
            </w:r>
            <w:r>
              <w:rPr>
                <w:rFonts w:hint="eastAsia" w:ascii="宋体" w:hAnsi="宋体" w:eastAsia="宋体" w:cs="宋体"/>
                <w:color w:val="auto"/>
                <w:kern w:val="2"/>
                <w:sz w:val="22"/>
                <w:szCs w:val="22"/>
                <w:highlight w:val="none"/>
                <w:lang w:val="en-US" w:eastAsia="zh-CN" w:bidi="ar-SA"/>
              </w:rPr>
              <w:t>欠详</w:t>
            </w:r>
            <w:r>
              <w:rPr>
                <w:rFonts w:hint="eastAsia" w:ascii="宋体" w:hAnsi="宋体" w:eastAsia="宋体" w:cs="宋体"/>
                <w:color w:val="auto"/>
                <w:kern w:val="2"/>
                <w:sz w:val="22"/>
                <w:szCs w:val="22"/>
                <w:highlight w:val="none"/>
                <w:lang w:val="zh-CN" w:eastAsia="zh-CN" w:bidi="ar-SA"/>
              </w:rPr>
              <w:t>细</w:t>
            </w:r>
            <w:r>
              <w:rPr>
                <w:rFonts w:hint="eastAsia" w:ascii="宋体" w:hAnsi="宋体" w:eastAsia="宋体" w:cs="宋体"/>
                <w:color w:val="auto"/>
                <w:kern w:val="2"/>
                <w:sz w:val="22"/>
                <w:szCs w:val="22"/>
                <w:highlight w:val="none"/>
                <w:lang w:val="en-US" w:eastAsia="zh-CN" w:bidi="ar-SA"/>
              </w:rPr>
              <w:t>的得5-8.9分；</w:t>
            </w:r>
          </w:p>
          <w:p w14:paraId="1DC3D4D9">
            <w:pPr>
              <w:keepNext w:val="0"/>
              <w:keepLines w:val="0"/>
              <w:pageBreakBefore w:val="0"/>
              <w:widowControl/>
              <w:numPr>
                <w:ilvl w:val="0"/>
                <w:numId w:val="0"/>
              </w:numPr>
              <w:kinsoku/>
              <w:wordWrap/>
              <w:overflowPunct/>
              <w:topLinePunct w:val="0"/>
              <w:bidi w:val="0"/>
              <w:spacing w:line="360" w:lineRule="auto"/>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（3）服务方案的内容、相关人员的组织分工、风险分析、防灾防损等服务内容不全面、分工不明确、</w:t>
            </w:r>
            <w:r>
              <w:rPr>
                <w:rFonts w:hint="eastAsia" w:ascii="宋体" w:hAnsi="宋体" w:eastAsia="宋体" w:cs="宋体"/>
                <w:color w:val="auto"/>
                <w:kern w:val="2"/>
                <w:sz w:val="22"/>
                <w:szCs w:val="22"/>
                <w:highlight w:val="none"/>
                <w:lang w:val="zh-CN" w:eastAsia="zh-CN" w:bidi="ar-SA"/>
              </w:rPr>
              <w:t>阐述</w:t>
            </w:r>
            <w:r>
              <w:rPr>
                <w:rFonts w:hint="eastAsia" w:ascii="宋体" w:hAnsi="宋体" w:eastAsia="宋体" w:cs="宋体"/>
                <w:color w:val="auto"/>
                <w:kern w:val="2"/>
                <w:sz w:val="22"/>
                <w:szCs w:val="22"/>
                <w:highlight w:val="none"/>
                <w:lang w:val="en-US" w:eastAsia="zh-CN" w:bidi="ar-SA"/>
              </w:rPr>
              <w:t>不清楚的得0-4.9分。</w:t>
            </w:r>
          </w:p>
        </w:tc>
        <w:tc>
          <w:tcPr>
            <w:tcW w:w="817" w:type="dxa"/>
            <w:tcBorders>
              <w:left w:val="single" w:color="auto" w:sz="4" w:space="0"/>
              <w:right w:val="single" w:color="auto" w:sz="4" w:space="0"/>
            </w:tcBorders>
            <w:noWrap w:val="0"/>
            <w:vAlign w:val="center"/>
          </w:tcPr>
          <w:p w14:paraId="3EC23130">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r>
      <w:tr w14:paraId="1C543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1229" w:type="dxa"/>
            <w:tcBorders>
              <w:top w:val="single" w:color="auto" w:sz="4" w:space="0"/>
              <w:left w:val="single" w:color="auto" w:sz="4" w:space="0"/>
              <w:right w:val="single" w:color="auto" w:sz="4" w:space="0"/>
            </w:tcBorders>
            <w:noWrap w:val="0"/>
            <w:vAlign w:val="center"/>
          </w:tcPr>
          <w:p w14:paraId="0652B8DF">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流程合理性</w:t>
            </w:r>
          </w:p>
        </w:tc>
        <w:tc>
          <w:tcPr>
            <w:tcW w:w="6617" w:type="dxa"/>
            <w:tcBorders>
              <w:top w:val="single" w:color="auto" w:sz="4" w:space="0"/>
              <w:left w:val="single" w:color="auto" w:sz="4" w:space="0"/>
              <w:right w:val="single" w:color="auto" w:sz="4" w:space="0"/>
            </w:tcBorders>
            <w:noWrap w:val="0"/>
            <w:vAlign w:val="center"/>
          </w:tcPr>
          <w:p w14:paraId="78961EDF">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理赔流程是否合理进行评审：</w:t>
            </w:r>
          </w:p>
          <w:p w14:paraId="6BFD10BA">
            <w:pPr>
              <w:keepNext w:val="0"/>
              <w:keepLines w:val="0"/>
              <w:pageBreakBefore w:val="0"/>
              <w:widowControl/>
              <w:kinsoku/>
              <w:wordWrap/>
              <w:overflowPunct/>
              <w:topLinePunct w:val="0"/>
              <w:bidi w:val="0"/>
              <w:spacing w:line="360" w:lineRule="auto"/>
              <w:jc w:val="left"/>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（1）理赔流程非常合理，流程非常规范的得4-5分；（2）理赔流程欠合理，流程欠规范的得2-3.9分；（3）理赔流程不合理，流程不规范的得0-1.9分；</w:t>
            </w:r>
          </w:p>
        </w:tc>
        <w:tc>
          <w:tcPr>
            <w:tcW w:w="817" w:type="dxa"/>
            <w:tcBorders>
              <w:top w:val="single" w:color="auto" w:sz="4" w:space="0"/>
              <w:left w:val="single" w:color="auto" w:sz="4" w:space="0"/>
              <w:right w:val="single" w:color="auto" w:sz="4" w:space="0"/>
            </w:tcBorders>
            <w:noWrap w:val="0"/>
            <w:vAlign w:val="center"/>
          </w:tcPr>
          <w:p w14:paraId="1571FF6A">
            <w:pPr>
              <w:pStyle w:val="24"/>
              <w:keepNext w:val="0"/>
              <w:keepLines w:val="0"/>
              <w:pageBreakBefore w:val="0"/>
              <w:kinsoku/>
              <w:wordWrap/>
              <w:overflowPunct/>
              <w:topLinePunct w:val="0"/>
              <w:bidi w:val="0"/>
              <w:spacing w:line="360" w:lineRule="auto"/>
              <w:ind w:left="480" w:leftChars="0" w:hanging="48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r>
      <w:tr w14:paraId="6806E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3"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center"/>
          </w:tcPr>
          <w:p w14:paraId="240F7B4B">
            <w:pPr>
              <w:pStyle w:val="16"/>
              <w:keepNext w:val="0"/>
              <w:keepLines w:val="0"/>
              <w:pageBreakBefore w:val="0"/>
              <w:kinsoku/>
              <w:wordWrap/>
              <w:overflowPunct/>
              <w:topLinePunct w:val="0"/>
              <w:bidi w:val="0"/>
              <w:spacing w:line="360" w:lineRule="auto"/>
              <w:jc w:val="center"/>
              <w:textAlignment w:val="auto"/>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优惠条件</w:t>
            </w:r>
          </w:p>
        </w:tc>
        <w:tc>
          <w:tcPr>
            <w:tcW w:w="6617" w:type="dxa"/>
            <w:tcBorders>
              <w:top w:val="single" w:color="auto" w:sz="4" w:space="0"/>
              <w:left w:val="single" w:color="auto" w:sz="4" w:space="0"/>
              <w:bottom w:val="single" w:color="auto" w:sz="4" w:space="0"/>
              <w:right w:val="single" w:color="auto" w:sz="4" w:space="0"/>
            </w:tcBorders>
            <w:noWrap w:val="0"/>
            <w:vAlign w:val="center"/>
          </w:tcPr>
          <w:p w14:paraId="5FFB71C0">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每提出一条免赔额或免赔率（降低5%及以上）、扩展责任等方面实质性优惠条件的得 2分，最高 10 分。</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0F27FDCB">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10</w:t>
            </w:r>
          </w:p>
        </w:tc>
      </w:tr>
      <w:tr w14:paraId="0A468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jc w:val="center"/>
        </w:trPr>
        <w:tc>
          <w:tcPr>
            <w:tcW w:w="1229" w:type="dxa"/>
            <w:tcBorders>
              <w:top w:val="single" w:color="auto" w:sz="4" w:space="0"/>
              <w:left w:val="single" w:color="auto" w:sz="4" w:space="0"/>
              <w:right w:val="single" w:color="auto" w:sz="4" w:space="0"/>
            </w:tcBorders>
            <w:noWrap w:val="0"/>
            <w:vAlign w:val="center"/>
          </w:tcPr>
          <w:p w14:paraId="370B9A22">
            <w:pPr>
              <w:pStyle w:val="16"/>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保险培训方案</w:t>
            </w:r>
          </w:p>
        </w:tc>
        <w:tc>
          <w:tcPr>
            <w:tcW w:w="6617" w:type="dxa"/>
            <w:tcBorders>
              <w:top w:val="single" w:color="auto" w:sz="4" w:space="0"/>
              <w:left w:val="single" w:color="auto" w:sz="4" w:space="0"/>
              <w:right w:val="single" w:color="auto" w:sz="4" w:space="0"/>
            </w:tcBorders>
            <w:noWrap w:val="0"/>
            <w:vAlign w:val="center"/>
          </w:tcPr>
          <w:p w14:paraId="4A8C2BC3">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根据投标人的培训次数、时间安排、培训内容的针对性等方面综合确定。</w:t>
            </w:r>
          </w:p>
        </w:tc>
        <w:tc>
          <w:tcPr>
            <w:tcW w:w="817" w:type="dxa"/>
            <w:tcBorders>
              <w:top w:val="single" w:color="auto" w:sz="4" w:space="0"/>
              <w:left w:val="single" w:color="auto" w:sz="4" w:space="0"/>
              <w:right w:val="single" w:color="auto" w:sz="4" w:space="0"/>
            </w:tcBorders>
            <w:noWrap w:val="0"/>
            <w:vAlign w:val="center"/>
          </w:tcPr>
          <w:p w14:paraId="76D20C87">
            <w:pPr>
              <w:keepNext w:val="0"/>
              <w:keepLines w:val="0"/>
              <w:pageBreakBefore w:val="0"/>
              <w:widowControl/>
              <w:kinsoku/>
              <w:wordWrap/>
              <w:overflowPunct/>
              <w:topLinePunct w:val="0"/>
              <w:bidi w:val="0"/>
              <w:spacing w:line="360" w:lineRule="auto"/>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p>
        </w:tc>
      </w:tr>
    </w:tbl>
    <w:p w14:paraId="7928BC12">
      <w:pPr>
        <w:numPr>
          <w:ilvl w:val="0"/>
          <w:numId w:val="0"/>
        </w:numPr>
        <w:spacing w:before="120" w:beforeLines="50" w:after="120" w:afterLines="50" w:line="360" w:lineRule="auto"/>
        <w:rPr>
          <w:rFonts w:hint="eastAsia" w:ascii="宋体" w:hAnsi="宋体" w:eastAsia="宋体" w:cs="Times New Roman"/>
          <w:color w:val="auto"/>
          <w:kern w:val="2"/>
          <w:sz w:val="24"/>
          <w:szCs w:val="24"/>
          <w:highlight w:val="none"/>
          <w:lang w:val="en-US" w:eastAsia="zh-CN" w:bidi="ar-SA"/>
        </w:rPr>
      </w:pPr>
      <w:r>
        <w:rPr>
          <w:rFonts w:hint="eastAsia" w:ascii="Times New Roman" w:hAnsi="Times New Roman" w:cs="Times New Roman"/>
          <w:b/>
          <w:bCs/>
          <w:color w:val="auto"/>
          <w:kern w:val="2"/>
          <w:sz w:val="24"/>
          <w:highlight w:val="none"/>
        </w:rPr>
        <w:t>（</w:t>
      </w:r>
      <w:r>
        <w:rPr>
          <w:rFonts w:hint="eastAsia" w:ascii="Times New Roman" w:hAnsi="Times New Roman" w:cs="Times New Roman"/>
          <w:b/>
          <w:bCs/>
          <w:color w:val="auto"/>
          <w:kern w:val="2"/>
          <w:sz w:val="24"/>
          <w:highlight w:val="none"/>
          <w:lang w:val="en-US" w:eastAsia="zh-CN"/>
        </w:rPr>
        <w:t>三</w:t>
      </w:r>
      <w:r>
        <w:rPr>
          <w:rFonts w:hint="eastAsia" w:ascii="Times New Roman" w:hAnsi="Times New Roman" w:cs="Times New Roman"/>
          <w:b/>
          <w:bCs/>
          <w:color w:val="auto"/>
          <w:kern w:val="2"/>
          <w:sz w:val="24"/>
          <w:highlight w:val="none"/>
        </w:rPr>
        <w:t>）</w:t>
      </w:r>
      <w:r>
        <w:rPr>
          <w:rFonts w:hint="eastAsia" w:ascii="宋体" w:hAnsi="宋体" w:cs="宋体"/>
          <w:b/>
          <w:bCs/>
          <w:color w:val="auto"/>
          <w:sz w:val="24"/>
          <w:highlight w:val="none"/>
          <w:lang w:val="en-US" w:eastAsia="zh-CN"/>
        </w:rPr>
        <w:t>商务标</w:t>
      </w:r>
      <w:r>
        <w:rPr>
          <w:rFonts w:hint="eastAsia" w:ascii="宋体" w:hAnsi="宋体" w:cs="宋体"/>
          <w:b/>
          <w:bCs/>
          <w:color w:val="auto"/>
          <w:sz w:val="24"/>
          <w:highlight w:val="none"/>
        </w:rPr>
        <w:t>评</w:t>
      </w:r>
      <w:r>
        <w:rPr>
          <w:rFonts w:hint="eastAsia" w:ascii="宋体" w:hAnsi="宋体" w:cs="宋体"/>
          <w:b/>
          <w:bCs/>
          <w:color w:val="auto"/>
          <w:sz w:val="24"/>
          <w:highlight w:val="none"/>
          <w:lang w:val="en-US" w:eastAsia="zh-CN"/>
        </w:rPr>
        <w:t>审</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60分</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（以下除注明外，计算结果小数点后保留2位，第3位四舍五入）。</w:t>
      </w:r>
    </w:p>
    <w:p w14:paraId="289A5FC2">
      <w:pPr>
        <w:pStyle w:val="11"/>
        <w:spacing w:line="360" w:lineRule="auto"/>
        <w:ind w:firstLine="720" w:firstLineChars="300"/>
        <w:rPr>
          <w:rFonts w:ascii="宋体" w:hAnsi="宋体" w:cs="宋体"/>
          <w:color w:val="auto"/>
          <w:sz w:val="24"/>
          <w:highlight w:val="none"/>
          <w:lang w:val="zh-CN"/>
        </w:rPr>
      </w:pPr>
      <w:r>
        <w:rPr>
          <w:rFonts w:hint="eastAsia" w:ascii="宋体" w:hAnsi="宋体" w:cs="宋体"/>
          <w:color w:val="auto"/>
          <w:sz w:val="24"/>
          <w:highlight w:val="none"/>
        </w:rPr>
        <w:t>（1）取所有有效报价的平均价作为评标基准价；投标人的投标报价得分按下列方式计算：</w:t>
      </w:r>
    </w:p>
    <w:p w14:paraId="5EBD6003">
      <w:pPr>
        <w:pStyle w:val="11"/>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lang w:val="zh-CN"/>
        </w:rPr>
        <w:t>①投标评标价等于评标基准价时，得</w:t>
      </w:r>
      <w:r>
        <w:rPr>
          <w:rFonts w:hint="eastAsia" w:ascii="宋体" w:hAnsi="宋体" w:cs="宋体"/>
          <w:color w:val="auto"/>
          <w:sz w:val="24"/>
          <w:highlight w:val="none"/>
          <w:lang w:val="en-US" w:eastAsia="zh-CN"/>
        </w:rPr>
        <w:t>60</w:t>
      </w:r>
      <w:r>
        <w:rPr>
          <w:rFonts w:hint="eastAsia" w:ascii="宋体" w:hAnsi="宋体" w:cs="宋体"/>
          <w:color w:val="auto"/>
          <w:sz w:val="24"/>
          <w:highlight w:val="none"/>
          <w:lang w:val="zh-CN"/>
        </w:rPr>
        <w:t>分；</w:t>
      </w:r>
    </w:p>
    <w:p w14:paraId="54A2D9C5">
      <w:pPr>
        <w:pStyle w:val="11"/>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②投标评标价每低于评标基准价1个百分点，扣</w:t>
      </w:r>
      <w:r>
        <w:rPr>
          <w:rFonts w:hint="eastAsia" w:ascii="宋体" w:hAnsi="宋体" w:cs="宋体"/>
          <w:color w:val="auto"/>
          <w:sz w:val="24"/>
          <w:highlight w:val="none"/>
        </w:rPr>
        <w:t>0.5</w:t>
      </w:r>
      <w:r>
        <w:rPr>
          <w:rFonts w:hint="eastAsia" w:ascii="宋体" w:hAnsi="宋体" w:cs="宋体"/>
          <w:color w:val="auto"/>
          <w:sz w:val="24"/>
          <w:highlight w:val="none"/>
          <w:lang w:val="zh-CN"/>
        </w:rPr>
        <w:t>分，</w:t>
      </w:r>
      <w:r>
        <w:rPr>
          <w:rFonts w:hint="eastAsia" w:ascii="宋体" w:hAnsi="宋体" w:cs="宋体"/>
          <w:color w:val="auto"/>
          <w:sz w:val="24"/>
          <w:highlight w:val="none"/>
        </w:rPr>
        <w:t>即商务标</w:t>
      </w:r>
      <w:r>
        <w:rPr>
          <w:rFonts w:hint="eastAsia" w:ascii="宋体" w:hAnsi="宋体" w:cs="宋体"/>
          <w:color w:val="auto"/>
          <w:sz w:val="24"/>
          <w:highlight w:val="none"/>
          <w:lang w:val="en-US" w:eastAsia="zh-CN"/>
        </w:rPr>
        <w:t>得分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0-│（投标报价-评标基准价）│/评标基准价×</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×0.5（商务标得分计算结果小数点后保留2位，小数点后第3位四舍五入）</w:t>
      </w:r>
      <w:r>
        <w:rPr>
          <w:rFonts w:hint="eastAsia" w:ascii="宋体" w:hAnsi="宋体" w:cs="宋体"/>
          <w:color w:val="auto"/>
          <w:sz w:val="24"/>
          <w:highlight w:val="none"/>
          <w:lang w:val="zh-CN"/>
        </w:rPr>
        <w:t>；</w:t>
      </w:r>
    </w:p>
    <w:p w14:paraId="1F71E9FE">
      <w:pPr>
        <w:pStyle w:val="1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③投标评标价每高于评标基准价1个百分点，扣</w:t>
      </w:r>
      <w:r>
        <w:rPr>
          <w:rFonts w:hint="eastAsia" w:ascii="宋体" w:hAnsi="宋体" w:cs="宋体"/>
          <w:color w:val="auto"/>
          <w:sz w:val="24"/>
          <w:highlight w:val="none"/>
        </w:rPr>
        <w:t>1</w:t>
      </w:r>
      <w:r>
        <w:rPr>
          <w:rFonts w:hint="eastAsia" w:ascii="宋体" w:hAnsi="宋体" w:cs="宋体"/>
          <w:color w:val="auto"/>
          <w:sz w:val="24"/>
          <w:highlight w:val="none"/>
          <w:lang w:val="zh-CN"/>
        </w:rPr>
        <w:t>分，</w:t>
      </w:r>
      <w:r>
        <w:rPr>
          <w:rFonts w:hint="eastAsia" w:ascii="宋体" w:hAnsi="宋体" w:cs="宋体"/>
          <w:color w:val="auto"/>
          <w:sz w:val="24"/>
          <w:highlight w:val="none"/>
        </w:rPr>
        <w:t>即商务标得分=</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0-│（投标报价-评标基准价）│/评标基准价×</w:t>
      </w:r>
      <w:r>
        <w:rPr>
          <w:rFonts w:hint="eastAsia" w:ascii="宋体" w:hAnsi="宋体" w:cs="宋体"/>
          <w:color w:val="auto"/>
          <w:sz w:val="24"/>
          <w:highlight w:val="none"/>
          <w:lang w:val="en-US" w:eastAsia="zh-CN"/>
        </w:rPr>
        <w:t>60</w:t>
      </w:r>
      <w:r>
        <w:rPr>
          <w:rFonts w:hint="eastAsia" w:ascii="宋体" w:hAnsi="宋体" w:cs="宋体"/>
          <w:color w:val="auto"/>
          <w:sz w:val="24"/>
          <w:highlight w:val="none"/>
        </w:rPr>
        <w:t>×1（商务标得分计算结果小数点后保留2位，小数点后第3位四舍五入）</w:t>
      </w:r>
      <w:r>
        <w:rPr>
          <w:rFonts w:hint="eastAsia" w:ascii="宋体" w:hAnsi="宋体" w:cs="宋体"/>
          <w:color w:val="auto"/>
          <w:sz w:val="24"/>
          <w:highlight w:val="none"/>
          <w:lang w:val="zh-CN"/>
        </w:rPr>
        <w:t>。</w:t>
      </w:r>
    </w:p>
    <w:p w14:paraId="2791FFD7">
      <w:pPr>
        <w:spacing w:line="360" w:lineRule="auto"/>
        <w:ind w:firstLine="720" w:firstLineChars="300"/>
        <w:rPr>
          <w:rFonts w:hint="eastAsia" w:ascii="宋体" w:hAnsi="宋体" w:cs="宋体"/>
          <w:b/>
          <w:bCs/>
          <w:color w:val="auto"/>
          <w:sz w:val="24"/>
          <w:highlight w:val="none"/>
          <w:u w:val="single"/>
        </w:rPr>
      </w:pPr>
      <w:r>
        <w:rPr>
          <w:rFonts w:hint="eastAsia" w:ascii="宋体" w:hAnsi="宋体" w:cs="宋体"/>
          <w:b/>
          <w:bCs/>
          <w:color w:val="auto"/>
          <w:sz w:val="24"/>
          <w:highlight w:val="none"/>
        </w:rPr>
        <w:t>（2）</w:t>
      </w:r>
      <w:r>
        <w:rPr>
          <w:rFonts w:hint="eastAsia" w:ascii="宋体" w:hAnsi="宋体" w:cs="宋体"/>
          <w:b/>
          <w:bCs/>
          <w:color w:val="auto"/>
          <w:sz w:val="24"/>
          <w:highlight w:val="none"/>
          <w:u w:val="single"/>
        </w:rPr>
        <w:t>▲本项目</w:t>
      </w:r>
      <w:r>
        <w:rPr>
          <w:rFonts w:hint="eastAsia" w:ascii="宋体" w:hAnsi="宋体" w:cs="宋体"/>
          <w:b/>
          <w:bCs/>
          <w:color w:val="auto"/>
          <w:sz w:val="24"/>
          <w:highlight w:val="none"/>
          <w:u w:val="single"/>
          <w:lang w:val="en-US" w:eastAsia="zh-CN"/>
        </w:rPr>
        <w:t>保险费合计</w:t>
      </w:r>
      <w:r>
        <w:rPr>
          <w:rFonts w:hint="eastAsia" w:ascii="宋体" w:hAnsi="宋体" w:cs="宋体"/>
          <w:b/>
          <w:bCs/>
          <w:color w:val="auto"/>
          <w:sz w:val="24"/>
          <w:highlight w:val="none"/>
          <w:u w:val="single"/>
        </w:rPr>
        <w:t>最高限价：</w:t>
      </w:r>
      <w:r>
        <w:rPr>
          <w:rFonts w:hint="eastAsia" w:ascii="宋体" w:hAnsi="宋体" w:cs="宋体"/>
          <w:b/>
          <w:bCs/>
          <w:color w:val="auto"/>
          <w:sz w:val="24"/>
          <w:highlight w:val="none"/>
          <w:u w:val="single"/>
          <w:lang w:val="en-US" w:eastAsia="zh-CN"/>
        </w:rPr>
        <w:t>4079462</w:t>
      </w:r>
      <w:r>
        <w:rPr>
          <w:rFonts w:hint="eastAsia" w:ascii="宋体" w:hAnsi="宋体" w:cs="宋体"/>
          <w:b/>
          <w:bCs/>
          <w:color w:val="auto"/>
          <w:sz w:val="24"/>
          <w:highlight w:val="none"/>
          <w:u w:val="single"/>
        </w:rPr>
        <w:t>元</w:t>
      </w:r>
      <w:r>
        <w:rPr>
          <w:rFonts w:hint="eastAsia" w:ascii="宋体" w:hAnsi="宋体" w:cs="宋体"/>
          <w:b/>
          <w:bCs/>
          <w:color w:val="auto"/>
          <w:sz w:val="24"/>
          <w:highlight w:val="none"/>
          <w:u w:val="single"/>
          <w:lang w:eastAsia="zh-CN"/>
        </w:rPr>
        <w:t>；建筑工程一切险</w:t>
      </w:r>
      <w:r>
        <w:rPr>
          <w:rFonts w:hint="eastAsia" w:ascii="宋体" w:hAnsi="宋体" w:cs="宋体"/>
          <w:b/>
          <w:bCs/>
          <w:color w:val="auto"/>
          <w:sz w:val="24"/>
          <w:highlight w:val="none"/>
          <w:u w:val="single"/>
          <w:lang w:val="en-US" w:eastAsia="zh-CN"/>
        </w:rPr>
        <w:t>保险费最高限价2447677元，保险费率上限3‰；安全生产责任险保险费最高限价1631785元，保险费率上限2‰。</w:t>
      </w:r>
    </w:p>
    <w:p w14:paraId="30CBCBB8">
      <w:pPr>
        <w:spacing w:line="360" w:lineRule="auto"/>
        <w:ind w:firstLine="720" w:firstLineChars="3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如投标人报价超过最高限价</w:t>
      </w:r>
      <w:r>
        <w:rPr>
          <w:rFonts w:hint="eastAsia" w:ascii="宋体" w:hAnsi="宋体" w:cs="宋体"/>
          <w:b/>
          <w:bCs/>
          <w:color w:val="auto"/>
          <w:sz w:val="24"/>
          <w:highlight w:val="none"/>
          <w:u w:val="single"/>
          <w:lang w:val="en-US" w:eastAsia="zh-CN"/>
        </w:rPr>
        <w:t>及费率上限</w:t>
      </w:r>
      <w:r>
        <w:rPr>
          <w:rFonts w:hint="eastAsia" w:ascii="宋体" w:hAnsi="宋体" w:cs="宋体"/>
          <w:b/>
          <w:bCs/>
          <w:color w:val="auto"/>
          <w:sz w:val="24"/>
          <w:highlight w:val="none"/>
          <w:u w:val="single"/>
        </w:rPr>
        <w:t>，其投标文件作无效标处理。</w:t>
      </w:r>
    </w:p>
    <w:p w14:paraId="1E883989">
      <w:pPr>
        <w:pStyle w:val="11"/>
        <w:tabs>
          <w:tab w:val="left" w:pos="574"/>
        </w:tabs>
        <w:snapToGrid w:val="0"/>
        <w:spacing w:after="0"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（3）评标委员会认为投标人的报价明显低于其他通过符合性审查投标人的报价，有可能影响</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质量或者不能诚信履约的，应当要求其在评标程序中给予的合理的时间内提供书面说明，必要时提交相关证明材料；投标人不能证明其报价合理性的，评标委员会应当将其作为无效投标处理。</w:t>
      </w:r>
    </w:p>
    <w:p w14:paraId="1A820E03">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（4）所有投标人商务报价均超采购最高限价，本次招标失败，重新组织招标。</w:t>
      </w:r>
    </w:p>
    <w:p w14:paraId="00B94468">
      <w:pPr>
        <w:spacing w:line="360" w:lineRule="auto"/>
        <w:ind w:left="420"/>
        <w:rPr>
          <w:rFonts w:ascii="宋体" w:hAnsi="宋体" w:cs="宋体"/>
          <w:color w:val="auto"/>
          <w:sz w:val="24"/>
          <w:highlight w:val="none"/>
        </w:rPr>
      </w:pPr>
      <w:r>
        <w:rPr>
          <w:rFonts w:hint="eastAsia" w:ascii="宋体" w:hAnsi="宋体" w:cs="宋体"/>
          <w:color w:val="auto"/>
          <w:sz w:val="24"/>
          <w:highlight w:val="none"/>
        </w:rPr>
        <w:t>（四）总得分的统计及中标人的确定。</w:t>
      </w:r>
    </w:p>
    <w:p w14:paraId="36BE1071">
      <w:pPr>
        <w:spacing w:line="360" w:lineRule="auto"/>
        <w:ind w:left="420"/>
        <w:rPr>
          <w:rFonts w:ascii="宋体" w:hAnsi="宋体" w:cs="宋体"/>
          <w:b/>
          <w:bCs/>
          <w:color w:val="auto"/>
          <w:sz w:val="24"/>
          <w:highlight w:val="none"/>
        </w:rPr>
      </w:pPr>
      <w:r>
        <w:rPr>
          <w:rFonts w:hint="eastAsia" w:ascii="宋体" w:hAnsi="宋体" w:cs="宋体"/>
          <w:b/>
          <w:bCs/>
          <w:color w:val="auto"/>
          <w:sz w:val="24"/>
          <w:highlight w:val="none"/>
        </w:rPr>
        <w:t>评标总得分的确定：</w:t>
      </w:r>
    </w:p>
    <w:p w14:paraId="4F74DCEE">
      <w:pPr>
        <w:spacing w:line="360" w:lineRule="auto"/>
        <w:ind w:left="420"/>
        <w:rPr>
          <w:rFonts w:hint="eastAsia" w:ascii="宋体" w:hAnsi="宋体" w:cs="宋体"/>
          <w:b/>
          <w:bCs/>
          <w:color w:val="auto"/>
          <w:sz w:val="24"/>
          <w:highlight w:val="none"/>
        </w:rPr>
      </w:pPr>
      <w:r>
        <w:rPr>
          <w:rFonts w:hint="eastAsia" w:ascii="宋体" w:hAnsi="宋体" w:cs="宋体"/>
          <w:b/>
          <w:bCs/>
          <w:color w:val="auto"/>
          <w:sz w:val="24"/>
          <w:highlight w:val="none"/>
        </w:rPr>
        <w:t>投标人的总得分＝资信技术得分+商务标得分。</w:t>
      </w:r>
    </w:p>
    <w:p w14:paraId="62A041E9">
      <w:pPr>
        <w:spacing w:line="360" w:lineRule="auto"/>
        <w:ind w:left="420"/>
        <w:rPr>
          <w:rFonts w:ascii="宋体" w:hAnsi="宋体"/>
          <w:b/>
          <w:color w:val="auto"/>
          <w:sz w:val="24"/>
          <w:highlight w:val="none"/>
        </w:rPr>
      </w:pPr>
      <w:r>
        <w:rPr>
          <w:rFonts w:hint="eastAsia" w:ascii="宋体" w:hAnsi="宋体" w:eastAsia="宋体"/>
          <w:b/>
          <w:color w:val="auto"/>
          <w:sz w:val="24"/>
          <w:highlight w:val="none"/>
          <w:lang w:val="en-US" w:eastAsia="zh-CN"/>
        </w:rPr>
        <w:t>中标候选人</w:t>
      </w:r>
      <w:r>
        <w:rPr>
          <w:rFonts w:hint="eastAsia" w:ascii="宋体" w:hAnsi="宋体"/>
          <w:b/>
          <w:color w:val="auto"/>
          <w:sz w:val="24"/>
          <w:highlight w:val="none"/>
        </w:rPr>
        <w:t>的确定：</w:t>
      </w:r>
    </w:p>
    <w:p w14:paraId="7DE544A0">
      <w:pPr>
        <w:adjustRightInd w:val="0"/>
        <w:spacing w:line="360" w:lineRule="auto"/>
        <w:ind w:firstLine="480" w:firstLineChars="200"/>
        <w:jc w:val="left"/>
        <w:rPr>
          <w:rFonts w:hint="eastAsia" w:ascii="宋体" w:hAnsi="宋体"/>
          <w:bCs/>
          <w:color w:val="auto"/>
          <w:sz w:val="24"/>
          <w:highlight w:val="none"/>
        </w:rPr>
      </w:pPr>
      <w:r>
        <w:rPr>
          <w:rFonts w:hint="eastAsia" w:ascii="宋体" w:hAnsi="宋体" w:eastAsia="宋体"/>
          <w:bCs/>
          <w:color w:val="auto"/>
          <w:sz w:val="24"/>
          <w:highlight w:val="none"/>
          <w:lang w:val="en-US" w:eastAsia="zh-CN"/>
        </w:rPr>
        <w:t>中标候选人</w:t>
      </w:r>
      <w:r>
        <w:rPr>
          <w:rFonts w:hint="eastAsia" w:ascii="宋体" w:hAnsi="宋体"/>
          <w:bCs/>
          <w:color w:val="auto"/>
          <w:sz w:val="24"/>
          <w:highlight w:val="none"/>
        </w:rPr>
        <w:t>的排名次序按投标人总得分从高到低顺序排列，即总得分最高者为中标候选人</w:t>
      </w:r>
      <w:r>
        <w:rPr>
          <w:rFonts w:hint="eastAsia" w:ascii="宋体" w:hAnsi="宋体"/>
          <w:bCs/>
          <w:color w:val="auto"/>
          <w:sz w:val="24"/>
          <w:highlight w:val="none"/>
          <w:lang w:eastAsia="zh-CN"/>
        </w:rPr>
        <w:t>，</w:t>
      </w:r>
      <w:r>
        <w:rPr>
          <w:rFonts w:hint="eastAsia" w:ascii="宋体" w:hAnsi="宋体"/>
          <w:bCs/>
          <w:color w:val="auto"/>
          <w:sz w:val="24"/>
          <w:highlight w:val="none"/>
        </w:rPr>
        <w:t>若出现总得分相同时，按资信技术标得分由高到低顺序排列；若以上均相同的，则抽签确定。</w:t>
      </w:r>
    </w:p>
    <w:p w14:paraId="3FF48E11">
      <w:pPr>
        <w:spacing w:line="360" w:lineRule="auto"/>
        <w:ind w:firstLine="482" w:firstLineChars="200"/>
        <w:jc w:val="center"/>
        <w:rPr>
          <w:rFonts w:hint="default"/>
          <w:b/>
          <w:bCs w:val="0"/>
          <w:color w:val="auto"/>
          <w:sz w:val="36"/>
          <w:szCs w:val="36"/>
          <w:highlight w:val="none"/>
          <w:lang w:val="en-US"/>
        </w:rPr>
      </w:pPr>
      <w:r>
        <w:rPr>
          <w:rFonts w:hint="eastAsia" w:ascii="宋体" w:hAnsi="Times New Roman" w:eastAsia="宋体" w:cs="宋体"/>
          <w:b/>
          <w:bCs/>
          <w:color w:val="auto"/>
          <w:sz w:val="24"/>
          <w:szCs w:val="24"/>
          <w:highlight w:val="none"/>
          <w:lang w:val="en-US" w:eastAsia="zh-CN"/>
        </w:rPr>
        <w:br w:type="page"/>
      </w:r>
      <w:r>
        <w:rPr>
          <w:rFonts w:hint="eastAsia"/>
          <w:b/>
          <w:bCs w:val="0"/>
          <w:color w:val="auto"/>
          <w:sz w:val="36"/>
          <w:szCs w:val="36"/>
          <w:highlight w:val="none"/>
        </w:rPr>
        <w:t>第五</w:t>
      </w:r>
      <w:r>
        <w:rPr>
          <w:rFonts w:hint="eastAsia" w:eastAsia="宋体"/>
          <w:b/>
          <w:bCs w:val="0"/>
          <w:color w:val="auto"/>
          <w:sz w:val="36"/>
          <w:szCs w:val="36"/>
          <w:highlight w:val="none"/>
          <w:lang w:val="en-US" w:eastAsia="zh-CN"/>
        </w:rPr>
        <w:t>章</w:t>
      </w:r>
      <w:r>
        <w:rPr>
          <w:rFonts w:hint="eastAsia"/>
          <w:b/>
          <w:bCs w:val="0"/>
          <w:color w:val="auto"/>
          <w:sz w:val="36"/>
          <w:szCs w:val="36"/>
          <w:highlight w:val="none"/>
        </w:rPr>
        <w:t xml:space="preserve"> </w:t>
      </w:r>
      <w:r>
        <w:rPr>
          <w:rFonts w:hint="eastAsia"/>
          <w:b/>
          <w:bCs w:val="0"/>
          <w:color w:val="auto"/>
          <w:sz w:val="36"/>
          <w:szCs w:val="36"/>
          <w:highlight w:val="none"/>
          <w:lang w:val="en-US" w:eastAsia="zh-CN"/>
        </w:rPr>
        <w:t xml:space="preserve">    合同条款</w:t>
      </w:r>
    </w:p>
    <w:p w14:paraId="2111257C">
      <w:pPr>
        <w:pStyle w:val="3"/>
        <w:spacing w:before="0" w:after="0"/>
        <w:ind w:firstLine="481"/>
        <w:jc w:val="center"/>
        <w:rPr>
          <w:rFonts w:hint="eastAsia" w:ascii="宋体" w:hAnsi="宋体" w:cs="宋体"/>
          <w:color w:val="auto"/>
          <w:sz w:val="24"/>
          <w:szCs w:val="22"/>
          <w:highlight w:val="none"/>
        </w:rPr>
      </w:pPr>
      <w:r>
        <w:rPr>
          <w:rFonts w:hint="eastAsia" w:ascii="宋体" w:hAnsi="宋体" w:cs="宋体"/>
          <w:color w:val="auto"/>
          <w:sz w:val="24"/>
          <w:szCs w:val="22"/>
          <w:highlight w:val="none"/>
        </w:rPr>
        <w:t>（此稿为合同样本，最终定稿待双方协商后定）</w:t>
      </w:r>
    </w:p>
    <w:p w14:paraId="20FF7B21">
      <w:pPr>
        <w:jc w:val="center"/>
        <w:rPr>
          <w:rFonts w:hint="eastAsia"/>
          <w:color w:val="auto"/>
          <w:sz w:val="32"/>
          <w:szCs w:val="18"/>
          <w:highlight w:val="none"/>
          <w:lang w:val="en-US" w:eastAsia="zh-CN"/>
        </w:rPr>
      </w:pPr>
      <w:r>
        <w:rPr>
          <w:rFonts w:hint="eastAsia" w:eastAsia="宋体"/>
          <w:b/>
          <w:color w:val="auto"/>
          <w:kern w:val="44"/>
          <w:sz w:val="32"/>
          <w:szCs w:val="18"/>
          <w:highlight w:val="none"/>
          <w:lang w:val="en-US" w:eastAsia="zh-CN" w:bidi="ar-SA"/>
        </w:rPr>
        <w:t>台州湾陆岛联动综合码头工程（一期）</w:t>
      </w:r>
    </w:p>
    <w:p w14:paraId="7281F935">
      <w:pPr>
        <w:pStyle w:val="3"/>
        <w:jc w:val="center"/>
        <w:rPr>
          <w:rFonts w:hint="eastAsia" w:eastAsia="宋体"/>
          <w:color w:val="auto"/>
          <w:sz w:val="32"/>
          <w:szCs w:val="18"/>
          <w:highlight w:val="none"/>
          <w:lang w:eastAsia="zh-CN"/>
        </w:rPr>
      </w:pPr>
      <w:r>
        <w:rPr>
          <w:rFonts w:hint="eastAsia"/>
          <w:color w:val="auto"/>
          <w:sz w:val="32"/>
          <w:szCs w:val="18"/>
          <w:highlight w:val="none"/>
          <w:lang w:eastAsia="zh-CN"/>
        </w:rPr>
        <w:t>建筑工程一切险</w:t>
      </w:r>
      <w:r>
        <w:rPr>
          <w:rFonts w:hint="eastAsia"/>
          <w:color w:val="auto"/>
          <w:sz w:val="32"/>
          <w:szCs w:val="18"/>
          <w:highlight w:val="none"/>
        </w:rPr>
        <w:t>及</w:t>
      </w:r>
      <w:r>
        <w:rPr>
          <w:rFonts w:hint="eastAsia"/>
          <w:color w:val="auto"/>
          <w:sz w:val="32"/>
          <w:szCs w:val="18"/>
          <w:highlight w:val="none"/>
          <w:lang w:val="en-US" w:eastAsia="zh-CN"/>
        </w:rPr>
        <w:t>安全生产</w:t>
      </w:r>
      <w:r>
        <w:rPr>
          <w:rFonts w:hint="eastAsia"/>
          <w:color w:val="auto"/>
          <w:sz w:val="32"/>
          <w:szCs w:val="18"/>
          <w:highlight w:val="none"/>
        </w:rPr>
        <w:t>责任险保险</w:t>
      </w:r>
      <w:r>
        <w:rPr>
          <w:rFonts w:hint="eastAsia"/>
          <w:color w:val="auto"/>
          <w:sz w:val="32"/>
          <w:szCs w:val="18"/>
          <w:highlight w:val="none"/>
          <w:lang w:val="en-US" w:eastAsia="zh-CN"/>
        </w:rPr>
        <w:t>服务</w:t>
      </w:r>
    </w:p>
    <w:p w14:paraId="3EDE9FFA">
      <w:pPr>
        <w:rPr>
          <w:rFonts w:hint="eastAsia"/>
          <w:color w:val="auto"/>
          <w:highlight w:val="none"/>
        </w:rPr>
      </w:pPr>
    </w:p>
    <w:p w14:paraId="6EA05D3C">
      <w:pPr>
        <w:spacing w:line="360" w:lineRule="auto"/>
        <w:ind w:firstLine="420"/>
        <w:rPr>
          <w:rFonts w:eastAsia="宋体" w:cs="宋体"/>
          <w:bCs/>
          <w:color w:val="auto"/>
          <w:sz w:val="21"/>
          <w:szCs w:val="21"/>
          <w:highlight w:val="none"/>
        </w:rPr>
      </w:pPr>
      <w:r>
        <w:rPr>
          <w:rFonts w:hint="eastAsia" w:eastAsia="宋体" w:cs="宋体"/>
          <w:bCs/>
          <w:color w:val="auto"/>
          <w:sz w:val="21"/>
          <w:szCs w:val="21"/>
          <w:highlight w:val="none"/>
        </w:rPr>
        <w:t>投保人</w:t>
      </w:r>
      <w:r>
        <w:rPr>
          <w:rFonts w:hint="eastAsia" w:eastAsia="宋体" w:cs="宋体"/>
          <w:bCs/>
          <w:color w:val="auto"/>
          <w:sz w:val="21"/>
          <w:szCs w:val="21"/>
          <w:highlight w:val="none"/>
          <w:lang w:eastAsia="zh-CN"/>
        </w:rPr>
        <w:t>：</w:t>
      </w:r>
      <w:r>
        <w:rPr>
          <w:rFonts w:hint="eastAsia" w:cs="宋体"/>
          <w:bCs/>
          <w:color w:val="auto"/>
          <w:szCs w:val="21"/>
          <w:highlight w:val="none"/>
          <w:shd w:val="clear" w:color="auto" w:fill="auto"/>
          <w:lang w:val="en-US" w:eastAsia="zh-CN"/>
        </w:rPr>
        <w:t xml:space="preserve">                   </w:t>
      </w:r>
      <w:r>
        <w:rPr>
          <w:rFonts w:hint="eastAsia" w:eastAsia="宋体" w:cs="宋体"/>
          <w:bCs/>
          <w:color w:val="auto"/>
          <w:sz w:val="21"/>
          <w:szCs w:val="21"/>
          <w:highlight w:val="none"/>
        </w:rPr>
        <w:t>（以下简称甲方）</w:t>
      </w:r>
    </w:p>
    <w:p w14:paraId="4F6B4E0C">
      <w:pPr>
        <w:spacing w:line="360" w:lineRule="auto"/>
        <w:ind w:firstLine="420"/>
        <w:rPr>
          <w:rFonts w:eastAsia="宋体" w:cs="宋体"/>
          <w:bCs/>
          <w:color w:val="auto"/>
          <w:sz w:val="21"/>
          <w:szCs w:val="21"/>
          <w:highlight w:val="none"/>
        </w:rPr>
      </w:pPr>
      <w:r>
        <w:rPr>
          <w:rFonts w:hint="eastAsia" w:eastAsia="宋体" w:cs="宋体"/>
          <w:bCs/>
          <w:color w:val="auto"/>
          <w:sz w:val="21"/>
          <w:szCs w:val="21"/>
          <w:highlight w:val="none"/>
        </w:rPr>
        <w:t>保险人</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 xml:space="preserve">                    </w:t>
      </w:r>
      <w:r>
        <w:rPr>
          <w:rFonts w:hint="eastAsia" w:eastAsia="宋体" w:cs="宋体"/>
          <w:bCs/>
          <w:color w:val="auto"/>
          <w:sz w:val="21"/>
          <w:szCs w:val="21"/>
          <w:highlight w:val="none"/>
        </w:rPr>
        <w:t>（以下简称乙方）</w:t>
      </w:r>
    </w:p>
    <w:p w14:paraId="3FD0E121">
      <w:pPr>
        <w:tabs>
          <w:tab w:val="left" w:pos="0"/>
        </w:tabs>
        <w:spacing w:line="360" w:lineRule="auto"/>
        <w:ind w:firstLine="420"/>
        <w:rPr>
          <w:rFonts w:hint="eastAsia" w:ascii="宋体" w:hAnsi="宋体" w:eastAsia="宋体" w:cs="宋体"/>
          <w:color w:val="auto"/>
          <w:sz w:val="28"/>
          <w:highlight w:val="none"/>
          <w:u w:val="single"/>
        </w:rPr>
      </w:pPr>
      <w:r>
        <w:rPr>
          <w:rFonts w:hint="eastAsia" w:eastAsia="宋体" w:cs="宋体"/>
          <w:bCs/>
          <w:color w:val="auto"/>
          <w:sz w:val="21"/>
          <w:szCs w:val="21"/>
          <w:highlight w:val="none"/>
        </w:rPr>
        <w:t>发包人：</w:t>
      </w:r>
      <w:r>
        <w:rPr>
          <w:rFonts w:hint="eastAsia" w:cs="宋体"/>
          <w:bCs/>
          <w:color w:val="auto"/>
          <w:szCs w:val="21"/>
          <w:highlight w:val="none"/>
          <w:shd w:val="clear" w:color="auto" w:fill="auto"/>
          <w:lang w:eastAsia="zh-CN"/>
        </w:rPr>
        <w:t>台州西廊港口开发有限公司</w:t>
      </w:r>
      <w:r>
        <w:rPr>
          <w:rFonts w:hint="eastAsia" w:eastAsia="宋体" w:cs="宋体"/>
          <w:bCs/>
          <w:color w:val="auto"/>
          <w:sz w:val="21"/>
          <w:szCs w:val="21"/>
          <w:highlight w:val="none"/>
        </w:rPr>
        <w:t>（以下简称丙方）</w:t>
      </w:r>
    </w:p>
    <w:p w14:paraId="31FCA232">
      <w:pPr>
        <w:spacing w:line="400" w:lineRule="exact"/>
        <w:ind w:firstLine="420" w:firstLineChars="200"/>
        <w:rPr>
          <w:rFonts w:hint="eastAsia" w:cs="宋体"/>
          <w:bCs/>
          <w:color w:val="auto"/>
          <w:szCs w:val="21"/>
          <w:highlight w:val="none"/>
        </w:rPr>
      </w:pPr>
      <w:r>
        <w:rPr>
          <w:rFonts w:hint="eastAsia" w:eastAsia="宋体" w:cs="宋体"/>
          <w:bCs/>
          <w:color w:val="auto"/>
          <w:sz w:val="21"/>
          <w:szCs w:val="21"/>
          <w:highlight w:val="none"/>
        </w:rPr>
        <w:t>经纪人：</w:t>
      </w:r>
      <w:r>
        <w:rPr>
          <w:rFonts w:hint="eastAsia" w:eastAsia="宋体" w:cs="宋体"/>
          <w:bCs/>
          <w:color w:val="auto"/>
          <w:sz w:val="21"/>
          <w:szCs w:val="21"/>
          <w:highlight w:val="none"/>
          <w:lang w:val="en-US" w:eastAsia="zh-CN"/>
        </w:rPr>
        <w:t>浙江涌嘉保险经纪有限公司</w:t>
      </w:r>
      <w:r>
        <w:rPr>
          <w:rFonts w:hint="eastAsia" w:eastAsia="宋体" w:cs="宋体"/>
          <w:bCs/>
          <w:color w:val="auto"/>
          <w:sz w:val="21"/>
          <w:szCs w:val="21"/>
          <w:highlight w:val="none"/>
        </w:rPr>
        <w:t>（以下简称丁方）</w:t>
      </w:r>
    </w:p>
    <w:p w14:paraId="412B42CF">
      <w:pPr>
        <w:spacing w:before="157" w:beforeLines="50" w:after="157" w:afterLines="50" w:line="400" w:lineRule="exact"/>
        <w:ind w:firstLine="560" w:firstLineChars="200"/>
        <w:jc w:val="center"/>
        <w:rPr>
          <w:rFonts w:hint="eastAsia" w:cs="宋体"/>
          <w:bCs/>
          <w:color w:val="auto"/>
          <w:szCs w:val="21"/>
          <w:highlight w:val="none"/>
        </w:rPr>
      </w:pPr>
      <w:r>
        <w:rPr>
          <w:rFonts w:hint="eastAsia" w:ascii="Arial" w:hAnsi="Arial" w:cs="Times New Roman"/>
          <w:b/>
          <w:bCs w:val="0"/>
          <w:color w:val="auto"/>
          <w:sz w:val="28"/>
          <w:szCs w:val="22"/>
          <w:highlight w:val="none"/>
          <w:shd w:val="clear" w:color="auto" w:fill="auto"/>
          <w:lang w:val="en-US" w:eastAsia="zh-CN"/>
        </w:rPr>
        <w:t>前言</w:t>
      </w:r>
    </w:p>
    <w:p w14:paraId="2C1FEBE5">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rPr>
        <w:t>为全面保障</w:t>
      </w:r>
      <w:r>
        <w:rPr>
          <w:rFonts w:hint="eastAsia" w:cs="宋体"/>
          <w:bCs/>
          <w:color w:val="auto"/>
          <w:szCs w:val="21"/>
          <w:highlight w:val="none"/>
          <w:lang w:eastAsia="zh-CN"/>
        </w:rPr>
        <w:t>台州湾陆岛联动综合码头工程（</w:t>
      </w:r>
      <w:r>
        <w:rPr>
          <w:rFonts w:hint="eastAsia" w:cs="宋体"/>
          <w:bCs/>
          <w:color w:val="auto"/>
          <w:szCs w:val="21"/>
          <w:highlight w:val="none"/>
          <w:lang w:val="en-US" w:eastAsia="zh-CN"/>
        </w:rPr>
        <w:t>一期</w:t>
      </w:r>
      <w:r>
        <w:rPr>
          <w:rFonts w:hint="eastAsia" w:cs="宋体"/>
          <w:bCs/>
          <w:color w:val="auto"/>
          <w:szCs w:val="21"/>
          <w:highlight w:val="none"/>
          <w:lang w:eastAsia="zh-CN"/>
        </w:rPr>
        <w:t>）</w:t>
      </w:r>
      <w:r>
        <w:rPr>
          <w:rFonts w:hint="eastAsia" w:cs="宋体"/>
          <w:bCs/>
          <w:color w:val="auto"/>
          <w:szCs w:val="21"/>
          <w:highlight w:val="none"/>
        </w:rPr>
        <w:t>施工</w:t>
      </w:r>
      <w:r>
        <w:rPr>
          <w:rFonts w:hint="eastAsia" w:cs="宋体"/>
          <w:bCs/>
          <w:color w:val="auto"/>
          <w:szCs w:val="21"/>
          <w:highlight w:val="none"/>
          <w:lang w:eastAsia="zh-CN"/>
        </w:rPr>
        <w:t>安全</w:t>
      </w:r>
      <w:r>
        <w:rPr>
          <w:rFonts w:hint="eastAsia" w:cs="宋体"/>
          <w:bCs/>
          <w:color w:val="auto"/>
          <w:szCs w:val="21"/>
          <w:highlight w:val="none"/>
        </w:rPr>
        <w:t>，实施风险管理，充分发挥经济效益，根据《中华人民共和国</w:t>
      </w:r>
      <w:r>
        <w:rPr>
          <w:rFonts w:hint="eastAsia" w:eastAsia="宋体" w:cs="宋体"/>
          <w:bCs/>
          <w:color w:val="auto"/>
          <w:sz w:val="21"/>
          <w:szCs w:val="21"/>
          <w:highlight w:val="none"/>
        </w:rPr>
        <w:t>民法典</w:t>
      </w:r>
      <w:r>
        <w:rPr>
          <w:rFonts w:hint="eastAsia" w:cs="宋体"/>
          <w:bCs/>
          <w:color w:val="auto"/>
          <w:szCs w:val="21"/>
          <w:highlight w:val="none"/>
        </w:rPr>
        <w:t>》、《中华人民共和国保险法》及其他相关法律、行政法规、规章的规定</w:t>
      </w:r>
      <w:r>
        <w:rPr>
          <w:rFonts w:hint="eastAsia" w:cs="宋体"/>
          <w:bCs/>
          <w:color w:val="auto"/>
          <w:szCs w:val="21"/>
          <w:highlight w:val="none"/>
          <w:lang w:eastAsia="zh-CN"/>
        </w:rPr>
        <w:t>及</w:t>
      </w:r>
      <w:r>
        <w:rPr>
          <w:rFonts w:hint="eastAsia" w:cs="宋体"/>
          <w:bCs/>
          <w:color w:val="auto"/>
          <w:szCs w:val="21"/>
          <w:highlight w:val="none"/>
          <w:shd w:val="clear" w:color="auto" w:fill="auto"/>
          <w:lang w:eastAsia="zh-CN"/>
        </w:rPr>
        <w:t>台州西廊港口开发有限公司、中交第三航务工程局有限公司</w:t>
      </w:r>
      <w:r>
        <w:rPr>
          <w:rFonts w:hint="eastAsia" w:cs="宋体"/>
          <w:bCs/>
          <w:color w:val="auto"/>
          <w:szCs w:val="21"/>
          <w:highlight w:val="none"/>
          <w:lang w:eastAsia="zh-CN"/>
        </w:rPr>
        <w:t>对本标段保险项目的招标结果，并</w:t>
      </w:r>
      <w:r>
        <w:rPr>
          <w:rFonts w:hint="eastAsia" w:cs="宋体"/>
          <w:bCs/>
          <w:color w:val="auto"/>
          <w:szCs w:val="21"/>
          <w:highlight w:val="none"/>
        </w:rPr>
        <w:t>遵循诚实信用和公平原则，自愿签订本保险合同</w:t>
      </w:r>
      <w:r>
        <w:rPr>
          <w:rFonts w:hint="eastAsia" w:cs="宋体"/>
          <w:bCs/>
          <w:color w:val="auto"/>
          <w:szCs w:val="21"/>
          <w:highlight w:val="none"/>
          <w:shd w:val="clear" w:color="auto" w:fill="auto"/>
        </w:rPr>
        <w:t>。</w:t>
      </w:r>
    </w:p>
    <w:p w14:paraId="6D5C5A76">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本合同中的主险条款和</w:t>
      </w:r>
      <w:r>
        <w:rPr>
          <w:rFonts w:hint="eastAsia" w:cs="宋体"/>
          <w:bCs/>
          <w:color w:val="auto"/>
          <w:szCs w:val="21"/>
          <w:highlight w:val="none"/>
          <w:shd w:val="clear" w:color="auto" w:fill="auto"/>
          <w:lang w:eastAsia="zh-CN"/>
        </w:rPr>
        <w:t>扩展</w:t>
      </w:r>
      <w:r>
        <w:rPr>
          <w:rFonts w:hint="eastAsia" w:cs="宋体"/>
          <w:bCs/>
          <w:color w:val="auto"/>
          <w:szCs w:val="21"/>
          <w:highlight w:val="none"/>
          <w:shd w:val="clear" w:color="auto" w:fill="auto"/>
        </w:rPr>
        <w:t>条款有冲突的，优先适用</w:t>
      </w:r>
      <w:r>
        <w:rPr>
          <w:rFonts w:hint="eastAsia" w:cs="宋体"/>
          <w:bCs/>
          <w:color w:val="auto"/>
          <w:szCs w:val="21"/>
          <w:highlight w:val="none"/>
          <w:shd w:val="clear" w:color="auto" w:fill="auto"/>
          <w:lang w:eastAsia="zh-CN"/>
        </w:rPr>
        <w:t>扩展</w:t>
      </w:r>
      <w:r>
        <w:rPr>
          <w:rFonts w:hint="eastAsia" w:cs="宋体"/>
          <w:bCs/>
          <w:color w:val="auto"/>
          <w:szCs w:val="21"/>
          <w:highlight w:val="none"/>
          <w:shd w:val="clear" w:color="auto" w:fill="auto"/>
        </w:rPr>
        <w:t>条款；</w:t>
      </w:r>
      <w:r>
        <w:rPr>
          <w:rFonts w:hint="eastAsia" w:cs="宋体"/>
          <w:bCs/>
          <w:color w:val="auto"/>
          <w:szCs w:val="21"/>
          <w:highlight w:val="none"/>
          <w:shd w:val="clear" w:color="auto" w:fill="auto"/>
          <w:lang w:eastAsia="zh-CN"/>
        </w:rPr>
        <w:t>扩展</w:t>
      </w:r>
      <w:r>
        <w:rPr>
          <w:rFonts w:hint="eastAsia" w:cs="宋体"/>
          <w:bCs/>
          <w:color w:val="auto"/>
          <w:szCs w:val="21"/>
          <w:highlight w:val="none"/>
          <w:shd w:val="clear" w:color="auto" w:fill="auto"/>
        </w:rPr>
        <w:t>条款</w:t>
      </w:r>
      <w:r>
        <w:rPr>
          <w:rFonts w:hint="eastAsia" w:cs="宋体"/>
          <w:bCs/>
          <w:color w:val="auto"/>
          <w:szCs w:val="21"/>
          <w:highlight w:val="none"/>
          <w:shd w:val="clear" w:color="auto" w:fill="auto"/>
          <w:lang w:val="en-US" w:eastAsia="zh-CN"/>
        </w:rPr>
        <w:t>与特别</w:t>
      </w:r>
      <w:r>
        <w:rPr>
          <w:rFonts w:hint="eastAsia" w:cs="宋体"/>
          <w:bCs/>
          <w:color w:val="auto"/>
          <w:szCs w:val="21"/>
          <w:highlight w:val="none"/>
          <w:shd w:val="clear" w:color="auto" w:fill="auto"/>
        </w:rPr>
        <w:t>约定条款有冲突的，优先适用</w:t>
      </w:r>
      <w:r>
        <w:rPr>
          <w:rFonts w:hint="eastAsia" w:cs="宋体"/>
          <w:bCs/>
          <w:color w:val="auto"/>
          <w:szCs w:val="21"/>
          <w:highlight w:val="none"/>
          <w:shd w:val="clear" w:color="auto" w:fill="auto"/>
          <w:lang w:val="en-US" w:eastAsia="zh-CN"/>
        </w:rPr>
        <w:t>特别</w:t>
      </w:r>
      <w:r>
        <w:rPr>
          <w:rFonts w:hint="eastAsia" w:cs="宋体"/>
          <w:bCs/>
          <w:color w:val="auto"/>
          <w:szCs w:val="21"/>
          <w:highlight w:val="none"/>
          <w:shd w:val="clear" w:color="auto" w:fill="auto"/>
        </w:rPr>
        <w:t>约定条款；</w:t>
      </w:r>
      <w:r>
        <w:rPr>
          <w:rFonts w:hint="eastAsia" w:cs="宋体"/>
          <w:bCs/>
          <w:color w:val="auto"/>
          <w:szCs w:val="21"/>
          <w:highlight w:val="none"/>
          <w:shd w:val="clear" w:color="auto" w:fill="auto"/>
          <w:lang w:eastAsia="zh-CN"/>
        </w:rPr>
        <w:t>扩展</w:t>
      </w:r>
      <w:r>
        <w:rPr>
          <w:rFonts w:hint="eastAsia" w:cs="宋体"/>
          <w:bCs/>
          <w:color w:val="auto"/>
          <w:szCs w:val="21"/>
          <w:highlight w:val="none"/>
          <w:shd w:val="clear" w:color="auto" w:fill="auto"/>
        </w:rPr>
        <w:t>条款</w:t>
      </w:r>
      <w:r>
        <w:rPr>
          <w:rFonts w:hint="eastAsia" w:cs="宋体"/>
          <w:bCs/>
          <w:color w:val="auto"/>
          <w:szCs w:val="21"/>
          <w:highlight w:val="none"/>
          <w:shd w:val="clear" w:color="auto" w:fill="auto"/>
          <w:lang w:val="en-US" w:eastAsia="zh-CN"/>
        </w:rPr>
        <w:t>与特别</w:t>
      </w:r>
      <w:r>
        <w:rPr>
          <w:rFonts w:hint="eastAsia" w:cs="宋体"/>
          <w:bCs/>
          <w:color w:val="auto"/>
          <w:szCs w:val="21"/>
          <w:highlight w:val="none"/>
          <w:shd w:val="clear" w:color="auto" w:fill="auto"/>
        </w:rPr>
        <w:t>约定条款之间有冲突的，优先适用有利于被保险人的条款。</w:t>
      </w:r>
    </w:p>
    <w:p w14:paraId="712A7023">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shd w:val="clear" w:color="auto" w:fill="auto"/>
        </w:rPr>
        <w:t>本保险合同项下的保险由</w:t>
      </w:r>
      <w:bookmarkStart w:id="21" w:name="OLE_LINK1"/>
      <w:r>
        <w:rPr>
          <w:rFonts w:hint="eastAsia" w:cs="宋体"/>
          <w:bCs/>
          <w:color w:val="auto"/>
          <w:szCs w:val="21"/>
          <w:highlight w:val="none"/>
          <w:shd w:val="clear" w:color="auto" w:fill="auto"/>
        </w:rPr>
        <w:t>首席</w:t>
      </w:r>
      <w:bookmarkEnd w:id="21"/>
      <w:r>
        <w:rPr>
          <w:rFonts w:hint="eastAsia" w:cs="宋体"/>
          <w:bCs/>
          <w:color w:val="auto"/>
          <w:szCs w:val="21"/>
          <w:highlight w:val="none"/>
          <w:shd w:val="clear" w:color="auto" w:fill="auto"/>
        </w:rPr>
        <w:t>保险人和各</w:t>
      </w:r>
      <w:bookmarkStart w:id="22" w:name="OLE_LINK2"/>
      <w:r>
        <w:rPr>
          <w:rFonts w:hint="eastAsia" w:cs="宋体"/>
          <w:bCs/>
          <w:color w:val="auto"/>
          <w:szCs w:val="21"/>
          <w:highlight w:val="none"/>
          <w:shd w:val="clear" w:color="auto" w:fill="auto"/>
        </w:rPr>
        <w:t>共同</w:t>
      </w:r>
      <w:bookmarkEnd w:id="22"/>
      <w:r>
        <w:rPr>
          <w:rFonts w:hint="eastAsia" w:cs="宋体"/>
          <w:bCs/>
          <w:color w:val="auto"/>
          <w:szCs w:val="21"/>
          <w:highlight w:val="none"/>
          <w:shd w:val="clear" w:color="auto" w:fill="auto"/>
        </w:rPr>
        <w:t>保险人按比例共同承保，一旦发生保险事故，首先由首席保险人无条件优先履行全部赔偿，首席保险人对共同保险人享有请求权。各保险人承担的保险责任，按各保险人承保比例计算。保险费、赔款和共保各方共同确定的费用支出由共保各方按共保比例分享和承担。首席保险人具体负责与投保人的联系以及办理承保、防灾、理赔（包括确定赔偿金额）等保险事务，共同保险人有权参与上述事务。若共保人意见不同的，以首席</w:t>
      </w:r>
      <w:bookmarkStart w:id="23" w:name="OLE_LINK5"/>
      <w:r>
        <w:rPr>
          <w:rFonts w:hint="eastAsia" w:cs="宋体"/>
          <w:bCs/>
          <w:color w:val="auto"/>
          <w:szCs w:val="21"/>
          <w:highlight w:val="none"/>
          <w:shd w:val="clear" w:color="auto" w:fill="auto"/>
        </w:rPr>
        <w:t>保险人</w:t>
      </w:r>
      <w:bookmarkEnd w:id="23"/>
      <w:r>
        <w:rPr>
          <w:rFonts w:hint="eastAsia" w:cs="宋体"/>
          <w:bCs/>
          <w:color w:val="auto"/>
          <w:szCs w:val="21"/>
          <w:highlight w:val="none"/>
          <w:shd w:val="clear" w:color="auto" w:fill="auto"/>
        </w:rPr>
        <w:t>的意见为准，首席保险人的意见作为保险人的最终意见。若共保人之间产生争议的，其他各方概不负责。</w:t>
      </w:r>
    </w:p>
    <w:p w14:paraId="4A187B66">
      <w:pPr>
        <w:pStyle w:val="4"/>
        <w:spacing w:before="156" w:after="156"/>
        <w:rPr>
          <w:rFonts w:hint="eastAsia"/>
          <w:color w:val="auto"/>
          <w:sz w:val="24"/>
          <w:szCs w:val="24"/>
          <w:highlight w:val="none"/>
        </w:rPr>
      </w:pPr>
      <w:bookmarkStart w:id="24" w:name="_Toc28099"/>
      <w:bookmarkStart w:id="25" w:name="_Toc15661"/>
      <w:bookmarkStart w:id="26" w:name="_Toc9165"/>
      <w:r>
        <w:rPr>
          <w:rFonts w:hint="eastAsia"/>
          <w:color w:val="auto"/>
          <w:sz w:val="24"/>
          <w:szCs w:val="24"/>
          <w:highlight w:val="none"/>
        </w:rPr>
        <w:t>一、投保人名称、地址</w:t>
      </w:r>
      <w:bookmarkEnd w:id="24"/>
      <w:bookmarkEnd w:id="25"/>
      <w:bookmarkEnd w:id="26"/>
      <w:r>
        <w:rPr>
          <w:rFonts w:hint="eastAsia"/>
          <w:color w:val="auto"/>
          <w:sz w:val="24"/>
          <w:szCs w:val="24"/>
          <w:highlight w:val="none"/>
        </w:rPr>
        <w:t>：</w:t>
      </w:r>
    </w:p>
    <w:p w14:paraId="4EBFE142">
      <w:pPr>
        <w:spacing w:line="400" w:lineRule="exact"/>
        <w:ind w:firstLine="420" w:firstLineChars="200"/>
        <w:rPr>
          <w:color w:val="auto"/>
          <w:highlight w:val="none"/>
          <w:u w:val="none"/>
        </w:rPr>
      </w:pPr>
      <w:r>
        <w:rPr>
          <w:rFonts w:hint="eastAsia" w:cs="宋体"/>
          <w:bCs/>
          <w:color w:val="auto"/>
          <w:szCs w:val="21"/>
          <w:highlight w:val="none"/>
        </w:rPr>
        <w:t xml:space="preserve">    投保人名称：</w:t>
      </w:r>
      <w:r>
        <w:rPr>
          <w:rFonts w:hint="eastAsia" w:cs="宋体"/>
          <w:bCs/>
          <w:color w:val="auto"/>
          <w:szCs w:val="21"/>
          <w:highlight w:val="none"/>
          <w:shd w:val="clear" w:color="auto" w:fill="auto"/>
          <w:lang w:eastAsia="zh-CN"/>
        </w:rPr>
        <w:t xml:space="preserve">中交第三航务工程局有限公司      </w:t>
      </w:r>
    </w:p>
    <w:p w14:paraId="113D2BB8">
      <w:pPr>
        <w:spacing w:line="400" w:lineRule="exact"/>
        <w:ind w:firstLine="420" w:firstLineChars="200"/>
        <w:rPr>
          <w:rFonts w:hint="default" w:eastAsia="宋体" w:cs="宋体"/>
          <w:bCs/>
          <w:color w:val="auto"/>
          <w:szCs w:val="21"/>
          <w:highlight w:val="none"/>
          <w:shd w:val="clear" w:color="auto" w:fill="auto"/>
          <w:lang w:val="en-US" w:eastAsia="zh-CN"/>
        </w:rPr>
      </w:pPr>
      <w:r>
        <w:rPr>
          <w:rFonts w:hint="eastAsia" w:cs="宋体"/>
          <w:bCs/>
          <w:color w:val="auto"/>
          <w:szCs w:val="21"/>
          <w:highlight w:val="none"/>
        </w:rPr>
        <w:t xml:space="preserve">    地      址：</w:t>
      </w:r>
      <w:r>
        <w:rPr>
          <w:rFonts w:hint="eastAsia" w:cs="宋体"/>
          <w:bCs/>
          <w:color w:val="auto"/>
          <w:szCs w:val="21"/>
          <w:highlight w:val="none"/>
          <w:lang w:val="en-US" w:eastAsia="zh-CN"/>
        </w:rPr>
        <w:t>上海市徐汇区平江路139号</w:t>
      </w:r>
    </w:p>
    <w:p w14:paraId="45686459">
      <w:pPr>
        <w:pStyle w:val="4"/>
        <w:spacing w:before="156" w:after="156"/>
        <w:rPr>
          <w:rFonts w:hint="eastAsia"/>
          <w:color w:val="auto"/>
          <w:sz w:val="24"/>
          <w:szCs w:val="24"/>
          <w:highlight w:val="none"/>
        </w:rPr>
      </w:pPr>
      <w:r>
        <w:rPr>
          <w:rFonts w:hint="eastAsia"/>
          <w:color w:val="auto"/>
          <w:sz w:val="24"/>
          <w:szCs w:val="24"/>
          <w:highlight w:val="none"/>
        </w:rPr>
        <w:t>二、被保险人名称：</w:t>
      </w:r>
    </w:p>
    <w:p w14:paraId="23F0261F">
      <w:pPr>
        <w:spacing w:line="400" w:lineRule="exact"/>
        <w:ind w:firstLine="420" w:firstLineChars="200"/>
        <w:rPr>
          <w:rFonts w:hint="eastAsia" w:cs="宋体"/>
          <w:bCs/>
          <w:color w:val="auto"/>
          <w:szCs w:val="21"/>
          <w:highlight w:val="none"/>
        </w:rPr>
      </w:pPr>
      <w:bookmarkStart w:id="27" w:name="_Toc26859"/>
      <w:bookmarkStart w:id="28" w:name="_Toc4494"/>
      <w:r>
        <w:rPr>
          <w:rFonts w:hint="eastAsia" w:cs="宋体"/>
          <w:bCs/>
          <w:color w:val="auto"/>
          <w:szCs w:val="21"/>
          <w:highlight w:val="none"/>
        </w:rPr>
        <w:t>（一）</w:t>
      </w:r>
      <w:r>
        <w:rPr>
          <w:rFonts w:hint="eastAsia" w:cs="宋体"/>
          <w:bCs/>
          <w:color w:val="auto"/>
          <w:szCs w:val="21"/>
          <w:highlight w:val="none"/>
          <w:shd w:val="clear" w:color="auto" w:fill="auto"/>
          <w:lang w:eastAsia="zh-CN"/>
        </w:rPr>
        <w:t>中交第三航务工程局有限公司</w:t>
      </w:r>
      <w:r>
        <w:rPr>
          <w:rFonts w:hint="eastAsia" w:cs="宋体"/>
          <w:bCs/>
          <w:color w:val="auto"/>
          <w:szCs w:val="21"/>
          <w:highlight w:val="none"/>
        </w:rPr>
        <w:t>；</w:t>
      </w:r>
      <w:bookmarkEnd w:id="27"/>
      <w:bookmarkEnd w:id="28"/>
    </w:p>
    <w:p w14:paraId="0458166C">
      <w:pPr>
        <w:spacing w:line="400" w:lineRule="exact"/>
        <w:ind w:firstLine="420" w:firstLineChars="200"/>
        <w:rPr>
          <w:rFonts w:hint="eastAsia" w:cs="宋体"/>
          <w:bCs/>
          <w:color w:val="auto"/>
          <w:szCs w:val="21"/>
          <w:highlight w:val="none"/>
          <w:shd w:val="clear" w:color="auto" w:fill="auto"/>
        </w:rPr>
      </w:pPr>
      <w:bookmarkStart w:id="29" w:name="_Toc26767"/>
      <w:bookmarkStart w:id="30" w:name="_Toc27547"/>
      <w:bookmarkStart w:id="31" w:name="_Toc11313"/>
      <w:bookmarkStart w:id="32" w:name="_Toc27532"/>
      <w:bookmarkStart w:id="33" w:name="_Toc116"/>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val="en-US" w:eastAsia="zh-CN"/>
        </w:rPr>
        <w:t>二</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台州西廊港口开发有限公司</w:t>
      </w:r>
      <w:r>
        <w:rPr>
          <w:rFonts w:hint="eastAsia" w:cs="宋体"/>
          <w:bCs/>
          <w:color w:val="auto"/>
          <w:szCs w:val="21"/>
          <w:highlight w:val="none"/>
          <w:shd w:val="clear" w:color="auto" w:fill="auto"/>
        </w:rPr>
        <w:t>；</w:t>
      </w:r>
      <w:bookmarkEnd w:id="29"/>
      <w:bookmarkEnd w:id="30"/>
    </w:p>
    <w:p w14:paraId="10F52285">
      <w:pPr>
        <w:spacing w:line="400" w:lineRule="exact"/>
        <w:ind w:left="1050" w:leftChars="200" w:hanging="630" w:hangingChars="300"/>
        <w:rPr>
          <w:rFonts w:hint="eastAsia" w:eastAsia="宋体" w:cs="宋体"/>
          <w:bCs/>
          <w:color w:val="auto"/>
          <w:szCs w:val="21"/>
          <w:highlight w:val="none"/>
          <w:shd w:val="clear" w:color="auto" w:fill="auto"/>
          <w:lang w:eastAsia="zh-CN"/>
        </w:rPr>
      </w:pPr>
      <w:bookmarkStart w:id="34" w:name="_Toc27276"/>
      <w:bookmarkStart w:id="35" w:name="_Toc2031"/>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三</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台州湾陆岛联动综合码头工程（</w:t>
      </w:r>
      <w:r>
        <w:rPr>
          <w:rFonts w:hint="eastAsia" w:cs="宋体"/>
          <w:bCs/>
          <w:color w:val="auto"/>
          <w:szCs w:val="21"/>
          <w:highlight w:val="none"/>
          <w:shd w:val="clear" w:color="auto" w:fill="auto"/>
          <w:lang w:val="en-US" w:eastAsia="zh-CN"/>
        </w:rPr>
        <w:t>一期</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lang w:val="en-US" w:eastAsia="zh-CN"/>
        </w:rPr>
        <w:t>的</w:t>
      </w:r>
      <w:r>
        <w:rPr>
          <w:rFonts w:hint="eastAsia" w:cs="宋体"/>
          <w:bCs/>
          <w:color w:val="auto"/>
          <w:szCs w:val="21"/>
          <w:highlight w:val="none"/>
          <w:shd w:val="clear" w:color="auto" w:fill="auto"/>
        </w:rPr>
        <w:t>设计方、监理方、</w:t>
      </w:r>
      <w:r>
        <w:rPr>
          <w:rFonts w:hint="eastAsia" w:cs="宋体"/>
          <w:bCs/>
          <w:color w:val="auto"/>
          <w:szCs w:val="21"/>
          <w:highlight w:val="none"/>
          <w:shd w:val="clear" w:color="auto" w:fill="auto"/>
          <w:lang w:val="en-US" w:eastAsia="zh-CN"/>
        </w:rPr>
        <w:t>物资</w:t>
      </w:r>
      <w:r>
        <w:rPr>
          <w:rFonts w:hint="eastAsia" w:cs="宋体"/>
          <w:bCs/>
          <w:color w:val="auto"/>
          <w:szCs w:val="21"/>
          <w:highlight w:val="none"/>
          <w:shd w:val="clear" w:color="auto" w:fill="auto"/>
        </w:rPr>
        <w:t>供应商及其相关协作方</w:t>
      </w:r>
      <w:r>
        <w:rPr>
          <w:rFonts w:hint="eastAsia" w:cs="宋体"/>
          <w:bCs/>
          <w:color w:val="auto"/>
          <w:szCs w:val="21"/>
          <w:highlight w:val="none"/>
          <w:shd w:val="clear" w:color="auto" w:fill="auto"/>
          <w:lang w:eastAsia="zh-CN"/>
        </w:rPr>
        <w:t>；</w:t>
      </w:r>
    </w:p>
    <w:p w14:paraId="02988EC2">
      <w:pPr>
        <w:spacing w:line="400" w:lineRule="exact"/>
        <w:ind w:firstLine="420" w:firstLineChars="200"/>
        <w:rPr>
          <w:rFonts w:hint="eastAsia" w:cs="宋体"/>
          <w:bCs/>
          <w:color w:val="auto"/>
          <w:szCs w:val="21"/>
          <w:highlight w:val="none"/>
          <w:shd w:val="clear" w:color="auto" w:fill="auto"/>
          <w:lang w:val="en-US" w:eastAsia="zh-CN"/>
        </w:rPr>
      </w:pP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四</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工程所有</w:t>
      </w:r>
      <w:r>
        <w:rPr>
          <w:rFonts w:hint="eastAsia" w:cs="宋体"/>
          <w:bCs/>
          <w:color w:val="auto"/>
          <w:szCs w:val="21"/>
          <w:highlight w:val="none"/>
          <w:shd w:val="clear" w:color="auto" w:fill="auto"/>
        </w:rPr>
        <w:t>承包人所有的下属单位，及相关协作单位，但所有相关方以其各自在本</w:t>
      </w:r>
      <w:r>
        <w:rPr>
          <w:rFonts w:hint="eastAsia" w:cs="宋体"/>
          <w:bCs/>
          <w:color w:val="auto"/>
          <w:szCs w:val="21"/>
          <w:highlight w:val="none"/>
          <w:shd w:val="clear" w:color="auto" w:fill="auto"/>
          <w:lang w:val="en-US" w:eastAsia="zh-CN"/>
        </w:rPr>
        <w:t xml:space="preserve">  </w:t>
      </w:r>
    </w:p>
    <w:p w14:paraId="66C7D5D5">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保险单中的可保利益为限，且一方违背保单相应规定不影响其它各方的保险利益。</w:t>
      </w:r>
      <w:bookmarkEnd w:id="34"/>
      <w:bookmarkEnd w:id="35"/>
    </w:p>
    <w:p w14:paraId="29AA174B">
      <w:pPr>
        <w:pStyle w:val="4"/>
        <w:spacing w:before="156" w:after="156"/>
        <w:rPr>
          <w:rFonts w:hint="eastAsia"/>
          <w:color w:val="auto"/>
          <w:sz w:val="24"/>
          <w:szCs w:val="24"/>
          <w:highlight w:val="none"/>
        </w:rPr>
      </w:pPr>
      <w:r>
        <w:rPr>
          <w:rFonts w:hint="eastAsia"/>
          <w:color w:val="auto"/>
          <w:sz w:val="24"/>
          <w:szCs w:val="24"/>
          <w:highlight w:val="none"/>
        </w:rPr>
        <w:t>三、保险人名称、地址及承保份额：</w:t>
      </w:r>
      <w:bookmarkEnd w:id="31"/>
      <w:bookmarkEnd w:id="32"/>
      <w:bookmarkEnd w:id="33"/>
    </w:p>
    <w:p w14:paraId="5DF21C6A">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保险人由首席保人和</w:t>
      </w:r>
      <w:r>
        <w:rPr>
          <w:rFonts w:hint="eastAsia" w:cs="宋体"/>
          <w:bCs/>
          <w:color w:val="auto"/>
          <w:szCs w:val="21"/>
          <w:highlight w:val="none"/>
          <w:shd w:val="clear" w:color="auto" w:fill="auto"/>
        </w:rPr>
        <w:t>共同保险人</w:t>
      </w:r>
      <w:r>
        <w:rPr>
          <w:rFonts w:hint="eastAsia" w:cs="宋体"/>
          <w:bCs/>
          <w:color w:val="auto"/>
          <w:szCs w:val="21"/>
          <w:highlight w:val="none"/>
          <w:shd w:val="clear" w:color="auto" w:fill="auto"/>
          <w:lang w:val="en-US" w:eastAsia="zh-CN"/>
        </w:rPr>
        <w:t>共同组成，保险人名称及</w:t>
      </w:r>
      <w:r>
        <w:rPr>
          <w:rFonts w:hint="eastAsia" w:cs="宋体"/>
          <w:bCs/>
          <w:color w:val="auto"/>
          <w:szCs w:val="21"/>
          <w:highlight w:val="none"/>
          <w:shd w:val="clear" w:color="auto" w:fill="auto"/>
        </w:rPr>
        <w:t>份额如下：</w:t>
      </w:r>
    </w:p>
    <w:p w14:paraId="7241E47D">
      <w:pPr>
        <w:spacing w:line="400" w:lineRule="exact"/>
        <w:ind w:right="-92" w:rightChars="-44" w:firstLine="420" w:firstLineChars="200"/>
        <w:rPr>
          <w:rFonts w:hint="eastAsia" w:cs="宋体"/>
          <w:bCs/>
          <w:color w:val="auto"/>
          <w:szCs w:val="21"/>
          <w:highlight w:val="none"/>
        </w:rPr>
      </w:pPr>
      <w:r>
        <w:rPr>
          <w:rFonts w:hint="eastAsia" w:cs="宋体"/>
          <w:bCs/>
          <w:color w:val="auto"/>
          <w:szCs w:val="21"/>
          <w:highlight w:val="none"/>
          <w:lang w:val="en-US" w:eastAsia="zh-CN"/>
        </w:rPr>
        <w:t>首席</w:t>
      </w:r>
      <w:r>
        <w:rPr>
          <w:rFonts w:hint="eastAsia" w:cs="宋体"/>
          <w:bCs/>
          <w:color w:val="auto"/>
          <w:szCs w:val="21"/>
          <w:highlight w:val="none"/>
        </w:rPr>
        <w:t>保人：</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份额%</w:t>
      </w:r>
    </w:p>
    <w:p w14:paraId="30DFF035">
      <w:pPr>
        <w:spacing w:line="400" w:lineRule="exact"/>
        <w:ind w:right="-92" w:rightChars="-44"/>
        <w:rPr>
          <w:rFonts w:hint="eastAsia" w:cs="宋体"/>
          <w:bCs/>
          <w:color w:val="auto"/>
          <w:szCs w:val="21"/>
          <w:highlight w:val="none"/>
        </w:rPr>
      </w:pPr>
      <w:r>
        <w:rPr>
          <w:rFonts w:hint="eastAsia" w:cs="宋体"/>
          <w:bCs/>
          <w:color w:val="auto"/>
          <w:szCs w:val="21"/>
          <w:highlight w:val="none"/>
        </w:rPr>
        <w:t xml:space="preserve">    共同保险人：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份额</w:t>
      </w:r>
      <w:r>
        <w:rPr>
          <w:rFonts w:hint="eastAsia" w:cs="宋体"/>
          <w:bCs/>
          <w:color w:val="auto"/>
          <w:szCs w:val="21"/>
          <w:highlight w:val="none"/>
          <w:lang w:val="en-US" w:eastAsia="zh-CN"/>
        </w:rPr>
        <w:t xml:space="preserve">% </w:t>
      </w:r>
    </w:p>
    <w:p w14:paraId="481420F7">
      <w:pPr>
        <w:tabs>
          <w:tab w:val="left" w:pos="1980"/>
          <w:tab w:val="left" w:pos="2160"/>
        </w:tabs>
        <w:spacing w:line="400" w:lineRule="exact"/>
        <w:ind w:left="210" w:right="-334" w:rightChars="-159" w:hanging="210" w:hangingChars="100"/>
        <w:rPr>
          <w:rFonts w:hint="default" w:eastAsia="宋体" w:cs="宋体"/>
          <w:bCs/>
          <w:color w:val="auto"/>
          <w:szCs w:val="21"/>
          <w:highlight w:val="none"/>
          <w:lang w:val="en-US" w:eastAsia="zh-CN"/>
        </w:rPr>
      </w:pPr>
      <w:r>
        <w:rPr>
          <w:rFonts w:hint="eastAsia" w:cs="宋体"/>
          <w:bCs/>
          <w:color w:val="auto"/>
          <w:szCs w:val="21"/>
          <w:highlight w:val="none"/>
        </w:rPr>
        <w:t xml:space="preserve">    共同保险人：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w:t>
      </w:r>
      <w:r>
        <w:rPr>
          <w:rFonts w:hint="eastAsia" w:cs="宋体"/>
          <w:bCs/>
          <w:color w:val="auto"/>
          <w:szCs w:val="21"/>
          <w:highlight w:val="none"/>
          <w:lang w:val="en-US" w:eastAsia="zh-CN"/>
        </w:rPr>
        <w:t xml:space="preserve">      </w:t>
      </w:r>
      <w:r>
        <w:rPr>
          <w:rFonts w:hint="eastAsia" w:cs="宋体"/>
          <w:bCs/>
          <w:color w:val="auto"/>
          <w:szCs w:val="21"/>
          <w:highlight w:val="none"/>
        </w:rPr>
        <w:t>份额%</w:t>
      </w:r>
    </w:p>
    <w:p w14:paraId="585A69BE">
      <w:pPr>
        <w:pStyle w:val="4"/>
        <w:spacing w:before="156" w:after="156"/>
        <w:rPr>
          <w:rFonts w:hint="eastAsia"/>
          <w:color w:val="auto"/>
          <w:sz w:val="24"/>
          <w:szCs w:val="24"/>
          <w:highlight w:val="none"/>
        </w:rPr>
      </w:pPr>
      <w:r>
        <w:rPr>
          <w:rFonts w:hint="eastAsia"/>
          <w:color w:val="auto"/>
          <w:sz w:val="24"/>
          <w:szCs w:val="24"/>
          <w:highlight w:val="none"/>
        </w:rPr>
        <w:t>四、保险经纪人名称、地址：</w:t>
      </w:r>
    </w:p>
    <w:p w14:paraId="0E1D8C91">
      <w:pPr>
        <w:spacing w:line="400" w:lineRule="exact"/>
        <w:ind w:firstLine="420" w:firstLineChars="200"/>
        <w:rPr>
          <w:rFonts w:hint="eastAsia" w:eastAsia="宋体" w:cs="宋体"/>
          <w:bCs/>
          <w:color w:val="auto"/>
          <w:szCs w:val="21"/>
          <w:highlight w:val="none"/>
          <w:lang w:eastAsia="zh-CN"/>
        </w:rPr>
      </w:pPr>
      <w:r>
        <w:rPr>
          <w:rFonts w:hint="eastAsia" w:cs="宋体"/>
          <w:bCs/>
          <w:color w:val="auto"/>
          <w:szCs w:val="21"/>
          <w:highlight w:val="none"/>
        </w:rPr>
        <w:t>经纪人名称：</w:t>
      </w:r>
      <w:r>
        <w:rPr>
          <w:rFonts w:hint="eastAsia" w:eastAsia="宋体" w:cs="宋体"/>
          <w:bCs/>
          <w:color w:val="auto"/>
          <w:sz w:val="21"/>
          <w:szCs w:val="21"/>
          <w:highlight w:val="none"/>
          <w:lang w:val="en-US" w:eastAsia="zh-CN"/>
        </w:rPr>
        <w:t>浙江涌嘉保险经纪有限公司</w:t>
      </w:r>
      <w:r>
        <w:rPr>
          <w:rFonts w:hint="eastAsia" w:cs="宋体"/>
          <w:bCs/>
          <w:color w:val="auto"/>
          <w:szCs w:val="21"/>
          <w:highlight w:val="none"/>
          <w:lang w:eastAsia="zh-CN"/>
        </w:rPr>
        <w:t xml:space="preserve">  </w:t>
      </w:r>
    </w:p>
    <w:p w14:paraId="025EFD83">
      <w:pPr>
        <w:spacing w:line="400" w:lineRule="exact"/>
        <w:ind w:firstLine="420" w:firstLineChars="200"/>
        <w:rPr>
          <w:rFonts w:hint="default" w:eastAsia="宋体" w:cs="宋体"/>
          <w:bCs/>
          <w:color w:val="auto"/>
          <w:szCs w:val="21"/>
          <w:highlight w:val="none"/>
          <w:lang w:val="en-US" w:eastAsia="zh-CN"/>
        </w:rPr>
      </w:pPr>
      <w:r>
        <w:rPr>
          <w:rFonts w:hint="eastAsia" w:cs="宋体"/>
          <w:bCs/>
          <w:color w:val="auto"/>
          <w:szCs w:val="21"/>
          <w:highlight w:val="none"/>
        </w:rPr>
        <w:t>地      址：</w:t>
      </w:r>
      <w:r>
        <w:rPr>
          <w:rFonts w:hint="eastAsia" w:cs="宋体"/>
          <w:bCs/>
          <w:color w:val="auto"/>
          <w:szCs w:val="21"/>
          <w:highlight w:val="none"/>
          <w:lang w:val="en-US" w:eastAsia="zh-CN"/>
        </w:rPr>
        <w:t>浙江省杭州市</w:t>
      </w:r>
    </w:p>
    <w:p w14:paraId="49D64815">
      <w:pPr>
        <w:pStyle w:val="4"/>
        <w:spacing w:before="156" w:after="156"/>
        <w:rPr>
          <w:rFonts w:hint="eastAsia"/>
          <w:color w:val="auto"/>
          <w:sz w:val="24"/>
          <w:szCs w:val="24"/>
          <w:highlight w:val="none"/>
        </w:rPr>
      </w:pPr>
      <w:r>
        <w:rPr>
          <w:rFonts w:hint="eastAsia"/>
          <w:color w:val="auto"/>
          <w:sz w:val="24"/>
          <w:szCs w:val="24"/>
          <w:highlight w:val="none"/>
        </w:rPr>
        <w:t>五、保险工程名称：</w:t>
      </w:r>
    </w:p>
    <w:p w14:paraId="08FDD416">
      <w:pPr>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lang w:eastAsia="zh-CN"/>
        </w:rPr>
        <w:t>台州湾陆岛联动综合码头工程（</w:t>
      </w:r>
      <w:r>
        <w:rPr>
          <w:rFonts w:hint="eastAsia"/>
          <w:color w:val="auto"/>
          <w:highlight w:val="none"/>
          <w:lang w:val="en-US" w:eastAsia="zh-CN"/>
        </w:rPr>
        <w:t>一期</w:t>
      </w:r>
      <w:r>
        <w:rPr>
          <w:rFonts w:hint="eastAsia"/>
          <w:color w:val="auto"/>
          <w:highlight w:val="none"/>
          <w:lang w:eastAsia="zh-CN"/>
        </w:rPr>
        <w:t>）</w:t>
      </w:r>
      <w:r>
        <w:rPr>
          <w:rFonts w:hint="eastAsia"/>
          <w:color w:val="auto"/>
          <w:highlight w:val="none"/>
          <w:shd w:val="clear" w:color="auto" w:fill="auto"/>
          <w:lang w:eastAsia="zh-CN"/>
        </w:rPr>
        <w:t>（</w:t>
      </w:r>
      <w:r>
        <w:rPr>
          <w:rFonts w:hint="eastAsia"/>
          <w:color w:val="auto"/>
          <w:highlight w:val="none"/>
          <w:shd w:val="clear" w:color="auto" w:fill="auto"/>
          <w:lang w:val="en-US" w:eastAsia="zh-CN"/>
        </w:rPr>
        <w:t>简称“工程”、“本工程”、“保险工程”）</w:t>
      </w:r>
    </w:p>
    <w:p w14:paraId="3B2579C7">
      <w:pPr>
        <w:pStyle w:val="4"/>
        <w:spacing w:before="156" w:after="156"/>
        <w:rPr>
          <w:rFonts w:hint="eastAsia"/>
          <w:color w:val="auto"/>
          <w:sz w:val="24"/>
          <w:szCs w:val="24"/>
          <w:highlight w:val="none"/>
        </w:rPr>
      </w:pPr>
      <w:r>
        <w:rPr>
          <w:rFonts w:hint="eastAsia"/>
          <w:color w:val="auto"/>
          <w:sz w:val="24"/>
          <w:szCs w:val="24"/>
          <w:highlight w:val="none"/>
        </w:rPr>
        <w:t>六、保险标的地址</w:t>
      </w:r>
      <w:r>
        <w:rPr>
          <w:rFonts w:hint="eastAsia"/>
          <w:color w:val="auto"/>
          <w:sz w:val="24"/>
          <w:szCs w:val="24"/>
          <w:highlight w:val="none"/>
          <w:lang w:eastAsia="zh-CN"/>
        </w:rPr>
        <w:t>、</w:t>
      </w:r>
      <w:r>
        <w:rPr>
          <w:rFonts w:hint="eastAsia"/>
          <w:color w:val="auto"/>
          <w:sz w:val="24"/>
          <w:szCs w:val="24"/>
          <w:highlight w:val="none"/>
          <w:lang w:val="en-US" w:eastAsia="zh-CN"/>
        </w:rPr>
        <w:t>里程</w:t>
      </w:r>
      <w:r>
        <w:rPr>
          <w:rFonts w:hint="eastAsia"/>
          <w:color w:val="auto"/>
          <w:sz w:val="24"/>
          <w:szCs w:val="24"/>
          <w:highlight w:val="none"/>
        </w:rPr>
        <w:t>：</w:t>
      </w:r>
    </w:p>
    <w:p w14:paraId="01282BB0">
      <w:pPr>
        <w:spacing w:line="400" w:lineRule="exact"/>
        <w:ind w:firstLine="420" w:firstLineChars="200"/>
        <w:rPr>
          <w:rFonts w:hint="default" w:eastAsia="宋体" w:cs="宋体"/>
          <w:bCs/>
          <w:color w:val="auto"/>
          <w:szCs w:val="21"/>
          <w:highlight w:val="none"/>
          <w:lang w:val="en-US" w:eastAsia="zh-CN"/>
        </w:rPr>
      </w:pPr>
      <w:r>
        <w:rPr>
          <w:rFonts w:hint="eastAsia" w:cs="宋体"/>
          <w:bCs/>
          <w:color w:val="auto"/>
          <w:szCs w:val="21"/>
          <w:highlight w:val="none"/>
        </w:rPr>
        <w:t>本工程位于</w:t>
      </w:r>
      <w:r>
        <w:rPr>
          <w:rFonts w:hint="eastAsia" w:cs="宋体"/>
          <w:bCs/>
          <w:color w:val="auto"/>
          <w:szCs w:val="21"/>
          <w:highlight w:val="none"/>
          <w:lang w:val="en-US" w:eastAsia="zh-CN"/>
        </w:rPr>
        <w:t xml:space="preserve">浙江省台州市 </w:t>
      </w:r>
    </w:p>
    <w:p w14:paraId="66B24ECA">
      <w:pPr>
        <w:pStyle w:val="4"/>
        <w:numPr>
          <w:ilvl w:val="0"/>
          <w:numId w:val="9"/>
        </w:numPr>
        <w:spacing w:before="156" w:after="156"/>
        <w:rPr>
          <w:rFonts w:hint="eastAsia"/>
          <w:color w:val="auto"/>
          <w:sz w:val="24"/>
          <w:szCs w:val="24"/>
          <w:highlight w:val="none"/>
        </w:rPr>
      </w:pPr>
      <w:r>
        <w:rPr>
          <w:rFonts w:hint="eastAsia"/>
          <w:color w:val="auto"/>
          <w:sz w:val="24"/>
          <w:szCs w:val="24"/>
          <w:highlight w:val="none"/>
        </w:rPr>
        <w:t>施工范围：</w:t>
      </w:r>
    </w:p>
    <w:p w14:paraId="1A799F0A">
      <w:pPr>
        <w:spacing w:line="440" w:lineRule="exact"/>
        <w:ind w:left="420" w:leftChars="200" w:firstLine="0" w:firstLineChars="0"/>
        <w:rPr>
          <w:rFonts w:hint="eastAsia" w:ascii="宋体" w:hAnsi="宋体"/>
          <w:color w:val="auto"/>
          <w:sz w:val="21"/>
          <w:szCs w:val="21"/>
          <w:highlight w:val="none"/>
        </w:rPr>
      </w:pPr>
      <w:r>
        <w:rPr>
          <w:rFonts w:hint="eastAsia" w:ascii="宋体" w:hAnsi="宋体"/>
          <w:color w:val="auto"/>
          <w:sz w:val="21"/>
          <w:szCs w:val="21"/>
          <w:highlight w:val="none"/>
        </w:rPr>
        <w:t>本项目一期工程拟建设西侧3个2000吨级通用泊位（水工结构按5000吨级设计），2个2000吨级滚装泊位（水工结构按5000吨级设计），2个1000GT及1个500GT客运泊位，引桥长度5504m，同时布置相关配套设施。</w:t>
      </w:r>
    </w:p>
    <w:p w14:paraId="5F61DE62">
      <w:pPr>
        <w:spacing w:line="440" w:lineRule="exact"/>
        <w:ind w:left="420" w:leftChars="200" w:firstLine="0" w:firstLineChars="0"/>
        <w:rPr>
          <w:rFonts w:hint="eastAsia" w:ascii="宋体" w:hAnsi="宋体"/>
          <w:color w:val="auto"/>
          <w:sz w:val="21"/>
          <w:szCs w:val="21"/>
          <w:highlight w:val="none"/>
        </w:rPr>
      </w:pPr>
      <w:r>
        <w:rPr>
          <w:rFonts w:hint="eastAsia" w:ascii="宋体" w:hAnsi="宋体"/>
          <w:color w:val="auto"/>
          <w:sz w:val="21"/>
          <w:szCs w:val="21"/>
          <w:highlight w:val="none"/>
        </w:rPr>
        <w:t>主要工程内容包括：码头及引桥（包括客运泊位、滚装泊位、通用泊位一期工程即第一至第四结构段、长约5.5km的引桥）、引桥亮化美化工程、交通安全设施、生产辅助建筑物及配套工程（给排水、消防、供电、照明、节能、控制、通信等）、疏浚工程、大桥被动防碰撞设施、导助航工程等实施、完成及缺陷修复（不包括装卸工艺、滚装泊位的钢吊桥系统、水上监控预警系统、大桥主动防碰撞系统）。</w:t>
      </w:r>
      <w:r>
        <w:rPr>
          <w:rFonts w:hint="eastAsia" w:ascii="宋体" w:hAnsi="宋体" w:eastAsia="宋体"/>
          <w:color w:val="auto"/>
          <w:sz w:val="21"/>
          <w:szCs w:val="21"/>
          <w:highlight w:val="none"/>
          <w:lang w:val="en-US" w:eastAsia="zh-CN" w:bidi="ar"/>
        </w:rPr>
        <w:t>本项目</w:t>
      </w:r>
      <w:r>
        <w:rPr>
          <w:rFonts w:hint="eastAsia" w:ascii="宋体" w:hAnsi="宋体" w:eastAsia="宋体"/>
          <w:color w:val="auto"/>
          <w:sz w:val="21"/>
          <w:szCs w:val="21"/>
          <w:highlight w:val="none"/>
          <w:lang w:bidi="ar"/>
        </w:rPr>
        <w:t>含甲供材料运输及安装</w:t>
      </w:r>
      <w:r>
        <w:rPr>
          <w:rFonts w:hint="eastAsia" w:ascii="宋体" w:hAnsi="宋体" w:eastAsia="宋体"/>
          <w:color w:val="auto"/>
          <w:sz w:val="21"/>
          <w:szCs w:val="21"/>
          <w:highlight w:val="none"/>
          <w:lang w:eastAsia="zh-CN" w:bidi="ar"/>
        </w:rPr>
        <w:t>。</w:t>
      </w:r>
    </w:p>
    <w:p w14:paraId="73221A08">
      <w:pPr>
        <w:rPr>
          <w:rFonts w:hint="eastAsia"/>
          <w:color w:val="auto"/>
          <w:highlight w:val="none"/>
        </w:rPr>
      </w:pPr>
    </w:p>
    <w:p w14:paraId="1CECE4E9">
      <w:pPr>
        <w:pStyle w:val="4"/>
        <w:spacing w:before="156" w:after="156"/>
        <w:rPr>
          <w:rFonts w:hint="eastAsia"/>
          <w:color w:val="auto"/>
          <w:sz w:val="24"/>
          <w:szCs w:val="24"/>
          <w:highlight w:val="none"/>
        </w:rPr>
      </w:pPr>
      <w:r>
        <w:rPr>
          <w:rFonts w:hint="eastAsia"/>
          <w:color w:val="auto"/>
          <w:sz w:val="24"/>
          <w:szCs w:val="24"/>
          <w:highlight w:val="none"/>
        </w:rPr>
        <w:t>八、投保险种：</w:t>
      </w:r>
    </w:p>
    <w:p w14:paraId="5AE376CB">
      <w:pPr>
        <w:spacing w:line="400" w:lineRule="exact"/>
        <w:ind w:firstLine="630" w:firstLineChars="300"/>
        <w:rPr>
          <w:rFonts w:hint="eastAsia" w:cs="宋体"/>
          <w:bCs/>
          <w:color w:val="auto"/>
          <w:szCs w:val="21"/>
          <w:highlight w:val="none"/>
        </w:rPr>
      </w:pPr>
      <w:r>
        <w:rPr>
          <w:rFonts w:hint="eastAsia" w:cs="宋体"/>
          <w:bCs/>
          <w:color w:val="auto"/>
          <w:szCs w:val="21"/>
          <w:highlight w:val="none"/>
        </w:rPr>
        <w:t>建筑工程一切险及</w:t>
      </w:r>
      <w:r>
        <w:rPr>
          <w:rFonts w:hint="eastAsia" w:cs="宋体"/>
          <w:bCs/>
          <w:color w:val="auto"/>
          <w:szCs w:val="21"/>
          <w:highlight w:val="none"/>
          <w:lang w:val="en-US" w:eastAsia="zh-CN"/>
        </w:rPr>
        <w:t>安全生产</w:t>
      </w:r>
      <w:r>
        <w:rPr>
          <w:rFonts w:hint="eastAsia" w:cs="宋体"/>
          <w:bCs/>
          <w:color w:val="auto"/>
          <w:szCs w:val="21"/>
          <w:highlight w:val="none"/>
        </w:rPr>
        <w:t>责任险</w:t>
      </w:r>
    </w:p>
    <w:p w14:paraId="72C42B35">
      <w:pPr>
        <w:pStyle w:val="4"/>
        <w:numPr>
          <w:ilvl w:val="0"/>
          <w:numId w:val="10"/>
        </w:numPr>
        <w:spacing w:before="156" w:after="156"/>
        <w:rPr>
          <w:rFonts w:hint="eastAsia"/>
          <w:color w:val="auto"/>
          <w:sz w:val="24"/>
          <w:szCs w:val="24"/>
          <w:highlight w:val="none"/>
        </w:rPr>
      </w:pPr>
      <w:r>
        <w:rPr>
          <w:rFonts w:hint="eastAsia"/>
          <w:color w:val="auto"/>
          <w:sz w:val="24"/>
          <w:szCs w:val="24"/>
          <w:highlight w:val="none"/>
        </w:rPr>
        <w:t>保险项目及保险金额：</w:t>
      </w:r>
    </w:p>
    <w:p w14:paraId="2314BC1B">
      <w:pPr>
        <w:pStyle w:val="5"/>
        <w:numPr>
          <w:ilvl w:val="0"/>
          <w:numId w:val="11"/>
        </w:numPr>
        <w:spacing w:before="156" w:after="156"/>
        <w:rPr>
          <w:rFonts w:hint="eastAsia"/>
          <w:color w:val="auto"/>
          <w:highlight w:val="none"/>
        </w:rPr>
      </w:pPr>
      <w:r>
        <w:rPr>
          <w:rFonts w:hint="eastAsia"/>
          <w:color w:val="auto"/>
          <w:highlight w:val="none"/>
        </w:rPr>
        <w:t>物质损失部分：</w:t>
      </w:r>
    </w:p>
    <w:p w14:paraId="07F9FF09">
      <w:pPr>
        <w:spacing w:line="360" w:lineRule="auto"/>
        <w:ind w:firstLine="422" w:firstLineChars="200"/>
        <w:rPr>
          <w:rFonts w:eastAsia="宋体" w:cs="宋体"/>
          <w:bCs/>
          <w:color w:val="auto"/>
          <w:sz w:val="21"/>
          <w:szCs w:val="21"/>
          <w:highlight w:val="none"/>
        </w:rPr>
      </w:pPr>
      <w:r>
        <w:rPr>
          <w:rFonts w:hint="eastAsia" w:eastAsia="宋体" w:cs="宋体"/>
          <w:b/>
          <w:color w:val="auto"/>
          <w:sz w:val="21"/>
          <w:szCs w:val="21"/>
          <w:highlight w:val="none"/>
          <w:lang w:val="en-US" w:eastAsia="zh-CN"/>
        </w:rPr>
        <w:t>1、</w:t>
      </w:r>
      <w:r>
        <w:rPr>
          <w:rFonts w:hint="eastAsia" w:eastAsia="宋体" w:cs="宋体"/>
          <w:b/>
          <w:color w:val="auto"/>
          <w:sz w:val="21"/>
          <w:szCs w:val="21"/>
          <w:highlight w:val="none"/>
          <w:lang w:eastAsia="zh-CN"/>
        </w:rPr>
        <w:t>建筑工程一切险</w:t>
      </w:r>
      <w:r>
        <w:rPr>
          <w:rFonts w:hint="eastAsia" w:eastAsia="宋体" w:cs="宋体"/>
          <w:b/>
          <w:color w:val="auto"/>
          <w:sz w:val="21"/>
          <w:szCs w:val="21"/>
          <w:highlight w:val="none"/>
        </w:rPr>
        <w:t>：</w:t>
      </w:r>
    </w:p>
    <w:p w14:paraId="6F2F5F52">
      <w:pPr>
        <w:spacing w:line="360" w:lineRule="auto"/>
        <w:ind w:firstLine="420" w:firstLineChars="200"/>
        <w:rPr>
          <w:rFonts w:eastAsia="宋体" w:cs="宋体"/>
          <w:bCs/>
          <w:color w:val="auto"/>
          <w:sz w:val="21"/>
          <w:szCs w:val="21"/>
          <w:highlight w:val="none"/>
        </w:rPr>
      </w:pPr>
      <w:r>
        <w:rPr>
          <w:rFonts w:hint="eastAsia" w:eastAsia="宋体" w:cs="宋体"/>
          <w:bCs/>
          <w:color w:val="auto"/>
          <w:sz w:val="21"/>
          <w:szCs w:val="21"/>
          <w:highlight w:val="none"/>
        </w:rPr>
        <w:t>（1）工程物质损失保险金额：</w:t>
      </w:r>
    </w:p>
    <w:p w14:paraId="2D7C4653">
      <w:pPr>
        <w:spacing w:line="360" w:lineRule="auto"/>
        <w:ind w:firstLine="840" w:firstLineChars="400"/>
        <w:rPr>
          <w:rFonts w:eastAsia="宋体" w:cs="宋体"/>
          <w:bCs/>
          <w:color w:val="auto"/>
          <w:sz w:val="21"/>
          <w:szCs w:val="21"/>
          <w:highlight w:val="none"/>
        </w:rPr>
      </w:pPr>
      <w:r>
        <w:rPr>
          <w:rFonts w:hint="eastAsia" w:eastAsia="宋体" w:cs="宋体"/>
          <w:bCs/>
          <w:color w:val="auto"/>
          <w:sz w:val="21"/>
          <w:szCs w:val="21"/>
          <w:highlight w:val="none"/>
        </w:rPr>
        <w:t>建筑工程</w:t>
      </w:r>
      <w:r>
        <w:rPr>
          <w:rFonts w:hint="eastAsia" w:eastAsia="宋体" w:cs="宋体"/>
          <w:bCs/>
          <w:color w:val="auto"/>
          <w:sz w:val="21"/>
          <w:szCs w:val="21"/>
          <w:highlight w:val="none"/>
          <w:lang w:val="en-US" w:eastAsia="zh-CN"/>
        </w:rPr>
        <w:t>一切险</w:t>
      </w:r>
      <w:r>
        <w:rPr>
          <w:rFonts w:hint="eastAsia" w:eastAsia="宋体" w:cs="宋体"/>
          <w:bCs/>
          <w:color w:val="auto"/>
          <w:sz w:val="21"/>
          <w:szCs w:val="21"/>
          <w:highlight w:val="none"/>
        </w:rPr>
        <w:t xml:space="preserve">保险金额为：RMB </w:t>
      </w:r>
      <w:r>
        <w:rPr>
          <w:rFonts w:hint="eastAsia" w:ascii="宋体" w:hAnsi="宋体" w:eastAsia="宋体"/>
          <w:color w:val="auto"/>
          <w:sz w:val="21"/>
          <w:szCs w:val="21"/>
          <w:highlight w:val="none"/>
          <w:u w:val="single"/>
          <w:lang w:val="en-US" w:eastAsia="zh-CN"/>
        </w:rPr>
        <w:t xml:space="preserve">                   </w:t>
      </w:r>
      <w:r>
        <w:rPr>
          <w:rFonts w:hint="eastAsia" w:eastAsia="宋体" w:cs="宋体"/>
          <w:bCs/>
          <w:color w:val="auto"/>
          <w:sz w:val="21"/>
          <w:szCs w:val="21"/>
          <w:highlight w:val="none"/>
        </w:rPr>
        <w:t>元。</w:t>
      </w:r>
    </w:p>
    <w:p w14:paraId="2B64C083">
      <w:pPr>
        <w:numPr>
          <w:ilvl w:val="0"/>
          <w:numId w:val="12"/>
        </w:numPr>
        <w:spacing w:line="360" w:lineRule="auto"/>
        <w:ind w:firstLine="420" w:firstLineChars="200"/>
        <w:rPr>
          <w:rFonts w:hint="eastAsia" w:eastAsia="宋体" w:cs="宋体"/>
          <w:bCs/>
          <w:color w:val="auto"/>
          <w:sz w:val="21"/>
          <w:szCs w:val="21"/>
          <w:highlight w:val="none"/>
        </w:rPr>
      </w:pPr>
      <w:r>
        <w:rPr>
          <w:rFonts w:hint="eastAsia" w:eastAsia="宋体" w:cs="宋体"/>
          <w:bCs/>
          <w:color w:val="auto"/>
          <w:sz w:val="21"/>
          <w:szCs w:val="21"/>
          <w:highlight w:val="none"/>
        </w:rPr>
        <w:t>累计清除残骸费用限额：RMB</w:t>
      </w:r>
      <w:r>
        <w:rPr>
          <w:rFonts w:hint="eastAsia" w:eastAsia="宋体" w:cs="宋体"/>
          <w:bCs/>
          <w:color w:val="auto"/>
          <w:sz w:val="21"/>
          <w:szCs w:val="21"/>
          <w:highlight w:val="none"/>
          <w:u w:val="single"/>
          <w:lang w:val="en-US" w:eastAsia="zh-CN"/>
        </w:rPr>
        <w:t>1500万</w:t>
      </w:r>
      <w:r>
        <w:rPr>
          <w:rFonts w:hint="eastAsia" w:eastAsia="宋体" w:cs="宋体"/>
          <w:bCs/>
          <w:color w:val="auto"/>
          <w:sz w:val="21"/>
          <w:szCs w:val="21"/>
          <w:highlight w:val="none"/>
        </w:rPr>
        <w:t>元；每次清理残骸费用限额：RMB</w:t>
      </w:r>
      <w:r>
        <w:rPr>
          <w:rFonts w:hint="eastAsia" w:eastAsia="宋体" w:cs="宋体"/>
          <w:bCs/>
          <w:color w:val="auto"/>
          <w:sz w:val="21"/>
          <w:szCs w:val="21"/>
          <w:highlight w:val="none"/>
          <w:u w:val="single"/>
          <w:lang w:val="en-US" w:eastAsia="zh-CN"/>
        </w:rPr>
        <w:t>1000万</w:t>
      </w:r>
      <w:r>
        <w:rPr>
          <w:rFonts w:hint="eastAsia" w:eastAsia="宋体" w:cs="宋体"/>
          <w:bCs/>
          <w:color w:val="auto"/>
          <w:sz w:val="21"/>
          <w:szCs w:val="21"/>
          <w:highlight w:val="none"/>
        </w:rPr>
        <w:t>元；</w:t>
      </w:r>
    </w:p>
    <w:p w14:paraId="58794C5F">
      <w:pPr>
        <w:spacing w:line="520" w:lineRule="exact"/>
        <w:ind w:firstLine="420"/>
        <w:rPr>
          <w:color w:val="auto"/>
          <w:highlight w:val="none"/>
        </w:rPr>
      </w:pPr>
      <w:r>
        <w:rPr>
          <w:rFonts w:ascii="宋体" w:hAnsi="宋体" w:eastAsia="宋体" w:cs="Times New Roman"/>
          <w:bCs/>
          <w:color w:val="auto"/>
          <w:szCs w:val="21"/>
          <w:highlight w:val="none"/>
        </w:rPr>
        <w:t xml:space="preserve">（3）施工机具赔偿限额：RMB </w:t>
      </w:r>
      <w:r>
        <w:rPr>
          <w:rFonts w:hint="eastAsia" w:ascii="宋体" w:hAnsi="宋体" w:eastAsia="宋体" w:cs="Times New Roman"/>
          <w:bCs/>
          <w:color w:val="auto"/>
          <w:szCs w:val="21"/>
          <w:highlight w:val="none"/>
          <w:u w:val="single"/>
          <w:lang w:val="en-US" w:eastAsia="zh-CN"/>
        </w:rPr>
        <w:t>500万</w:t>
      </w:r>
      <w:r>
        <w:rPr>
          <w:rFonts w:ascii="宋体" w:hAnsi="宋体" w:eastAsia="宋体" w:cs="Times New Roman"/>
          <w:bCs/>
          <w:color w:val="auto"/>
          <w:szCs w:val="21"/>
          <w:highlight w:val="none"/>
        </w:rPr>
        <w:t>元。</w:t>
      </w:r>
    </w:p>
    <w:p w14:paraId="5863EFE6">
      <w:pPr>
        <w:spacing w:line="360" w:lineRule="auto"/>
        <w:ind w:left="840" w:leftChars="200" w:hanging="420" w:hangingChars="200"/>
        <w:rPr>
          <w:rFonts w:hint="default" w:eastAsia="宋体"/>
          <w:color w:val="auto"/>
          <w:highlight w:val="none"/>
          <w:lang w:val="en-US" w:eastAsia="zh-CN"/>
        </w:rPr>
      </w:pP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4</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rPr>
        <w:t>特种危险赔偿限额：地震、海啸赔偿限额为总保险金额的80%，其他自然灾害、意外事故赔偿限额均以本保单物质损失项下的保险金额为准。</w:t>
      </w:r>
    </w:p>
    <w:p w14:paraId="5412C1FD">
      <w:pPr>
        <w:pStyle w:val="5"/>
        <w:spacing w:before="156" w:after="156"/>
        <w:rPr>
          <w:rFonts w:hint="eastAsia" w:eastAsia="宋体" w:cs="宋体"/>
          <w:bCs/>
          <w:color w:val="auto"/>
          <w:szCs w:val="21"/>
          <w:highlight w:val="none"/>
          <w:lang w:val="en-US" w:eastAsia="zh-CN"/>
        </w:rPr>
      </w:pPr>
      <w:r>
        <w:rPr>
          <w:rFonts w:hint="eastAsia"/>
          <w:color w:val="auto"/>
          <w:highlight w:val="none"/>
        </w:rPr>
        <w:t>（二）</w:t>
      </w:r>
      <w:r>
        <w:rPr>
          <w:rFonts w:hint="eastAsia"/>
          <w:color w:val="auto"/>
          <w:highlight w:val="none"/>
          <w:lang w:val="en-US" w:eastAsia="zh-CN"/>
        </w:rPr>
        <w:t>安全生产</w:t>
      </w:r>
      <w:r>
        <w:rPr>
          <w:rFonts w:hint="eastAsia"/>
          <w:color w:val="auto"/>
          <w:highlight w:val="none"/>
        </w:rPr>
        <w:t>责任险部分</w:t>
      </w:r>
      <w:r>
        <w:rPr>
          <w:rFonts w:hint="eastAsia"/>
          <w:color w:val="auto"/>
          <w:highlight w:val="none"/>
          <w:lang w:eastAsia="zh-CN"/>
        </w:rPr>
        <w:t>：</w:t>
      </w:r>
    </w:p>
    <w:p w14:paraId="22DD7B84">
      <w:pPr>
        <w:spacing w:line="520" w:lineRule="exact"/>
        <w:ind w:left="63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r>
        <w:rPr>
          <w:rFonts w:ascii="宋体" w:hAnsi="宋体" w:eastAsia="宋体" w:cs="Times New Roman"/>
          <w:bCs/>
          <w:color w:val="auto"/>
          <w:szCs w:val="21"/>
          <w:highlight w:val="none"/>
        </w:rPr>
        <w:t>从业人员保障：a、死亡、伤残：</w:t>
      </w:r>
      <w:r>
        <w:rPr>
          <w:rFonts w:hint="eastAsia" w:ascii="宋体" w:hAnsi="宋体" w:eastAsia="宋体" w:cs="Times New Roman"/>
          <w:bCs/>
          <w:color w:val="auto"/>
          <w:szCs w:val="21"/>
          <w:highlight w:val="none"/>
          <w:u w:val="single"/>
          <w:lang w:val="en-US" w:eastAsia="zh-CN"/>
        </w:rPr>
        <w:t>70</w:t>
      </w:r>
      <w:r>
        <w:rPr>
          <w:rFonts w:ascii="宋体" w:hAnsi="宋体" w:eastAsia="宋体" w:cs="Times New Roman"/>
          <w:bCs/>
          <w:color w:val="auto"/>
          <w:szCs w:val="21"/>
          <w:highlight w:val="none"/>
        </w:rPr>
        <w:t>万元/人；</w:t>
      </w:r>
    </w:p>
    <w:p w14:paraId="2CFE2B44">
      <w:pPr>
        <w:spacing w:line="520" w:lineRule="exact"/>
        <w:ind w:firstLine="2625" w:firstLineChars="1250"/>
        <w:rPr>
          <w:rFonts w:ascii="宋体" w:hAnsi="宋体" w:eastAsia="宋体" w:cs="Times New Roman"/>
          <w:bCs/>
          <w:color w:val="auto"/>
          <w:szCs w:val="21"/>
          <w:highlight w:val="none"/>
        </w:rPr>
      </w:pPr>
      <w:r>
        <w:rPr>
          <w:rFonts w:ascii="宋体" w:hAnsi="宋体" w:eastAsia="宋体" w:cs="Times New Roman"/>
          <w:bCs/>
          <w:color w:val="auto"/>
          <w:szCs w:val="21"/>
          <w:highlight w:val="none"/>
        </w:rPr>
        <w:t>b、医疗费用：</w:t>
      </w:r>
      <w:r>
        <w:rPr>
          <w:rFonts w:hint="eastAsia" w:ascii="宋体" w:hAnsi="宋体" w:eastAsia="宋体" w:cs="Times New Roman"/>
          <w:bCs/>
          <w:color w:val="auto"/>
          <w:szCs w:val="21"/>
          <w:highlight w:val="none"/>
          <w:u w:val="single"/>
          <w:lang w:val="en-US" w:eastAsia="zh-CN"/>
        </w:rPr>
        <w:t>7</w:t>
      </w:r>
      <w:r>
        <w:rPr>
          <w:rFonts w:ascii="宋体" w:hAnsi="宋体" w:eastAsia="宋体" w:cs="Times New Roman"/>
          <w:bCs/>
          <w:color w:val="auto"/>
          <w:szCs w:val="21"/>
          <w:highlight w:val="none"/>
        </w:rPr>
        <w:t>万元/人；</w:t>
      </w:r>
    </w:p>
    <w:p w14:paraId="41D91E95">
      <w:pPr>
        <w:spacing w:line="520" w:lineRule="exact"/>
        <w:ind w:firstLine="2625" w:firstLineChars="1250"/>
        <w:rPr>
          <w:rFonts w:ascii="宋体" w:hAnsi="宋体" w:eastAsia="宋体" w:cs="Times New Roman"/>
          <w:bCs/>
          <w:color w:val="auto"/>
          <w:szCs w:val="21"/>
          <w:highlight w:val="none"/>
        </w:rPr>
      </w:pPr>
      <w:r>
        <w:rPr>
          <w:rFonts w:ascii="宋体" w:hAnsi="宋体" w:eastAsia="宋体" w:cs="Times New Roman"/>
          <w:bCs/>
          <w:color w:val="auto"/>
          <w:szCs w:val="21"/>
          <w:highlight w:val="none"/>
        </w:rPr>
        <w:t>c、住院津贴：</w:t>
      </w:r>
      <w:r>
        <w:rPr>
          <w:rFonts w:hint="eastAsia" w:ascii="宋体" w:hAnsi="宋体" w:eastAsia="宋体" w:cs="Times New Roman"/>
          <w:bCs/>
          <w:color w:val="auto"/>
          <w:szCs w:val="21"/>
          <w:highlight w:val="none"/>
          <w:u w:val="single"/>
          <w:lang w:val="en-US" w:eastAsia="zh-CN"/>
        </w:rPr>
        <w:t>100</w:t>
      </w:r>
      <w:r>
        <w:rPr>
          <w:rFonts w:ascii="宋体" w:hAnsi="宋体" w:eastAsia="宋体" w:cs="Times New Roman"/>
          <w:bCs/>
          <w:color w:val="auto"/>
          <w:szCs w:val="21"/>
          <w:highlight w:val="none"/>
        </w:rPr>
        <w:t>元/人/天；</w:t>
      </w:r>
    </w:p>
    <w:p w14:paraId="43441022">
      <w:pPr>
        <w:pStyle w:val="2"/>
        <w:numPr>
          <w:ilvl w:val="0"/>
          <w:numId w:val="0"/>
        </w:numPr>
        <w:jc w:val="both"/>
        <w:rPr>
          <w:rFonts w:hint="default" w:eastAsia="宋体"/>
          <w:color w:val="auto"/>
          <w:highlight w:val="none"/>
          <w:lang w:val="en-US" w:eastAsia="zh-CN"/>
        </w:rPr>
      </w:pPr>
      <w:r>
        <w:rPr>
          <w:rFonts w:hint="eastAsia" w:ascii="宋体" w:hAnsi="宋体" w:eastAsia="宋体" w:cs="Times New Roman"/>
          <w:bCs/>
          <w:color w:val="auto"/>
          <w:szCs w:val="21"/>
          <w:highlight w:val="none"/>
          <w:lang w:val="en-US" w:eastAsia="zh-CN"/>
        </w:rPr>
        <w:t xml:space="preserve">                    </w:t>
      </w:r>
      <w:r>
        <w:rPr>
          <w:rFonts w:hint="eastAsia" w:ascii="宋体" w:hAnsi="宋体" w:eastAsia="宋体" w:cs="Times New Roman"/>
          <w:b w:val="0"/>
          <w:bCs/>
          <w:color w:val="auto"/>
          <w:spacing w:val="0"/>
          <w:kern w:val="2"/>
          <w:sz w:val="21"/>
          <w:szCs w:val="21"/>
          <w:highlight w:val="none"/>
          <w:lang w:val="en-US" w:eastAsia="zh-CN" w:bidi="ar-SA"/>
        </w:rPr>
        <w:t>d、猝死：</w:t>
      </w:r>
      <w:r>
        <w:rPr>
          <w:rFonts w:hint="eastAsia" w:ascii="宋体" w:hAnsi="宋体" w:eastAsia="宋体" w:cs="Times New Roman"/>
          <w:b w:val="0"/>
          <w:bCs/>
          <w:color w:val="auto"/>
          <w:spacing w:val="0"/>
          <w:kern w:val="2"/>
          <w:sz w:val="21"/>
          <w:szCs w:val="21"/>
          <w:highlight w:val="none"/>
          <w:u w:val="single"/>
          <w:lang w:val="en-US" w:eastAsia="zh-CN" w:bidi="ar-SA"/>
        </w:rPr>
        <w:t>35万元</w:t>
      </w:r>
      <w:r>
        <w:rPr>
          <w:rFonts w:hint="eastAsia" w:ascii="宋体" w:hAnsi="宋体" w:eastAsia="宋体" w:cs="Times New Roman"/>
          <w:b w:val="0"/>
          <w:bCs/>
          <w:color w:val="auto"/>
          <w:spacing w:val="0"/>
          <w:kern w:val="2"/>
          <w:sz w:val="21"/>
          <w:szCs w:val="21"/>
          <w:highlight w:val="none"/>
          <w:lang w:val="en-US" w:eastAsia="zh-CN" w:bidi="ar-SA"/>
        </w:rPr>
        <w:t>/人；</w:t>
      </w:r>
    </w:p>
    <w:p w14:paraId="43699582">
      <w:pPr>
        <w:numPr>
          <w:ilvl w:val="0"/>
          <w:numId w:val="0"/>
        </w:numPr>
        <w:spacing w:line="520" w:lineRule="exact"/>
        <w:ind w:left="1260" w:leftChars="200" w:hanging="840" w:hangingChars="4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 xml:space="preserve">  （2）第三者人员伤亡及财产损失保障：</w:t>
      </w:r>
      <w:r>
        <w:rPr>
          <w:rFonts w:ascii="宋体" w:hAnsi="宋体" w:eastAsia="宋体" w:cs="Times New Roman"/>
          <w:bCs/>
          <w:color w:val="auto"/>
          <w:szCs w:val="21"/>
          <w:highlight w:val="none"/>
        </w:rPr>
        <w:t>最高赔偿限额（包括财产损失、人身伤亡及</w:t>
      </w:r>
    </w:p>
    <w:p w14:paraId="75B3E7B9">
      <w:pPr>
        <w:numPr>
          <w:ilvl w:val="0"/>
          <w:numId w:val="0"/>
        </w:numPr>
        <w:spacing w:line="520" w:lineRule="exact"/>
        <w:ind w:left="1260" w:leftChars="500" w:hanging="210" w:hangingChars="100"/>
        <w:rPr>
          <w:rFonts w:hint="default" w:ascii="宋体" w:hAnsi="宋体" w:eastAsia="宋体" w:cs="Times New Roman"/>
          <w:bCs/>
          <w:color w:val="auto"/>
          <w:szCs w:val="21"/>
          <w:highlight w:val="none"/>
          <w:lang w:val="en-US" w:eastAsia="zh-CN"/>
        </w:rPr>
      </w:pPr>
      <w:r>
        <w:rPr>
          <w:rFonts w:ascii="宋体" w:hAnsi="宋体" w:eastAsia="宋体" w:cs="Times New Roman"/>
          <w:bCs/>
          <w:color w:val="auto"/>
          <w:szCs w:val="21"/>
          <w:highlight w:val="none"/>
        </w:rPr>
        <w:t xml:space="preserve">诉讼费用）：2000万元；其中：人身伤亡赔偿限额：RMB </w:t>
      </w:r>
      <w:r>
        <w:rPr>
          <w:rFonts w:hint="eastAsia" w:ascii="宋体" w:hAnsi="宋体" w:eastAsia="宋体" w:cs="Times New Roman"/>
          <w:bCs/>
          <w:color w:val="auto"/>
          <w:szCs w:val="21"/>
          <w:highlight w:val="none"/>
          <w:lang w:val="en-US" w:eastAsia="zh-CN"/>
        </w:rPr>
        <w:t>10</w:t>
      </w:r>
      <w:r>
        <w:rPr>
          <w:rFonts w:ascii="宋体" w:hAnsi="宋体" w:eastAsia="宋体" w:cs="Times New Roman"/>
          <w:bCs/>
          <w:color w:val="auto"/>
          <w:szCs w:val="21"/>
          <w:highlight w:val="none"/>
        </w:rPr>
        <w:t>0万元/人。</w:t>
      </w:r>
    </w:p>
    <w:p w14:paraId="1FC9FD91">
      <w:pPr>
        <w:spacing w:line="520" w:lineRule="exact"/>
        <w:ind w:left="1050" w:leftChars="300" w:hanging="420" w:hangingChars="200"/>
        <w:rPr>
          <w:rFonts w:hint="eastAsia" w:cs="宋体"/>
          <w:bCs/>
          <w:color w:val="auto"/>
          <w:szCs w:val="21"/>
          <w:highlight w:val="none"/>
        </w:rPr>
      </w:pP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lang w:eastAsia="zh-CN"/>
        </w:rPr>
        <w:t>）</w:t>
      </w:r>
      <w:r>
        <w:rPr>
          <w:rFonts w:ascii="宋体" w:hAnsi="宋体" w:eastAsia="宋体" w:cs="Times New Roman"/>
          <w:bCs/>
          <w:color w:val="auto"/>
          <w:szCs w:val="21"/>
          <w:highlight w:val="none"/>
        </w:rPr>
        <w:t>紧急抢险救援费、人员疏散措施费；必要的、合理的鉴定、取证、案件受理、评估、公证、诉讼仲裁等相关费用赔偿限额：</w:t>
      </w:r>
      <w:r>
        <w:rPr>
          <w:rFonts w:hint="eastAsia" w:ascii="宋体" w:hAnsi="宋体" w:eastAsia="宋体" w:cs="Times New Roman"/>
          <w:bCs/>
          <w:color w:val="auto"/>
          <w:szCs w:val="21"/>
          <w:highlight w:val="none"/>
          <w:u w:val="single"/>
          <w:lang w:val="en-US" w:eastAsia="zh-CN"/>
        </w:rPr>
        <w:t>500</w:t>
      </w:r>
      <w:r>
        <w:rPr>
          <w:rFonts w:ascii="宋体" w:hAnsi="宋体" w:eastAsia="宋体" w:cs="Times New Roman"/>
          <w:bCs/>
          <w:color w:val="auto"/>
          <w:szCs w:val="21"/>
          <w:highlight w:val="none"/>
        </w:rPr>
        <w:t>万元。</w:t>
      </w:r>
    </w:p>
    <w:p w14:paraId="3B606B6B">
      <w:pPr>
        <w:spacing w:line="400" w:lineRule="exact"/>
        <w:ind w:firstLine="630" w:firstLineChars="300"/>
        <w:rPr>
          <w:rFonts w:hint="eastAsia" w:cs="宋体"/>
          <w:bCs/>
          <w:color w:val="auto"/>
          <w:szCs w:val="21"/>
          <w:highlight w:val="none"/>
        </w:rPr>
      </w:pPr>
      <w:r>
        <w:rPr>
          <w:rFonts w:hint="eastAsia" w:cs="宋体"/>
          <w:bCs/>
          <w:color w:val="auto"/>
          <w:szCs w:val="21"/>
          <w:highlight w:val="none"/>
        </w:rPr>
        <w:t>注：以上“每次事故”是指每一次事故或由同一原因/同一事件引起的一系列事故。</w:t>
      </w:r>
    </w:p>
    <w:p w14:paraId="66968D32">
      <w:pPr>
        <w:pStyle w:val="4"/>
        <w:spacing w:before="156" w:after="156"/>
        <w:rPr>
          <w:rFonts w:hint="eastAsia"/>
          <w:color w:val="auto"/>
          <w:sz w:val="24"/>
          <w:szCs w:val="24"/>
          <w:highlight w:val="none"/>
        </w:rPr>
      </w:pPr>
      <w:r>
        <w:rPr>
          <w:rFonts w:hint="eastAsia"/>
          <w:color w:val="auto"/>
          <w:sz w:val="24"/>
          <w:szCs w:val="24"/>
          <w:highlight w:val="none"/>
        </w:rPr>
        <w:t>十、每次事故绝对免赔额：</w:t>
      </w:r>
    </w:p>
    <w:p w14:paraId="0EF01AE9">
      <w:pPr>
        <w:pStyle w:val="58"/>
        <w:numPr>
          <w:ilvl w:val="0"/>
          <w:numId w:val="13"/>
        </w:numPr>
        <w:spacing w:line="360" w:lineRule="auto"/>
        <w:ind w:firstLineChars="0"/>
        <w:rPr>
          <w:rFonts w:hint="eastAsia" w:ascii="宋体" w:hAnsi="宋体"/>
          <w:b/>
          <w:color w:val="auto"/>
          <w:sz w:val="24"/>
          <w:szCs w:val="22"/>
          <w:highlight w:val="none"/>
          <w:lang w:val="en-US" w:eastAsia="zh-CN" w:bidi="ar-SA"/>
        </w:rPr>
      </w:pPr>
      <w:bookmarkStart w:id="36" w:name="_Toc13300"/>
      <w:bookmarkStart w:id="37" w:name="_Toc2110"/>
      <w:bookmarkStart w:id="38" w:name="_Toc17641"/>
      <w:r>
        <w:rPr>
          <w:rFonts w:hint="eastAsia" w:ascii="宋体" w:hAnsi="宋体"/>
          <w:b/>
          <w:color w:val="auto"/>
          <w:sz w:val="24"/>
          <w:szCs w:val="22"/>
          <w:highlight w:val="none"/>
          <w:lang w:val="en-US" w:eastAsia="zh-CN" w:bidi="ar-SA"/>
        </w:rPr>
        <w:t>适用物质损失部分：</w:t>
      </w:r>
    </w:p>
    <w:p w14:paraId="754665C2">
      <w:pPr>
        <w:pStyle w:val="24"/>
        <w:numPr>
          <w:ilvl w:val="0"/>
          <w:numId w:val="0"/>
        </w:numPr>
        <w:ind w:firstLine="420" w:firstLineChars="200"/>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1、地震、海啸导致的损失：RMB</w:t>
      </w:r>
      <w:r>
        <w:rPr>
          <w:rFonts w:hint="eastAsia" w:ascii="宋体" w:hAnsi="宋体" w:cs="宋体"/>
          <w:bCs/>
          <w:color w:val="auto"/>
          <w:sz w:val="21"/>
          <w:szCs w:val="21"/>
          <w:highlight w:val="none"/>
          <w:u w:val="single"/>
          <w:lang w:val="en-US" w:eastAsia="zh-CN" w:bidi="ar-SA"/>
        </w:rPr>
        <w:t>200万</w:t>
      </w:r>
      <w:r>
        <w:rPr>
          <w:rFonts w:hint="eastAsia" w:ascii="宋体" w:hAnsi="宋体" w:cs="宋体"/>
          <w:bCs/>
          <w:color w:val="auto"/>
          <w:sz w:val="21"/>
          <w:szCs w:val="21"/>
          <w:highlight w:val="none"/>
          <w:lang w:val="en-US" w:eastAsia="zh-CN" w:bidi="ar-SA"/>
        </w:rPr>
        <w:t>元或损失金额的20%，两者以高者为准；</w:t>
      </w:r>
    </w:p>
    <w:p w14:paraId="16C3826E">
      <w:pPr>
        <w:pStyle w:val="24"/>
        <w:numPr>
          <w:ilvl w:val="0"/>
          <w:numId w:val="0"/>
        </w:numPr>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 xml:space="preserve">    2、台风导致的损失：RMB</w:t>
      </w:r>
      <w:r>
        <w:rPr>
          <w:rFonts w:hint="eastAsia" w:ascii="宋体" w:hAnsi="宋体" w:cs="宋体"/>
          <w:bCs/>
          <w:color w:val="auto"/>
          <w:sz w:val="21"/>
          <w:szCs w:val="21"/>
          <w:highlight w:val="none"/>
          <w:u w:val="single"/>
          <w:lang w:val="en-US" w:eastAsia="zh-CN" w:bidi="ar-SA"/>
        </w:rPr>
        <w:t xml:space="preserve"> 50万</w:t>
      </w:r>
      <w:r>
        <w:rPr>
          <w:rFonts w:hint="eastAsia" w:ascii="宋体" w:hAnsi="宋体" w:cs="宋体"/>
          <w:bCs/>
          <w:color w:val="auto"/>
          <w:sz w:val="21"/>
          <w:szCs w:val="21"/>
          <w:highlight w:val="none"/>
          <w:lang w:val="en-US" w:eastAsia="zh-CN" w:bidi="ar-SA"/>
        </w:rPr>
        <w:t>元或每次事故损失金额的10%，以高者为准；</w:t>
      </w:r>
    </w:p>
    <w:p w14:paraId="2B3AA97E">
      <w:pPr>
        <w:pStyle w:val="24"/>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3、洪水、风暴、暴雨：RMB10万元或损失金额的10%，以高者为准；</w:t>
      </w:r>
    </w:p>
    <w:p w14:paraId="569674FA">
      <w:pPr>
        <w:pStyle w:val="24"/>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4、其他保险责任范围内的损失：RMB1万元或损失金额的5%，以高者为准；</w:t>
      </w:r>
    </w:p>
    <w:p w14:paraId="28A9E8CA">
      <w:pPr>
        <w:spacing w:line="360" w:lineRule="auto"/>
        <w:rPr>
          <w:rFonts w:hint="eastAsia" w:ascii="宋体" w:hAnsi="宋体"/>
          <w:b/>
          <w:color w:val="auto"/>
          <w:sz w:val="24"/>
          <w:szCs w:val="22"/>
          <w:highlight w:val="none"/>
          <w:lang w:val="en-US" w:eastAsia="zh-CN" w:bidi="ar-SA"/>
        </w:rPr>
      </w:pPr>
      <w:r>
        <w:rPr>
          <w:rFonts w:hint="eastAsia" w:ascii="宋体" w:hAnsi="宋体"/>
          <w:b/>
          <w:color w:val="auto"/>
          <w:sz w:val="24"/>
          <w:szCs w:val="22"/>
          <w:highlight w:val="none"/>
          <w:lang w:val="en-US" w:eastAsia="zh-CN" w:bidi="ar-SA"/>
        </w:rPr>
        <w:t>（二）适用</w:t>
      </w:r>
      <w:r>
        <w:rPr>
          <w:rFonts w:hint="eastAsia"/>
          <w:b/>
          <w:color w:val="auto"/>
          <w:sz w:val="24"/>
          <w:szCs w:val="22"/>
          <w:highlight w:val="none"/>
          <w:lang w:val="en-US" w:eastAsia="zh-CN" w:bidi="ar-SA"/>
        </w:rPr>
        <w:t>安全生产</w:t>
      </w:r>
      <w:r>
        <w:rPr>
          <w:rFonts w:hint="eastAsia" w:ascii="宋体" w:hAnsi="宋体"/>
          <w:b/>
          <w:color w:val="auto"/>
          <w:sz w:val="24"/>
          <w:szCs w:val="22"/>
          <w:highlight w:val="none"/>
          <w:lang w:val="en-US" w:eastAsia="zh-CN" w:bidi="ar-SA"/>
        </w:rPr>
        <w:t>责任</w:t>
      </w:r>
      <w:r>
        <w:rPr>
          <w:rFonts w:hint="eastAsia"/>
          <w:b/>
          <w:color w:val="auto"/>
          <w:sz w:val="24"/>
          <w:szCs w:val="22"/>
          <w:highlight w:val="none"/>
          <w:lang w:val="en-US" w:eastAsia="zh-CN" w:bidi="ar-SA"/>
        </w:rPr>
        <w:t>险</w:t>
      </w:r>
      <w:r>
        <w:rPr>
          <w:rFonts w:hint="eastAsia" w:ascii="宋体" w:hAnsi="宋体"/>
          <w:b/>
          <w:color w:val="auto"/>
          <w:sz w:val="24"/>
          <w:szCs w:val="22"/>
          <w:highlight w:val="none"/>
          <w:lang w:val="en-US" w:eastAsia="zh-CN" w:bidi="ar-SA"/>
        </w:rPr>
        <w:t>部分：</w:t>
      </w:r>
    </w:p>
    <w:p w14:paraId="1D8977A0">
      <w:pPr>
        <w:spacing w:line="360" w:lineRule="auto"/>
        <w:ind w:firstLine="420" w:firstLineChars="200"/>
        <w:rPr>
          <w:rFonts w:hint="default"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1、</w:t>
      </w:r>
      <w:r>
        <w:rPr>
          <w:rFonts w:hint="eastAsia" w:cs="宋体"/>
          <w:bCs/>
          <w:color w:val="auto"/>
          <w:sz w:val="21"/>
          <w:szCs w:val="21"/>
          <w:highlight w:val="none"/>
          <w:lang w:val="en-US" w:eastAsia="zh-CN" w:bidi="ar-SA"/>
        </w:rPr>
        <w:t>从业人员人身伤亡：</w:t>
      </w:r>
      <w:r>
        <w:rPr>
          <w:rFonts w:hint="eastAsia" w:ascii="宋体" w:hAnsi="宋体" w:cs="宋体"/>
          <w:bCs/>
          <w:color w:val="auto"/>
          <w:sz w:val="21"/>
          <w:szCs w:val="21"/>
          <w:highlight w:val="none"/>
          <w:lang w:val="en-US" w:eastAsia="zh-CN" w:bidi="ar-SA"/>
        </w:rPr>
        <w:t>每次事故免赔500元；</w:t>
      </w:r>
    </w:p>
    <w:p w14:paraId="4E521DA4">
      <w:pPr>
        <w:spacing w:line="360" w:lineRule="auto"/>
        <w:ind w:firstLine="420" w:firstLineChars="200"/>
        <w:rPr>
          <w:rFonts w:hint="eastAsia" w:ascii="宋体" w:hAnsi="宋体" w:cs="宋体"/>
          <w:bCs/>
          <w:color w:val="auto"/>
          <w:sz w:val="21"/>
          <w:szCs w:val="21"/>
          <w:highlight w:val="none"/>
          <w:lang w:val="en-US" w:eastAsia="zh-CN" w:bidi="ar-SA"/>
        </w:rPr>
      </w:pPr>
      <w:r>
        <w:rPr>
          <w:rFonts w:hint="eastAsia" w:cs="宋体"/>
          <w:bCs/>
          <w:color w:val="auto"/>
          <w:sz w:val="21"/>
          <w:szCs w:val="21"/>
          <w:highlight w:val="none"/>
          <w:lang w:val="en-US" w:eastAsia="zh-CN" w:bidi="ar-SA"/>
        </w:rPr>
        <w:t>2、</w:t>
      </w:r>
      <w:r>
        <w:rPr>
          <w:rFonts w:hint="eastAsia" w:ascii="宋体" w:hAnsi="宋体" w:cs="宋体"/>
          <w:bCs/>
          <w:color w:val="auto"/>
          <w:sz w:val="21"/>
          <w:szCs w:val="21"/>
          <w:highlight w:val="none"/>
          <w:lang w:val="en-US" w:eastAsia="zh-CN" w:bidi="ar-SA"/>
        </w:rPr>
        <w:t>第三</w:t>
      </w:r>
      <w:r>
        <w:rPr>
          <w:rFonts w:hint="eastAsia" w:cs="宋体"/>
          <w:bCs/>
          <w:color w:val="auto"/>
          <w:sz w:val="21"/>
          <w:szCs w:val="21"/>
          <w:highlight w:val="none"/>
          <w:lang w:val="en-US" w:eastAsia="zh-CN" w:bidi="ar-SA"/>
        </w:rPr>
        <w:t>者</w:t>
      </w:r>
      <w:r>
        <w:rPr>
          <w:rFonts w:hint="eastAsia" w:ascii="宋体" w:hAnsi="宋体" w:cs="宋体"/>
          <w:bCs/>
          <w:color w:val="auto"/>
          <w:sz w:val="21"/>
          <w:szCs w:val="21"/>
          <w:highlight w:val="none"/>
          <w:lang w:val="en-US" w:eastAsia="zh-CN" w:bidi="ar-SA"/>
        </w:rPr>
        <w:t>财产损失：每次事故免赔额为RMB</w:t>
      </w:r>
      <w:r>
        <w:rPr>
          <w:rFonts w:hint="eastAsia" w:cs="宋体"/>
          <w:bCs/>
          <w:color w:val="auto"/>
          <w:sz w:val="21"/>
          <w:szCs w:val="21"/>
          <w:highlight w:val="none"/>
          <w:lang w:val="en-US" w:eastAsia="zh-CN" w:bidi="ar-SA"/>
        </w:rPr>
        <w:t>5万</w:t>
      </w:r>
      <w:r>
        <w:rPr>
          <w:rFonts w:hint="eastAsia" w:ascii="宋体" w:hAnsi="宋体" w:cs="宋体"/>
          <w:bCs/>
          <w:color w:val="auto"/>
          <w:sz w:val="21"/>
          <w:szCs w:val="21"/>
          <w:highlight w:val="none"/>
          <w:lang w:val="en-US" w:eastAsia="zh-CN" w:bidi="ar-SA"/>
        </w:rPr>
        <w:t>元；</w:t>
      </w:r>
    </w:p>
    <w:p w14:paraId="13DA520B">
      <w:pPr>
        <w:spacing w:line="360" w:lineRule="auto"/>
        <w:ind w:firstLine="420" w:firstLineChars="200"/>
        <w:rPr>
          <w:rFonts w:hint="eastAsia" w:ascii="宋体" w:hAnsi="宋体" w:cs="宋体"/>
          <w:bCs/>
          <w:color w:val="auto"/>
          <w:sz w:val="21"/>
          <w:szCs w:val="21"/>
          <w:highlight w:val="none"/>
          <w:lang w:val="en-US" w:eastAsia="zh-CN" w:bidi="ar-SA"/>
        </w:rPr>
      </w:pPr>
      <w:r>
        <w:rPr>
          <w:rFonts w:hint="eastAsia" w:cs="宋体"/>
          <w:bCs/>
          <w:color w:val="auto"/>
          <w:sz w:val="21"/>
          <w:szCs w:val="21"/>
          <w:highlight w:val="none"/>
          <w:lang w:val="en-US" w:eastAsia="zh-CN" w:bidi="ar-SA"/>
        </w:rPr>
        <w:t>3</w:t>
      </w:r>
      <w:r>
        <w:rPr>
          <w:rFonts w:hint="eastAsia" w:ascii="宋体" w:hAnsi="宋体" w:cs="宋体"/>
          <w:bCs/>
          <w:color w:val="auto"/>
          <w:sz w:val="21"/>
          <w:szCs w:val="21"/>
          <w:highlight w:val="none"/>
          <w:lang w:val="en-US" w:eastAsia="zh-CN" w:bidi="ar-SA"/>
        </w:rPr>
        <w:t>、第三</w:t>
      </w:r>
      <w:r>
        <w:rPr>
          <w:rFonts w:hint="eastAsia" w:cs="宋体"/>
          <w:bCs/>
          <w:color w:val="auto"/>
          <w:sz w:val="21"/>
          <w:szCs w:val="21"/>
          <w:highlight w:val="none"/>
          <w:lang w:val="en-US" w:eastAsia="zh-CN" w:bidi="ar-SA"/>
        </w:rPr>
        <w:t>者</w:t>
      </w:r>
      <w:r>
        <w:rPr>
          <w:rFonts w:hint="eastAsia" w:ascii="宋体" w:hAnsi="宋体" w:cs="宋体"/>
          <w:bCs/>
          <w:color w:val="auto"/>
          <w:sz w:val="21"/>
          <w:szCs w:val="21"/>
          <w:highlight w:val="none"/>
          <w:lang w:val="en-US" w:eastAsia="zh-CN" w:bidi="ar-SA"/>
        </w:rPr>
        <w:t>责任人身伤亡：无免赔</w:t>
      </w:r>
    </w:p>
    <w:p w14:paraId="5D00A2C5">
      <w:pPr>
        <w:pStyle w:val="24"/>
        <w:ind w:firstLine="420" w:firstLineChars="200"/>
        <w:rPr>
          <w:rFonts w:hint="eastAsia" w:ascii="宋体" w:hAnsi="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注：以上“每次事故”是指每一次事故或由同一原因/同一事件引起的一系列事故。</w:t>
      </w:r>
    </w:p>
    <w:p w14:paraId="172B614B">
      <w:pPr>
        <w:pStyle w:val="4"/>
        <w:spacing w:before="156" w:after="156"/>
        <w:rPr>
          <w:rFonts w:hint="eastAsia"/>
          <w:color w:val="auto"/>
          <w:sz w:val="24"/>
          <w:szCs w:val="24"/>
          <w:highlight w:val="none"/>
        </w:rPr>
      </w:pPr>
      <w:r>
        <w:rPr>
          <w:rFonts w:hint="eastAsia"/>
          <w:color w:val="auto"/>
          <w:sz w:val="24"/>
          <w:szCs w:val="24"/>
          <w:highlight w:val="none"/>
        </w:rPr>
        <w:t>十一、保险期限：</w:t>
      </w:r>
      <w:bookmarkEnd w:id="36"/>
      <w:bookmarkEnd w:id="37"/>
      <w:bookmarkEnd w:id="38"/>
    </w:p>
    <w:p w14:paraId="29D9C79F">
      <w:pPr>
        <w:pStyle w:val="24"/>
        <w:ind w:left="0" w:leftChars="0" w:firstLine="0" w:firstLineChars="0"/>
        <w:rPr>
          <w:rFonts w:hint="eastAsia"/>
          <w:b/>
          <w:color w:val="auto"/>
          <w:kern w:val="2"/>
          <w:sz w:val="24"/>
          <w:szCs w:val="22"/>
          <w:highlight w:val="none"/>
          <w:lang w:val="en-US" w:eastAsia="zh-CN" w:bidi="ar-SA"/>
        </w:rPr>
      </w:pPr>
      <w:r>
        <w:rPr>
          <w:rFonts w:hint="eastAsia"/>
          <w:b/>
          <w:color w:val="auto"/>
          <w:kern w:val="2"/>
          <w:sz w:val="24"/>
          <w:szCs w:val="22"/>
          <w:highlight w:val="none"/>
          <w:lang w:val="en-US" w:eastAsia="zh-CN" w:bidi="ar-SA"/>
        </w:rPr>
        <w:t>（一）建筑工程一切险及安全生产责任险</w:t>
      </w:r>
    </w:p>
    <w:p w14:paraId="0852E6A4">
      <w:pPr>
        <w:pStyle w:val="24"/>
        <w:spacing w:line="360" w:lineRule="auto"/>
        <w:ind w:left="0" w:leftChars="0" w:firstLine="420" w:firstLineChars="200"/>
        <w:rPr>
          <w:rFonts w:hint="eastAsia"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建筑工程一切险及安全生产责任险保险期限：自本保险合同签订之日起至本工程竣工验收合格之日止，保险服务期为30个月。如遇工期延期，本保险期限将免费延期12个月，且不加收任何附加保险费，被保险人须提前30天通知保险人。如在免费延期12个月后仍未完工，投保人在缴纳本保险合同项下按日比例计算的保险费后，保险期限可以继续延长。超过12个月部分的保费=本项目建筑工程一切险保险金额（</w:t>
      </w:r>
      <w:r>
        <w:rPr>
          <w:rFonts w:hint="eastAsia" w:ascii="宋体" w:cs="宋体"/>
          <w:b/>
          <w:bCs/>
          <w:color w:val="auto"/>
          <w:sz w:val="24"/>
          <w:highlight w:val="none"/>
          <w:lang w:val="en-US" w:eastAsia="zh-CN"/>
        </w:rPr>
        <w:t>815892366元</w:t>
      </w:r>
      <w:r>
        <w:rPr>
          <w:rFonts w:hint="eastAsia" w:ascii="宋体" w:hAnsi="宋体" w:eastAsia="宋体" w:cs="宋体"/>
          <w:b w:val="0"/>
          <w:bCs/>
          <w:color w:val="auto"/>
          <w:sz w:val="21"/>
          <w:szCs w:val="21"/>
          <w:highlight w:val="none"/>
          <w:lang w:val="en-US" w:eastAsia="zh-CN"/>
        </w:rPr>
        <w:t>）×（建筑工程一切险保险费率+安全生产责任险保险费率）×（延期时间-</w:t>
      </w:r>
      <w:r>
        <w:rPr>
          <w:rFonts w:hint="eastAsia" w:ascii="宋体" w:hAnsi="宋体" w:eastAsia="宋体" w:cs="宋体"/>
          <w:b w:val="0"/>
          <w:bCs w:val="0"/>
          <w:color w:val="auto"/>
          <w:kern w:val="2"/>
          <w:sz w:val="22"/>
          <w:szCs w:val="22"/>
          <w:highlight w:val="none"/>
          <w:u w:val="none"/>
          <w:lang w:val="en-US" w:eastAsia="zh-CN" w:bidi="ar-SA"/>
        </w:rPr>
        <w:t>365天</w:t>
      </w:r>
      <w:r>
        <w:rPr>
          <w:rFonts w:hint="eastAsia" w:ascii="宋体" w:hAnsi="宋体" w:eastAsia="宋体" w:cs="宋体"/>
          <w:b w:val="0"/>
          <w:bCs/>
          <w:color w:val="auto"/>
          <w:sz w:val="21"/>
          <w:szCs w:val="21"/>
          <w:highlight w:val="none"/>
          <w:lang w:val="en-US" w:eastAsia="zh-CN"/>
        </w:rPr>
        <w:t>）/900天。</w:t>
      </w:r>
    </w:p>
    <w:p w14:paraId="7D402007">
      <w:pPr>
        <w:pStyle w:val="24"/>
        <w:ind w:left="0" w:leftChars="0" w:firstLine="0" w:firstLineChars="0"/>
        <w:rPr>
          <w:rFonts w:hint="eastAsia"/>
          <w:b/>
          <w:color w:val="auto"/>
          <w:kern w:val="2"/>
          <w:sz w:val="24"/>
          <w:szCs w:val="22"/>
          <w:highlight w:val="none"/>
          <w:lang w:val="en-US" w:eastAsia="zh-CN" w:bidi="ar-SA"/>
        </w:rPr>
      </w:pPr>
      <w:r>
        <w:rPr>
          <w:rFonts w:hint="eastAsia"/>
          <w:b/>
          <w:color w:val="auto"/>
          <w:kern w:val="2"/>
          <w:sz w:val="24"/>
          <w:szCs w:val="22"/>
          <w:highlight w:val="none"/>
          <w:lang w:val="en-US" w:eastAsia="zh-CN" w:bidi="ar-SA"/>
        </w:rPr>
        <w:t>（二）建筑工程一切险及安全生产责任险保证期</w:t>
      </w:r>
    </w:p>
    <w:p w14:paraId="353142D0">
      <w:pPr>
        <w:pStyle w:val="24"/>
        <w:spacing w:line="360" w:lineRule="auto"/>
        <w:ind w:left="0" w:leftChars="0" w:firstLine="420" w:firstLineChars="200"/>
        <w:rPr>
          <w:rFonts w:hint="eastAsia" w:ascii="宋体" w:hAnsi="宋体" w:eastAsia="宋体" w:cs="宋体"/>
          <w:bCs/>
          <w:color w:val="auto"/>
          <w:sz w:val="21"/>
          <w:szCs w:val="21"/>
          <w:highlight w:val="none"/>
          <w:lang w:val="en-US" w:eastAsia="zh-CN" w:bidi="ar-SA"/>
        </w:rPr>
      </w:pPr>
      <w:r>
        <w:rPr>
          <w:rFonts w:hint="default" w:ascii="宋体" w:hAnsi="宋体" w:eastAsia="宋体" w:cs="宋体"/>
          <w:bCs/>
          <w:color w:val="auto"/>
          <w:sz w:val="21"/>
          <w:szCs w:val="21"/>
          <w:highlight w:val="none"/>
        </w:rPr>
        <w:t>本工程竣工验收合格之日起至本工程缺陷责任期终止证书颁发之日止，预计</w:t>
      </w:r>
      <w:r>
        <w:rPr>
          <w:rFonts w:hint="default" w:ascii="宋体" w:hAnsi="宋体" w:eastAsia="宋体" w:cs="宋体"/>
          <w:bCs/>
          <w:color w:val="auto"/>
          <w:sz w:val="21"/>
          <w:szCs w:val="21"/>
          <w:highlight w:val="none"/>
          <w:lang w:val="en-US" w:eastAsia="zh-CN"/>
        </w:rPr>
        <w:t>12</w:t>
      </w:r>
      <w:r>
        <w:rPr>
          <w:rFonts w:hint="default" w:ascii="宋体" w:hAnsi="宋体" w:eastAsia="宋体" w:cs="宋体"/>
          <w:bCs/>
          <w:color w:val="auto"/>
          <w:sz w:val="21"/>
          <w:szCs w:val="21"/>
          <w:highlight w:val="none"/>
        </w:rPr>
        <w:t>个月。如遇工期延期，则保证期相应顺延。</w:t>
      </w:r>
      <w:r>
        <w:rPr>
          <w:rFonts w:hint="eastAsia" w:ascii="宋体" w:hAnsi="宋体" w:eastAsia="宋体" w:cs="宋体"/>
          <w:bCs/>
          <w:color w:val="auto"/>
          <w:sz w:val="21"/>
          <w:szCs w:val="21"/>
          <w:highlight w:val="none"/>
          <w:lang w:val="en-US" w:eastAsia="zh-CN" w:bidi="ar-SA"/>
        </w:rPr>
        <w:t xml:space="preserve"> </w:t>
      </w:r>
    </w:p>
    <w:p w14:paraId="0D72E205">
      <w:pPr>
        <w:pStyle w:val="4"/>
        <w:spacing w:before="156" w:after="156"/>
        <w:rPr>
          <w:rFonts w:hint="eastAsia"/>
          <w:color w:val="auto"/>
          <w:sz w:val="24"/>
          <w:szCs w:val="24"/>
          <w:highlight w:val="none"/>
        </w:rPr>
      </w:pPr>
      <w:r>
        <w:rPr>
          <w:rFonts w:hint="eastAsia"/>
          <w:color w:val="auto"/>
          <w:sz w:val="24"/>
          <w:szCs w:val="24"/>
          <w:highlight w:val="none"/>
        </w:rPr>
        <w:t>十二、保险费率</w:t>
      </w:r>
      <w:r>
        <w:rPr>
          <w:rFonts w:hint="eastAsia"/>
          <w:color w:val="auto"/>
          <w:sz w:val="24"/>
          <w:szCs w:val="24"/>
          <w:highlight w:val="none"/>
          <w:lang w:eastAsia="zh-CN"/>
        </w:rPr>
        <w:t>（</w:t>
      </w:r>
      <w:r>
        <w:rPr>
          <w:rFonts w:hint="eastAsia"/>
          <w:color w:val="auto"/>
          <w:sz w:val="24"/>
          <w:szCs w:val="24"/>
          <w:highlight w:val="none"/>
          <w:lang w:val="en-US" w:eastAsia="zh-CN"/>
        </w:rPr>
        <w:t>含增值税</w:t>
      </w:r>
      <w:r>
        <w:rPr>
          <w:rFonts w:hint="eastAsia"/>
          <w:color w:val="auto"/>
          <w:sz w:val="24"/>
          <w:szCs w:val="24"/>
          <w:highlight w:val="none"/>
          <w:lang w:eastAsia="zh-CN"/>
        </w:rPr>
        <w:t>）</w:t>
      </w:r>
      <w:r>
        <w:rPr>
          <w:rFonts w:hint="eastAsia"/>
          <w:color w:val="auto"/>
          <w:sz w:val="24"/>
          <w:szCs w:val="24"/>
          <w:highlight w:val="none"/>
        </w:rPr>
        <w:t>：</w:t>
      </w:r>
    </w:p>
    <w:p w14:paraId="5E1025F5">
      <w:pPr>
        <w:spacing w:line="400" w:lineRule="exact"/>
        <w:ind w:firstLine="840" w:firstLineChars="400"/>
        <w:rPr>
          <w:rFonts w:hint="eastAsia" w:cs="宋体"/>
          <w:bCs/>
          <w:color w:val="auto"/>
          <w:szCs w:val="21"/>
          <w:highlight w:val="none"/>
          <w:u w:val="single"/>
        </w:rPr>
      </w:pPr>
      <w:bookmarkStart w:id="39" w:name="_Toc18306"/>
      <w:bookmarkStart w:id="40" w:name="_Toc6060"/>
      <w:r>
        <w:rPr>
          <w:rFonts w:hint="eastAsia" w:cs="宋体"/>
          <w:bCs/>
          <w:color w:val="auto"/>
          <w:szCs w:val="21"/>
          <w:highlight w:val="none"/>
          <w:lang w:eastAsia="zh-CN"/>
        </w:rPr>
        <w:t>建筑工程一切险</w:t>
      </w:r>
      <w:r>
        <w:rPr>
          <w:rFonts w:hint="eastAsia" w:cs="宋体"/>
          <w:bCs/>
          <w:color w:val="auto"/>
          <w:szCs w:val="21"/>
          <w:highlight w:val="none"/>
        </w:rPr>
        <w:t>：</w:t>
      </w:r>
      <w:r>
        <w:rPr>
          <w:rFonts w:hint="eastAsia" w:cs="宋体"/>
          <w:bCs/>
          <w:color w:val="auto"/>
          <w:szCs w:val="21"/>
          <w:highlight w:val="none"/>
          <w:u w:val="single"/>
          <w:lang w:val="en-US" w:eastAsia="zh-CN"/>
        </w:rPr>
        <w:t xml:space="preserve">      </w:t>
      </w:r>
      <w:bookmarkEnd w:id="39"/>
      <w:bookmarkEnd w:id="40"/>
      <w:r>
        <w:rPr>
          <w:rFonts w:hint="eastAsia" w:eastAsia="宋体" w:cs="宋体"/>
          <w:bCs/>
          <w:color w:val="auto"/>
          <w:szCs w:val="21"/>
          <w:highlight w:val="none"/>
          <w:u w:val="single"/>
          <w:lang w:val="en-US" w:eastAsia="zh-CN"/>
        </w:rPr>
        <w:t>‰</w:t>
      </w:r>
      <w:r>
        <w:rPr>
          <w:rFonts w:hint="eastAsia" w:cs="宋体"/>
          <w:bCs/>
          <w:color w:val="auto"/>
          <w:szCs w:val="21"/>
          <w:highlight w:val="none"/>
          <w:u w:val="single"/>
        </w:rPr>
        <w:t xml:space="preserve"> </w:t>
      </w:r>
    </w:p>
    <w:p w14:paraId="3E55A289">
      <w:pPr>
        <w:spacing w:line="400" w:lineRule="exact"/>
        <w:ind w:firstLine="840" w:firstLineChars="400"/>
        <w:rPr>
          <w:rFonts w:hint="eastAsia" w:cs="宋体"/>
          <w:bCs/>
          <w:color w:val="auto"/>
          <w:szCs w:val="21"/>
          <w:highlight w:val="none"/>
          <w:u w:val="single"/>
        </w:rPr>
      </w:pPr>
      <w:bookmarkStart w:id="41" w:name="_Toc111"/>
      <w:bookmarkStart w:id="42" w:name="_Toc11356"/>
      <w:r>
        <w:rPr>
          <w:rFonts w:hint="eastAsia" w:cs="宋体"/>
          <w:bCs/>
          <w:color w:val="auto"/>
          <w:szCs w:val="21"/>
          <w:highlight w:val="none"/>
        </w:rPr>
        <w:t>第三者责任险：</w:t>
      </w:r>
      <w:r>
        <w:rPr>
          <w:rFonts w:hint="eastAsia" w:cs="宋体"/>
          <w:bCs/>
          <w:color w:val="auto"/>
          <w:szCs w:val="21"/>
          <w:highlight w:val="none"/>
          <w:u w:val="single"/>
          <w:lang w:val="en-US" w:eastAsia="zh-CN"/>
        </w:rPr>
        <w:t xml:space="preserve">        </w:t>
      </w:r>
      <w:bookmarkEnd w:id="41"/>
      <w:bookmarkEnd w:id="42"/>
      <w:r>
        <w:rPr>
          <w:rFonts w:hint="eastAsia" w:cs="宋体"/>
          <w:bCs/>
          <w:color w:val="auto"/>
          <w:szCs w:val="21"/>
          <w:highlight w:val="none"/>
          <w:u w:val="single"/>
          <w:lang w:val="en-US" w:eastAsia="zh-CN"/>
        </w:rPr>
        <w:t>‰</w:t>
      </w:r>
      <w:r>
        <w:rPr>
          <w:rFonts w:hint="eastAsia" w:cs="宋体"/>
          <w:bCs/>
          <w:color w:val="auto"/>
          <w:szCs w:val="21"/>
          <w:highlight w:val="none"/>
          <w:u w:val="single"/>
        </w:rPr>
        <w:t xml:space="preserve"> </w:t>
      </w:r>
    </w:p>
    <w:p w14:paraId="1C100AA7">
      <w:pPr>
        <w:pStyle w:val="4"/>
        <w:spacing w:before="156" w:after="156"/>
        <w:rPr>
          <w:rFonts w:hint="eastAsia"/>
          <w:color w:val="auto"/>
          <w:sz w:val="24"/>
          <w:szCs w:val="24"/>
          <w:highlight w:val="none"/>
        </w:rPr>
      </w:pPr>
      <w:bookmarkStart w:id="43" w:name="_Toc7859"/>
      <w:bookmarkStart w:id="44" w:name="_Toc31958"/>
      <w:bookmarkStart w:id="45" w:name="_Toc11725"/>
      <w:r>
        <w:rPr>
          <w:rFonts w:hint="eastAsia"/>
          <w:color w:val="auto"/>
          <w:sz w:val="24"/>
          <w:szCs w:val="24"/>
          <w:highlight w:val="none"/>
        </w:rPr>
        <w:t>十三、保险费：</w:t>
      </w:r>
      <w:bookmarkEnd w:id="43"/>
      <w:bookmarkEnd w:id="44"/>
      <w:bookmarkEnd w:id="45"/>
    </w:p>
    <w:p w14:paraId="4FDD1913">
      <w:pPr>
        <w:spacing w:line="400" w:lineRule="exact"/>
        <w:ind w:firstLine="420" w:firstLineChars="200"/>
        <w:rPr>
          <w:rFonts w:hint="default" w:cs="宋体"/>
          <w:bCs/>
          <w:color w:val="auto"/>
          <w:szCs w:val="21"/>
          <w:highlight w:val="none"/>
          <w:lang w:val="en-US"/>
        </w:rPr>
      </w:pPr>
      <w:bookmarkStart w:id="46" w:name="_Toc1836"/>
      <w:bookmarkStart w:id="47" w:name="_Toc4522"/>
      <w:r>
        <w:rPr>
          <w:rFonts w:hint="eastAsia" w:cs="宋体"/>
          <w:bCs/>
          <w:color w:val="auto"/>
          <w:szCs w:val="21"/>
          <w:highlight w:val="none"/>
        </w:rPr>
        <w:t>建筑工程一切险：</w:t>
      </w:r>
      <w:r>
        <w:rPr>
          <w:rFonts w:hint="eastAsia" w:cs="宋体"/>
          <w:b/>
          <w:color w:val="auto"/>
          <w:szCs w:val="21"/>
          <w:highlight w:val="none"/>
        </w:rPr>
        <w:t>RMB</w:t>
      </w:r>
      <w:bookmarkEnd w:id="46"/>
      <w:bookmarkEnd w:id="47"/>
      <w:r>
        <w:rPr>
          <w:rFonts w:hint="eastAsia" w:cs="宋体"/>
          <w:b/>
          <w:color w:val="auto"/>
          <w:szCs w:val="21"/>
          <w:highlight w:val="none"/>
          <w:u w:val="single"/>
          <w:lang w:val="en-US" w:eastAsia="zh-CN"/>
        </w:rPr>
        <w:t xml:space="preserve">            </w:t>
      </w:r>
      <w:r>
        <w:rPr>
          <w:rFonts w:hint="eastAsia" w:cs="宋体"/>
          <w:b/>
          <w:color w:val="auto"/>
          <w:szCs w:val="21"/>
          <w:highlight w:val="none"/>
        </w:rPr>
        <w:t>元</w:t>
      </w:r>
      <w:r>
        <w:rPr>
          <w:rFonts w:hint="eastAsia" w:cs="宋体"/>
          <w:bCs/>
          <w:color w:val="auto"/>
          <w:szCs w:val="21"/>
          <w:highlight w:val="none"/>
        </w:rPr>
        <w:t xml:space="preserve"> </w:t>
      </w:r>
      <w:r>
        <w:rPr>
          <w:rFonts w:hint="eastAsia" w:cs="宋体"/>
          <w:bCs/>
          <w:color w:val="auto"/>
          <w:szCs w:val="21"/>
          <w:highlight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lang w:eastAsia="zh-CN"/>
        </w:rPr>
        <w:t>），</w:t>
      </w:r>
      <w:r>
        <w:rPr>
          <w:rFonts w:hint="eastAsia" w:cs="宋体"/>
          <w:b/>
          <w:bCs w:val="0"/>
          <w:color w:val="auto"/>
          <w:szCs w:val="21"/>
          <w:highlight w:val="none"/>
          <w:u w:val="none"/>
          <w:lang w:eastAsia="zh-CN"/>
        </w:rPr>
        <w:t>大写：</w:t>
      </w:r>
      <w:r>
        <w:rPr>
          <w:rFonts w:hint="eastAsia" w:cs="宋体"/>
          <w:b/>
          <w:bCs w:val="0"/>
          <w:color w:val="auto"/>
          <w:szCs w:val="21"/>
          <w:highlight w:val="none"/>
          <w:u w:val="single"/>
          <w:lang w:val="en-US" w:eastAsia="zh-CN"/>
        </w:rPr>
        <w:t xml:space="preserve">          </w:t>
      </w:r>
      <w:r>
        <w:rPr>
          <w:rFonts w:hint="eastAsia" w:cs="宋体"/>
          <w:bCs/>
          <w:color w:val="auto"/>
          <w:szCs w:val="21"/>
          <w:highlight w:val="none"/>
          <w:u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u w:val="none"/>
          <w:lang w:eastAsia="zh-CN"/>
        </w:rPr>
        <w:t>）</w:t>
      </w:r>
      <w:r>
        <w:rPr>
          <w:rFonts w:hint="eastAsia" w:cs="宋体"/>
          <w:b/>
          <w:bCs w:val="0"/>
          <w:color w:val="auto"/>
          <w:szCs w:val="21"/>
          <w:highlight w:val="none"/>
          <w:u w:val="none"/>
          <w:lang w:eastAsia="zh-CN"/>
        </w:rPr>
        <w:t>；</w:t>
      </w:r>
      <w:r>
        <w:rPr>
          <w:rFonts w:hint="eastAsia" w:cs="宋体"/>
          <w:b/>
          <w:bCs w:val="0"/>
          <w:color w:val="auto"/>
          <w:szCs w:val="21"/>
          <w:highlight w:val="none"/>
          <w:u w:val="none"/>
          <w:lang w:val="en-US" w:eastAsia="zh-CN"/>
        </w:rPr>
        <w:t>其中增值税</w:t>
      </w:r>
      <w:r>
        <w:rPr>
          <w:rFonts w:hint="eastAsia" w:cs="宋体"/>
          <w:b/>
          <w:bCs w:val="0"/>
          <w:color w:val="auto"/>
          <w:szCs w:val="21"/>
          <w:highlight w:val="none"/>
          <w:u w:val="single"/>
          <w:lang w:val="en-US" w:eastAsia="zh-CN"/>
        </w:rPr>
        <w:t xml:space="preserve">             </w:t>
      </w:r>
      <w:r>
        <w:rPr>
          <w:rFonts w:hint="eastAsia" w:cs="宋体"/>
          <w:b/>
          <w:bCs w:val="0"/>
          <w:color w:val="auto"/>
          <w:szCs w:val="21"/>
          <w:highlight w:val="none"/>
          <w:u w:val="none"/>
          <w:lang w:val="en-US" w:eastAsia="zh-CN"/>
        </w:rPr>
        <w:t>元。</w:t>
      </w:r>
    </w:p>
    <w:p w14:paraId="4BFA18C2">
      <w:pPr>
        <w:spacing w:line="400" w:lineRule="exact"/>
        <w:ind w:firstLine="420" w:firstLineChars="200"/>
        <w:rPr>
          <w:rFonts w:hint="eastAsia" w:cs="宋体"/>
          <w:bCs/>
          <w:color w:val="auto"/>
          <w:szCs w:val="21"/>
          <w:highlight w:val="none"/>
        </w:rPr>
      </w:pPr>
      <w:bookmarkStart w:id="48" w:name="_Toc1269"/>
      <w:bookmarkStart w:id="49" w:name="_Toc23845"/>
      <w:r>
        <w:rPr>
          <w:rFonts w:hint="eastAsia" w:cs="宋体"/>
          <w:bCs/>
          <w:color w:val="auto"/>
          <w:szCs w:val="21"/>
          <w:highlight w:val="none"/>
          <w:lang w:val="en-US" w:eastAsia="zh-CN"/>
        </w:rPr>
        <w:t>安全生产责任险</w:t>
      </w:r>
      <w:r>
        <w:rPr>
          <w:rFonts w:hint="eastAsia" w:cs="宋体"/>
          <w:bCs/>
          <w:color w:val="auto"/>
          <w:szCs w:val="21"/>
          <w:highlight w:val="none"/>
        </w:rPr>
        <w:t>：</w:t>
      </w:r>
      <w:bookmarkEnd w:id="48"/>
      <w:bookmarkEnd w:id="49"/>
      <w:r>
        <w:rPr>
          <w:rFonts w:hint="eastAsia" w:cs="宋体"/>
          <w:b/>
          <w:color w:val="auto"/>
          <w:szCs w:val="21"/>
          <w:highlight w:val="none"/>
        </w:rPr>
        <w:t>RMB</w:t>
      </w:r>
      <w:r>
        <w:rPr>
          <w:rFonts w:hint="eastAsia" w:cs="宋体"/>
          <w:b/>
          <w:color w:val="auto"/>
          <w:szCs w:val="21"/>
          <w:highlight w:val="none"/>
          <w:u w:val="single"/>
          <w:lang w:val="en-US" w:eastAsia="zh-CN"/>
        </w:rPr>
        <w:t xml:space="preserve">            </w:t>
      </w:r>
      <w:r>
        <w:rPr>
          <w:rFonts w:hint="eastAsia" w:cs="宋体"/>
          <w:b/>
          <w:color w:val="auto"/>
          <w:szCs w:val="21"/>
          <w:highlight w:val="none"/>
        </w:rPr>
        <w:t>元</w:t>
      </w:r>
      <w:r>
        <w:rPr>
          <w:rFonts w:hint="eastAsia" w:cs="宋体"/>
          <w:bCs/>
          <w:color w:val="auto"/>
          <w:szCs w:val="21"/>
          <w:highlight w:val="none"/>
        </w:rPr>
        <w:t xml:space="preserve"> </w:t>
      </w:r>
      <w:r>
        <w:rPr>
          <w:rFonts w:hint="eastAsia" w:cs="宋体"/>
          <w:bCs/>
          <w:color w:val="auto"/>
          <w:szCs w:val="21"/>
          <w:highlight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lang w:eastAsia="zh-CN"/>
        </w:rPr>
        <w:t>），</w:t>
      </w:r>
      <w:r>
        <w:rPr>
          <w:rFonts w:hint="eastAsia" w:cs="宋体"/>
          <w:b/>
          <w:bCs w:val="0"/>
          <w:color w:val="auto"/>
          <w:szCs w:val="21"/>
          <w:highlight w:val="none"/>
          <w:u w:val="none"/>
          <w:lang w:eastAsia="zh-CN"/>
        </w:rPr>
        <w:t>大写：</w:t>
      </w:r>
      <w:r>
        <w:rPr>
          <w:rFonts w:hint="eastAsia" w:cs="宋体"/>
          <w:b/>
          <w:bCs w:val="0"/>
          <w:color w:val="auto"/>
          <w:szCs w:val="21"/>
          <w:highlight w:val="none"/>
          <w:u w:val="single"/>
          <w:lang w:val="en-US" w:eastAsia="zh-CN"/>
        </w:rPr>
        <w:t xml:space="preserve">         </w:t>
      </w:r>
      <w:r>
        <w:rPr>
          <w:rFonts w:hint="eastAsia" w:cs="宋体"/>
          <w:bCs/>
          <w:color w:val="auto"/>
          <w:szCs w:val="21"/>
          <w:highlight w:val="none"/>
          <w:u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u w:val="none"/>
          <w:lang w:eastAsia="zh-CN"/>
        </w:rPr>
        <w:t>）</w:t>
      </w:r>
      <w:r>
        <w:rPr>
          <w:rFonts w:hint="eastAsia" w:cs="宋体"/>
          <w:b/>
          <w:bCs w:val="0"/>
          <w:color w:val="auto"/>
          <w:szCs w:val="21"/>
          <w:highlight w:val="none"/>
          <w:u w:val="none"/>
          <w:lang w:eastAsia="zh-CN"/>
        </w:rPr>
        <w:t>；</w:t>
      </w:r>
      <w:r>
        <w:rPr>
          <w:rFonts w:hint="eastAsia" w:cs="宋体"/>
          <w:b/>
          <w:bCs w:val="0"/>
          <w:color w:val="auto"/>
          <w:szCs w:val="21"/>
          <w:highlight w:val="none"/>
          <w:u w:val="none"/>
          <w:lang w:val="en-US" w:eastAsia="zh-CN"/>
        </w:rPr>
        <w:t>其中增值税</w:t>
      </w:r>
      <w:r>
        <w:rPr>
          <w:rFonts w:hint="eastAsia" w:cs="宋体"/>
          <w:b/>
          <w:bCs w:val="0"/>
          <w:color w:val="auto"/>
          <w:szCs w:val="21"/>
          <w:highlight w:val="none"/>
          <w:u w:val="single"/>
          <w:lang w:val="en-US" w:eastAsia="zh-CN"/>
        </w:rPr>
        <w:t xml:space="preserve">             </w:t>
      </w:r>
      <w:r>
        <w:rPr>
          <w:rFonts w:hint="eastAsia" w:cs="宋体"/>
          <w:b/>
          <w:bCs w:val="0"/>
          <w:color w:val="auto"/>
          <w:szCs w:val="21"/>
          <w:highlight w:val="none"/>
          <w:u w:val="none"/>
          <w:lang w:val="en-US" w:eastAsia="zh-CN"/>
        </w:rPr>
        <w:t>元。</w:t>
      </w:r>
    </w:p>
    <w:p w14:paraId="6ED04A99">
      <w:pPr>
        <w:spacing w:line="400" w:lineRule="exact"/>
        <w:ind w:firstLine="420" w:firstLineChars="200"/>
        <w:rPr>
          <w:rFonts w:hint="eastAsia" w:cs="宋体"/>
          <w:b/>
          <w:bCs w:val="0"/>
          <w:color w:val="auto"/>
          <w:szCs w:val="21"/>
          <w:highlight w:val="none"/>
          <w:u w:val="single"/>
        </w:rPr>
      </w:pPr>
      <w:bookmarkStart w:id="50" w:name="_Toc24962"/>
      <w:bookmarkStart w:id="51" w:name="_Toc2076"/>
      <w:r>
        <w:rPr>
          <w:rFonts w:hint="eastAsia" w:cs="宋体"/>
          <w:bCs/>
          <w:color w:val="auto"/>
          <w:szCs w:val="21"/>
          <w:highlight w:val="none"/>
        </w:rPr>
        <w:t>合计：</w:t>
      </w:r>
      <w:bookmarkEnd w:id="50"/>
      <w:bookmarkEnd w:id="51"/>
      <w:r>
        <w:rPr>
          <w:rFonts w:hint="eastAsia" w:cs="宋体"/>
          <w:b/>
          <w:color w:val="auto"/>
          <w:szCs w:val="21"/>
          <w:highlight w:val="none"/>
        </w:rPr>
        <w:t>RMB</w:t>
      </w:r>
      <w:r>
        <w:rPr>
          <w:rFonts w:hint="eastAsia" w:cs="宋体"/>
          <w:b/>
          <w:color w:val="auto"/>
          <w:szCs w:val="21"/>
          <w:highlight w:val="none"/>
          <w:u w:val="single"/>
          <w:lang w:val="en-US" w:eastAsia="zh-CN"/>
        </w:rPr>
        <w:t xml:space="preserve">                </w:t>
      </w:r>
      <w:r>
        <w:rPr>
          <w:rFonts w:hint="eastAsia" w:cs="宋体"/>
          <w:b/>
          <w:color w:val="auto"/>
          <w:szCs w:val="21"/>
          <w:highlight w:val="none"/>
        </w:rPr>
        <w:t>元</w:t>
      </w:r>
      <w:r>
        <w:rPr>
          <w:rFonts w:hint="eastAsia" w:cs="宋体"/>
          <w:bCs/>
          <w:color w:val="auto"/>
          <w:szCs w:val="21"/>
          <w:highlight w:val="none"/>
        </w:rPr>
        <w:t xml:space="preserve"> </w:t>
      </w:r>
      <w:r>
        <w:rPr>
          <w:rFonts w:hint="eastAsia" w:cs="宋体"/>
          <w:bCs/>
          <w:color w:val="auto"/>
          <w:szCs w:val="21"/>
          <w:highlight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lang w:eastAsia="zh-CN"/>
        </w:rPr>
        <w:t>），</w:t>
      </w:r>
      <w:r>
        <w:rPr>
          <w:rFonts w:hint="eastAsia" w:cs="宋体"/>
          <w:b/>
          <w:bCs w:val="0"/>
          <w:color w:val="auto"/>
          <w:szCs w:val="21"/>
          <w:highlight w:val="none"/>
          <w:u w:val="none"/>
          <w:lang w:eastAsia="zh-CN"/>
        </w:rPr>
        <w:t>大写：</w:t>
      </w:r>
      <w:r>
        <w:rPr>
          <w:rFonts w:hint="eastAsia" w:cs="宋体"/>
          <w:b/>
          <w:bCs w:val="0"/>
          <w:color w:val="auto"/>
          <w:szCs w:val="21"/>
          <w:highlight w:val="none"/>
          <w:u w:val="single"/>
          <w:lang w:val="en-US" w:eastAsia="zh-CN"/>
        </w:rPr>
        <w:t xml:space="preserve">             </w:t>
      </w:r>
      <w:r>
        <w:rPr>
          <w:rFonts w:hint="eastAsia" w:cs="宋体"/>
          <w:bCs/>
          <w:color w:val="auto"/>
          <w:szCs w:val="21"/>
          <w:highlight w:val="none"/>
          <w:u w:val="none"/>
          <w:lang w:eastAsia="zh-CN"/>
        </w:rPr>
        <w:t>（</w:t>
      </w:r>
      <w:r>
        <w:rPr>
          <w:rFonts w:hint="eastAsia" w:cs="宋体"/>
          <w:bCs/>
          <w:color w:val="auto"/>
          <w:szCs w:val="21"/>
          <w:highlight w:val="none"/>
          <w:lang w:val="en-US" w:eastAsia="zh-CN"/>
        </w:rPr>
        <w:t>含增值税</w:t>
      </w:r>
      <w:r>
        <w:rPr>
          <w:rFonts w:hint="eastAsia" w:cs="宋体"/>
          <w:bCs/>
          <w:color w:val="auto"/>
          <w:szCs w:val="21"/>
          <w:highlight w:val="none"/>
          <w:u w:val="none"/>
          <w:lang w:eastAsia="zh-CN"/>
        </w:rPr>
        <w:t>）</w:t>
      </w:r>
      <w:r>
        <w:rPr>
          <w:rFonts w:hint="eastAsia" w:cs="宋体"/>
          <w:b/>
          <w:bCs w:val="0"/>
          <w:color w:val="auto"/>
          <w:szCs w:val="21"/>
          <w:highlight w:val="none"/>
          <w:u w:val="none"/>
          <w:lang w:eastAsia="zh-CN"/>
        </w:rPr>
        <w:t>；</w:t>
      </w:r>
      <w:r>
        <w:rPr>
          <w:rFonts w:hint="eastAsia" w:cs="宋体"/>
          <w:b/>
          <w:bCs w:val="0"/>
          <w:color w:val="auto"/>
          <w:szCs w:val="21"/>
          <w:highlight w:val="none"/>
          <w:u w:val="none"/>
          <w:lang w:val="en-US" w:eastAsia="zh-CN"/>
        </w:rPr>
        <w:t>其中增值税</w:t>
      </w:r>
      <w:r>
        <w:rPr>
          <w:rFonts w:hint="eastAsia" w:cs="宋体"/>
          <w:b/>
          <w:bCs w:val="0"/>
          <w:color w:val="auto"/>
          <w:szCs w:val="21"/>
          <w:highlight w:val="none"/>
          <w:u w:val="single"/>
          <w:lang w:val="en-US" w:eastAsia="zh-CN"/>
        </w:rPr>
        <w:t xml:space="preserve">             </w:t>
      </w:r>
      <w:r>
        <w:rPr>
          <w:rFonts w:hint="eastAsia" w:cs="宋体"/>
          <w:b/>
          <w:bCs w:val="0"/>
          <w:color w:val="auto"/>
          <w:szCs w:val="21"/>
          <w:highlight w:val="none"/>
          <w:u w:val="none"/>
          <w:lang w:val="en-US" w:eastAsia="zh-CN"/>
        </w:rPr>
        <w:t>元。</w:t>
      </w:r>
    </w:p>
    <w:p w14:paraId="7B043869">
      <w:pPr>
        <w:pStyle w:val="4"/>
        <w:spacing w:before="156" w:after="156"/>
        <w:rPr>
          <w:rFonts w:hint="eastAsia"/>
          <w:color w:val="auto"/>
          <w:sz w:val="24"/>
          <w:szCs w:val="24"/>
          <w:highlight w:val="none"/>
          <w:shd w:val="clear" w:color="auto" w:fill="auto"/>
        </w:rPr>
      </w:pPr>
      <w:bookmarkStart w:id="52" w:name="_Toc25664"/>
      <w:bookmarkStart w:id="53" w:name="_Toc31361"/>
      <w:r>
        <w:rPr>
          <w:rFonts w:hint="eastAsia"/>
          <w:color w:val="auto"/>
          <w:sz w:val="24"/>
          <w:szCs w:val="24"/>
          <w:highlight w:val="none"/>
          <w:shd w:val="clear" w:color="auto" w:fill="auto"/>
        </w:rPr>
        <w:t>十四、保险费支付方式：</w:t>
      </w:r>
    </w:p>
    <w:p w14:paraId="3023FE2F">
      <w:pPr>
        <w:spacing w:line="400" w:lineRule="exact"/>
        <w:ind w:firstLine="420" w:firstLineChars="200"/>
        <w:rPr>
          <w:rFonts w:hint="eastAsia" w:cs="宋体"/>
          <w:bCs/>
          <w:color w:val="auto"/>
          <w:szCs w:val="21"/>
          <w:highlight w:val="none"/>
        </w:rPr>
      </w:pPr>
      <w:r>
        <w:rPr>
          <w:rFonts w:hint="eastAsia" w:cs="宋体"/>
          <w:bCs/>
          <w:color w:val="auto"/>
          <w:szCs w:val="21"/>
          <w:highlight w:val="none"/>
        </w:rPr>
        <w:t xml:space="preserve">分期数      缴付保险费比例          </w:t>
      </w:r>
      <w:r>
        <w:rPr>
          <w:rFonts w:hint="eastAsia" w:cs="宋体"/>
          <w:bCs/>
          <w:color w:val="auto"/>
          <w:szCs w:val="21"/>
          <w:highlight w:val="none"/>
          <w:lang w:val="en-US" w:eastAsia="zh-CN"/>
        </w:rPr>
        <w:t xml:space="preserve">        </w:t>
      </w:r>
      <w:r>
        <w:rPr>
          <w:rFonts w:hint="eastAsia" w:cs="宋体"/>
          <w:bCs/>
          <w:color w:val="auto"/>
          <w:szCs w:val="21"/>
          <w:highlight w:val="none"/>
        </w:rPr>
        <w:t xml:space="preserve">   缴付日期</w:t>
      </w:r>
      <w:bookmarkEnd w:id="52"/>
      <w:bookmarkEnd w:id="53"/>
    </w:p>
    <w:p w14:paraId="0FCA9A1D">
      <w:pPr>
        <w:spacing w:line="400" w:lineRule="exact"/>
        <w:ind w:firstLine="420" w:firstLineChars="200"/>
        <w:rPr>
          <w:rFonts w:hint="eastAsia" w:cs="宋体"/>
          <w:bCs/>
          <w:color w:val="auto"/>
          <w:szCs w:val="21"/>
          <w:highlight w:val="none"/>
        </w:rPr>
      </w:pPr>
      <w:bookmarkStart w:id="54" w:name="_Toc1142"/>
      <w:bookmarkStart w:id="55" w:name="_Toc14072"/>
      <w:r>
        <w:rPr>
          <w:rFonts w:hint="eastAsia" w:cs="宋体"/>
          <w:bCs/>
          <w:color w:val="auto"/>
          <w:szCs w:val="21"/>
          <w:highlight w:val="none"/>
        </w:rPr>
        <w:t xml:space="preserve">第一期          </w:t>
      </w:r>
      <w:r>
        <w:rPr>
          <w:rFonts w:hint="eastAsia" w:cs="宋体"/>
          <w:bCs/>
          <w:color w:val="auto"/>
          <w:szCs w:val="21"/>
          <w:highlight w:val="none"/>
          <w:lang w:val="en-US" w:eastAsia="zh-CN"/>
        </w:rPr>
        <w:t>60</w:t>
      </w:r>
      <w:r>
        <w:rPr>
          <w:rFonts w:hint="eastAsia" w:cs="宋体"/>
          <w:bCs/>
          <w:color w:val="auto"/>
          <w:szCs w:val="21"/>
          <w:highlight w:val="none"/>
        </w:rPr>
        <w:t xml:space="preserve">%     </w:t>
      </w:r>
      <w:bookmarkEnd w:id="54"/>
      <w:bookmarkEnd w:id="55"/>
      <w:r>
        <w:rPr>
          <w:rFonts w:hint="eastAsia" w:cs="宋体"/>
          <w:bCs/>
          <w:color w:val="auto"/>
          <w:szCs w:val="21"/>
          <w:highlight w:val="none"/>
          <w:lang w:val="en-US" w:eastAsia="zh-CN"/>
        </w:rPr>
        <w:t xml:space="preserve">     </w:t>
      </w:r>
      <w:r>
        <w:rPr>
          <w:rFonts w:hint="eastAsia" w:cs="宋体"/>
          <w:bCs/>
          <w:color w:val="auto"/>
          <w:szCs w:val="21"/>
          <w:highlight w:val="none"/>
        </w:rPr>
        <w:t>收到正式保单后30个工作日内</w:t>
      </w:r>
      <w:r>
        <w:rPr>
          <w:rFonts w:hint="eastAsia" w:cs="宋体"/>
          <w:bCs/>
          <w:color w:val="auto"/>
          <w:szCs w:val="21"/>
          <w:highlight w:val="none"/>
          <w:lang w:val="en-US" w:eastAsia="zh-CN"/>
        </w:rPr>
        <w:t>支付完成</w:t>
      </w:r>
      <w:r>
        <w:rPr>
          <w:rFonts w:hint="eastAsia" w:cs="宋体"/>
          <w:bCs/>
          <w:color w:val="auto"/>
          <w:szCs w:val="21"/>
          <w:highlight w:val="none"/>
        </w:rPr>
        <w:t>保</w:t>
      </w:r>
      <w:r>
        <w:rPr>
          <w:rFonts w:hint="eastAsia" w:cs="宋体"/>
          <w:bCs/>
          <w:color w:val="auto"/>
          <w:szCs w:val="21"/>
          <w:highlight w:val="none"/>
          <w:lang w:val="en-US" w:eastAsia="zh-CN"/>
        </w:rPr>
        <w:t>险</w:t>
      </w:r>
      <w:r>
        <w:rPr>
          <w:rFonts w:hint="eastAsia" w:cs="宋体"/>
          <w:bCs/>
          <w:color w:val="auto"/>
          <w:szCs w:val="21"/>
          <w:highlight w:val="none"/>
        </w:rPr>
        <w:t>费</w:t>
      </w:r>
    </w:p>
    <w:p w14:paraId="379B1089">
      <w:pPr>
        <w:pStyle w:val="48"/>
        <w:ind w:firstLine="420" w:firstLineChars="200"/>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第二期          30%          2025年10月31日前支付完成保险费</w:t>
      </w:r>
    </w:p>
    <w:p w14:paraId="14479E02">
      <w:pPr>
        <w:spacing w:line="400" w:lineRule="exact"/>
        <w:ind w:firstLine="420" w:firstLineChars="200"/>
        <w:rPr>
          <w:rFonts w:hint="eastAsia" w:cs="宋体"/>
          <w:bCs/>
          <w:color w:val="auto"/>
          <w:szCs w:val="21"/>
          <w:highlight w:val="none"/>
          <w:lang w:val="en-US" w:eastAsia="zh-CN"/>
        </w:rPr>
      </w:pPr>
      <w:r>
        <w:rPr>
          <w:rFonts w:hint="eastAsia" w:ascii="宋体" w:hAnsi="宋体" w:eastAsia="宋体" w:cs="宋体"/>
          <w:bCs/>
          <w:color w:val="auto"/>
          <w:kern w:val="0"/>
          <w:sz w:val="21"/>
          <w:szCs w:val="21"/>
          <w:highlight w:val="none"/>
          <w:lang w:val="en-US" w:eastAsia="zh-CN" w:bidi="ar-SA"/>
        </w:rPr>
        <w:t>第三期          10%          本工程竣工验收合格之日起30天内完成支付</w:t>
      </w:r>
    </w:p>
    <w:p w14:paraId="7D0E1A18">
      <w:pPr>
        <w:pStyle w:val="4"/>
        <w:spacing w:before="156" w:after="156"/>
        <w:rPr>
          <w:rFonts w:hint="eastAsia"/>
          <w:color w:val="auto"/>
          <w:sz w:val="24"/>
          <w:szCs w:val="24"/>
          <w:highlight w:val="none"/>
        </w:rPr>
      </w:pPr>
      <w:r>
        <w:rPr>
          <w:rFonts w:hint="eastAsia"/>
          <w:color w:val="auto"/>
          <w:sz w:val="24"/>
          <w:szCs w:val="24"/>
          <w:highlight w:val="none"/>
        </w:rPr>
        <w:t>十五、主条款</w:t>
      </w:r>
      <w:r>
        <w:rPr>
          <w:rFonts w:hint="eastAsia"/>
          <w:color w:val="auto"/>
          <w:sz w:val="24"/>
          <w:szCs w:val="24"/>
          <w:highlight w:val="none"/>
          <w:lang w:val="en-US" w:eastAsia="zh-CN"/>
        </w:rPr>
        <w:t>样</w:t>
      </w:r>
      <w:r>
        <w:rPr>
          <w:rFonts w:hint="eastAsia"/>
          <w:color w:val="auto"/>
          <w:sz w:val="24"/>
          <w:szCs w:val="24"/>
          <w:highlight w:val="none"/>
        </w:rPr>
        <w:t>本：</w:t>
      </w:r>
    </w:p>
    <w:p w14:paraId="42D68820">
      <w:pPr>
        <w:spacing w:line="400" w:lineRule="exact"/>
        <w:ind w:firstLine="420" w:firstLineChars="200"/>
        <w:rPr>
          <w:rFonts w:hint="eastAsia" w:eastAsia="宋体" w:cs="宋体"/>
          <w:bCs/>
          <w:color w:val="auto"/>
          <w:szCs w:val="21"/>
          <w:highlight w:val="none"/>
          <w:lang w:eastAsia="zh-CN"/>
        </w:rPr>
      </w:pPr>
      <w:r>
        <w:rPr>
          <w:rFonts w:hint="eastAsia" w:cs="宋体"/>
          <w:bCs/>
          <w:color w:val="auto"/>
          <w:szCs w:val="21"/>
          <w:highlight w:val="none"/>
          <w:lang w:val="en-US" w:eastAsia="zh-CN"/>
        </w:rPr>
        <w:t xml:space="preserve"> **</w:t>
      </w:r>
      <w:r>
        <w:rPr>
          <w:rFonts w:hint="eastAsia" w:cs="宋体"/>
          <w:bCs/>
          <w:color w:val="auto"/>
          <w:szCs w:val="21"/>
          <w:highlight w:val="none"/>
        </w:rPr>
        <w:t>财产保险股份有限公司</w:t>
      </w:r>
      <w:r>
        <w:rPr>
          <w:rFonts w:hint="eastAsia" w:cs="宋体"/>
          <w:bCs/>
          <w:color w:val="auto"/>
          <w:szCs w:val="21"/>
          <w:highlight w:val="none"/>
          <w:lang w:eastAsia="zh-CN"/>
        </w:rPr>
        <w:t>建筑工程一切险</w:t>
      </w:r>
      <w:r>
        <w:rPr>
          <w:rFonts w:hint="eastAsia" w:cs="宋体"/>
          <w:bCs/>
          <w:color w:val="auto"/>
          <w:szCs w:val="21"/>
          <w:highlight w:val="none"/>
        </w:rPr>
        <w:t>条款（2009版）</w:t>
      </w:r>
      <w:r>
        <w:rPr>
          <w:rFonts w:hint="eastAsia" w:cs="宋体"/>
          <w:bCs/>
          <w:color w:val="auto"/>
          <w:szCs w:val="21"/>
          <w:highlight w:val="none"/>
          <w:lang w:eastAsia="zh-CN"/>
        </w:rPr>
        <w:t>、</w:t>
      </w:r>
      <w:r>
        <w:rPr>
          <w:rFonts w:ascii="宋体" w:hAnsi="宋体" w:eastAsia="宋体" w:cs="Times New Roman"/>
          <w:bCs/>
          <w:color w:val="auto"/>
          <w:szCs w:val="21"/>
          <w:highlight w:val="none"/>
        </w:rPr>
        <w:t>安全生产责任险条款</w:t>
      </w:r>
    </w:p>
    <w:p w14:paraId="1193BD41">
      <w:pPr>
        <w:pStyle w:val="4"/>
        <w:numPr>
          <w:ilvl w:val="0"/>
          <w:numId w:val="14"/>
        </w:numPr>
        <w:spacing w:before="156" w:after="156"/>
        <w:rPr>
          <w:rFonts w:hint="eastAsia"/>
          <w:color w:val="auto"/>
          <w:highlight w:val="none"/>
        </w:rPr>
      </w:pPr>
      <w:r>
        <w:rPr>
          <w:rFonts w:hint="eastAsia"/>
          <w:color w:val="auto"/>
          <w:sz w:val="24"/>
          <w:szCs w:val="24"/>
          <w:highlight w:val="none"/>
        </w:rPr>
        <w:t>扩展条款</w:t>
      </w:r>
      <w:r>
        <w:rPr>
          <w:rFonts w:hint="eastAsia"/>
          <w:color w:val="auto"/>
          <w:highlight w:val="none"/>
        </w:rPr>
        <w:t>：</w:t>
      </w:r>
    </w:p>
    <w:p w14:paraId="4091CC2A">
      <w:pPr>
        <w:numPr>
          <w:ilvl w:val="0"/>
          <w:numId w:val="0"/>
        </w:numPr>
        <w:ind w:firstLine="420" w:firstLineChars="200"/>
        <w:rPr>
          <w:rFonts w:hint="default"/>
          <w:b/>
          <w:bCs/>
          <w:color w:val="auto"/>
          <w:sz w:val="21"/>
          <w:szCs w:val="21"/>
          <w:highlight w:val="none"/>
          <w:lang w:val="en-US" w:eastAsia="zh-CN"/>
        </w:rPr>
      </w:pPr>
      <w:r>
        <w:rPr>
          <w:rFonts w:hint="eastAsia"/>
          <w:b/>
          <w:bCs/>
          <w:color w:val="auto"/>
          <w:sz w:val="21"/>
          <w:szCs w:val="21"/>
          <w:highlight w:val="none"/>
          <w:lang w:val="en-US" w:eastAsia="zh-CN"/>
        </w:rPr>
        <w:t>一、建筑工程一切险扩展条款</w:t>
      </w:r>
    </w:p>
    <w:p w14:paraId="085813D1">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工程完工部分扩展条款</w:t>
      </w:r>
    </w:p>
    <w:p w14:paraId="7DF1D55E">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清理费用扩展条款（每次事故赔偿限额：1000万元）</w:t>
      </w:r>
    </w:p>
    <w:p w14:paraId="3A765A54">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专业费用特别条款（每次事故赔偿限额：500万元）</w:t>
      </w:r>
    </w:p>
    <w:p w14:paraId="7FD9AD13">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特别费用扩展条款（每次事故赔偿限额：500万元）</w:t>
      </w:r>
    </w:p>
    <w:p w14:paraId="1257D700">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管理费用条款（每次事故赔偿限额：500万元）</w:t>
      </w:r>
    </w:p>
    <w:p w14:paraId="273EA48E">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灭火费用扩展条款B（每次事故赔偿限额：500万元）</w:t>
      </w:r>
    </w:p>
    <w:p w14:paraId="1458FB49">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急救费用条款</w:t>
      </w:r>
    </w:p>
    <w:p w14:paraId="190451AD">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保险金额及保险费调整条款</w:t>
      </w:r>
    </w:p>
    <w:p w14:paraId="63BA780B">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工程图纸、文件特别条款（每次赔偿限额：200万元）</w:t>
      </w:r>
    </w:p>
    <w:p w14:paraId="472C4294">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工地外储存物特别条款（每次事故赔偿限额：</w:t>
      </w:r>
      <w:r>
        <w:rPr>
          <w:rFonts w:hint="eastAsia" w:eastAsia="宋体" w:cs="宋体"/>
          <w:bCs/>
          <w:color w:val="auto"/>
          <w:sz w:val="21"/>
          <w:szCs w:val="21"/>
          <w:highlight w:val="none"/>
          <w:lang w:val="en-US" w:eastAsia="zh-CN"/>
        </w:rPr>
        <w:t>5</w:t>
      </w:r>
      <w:r>
        <w:rPr>
          <w:rFonts w:hint="eastAsia" w:eastAsia="宋体" w:cs="宋体"/>
          <w:bCs/>
          <w:color w:val="auto"/>
          <w:sz w:val="21"/>
          <w:szCs w:val="21"/>
          <w:highlight w:val="none"/>
        </w:rPr>
        <w:t>00万元，累计赔偿限额：</w:t>
      </w:r>
      <w:r>
        <w:rPr>
          <w:rFonts w:hint="eastAsia" w:eastAsia="宋体" w:cs="宋体"/>
          <w:bCs/>
          <w:color w:val="auto"/>
          <w:sz w:val="21"/>
          <w:szCs w:val="21"/>
          <w:highlight w:val="none"/>
          <w:lang w:val="en-US" w:eastAsia="zh-CN"/>
        </w:rPr>
        <w:t>1</w:t>
      </w:r>
      <w:r>
        <w:rPr>
          <w:rFonts w:hint="eastAsia" w:eastAsia="宋体" w:cs="宋体"/>
          <w:bCs/>
          <w:color w:val="auto"/>
          <w:sz w:val="21"/>
          <w:szCs w:val="21"/>
          <w:highlight w:val="none"/>
        </w:rPr>
        <w:t>000万元）</w:t>
      </w:r>
    </w:p>
    <w:p w14:paraId="5E6F7FAD">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车辆装卸责任条款</w:t>
      </w:r>
    </w:p>
    <w:p w14:paraId="12EECC65">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运输险、工程险责任分摊条款（50/50条款）</w:t>
      </w:r>
    </w:p>
    <w:p w14:paraId="7210B906">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内陆运输扩展条款（每次事故赔偿限额：1,000万元）</w:t>
      </w:r>
    </w:p>
    <w:p w14:paraId="11BBA168">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场外制造条款</w:t>
      </w:r>
    </w:p>
    <w:p w14:paraId="27EAB460">
      <w:pPr>
        <w:widowControl/>
        <w:numPr>
          <w:ilvl w:val="0"/>
          <w:numId w:val="15"/>
        </w:numPr>
        <w:spacing w:line="360" w:lineRule="auto"/>
        <w:jc w:val="left"/>
        <w:rPr>
          <w:rFonts w:hint="eastAsia"/>
          <w:color w:val="auto"/>
          <w:highlight w:val="none"/>
        </w:rPr>
      </w:pPr>
      <w:r>
        <w:rPr>
          <w:rFonts w:hint="eastAsia" w:eastAsia="宋体" w:cs="宋体"/>
          <w:bCs/>
          <w:color w:val="auto"/>
          <w:sz w:val="21"/>
          <w:szCs w:val="21"/>
          <w:highlight w:val="none"/>
        </w:rPr>
        <w:t>工地外修理或修改条款</w:t>
      </w:r>
    </w:p>
    <w:p w14:paraId="53340F3E">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恶意破坏扩展条款A</w:t>
      </w:r>
    </w:p>
    <w:p w14:paraId="4280F45D">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工地访问条款</w:t>
      </w:r>
    </w:p>
    <w:p w14:paraId="75BA3C97">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交叉责任扩展条款</w:t>
      </w:r>
    </w:p>
    <w:p w14:paraId="3123FD59">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停工损失扩展条款</w:t>
      </w:r>
    </w:p>
    <w:p w14:paraId="3A8DC3D7">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保护现场条款</w:t>
      </w:r>
    </w:p>
    <w:p w14:paraId="359F02D4">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公共当局扩展条款B</w:t>
      </w:r>
    </w:p>
    <w:p w14:paraId="6AE84288">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保险双方不得单方中止/终止合同条款</w:t>
      </w:r>
    </w:p>
    <w:p w14:paraId="79844093">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错误和遗漏条款A</w:t>
      </w:r>
    </w:p>
    <w:p w14:paraId="72F34417">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违反条件条款</w:t>
      </w:r>
      <w:r>
        <w:rPr>
          <w:rFonts w:hint="eastAsia" w:eastAsia="宋体" w:cs="宋体"/>
          <w:bCs/>
          <w:color w:val="auto"/>
          <w:sz w:val="21"/>
          <w:szCs w:val="21"/>
          <w:highlight w:val="none"/>
        </w:rPr>
        <w:tab/>
      </w:r>
    </w:p>
    <w:p w14:paraId="0CB438BD">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连续损失特别条款</w:t>
      </w:r>
      <w:r>
        <w:rPr>
          <w:rFonts w:hint="eastAsia" w:eastAsia="宋体" w:cs="宋体"/>
          <w:bCs/>
          <w:color w:val="auto"/>
          <w:sz w:val="21"/>
          <w:szCs w:val="21"/>
          <w:highlight w:val="none"/>
        </w:rPr>
        <w:tab/>
      </w:r>
    </w:p>
    <w:p w14:paraId="123E289D">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工地安全和火警安全条款</w:t>
      </w:r>
      <w:r>
        <w:rPr>
          <w:rFonts w:hint="eastAsia" w:eastAsia="宋体" w:cs="宋体"/>
          <w:bCs/>
          <w:color w:val="auto"/>
          <w:sz w:val="21"/>
          <w:szCs w:val="21"/>
          <w:highlight w:val="none"/>
        </w:rPr>
        <w:tab/>
      </w:r>
    </w:p>
    <w:p w14:paraId="78F5D584">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转移至安全地点特别条款</w:t>
      </w:r>
      <w:r>
        <w:rPr>
          <w:rFonts w:hint="eastAsia" w:eastAsia="宋体" w:cs="宋体"/>
          <w:bCs/>
          <w:color w:val="auto"/>
          <w:sz w:val="21"/>
          <w:szCs w:val="21"/>
          <w:highlight w:val="none"/>
        </w:rPr>
        <w:tab/>
      </w:r>
    </w:p>
    <w:p w14:paraId="11AC023B">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批单效力条款</w:t>
      </w:r>
      <w:r>
        <w:rPr>
          <w:rFonts w:hint="eastAsia" w:eastAsia="宋体" w:cs="宋体"/>
          <w:bCs/>
          <w:color w:val="auto"/>
          <w:sz w:val="21"/>
          <w:szCs w:val="21"/>
          <w:highlight w:val="none"/>
        </w:rPr>
        <w:tab/>
      </w:r>
    </w:p>
    <w:p w14:paraId="721352D8">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不使失效条款</w:t>
      </w:r>
      <w:r>
        <w:rPr>
          <w:rFonts w:hint="eastAsia" w:eastAsia="宋体" w:cs="宋体"/>
          <w:bCs/>
          <w:color w:val="auto"/>
          <w:sz w:val="21"/>
          <w:szCs w:val="21"/>
          <w:highlight w:val="none"/>
        </w:rPr>
        <w:tab/>
      </w:r>
      <w:r>
        <w:rPr>
          <w:rFonts w:hint="eastAsia" w:eastAsia="宋体" w:cs="宋体"/>
          <w:bCs/>
          <w:color w:val="auto"/>
          <w:sz w:val="21"/>
          <w:szCs w:val="21"/>
          <w:highlight w:val="none"/>
        </w:rPr>
        <w:tab/>
      </w:r>
    </w:p>
    <w:p w14:paraId="0F66DCCC">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自动恢复保额特别条款</w:t>
      </w:r>
      <w:r>
        <w:rPr>
          <w:rFonts w:hint="eastAsia" w:eastAsia="宋体" w:cs="宋体"/>
          <w:bCs/>
          <w:color w:val="auto"/>
          <w:sz w:val="21"/>
          <w:szCs w:val="21"/>
          <w:highlight w:val="none"/>
        </w:rPr>
        <w:tab/>
      </w:r>
    </w:p>
    <w:p w14:paraId="3B200034">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重大过失赔偿条款</w:t>
      </w:r>
      <w:r>
        <w:rPr>
          <w:rFonts w:hint="eastAsia" w:eastAsia="宋体" w:cs="宋体"/>
          <w:bCs/>
          <w:color w:val="auto"/>
          <w:sz w:val="21"/>
          <w:szCs w:val="21"/>
          <w:highlight w:val="none"/>
        </w:rPr>
        <w:tab/>
      </w:r>
      <w:r>
        <w:rPr>
          <w:rFonts w:hint="eastAsia" w:eastAsia="宋体" w:cs="宋体"/>
          <w:bCs/>
          <w:color w:val="auto"/>
          <w:sz w:val="21"/>
          <w:szCs w:val="21"/>
          <w:highlight w:val="none"/>
        </w:rPr>
        <w:tab/>
      </w:r>
    </w:p>
    <w:p w14:paraId="56E29EF9">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干扰与阻塞条款</w:t>
      </w:r>
      <w:r>
        <w:rPr>
          <w:rFonts w:hint="eastAsia" w:eastAsia="宋体" w:cs="宋体"/>
          <w:bCs/>
          <w:color w:val="auto"/>
          <w:sz w:val="21"/>
          <w:szCs w:val="21"/>
          <w:highlight w:val="none"/>
        </w:rPr>
        <w:tab/>
      </w:r>
    </w:p>
    <w:p w14:paraId="3D577C53">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广告及装饰装置责任条款</w:t>
      </w:r>
      <w:r>
        <w:rPr>
          <w:rFonts w:hint="eastAsia" w:eastAsia="宋体" w:cs="宋体"/>
          <w:bCs/>
          <w:color w:val="auto"/>
          <w:sz w:val="21"/>
          <w:szCs w:val="21"/>
          <w:highlight w:val="none"/>
        </w:rPr>
        <w:tab/>
      </w:r>
    </w:p>
    <w:p w14:paraId="25425D60">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无过失条款</w:t>
      </w:r>
    </w:p>
    <w:p w14:paraId="3E2B7B59">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扩展责任保证期扩展条款（</w:t>
      </w:r>
      <w:r>
        <w:rPr>
          <w:rFonts w:hint="eastAsia" w:eastAsia="宋体" w:cs="宋体"/>
          <w:bCs/>
          <w:color w:val="auto"/>
          <w:sz w:val="21"/>
          <w:szCs w:val="21"/>
          <w:highlight w:val="none"/>
          <w:lang w:val="en-US" w:eastAsia="zh-CN"/>
        </w:rPr>
        <w:t>12</w:t>
      </w:r>
      <w:r>
        <w:rPr>
          <w:rFonts w:hint="eastAsia" w:eastAsia="宋体" w:cs="宋体"/>
          <w:bCs/>
          <w:color w:val="auto"/>
          <w:sz w:val="21"/>
          <w:szCs w:val="21"/>
          <w:highlight w:val="none"/>
        </w:rPr>
        <w:t>个月）</w:t>
      </w:r>
    </w:p>
    <w:p w14:paraId="57E07EC7">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保证期特别扩展条款</w:t>
      </w:r>
    </w:p>
    <w:p w14:paraId="23DF979A">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预防措施条款(每次事故赔偿限额：200万元)</w:t>
      </w:r>
    </w:p>
    <w:p w14:paraId="44578DD6">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地质灾害特别条款</w:t>
      </w:r>
    </w:p>
    <w:p w14:paraId="38AF0ECC">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自然灾害条款（每次事故赔偿限额：500万元，累计赔偿限额：1000万元）</w:t>
      </w:r>
    </w:p>
    <w:p w14:paraId="2F56EABD">
      <w:pPr>
        <w:widowControl/>
        <w:numPr>
          <w:ilvl w:val="0"/>
          <w:numId w:val="15"/>
        </w:numPr>
        <w:spacing w:line="360" w:lineRule="auto"/>
        <w:jc w:val="left"/>
        <w:rPr>
          <w:rFonts w:hint="eastAsia" w:eastAsia="宋体" w:cs="宋体"/>
          <w:bCs/>
          <w:color w:val="auto"/>
          <w:sz w:val="21"/>
          <w:szCs w:val="21"/>
          <w:highlight w:val="none"/>
        </w:rPr>
      </w:pPr>
      <w:r>
        <w:rPr>
          <w:rFonts w:hint="eastAsia" w:eastAsia="宋体" w:cs="宋体"/>
          <w:bCs/>
          <w:color w:val="auto"/>
          <w:sz w:val="21"/>
          <w:szCs w:val="21"/>
          <w:highlight w:val="none"/>
        </w:rPr>
        <w:t>意外污染责任特别条款</w:t>
      </w:r>
    </w:p>
    <w:p w14:paraId="30EB4A88">
      <w:pPr>
        <w:pStyle w:val="4"/>
        <w:spacing w:before="156" w:after="156"/>
        <w:rPr>
          <w:rFonts w:hint="eastAsia"/>
          <w:color w:val="auto"/>
          <w:sz w:val="24"/>
          <w:szCs w:val="24"/>
          <w:highlight w:val="none"/>
        </w:rPr>
      </w:pPr>
      <w:r>
        <w:rPr>
          <w:rFonts w:hint="eastAsia"/>
          <w:color w:val="auto"/>
          <w:sz w:val="24"/>
          <w:szCs w:val="24"/>
          <w:highlight w:val="none"/>
        </w:rPr>
        <w:t>十七、特别约定：</w:t>
      </w:r>
    </w:p>
    <w:p w14:paraId="301A963A">
      <w:pPr>
        <w:spacing w:line="360" w:lineRule="auto"/>
        <w:rPr>
          <w:rFonts w:hint="eastAsia" w:eastAsia="宋体" w:cs="宋体"/>
          <w:b/>
          <w:bCs w:val="0"/>
          <w:color w:val="auto"/>
          <w:sz w:val="21"/>
          <w:szCs w:val="21"/>
          <w:highlight w:val="none"/>
          <w:lang w:val="en-US" w:eastAsia="zh-CN"/>
        </w:rPr>
      </w:pPr>
      <w:r>
        <w:rPr>
          <w:rFonts w:hint="eastAsia" w:eastAsia="宋体" w:cs="宋体"/>
          <w:b/>
          <w:bCs w:val="0"/>
          <w:color w:val="auto"/>
          <w:sz w:val="21"/>
          <w:szCs w:val="21"/>
          <w:highlight w:val="none"/>
          <w:lang w:val="en-US" w:eastAsia="zh-CN"/>
        </w:rPr>
        <w:t>1、建筑工程一切险特别约定</w:t>
      </w:r>
    </w:p>
    <w:p w14:paraId="20FFA407">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（1）效力优先约定</w:t>
      </w:r>
    </w:p>
    <w:p w14:paraId="3C05516D">
      <w:pPr>
        <w:spacing w:line="360" w:lineRule="auto"/>
        <w:ind w:firstLine="420" w:firstLineChars="200"/>
        <w:rPr>
          <w:rFonts w:hint="eastAsia" w:eastAsia="宋体" w:cs="宋体"/>
          <w:bCs/>
          <w:color w:val="auto"/>
          <w:sz w:val="21"/>
          <w:szCs w:val="21"/>
          <w:highlight w:val="none"/>
        </w:rPr>
      </w:pPr>
      <w:r>
        <w:rPr>
          <w:rFonts w:hint="eastAsia" w:eastAsia="宋体" w:cs="宋体"/>
          <w:bCs/>
          <w:color w:val="auto"/>
          <w:sz w:val="21"/>
          <w:szCs w:val="21"/>
          <w:highlight w:val="none"/>
        </w:rPr>
        <w:t>特别约定效力优先于特别条款（附加条款），特别条款（附加条款）效力优先于基本</w:t>
      </w:r>
    </w:p>
    <w:p w14:paraId="3316ED85">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条款。</w:t>
      </w:r>
    </w:p>
    <w:p w14:paraId="369E998A">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（2）足额支付赔款特别约定</w:t>
      </w:r>
    </w:p>
    <w:p w14:paraId="1912630B">
      <w:pPr>
        <w:spacing w:line="360" w:lineRule="auto"/>
        <w:ind w:firstLine="420" w:firstLineChars="200"/>
        <w:rPr>
          <w:rFonts w:hint="eastAsia" w:eastAsia="宋体" w:cs="宋体"/>
          <w:bCs/>
          <w:color w:val="auto"/>
          <w:sz w:val="21"/>
          <w:szCs w:val="21"/>
          <w:highlight w:val="none"/>
        </w:rPr>
      </w:pPr>
      <w:r>
        <w:rPr>
          <w:rFonts w:hint="eastAsia" w:eastAsia="宋体" w:cs="宋体"/>
          <w:bCs/>
          <w:color w:val="auto"/>
          <w:sz w:val="21"/>
          <w:szCs w:val="21"/>
          <w:highlight w:val="none"/>
        </w:rPr>
        <w:t>保险人认可本保险合同按重置价值足额投保，任何损失不设分项限额，保险人不得以</w:t>
      </w:r>
    </w:p>
    <w:p w14:paraId="579E9A13">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损失标的金额高于工程量清单中相应分项金额为由提出比例赔付。</w:t>
      </w:r>
    </w:p>
    <w:p w14:paraId="44A07630">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（3）临时设施赔偿约定</w:t>
      </w:r>
    </w:p>
    <w:p w14:paraId="12189306">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1）关于临时房屋及小型临时设施已经包含在投保项目综合单价中，不因明细未单独明</w:t>
      </w:r>
    </w:p>
    <w:p w14:paraId="2E9B5C41">
      <w:pPr>
        <w:spacing w:line="360" w:lineRule="auto"/>
        <w:rPr>
          <w:rFonts w:hint="eastAsia" w:eastAsia="宋体" w:cs="宋体"/>
          <w:bCs/>
          <w:color w:val="auto"/>
          <w:sz w:val="21"/>
          <w:szCs w:val="21"/>
          <w:highlight w:val="none"/>
        </w:rPr>
      </w:pPr>
      <w:r>
        <w:rPr>
          <w:rFonts w:hint="eastAsia" w:eastAsia="宋体" w:cs="宋体"/>
          <w:bCs/>
          <w:color w:val="auto"/>
          <w:sz w:val="21"/>
          <w:szCs w:val="21"/>
          <w:highlight w:val="none"/>
        </w:rPr>
        <w:t>确而免除保险人的赔偿责任。为了明确小型临时设施偿付处理的原则现特别约定如下：</w:t>
      </w:r>
    </w:p>
    <w:p w14:paraId="74896994">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小型临时设施出险后，如果需要修复，最终按实际修复费用且不超过原重置价值进行</w:t>
      </w:r>
    </w:p>
    <w:p w14:paraId="6C1BAAE4">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赔偿。</w:t>
      </w:r>
    </w:p>
    <w:p w14:paraId="58D6261A">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2）关于大型临时设施偿付原则的特别约定如下：</w:t>
      </w:r>
    </w:p>
    <w:p w14:paraId="6F964769">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根据主体工程的需要由保险双方共同确定是否必要修复，是否必要按原方案修复，最</w:t>
      </w:r>
    </w:p>
    <w:p w14:paraId="26AF3DB6">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终按实际修复费用且不超过原重置价值进行赔偿。</w:t>
      </w:r>
    </w:p>
    <w:p w14:paraId="3D90B69E">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（4）周转性材料赔偿约定</w:t>
      </w:r>
    </w:p>
    <w:p w14:paraId="07AE3C95">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经双方协商一致，本保单对保险责任造成周转性材料和临时设施的损失负责赔偿，其</w:t>
      </w:r>
    </w:p>
    <w:p w14:paraId="5E9B3449">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中：</w:t>
      </w:r>
    </w:p>
    <w:p w14:paraId="14AACB9E">
      <w:pPr>
        <w:numPr>
          <w:ilvl w:val="0"/>
          <w:numId w:val="16"/>
        </w:num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定义：临时设施是指施工企业为本工程施工所必需的生活和生产用的临时建筑物、</w:t>
      </w:r>
    </w:p>
    <w:p w14:paraId="507C0839">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rPr>
        <w:t>构筑物和其他设施，如：临时工棚、脚手架、电线、管道、电话和其他通讯设施、照明和其他临时装置；场地办公室、工人帐篷、仓库和其他临时建筑物及其内部设备；木材、模板、临时桥梁、临时停靠码头、盖板、围堰、钢盖板、大栏杆及吊架杆、便道、临时铁轨、临时护墙、水路改道、取土坑和矸子山等。</w:t>
      </w:r>
    </w:p>
    <w:p w14:paraId="761AF729">
      <w:pPr>
        <w:spacing w:line="360" w:lineRule="auto"/>
        <w:ind w:left="435" w:leftChars="207" w:firstLine="0" w:firstLineChars="0"/>
        <w:rPr>
          <w:rFonts w:hint="eastAsia" w:eastAsia="宋体" w:cs="宋体"/>
          <w:bCs/>
          <w:color w:val="auto"/>
          <w:sz w:val="21"/>
          <w:szCs w:val="21"/>
          <w:highlight w:val="none"/>
        </w:rPr>
      </w:pPr>
      <w:r>
        <w:rPr>
          <w:rFonts w:hint="eastAsia" w:eastAsia="宋体" w:cs="宋体"/>
          <w:bCs/>
          <w:color w:val="auto"/>
          <w:sz w:val="21"/>
          <w:szCs w:val="21"/>
          <w:highlight w:val="none"/>
        </w:rPr>
        <w:t>2）赔偿约定：无论其在本工程的工程合同明细清单中是否列明，保险人应按照如下方式进行赔偿：</w:t>
      </w:r>
    </w:p>
    <w:p w14:paraId="28A8168C">
      <w:pPr>
        <w:spacing w:line="360" w:lineRule="auto"/>
        <w:ind w:left="435" w:leftChars="207" w:firstLine="0" w:firstLineChars="0"/>
        <w:rPr>
          <w:rFonts w:hint="eastAsia" w:eastAsia="宋体" w:cs="宋体"/>
          <w:bCs/>
          <w:color w:val="auto"/>
          <w:sz w:val="21"/>
          <w:szCs w:val="21"/>
          <w:highlight w:val="none"/>
        </w:rPr>
      </w:pPr>
      <w:r>
        <w:rPr>
          <w:rFonts w:hint="eastAsia" w:eastAsia="宋体" w:cs="宋体"/>
          <w:bCs/>
          <w:color w:val="auto"/>
          <w:sz w:val="21"/>
          <w:szCs w:val="21"/>
          <w:highlight w:val="none"/>
        </w:rPr>
        <w:t xml:space="preserve"> A. 可在本工程中一次性摊销完毕的周转性材料和临时设施，如未使用前或使用过程</w:t>
      </w:r>
    </w:p>
    <w:p w14:paraId="669BA7F4">
      <w:pPr>
        <w:spacing w:line="360" w:lineRule="auto"/>
        <w:ind w:left="435" w:leftChars="207" w:firstLine="0" w:firstLineChars="0"/>
        <w:rPr>
          <w:rFonts w:hint="eastAsia" w:eastAsia="宋体" w:cs="宋体"/>
          <w:bCs/>
          <w:color w:val="auto"/>
          <w:sz w:val="21"/>
          <w:szCs w:val="21"/>
          <w:highlight w:val="none"/>
        </w:rPr>
      </w:pPr>
      <w:r>
        <w:rPr>
          <w:rFonts w:hint="eastAsia" w:eastAsia="宋体" w:cs="宋体"/>
          <w:bCs/>
          <w:color w:val="auto"/>
          <w:sz w:val="21"/>
          <w:szCs w:val="21"/>
          <w:highlight w:val="none"/>
        </w:rPr>
        <w:t>中发生损失，则按照其重置价值赔偿，如使用完成后发生损失，则不予赔偿；</w:t>
      </w:r>
    </w:p>
    <w:p w14:paraId="5A488E9E">
      <w:pPr>
        <w:numPr>
          <w:ilvl w:val="0"/>
          <w:numId w:val="17"/>
        </w:numPr>
        <w:spacing w:line="360" w:lineRule="auto"/>
        <w:ind w:left="541" w:leftChars="0" w:firstLine="0" w:firstLineChars="0"/>
        <w:rPr>
          <w:rFonts w:hint="eastAsia" w:eastAsia="宋体" w:cs="宋体"/>
          <w:bCs/>
          <w:color w:val="auto"/>
          <w:sz w:val="21"/>
          <w:szCs w:val="21"/>
          <w:highlight w:val="none"/>
        </w:rPr>
      </w:pPr>
      <w:r>
        <w:rPr>
          <w:rFonts w:hint="eastAsia" w:eastAsia="宋体" w:cs="宋体"/>
          <w:bCs/>
          <w:color w:val="auto"/>
          <w:sz w:val="21"/>
          <w:szCs w:val="21"/>
          <w:highlight w:val="none"/>
        </w:rPr>
        <w:t>可重复使用或非在本工程中一次性摊销完毕的周转性材料和临时设施，则计算其</w:t>
      </w:r>
    </w:p>
    <w:p w14:paraId="5F2FCA42">
      <w:pPr>
        <w:numPr>
          <w:ilvl w:val="0"/>
          <w:numId w:val="0"/>
        </w:numPr>
        <w:spacing w:line="360" w:lineRule="auto"/>
        <w:ind w:left="541" w:leftChars="0"/>
        <w:rPr>
          <w:rFonts w:hint="eastAsia" w:eastAsia="宋体" w:cs="宋体"/>
          <w:bCs/>
          <w:color w:val="auto"/>
          <w:sz w:val="21"/>
          <w:szCs w:val="21"/>
          <w:highlight w:val="none"/>
        </w:rPr>
      </w:pPr>
      <w:r>
        <w:rPr>
          <w:rFonts w:hint="eastAsia" w:eastAsia="宋体" w:cs="宋体"/>
          <w:bCs/>
          <w:color w:val="auto"/>
          <w:sz w:val="21"/>
          <w:szCs w:val="21"/>
          <w:highlight w:val="none"/>
        </w:rPr>
        <w:t>在本工程中的摊销价值的方式和次数，扣除已经摊销部分后进行赔偿，但对于该部分标的赔偿最高不超过重置价值的50%。</w:t>
      </w:r>
    </w:p>
    <w:p w14:paraId="478BAE0A">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（5）交叉事故处理特别约定</w:t>
      </w:r>
    </w:p>
    <w:p w14:paraId="2C7A4AD5">
      <w:pPr>
        <w:spacing w:line="360" w:lineRule="auto"/>
        <w:ind w:firstLine="630" w:firstLineChars="300"/>
        <w:rPr>
          <w:rFonts w:hint="eastAsia" w:eastAsia="宋体" w:cs="宋体"/>
          <w:bCs/>
          <w:color w:val="auto"/>
          <w:sz w:val="21"/>
          <w:szCs w:val="21"/>
          <w:highlight w:val="none"/>
        </w:rPr>
      </w:pPr>
      <w:r>
        <w:rPr>
          <w:rFonts w:hint="eastAsia" w:eastAsia="宋体" w:cs="宋体"/>
          <w:bCs/>
          <w:color w:val="auto"/>
          <w:sz w:val="21"/>
          <w:szCs w:val="21"/>
          <w:highlight w:val="none"/>
        </w:rPr>
        <w:t>经各方同意，本保险单承保的本标段与本项目其他施工标段或其他项目之间发生交叉</w:t>
      </w:r>
    </w:p>
    <w:p w14:paraId="48A5AD1A">
      <w:pPr>
        <w:spacing w:line="360" w:lineRule="auto"/>
        <w:ind w:firstLine="630" w:firstLineChars="300"/>
        <w:rPr>
          <w:rFonts w:hint="eastAsia" w:eastAsia="宋体" w:cs="宋体"/>
          <w:bCs/>
          <w:color w:val="auto"/>
          <w:sz w:val="21"/>
          <w:szCs w:val="21"/>
          <w:highlight w:val="none"/>
        </w:rPr>
      </w:pPr>
      <w:r>
        <w:rPr>
          <w:rFonts w:hint="eastAsia" w:eastAsia="宋体" w:cs="宋体"/>
          <w:bCs/>
          <w:color w:val="auto"/>
          <w:sz w:val="21"/>
          <w:szCs w:val="21"/>
          <w:highlight w:val="none"/>
        </w:rPr>
        <w:t>事故的，本保单所承保标段与其他施工标段或项目互为第三者，具体赔偿按如下约定</w:t>
      </w:r>
    </w:p>
    <w:p w14:paraId="727DEC47">
      <w:pPr>
        <w:spacing w:line="360" w:lineRule="auto"/>
        <w:ind w:firstLine="630" w:firstLineChars="300"/>
        <w:rPr>
          <w:rFonts w:hint="eastAsia" w:eastAsia="宋体" w:cs="宋体"/>
          <w:bCs/>
          <w:color w:val="auto"/>
          <w:sz w:val="21"/>
          <w:szCs w:val="21"/>
          <w:highlight w:val="none"/>
        </w:rPr>
      </w:pPr>
      <w:r>
        <w:rPr>
          <w:rFonts w:hint="eastAsia" w:eastAsia="宋体" w:cs="宋体"/>
          <w:bCs/>
          <w:color w:val="auto"/>
          <w:sz w:val="21"/>
          <w:szCs w:val="21"/>
          <w:highlight w:val="none"/>
        </w:rPr>
        <w:t>处理：</w:t>
      </w:r>
    </w:p>
    <w:p w14:paraId="3611D863">
      <w:pPr>
        <w:numPr>
          <w:ilvl w:val="0"/>
          <w:numId w:val="18"/>
        </w:num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因其他施工标段或项目施工导致本标段发生损失的，按第三方引起的意外事故予以</w:t>
      </w:r>
    </w:p>
    <w:p w14:paraId="1C339C8A">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rPr>
        <w:t>处理，保险人按保单约定予以赔偿后，并有权向第三方追偿，但无论如何，本保单</w:t>
      </w:r>
    </w:p>
    <w:p w14:paraId="136640F3">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rPr>
        <w:t>放弃对建设单位的代位追偿权；</w:t>
      </w:r>
    </w:p>
    <w:p w14:paraId="7BB0E4C0">
      <w:pPr>
        <w:numPr>
          <w:ilvl w:val="0"/>
          <w:numId w:val="16"/>
        </w:numPr>
        <w:spacing w:line="360" w:lineRule="auto"/>
        <w:ind w:left="16" w:leftChars="0" w:firstLine="420" w:firstLineChars="0"/>
        <w:rPr>
          <w:rFonts w:hint="eastAsia" w:eastAsia="宋体" w:cs="宋体"/>
          <w:bCs/>
          <w:color w:val="auto"/>
          <w:sz w:val="21"/>
          <w:szCs w:val="21"/>
          <w:highlight w:val="none"/>
        </w:rPr>
      </w:pPr>
      <w:r>
        <w:rPr>
          <w:rFonts w:hint="eastAsia" w:eastAsia="宋体" w:cs="宋体"/>
          <w:bCs/>
          <w:color w:val="auto"/>
          <w:sz w:val="21"/>
          <w:szCs w:val="21"/>
          <w:highlight w:val="none"/>
        </w:rPr>
        <w:t>因本标段施工导致其他施工标段或项目发生损失的，若被保险人面临第三方索赔，</w:t>
      </w:r>
    </w:p>
    <w:p w14:paraId="6CC29A2F">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rPr>
        <w:t>则按第三者责任事故予以处理。</w:t>
      </w:r>
    </w:p>
    <w:p w14:paraId="49349353">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（6）附加险责任限额约定</w:t>
      </w:r>
    </w:p>
    <w:p w14:paraId="35400754">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本保险单载明的各附加险项下的各分项责任限额，除另有约定外是包含在主险各相应</w:t>
      </w:r>
    </w:p>
    <w:p w14:paraId="38E1A6BE">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分项责任限额之内的，并非是在其基础上的累加。</w:t>
      </w:r>
    </w:p>
    <w:p w14:paraId="30ACE89C">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7</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rPr>
        <w:t>本保单扩展承保保险责任造成的本工程施工</w:t>
      </w:r>
      <w:r>
        <w:rPr>
          <w:rFonts w:hint="eastAsia" w:eastAsia="宋体" w:cs="宋体"/>
          <w:bCs/>
          <w:color w:val="auto"/>
          <w:sz w:val="21"/>
          <w:szCs w:val="21"/>
          <w:highlight w:val="none"/>
          <w:lang w:val="en-US" w:eastAsia="zh-CN"/>
        </w:rPr>
        <w:t>机具</w:t>
      </w:r>
      <w:r>
        <w:rPr>
          <w:rFonts w:hint="eastAsia" w:eastAsia="宋体" w:cs="宋体"/>
          <w:bCs/>
          <w:color w:val="auto"/>
          <w:sz w:val="21"/>
          <w:szCs w:val="21"/>
          <w:highlight w:val="none"/>
        </w:rPr>
        <w:t>设备、工程设备（盾构机除外</w:t>
      </w:r>
      <w:r>
        <w:rPr>
          <w:rFonts w:hint="eastAsia" w:eastAsia="宋体" w:cs="宋体"/>
          <w:bCs/>
          <w:color w:val="auto"/>
          <w:sz w:val="21"/>
          <w:szCs w:val="21"/>
          <w:highlight w:val="none"/>
          <w:lang w:eastAsia="zh-CN"/>
        </w:rPr>
        <w:t>、</w:t>
      </w:r>
      <w:r>
        <w:rPr>
          <w:rFonts w:hint="eastAsia" w:eastAsia="宋体" w:cs="宋体"/>
          <w:bCs/>
          <w:color w:val="auto"/>
          <w:sz w:val="21"/>
          <w:szCs w:val="21"/>
          <w:highlight w:val="none"/>
          <w:lang w:val="en-US" w:eastAsia="zh-CN"/>
        </w:rPr>
        <w:t>船舶及领有公共运输执照的车辆</w:t>
      </w:r>
      <w:r>
        <w:rPr>
          <w:rFonts w:hint="eastAsia" w:eastAsia="宋体" w:cs="宋体"/>
          <w:bCs/>
          <w:color w:val="auto"/>
          <w:sz w:val="21"/>
          <w:szCs w:val="21"/>
          <w:highlight w:val="none"/>
        </w:rPr>
        <w:t>）的损失。</w:t>
      </w:r>
    </w:p>
    <w:p w14:paraId="3ECCE811">
      <w:pPr>
        <w:numPr>
          <w:ilvl w:val="0"/>
          <w:numId w:val="19"/>
        </w:num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兹经保险双方同意，本条款明确，保险人负责赔偿本保险单明细表中列明的被保</w:t>
      </w:r>
    </w:p>
    <w:p w14:paraId="22CFB2CA">
      <w:pPr>
        <w:numPr>
          <w:ilvl w:val="0"/>
          <w:numId w:val="0"/>
        </w:numPr>
        <w:spacing w:line="360" w:lineRule="auto"/>
        <w:ind w:left="436" w:leftChars="0"/>
        <w:rPr>
          <w:rFonts w:hint="eastAsia" w:eastAsia="宋体" w:cs="宋体"/>
          <w:bCs/>
          <w:color w:val="auto"/>
          <w:sz w:val="21"/>
          <w:szCs w:val="21"/>
          <w:highlight w:val="none"/>
        </w:rPr>
      </w:pPr>
      <w:r>
        <w:rPr>
          <w:rFonts w:hint="eastAsia" w:eastAsia="宋体" w:cs="宋体"/>
          <w:bCs/>
          <w:color w:val="auto"/>
          <w:sz w:val="21"/>
          <w:szCs w:val="21"/>
          <w:highlight w:val="none"/>
        </w:rPr>
        <w:t>险工程因地崩、山崩、滑坡、隧道坍塌、涌水等人力不可抗拒的地质性灾害造成的保险财产的损失。但保险人不承担：</w:t>
      </w:r>
    </w:p>
    <w:p w14:paraId="591F2143">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1）为整治地质报告中已确定的地质灾害而必须投入的防护费用；</w:t>
      </w:r>
    </w:p>
    <w:p w14:paraId="40FA73CA">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2）在施工过程中发现地质结构等与地质报告有差异而更改设计所产生的设计及施工费</w:t>
      </w:r>
    </w:p>
    <w:p w14:paraId="6699A6AD">
      <w:pPr>
        <w:spacing w:line="360" w:lineRule="auto"/>
        <w:ind w:left="16" w:firstLine="420"/>
        <w:rPr>
          <w:rFonts w:hint="eastAsia" w:eastAsia="宋体" w:cs="宋体"/>
          <w:bCs/>
          <w:color w:val="auto"/>
          <w:sz w:val="21"/>
          <w:szCs w:val="21"/>
          <w:highlight w:val="none"/>
        </w:rPr>
      </w:pPr>
      <w:r>
        <w:rPr>
          <w:rFonts w:hint="eastAsia" w:eastAsia="宋体" w:cs="宋体"/>
          <w:bCs/>
          <w:color w:val="auto"/>
          <w:sz w:val="21"/>
          <w:szCs w:val="21"/>
          <w:highlight w:val="none"/>
        </w:rPr>
        <w:t>用以及投入的加固防护费用。</w:t>
      </w:r>
    </w:p>
    <w:p w14:paraId="56F7A960">
      <w:pPr>
        <w:spacing w:line="360" w:lineRule="auto"/>
        <w:ind w:left="16" w:firstLine="420"/>
        <w:rPr>
          <w:rFonts w:eastAsia="宋体" w:cs="宋体"/>
          <w:bCs/>
          <w:color w:val="auto"/>
          <w:sz w:val="21"/>
          <w:szCs w:val="21"/>
          <w:highlight w:val="none"/>
        </w:rPr>
      </w:pPr>
      <w:r>
        <w:rPr>
          <w:rFonts w:hint="eastAsia" w:eastAsia="宋体" w:cs="宋体"/>
          <w:bCs/>
          <w:color w:val="auto"/>
          <w:sz w:val="21"/>
          <w:szCs w:val="21"/>
          <w:highlight w:val="none"/>
        </w:rPr>
        <w:t>本保险单所载其他条件不变。</w:t>
      </w:r>
    </w:p>
    <w:p w14:paraId="13FF7343">
      <w:pPr>
        <w:numPr>
          <w:ilvl w:val="0"/>
          <w:numId w:val="19"/>
        </w:numPr>
        <w:spacing w:line="400" w:lineRule="exact"/>
        <w:ind w:left="16" w:leftChars="0" w:firstLine="420" w:firstLineChars="0"/>
        <w:rPr>
          <w:rFonts w:hint="eastAsia" w:cs="宋体"/>
          <w:bCs/>
          <w:color w:val="auto"/>
          <w:szCs w:val="21"/>
          <w:highlight w:val="none"/>
        </w:rPr>
      </w:pPr>
      <w:r>
        <w:rPr>
          <w:rFonts w:hint="eastAsia" w:cs="宋体"/>
          <w:bCs/>
          <w:color w:val="auto"/>
          <w:szCs w:val="21"/>
          <w:highlight w:val="none"/>
        </w:rPr>
        <w:t>兹经双方同意，工程在施工过程中将根据实际情况变更或调整设计规范、施工方</w:t>
      </w:r>
    </w:p>
    <w:p w14:paraId="21BD7367">
      <w:pPr>
        <w:numPr>
          <w:ilvl w:val="0"/>
          <w:numId w:val="0"/>
        </w:numPr>
        <w:spacing w:line="400" w:lineRule="exact"/>
        <w:ind w:left="436" w:leftChars="0"/>
        <w:rPr>
          <w:rFonts w:hint="eastAsia" w:cs="宋体"/>
          <w:bCs/>
          <w:color w:val="auto"/>
          <w:szCs w:val="21"/>
          <w:highlight w:val="none"/>
        </w:rPr>
      </w:pPr>
      <w:r>
        <w:rPr>
          <w:rFonts w:hint="eastAsia" w:cs="宋体"/>
          <w:bCs/>
          <w:color w:val="auto"/>
          <w:szCs w:val="21"/>
          <w:highlight w:val="none"/>
        </w:rPr>
        <w:t>法，保险人同意只要上述变更或调整符合本项目的管理程序，则被保险人无须向保险人事前申报，且在此情况下如发生保险事故，保险人不得以设计变更为由拒绝或减少赔偿，但保险人有权随时查阅上述变更或调整的相关文件、资料。</w:t>
      </w:r>
    </w:p>
    <w:p w14:paraId="20DEDDB8">
      <w:pPr>
        <w:numPr>
          <w:ilvl w:val="0"/>
          <w:numId w:val="19"/>
        </w:numPr>
        <w:spacing w:line="400" w:lineRule="exact"/>
        <w:ind w:left="16" w:leftChars="0" w:firstLine="420" w:firstLineChars="0"/>
        <w:rPr>
          <w:rFonts w:hint="eastAsia" w:cs="宋体"/>
          <w:bCs/>
          <w:color w:val="auto"/>
          <w:szCs w:val="21"/>
          <w:highlight w:val="none"/>
        </w:rPr>
      </w:pPr>
      <w:r>
        <w:rPr>
          <w:rFonts w:hint="eastAsia" w:cs="宋体"/>
          <w:bCs/>
          <w:color w:val="auto"/>
          <w:szCs w:val="21"/>
          <w:highlight w:val="none"/>
        </w:rPr>
        <w:t>本保单对保险责任造成临时设施（包括但不仅限于便道、便桥、活动板房、基</w:t>
      </w:r>
    </w:p>
    <w:p w14:paraId="7A1C38FB">
      <w:pPr>
        <w:numPr>
          <w:ilvl w:val="0"/>
          <w:numId w:val="0"/>
        </w:numPr>
        <w:spacing w:line="400" w:lineRule="exact"/>
        <w:ind w:left="436" w:leftChars="0"/>
        <w:rPr>
          <w:rFonts w:hint="eastAsia" w:cs="宋体"/>
          <w:bCs/>
          <w:color w:val="auto"/>
          <w:szCs w:val="21"/>
          <w:highlight w:val="none"/>
        </w:rPr>
      </w:pPr>
      <w:r>
        <w:rPr>
          <w:rFonts w:hint="eastAsia" w:cs="宋体"/>
          <w:bCs/>
          <w:color w:val="auto"/>
          <w:szCs w:val="21"/>
          <w:highlight w:val="none"/>
        </w:rPr>
        <w:t>坑、便涵、制存梁场、轨道板场、围堰等）、周转性材料及模板的损失负责赔偿，无论其是否在清单中列明，本保单予以扩展承保，且在发生保险事故后按实际损失金额予以足额赔偿。其中：临时设施的损失应按照重置价值赔偿；对异型模板，如未使用前或使用过程中发生损失，则按照其重置价值赔偿，如使用完成后发生损失，则不予赔偿；对重复使用的周转性材料和标准模板，则计算其摊销价值的方式和次数，扣除已经摊销部分后进行赔偿，若无法明确其摊销方式的，对于该部分标的赔偿不超过重置价值的50%。</w:t>
      </w:r>
    </w:p>
    <w:p w14:paraId="742BEC27">
      <w:pPr>
        <w:numPr>
          <w:ilvl w:val="0"/>
          <w:numId w:val="19"/>
        </w:numPr>
        <w:spacing w:line="400" w:lineRule="exact"/>
        <w:ind w:left="16" w:leftChars="0" w:firstLine="420" w:firstLineChars="0"/>
        <w:rPr>
          <w:rFonts w:hint="eastAsia" w:cs="宋体"/>
          <w:bCs/>
          <w:color w:val="auto"/>
          <w:szCs w:val="21"/>
          <w:highlight w:val="none"/>
        </w:rPr>
      </w:pPr>
      <w:r>
        <w:rPr>
          <w:rFonts w:hint="eastAsia" w:cs="宋体"/>
          <w:bCs/>
          <w:color w:val="auto"/>
          <w:szCs w:val="21"/>
          <w:highlight w:val="none"/>
        </w:rPr>
        <w:t>本保险合同明细表保险项目的新增项目将根据工程期间施工及设计修改的实际</w:t>
      </w:r>
      <w:r>
        <w:rPr>
          <w:rFonts w:hint="eastAsia" w:cs="宋体"/>
          <w:bCs/>
          <w:color w:val="auto"/>
          <w:szCs w:val="21"/>
          <w:highlight w:val="none"/>
          <w:lang w:val="en-US" w:eastAsia="zh-CN"/>
        </w:rPr>
        <w:t xml:space="preserve">  </w:t>
      </w:r>
    </w:p>
    <w:p w14:paraId="0597CB0E">
      <w:pPr>
        <w:numPr>
          <w:ilvl w:val="0"/>
          <w:numId w:val="0"/>
        </w:numPr>
        <w:spacing w:line="400" w:lineRule="exact"/>
        <w:ind w:left="436" w:leftChars="0"/>
        <w:rPr>
          <w:rFonts w:hint="eastAsia" w:cs="宋体"/>
          <w:bCs/>
          <w:color w:val="auto"/>
          <w:szCs w:val="21"/>
          <w:highlight w:val="none"/>
        </w:rPr>
      </w:pPr>
      <w:r>
        <w:rPr>
          <w:rFonts w:hint="eastAsia" w:cs="宋体"/>
          <w:bCs/>
          <w:color w:val="auto"/>
          <w:szCs w:val="21"/>
          <w:highlight w:val="none"/>
        </w:rPr>
        <w:t>情况进行调整，该调整的部分全部列入本保险合同承保范围，新增项目的合同金额将计入本保险合同明细表中物质损失的预计总保险金额。</w:t>
      </w:r>
    </w:p>
    <w:p w14:paraId="3A3CC22F">
      <w:pPr>
        <w:numPr>
          <w:ilvl w:val="0"/>
          <w:numId w:val="19"/>
        </w:numPr>
        <w:spacing w:line="520" w:lineRule="exact"/>
        <w:ind w:left="16" w:leftChars="0" w:firstLine="420" w:firstLineChars="0"/>
        <w:rPr>
          <w:rFonts w:ascii="宋体" w:hAnsi="宋体" w:eastAsia="宋体" w:cs="Times New Roman"/>
          <w:bCs/>
          <w:color w:val="auto"/>
          <w:szCs w:val="21"/>
          <w:highlight w:val="none"/>
        </w:rPr>
      </w:pPr>
      <w:r>
        <w:rPr>
          <w:rFonts w:ascii="宋体" w:hAnsi="宋体" w:eastAsia="宋体" w:cs="Times New Roman"/>
          <w:bCs/>
          <w:color w:val="auto"/>
          <w:szCs w:val="21"/>
          <w:highlight w:val="none"/>
        </w:rPr>
        <w:t>本保险采用的建筑工程一切险条款为列明除外责任条款，根据条款精神，保险</w:t>
      </w:r>
    </w:p>
    <w:p w14:paraId="15A67198">
      <w:pPr>
        <w:numPr>
          <w:ilvl w:val="0"/>
          <w:numId w:val="0"/>
        </w:numPr>
        <w:spacing w:line="520" w:lineRule="exact"/>
        <w:ind w:left="436" w:leftChars="0"/>
        <w:rPr>
          <w:rFonts w:ascii="宋体" w:hAnsi="宋体" w:eastAsia="宋体" w:cs="Times New Roman"/>
          <w:bCs/>
          <w:color w:val="auto"/>
          <w:szCs w:val="21"/>
          <w:highlight w:val="none"/>
        </w:rPr>
      </w:pPr>
      <w:r>
        <w:rPr>
          <w:rFonts w:ascii="宋体" w:hAnsi="宋体" w:eastAsia="宋体" w:cs="Times New Roman"/>
          <w:bCs/>
          <w:color w:val="auto"/>
          <w:szCs w:val="21"/>
          <w:highlight w:val="none"/>
        </w:rPr>
        <w:t>双方明确：对于被保险人提出约定保险标的损失、费用或赔偿责任所发生的索赔事项，除非保险人能提供充分证据证明其属于除外责任所造成该损失、费用或赔偿责任，否则保险人必须承担赔偿责任。不得以不属于保险责任或附加条款责任范围内之由而提出拒赔。</w:t>
      </w:r>
    </w:p>
    <w:p w14:paraId="7A11EE40">
      <w:pPr>
        <w:spacing w:line="520" w:lineRule="exact"/>
        <w:ind w:left="17"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（1</w:t>
      </w:r>
      <w:r>
        <w:rPr>
          <w:rFonts w:hint="eastAsia" w:ascii="宋体" w:hAnsi="宋体" w:eastAsia="宋体" w:cs="Times New Roman"/>
          <w:bCs/>
          <w:color w:val="auto"/>
          <w:szCs w:val="21"/>
          <w:highlight w:val="none"/>
          <w:lang w:val="en-US" w:eastAsia="zh-CN"/>
        </w:rPr>
        <w:t>3</w:t>
      </w:r>
      <w:r>
        <w:rPr>
          <w:rFonts w:ascii="宋体" w:hAnsi="宋体" w:eastAsia="宋体" w:cs="Times New Roman"/>
          <w:bCs/>
          <w:color w:val="auto"/>
          <w:szCs w:val="21"/>
          <w:highlight w:val="none"/>
        </w:rPr>
        <w:t>）兹经双方同意并约定，本保险合同承保由保险合同承保的风险引起的下列损失：</w:t>
      </w:r>
    </w:p>
    <w:p w14:paraId="2124DA36">
      <w:pPr>
        <w:spacing w:line="520" w:lineRule="exact"/>
        <w:ind w:left="17"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（a）灭火过程中的费用；</w:t>
      </w:r>
    </w:p>
    <w:p w14:paraId="586987A2">
      <w:pPr>
        <w:spacing w:line="520" w:lineRule="exact"/>
        <w:ind w:left="17"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（b）清理水和其他物质的费用；</w:t>
      </w:r>
    </w:p>
    <w:p w14:paraId="0E95F998">
      <w:pPr>
        <w:spacing w:line="520" w:lineRule="exact"/>
        <w:ind w:left="17"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（c）清理费用；</w:t>
      </w:r>
    </w:p>
    <w:p w14:paraId="27167CC1">
      <w:pPr>
        <w:spacing w:line="520" w:lineRule="exact"/>
        <w:ind w:left="17"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（d）暂时性防护设施建造费用；</w:t>
      </w:r>
    </w:p>
    <w:p w14:paraId="082DE7E1">
      <w:pPr>
        <w:spacing w:line="52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本保险合同对财产和灭火费用的责任不应超过每次事故RMB500万元。</w:t>
      </w:r>
    </w:p>
    <w:p w14:paraId="697DA073">
      <w:pPr>
        <w:spacing w:line="52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灭火费用不应计入本保险合同项下财产的重置价值内。</w:t>
      </w:r>
    </w:p>
    <w:p w14:paraId="16E4799A">
      <w:pPr>
        <w:spacing w:line="52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本保险合同所载其他条件不变。</w:t>
      </w:r>
    </w:p>
    <w:p w14:paraId="0EF76622">
      <w:pPr>
        <w:numPr>
          <w:ilvl w:val="0"/>
          <w:numId w:val="19"/>
        </w:numPr>
        <w:spacing w:line="540" w:lineRule="exact"/>
        <w:ind w:left="16" w:leftChars="0" w:firstLine="420" w:firstLineChars="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首席</w:t>
      </w:r>
      <w:r>
        <w:rPr>
          <w:rFonts w:ascii="宋体" w:hAnsi="宋体" w:eastAsia="宋体" w:cs="Times New Roman"/>
          <w:bCs/>
          <w:color w:val="auto"/>
          <w:szCs w:val="21"/>
          <w:highlight w:val="none"/>
        </w:rPr>
        <w:t>保险人与经纪人应与投保人、被保险人每季度召开一次联席会议。会议由</w:t>
      </w:r>
    </w:p>
    <w:p w14:paraId="59956D73">
      <w:pPr>
        <w:numPr>
          <w:ilvl w:val="0"/>
          <w:numId w:val="0"/>
        </w:numPr>
        <w:spacing w:line="540" w:lineRule="exact"/>
        <w:ind w:left="436" w:leftChars="0"/>
        <w:rPr>
          <w:rFonts w:ascii="宋体" w:hAnsi="宋体" w:eastAsia="宋体" w:cs="Times New Roman"/>
          <w:bCs/>
          <w:color w:val="auto"/>
          <w:szCs w:val="21"/>
          <w:highlight w:val="none"/>
        </w:rPr>
      </w:pPr>
      <w:r>
        <w:rPr>
          <w:rFonts w:ascii="宋体" w:hAnsi="宋体" w:eastAsia="宋体" w:cs="Times New Roman"/>
          <w:bCs/>
          <w:color w:val="auto"/>
          <w:szCs w:val="21"/>
          <w:highlight w:val="none"/>
        </w:rPr>
        <w:t>经纪人牵头，经纪人与各保险人轮流承办，会议内容主要包括：首席保险人通报上季度承保与理赔详细情况（理赔需通报已决赔案赔款、未决赔案赔款等信息，未决赔案需说明未决原因），并就保险服务情况做总结；投保人就保险期间遇到的困难与问题在会上提出讨论并在会上形成解决方案。会后经纪人制作会议纪要发送投保人与保险人。</w:t>
      </w:r>
    </w:p>
    <w:p w14:paraId="0500971F">
      <w:pPr>
        <w:numPr>
          <w:ilvl w:val="0"/>
          <w:numId w:val="19"/>
        </w:numPr>
        <w:spacing w:line="540" w:lineRule="exact"/>
        <w:ind w:left="16" w:leftChars="0" w:firstLine="420" w:firstLineChars="0"/>
        <w:rPr>
          <w:rFonts w:ascii="宋体" w:hAnsi="宋体" w:eastAsia="宋体" w:cs="Times New Roman"/>
          <w:bCs/>
          <w:color w:val="auto"/>
          <w:szCs w:val="21"/>
          <w:highlight w:val="none"/>
        </w:rPr>
      </w:pPr>
      <w:r>
        <w:rPr>
          <w:rFonts w:ascii="宋体" w:hAnsi="宋体" w:eastAsia="宋体" w:cs="Times New Roman"/>
          <w:bCs/>
          <w:color w:val="auto"/>
          <w:szCs w:val="21"/>
          <w:highlight w:val="none"/>
        </w:rPr>
        <w:t>本保险合同生效后，如乙方违约，甲方为维护权益向乙方追偿的一切费用（包</w:t>
      </w:r>
    </w:p>
    <w:p w14:paraId="5FDEF8A7">
      <w:pPr>
        <w:numPr>
          <w:ilvl w:val="0"/>
          <w:numId w:val="0"/>
        </w:numPr>
        <w:spacing w:line="540" w:lineRule="exact"/>
        <w:ind w:left="436" w:leftChars="0"/>
        <w:rPr>
          <w:rFonts w:ascii="宋体" w:hAnsi="宋体" w:eastAsia="宋体" w:cs="Times New Roman"/>
          <w:bCs/>
          <w:color w:val="auto"/>
          <w:szCs w:val="21"/>
          <w:highlight w:val="none"/>
        </w:rPr>
      </w:pPr>
      <w:r>
        <w:rPr>
          <w:rFonts w:ascii="宋体" w:hAnsi="宋体" w:eastAsia="宋体" w:cs="Times New Roman"/>
          <w:bCs/>
          <w:color w:val="auto"/>
          <w:szCs w:val="21"/>
          <w:highlight w:val="none"/>
        </w:rPr>
        <w:t>括但不限于律师费、诉讼费、保全费、鉴定费、差旅费）由乙方承担。</w:t>
      </w:r>
    </w:p>
    <w:p w14:paraId="545AF4CD">
      <w:pPr>
        <w:numPr>
          <w:ilvl w:val="0"/>
          <w:numId w:val="19"/>
        </w:numPr>
        <w:spacing w:line="540" w:lineRule="exact"/>
        <w:ind w:left="16" w:leftChars="0" w:firstLine="420" w:firstLineChars="0"/>
        <w:rPr>
          <w:color w:val="auto"/>
          <w:highlight w:val="none"/>
          <w:lang w:val="en-US" w:eastAsia="zh-CN"/>
        </w:rPr>
      </w:pPr>
      <w:r>
        <w:rPr>
          <w:rFonts w:hint="eastAsia" w:ascii="宋体" w:hAnsi="宋体" w:eastAsia="宋体" w:cs="Times New Roman"/>
          <w:bCs/>
          <w:color w:val="auto"/>
          <w:szCs w:val="21"/>
          <w:highlight w:val="none"/>
          <w:lang w:val="en-US" w:eastAsia="zh-CN"/>
        </w:rPr>
        <w:t xml:space="preserve">本保险合同承保由业主提供给施工承包人的预制构件，预制构件无论是在业 </w:t>
      </w:r>
    </w:p>
    <w:p w14:paraId="2DA48AD2">
      <w:pPr>
        <w:numPr>
          <w:ilvl w:val="0"/>
          <w:numId w:val="0"/>
        </w:numPr>
        <w:spacing w:line="540" w:lineRule="exact"/>
        <w:ind w:left="436" w:leftChars="0"/>
        <w:rPr>
          <w:color w:val="auto"/>
          <w:highlight w:val="none"/>
          <w:lang w:val="en-US" w:eastAsia="zh-CN"/>
        </w:rPr>
      </w:pPr>
      <w:r>
        <w:rPr>
          <w:rFonts w:hint="eastAsia" w:ascii="宋体" w:hAnsi="宋体" w:eastAsia="宋体" w:cs="Times New Roman"/>
          <w:bCs/>
          <w:color w:val="auto"/>
          <w:szCs w:val="21"/>
          <w:highlight w:val="none"/>
          <w:lang w:val="en-US" w:eastAsia="zh-CN"/>
        </w:rPr>
        <w:t>主方还是施工方运送过程中或使用过程中发生保险事故，保险人均应按本保单约定赔付。</w:t>
      </w:r>
    </w:p>
    <w:p w14:paraId="67516C77">
      <w:pPr>
        <w:spacing w:line="540" w:lineRule="exact"/>
        <w:ind w:firstLine="422" w:firstLineChars="200"/>
        <w:rPr>
          <w:rFonts w:ascii="宋体" w:hAnsi="宋体" w:eastAsia="宋体" w:cs="Times New Roman"/>
          <w:b/>
          <w:color w:val="auto"/>
          <w:szCs w:val="21"/>
          <w:highlight w:val="none"/>
        </w:rPr>
      </w:pPr>
      <w:r>
        <w:rPr>
          <w:rFonts w:ascii="宋体" w:hAnsi="宋体" w:eastAsia="宋体" w:cs="Times New Roman"/>
          <w:b/>
          <w:color w:val="auto"/>
          <w:szCs w:val="21"/>
          <w:highlight w:val="none"/>
        </w:rPr>
        <w:t>2、安全生产责任险特别约定：</w:t>
      </w:r>
    </w:p>
    <w:p w14:paraId="458597B8">
      <w:pPr>
        <w:spacing w:line="54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（1）本保险为不记名投保，被保险人从业人员以出险上月工资表在册员工名单或被保</w:t>
      </w:r>
    </w:p>
    <w:p w14:paraId="6E2673DF">
      <w:pPr>
        <w:spacing w:line="54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险人出具的劳动</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劳资）关系证明或用工备案证明作为赔偿依据（新员工以报到证明、</w:t>
      </w:r>
    </w:p>
    <w:p w14:paraId="6AF4D7E0">
      <w:pPr>
        <w:spacing w:line="540" w:lineRule="exact"/>
        <w:ind w:left="16" w:firstLine="420"/>
        <w:rPr>
          <w:rFonts w:ascii="宋体" w:hAnsi="宋体" w:eastAsia="宋体" w:cs="Times New Roman"/>
          <w:bCs/>
          <w:color w:val="auto"/>
          <w:szCs w:val="21"/>
          <w:highlight w:val="none"/>
        </w:rPr>
      </w:pPr>
      <w:r>
        <w:rPr>
          <w:rFonts w:ascii="宋体" w:hAnsi="宋体" w:eastAsia="宋体" w:cs="Times New Roman"/>
          <w:bCs/>
          <w:color w:val="auto"/>
          <w:szCs w:val="21"/>
          <w:highlight w:val="none"/>
        </w:rPr>
        <w:t>入职手续为准）。</w:t>
      </w:r>
    </w:p>
    <w:p w14:paraId="5E0A54A5">
      <w:pPr>
        <w:numPr>
          <w:ilvl w:val="0"/>
          <w:numId w:val="0"/>
        </w:numPr>
        <w:spacing w:line="540" w:lineRule="exact"/>
        <w:ind w:leftChars="200"/>
        <w:rPr>
          <w:rFonts w:ascii="宋体" w:hAnsi="宋体" w:eastAsia="宋体" w:cs="Times New Roman"/>
          <w:bCs/>
          <w:color w:val="auto"/>
          <w:szCs w:val="21"/>
          <w:highlight w:val="none"/>
        </w:rPr>
      </w:pPr>
      <w:r>
        <w:rPr>
          <w:rFonts w:hint="eastAsia" w:eastAsia="宋体" w:cs="Times New Roman"/>
          <w:bCs/>
          <w:color w:val="auto"/>
          <w:szCs w:val="21"/>
          <w:highlight w:val="none"/>
          <w:lang w:eastAsia="zh-CN"/>
        </w:rPr>
        <w:t>（</w:t>
      </w:r>
      <w:r>
        <w:rPr>
          <w:rFonts w:hint="eastAsia" w:eastAsia="宋体" w:cs="Times New Roman"/>
          <w:bCs/>
          <w:color w:val="auto"/>
          <w:szCs w:val="21"/>
          <w:highlight w:val="none"/>
          <w:lang w:val="en-US" w:eastAsia="zh-CN"/>
        </w:rPr>
        <w:t>2</w:t>
      </w:r>
      <w:r>
        <w:rPr>
          <w:rFonts w:hint="eastAsia" w:eastAsia="宋体" w:cs="Times New Roman"/>
          <w:bCs/>
          <w:color w:val="auto"/>
          <w:szCs w:val="21"/>
          <w:highlight w:val="none"/>
          <w:lang w:eastAsia="zh-CN"/>
        </w:rPr>
        <w:t>）</w:t>
      </w:r>
      <w:r>
        <w:rPr>
          <w:rFonts w:ascii="宋体" w:hAnsi="宋体" w:eastAsia="宋体" w:cs="Times New Roman"/>
          <w:bCs/>
          <w:color w:val="auto"/>
          <w:szCs w:val="21"/>
          <w:highlight w:val="none"/>
        </w:rPr>
        <w:t>事故报告或证明材料约定：</w:t>
      </w:r>
      <w:r>
        <w:rPr>
          <w:rFonts w:hint="eastAsia" w:ascii="宋体" w:hAnsi="宋体" w:eastAsia="宋体" w:cs="Times New Roman"/>
          <w:bCs/>
          <w:color w:val="auto"/>
          <w:szCs w:val="21"/>
          <w:highlight w:val="none"/>
          <w:lang w:val="en-US" w:eastAsia="zh-CN"/>
        </w:rPr>
        <w:t>保险人接受并认可由</w:t>
      </w:r>
      <w:r>
        <w:rPr>
          <w:rFonts w:ascii="宋体" w:hAnsi="宋体" w:eastAsia="宋体" w:cs="Times New Roman"/>
          <w:bCs/>
          <w:color w:val="auto"/>
          <w:szCs w:val="21"/>
          <w:highlight w:val="none"/>
        </w:rPr>
        <w:t>投保人提供签章的事故报告或证明材料</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且保险人不得以未向政府安全主管部门报告或未按《生产安全事故报告和调查处理条例》规定进行事故报告和调查处理为理由拒绝赔付或提出比例赔付，但保险人保留调查事故的权利。</w:t>
      </w:r>
    </w:p>
    <w:p w14:paraId="1424457D">
      <w:pPr>
        <w:numPr>
          <w:ilvl w:val="0"/>
          <w:numId w:val="12"/>
        </w:numPr>
        <w:spacing w:line="540" w:lineRule="exact"/>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被保险人的</w:t>
      </w:r>
      <w:r>
        <w:rPr>
          <w:rFonts w:hint="eastAsia" w:ascii="宋体" w:hAnsi="宋体" w:eastAsia="宋体" w:cs="Times New Roman"/>
          <w:bCs/>
          <w:color w:val="auto"/>
          <w:szCs w:val="21"/>
          <w:highlight w:val="none"/>
          <w:lang w:val="en-US" w:eastAsia="zh-CN"/>
        </w:rPr>
        <w:t>人员</w:t>
      </w:r>
      <w:r>
        <w:rPr>
          <w:rFonts w:ascii="宋体" w:hAnsi="宋体" w:eastAsia="宋体" w:cs="Times New Roman"/>
          <w:bCs/>
          <w:color w:val="auto"/>
          <w:szCs w:val="21"/>
          <w:highlight w:val="none"/>
        </w:rPr>
        <w:t>在上下班途中、生活区发生的伤亡事故属于本保单保险责任；被</w:t>
      </w:r>
    </w:p>
    <w:p w14:paraId="6E8CBA8C">
      <w:pPr>
        <w:numPr>
          <w:ilvl w:val="0"/>
          <w:numId w:val="0"/>
        </w:numPr>
        <w:spacing w:line="540" w:lineRule="exact"/>
        <w:ind w:left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保险人的</w:t>
      </w:r>
      <w:r>
        <w:rPr>
          <w:rFonts w:hint="eastAsia" w:ascii="宋体" w:hAnsi="宋体" w:eastAsia="宋体" w:cs="Times New Roman"/>
          <w:bCs/>
          <w:color w:val="auto"/>
          <w:szCs w:val="21"/>
          <w:highlight w:val="none"/>
          <w:lang w:val="en-US" w:eastAsia="zh-CN"/>
        </w:rPr>
        <w:t>人</w:t>
      </w:r>
      <w:r>
        <w:rPr>
          <w:rFonts w:ascii="宋体" w:hAnsi="宋体" w:eastAsia="宋体" w:cs="Times New Roman"/>
          <w:bCs/>
          <w:color w:val="auto"/>
          <w:szCs w:val="21"/>
          <w:highlight w:val="none"/>
        </w:rPr>
        <w:t>员在被保险人提供的就餐场所内就餐时，因遭受意外事故或因食物中毒（食物中毒5人以上）导致受伤、残疾或死亡</w:t>
      </w:r>
      <w:r>
        <w:rPr>
          <w:rFonts w:hint="eastAsia" w:ascii="宋体" w:hAnsi="宋体" w:eastAsia="宋体" w:cs="Times New Roman"/>
          <w:bCs/>
          <w:color w:val="auto"/>
          <w:szCs w:val="21"/>
          <w:highlight w:val="none"/>
        </w:rPr>
        <w:t>依照中华人民共和国法律（不包括港、澳、台地区法律），应由被保险人承担的经济赔偿责任，保险人按照本附加险合同约定负责赔偿。</w:t>
      </w:r>
    </w:p>
    <w:p w14:paraId="6A966DD3">
      <w:pPr>
        <w:numPr>
          <w:ilvl w:val="0"/>
          <w:numId w:val="12"/>
        </w:numPr>
        <w:spacing w:line="540" w:lineRule="exact"/>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被保险人的从业人员年龄扩展到</w:t>
      </w:r>
      <w:r>
        <w:rPr>
          <w:rFonts w:hint="eastAsia" w:ascii="宋体" w:hAnsi="宋体" w:eastAsia="宋体" w:cs="Times New Roman"/>
          <w:bCs/>
          <w:color w:val="auto"/>
          <w:szCs w:val="21"/>
          <w:highlight w:val="none"/>
          <w:lang w:val="en-US" w:eastAsia="zh-CN"/>
        </w:rPr>
        <w:t>65</w:t>
      </w:r>
      <w:r>
        <w:rPr>
          <w:rFonts w:ascii="宋体" w:hAnsi="宋体" w:eastAsia="宋体" w:cs="Times New Roman"/>
          <w:bCs/>
          <w:color w:val="auto"/>
          <w:szCs w:val="21"/>
          <w:highlight w:val="none"/>
        </w:rPr>
        <w:t>周岁，保险人不得以被保险人安全措施不到</w:t>
      </w:r>
    </w:p>
    <w:p w14:paraId="177A47CE">
      <w:pPr>
        <w:numPr>
          <w:ilvl w:val="0"/>
          <w:numId w:val="0"/>
        </w:numPr>
        <w:spacing w:line="540" w:lineRule="exact"/>
        <w:ind w:left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位或执行安生生产规程和标准时存在纰漏为由拒绝赔付，从业人员进行特种作业或其他施工作业时遭受意外伤害，理赔时需提供特种作业证书或施工作业操作证书。</w:t>
      </w:r>
    </w:p>
    <w:p w14:paraId="24467617">
      <w:pPr>
        <w:numPr>
          <w:ilvl w:val="0"/>
          <w:numId w:val="12"/>
        </w:numPr>
        <w:spacing w:line="540" w:lineRule="exact"/>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被保险人涵盖该工程项目的分包商、劳务公司、协作单位等，若出险，其须提供</w:t>
      </w:r>
    </w:p>
    <w:p w14:paraId="3F855CCC">
      <w:pPr>
        <w:numPr>
          <w:ilvl w:val="0"/>
          <w:numId w:val="0"/>
        </w:numPr>
        <w:spacing w:line="540" w:lineRule="exact"/>
        <w:ind w:left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其与投保人之间的合同。与本项目有关的所有分包商、劳务公司、协作单位，用于本工程项目施工的从业人员，发生事故属于本保险合同的理赔范围。理赔时如无法提供施工人员与施工单位签订的劳动合同，可提供与投保单位及与投保单位在本项目有合约或管理关系的单位的工资发放证明、考勤记录、派遣证明、劳动合同等事实雇佣关系材料予以证明。</w:t>
      </w:r>
    </w:p>
    <w:p w14:paraId="2602DD04">
      <w:pPr>
        <w:numPr>
          <w:ilvl w:val="0"/>
          <w:numId w:val="12"/>
        </w:numPr>
        <w:spacing w:line="540" w:lineRule="exact"/>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被保险人的从业人员意外伤害医疗费用理赔：被保险人的从业人员在紧急抢救时</w:t>
      </w:r>
    </w:p>
    <w:p w14:paraId="5E1DCC17">
      <w:pPr>
        <w:numPr>
          <w:ilvl w:val="0"/>
          <w:numId w:val="0"/>
        </w:numPr>
        <w:spacing w:line="540" w:lineRule="exact"/>
        <w:ind w:left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不受须在二级及以上医院级别及保险人认可的医疗机构进行治疗的限制，但被保险人的从业人员在病情稳定后须转至二级及以上医院或者保险人认可的医疗机构进行后续治疗。医疗费中涉及后续需内固定拆除，内固定拆除的费用，不受治疗需在出险后 180 天内的时间限制。</w:t>
      </w:r>
    </w:p>
    <w:p w14:paraId="5B4BEA2B">
      <w:pPr>
        <w:numPr>
          <w:ilvl w:val="0"/>
          <w:numId w:val="12"/>
        </w:numPr>
        <w:spacing w:line="540" w:lineRule="exact"/>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在保险期间内，保险人依照主险合同约定应承担残疾保险金给付责任的，对应残</w:t>
      </w:r>
    </w:p>
    <w:p w14:paraId="734B043C">
      <w:pPr>
        <w:numPr>
          <w:ilvl w:val="0"/>
          <w:numId w:val="0"/>
        </w:numPr>
        <w:spacing w:line="540" w:lineRule="exact"/>
        <w:ind w:left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疾程度鉴定标准以《劳动能力鉴定职工工伤与职业病致残等级》（GB/T16180-2014）为准。</w:t>
      </w:r>
    </w:p>
    <w:p w14:paraId="54512D80">
      <w:pPr>
        <w:spacing w:line="540" w:lineRule="exact"/>
        <w:ind w:left="17" w:firstLine="420"/>
        <w:rPr>
          <w:rFonts w:ascii="宋体" w:hAnsi="宋体" w:eastAsia="宋体" w:cs="宋体"/>
          <w:bCs/>
          <w:color w:val="auto"/>
          <w:sz w:val="22"/>
          <w:szCs w:val="21"/>
          <w:highlight w:val="none"/>
        </w:rPr>
      </w:pPr>
      <w:r>
        <w:rPr>
          <w:rFonts w:ascii="宋体" w:hAnsi="宋体" w:eastAsia="宋体" w:cs="Times New Roman"/>
          <w:bCs/>
          <w:color w:val="auto"/>
          <w:szCs w:val="21"/>
          <w:highlight w:val="none"/>
        </w:rPr>
        <w:t>伤残等级赔偿限额比例表</w:t>
      </w:r>
    </w:p>
    <w:tbl>
      <w:tblPr>
        <w:tblStyle w:val="30"/>
        <w:tblW w:w="0" w:type="auto"/>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754"/>
        <w:gridCol w:w="676"/>
        <w:gridCol w:w="739"/>
        <w:gridCol w:w="724"/>
        <w:gridCol w:w="724"/>
        <w:gridCol w:w="787"/>
        <w:gridCol w:w="833"/>
        <w:gridCol w:w="834"/>
        <w:gridCol w:w="801"/>
        <w:gridCol w:w="707"/>
      </w:tblGrid>
      <w:tr w14:paraId="283AE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72" w:type="dxa"/>
            <w:noWrap w:val="0"/>
            <w:vAlign w:val="center"/>
          </w:tcPr>
          <w:p w14:paraId="458C4BF3">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残疾程度</w:t>
            </w:r>
          </w:p>
        </w:tc>
        <w:tc>
          <w:tcPr>
            <w:tcW w:w="754" w:type="dxa"/>
            <w:noWrap w:val="0"/>
            <w:vAlign w:val="center"/>
          </w:tcPr>
          <w:p w14:paraId="50A146B1">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一级</w:t>
            </w:r>
          </w:p>
        </w:tc>
        <w:tc>
          <w:tcPr>
            <w:tcW w:w="676" w:type="dxa"/>
            <w:noWrap w:val="0"/>
            <w:vAlign w:val="center"/>
          </w:tcPr>
          <w:p w14:paraId="07BE5CF1">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二级</w:t>
            </w:r>
          </w:p>
        </w:tc>
        <w:tc>
          <w:tcPr>
            <w:tcW w:w="739" w:type="dxa"/>
            <w:noWrap w:val="0"/>
            <w:vAlign w:val="center"/>
          </w:tcPr>
          <w:p w14:paraId="7C463F0C">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三级</w:t>
            </w:r>
          </w:p>
        </w:tc>
        <w:tc>
          <w:tcPr>
            <w:tcW w:w="724" w:type="dxa"/>
            <w:noWrap w:val="0"/>
            <w:vAlign w:val="center"/>
          </w:tcPr>
          <w:p w14:paraId="6F48C5C8">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四级</w:t>
            </w:r>
          </w:p>
        </w:tc>
        <w:tc>
          <w:tcPr>
            <w:tcW w:w="724" w:type="dxa"/>
            <w:noWrap w:val="0"/>
            <w:vAlign w:val="center"/>
          </w:tcPr>
          <w:p w14:paraId="4BCA52B2">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五级</w:t>
            </w:r>
          </w:p>
        </w:tc>
        <w:tc>
          <w:tcPr>
            <w:tcW w:w="787" w:type="dxa"/>
            <w:noWrap w:val="0"/>
            <w:vAlign w:val="center"/>
          </w:tcPr>
          <w:p w14:paraId="6437E3F0">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六级</w:t>
            </w:r>
          </w:p>
        </w:tc>
        <w:tc>
          <w:tcPr>
            <w:tcW w:w="833" w:type="dxa"/>
            <w:noWrap w:val="0"/>
            <w:vAlign w:val="center"/>
          </w:tcPr>
          <w:p w14:paraId="6B679144">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七级</w:t>
            </w:r>
          </w:p>
        </w:tc>
        <w:tc>
          <w:tcPr>
            <w:tcW w:w="834" w:type="dxa"/>
            <w:noWrap w:val="0"/>
            <w:vAlign w:val="center"/>
          </w:tcPr>
          <w:p w14:paraId="5689CF89">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八级</w:t>
            </w:r>
          </w:p>
        </w:tc>
        <w:tc>
          <w:tcPr>
            <w:tcW w:w="801" w:type="dxa"/>
            <w:noWrap w:val="0"/>
            <w:vAlign w:val="center"/>
          </w:tcPr>
          <w:p w14:paraId="166E4132">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九级</w:t>
            </w:r>
          </w:p>
        </w:tc>
        <w:tc>
          <w:tcPr>
            <w:tcW w:w="707" w:type="dxa"/>
            <w:noWrap w:val="0"/>
            <w:vAlign w:val="center"/>
          </w:tcPr>
          <w:p w14:paraId="4CBF1614">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十级</w:t>
            </w:r>
          </w:p>
        </w:tc>
      </w:tr>
      <w:tr w14:paraId="440EC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272" w:type="dxa"/>
            <w:noWrap w:val="0"/>
            <w:vAlign w:val="center"/>
          </w:tcPr>
          <w:p w14:paraId="2CFF0648">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给付比例</w:t>
            </w:r>
          </w:p>
        </w:tc>
        <w:tc>
          <w:tcPr>
            <w:tcW w:w="754" w:type="dxa"/>
            <w:noWrap w:val="0"/>
            <w:vAlign w:val="center"/>
          </w:tcPr>
          <w:p w14:paraId="68D08C42">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100%</w:t>
            </w:r>
          </w:p>
        </w:tc>
        <w:tc>
          <w:tcPr>
            <w:tcW w:w="676" w:type="dxa"/>
            <w:noWrap w:val="0"/>
            <w:vAlign w:val="center"/>
          </w:tcPr>
          <w:p w14:paraId="1FBE2486">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80%</w:t>
            </w:r>
          </w:p>
        </w:tc>
        <w:tc>
          <w:tcPr>
            <w:tcW w:w="739" w:type="dxa"/>
            <w:noWrap w:val="0"/>
            <w:vAlign w:val="center"/>
          </w:tcPr>
          <w:p w14:paraId="6A87AEC2">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70%</w:t>
            </w:r>
          </w:p>
        </w:tc>
        <w:tc>
          <w:tcPr>
            <w:tcW w:w="724" w:type="dxa"/>
            <w:noWrap w:val="0"/>
            <w:vAlign w:val="center"/>
          </w:tcPr>
          <w:p w14:paraId="590D755E">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60%</w:t>
            </w:r>
          </w:p>
        </w:tc>
        <w:tc>
          <w:tcPr>
            <w:tcW w:w="724" w:type="dxa"/>
            <w:noWrap w:val="0"/>
            <w:vAlign w:val="center"/>
          </w:tcPr>
          <w:p w14:paraId="4727B9E0">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40%</w:t>
            </w:r>
          </w:p>
        </w:tc>
        <w:tc>
          <w:tcPr>
            <w:tcW w:w="787" w:type="dxa"/>
            <w:noWrap w:val="0"/>
            <w:vAlign w:val="center"/>
          </w:tcPr>
          <w:p w14:paraId="68DE0A88">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30%</w:t>
            </w:r>
          </w:p>
        </w:tc>
        <w:tc>
          <w:tcPr>
            <w:tcW w:w="833" w:type="dxa"/>
            <w:noWrap w:val="0"/>
            <w:vAlign w:val="center"/>
          </w:tcPr>
          <w:p w14:paraId="11BE31E1">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20%</w:t>
            </w:r>
          </w:p>
        </w:tc>
        <w:tc>
          <w:tcPr>
            <w:tcW w:w="834" w:type="dxa"/>
            <w:noWrap w:val="0"/>
            <w:vAlign w:val="center"/>
          </w:tcPr>
          <w:p w14:paraId="7ED09186">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15%</w:t>
            </w:r>
          </w:p>
        </w:tc>
        <w:tc>
          <w:tcPr>
            <w:tcW w:w="801" w:type="dxa"/>
            <w:noWrap w:val="0"/>
            <w:vAlign w:val="center"/>
          </w:tcPr>
          <w:p w14:paraId="23166B13">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10%</w:t>
            </w:r>
          </w:p>
        </w:tc>
        <w:tc>
          <w:tcPr>
            <w:tcW w:w="707" w:type="dxa"/>
            <w:noWrap w:val="0"/>
            <w:vAlign w:val="center"/>
          </w:tcPr>
          <w:p w14:paraId="33B6D60D">
            <w:pPr>
              <w:adjustRightInd w:val="0"/>
              <w:snapToGrid w:val="0"/>
              <w:spacing w:line="600" w:lineRule="exact"/>
              <w:jc w:val="center"/>
              <w:rPr>
                <w:rFonts w:ascii="宋体" w:hAnsi="宋体" w:eastAsia="宋体" w:cs="Times New Roman"/>
                <w:bCs/>
                <w:color w:val="auto"/>
                <w:szCs w:val="21"/>
                <w:highlight w:val="none"/>
              </w:rPr>
            </w:pPr>
            <w:r>
              <w:rPr>
                <w:rFonts w:ascii="宋体" w:hAnsi="宋体" w:eastAsia="宋体" w:cs="Times New Roman"/>
                <w:bCs/>
                <w:color w:val="auto"/>
                <w:szCs w:val="21"/>
                <w:highlight w:val="none"/>
              </w:rPr>
              <w:t>5%</w:t>
            </w:r>
          </w:p>
        </w:tc>
      </w:tr>
    </w:tbl>
    <w:p w14:paraId="4597856F">
      <w:pPr>
        <w:numPr>
          <w:ilvl w:val="0"/>
          <w:numId w:val="12"/>
        </w:numPr>
        <w:spacing w:line="520" w:lineRule="exact"/>
        <w:ind w:left="0" w:leftChars="0"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在保险期间内，被保险人在本保险合同承保区域/范围内依法从事建设、施工等</w:t>
      </w:r>
    </w:p>
    <w:p w14:paraId="02E62A7A">
      <w:pPr>
        <w:numPr>
          <w:ilvl w:val="0"/>
          <w:numId w:val="0"/>
        </w:numPr>
        <w:spacing w:line="520" w:lineRule="exact"/>
        <w:rPr>
          <w:rFonts w:ascii="宋体" w:hAnsi="宋体" w:eastAsia="宋体" w:cs="Times New Roman"/>
          <w:bCs/>
          <w:color w:val="auto"/>
          <w:szCs w:val="21"/>
          <w:highlight w:val="none"/>
        </w:rPr>
      </w:pPr>
      <w:r>
        <w:rPr>
          <w:rFonts w:ascii="宋体" w:hAnsi="宋体" w:eastAsia="宋体" w:cs="Times New Roman"/>
          <w:bCs/>
          <w:color w:val="auto"/>
          <w:szCs w:val="21"/>
          <w:highlight w:val="none"/>
        </w:rPr>
        <w:t>相关工作过程中，因发生意外事故导致被保险人的从业人员人身损害的，应由被保险人承担的经济赔偿责任，保险人按照本保险合同约定负责赔偿。发生死亡事故，保险人赔付按照被保险人实际支付的赔偿金为准，无需按照法定计算，但最高不超过本保险合同约定的每人死亡赔偿限额。发生</w:t>
      </w:r>
      <w:r>
        <w:rPr>
          <w:rFonts w:ascii="宋体" w:hAnsi="宋体" w:eastAsia="宋体" w:cs="Times New Roman"/>
          <w:bCs/>
          <w:color w:val="auto"/>
          <w:szCs w:val="21"/>
          <w:highlight w:val="none"/>
          <w:lang w:eastAsia="zh-Hans"/>
        </w:rPr>
        <w:t>伤残</w:t>
      </w:r>
      <w:r>
        <w:rPr>
          <w:rFonts w:ascii="宋体" w:hAnsi="宋体" w:eastAsia="宋体" w:cs="Times New Roman"/>
          <w:bCs/>
          <w:color w:val="auto"/>
          <w:szCs w:val="21"/>
          <w:highlight w:val="none"/>
        </w:rPr>
        <w:t>事故，保险人赔付</w:t>
      </w:r>
      <w:r>
        <w:rPr>
          <w:rFonts w:ascii="宋体" w:hAnsi="宋体" w:eastAsia="宋体" w:cs="Times New Roman"/>
          <w:bCs/>
          <w:color w:val="auto"/>
          <w:szCs w:val="21"/>
          <w:highlight w:val="none"/>
          <w:lang w:eastAsia="zh-Hans"/>
        </w:rPr>
        <w:t>以工伤</w:t>
      </w:r>
      <w:r>
        <w:rPr>
          <w:rFonts w:ascii="宋体" w:hAnsi="宋体" w:eastAsia="宋体" w:cs="Times New Roman"/>
          <w:bCs/>
          <w:color w:val="auto"/>
          <w:szCs w:val="21"/>
          <w:highlight w:val="none"/>
        </w:rPr>
        <w:t>条例</w:t>
      </w:r>
      <w:r>
        <w:rPr>
          <w:rFonts w:ascii="宋体" w:hAnsi="宋体" w:eastAsia="宋体" w:cs="Times New Roman"/>
          <w:bCs/>
          <w:color w:val="auto"/>
          <w:szCs w:val="21"/>
          <w:highlight w:val="none"/>
          <w:lang w:eastAsia="zh-Hans"/>
        </w:rPr>
        <w:t>赔偿标准为依据</w:t>
      </w:r>
      <w:r>
        <w:rPr>
          <w:rFonts w:ascii="宋体" w:hAnsi="宋体" w:eastAsia="宋体" w:cs="Times New Roman"/>
          <w:bCs/>
          <w:color w:val="auto"/>
          <w:szCs w:val="21"/>
          <w:highlight w:val="none"/>
        </w:rPr>
        <w:t>（赔偿项目包括：医疗费、住院津贴、伤残赔偿金、死亡赔偿金）。</w:t>
      </w:r>
    </w:p>
    <w:p w14:paraId="32C78CD8">
      <w:pPr>
        <w:pStyle w:val="2"/>
        <w:numPr>
          <w:ilvl w:val="0"/>
          <w:numId w:val="12"/>
        </w:numPr>
        <w:ind w:left="0" w:leftChars="0" w:firstLine="440" w:firstLineChars="200"/>
        <w:rPr>
          <w:rFonts w:hint="eastAsia" w:ascii="宋体" w:hAnsi="宋体" w:eastAsia="宋体" w:cs="Times New Roman"/>
          <w:b w:val="0"/>
          <w:bCs/>
          <w:color w:val="auto"/>
          <w:sz w:val="21"/>
          <w:szCs w:val="21"/>
          <w:highlight w:val="none"/>
          <w:lang w:val="en-US" w:eastAsia="zh-CN" w:bidi="ar-SA"/>
        </w:rPr>
      </w:pPr>
      <w:r>
        <w:rPr>
          <w:rFonts w:ascii="宋体" w:hAnsi="宋体" w:eastAsia="宋体" w:cs="Times New Roman"/>
          <w:b w:val="0"/>
          <w:bCs/>
          <w:color w:val="auto"/>
          <w:sz w:val="21"/>
          <w:szCs w:val="21"/>
          <w:highlight w:val="none"/>
          <w:lang w:val="en-US" w:eastAsia="zh-CN" w:bidi="ar-SA"/>
        </w:rPr>
        <w:t>保险人承保区域/范围包括</w:t>
      </w:r>
      <w:r>
        <w:rPr>
          <w:rFonts w:ascii="宋体" w:hAnsi="宋体" w:eastAsia="宋体" w:cs="Times New Roman"/>
          <w:b w:val="0"/>
          <w:bCs/>
          <w:color w:val="auto"/>
          <w:sz w:val="21"/>
          <w:szCs w:val="21"/>
          <w:highlight w:val="none"/>
          <w:lang w:val="en-US" w:eastAsia="zh-Hans" w:bidi="ar-SA"/>
        </w:rPr>
        <w:t>被保险人</w:t>
      </w:r>
      <w:r>
        <w:rPr>
          <w:rFonts w:ascii="宋体" w:hAnsi="宋体" w:eastAsia="宋体" w:cs="Times New Roman"/>
          <w:b w:val="0"/>
          <w:bCs/>
          <w:color w:val="auto"/>
          <w:sz w:val="21"/>
          <w:szCs w:val="21"/>
          <w:highlight w:val="none"/>
          <w:lang w:val="en-US" w:eastAsia="zh-CN" w:bidi="ar-SA"/>
        </w:rPr>
        <w:t>建设施工区域、</w:t>
      </w:r>
      <w:r>
        <w:rPr>
          <w:rFonts w:ascii="宋体" w:hAnsi="宋体" w:eastAsia="宋体" w:cs="Times New Roman"/>
          <w:b w:val="0"/>
          <w:bCs/>
          <w:color w:val="auto"/>
          <w:sz w:val="21"/>
          <w:szCs w:val="21"/>
          <w:highlight w:val="none"/>
          <w:lang w:val="en-US" w:eastAsia="zh-Hans" w:bidi="ar-SA"/>
        </w:rPr>
        <w:t>场站、仓库、</w:t>
      </w:r>
      <w:r>
        <w:rPr>
          <w:rFonts w:ascii="宋体" w:hAnsi="宋体" w:eastAsia="宋体" w:cs="Times New Roman"/>
          <w:b w:val="0"/>
          <w:bCs/>
          <w:color w:val="auto"/>
          <w:sz w:val="21"/>
          <w:szCs w:val="21"/>
          <w:highlight w:val="none"/>
          <w:lang w:val="en-US" w:eastAsia="zh-CN" w:bidi="ar-SA"/>
        </w:rPr>
        <w:t>办公区域、</w:t>
      </w:r>
    </w:p>
    <w:p w14:paraId="16F8652D">
      <w:pPr>
        <w:pStyle w:val="2"/>
        <w:numPr>
          <w:ilvl w:val="0"/>
          <w:numId w:val="0"/>
        </w:numPr>
        <w:jc w:val="both"/>
        <w:rPr>
          <w:rFonts w:hint="eastAsia" w:ascii="宋体" w:hAnsi="宋体" w:eastAsia="宋体" w:cs="Times New Roman"/>
          <w:b w:val="0"/>
          <w:bCs/>
          <w:color w:val="auto"/>
          <w:sz w:val="21"/>
          <w:szCs w:val="21"/>
          <w:highlight w:val="none"/>
          <w:lang w:val="en-US" w:eastAsia="zh-CN" w:bidi="ar-SA"/>
        </w:rPr>
      </w:pPr>
      <w:r>
        <w:rPr>
          <w:rFonts w:ascii="宋体" w:hAnsi="宋体" w:eastAsia="宋体" w:cs="Times New Roman"/>
          <w:b w:val="0"/>
          <w:bCs/>
          <w:color w:val="auto"/>
          <w:sz w:val="21"/>
          <w:szCs w:val="21"/>
          <w:highlight w:val="none"/>
          <w:lang w:val="en-US" w:eastAsia="zh-CN" w:bidi="ar-SA"/>
        </w:rPr>
        <w:t>生活区域</w:t>
      </w:r>
      <w:r>
        <w:rPr>
          <w:rFonts w:hint="eastAsia" w:ascii="宋体" w:hAnsi="宋体" w:eastAsia="宋体" w:cs="Times New Roman"/>
          <w:b w:val="0"/>
          <w:bCs/>
          <w:color w:val="auto"/>
          <w:sz w:val="21"/>
          <w:szCs w:val="21"/>
          <w:highlight w:val="none"/>
          <w:lang w:val="en-US" w:eastAsia="zh-CN" w:bidi="ar-SA"/>
        </w:rPr>
        <w:t>、</w:t>
      </w:r>
      <w:r>
        <w:rPr>
          <w:rFonts w:ascii="宋体" w:hAnsi="宋体" w:eastAsia="宋体" w:cs="Times New Roman"/>
          <w:b w:val="0"/>
          <w:bCs/>
          <w:color w:val="auto"/>
          <w:sz w:val="21"/>
          <w:szCs w:val="21"/>
          <w:highlight w:val="none"/>
          <w:lang w:val="en-US" w:eastAsia="zh-CN" w:bidi="ar-SA"/>
        </w:rPr>
        <w:t>从业人员上下班</w:t>
      </w:r>
      <w:r>
        <w:rPr>
          <w:rFonts w:ascii="宋体" w:hAnsi="宋体" w:eastAsia="宋体" w:cs="Times New Roman"/>
          <w:b w:val="0"/>
          <w:bCs/>
          <w:color w:val="auto"/>
          <w:sz w:val="21"/>
          <w:szCs w:val="21"/>
          <w:highlight w:val="none"/>
          <w:lang w:val="en-US" w:eastAsia="zh-Hans" w:bidi="ar-SA"/>
        </w:rPr>
        <w:t>途中</w:t>
      </w:r>
      <w:r>
        <w:rPr>
          <w:rFonts w:ascii="宋体" w:hAnsi="宋体" w:eastAsia="宋体" w:cs="Times New Roman"/>
          <w:b w:val="0"/>
          <w:bCs/>
          <w:color w:val="auto"/>
          <w:sz w:val="21"/>
          <w:szCs w:val="21"/>
          <w:highlight w:val="none"/>
          <w:lang w:val="en-US" w:eastAsia="zh-CN" w:bidi="ar-SA"/>
        </w:rPr>
        <w:t>等。</w:t>
      </w:r>
    </w:p>
    <w:p w14:paraId="74133590">
      <w:pPr>
        <w:pStyle w:val="4"/>
        <w:spacing w:before="156" w:after="156"/>
        <w:rPr>
          <w:rFonts w:hint="eastAsia"/>
          <w:color w:val="auto"/>
          <w:sz w:val="24"/>
          <w:szCs w:val="24"/>
          <w:highlight w:val="none"/>
        </w:rPr>
      </w:pPr>
      <w:r>
        <w:rPr>
          <w:rFonts w:hint="eastAsia"/>
          <w:color w:val="auto"/>
          <w:sz w:val="24"/>
          <w:szCs w:val="24"/>
          <w:highlight w:val="none"/>
        </w:rPr>
        <w:t>十八、赔偿办法及理赔流程约定：</w:t>
      </w:r>
    </w:p>
    <w:p w14:paraId="0F6FD2AE">
      <w:pPr>
        <w:pStyle w:val="5"/>
        <w:spacing w:before="156" w:after="156"/>
        <w:rPr>
          <w:rFonts w:hint="eastAsia"/>
          <w:color w:val="auto"/>
          <w:highlight w:val="none"/>
        </w:rPr>
      </w:pPr>
      <w:r>
        <w:rPr>
          <w:rFonts w:hint="eastAsia"/>
          <w:color w:val="auto"/>
          <w:highlight w:val="none"/>
        </w:rPr>
        <w:t>（一）报案和查勘</w:t>
      </w:r>
    </w:p>
    <w:p w14:paraId="27FE1FF2">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1.发生保险事故，被保险人应在事故发生后二十四小时内以电话或书面形式通知保险经</w:t>
      </w:r>
    </w:p>
    <w:p w14:paraId="4C08D72E">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纪人</w:t>
      </w:r>
      <w:r>
        <w:rPr>
          <w:rFonts w:hint="eastAsia" w:cs="宋体"/>
          <w:bCs/>
          <w:color w:val="auto"/>
          <w:szCs w:val="21"/>
          <w:highlight w:val="none"/>
          <w:shd w:val="clear" w:color="auto" w:fill="auto"/>
          <w:lang w:val="en-US" w:eastAsia="zh-CN"/>
        </w:rPr>
        <w:t>或乎席</w:t>
      </w:r>
      <w:r>
        <w:rPr>
          <w:rFonts w:hint="eastAsia" w:cs="宋体"/>
          <w:bCs/>
          <w:color w:val="auto"/>
          <w:szCs w:val="21"/>
          <w:highlight w:val="none"/>
          <w:shd w:val="clear" w:color="auto" w:fill="auto"/>
        </w:rPr>
        <w:t>保险人，同时尽可能采取合理措施防止损失扩大。</w:t>
      </w:r>
    </w:p>
    <w:p w14:paraId="4AAD475C">
      <w:pPr>
        <w:numPr>
          <w:ilvl w:val="0"/>
          <w:numId w:val="0"/>
        </w:num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2.</w:t>
      </w:r>
      <w:r>
        <w:rPr>
          <w:rFonts w:hint="eastAsia" w:cs="宋体"/>
          <w:bCs/>
          <w:color w:val="auto"/>
          <w:szCs w:val="21"/>
          <w:highlight w:val="none"/>
          <w:shd w:val="clear" w:color="auto" w:fill="auto"/>
        </w:rPr>
        <w:t>保险人在接到被保险人电话或书面</w:t>
      </w:r>
      <w:r>
        <w:rPr>
          <w:rFonts w:hint="eastAsia" w:cs="宋体"/>
          <w:bCs/>
          <w:color w:val="auto"/>
          <w:szCs w:val="21"/>
          <w:highlight w:val="none"/>
          <w:shd w:val="clear" w:color="auto" w:fill="auto"/>
          <w:lang w:val="en-US" w:eastAsia="zh-CN"/>
        </w:rPr>
        <w:t>报案</w:t>
      </w:r>
      <w:r>
        <w:rPr>
          <w:rFonts w:hint="eastAsia" w:cs="宋体"/>
          <w:bCs/>
          <w:color w:val="auto"/>
          <w:szCs w:val="21"/>
          <w:highlight w:val="none"/>
          <w:shd w:val="clear" w:color="auto" w:fill="auto"/>
        </w:rPr>
        <w:t>通知后 4 小时内</w:t>
      </w:r>
      <w:r>
        <w:rPr>
          <w:rFonts w:hint="eastAsia" w:cs="宋体"/>
          <w:bCs/>
          <w:color w:val="auto"/>
          <w:szCs w:val="21"/>
          <w:highlight w:val="none"/>
          <w:shd w:val="clear" w:color="auto" w:fill="auto"/>
          <w:lang w:val="en-US" w:eastAsia="zh-CN"/>
        </w:rPr>
        <w:t>应</w:t>
      </w:r>
      <w:r>
        <w:rPr>
          <w:rFonts w:hint="eastAsia" w:cs="宋体"/>
          <w:bCs/>
          <w:color w:val="auto"/>
          <w:szCs w:val="21"/>
          <w:highlight w:val="none"/>
          <w:shd w:val="clear" w:color="auto" w:fill="auto"/>
        </w:rPr>
        <w:t>派代表到现场查勘定</w:t>
      </w:r>
    </w:p>
    <w:p w14:paraId="60594458">
      <w:pPr>
        <w:numPr>
          <w:ilvl w:val="0"/>
          <w:numId w:val="0"/>
        </w:num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损，在与被保险人共同进行初步查验后，填写保险人代表现场查勘报告表，提出下一步处理意见，并一次性提出被保险人应提交的《索赔材料一览表》。</w:t>
      </w:r>
    </w:p>
    <w:p w14:paraId="3B80013F">
      <w:pPr>
        <w:numPr>
          <w:ilvl w:val="0"/>
          <w:numId w:val="0"/>
        </w:numPr>
        <w:spacing w:line="400" w:lineRule="exact"/>
        <w:ind w:left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3.</w:t>
      </w:r>
      <w:r>
        <w:rPr>
          <w:rFonts w:hint="eastAsia" w:cs="宋体"/>
          <w:bCs/>
          <w:color w:val="auto"/>
          <w:szCs w:val="21"/>
          <w:highlight w:val="none"/>
          <w:shd w:val="clear" w:color="auto" w:fill="auto"/>
        </w:rPr>
        <w:t>在保险事故发生后，</w:t>
      </w:r>
      <w:r>
        <w:rPr>
          <w:rFonts w:hint="eastAsia" w:cs="宋体"/>
          <w:bCs/>
          <w:color w:val="auto"/>
          <w:szCs w:val="21"/>
          <w:highlight w:val="none"/>
          <w:shd w:val="clear" w:color="auto" w:fill="auto"/>
          <w:lang w:val="en-US" w:eastAsia="zh-CN"/>
        </w:rPr>
        <w:t>接到报案的</w:t>
      </w:r>
      <w:r>
        <w:rPr>
          <w:rFonts w:hint="eastAsia" w:cs="宋体"/>
          <w:bCs/>
          <w:color w:val="auto"/>
          <w:szCs w:val="21"/>
          <w:highlight w:val="none"/>
          <w:shd w:val="clear" w:color="auto" w:fill="auto"/>
        </w:rPr>
        <w:t>保险人代表 4 小时后未能赶到现场，为满足工程</w:t>
      </w:r>
      <w:r>
        <w:rPr>
          <w:rFonts w:hint="eastAsia" w:cs="宋体"/>
          <w:bCs/>
          <w:color w:val="auto"/>
          <w:szCs w:val="21"/>
          <w:highlight w:val="none"/>
          <w:shd w:val="clear" w:color="auto" w:fill="auto"/>
          <w:lang w:val="en-US" w:eastAsia="zh-CN"/>
        </w:rPr>
        <w:t xml:space="preserve"> </w:t>
      </w:r>
    </w:p>
    <w:p w14:paraId="06B24043">
      <w:pPr>
        <w:numPr>
          <w:ilvl w:val="0"/>
          <w:numId w:val="0"/>
        </w:numPr>
        <w:spacing w:line="400" w:lineRule="exact"/>
        <w:ind w:left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需要，事故现场在详尽拍照后可不予保留。被保险人为了施救或减少损失，在保险人未到现场前或未拍照前破坏了现场，由此引起后果不能作为保险人拒赔的理由。</w:t>
      </w:r>
      <w:r>
        <w:rPr>
          <w:rFonts w:hint="eastAsia" w:cs="宋体"/>
          <w:bCs/>
          <w:color w:val="auto"/>
          <w:szCs w:val="21"/>
          <w:highlight w:val="none"/>
          <w:shd w:val="clear" w:color="auto" w:fill="auto"/>
          <w:lang w:val="en-US" w:eastAsia="zh-CN"/>
        </w:rPr>
        <w:t>若被保险人向两个以上的保险人报案，保险人可协商确定委派代表。</w:t>
      </w:r>
    </w:p>
    <w:p w14:paraId="47F47096">
      <w:pPr>
        <w:pStyle w:val="5"/>
        <w:spacing w:before="156" w:after="156"/>
        <w:rPr>
          <w:rFonts w:hint="eastAsia"/>
          <w:color w:val="auto"/>
          <w:highlight w:val="none"/>
        </w:rPr>
      </w:pPr>
      <w:r>
        <w:rPr>
          <w:rFonts w:hint="eastAsia"/>
          <w:color w:val="auto"/>
          <w:highlight w:val="none"/>
        </w:rPr>
        <w:t>（二）取证鉴定和定损</w:t>
      </w:r>
    </w:p>
    <w:p w14:paraId="52210412">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1.被保险人应根据保险人的合理要求准备各项索赔单证。</w:t>
      </w:r>
    </w:p>
    <w:p w14:paraId="6174740D">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2.对于保险事故是否属于保险责任范围较难确定或各方对保险责任有严重分歧时，被保险人和保险人双方可共同聘请一家评估机构进行鉴定。鉴定费用由保险人承担，鉴定结果对各方均具有约束力；对于损失计算各方存有严重分歧时，可以聘请一家被保险人和保险人都认可的审计机构进行鉴定。鉴定费用由保险人承担，鉴定结果对各方具有约束力。</w:t>
      </w:r>
    </w:p>
    <w:p w14:paraId="5808F11F">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3.保险设备发生全损，原则上向原供应商采购，受损金额按原供应商最终报价确定；保险设备发生部分损失需要修复，该设备原则上应送原供应厂家修理，修复后应恢复到该设备的原有性能状态（进口设备如果外商同意在国内修复，则可以在国内找厂家修理），受损金额按修理厂家最终报价确定。</w:t>
      </w:r>
    </w:p>
    <w:p w14:paraId="29D0B444">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4.保险设备发生部分损失,需要修理或进行更换,应根据被保险设备原有的标准进行修理和更换。</w:t>
      </w:r>
    </w:p>
    <w:p w14:paraId="3F36FB87">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5.保险事故发生后，如有涉及第三者责任的，被保险人有义务尽其最大努力配合保险人行使对第三者代位请求赔偿的权利。</w:t>
      </w:r>
    </w:p>
    <w:p w14:paraId="022EC9A9">
      <w:pPr>
        <w:pStyle w:val="5"/>
        <w:spacing w:before="156" w:after="156"/>
        <w:rPr>
          <w:rFonts w:hint="eastAsia"/>
          <w:color w:val="auto"/>
          <w:highlight w:val="none"/>
        </w:rPr>
      </w:pPr>
      <w:r>
        <w:rPr>
          <w:rFonts w:hint="eastAsia"/>
          <w:color w:val="auto"/>
          <w:highlight w:val="none"/>
        </w:rPr>
        <w:t>（三）索赔程序</w:t>
      </w:r>
    </w:p>
    <w:p w14:paraId="0AAF23C0">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1.若发生重大保险事故后，保险经纪人在接到被保险人电话或书面的通知后于 4 小时内响应并在 24 小时内协同保险人到现场查勘、定损；小赔案电话跟踪指导服务。</w:t>
      </w:r>
    </w:p>
    <w:p w14:paraId="02B42D47">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2.保险经纪人有义务就有关损失索赔处理提出建议和要求，并与保险人或损失理算人协调，以维护被保险人的最大合法权益。</w:t>
      </w:r>
    </w:p>
    <w:p w14:paraId="7A5FE693">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3.经纪人指导被保险人准备索赔文件，被保险人索赔资料齐全后，交保险经纪人帮助索赔。</w:t>
      </w:r>
    </w:p>
    <w:p w14:paraId="111FC55A">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4.保险经纪人负责跟踪保险人理赔进程，在保险人承诺理赔手续齐全后规定的工作日内支付。</w:t>
      </w:r>
    </w:p>
    <w:p w14:paraId="75DC5395">
      <w:pPr>
        <w:pStyle w:val="5"/>
        <w:spacing w:before="156" w:after="156"/>
        <w:rPr>
          <w:rFonts w:hint="eastAsia"/>
          <w:color w:val="auto"/>
          <w:highlight w:val="none"/>
        </w:rPr>
      </w:pPr>
      <w:r>
        <w:rPr>
          <w:rFonts w:hint="eastAsia"/>
          <w:color w:val="auto"/>
          <w:highlight w:val="none"/>
        </w:rPr>
        <w:t xml:space="preserve">（四）索赔资料 </w:t>
      </w:r>
    </w:p>
    <w:p w14:paraId="50658263">
      <w:pPr>
        <w:spacing w:line="540" w:lineRule="exact"/>
        <w:ind w:left="646" w:leftChars="208" w:hanging="209" w:hangingChars="99"/>
        <w:rPr>
          <w:rFonts w:ascii="宋体" w:hAnsi="宋体" w:eastAsia="宋体" w:cs="Times New Roman"/>
          <w:bCs/>
          <w:color w:val="auto"/>
          <w:szCs w:val="21"/>
          <w:highlight w:val="none"/>
        </w:rPr>
      </w:pPr>
      <w:r>
        <w:rPr>
          <w:rFonts w:ascii="宋体" w:hAnsi="宋体" w:eastAsia="宋体" w:cs="Times New Roman"/>
          <w:b/>
          <w:color w:val="auto"/>
          <w:szCs w:val="21"/>
          <w:highlight w:val="none"/>
        </w:rPr>
        <w:t>（1）建筑工程一切险及第三者责任险索赔资料：</w:t>
      </w:r>
    </w:p>
    <w:p w14:paraId="494DA7FE">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保险事故发生后，被保险人应向首席保险人提供下列等相关单证，办理索赔手续：</w:t>
      </w:r>
    </w:p>
    <w:p w14:paraId="1C5D8242">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A、本保险合同复印件；</w:t>
      </w:r>
    </w:p>
    <w:p w14:paraId="35AC001E">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B、出险通知书；</w:t>
      </w:r>
    </w:p>
    <w:p w14:paraId="6008B2C9">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C、事故报告（包括时间、地点、损失原因、损失清单与损失费用等）；</w:t>
      </w:r>
    </w:p>
    <w:p w14:paraId="35A999E5">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D、修复方案和修理费用预算；</w:t>
      </w:r>
    </w:p>
    <w:p w14:paraId="606E9BC5">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E、事故的调查报告或相关证明材料复印件；</w:t>
      </w:r>
    </w:p>
    <w:p w14:paraId="23DA597D">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F、相关的财务报表、帐册和物资清单复印件；</w:t>
      </w:r>
    </w:p>
    <w:p w14:paraId="18D3C35A">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G、发票（原始发票或修理发票）复印件；</w:t>
      </w:r>
    </w:p>
    <w:p w14:paraId="2DE62EDC">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H、相片（如保险人已拍摄，可由保险人提供）；</w:t>
      </w:r>
    </w:p>
    <w:p w14:paraId="426AEC46">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I、根据案情需要被保险人提供的其它索赔单证和支持资料。</w:t>
      </w:r>
    </w:p>
    <w:p w14:paraId="72BA591F">
      <w:pPr>
        <w:spacing w:line="540" w:lineRule="exact"/>
        <w:ind w:left="17" w:leftChars="8" w:firstLine="546" w:firstLineChars="259"/>
        <w:rPr>
          <w:rFonts w:ascii="宋体" w:hAnsi="宋体" w:eastAsia="宋体" w:cs="Times New Roman"/>
          <w:b/>
          <w:color w:val="auto"/>
          <w:szCs w:val="21"/>
          <w:highlight w:val="none"/>
        </w:rPr>
      </w:pPr>
      <w:r>
        <w:rPr>
          <w:rFonts w:ascii="宋体" w:hAnsi="宋体" w:eastAsia="宋体" w:cs="Times New Roman"/>
          <w:b/>
          <w:color w:val="auto"/>
          <w:szCs w:val="21"/>
          <w:highlight w:val="none"/>
        </w:rPr>
        <w:t>（2）安全生产责任险索赔资料：</w:t>
      </w:r>
    </w:p>
    <w:p w14:paraId="1F41A641">
      <w:pPr>
        <w:spacing w:line="540" w:lineRule="exact"/>
        <w:ind w:left="17" w:leftChars="8" w:firstLine="543" w:firstLineChars="259"/>
        <w:rPr>
          <w:rFonts w:ascii="宋体" w:hAnsi="宋体" w:eastAsia="宋体" w:cs="Times New Roman"/>
          <w:bCs/>
          <w:color w:val="auto"/>
          <w:szCs w:val="21"/>
          <w:highlight w:val="none"/>
        </w:rPr>
      </w:pPr>
      <w:r>
        <w:rPr>
          <w:rFonts w:hint="eastAsia" w:ascii="宋体" w:hAnsi="宋体" w:eastAsia="宋体" w:cs="宋体"/>
          <w:bCs/>
          <w:color w:val="auto"/>
          <w:szCs w:val="21"/>
          <w:highlight w:val="none"/>
        </w:rPr>
        <w:t xml:space="preserve">① </w:t>
      </w:r>
      <w:r>
        <w:rPr>
          <w:rFonts w:ascii="宋体" w:hAnsi="宋体" w:eastAsia="宋体" w:cs="Times New Roman"/>
          <w:bCs/>
          <w:color w:val="auto"/>
          <w:szCs w:val="21"/>
          <w:highlight w:val="none"/>
        </w:rPr>
        <w:t>被保险人的从业人员身故的，凭下列证明和资料向乙方申请给付保险金：</w:t>
      </w:r>
    </w:p>
    <w:p w14:paraId="1742B931">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A、人事证明：</w:t>
      </w:r>
      <w:r>
        <w:rPr>
          <w:rFonts w:hint="eastAsia" w:ascii="宋体" w:hAnsi="宋体" w:eastAsia="宋体" w:cs="Times New Roman"/>
          <w:bCs/>
          <w:color w:val="auto"/>
          <w:szCs w:val="21"/>
          <w:highlight w:val="none"/>
        </w:rPr>
        <w:t>死</w:t>
      </w:r>
      <w:r>
        <w:rPr>
          <w:rFonts w:ascii="宋体" w:hAnsi="宋体" w:eastAsia="宋体" w:cs="Times New Roman"/>
          <w:bCs/>
          <w:color w:val="auto"/>
          <w:szCs w:val="21"/>
          <w:highlight w:val="none"/>
        </w:rPr>
        <w:t>者身份证正反面复印件劳动合同或能认定人事关系的其它相关资料；</w:t>
      </w:r>
    </w:p>
    <w:p w14:paraId="5A6EBC62">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B、事故证明：由项目部出具的意外伤害事故证明；若为施工区域外意外交通事故还需提供交通事故认定书（复印件加盖项目部章）</w:t>
      </w:r>
      <w:r>
        <w:rPr>
          <w:rFonts w:hint="eastAsia" w:ascii="宋体" w:hAnsi="宋体" w:eastAsia="宋体" w:cs="Times New Roman"/>
          <w:bCs/>
          <w:color w:val="auto"/>
          <w:szCs w:val="21"/>
          <w:highlight w:val="none"/>
        </w:rPr>
        <w:t>；</w:t>
      </w:r>
    </w:p>
    <w:p w14:paraId="797E4A24">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C、病史材料：门急诊病历、用药清单、住出院记录、CT检查报告、抢救记录等相关治疗资料；</w:t>
      </w:r>
    </w:p>
    <w:p w14:paraId="44D8A0DF">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D、死亡证明：国家卫生行政部门认定的医疗机构或公安部门或其他相关机构出具的从业人员的死亡证明（复印件加盖项目部章）；如从业人员因意外事故下落不明经人民法院受理宣告死亡的，须提供人民法院出具的宣告死亡证明文件（复印件加盖项目部章）；</w:t>
      </w:r>
    </w:p>
    <w:p w14:paraId="04F82655">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E、火化证明或户籍注销证明；</w:t>
      </w:r>
    </w:p>
    <w:p w14:paraId="10345713">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F、受益人相关资料：户口本、身份证明、权益转让书等；</w:t>
      </w:r>
    </w:p>
    <w:p w14:paraId="1E252069">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G、赔款支付：若赔款支付到被保险人项目部账号，或经被保险人项目部授权支付到协作单位账号的，需提供权益转让书及授权委托书等资料。</w:t>
      </w:r>
    </w:p>
    <w:p w14:paraId="27313F52">
      <w:pPr>
        <w:spacing w:line="540" w:lineRule="exact"/>
        <w:ind w:left="17" w:leftChars="8" w:firstLine="543" w:firstLineChars="259"/>
        <w:rPr>
          <w:rFonts w:ascii="宋体" w:hAnsi="宋体" w:eastAsia="宋体" w:cs="Times New Roman"/>
          <w:bCs/>
          <w:color w:val="auto"/>
          <w:szCs w:val="21"/>
          <w:highlight w:val="none"/>
        </w:rPr>
      </w:pPr>
      <w:r>
        <w:rPr>
          <w:rFonts w:hint="eastAsia" w:ascii="宋体" w:hAnsi="宋体" w:eastAsia="宋体" w:cs="宋体"/>
          <w:bCs/>
          <w:color w:val="auto"/>
          <w:szCs w:val="21"/>
          <w:highlight w:val="none"/>
        </w:rPr>
        <w:t xml:space="preserve">② </w:t>
      </w:r>
      <w:r>
        <w:rPr>
          <w:rFonts w:ascii="宋体" w:hAnsi="宋体" w:eastAsia="宋体" w:cs="Times New Roman"/>
          <w:bCs/>
          <w:color w:val="auto"/>
          <w:szCs w:val="21"/>
          <w:highlight w:val="none"/>
        </w:rPr>
        <w:t>被保险人的从业人员残疾的，凭下列证明和资料向乙方申请给付保险金：</w:t>
      </w:r>
    </w:p>
    <w:p w14:paraId="439035D5">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A、人事证明：</w:t>
      </w:r>
      <w:r>
        <w:rPr>
          <w:rFonts w:hint="eastAsia" w:ascii="宋体" w:hAnsi="宋体" w:eastAsia="宋体" w:cs="Times New Roman"/>
          <w:bCs/>
          <w:color w:val="auto"/>
          <w:szCs w:val="21"/>
          <w:highlight w:val="none"/>
        </w:rPr>
        <w:t>伤</w:t>
      </w:r>
      <w:r>
        <w:rPr>
          <w:rFonts w:ascii="宋体" w:hAnsi="宋体" w:eastAsia="宋体" w:cs="Times New Roman"/>
          <w:bCs/>
          <w:color w:val="auto"/>
          <w:szCs w:val="21"/>
          <w:highlight w:val="none"/>
        </w:rPr>
        <w:t>者身份证正反面复印件劳动合同或能认定人事关系的其它相关资料；</w:t>
      </w:r>
    </w:p>
    <w:p w14:paraId="43C53973">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B、事故证明：由项目部出具的意外伤害事故证明；若为施工区域外意外交通事故还需提供交通事故认定书（复印件加盖项目部章）</w:t>
      </w:r>
      <w:r>
        <w:rPr>
          <w:rFonts w:hint="eastAsia" w:ascii="宋体" w:hAnsi="宋体" w:eastAsia="宋体" w:cs="Times New Roman"/>
          <w:bCs/>
          <w:color w:val="auto"/>
          <w:szCs w:val="21"/>
          <w:highlight w:val="none"/>
        </w:rPr>
        <w:t>；</w:t>
      </w:r>
    </w:p>
    <w:p w14:paraId="4F3E037E">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C、病史材料：门急诊病历、用药清单、住出院记录、CT检查报告、抢救记录等相关治疗资料；</w:t>
      </w:r>
    </w:p>
    <w:p w14:paraId="29545A9E">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D、伤残鉴定报告：由二级以上</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含</w:t>
      </w:r>
      <w:r>
        <w:rPr>
          <w:rFonts w:hint="eastAsia" w:ascii="宋体" w:hAnsi="宋体" w:eastAsia="宋体" w:cs="Times New Roman"/>
          <w:bCs/>
          <w:color w:val="auto"/>
          <w:szCs w:val="21"/>
          <w:highlight w:val="none"/>
        </w:rPr>
        <w:t>）</w:t>
      </w:r>
      <w:r>
        <w:rPr>
          <w:rFonts w:ascii="宋体" w:hAnsi="宋体" w:eastAsia="宋体" w:cs="Times New Roman"/>
          <w:bCs/>
          <w:color w:val="auto"/>
          <w:szCs w:val="21"/>
          <w:highlight w:val="none"/>
        </w:rPr>
        <w:t>医疗机构或司法鉴定机构出具的被保险人从业人员的残疾程度鉴定书；</w:t>
      </w:r>
    </w:p>
    <w:p w14:paraId="38827DBE">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E、受益人相关资料：户口本、身份证明、权益转让书等；</w:t>
      </w:r>
    </w:p>
    <w:p w14:paraId="0D9B9FFA">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F、赔款支付：若赔款支付到被保险人项目部账号，或经被保险人项目部授权支付到</w:t>
      </w:r>
    </w:p>
    <w:p w14:paraId="5C62B776">
      <w:pPr>
        <w:spacing w:line="540" w:lineRule="exact"/>
        <w:rPr>
          <w:rFonts w:ascii="宋体" w:hAnsi="宋体" w:eastAsia="宋体" w:cs="Times New Roman"/>
          <w:bCs/>
          <w:color w:val="auto"/>
          <w:szCs w:val="21"/>
          <w:highlight w:val="none"/>
        </w:rPr>
      </w:pPr>
      <w:r>
        <w:rPr>
          <w:rFonts w:ascii="宋体" w:hAnsi="宋体" w:eastAsia="宋体" w:cs="Times New Roman"/>
          <w:bCs/>
          <w:color w:val="auto"/>
          <w:szCs w:val="21"/>
          <w:highlight w:val="none"/>
        </w:rPr>
        <w:t>协作单位账号的，需提供权益转让书及授权委托书等资料。</w:t>
      </w:r>
    </w:p>
    <w:p w14:paraId="29173CF8">
      <w:pPr>
        <w:spacing w:line="540" w:lineRule="exact"/>
        <w:ind w:left="731" w:leftChars="306" w:hanging="88" w:hangingChars="42"/>
        <w:rPr>
          <w:rFonts w:ascii="宋体" w:hAnsi="宋体" w:eastAsia="宋体" w:cs="Times New Roman"/>
          <w:bCs/>
          <w:color w:val="auto"/>
          <w:szCs w:val="21"/>
          <w:highlight w:val="none"/>
        </w:rPr>
      </w:pPr>
      <w:r>
        <w:rPr>
          <w:rFonts w:hint="eastAsia" w:ascii="宋体" w:hAnsi="宋体" w:eastAsia="宋体" w:cs="宋体"/>
          <w:bCs/>
          <w:color w:val="auto"/>
          <w:szCs w:val="21"/>
          <w:highlight w:val="none"/>
        </w:rPr>
        <w:t xml:space="preserve">③ </w:t>
      </w:r>
      <w:r>
        <w:rPr>
          <w:rFonts w:ascii="宋体" w:hAnsi="宋体" w:eastAsia="宋体" w:cs="Times New Roman"/>
          <w:bCs/>
          <w:color w:val="auto"/>
          <w:szCs w:val="21"/>
          <w:highlight w:val="none"/>
        </w:rPr>
        <w:t>被保险人的从业人员因意外事故受伤产生的医疗费用，凭下列证明和资料向乙方</w:t>
      </w:r>
    </w:p>
    <w:p w14:paraId="0FA8D49B">
      <w:pPr>
        <w:spacing w:line="540" w:lineRule="exact"/>
        <w:rPr>
          <w:rFonts w:ascii="宋体" w:hAnsi="宋体" w:eastAsia="宋体" w:cs="Times New Roman"/>
          <w:bCs/>
          <w:color w:val="auto"/>
          <w:szCs w:val="21"/>
          <w:highlight w:val="none"/>
        </w:rPr>
      </w:pPr>
      <w:r>
        <w:rPr>
          <w:rFonts w:ascii="宋体" w:hAnsi="宋体" w:eastAsia="宋体" w:cs="Times New Roman"/>
          <w:bCs/>
          <w:color w:val="auto"/>
          <w:szCs w:val="21"/>
          <w:highlight w:val="none"/>
        </w:rPr>
        <w:t>申请给付保险金：</w:t>
      </w:r>
    </w:p>
    <w:p w14:paraId="683F738C">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A、人事证明：</w:t>
      </w:r>
      <w:r>
        <w:rPr>
          <w:rFonts w:hint="eastAsia" w:ascii="宋体" w:hAnsi="宋体" w:eastAsia="宋体" w:cs="Times New Roman"/>
          <w:bCs/>
          <w:color w:val="auto"/>
          <w:szCs w:val="21"/>
          <w:highlight w:val="none"/>
        </w:rPr>
        <w:t>伤</w:t>
      </w:r>
      <w:r>
        <w:rPr>
          <w:rFonts w:ascii="宋体" w:hAnsi="宋体" w:eastAsia="宋体" w:cs="Times New Roman"/>
          <w:bCs/>
          <w:color w:val="auto"/>
          <w:szCs w:val="21"/>
          <w:highlight w:val="none"/>
        </w:rPr>
        <w:t>者身份证正反面复印件劳动合同或能认定人事关系的其它相关资料；</w:t>
      </w:r>
    </w:p>
    <w:p w14:paraId="26F6B6AF">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B、事故证明：由项目部出具的意外伤害事故证明；若为施工区域外意外交通事故还</w:t>
      </w:r>
    </w:p>
    <w:p w14:paraId="4581CA15">
      <w:pPr>
        <w:spacing w:line="540" w:lineRule="exact"/>
        <w:rPr>
          <w:rFonts w:ascii="宋体" w:hAnsi="宋体" w:eastAsia="宋体" w:cs="Times New Roman"/>
          <w:bCs/>
          <w:color w:val="auto"/>
          <w:szCs w:val="21"/>
          <w:highlight w:val="none"/>
        </w:rPr>
      </w:pPr>
      <w:r>
        <w:rPr>
          <w:rFonts w:ascii="宋体" w:hAnsi="宋体" w:eastAsia="宋体" w:cs="Times New Roman"/>
          <w:bCs/>
          <w:color w:val="auto"/>
          <w:szCs w:val="21"/>
          <w:highlight w:val="none"/>
        </w:rPr>
        <w:t>需提供交通事故认定书（复印件加盖项目部章）</w:t>
      </w:r>
      <w:r>
        <w:rPr>
          <w:rFonts w:hint="eastAsia" w:ascii="宋体" w:hAnsi="宋体" w:eastAsia="宋体" w:cs="Times New Roman"/>
          <w:bCs/>
          <w:color w:val="auto"/>
          <w:szCs w:val="21"/>
          <w:highlight w:val="none"/>
        </w:rPr>
        <w:t>；</w:t>
      </w:r>
    </w:p>
    <w:p w14:paraId="3E971C99">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C、病史材料：门急诊病历、用药清单、住出院记录、CT检查报告、抢救记录等相关治疗资料；</w:t>
      </w:r>
    </w:p>
    <w:p w14:paraId="6848D9EA">
      <w:pPr>
        <w:spacing w:line="540" w:lineRule="exact"/>
        <w:ind w:left="17" w:leftChars="8" w:firstLine="543" w:firstLineChars="259"/>
        <w:rPr>
          <w:rFonts w:ascii="宋体" w:hAnsi="宋体" w:eastAsia="宋体" w:cs="Times New Roman"/>
          <w:bCs/>
          <w:color w:val="auto"/>
          <w:szCs w:val="21"/>
          <w:highlight w:val="none"/>
        </w:rPr>
      </w:pPr>
      <w:r>
        <w:rPr>
          <w:rFonts w:ascii="宋体" w:hAnsi="宋体" w:eastAsia="宋体" w:cs="Times New Roman"/>
          <w:bCs/>
          <w:color w:val="auto"/>
          <w:szCs w:val="21"/>
          <w:highlight w:val="none"/>
        </w:rPr>
        <w:t>D、受益人相关资料：户口本、身份证明、权益转让书等；</w:t>
      </w:r>
    </w:p>
    <w:p w14:paraId="7D81B1E8">
      <w:pPr>
        <w:spacing w:line="540" w:lineRule="exact"/>
        <w:ind w:left="731" w:leftChars="306" w:hanging="88" w:hangingChars="42"/>
        <w:rPr>
          <w:rFonts w:ascii="宋体" w:hAnsi="宋体" w:eastAsia="宋体" w:cs="Times New Roman"/>
          <w:bCs/>
          <w:color w:val="auto"/>
          <w:szCs w:val="21"/>
          <w:highlight w:val="none"/>
        </w:rPr>
      </w:pPr>
      <w:r>
        <w:rPr>
          <w:rFonts w:ascii="宋体" w:hAnsi="宋体" w:eastAsia="宋体" w:cs="Times New Roman"/>
          <w:bCs/>
          <w:color w:val="auto"/>
          <w:szCs w:val="21"/>
          <w:highlight w:val="none"/>
        </w:rPr>
        <w:t>E、赔款支付：若赔款支付到被保险人项目部账号，或经被保险人项目部授权支付到</w:t>
      </w:r>
    </w:p>
    <w:p w14:paraId="37A067A1">
      <w:pPr>
        <w:spacing w:line="540" w:lineRule="exact"/>
        <w:rPr>
          <w:rFonts w:ascii="宋体" w:hAnsi="宋体" w:eastAsia="宋体" w:cs="Times New Roman"/>
          <w:bCs/>
          <w:color w:val="auto"/>
          <w:szCs w:val="21"/>
          <w:highlight w:val="none"/>
        </w:rPr>
      </w:pPr>
      <w:r>
        <w:rPr>
          <w:rFonts w:ascii="宋体" w:hAnsi="宋体" w:eastAsia="宋体" w:cs="Times New Roman"/>
          <w:bCs/>
          <w:color w:val="auto"/>
          <w:szCs w:val="21"/>
          <w:highlight w:val="none"/>
        </w:rPr>
        <w:t>协作单位账号的，需提供权益转让书及授权委托书等资料。</w:t>
      </w:r>
    </w:p>
    <w:p w14:paraId="475B3AFC">
      <w:pPr>
        <w:pStyle w:val="5"/>
        <w:spacing w:before="156" w:after="156"/>
        <w:rPr>
          <w:rFonts w:hint="eastAsia"/>
          <w:color w:val="auto"/>
          <w:highlight w:val="none"/>
        </w:rPr>
      </w:pPr>
      <w:r>
        <w:rPr>
          <w:rFonts w:hint="eastAsia"/>
          <w:color w:val="auto"/>
          <w:highlight w:val="none"/>
        </w:rPr>
        <w:t>（五）预付赔款处理</w:t>
      </w:r>
    </w:p>
    <w:p w14:paraId="6DF28614">
      <w:pPr>
        <w:spacing w:line="400" w:lineRule="exact"/>
        <w:ind w:firstLine="420" w:firstLineChars="200"/>
        <w:rPr>
          <w:rFonts w:hint="eastAsia" w:cs="宋体"/>
          <w:bCs/>
          <w:color w:val="auto"/>
          <w:szCs w:val="21"/>
          <w:highlight w:val="none"/>
          <w:lang w:val="en-US" w:eastAsia="zh-CN"/>
        </w:rPr>
      </w:pPr>
      <w:r>
        <w:rPr>
          <w:rFonts w:hint="eastAsia" w:cs="宋体"/>
          <w:bCs/>
          <w:color w:val="auto"/>
          <w:szCs w:val="21"/>
          <w:highlight w:val="none"/>
          <w:shd w:val="clear" w:color="auto" w:fill="auto"/>
        </w:rPr>
        <w:t>对属于保险责任内的估损金额超过RMB20万元的赔款，</w:t>
      </w:r>
      <w:r>
        <w:rPr>
          <w:rFonts w:hint="eastAsia" w:cs="宋体"/>
          <w:bCs/>
          <w:color w:val="auto"/>
          <w:szCs w:val="21"/>
          <w:highlight w:val="none"/>
        </w:rPr>
        <w:t>被保险人若要求保险人预付赔</w:t>
      </w:r>
      <w:r>
        <w:rPr>
          <w:rFonts w:hint="eastAsia" w:cs="宋体"/>
          <w:bCs/>
          <w:color w:val="auto"/>
          <w:szCs w:val="21"/>
          <w:highlight w:val="none"/>
          <w:lang w:val="en-US" w:eastAsia="zh-CN"/>
        </w:rPr>
        <w:t xml:space="preserve">  </w:t>
      </w:r>
    </w:p>
    <w:p w14:paraId="05420CF5">
      <w:pPr>
        <w:spacing w:line="400" w:lineRule="exact"/>
        <w:ind w:firstLine="420" w:firstLineChars="200"/>
        <w:rPr>
          <w:rFonts w:hint="eastAsia" w:cs="宋体"/>
          <w:bCs/>
          <w:color w:val="auto"/>
          <w:szCs w:val="21"/>
          <w:highlight w:val="none"/>
        </w:rPr>
      </w:pPr>
      <w:r>
        <w:rPr>
          <w:rFonts w:hint="eastAsia" w:cs="宋体"/>
          <w:bCs/>
          <w:color w:val="auto"/>
          <w:szCs w:val="21"/>
          <w:highlight w:val="none"/>
        </w:rPr>
        <w:t>款，保险人应在以下规定时间内按初步估损金额的50%先行支付预付赔款：估损金额</w:t>
      </w:r>
    </w:p>
    <w:p w14:paraId="3206433A">
      <w:pPr>
        <w:spacing w:line="400" w:lineRule="exact"/>
        <w:ind w:firstLine="420" w:firstLineChars="200"/>
        <w:rPr>
          <w:rFonts w:hint="eastAsia" w:cs="宋体"/>
          <w:bCs/>
          <w:color w:val="auto"/>
          <w:szCs w:val="21"/>
          <w:highlight w:val="none"/>
        </w:rPr>
      </w:pPr>
      <w:r>
        <w:rPr>
          <w:rFonts w:hint="eastAsia" w:cs="宋体"/>
          <w:bCs/>
          <w:color w:val="auto"/>
          <w:szCs w:val="21"/>
          <w:highlight w:val="none"/>
        </w:rPr>
        <w:t>RMB100万以内的，5个工作日内按初步估损金额的50%先行支付预付赔款；估损金额超过RMB100万(含100万）的，10个工作日内按初步估损金额的50%先行支付预付赔款。</w:t>
      </w:r>
    </w:p>
    <w:p w14:paraId="3F6D6F85">
      <w:pPr>
        <w:pStyle w:val="5"/>
        <w:spacing w:before="156" w:after="156"/>
        <w:rPr>
          <w:rFonts w:hint="eastAsia"/>
          <w:color w:val="auto"/>
          <w:highlight w:val="none"/>
        </w:rPr>
      </w:pPr>
      <w:r>
        <w:rPr>
          <w:rFonts w:hint="eastAsia"/>
          <w:color w:val="auto"/>
          <w:highlight w:val="none"/>
        </w:rPr>
        <w:t>（六）理赔期限</w:t>
      </w:r>
    </w:p>
    <w:p w14:paraId="750C17F3">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1.保险人在接到被保险人的索赔单证后，应出具索赔单证签收单，并且必须在二个工作</w:t>
      </w:r>
    </w:p>
    <w:p w14:paraId="6C076D4A">
      <w:pPr>
        <w:spacing w:line="400" w:lineRule="exact"/>
        <w:ind w:firstLine="420" w:firstLineChars="200"/>
        <w:rPr>
          <w:rFonts w:hint="eastAsia" w:cs="宋体"/>
          <w:bCs/>
          <w:color w:val="auto"/>
          <w:szCs w:val="21"/>
          <w:highlight w:val="none"/>
        </w:rPr>
      </w:pPr>
      <w:r>
        <w:rPr>
          <w:rFonts w:hint="eastAsia" w:cs="宋体"/>
          <w:bCs/>
          <w:color w:val="auto"/>
          <w:szCs w:val="21"/>
          <w:highlight w:val="none"/>
        </w:rPr>
        <w:t>日内根据案情和已提供相关单证一次性提出索赔单证是否齐全。如果在二个工作日内保</w:t>
      </w:r>
    </w:p>
    <w:p w14:paraId="6B9630DD">
      <w:pPr>
        <w:spacing w:line="400" w:lineRule="exact"/>
        <w:ind w:firstLine="420" w:firstLineChars="200"/>
        <w:rPr>
          <w:rFonts w:hint="eastAsia" w:cs="宋体"/>
          <w:bCs/>
          <w:color w:val="auto"/>
          <w:szCs w:val="21"/>
          <w:highlight w:val="none"/>
        </w:rPr>
      </w:pPr>
      <w:r>
        <w:rPr>
          <w:rFonts w:hint="eastAsia" w:cs="宋体"/>
          <w:bCs/>
          <w:color w:val="auto"/>
          <w:szCs w:val="21"/>
          <w:highlight w:val="none"/>
        </w:rPr>
        <w:t>险人未提出异议，视同默认在以后的理赔处理中，保险人不得以索赔单证不齐全为由提</w:t>
      </w:r>
    </w:p>
    <w:p w14:paraId="07730EFB">
      <w:pPr>
        <w:spacing w:line="400" w:lineRule="exact"/>
        <w:ind w:firstLine="420" w:firstLineChars="200"/>
        <w:rPr>
          <w:rFonts w:hint="eastAsia" w:cs="宋体"/>
          <w:bCs/>
          <w:color w:val="auto"/>
          <w:szCs w:val="21"/>
          <w:highlight w:val="none"/>
        </w:rPr>
      </w:pPr>
      <w:r>
        <w:rPr>
          <w:rFonts w:hint="eastAsia" w:cs="宋体"/>
          <w:bCs/>
          <w:color w:val="auto"/>
          <w:szCs w:val="21"/>
          <w:highlight w:val="none"/>
        </w:rPr>
        <w:t>出拒赔或要求延长理赔期限。</w:t>
      </w:r>
    </w:p>
    <w:p w14:paraId="62A377E5">
      <w:pPr>
        <w:numPr>
          <w:ilvl w:val="0"/>
          <w:numId w:val="0"/>
        </w:numPr>
        <w:spacing w:line="400" w:lineRule="exact"/>
        <w:ind w:firstLine="420" w:firstLineChars="200"/>
        <w:rPr>
          <w:rFonts w:hint="eastAsia" w:cs="宋体"/>
          <w:bCs/>
          <w:color w:val="auto"/>
          <w:szCs w:val="21"/>
          <w:highlight w:val="none"/>
        </w:rPr>
      </w:pPr>
      <w:r>
        <w:rPr>
          <w:rFonts w:hint="eastAsia" w:cs="宋体"/>
          <w:bCs/>
          <w:color w:val="auto"/>
          <w:szCs w:val="21"/>
          <w:highlight w:val="none"/>
          <w:lang w:val="en-US" w:eastAsia="zh-CN"/>
        </w:rPr>
        <w:t>2.</w:t>
      </w:r>
      <w:r>
        <w:rPr>
          <w:rFonts w:hint="eastAsia" w:cs="宋体"/>
          <w:bCs/>
          <w:color w:val="auto"/>
          <w:szCs w:val="21"/>
          <w:highlight w:val="none"/>
        </w:rPr>
        <w:t>当保险责任明确、损失金额明确，保险双方达成赔偿协议后，保险人承诺的结案赔</w:t>
      </w:r>
      <w:r>
        <w:rPr>
          <w:rFonts w:hint="eastAsia" w:cs="宋体"/>
          <w:bCs/>
          <w:color w:val="auto"/>
          <w:szCs w:val="21"/>
          <w:highlight w:val="none"/>
          <w:lang w:val="en-US" w:eastAsia="zh-CN"/>
        </w:rPr>
        <w:t xml:space="preserve"> </w:t>
      </w:r>
    </w:p>
    <w:p w14:paraId="321E4292">
      <w:pPr>
        <w:numPr>
          <w:ilvl w:val="0"/>
          <w:numId w:val="0"/>
        </w:numPr>
        <w:spacing w:line="400" w:lineRule="exact"/>
        <w:ind w:firstLine="420" w:firstLineChars="200"/>
        <w:rPr>
          <w:rFonts w:hint="eastAsia" w:cs="宋体"/>
          <w:bCs/>
          <w:color w:val="auto"/>
          <w:szCs w:val="21"/>
          <w:highlight w:val="none"/>
        </w:rPr>
      </w:pPr>
      <w:r>
        <w:rPr>
          <w:rFonts w:hint="eastAsia" w:cs="宋体"/>
          <w:bCs/>
          <w:color w:val="auto"/>
          <w:szCs w:val="21"/>
          <w:highlight w:val="none"/>
        </w:rPr>
        <w:t>付时限为：</w:t>
      </w:r>
    </w:p>
    <w:tbl>
      <w:tblPr>
        <w:tblStyle w:val="30"/>
        <w:tblpPr w:leftFromText="180" w:rightFromText="180" w:vertAnchor="text" w:horzAnchor="page" w:tblpX="2139" w:tblpY="294"/>
        <w:tblW w:w="0" w:type="auto"/>
        <w:tblInd w:w="0" w:type="dxa"/>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Layout w:type="fixed"/>
        <w:tblCellMar>
          <w:top w:w="0" w:type="dxa"/>
          <w:left w:w="108" w:type="dxa"/>
          <w:bottom w:w="0" w:type="dxa"/>
          <w:right w:w="108" w:type="dxa"/>
        </w:tblCellMar>
      </w:tblPr>
      <w:tblGrid>
        <w:gridCol w:w="4282"/>
        <w:gridCol w:w="4013"/>
      </w:tblGrid>
      <w:tr w14:paraId="32CEB426">
        <w:tblPrEx>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CellMar>
            <w:top w:w="0" w:type="dxa"/>
            <w:left w:w="108" w:type="dxa"/>
            <w:bottom w:w="0" w:type="dxa"/>
            <w:right w:w="108" w:type="dxa"/>
          </w:tblCellMar>
        </w:tblPrEx>
        <w:trPr>
          <w:trHeight w:val="330" w:hRule="atLeast"/>
        </w:trPr>
        <w:tc>
          <w:tcPr>
            <w:tcW w:w="4282" w:type="dxa"/>
            <w:noWrap w:val="0"/>
            <w:vAlign w:val="center"/>
          </w:tcPr>
          <w:p w14:paraId="419343FF">
            <w:pPr>
              <w:spacing w:line="400" w:lineRule="exact"/>
              <w:ind w:firstLine="420" w:firstLineChars="200"/>
              <w:rPr>
                <w:rFonts w:hint="eastAsia" w:cs="宋体"/>
                <w:bCs/>
                <w:color w:val="auto"/>
                <w:szCs w:val="21"/>
                <w:highlight w:val="none"/>
              </w:rPr>
            </w:pPr>
            <w:r>
              <w:rPr>
                <w:rFonts w:hint="eastAsia" w:cs="宋体"/>
                <w:bCs/>
                <w:color w:val="auto"/>
                <w:szCs w:val="21"/>
                <w:highlight w:val="none"/>
              </w:rPr>
              <w:t>赔款金额（人民币）</w:t>
            </w:r>
          </w:p>
        </w:tc>
        <w:tc>
          <w:tcPr>
            <w:tcW w:w="4013" w:type="dxa"/>
            <w:noWrap w:val="0"/>
            <w:vAlign w:val="center"/>
          </w:tcPr>
          <w:p w14:paraId="7AAF4419">
            <w:pPr>
              <w:spacing w:line="400" w:lineRule="exact"/>
              <w:ind w:firstLine="420" w:firstLineChars="200"/>
              <w:rPr>
                <w:rFonts w:hint="eastAsia" w:cs="宋体"/>
                <w:bCs/>
                <w:color w:val="auto"/>
                <w:szCs w:val="21"/>
                <w:highlight w:val="none"/>
              </w:rPr>
            </w:pPr>
            <w:r>
              <w:rPr>
                <w:rFonts w:hint="eastAsia" w:cs="宋体"/>
                <w:bCs/>
                <w:color w:val="auto"/>
                <w:szCs w:val="21"/>
                <w:highlight w:val="none"/>
              </w:rPr>
              <w:t>结案赔付时限</w:t>
            </w:r>
          </w:p>
        </w:tc>
      </w:tr>
      <w:tr w14:paraId="7D5222BC">
        <w:tblPrEx>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CellMar>
            <w:top w:w="0" w:type="dxa"/>
            <w:left w:w="108" w:type="dxa"/>
            <w:bottom w:w="0" w:type="dxa"/>
            <w:right w:w="108" w:type="dxa"/>
          </w:tblCellMar>
        </w:tblPrEx>
        <w:trPr>
          <w:trHeight w:val="381" w:hRule="atLeast"/>
        </w:trPr>
        <w:tc>
          <w:tcPr>
            <w:tcW w:w="4282" w:type="dxa"/>
            <w:noWrap w:val="0"/>
            <w:vAlign w:val="center"/>
          </w:tcPr>
          <w:p w14:paraId="2C485182">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10万元及以下</w:t>
            </w:r>
          </w:p>
        </w:tc>
        <w:tc>
          <w:tcPr>
            <w:tcW w:w="4013" w:type="dxa"/>
            <w:noWrap w:val="0"/>
            <w:vAlign w:val="center"/>
          </w:tcPr>
          <w:p w14:paraId="1A378AA1">
            <w:pPr>
              <w:spacing w:line="400" w:lineRule="exact"/>
              <w:ind w:firstLine="420" w:firstLineChars="200"/>
              <w:rPr>
                <w:rFonts w:hint="eastAsia" w:cs="宋体"/>
                <w:bCs/>
                <w:color w:val="auto"/>
                <w:szCs w:val="21"/>
                <w:highlight w:val="none"/>
              </w:rPr>
            </w:pPr>
            <w:r>
              <w:rPr>
                <w:rFonts w:hint="eastAsia" w:cs="宋体"/>
                <w:bCs/>
                <w:color w:val="auto"/>
                <w:szCs w:val="21"/>
                <w:highlight w:val="none"/>
              </w:rPr>
              <w:t>3个工作日</w:t>
            </w:r>
          </w:p>
        </w:tc>
      </w:tr>
      <w:tr w14:paraId="28B4BD44">
        <w:tblPrEx>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CellMar>
            <w:top w:w="0" w:type="dxa"/>
            <w:left w:w="108" w:type="dxa"/>
            <w:bottom w:w="0" w:type="dxa"/>
            <w:right w:w="108" w:type="dxa"/>
          </w:tblCellMar>
        </w:tblPrEx>
        <w:trPr>
          <w:trHeight w:val="381" w:hRule="atLeast"/>
        </w:trPr>
        <w:tc>
          <w:tcPr>
            <w:tcW w:w="4282" w:type="dxa"/>
            <w:noWrap w:val="0"/>
            <w:vAlign w:val="center"/>
          </w:tcPr>
          <w:p w14:paraId="43E8812B">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10万元以上至50万元（不含）以下</w:t>
            </w:r>
          </w:p>
        </w:tc>
        <w:tc>
          <w:tcPr>
            <w:tcW w:w="4013" w:type="dxa"/>
            <w:noWrap w:val="0"/>
            <w:vAlign w:val="center"/>
          </w:tcPr>
          <w:p w14:paraId="23047D29">
            <w:pPr>
              <w:spacing w:line="400" w:lineRule="exact"/>
              <w:ind w:firstLine="420" w:firstLineChars="200"/>
              <w:rPr>
                <w:rFonts w:hint="eastAsia" w:cs="宋体"/>
                <w:bCs/>
                <w:color w:val="auto"/>
                <w:szCs w:val="21"/>
                <w:highlight w:val="none"/>
              </w:rPr>
            </w:pPr>
            <w:r>
              <w:rPr>
                <w:rFonts w:hint="eastAsia" w:cs="宋体"/>
                <w:bCs/>
                <w:color w:val="auto"/>
                <w:szCs w:val="21"/>
                <w:highlight w:val="none"/>
              </w:rPr>
              <w:t>5个工作日</w:t>
            </w:r>
          </w:p>
        </w:tc>
      </w:tr>
      <w:tr w14:paraId="4CE43921">
        <w:tblPrEx>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CellMar>
            <w:top w:w="0" w:type="dxa"/>
            <w:left w:w="108" w:type="dxa"/>
            <w:bottom w:w="0" w:type="dxa"/>
            <w:right w:w="108" w:type="dxa"/>
          </w:tblCellMar>
        </w:tblPrEx>
        <w:trPr>
          <w:trHeight w:val="381" w:hRule="atLeast"/>
        </w:trPr>
        <w:tc>
          <w:tcPr>
            <w:tcW w:w="4282" w:type="dxa"/>
            <w:noWrap w:val="0"/>
            <w:vAlign w:val="center"/>
          </w:tcPr>
          <w:p w14:paraId="4ED4E478">
            <w:pPr>
              <w:spacing w:line="400" w:lineRule="exact"/>
              <w:ind w:firstLine="420" w:firstLineChars="200"/>
              <w:rPr>
                <w:rFonts w:hint="eastAsia" w:cs="宋体"/>
                <w:bCs/>
                <w:color w:val="auto"/>
                <w:szCs w:val="21"/>
                <w:highlight w:val="none"/>
              </w:rPr>
            </w:pPr>
            <w:r>
              <w:rPr>
                <w:rFonts w:hint="eastAsia" w:cs="宋体"/>
                <w:bCs/>
                <w:color w:val="auto"/>
                <w:szCs w:val="21"/>
                <w:highlight w:val="none"/>
              </w:rPr>
              <w:t>50万元以上至100万元（不含）以下</w:t>
            </w:r>
          </w:p>
        </w:tc>
        <w:tc>
          <w:tcPr>
            <w:tcW w:w="4013" w:type="dxa"/>
            <w:noWrap w:val="0"/>
            <w:vAlign w:val="center"/>
          </w:tcPr>
          <w:p w14:paraId="16212F4E">
            <w:pPr>
              <w:spacing w:line="400" w:lineRule="exact"/>
              <w:ind w:firstLine="420" w:firstLineChars="200"/>
              <w:rPr>
                <w:rFonts w:hint="eastAsia" w:cs="宋体"/>
                <w:bCs/>
                <w:color w:val="auto"/>
                <w:szCs w:val="21"/>
                <w:highlight w:val="none"/>
              </w:rPr>
            </w:pPr>
            <w:r>
              <w:rPr>
                <w:rFonts w:hint="eastAsia" w:cs="宋体"/>
                <w:bCs/>
                <w:color w:val="auto"/>
                <w:szCs w:val="21"/>
                <w:highlight w:val="none"/>
              </w:rPr>
              <w:t>7个工作日</w:t>
            </w:r>
          </w:p>
        </w:tc>
      </w:tr>
      <w:tr w14:paraId="521C8499">
        <w:tblPrEx>
          <w:tblBorders>
            <w:top w:val="thickThinSmallGap" w:color="C0C0C0" w:sz="24" w:space="0"/>
            <w:left w:val="thickThinSmallGap" w:color="C0C0C0" w:sz="24" w:space="0"/>
            <w:bottom w:val="thickThinSmallGap" w:color="C0C0C0" w:sz="24" w:space="0"/>
            <w:right w:val="thickThinSmallGap" w:color="C0C0C0" w:sz="24" w:space="0"/>
            <w:insideH w:val="thickThinSmallGap" w:color="C0C0C0" w:sz="24" w:space="0"/>
            <w:insideV w:val="thickThinSmallGap" w:color="C0C0C0" w:sz="24" w:space="0"/>
          </w:tblBorders>
          <w:tblCellMar>
            <w:top w:w="0" w:type="dxa"/>
            <w:left w:w="108" w:type="dxa"/>
            <w:bottom w:w="0" w:type="dxa"/>
            <w:right w:w="108" w:type="dxa"/>
          </w:tblCellMar>
        </w:tblPrEx>
        <w:trPr>
          <w:trHeight w:val="435" w:hRule="atLeast"/>
        </w:trPr>
        <w:tc>
          <w:tcPr>
            <w:tcW w:w="4282" w:type="dxa"/>
            <w:noWrap w:val="0"/>
            <w:vAlign w:val="center"/>
          </w:tcPr>
          <w:p w14:paraId="7C4C8E4C">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100万元及以上</w:t>
            </w:r>
          </w:p>
        </w:tc>
        <w:tc>
          <w:tcPr>
            <w:tcW w:w="4013" w:type="dxa"/>
            <w:noWrap w:val="0"/>
            <w:vAlign w:val="center"/>
          </w:tcPr>
          <w:p w14:paraId="61909960">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10个工作日</w:t>
            </w:r>
          </w:p>
        </w:tc>
      </w:tr>
    </w:tbl>
    <w:p w14:paraId="5BBBF9ED">
      <w:pPr>
        <w:spacing w:line="400" w:lineRule="exact"/>
        <w:ind w:firstLine="420" w:firstLineChars="200"/>
        <w:rPr>
          <w:rFonts w:hint="eastAsia" w:cs="宋体"/>
          <w:bCs/>
          <w:color w:val="auto"/>
          <w:szCs w:val="21"/>
          <w:highlight w:val="none"/>
        </w:rPr>
      </w:pPr>
      <w:r>
        <w:rPr>
          <w:rFonts w:hint="eastAsia" w:cs="宋体"/>
          <w:bCs/>
          <w:color w:val="auto"/>
          <w:szCs w:val="21"/>
          <w:highlight w:val="none"/>
        </w:rPr>
        <w:t>保险人支付保险赔款每逾期一天，应支付理赔金额万分之五的违约金。</w:t>
      </w:r>
    </w:p>
    <w:p w14:paraId="1EA6C82E">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3.本保险合同下发生赔案，损失金额由首席保险人代表共同保险人先行支付被保险人，各共同保险人应按各自的份额将赔款支付首席保险人。</w:t>
      </w:r>
    </w:p>
    <w:p w14:paraId="39DA60B8">
      <w:pPr>
        <w:pStyle w:val="4"/>
        <w:spacing w:before="156" w:after="156"/>
        <w:rPr>
          <w:rFonts w:hint="eastAsia"/>
          <w:color w:val="auto"/>
          <w:sz w:val="24"/>
          <w:szCs w:val="24"/>
          <w:highlight w:val="none"/>
        </w:rPr>
      </w:pPr>
      <w:r>
        <w:rPr>
          <w:rFonts w:hint="eastAsia"/>
          <w:color w:val="auto"/>
          <w:sz w:val="24"/>
          <w:szCs w:val="24"/>
          <w:highlight w:val="none"/>
        </w:rPr>
        <w:t>十九、期内服务：</w:t>
      </w:r>
    </w:p>
    <w:p w14:paraId="517F9095">
      <w:pPr>
        <w:pStyle w:val="5"/>
        <w:spacing w:before="156" w:after="156"/>
        <w:rPr>
          <w:rFonts w:hint="eastAsia"/>
          <w:color w:val="auto"/>
          <w:highlight w:val="none"/>
        </w:rPr>
      </w:pPr>
      <w:r>
        <w:rPr>
          <w:rFonts w:hint="eastAsia"/>
          <w:color w:val="auto"/>
          <w:highlight w:val="none"/>
        </w:rPr>
        <w:t>（一）项目服务小组</w:t>
      </w:r>
    </w:p>
    <w:p w14:paraId="372EEAF7">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由经纪</w:t>
      </w:r>
      <w:r>
        <w:rPr>
          <w:rFonts w:hint="eastAsia" w:cs="宋体"/>
          <w:bCs/>
          <w:color w:val="auto"/>
          <w:szCs w:val="21"/>
          <w:highlight w:val="none"/>
          <w:shd w:val="clear" w:color="auto" w:fill="auto"/>
          <w:lang w:val="en-US" w:eastAsia="zh-CN"/>
        </w:rPr>
        <w:t>人</w:t>
      </w:r>
      <w:r>
        <w:rPr>
          <w:rFonts w:hint="eastAsia" w:cs="宋体"/>
          <w:bCs/>
          <w:color w:val="auto"/>
          <w:szCs w:val="21"/>
          <w:highlight w:val="none"/>
          <w:shd w:val="clear" w:color="auto" w:fill="auto"/>
        </w:rPr>
        <w:t>与保险人共同成立本项目服务小组（以下简称“服务小组”）。服务小组具体负责处理保险人与投保人之间的根据本</w:t>
      </w:r>
      <w:r>
        <w:rPr>
          <w:rFonts w:hint="eastAsia" w:cs="宋体"/>
          <w:bCs/>
          <w:color w:val="auto"/>
          <w:szCs w:val="21"/>
          <w:highlight w:val="none"/>
          <w:shd w:val="clear" w:color="auto" w:fill="auto"/>
          <w:lang w:val="en-US" w:eastAsia="zh-CN"/>
        </w:rPr>
        <w:t>合同</w:t>
      </w:r>
      <w:r>
        <w:rPr>
          <w:rFonts w:hint="eastAsia" w:cs="宋体"/>
          <w:bCs/>
          <w:color w:val="auto"/>
          <w:szCs w:val="21"/>
          <w:highlight w:val="none"/>
          <w:shd w:val="clear" w:color="auto" w:fill="auto"/>
        </w:rPr>
        <w:t>及保险条款规定的所有业务事项和日常工作联系。</w:t>
      </w:r>
    </w:p>
    <w:p w14:paraId="17E17378">
      <w:pPr>
        <w:spacing w:line="360" w:lineRule="auto"/>
        <w:ind w:left="16" w:firstLine="420"/>
        <w:rPr>
          <w:rFonts w:eastAsia="宋体" w:cs="宋体"/>
          <w:bCs/>
          <w:color w:val="auto"/>
          <w:sz w:val="21"/>
          <w:szCs w:val="21"/>
          <w:highlight w:val="none"/>
        </w:rPr>
      </w:pPr>
      <w:r>
        <w:rPr>
          <w:rFonts w:hint="eastAsia" w:eastAsia="宋体" w:cs="宋体"/>
          <w:bCs/>
          <w:color w:val="auto"/>
          <w:sz w:val="21"/>
          <w:szCs w:val="21"/>
          <w:highlight w:val="none"/>
        </w:rPr>
        <w:t>保险人服务小组名单及联系方式如下：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123"/>
        <w:gridCol w:w="2049"/>
        <w:gridCol w:w="1399"/>
        <w:gridCol w:w="2899"/>
      </w:tblGrid>
      <w:tr w14:paraId="0A41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3C684ECB">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成员</w:t>
            </w:r>
          </w:p>
        </w:tc>
        <w:tc>
          <w:tcPr>
            <w:tcW w:w="1123" w:type="dxa"/>
            <w:noWrap w:val="0"/>
            <w:vAlign w:val="center"/>
          </w:tcPr>
          <w:p w14:paraId="7547A12D">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姓名</w:t>
            </w:r>
          </w:p>
        </w:tc>
        <w:tc>
          <w:tcPr>
            <w:tcW w:w="2049" w:type="dxa"/>
            <w:noWrap w:val="0"/>
            <w:vAlign w:val="center"/>
          </w:tcPr>
          <w:p w14:paraId="669C815C">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职 务</w:t>
            </w:r>
          </w:p>
        </w:tc>
        <w:tc>
          <w:tcPr>
            <w:tcW w:w="1399" w:type="dxa"/>
            <w:noWrap w:val="0"/>
            <w:vAlign w:val="center"/>
          </w:tcPr>
          <w:p w14:paraId="254668D7">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电 话</w:t>
            </w:r>
          </w:p>
        </w:tc>
        <w:tc>
          <w:tcPr>
            <w:tcW w:w="2899" w:type="dxa"/>
            <w:noWrap w:val="0"/>
            <w:vAlign w:val="center"/>
          </w:tcPr>
          <w:p w14:paraId="7700F843">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职  能</w:t>
            </w:r>
          </w:p>
        </w:tc>
      </w:tr>
      <w:tr w14:paraId="5CF0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118FFBE8">
            <w:pPr>
              <w:spacing w:line="360" w:lineRule="auto"/>
              <w:jc w:val="center"/>
              <w:rPr>
                <w:rFonts w:eastAsia="宋体" w:cs="宋体"/>
                <w:bCs/>
                <w:color w:val="auto"/>
                <w:sz w:val="21"/>
                <w:szCs w:val="21"/>
                <w:highlight w:val="none"/>
              </w:rPr>
            </w:pPr>
          </w:p>
        </w:tc>
        <w:tc>
          <w:tcPr>
            <w:tcW w:w="1123" w:type="dxa"/>
            <w:noWrap w:val="0"/>
            <w:vAlign w:val="center"/>
          </w:tcPr>
          <w:p w14:paraId="139D8421">
            <w:pPr>
              <w:spacing w:line="360" w:lineRule="auto"/>
              <w:jc w:val="center"/>
              <w:rPr>
                <w:rFonts w:eastAsia="宋体" w:cs="宋体"/>
                <w:bCs/>
                <w:color w:val="auto"/>
                <w:sz w:val="21"/>
                <w:szCs w:val="21"/>
                <w:highlight w:val="none"/>
              </w:rPr>
            </w:pPr>
          </w:p>
        </w:tc>
        <w:tc>
          <w:tcPr>
            <w:tcW w:w="2049" w:type="dxa"/>
            <w:noWrap w:val="0"/>
            <w:vAlign w:val="center"/>
          </w:tcPr>
          <w:p w14:paraId="30057941">
            <w:pPr>
              <w:spacing w:line="360" w:lineRule="auto"/>
              <w:jc w:val="center"/>
              <w:rPr>
                <w:rFonts w:eastAsia="宋体" w:cs="宋体"/>
                <w:bCs/>
                <w:color w:val="auto"/>
                <w:sz w:val="21"/>
                <w:szCs w:val="21"/>
                <w:highlight w:val="none"/>
              </w:rPr>
            </w:pPr>
          </w:p>
        </w:tc>
        <w:tc>
          <w:tcPr>
            <w:tcW w:w="1399" w:type="dxa"/>
            <w:noWrap w:val="0"/>
            <w:vAlign w:val="center"/>
          </w:tcPr>
          <w:p w14:paraId="57D44C33">
            <w:pPr>
              <w:spacing w:line="360" w:lineRule="auto"/>
              <w:jc w:val="center"/>
              <w:rPr>
                <w:rFonts w:eastAsia="宋体" w:cs="宋体"/>
                <w:bCs/>
                <w:color w:val="auto"/>
                <w:sz w:val="21"/>
                <w:szCs w:val="21"/>
                <w:highlight w:val="none"/>
              </w:rPr>
            </w:pPr>
          </w:p>
        </w:tc>
        <w:tc>
          <w:tcPr>
            <w:tcW w:w="2899" w:type="dxa"/>
            <w:noWrap w:val="0"/>
            <w:vAlign w:val="center"/>
          </w:tcPr>
          <w:p w14:paraId="25DB46D6">
            <w:pPr>
              <w:spacing w:line="360" w:lineRule="auto"/>
              <w:jc w:val="center"/>
              <w:rPr>
                <w:rFonts w:eastAsia="宋体" w:cs="宋体"/>
                <w:bCs/>
                <w:color w:val="auto"/>
                <w:sz w:val="21"/>
                <w:szCs w:val="21"/>
                <w:highlight w:val="none"/>
              </w:rPr>
            </w:pPr>
          </w:p>
        </w:tc>
      </w:tr>
      <w:tr w14:paraId="4C27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2BA452C5">
            <w:pPr>
              <w:spacing w:line="360" w:lineRule="auto"/>
              <w:jc w:val="center"/>
              <w:rPr>
                <w:rFonts w:eastAsia="宋体" w:cs="宋体"/>
                <w:bCs/>
                <w:color w:val="auto"/>
                <w:sz w:val="21"/>
                <w:szCs w:val="21"/>
                <w:highlight w:val="none"/>
              </w:rPr>
            </w:pPr>
          </w:p>
        </w:tc>
        <w:tc>
          <w:tcPr>
            <w:tcW w:w="1123" w:type="dxa"/>
            <w:noWrap w:val="0"/>
            <w:vAlign w:val="center"/>
          </w:tcPr>
          <w:p w14:paraId="14D5CC49">
            <w:pPr>
              <w:spacing w:line="360" w:lineRule="auto"/>
              <w:jc w:val="center"/>
              <w:rPr>
                <w:rFonts w:eastAsia="宋体" w:cs="宋体"/>
                <w:bCs/>
                <w:color w:val="auto"/>
                <w:sz w:val="21"/>
                <w:szCs w:val="21"/>
                <w:highlight w:val="none"/>
              </w:rPr>
            </w:pPr>
          </w:p>
        </w:tc>
        <w:tc>
          <w:tcPr>
            <w:tcW w:w="2049" w:type="dxa"/>
            <w:noWrap w:val="0"/>
            <w:vAlign w:val="center"/>
          </w:tcPr>
          <w:p w14:paraId="23BDF11A">
            <w:pPr>
              <w:spacing w:line="360" w:lineRule="auto"/>
              <w:jc w:val="center"/>
              <w:rPr>
                <w:rFonts w:eastAsia="宋体" w:cs="宋体"/>
                <w:bCs/>
                <w:color w:val="auto"/>
                <w:sz w:val="21"/>
                <w:szCs w:val="21"/>
                <w:highlight w:val="none"/>
              </w:rPr>
            </w:pPr>
          </w:p>
        </w:tc>
        <w:tc>
          <w:tcPr>
            <w:tcW w:w="1399" w:type="dxa"/>
            <w:noWrap w:val="0"/>
            <w:vAlign w:val="center"/>
          </w:tcPr>
          <w:p w14:paraId="61007863">
            <w:pPr>
              <w:spacing w:line="360" w:lineRule="auto"/>
              <w:jc w:val="center"/>
              <w:rPr>
                <w:rFonts w:eastAsia="宋体" w:cs="宋体"/>
                <w:bCs/>
                <w:color w:val="auto"/>
                <w:sz w:val="21"/>
                <w:szCs w:val="21"/>
                <w:highlight w:val="none"/>
              </w:rPr>
            </w:pPr>
          </w:p>
        </w:tc>
        <w:tc>
          <w:tcPr>
            <w:tcW w:w="2899" w:type="dxa"/>
            <w:noWrap w:val="0"/>
            <w:vAlign w:val="center"/>
          </w:tcPr>
          <w:p w14:paraId="471AC75B">
            <w:pPr>
              <w:spacing w:line="360" w:lineRule="auto"/>
              <w:jc w:val="center"/>
              <w:rPr>
                <w:rFonts w:eastAsia="宋体" w:cs="宋体"/>
                <w:bCs/>
                <w:color w:val="auto"/>
                <w:sz w:val="21"/>
                <w:szCs w:val="21"/>
                <w:highlight w:val="none"/>
              </w:rPr>
            </w:pPr>
          </w:p>
        </w:tc>
      </w:tr>
    </w:tbl>
    <w:p w14:paraId="208A5D8F">
      <w:pPr>
        <w:spacing w:line="360" w:lineRule="auto"/>
        <w:ind w:left="16" w:firstLine="420"/>
        <w:rPr>
          <w:rFonts w:eastAsia="宋体" w:cs="宋体"/>
          <w:bCs/>
          <w:color w:val="auto"/>
          <w:sz w:val="21"/>
          <w:szCs w:val="21"/>
          <w:highlight w:val="none"/>
        </w:rPr>
      </w:pPr>
      <w:r>
        <w:rPr>
          <w:rStyle w:val="40"/>
          <w:rFonts w:hint="default"/>
          <w:color w:val="auto"/>
          <w:sz w:val="21"/>
          <w:szCs w:val="21"/>
          <w:highlight w:val="none"/>
        </w:rPr>
        <w:t>保险经纪有限公司</w:t>
      </w:r>
      <w:r>
        <w:rPr>
          <w:rFonts w:hint="eastAsia" w:eastAsia="宋体" w:cs="宋体"/>
          <w:bCs/>
          <w:color w:val="auto"/>
          <w:sz w:val="21"/>
          <w:szCs w:val="21"/>
          <w:highlight w:val="none"/>
        </w:rPr>
        <w:t>服务小组名单及联系方式如下：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123"/>
        <w:gridCol w:w="2049"/>
        <w:gridCol w:w="1399"/>
        <w:gridCol w:w="2899"/>
      </w:tblGrid>
      <w:tr w14:paraId="49F7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2448C8F2">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成员</w:t>
            </w:r>
          </w:p>
        </w:tc>
        <w:tc>
          <w:tcPr>
            <w:tcW w:w="1123" w:type="dxa"/>
            <w:noWrap w:val="0"/>
            <w:vAlign w:val="center"/>
          </w:tcPr>
          <w:p w14:paraId="2501CF74">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姓名</w:t>
            </w:r>
          </w:p>
        </w:tc>
        <w:tc>
          <w:tcPr>
            <w:tcW w:w="2049" w:type="dxa"/>
            <w:noWrap w:val="0"/>
            <w:vAlign w:val="center"/>
          </w:tcPr>
          <w:p w14:paraId="3CA06D6A">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职 务</w:t>
            </w:r>
          </w:p>
        </w:tc>
        <w:tc>
          <w:tcPr>
            <w:tcW w:w="1399" w:type="dxa"/>
            <w:noWrap w:val="0"/>
            <w:vAlign w:val="center"/>
          </w:tcPr>
          <w:p w14:paraId="1051F07A">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电 话</w:t>
            </w:r>
          </w:p>
        </w:tc>
        <w:tc>
          <w:tcPr>
            <w:tcW w:w="2899" w:type="dxa"/>
            <w:noWrap w:val="0"/>
            <w:vAlign w:val="center"/>
          </w:tcPr>
          <w:p w14:paraId="0855E4EC">
            <w:pPr>
              <w:spacing w:line="360" w:lineRule="auto"/>
              <w:jc w:val="center"/>
              <w:rPr>
                <w:rFonts w:eastAsia="宋体" w:cs="宋体"/>
                <w:bCs/>
                <w:color w:val="auto"/>
                <w:sz w:val="21"/>
                <w:szCs w:val="21"/>
                <w:highlight w:val="none"/>
              </w:rPr>
            </w:pPr>
            <w:r>
              <w:rPr>
                <w:rFonts w:hint="eastAsia" w:eastAsia="宋体" w:cs="宋体"/>
                <w:bCs/>
                <w:color w:val="auto"/>
                <w:sz w:val="21"/>
                <w:szCs w:val="21"/>
                <w:highlight w:val="none"/>
              </w:rPr>
              <w:t>职  能</w:t>
            </w:r>
          </w:p>
        </w:tc>
      </w:tr>
      <w:tr w14:paraId="641A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295CCE90">
            <w:pPr>
              <w:spacing w:line="360" w:lineRule="auto"/>
              <w:jc w:val="center"/>
              <w:rPr>
                <w:rFonts w:eastAsia="宋体" w:cs="宋体"/>
                <w:bCs/>
                <w:color w:val="auto"/>
                <w:sz w:val="21"/>
                <w:szCs w:val="21"/>
                <w:highlight w:val="none"/>
              </w:rPr>
            </w:pPr>
          </w:p>
        </w:tc>
        <w:tc>
          <w:tcPr>
            <w:tcW w:w="1123" w:type="dxa"/>
            <w:noWrap w:val="0"/>
            <w:vAlign w:val="center"/>
          </w:tcPr>
          <w:p w14:paraId="6923B485">
            <w:pPr>
              <w:spacing w:line="360" w:lineRule="auto"/>
              <w:jc w:val="center"/>
              <w:rPr>
                <w:rFonts w:eastAsia="宋体" w:cs="宋体"/>
                <w:bCs/>
                <w:color w:val="auto"/>
                <w:sz w:val="21"/>
                <w:szCs w:val="21"/>
                <w:highlight w:val="none"/>
              </w:rPr>
            </w:pPr>
          </w:p>
        </w:tc>
        <w:tc>
          <w:tcPr>
            <w:tcW w:w="2049" w:type="dxa"/>
            <w:noWrap w:val="0"/>
            <w:vAlign w:val="center"/>
          </w:tcPr>
          <w:p w14:paraId="0F4936E2">
            <w:pPr>
              <w:spacing w:line="360" w:lineRule="auto"/>
              <w:jc w:val="center"/>
              <w:rPr>
                <w:rFonts w:eastAsia="宋体" w:cs="宋体"/>
                <w:bCs/>
                <w:color w:val="auto"/>
                <w:sz w:val="21"/>
                <w:szCs w:val="21"/>
                <w:highlight w:val="none"/>
              </w:rPr>
            </w:pPr>
          </w:p>
        </w:tc>
        <w:tc>
          <w:tcPr>
            <w:tcW w:w="1399" w:type="dxa"/>
            <w:noWrap w:val="0"/>
            <w:vAlign w:val="center"/>
          </w:tcPr>
          <w:p w14:paraId="5CAF6DBB">
            <w:pPr>
              <w:spacing w:line="360" w:lineRule="auto"/>
              <w:jc w:val="center"/>
              <w:rPr>
                <w:rFonts w:eastAsia="宋体" w:cs="宋体"/>
                <w:bCs/>
                <w:color w:val="auto"/>
                <w:sz w:val="21"/>
                <w:szCs w:val="21"/>
                <w:highlight w:val="none"/>
              </w:rPr>
            </w:pPr>
          </w:p>
        </w:tc>
        <w:tc>
          <w:tcPr>
            <w:tcW w:w="2899" w:type="dxa"/>
            <w:noWrap w:val="0"/>
            <w:vAlign w:val="center"/>
          </w:tcPr>
          <w:p w14:paraId="5498992F">
            <w:pPr>
              <w:spacing w:line="360" w:lineRule="auto"/>
              <w:jc w:val="center"/>
              <w:rPr>
                <w:rFonts w:eastAsia="宋体" w:cs="宋体"/>
                <w:bCs/>
                <w:color w:val="auto"/>
                <w:sz w:val="21"/>
                <w:szCs w:val="21"/>
                <w:highlight w:val="none"/>
              </w:rPr>
            </w:pPr>
          </w:p>
        </w:tc>
      </w:tr>
      <w:tr w14:paraId="5D4F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noWrap w:val="0"/>
            <w:vAlign w:val="center"/>
          </w:tcPr>
          <w:p w14:paraId="17E18FB4">
            <w:pPr>
              <w:spacing w:line="360" w:lineRule="auto"/>
              <w:jc w:val="center"/>
              <w:rPr>
                <w:rFonts w:eastAsia="宋体" w:cs="宋体"/>
                <w:bCs/>
                <w:color w:val="auto"/>
                <w:sz w:val="21"/>
                <w:szCs w:val="21"/>
                <w:highlight w:val="none"/>
              </w:rPr>
            </w:pPr>
          </w:p>
        </w:tc>
        <w:tc>
          <w:tcPr>
            <w:tcW w:w="1123" w:type="dxa"/>
            <w:noWrap w:val="0"/>
            <w:vAlign w:val="center"/>
          </w:tcPr>
          <w:p w14:paraId="0BB4F127">
            <w:pPr>
              <w:spacing w:line="360" w:lineRule="auto"/>
              <w:jc w:val="center"/>
              <w:rPr>
                <w:rFonts w:eastAsia="宋体" w:cs="宋体"/>
                <w:bCs/>
                <w:color w:val="auto"/>
                <w:sz w:val="21"/>
                <w:szCs w:val="21"/>
                <w:highlight w:val="none"/>
              </w:rPr>
            </w:pPr>
          </w:p>
        </w:tc>
        <w:tc>
          <w:tcPr>
            <w:tcW w:w="2049" w:type="dxa"/>
            <w:noWrap w:val="0"/>
            <w:vAlign w:val="center"/>
          </w:tcPr>
          <w:p w14:paraId="4623FDA1">
            <w:pPr>
              <w:spacing w:line="360" w:lineRule="auto"/>
              <w:jc w:val="center"/>
              <w:rPr>
                <w:rFonts w:eastAsia="宋体" w:cs="宋体"/>
                <w:bCs/>
                <w:color w:val="auto"/>
                <w:sz w:val="21"/>
                <w:szCs w:val="21"/>
                <w:highlight w:val="none"/>
              </w:rPr>
            </w:pPr>
          </w:p>
        </w:tc>
        <w:tc>
          <w:tcPr>
            <w:tcW w:w="1399" w:type="dxa"/>
            <w:noWrap w:val="0"/>
            <w:vAlign w:val="center"/>
          </w:tcPr>
          <w:p w14:paraId="5E2DAC5A">
            <w:pPr>
              <w:spacing w:line="360" w:lineRule="auto"/>
              <w:jc w:val="center"/>
              <w:rPr>
                <w:rFonts w:eastAsia="宋体" w:cs="宋体"/>
                <w:bCs/>
                <w:color w:val="auto"/>
                <w:sz w:val="21"/>
                <w:szCs w:val="21"/>
                <w:highlight w:val="none"/>
              </w:rPr>
            </w:pPr>
          </w:p>
        </w:tc>
        <w:tc>
          <w:tcPr>
            <w:tcW w:w="2899" w:type="dxa"/>
            <w:noWrap w:val="0"/>
            <w:vAlign w:val="center"/>
          </w:tcPr>
          <w:p w14:paraId="70322D47">
            <w:pPr>
              <w:spacing w:line="360" w:lineRule="auto"/>
              <w:jc w:val="center"/>
              <w:rPr>
                <w:rFonts w:eastAsia="宋体" w:cs="宋体"/>
                <w:bCs/>
                <w:color w:val="auto"/>
                <w:sz w:val="21"/>
                <w:szCs w:val="21"/>
                <w:highlight w:val="none"/>
              </w:rPr>
            </w:pPr>
          </w:p>
        </w:tc>
      </w:tr>
    </w:tbl>
    <w:p w14:paraId="74E48A11">
      <w:pPr>
        <w:pStyle w:val="5"/>
        <w:spacing w:before="156" w:after="156"/>
        <w:rPr>
          <w:rFonts w:hint="eastAsia"/>
          <w:color w:val="auto"/>
          <w:highlight w:val="none"/>
        </w:rPr>
      </w:pPr>
      <w:r>
        <w:rPr>
          <w:rFonts w:hint="eastAsia"/>
          <w:color w:val="auto"/>
          <w:highlight w:val="none"/>
        </w:rPr>
        <w:t>（二）培训服务</w:t>
      </w:r>
    </w:p>
    <w:p w14:paraId="05F22F76">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1.培训组织</w:t>
      </w:r>
    </w:p>
    <w:p w14:paraId="48777034">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保险人与经纪</w:t>
      </w:r>
      <w:r>
        <w:rPr>
          <w:rFonts w:hint="eastAsia" w:cs="宋体"/>
          <w:bCs/>
          <w:color w:val="auto"/>
          <w:szCs w:val="21"/>
          <w:highlight w:val="none"/>
          <w:shd w:val="clear" w:color="auto" w:fill="auto"/>
          <w:lang w:val="en-US" w:eastAsia="zh-CN"/>
        </w:rPr>
        <w:t>人</w:t>
      </w:r>
      <w:r>
        <w:rPr>
          <w:rFonts w:hint="eastAsia" w:cs="宋体"/>
          <w:bCs/>
          <w:color w:val="auto"/>
          <w:szCs w:val="21"/>
          <w:highlight w:val="none"/>
          <w:shd w:val="clear" w:color="auto" w:fill="auto"/>
        </w:rPr>
        <w:t>共同组织有关专家、学者及技术人员为</w:t>
      </w:r>
      <w:r>
        <w:rPr>
          <w:rFonts w:hint="eastAsia" w:cs="宋体"/>
          <w:bCs/>
          <w:color w:val="auto"/>
          <w:szCs w:val="21"/>
          <w:highlight w:val="none"/>
          <w:shd w:val="clear" w:color="auto" w:fill="auto"/>
          <w:lang w:val="en-US" w:eastAsia="zh-CN"/>
        </w:rPr>
        <w:t>本保险</w:t>
      </w:r>
      <w:r>
        <w:rPr>
          <w:rFonts w:hint="eastAsia" w:cs="宋体"/>
          <w:bCs/>
          <w:color w:val="auto"/>
          <w:szCs w:val="21"/>
          <w:highlight w:val="none"/>
          <w:shd w:val="clear" w:color="auto" w:fill="auto"/>
        </w:rPr>
        <w:t>项目有关人员在保</w:t>
      </w:r>
      <w:r>
        <w:rPr>
          <w:rFonts w:hint="eastAsia" w:cs="宋体"/>
          <w:bCs/>
          <w:color w:val="auto"/>
          <w:szCs w:val="21"/>
          <w:highlight w:val="none"/>
          <w:shd w:val="clear" w:color="auto" w:fill="auto"/>
          <w:lang w:val="en-US" w:eastAsia="zh-CN"/>
        </w:rPr>
        <w:t>险</w:t>
      </w:r>
      <w:r>
        <w:rPr>
          <w:rFonts w:hint="eastAsia" w:cs="宋体"/>
          <w:bCs/>
          <w:color w:val="auto"/>
          <w:szCs w:val="21"/>
          <w:highlight w:val="none"/>
          <w:shd w:val="clear" w:color="auto" w:fill="auto"/>
        </w:rPr>
        <w:t>期限内举办</w:t>
      </w:r>
      <w:r>
        <w:rPr>
          <w:rFonts w:hint="eastAsia" w:cs="宋体"/>
          <w:bCs/>
          <w:color w:val="auto"/>
          <w:szCs w:val="21"/>
          <w:highlight w:val="none"/>
          <w:shd w:val="clear" w:color="auto" w:fill="auto"/>
          <w:lang w:val="en-US" w:eastAsia="zh-CN"/>
        </w:rPr>
        <w:t>每年</w:t>
      </w:r>
      <w:r>
        <w:rPr>
          <w:rFonts w:hint="eastAsia" w:cs="宋体"/>
          <w:bCs/>
          <w:color w:val="auto"/>
          <w:szCs w:val="21"/>
          <w:highlight w:val="none"/>
          <w:shd w:val="clear" w:color="auto" w:fill="auto"/>
        </w:rPr>
        <w:t>不少于1次的</w:t>
      </w:r>
      <w:r>
        <w:rPr>
          <w:rFonts w:hint="eastAsia" w:cs="宋体"/>
          <w:bCs/>
          <w:color w:val="auto"/>
          <w:szCs w:val="21"/>
          <w:highlight w:val="none"/>
          <w:shd w:val="clear" w:color="auto" w:fill="auto"/>
          <w:lang w:val="en-US" w:eastAsia="zh-CN"/>
        </w:rPr>
        <w:t>培训</w:t>
      </w:r>
      <w:r>
        <w:rPr>
          <w:rFonts w:hint="eastAsia" w:cs="宋体"/>
          <w:bCs/>
          <w:color w:val="auto"/>
          <w:szCs w:val="21"/>
          <w:highlight w:val="none"/>
          <w:shd w:val="clear" w:color="auto" w:fill="auto"/>
        </w:rPr>
        <w:t>活动。</w:t>
      </w:r>
    </w:p>
    <w:p w14:paraId="73F2AF2D">
      <w:pPr>
        <w:spacing w:line="400" w:lineRule="exact"/>
        <w:ind w:firstLine="420" w:firstLineChars="200"/>
        <w:rPr>
          <w:rFonts w:hint="eastAsia" w:cs="宋体"/>
          <w:bCs/>
          <w:color w:val="auto"/>
          <w:szCs w:val="21"/>
          <w:highlight w:val="none"/>
        </w:rPr>
      </w:pPr>
      <w:r>
        <w:rPr>
          <w:rFonts w:hint="eastAsia" w:cs="宋体"/>
          <w:bCs/>
          <w:color w:val="auto"/>
          <w:szCs w:val="21"/>
          <w:highlight w:val="none"/>
        </w:rPr>
        <w:t>2.培训内容</w:t>
      </w:r>
    </w:p>
    <w:p w14:paraId="49CE11F7">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shd w:val="clear" w:color="auto" w:fill="auto"/>
        </w:rPr>
        <w:t>在培训内容上，保险人将会同投保人和经纪</w:t>
      </w:r>
      <w:r>
        <w:rPr>
          <w:rFonts w:hint="eastAsia" w:cs="宋体"/>
          <w:bCs/>
          <w:color w:val="auto"/>
          <w:szCs w:val="21"/>
          <w:highlight w:val="none"/>
          <w:shd w:val="clear" w:color="auto" w:fill="auto"/>
          <w:lang w:val="en-US" w:eastAsia="zh-CN"/>
        </w:rPr>
        <w:t>人</w:t>
      </w:r>
      <w:r>
        <w:rPr>
          <w:rFonts w:hint="eastAsia" w:cs="宋体"/>
          <w:bCs/>
          <w:color w:val="auto"/>
          <w:szCs w:val="21"/>
          <w:highlight w:val="none"/>
          <w:shd w:val="clear" w:color="auto" w:fill="auto"/>
        </w:rPr>
        <w:t>充分沟通，</w:t>
      </w:r>
      <w:r>
        <w:rPr>
          <w:rFonts w:hint="eastAsia" w:cs="宋体"/>
          <w:bCs/>
          <w:color w:val="auto"/>
          <w:szCs w:val="21"/>
          <w:highlight w:val="none"/>
        </w:rPr>
        <w:t>了解投保人的需求，制订详细的培训计划，将每一次培训工作落到实处，切实满足防灾防损和风险管理的需要。主要的培训方面有：保险知识、风险管理、防灾防损、安全质量、突发事故应急措施、事故抢险和法律知识等。</w:t>
      </w:r>
    </w:p>
    <w:p w14:paraId="7FCD0D19">
      <w:pPr>
        <w:spacing w:line="400" w:lineRule="exact"/>
        <w:ind w:firstLine="420" w:firstLineChars="200"/>
        <w:rPr>
          <w:rFonts w:hint="eastAsia" w:cs="宋体"/>
          <w:bCs/>
          <w:color w:val="auto"/>
          <w:szCs w:val="21"/>
          <w:highlight w:val="none"/>
        </w:rPr>
      </w:pPr>
      <w:r>
        <w:rPr>
          <w:rFonts w:hint="eastAsia" w:cs="宋体"/>
          <w:bCs/>
          <w:color w:val="auto"/>
          <w:szCs w:val="21"/>
          <w:highlight w:val="none"/>
        </w:rPr>
        <w:t>3.互动交流</w:t>
      </w:r>
    </w:p>
    <w:p w14:paraId="064709C2">
      <w:pPr>
        <w:spacing w:line="400" w:lineRule="exact"/>
        <w:ind w:left="630" w:leftChars="200" w:hanging="210" w:hangingChars="100"/>
        <w:rPr>
          <w:rFonts w:hint="eastAsia" w:cs="宋体"/>
          <w:bCs/>
          <w:color w:val="auto"/>
          <w:szCs w:val="21"/>
          <w:highlight w:val="none"/>
        </w:rPr>
      </w:pPr>
      <w:r>
        <w:rPr>
          <w:rFonts w:hint="eastAsia" w:cs="宋体"/>
          <w:bCs/>
          <w:color w:val="auto"/>
          <w:szCs w:val="21"/>
          <w:highlight w:val="none"/>
        </w:rPr>
        <w:t>服务小组成员与投保人有关职能部门工作人员定期进行业务知识交流。由投保人向保险人介绍运行期间的安全生产、内部风险管理操作流程； 服务小组向投保人介绍保险相关知识、总结前期工作、赔案进展情况，使相关人员了解保险内容及索赔工作中容易出现的问题，以便于在发生保险责任范围内的灾害事故时能及时提出索赔，最大程度地保障投保人的利益。</w:t>
      </w:r>
    </w:p>
    <w:p w14:paraId="750BB15D">
      <w:pPr>
        <w:pStyle w:val="5"/>
        <w:spacing w:before="156" w:after="156"/>
        <w:rPr>
          <w:rFonts w:hint="eastAsia"/>
          <w:color w:val="auto"/>
          <w:highlight w:val="none"/>
        </w:rPr>
      </w:pPr>
      <w:r>
        <w:rPr>
          <w:rFonts w:hint="eastAsia"/>
          <w:color w:val="auto"/>
          <w:highlight w:val="none"/>
        </w:rPr>
        <w:t>（三）防灾防损服务</w:t>
      </w:r>
    </w:p>
    <w:p w14:paraId="442B4A7F">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保险人对投保人常见的风险点和多发的保险事故进行风险分析，并提供详尽的分析报告，及时发现、控制风险。在经纪</w:t>
      </w:r>
      <w:r>
        <w:rPr>
          <w:rFonts w:hint="eastAsia" w:cs="宋体"/>
          <w:bCs/>
          <w:color w:val="auto"/>
          <w:szCs w:val="21"/>
          <w:highlight w:val="none"/>
          <w:shd w:val="clear" w:color="auto" w:fill="auto"/>
          <w:lang w:val="en-US" w:eastAsia="zh-CN"/>
        </w:rPr>
        <w:t>人</w:t>
      </w:r>
      <w:r>
        <w:rPr>
          <w:rFonts w:hint="eastAsia" w:cs="宋体"/>
          <w:bCs/>
          <w:color w:val="auto"/>
          <w:szCs w:val="21"/>
          <w:highlight w:val="none"/>
          <w:shd w:val="clear" w:color="auto" w:fill="auto"/>
        </w:rPr>
        <w:t>的参与及监督下协助被投保人进行以下全方位、多层次的安全督导工作。</w:t>
      </w:r>
    </w:p>
    <w:p w14:paraId="1D4D2AD6">
      <w:pPr>
        <w:spacing w:line="400" w:lineRule="exact"/>
        <w:ind w:firstLine="420" w:firstLineChars="200"/>
        <w:rPr>
          <w:rFonts w:hint="eastAsia" w:cs="宋体"/>
          <w:bCs/>
          <w:color w:val="auto"/>
          <w:szCs w:val="21"/>
          <w:highlight w:val="none"/>
        </w:rPr>
      </w:pPr>
      <w:r>
        <w:rPr>
          <w:rFonts w:hint="eastAsia" w:cs="宋体"/>
          <w:bCs/>
          <w:color w:val="auto"/>
          <w:szCs w:val="21"/>
          <w:highlight w:val="none"/>
        </w:rPr>
        <w:t>1.设立防灾防损小组和防灾防损基金</w:t>
      </w:r>
    </w:p>
    <w:p w14:paraId="25C1164F">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为保障防灾防损各项工作的开展，保险人设立专门的防灾防损工作小组,实施保险期限内的防灾防损服务工作。</w:t>
      </w:r>
      <w:r>
        <w:rPr>
          <w:rFonts w:hint="eastAsia" w:cs="宋体"/>
          <w:b/>
          <w:bCs w:val="0"/>
          <w:color w:val="auto"/>
          <w:szCs w:val="21"/>
          <w:highlight w:val="none"/>
          <w:shd w:val="clear" w:color="auto" w:fill="auto"/>
        </w:rPr>
        <w:t>并提取总保费的</w:t>
      </w:r>
      <w:r>
        <w:rPr>
          <w:rFonts w:hint="eastAsia" w:cs="宋体"/>
          <w:b/>
          <w:bCs w:val="0"/>
          <w:color w:val="auto"/>
          <w:szCs w:val="21"/>
          <w:highlight w:val="none"/>
          <w:shd w:val="clear" w:color="auto" w:fill="auto"/>
          <w:lang w:val="en-US" w:eastAsia="zh-CN"/>
        </w:rPr>
        <w:t>2</w:t>
      </w:r>
      <w:r>
        <w:rPr>
          <w:rFonts w:hint="eastAsia" w:cs="宋体"/>
          <w:b/>
          <w:bCs w:val="0"/>
          <w:color w:val="auto"/>
          <w:szCs w:val="21"/>
          <w:highlight w:val="none"/>
          <w:shd w:val="clear" w:color="auto" w:fill="auto"/>
        </w:rPr>
        <w:t>%作为本项目的防灾防损专项基金</w:t>
      </w:r>
      <w:r>
        <w:rPr>
          <w:rFonts w:hint="eastAsia" w:cs="宋体"/>
          <w:bCs/>
          <w:color w:val="auto"/>
          <w:szCs w:val="21"/>
          <w:highlight w:val="none"/>
          <w:shd w:val="clear" w:color="auto" w:fill="auto"/>
        </w:rPr>
        <w:t>，用于本</w:t>
      </w:r>
      <w:r>
        <w:rPr>
          <w:rFonts w:hint="eastAsia" w:cs="宋体"/>
          <w:bCs/>
          <w:color w:val="auto"/>
          <w:szCs w:val="21"/>
          <w:highlight w:val="none"/>
          <w:shd w:val="clear" w:color="auto" w:fill="auto"/>
          <w:lang w:val="en-US" w:eastAsia="zh-CN"/>
        </w:rPr>
        <w:t>保险</w:t>
      </w:r>
      <w:r>
        <w:rPr>
          <w:rFonts w:hint="eastAsia" w:cs="宋体"/>
          <w:bCs/>
          <w:color w:val="auto"/>
          <w:szCs w:val="21"/>
          <w:highlight w:val="none"/>
          <w:shd w:val="clear" w:color="auto" w:fill="auto"/>
        </w:rPr>
        <w:t>项目各类风险管理服务和防灾防损工作（包含会议、培训、及其他合理必要的防灾防损费用开支）。</w:t>
      </w:r>
    </w:p>
    <w:p w14:paraId="6AB2EFBC">
      <w:pPr>
        <w:spacing w:line="400" w:lineRule="exact"/>
        <w:ind w:firstLine="420" w:firstLineChars="200"/>
        <w:rPr>
          <w:rFonts w:hint="eastAsia" w:cs="宋体"/>
          <w:bCs/>
          <w:color w:val="auto"/>
          <w:szCs w:val="21"/>
          <w:highlight w:val="none"/>
        </w:rPr>
      </w:pPr>
      <w:r>
        <w:rPr>
          <w:rFonts w:hint="eastAsia" w:cs="宋体"/>
          <w:bCs/>
          <w:color w:val="auto"/>
          <w:szCs w:val="21"/>
          <w:highlight w:val="none"/>
        </w:rPr>
        <w:t>2.日常的风险检验、查勘</w:t>
      </w:r>
    </w:p>
    <w:p w14:paraId="43770521">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在整个保险有效期内，为投保人解答有关保险事宜的任何疑问，并提出专业意见，告知应采取的措施；为投保人提供日常的风险检验、查勘，提出相应的防灾防损书面建议，并协助实施。</w:t>
      </w:r>
    </w:p>
    <w:p w14:paraId="38F2D6B9">
      <w:pPr>
        <w:spacing w:line="400" w:lineRule="exact"/>
        <w:ind w:firstLine="420" w:firstLineChars="200"/>
        <w:rPr>
          <w:rFonts w:hint="eastAsia" w:cs="宋体"/>
          <w:bCs/>
          <w:color w:val="auto"/>
          <w:szCs w:val="21"/>
          <w:highlight w:val="none"/>
        </w:rPr>
      </w:pPr>
      <w:r>
        <w:rPr>
          <w:rFonts w:hint="eastAsia" w:cs="宋体"/>
          <w:bCs/>
          <w:color w:val="auto"/>
          <w:szCs w:val="21"/>
          <w:highlight w:val="none"/>
        </w:rPr>
        <w:t>3.安全预警</w:t>
      </w:r>
    </w:p>
    <w:p w14:paraId="1E49B80B">
      <w:pPr>
        <w:spacing w:line="400" w:lineRule="exact"/>
        <w:ind w:left="420" w:leftChars="200" w:firstLine="0" w:firstLineChars="0"/>
        <w:rPr>
          <w:rFonts w:hint="eastAsia" w:cs="宋体"/>
          <w:bCs/>
          <w:color w:val="auto"/>
          <w:szCs w:val="21"/>
          <w:highlight w:val="none"/>
        </w:rPr>
      </w:pPr>
      <w:r>
        <w:rPr>
          <w:rFonts w:hint="eastAsia" w:cs="宋体"/>
          <w:bCs/>
          <w:color w:val="auto"/>
          <w:szCs w:val="21"/>
          <w:highlight w:val="none"/>
        </w:rPr>
        <w:t>每年6-8月在防汛期间以及秋季9、10月份针对防火，安排风险控制人员进行常规风险查勘，并提供书面的查勘报告及防灾防损建议书。将根据风险管控专家的意见和建议，积极与投保人沟通，共同组织开展专项安全防灾活动；保险人在获知暴风、暴雨、台风、雪灾等灾害性天气预报后，及时向投保人进行通报，以便作好预防工作。</w:t>
      </w:r>
    </w:p>
    <w:p w14:paraId="1F9BA600">
      <w:pPr>
        <w:pStyle w:val="5"/>
        <w:spacing w:before="156" w:after="156"/>
        <w:rPr>
          <w:rFonts w:hint="eastAsia"/>
          <w:color w:val="auto"/>
          <w:highlight w:val="none"/>
        </w:rPr>
      </w:pPr>
      <w:bookmarkStart w:id="56" w:name="_Toc233530997"/>
      <w:bookmarkStart w:id="57" w:name="_Toc288905086"/>
      <w:bookmarkStart w:id="58" w:name="_Toc233270944"/>
      <w:bookmarkStart w:id="59" w:name="_Toc233520494"/>
      <w:r>
        <w:rPr>
          <w:rFonts w:hint="eastAsia"/>
          <w:color w:val="auto"/>
          <w:highlight w:val="none"/>
        </w:rPr>
        <w:t>（四）印制保险手册</w:t>
      </w:r>
      <w:bookmarkEnd w:id="56"/>
      <w:bookmarkEnd w:id="57"/>
      <w:bookmarkEnd w:id="58"/>
      <w:bookmarkEnd w:id="59"/>
    </w:p>
    <w:p w14:paraId="6224D804">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lang w:eastAsia="zh-CN"/>
        </w:rPr>
        <w:t>主承保人</w:t>
      </w:r>
      <w:r>
        <w:rPr>
          <w:rFonts w:hint="eastAsia" w:cs="宋体"/>
          <w:bCs/>
          <w:color w:val="auto"/>
          <w:szCs w:val="21"/>
          <w:highlight w:val="none"/>
          <w:shd w:val="clear" w:color="auto" w:fill="auto"/>
        </w:rPr>
        <w:t>编制《保险手册》，方便被保险人理赔。保险手册内容包括：理赔各流程操作规范、注意事项、索赔清单、服务团队成员组成及联系方式、项目负责人联系方式等内容，指导投保人如何快速处理保险理赔相关事宜。</w:t>
      </w:r>
    </w:p>
    <w:p w14:paraId="7B482D4A">
      <w:pPr>
        <w:pStyle w:val="4"/>
        <w:spacing w:before="156" w:after="156"/>
        <w:rPr>
          <w:rFonts w:hint="eastAsia"/>
          <w:color w:val="auto"/>
          <w:highlight w:val="none"/>
          <w:shd w:val="clear" w:color="auto" w:fill="auto"/>
        </w:rPr>
      </w:pPr>
      <w:r>
        <w:rPr>
          <w:rFonts w:hint="eastAsia"/>
          <w:color w:val="auto"/>
          <w:highlight w:val="none"/>
          <w:shd w:val="clear" w:color="auto" w:fill="auto"/>
        </w:rPr>
        <w:t>二十、</w:t>
      </w:r>
      <w:r>
        <w:rPr>
          <w:rFonts w:hint="eastAsia"/>
          <w:color w:val="auto"/>
          <w:highlight w:val="none"/>
          <w:shd w:val="clear" w:color="auto" w:fill="auto"/>
          <w:lang w:val="en-US" w:eastAsia="zh-CN"/>
        </w:rPr>
        <w:t>法律适用</w:t>
      </w:r>
      <w:r>
        <w:rPr>
          <w:rFonts w:hint="eastAsia"/>
          <w:color w:val="auto"/>
          <w:highlight w:val="none"/>
          <w:shd w:val="clear" w:color="auto" w:fill="auto"/>
        </w:rPr>
        <w:t>：</w:t>
      </w:r>
    </w:p>
    <w:p w14:paraId="0566309C">
      <w:pPr>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shd w:val="clear" w:color="auto" w:fill="auto"/>
          <w:lang w:val="en-US" w:eastAsia="zh-CN"/>
        </w:rPr>
        <w:t>本合同适用</w:t>
      </w:r>
      <w:r>
        <w:rPr>
          <w:rFonts w:hint="eastAsia"/>
          <w:color w:val="auto"/>
          <w:highlight w:val="none"/>
          <w:shd w:val="clear" w:color="auto" w:fill="auto"/>
        </w:rPr>
        <w:t>中华人民共和国</w:t>
      </w:r>
      <w:r>
        <w:rPr>
          <w:rFonts w:hint="eastAsia"/>
          <w:color w:val="auto"/>
          <w:highlight w:val="none"/>
          <w:shd w:val="clear" w:color="auto" w:fill="auto"/>
          <w:lang w:val="en-US" w:eastAsia="zh-CN"/>
        </w:rPr>
        <w:t>法律。</w:t>
      </w:r>
    </w:p>
    <w:p w14:paraId="0910C8E6">
      <w:pPr>
        <w:pStyle w:val="4"/>
        <w:spacing w:before="156" w:after="156"/>
        <w:rPr>
          <w:rFonts w:hint="eastAsia"/>
          <w:color w:val="auto"/>
          <w:highlight w:val="none"/>
        </w:rPr>
      </w:pPr>
      <w:r>
        <w:rPr>
          <w:rFonts w:hint="eastAsia"/>
          <w:color w:val="auto"/>
          <w:highlight w:val="none"/>
        </w:rPr>
        <w:t>二十一、争议处理：</w:t>
      </w:r>
    </w:p>
    <w:p w14:paraId="32B703E4">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与本</w:t>
      </w:r>
      <w:r>
        <w:rPr>
          <w:rFonts w:hint="eastAsia" w:cs="宋体"/>
          <w:bCs/>
          <w:color w:val="auto"/>
          <w:szCs w:val="21"/>
          <w:highlight w:val="none"/>
          <w:shd w:val="clear" w:color="auto" w:fill="auto"/>
        </w:rPr>
        <w:t>合同有关的争议，</w:t>
      </w:r>
      <w:r>
        <w:rPr>
          <w:rFonts w:hint="eastAsia" w:cs="宋体"/>
          <w:bCs/>
          <w:color w:val="auto"/>
          <w:szCs w:val="21"/>
          <w:highlight w:val="none"/>
          <w:shd w:val="clear" w:color="auto" w:fill="auto"/>
          <w:lang w:val="en-US" w:eastAsia="zh-CN"/>
        </w:rPr>
        <w:t>各方</w:t>
      </w:r>
      <w:r>
        <w:rPr>
          <w:rFonts w:hint="eastAsia" w:cs="宋体"/>
          <w:bCs/>
          <w:color w:val="auto"/>
          <w:szCs w:val="21"/>
          <w:highlight w:val="none"/>
          <w:shd w:val="clear" w:color="auto" w:fill="auto"/>
        </w:rPr>
        <w:t>首先友好协商解决，协商不成</w:t>
      </w:r>
      <w:r>
        <w:rPr>
          <w:rFonts w:hint="eastAsia" w:cs="宋体"/>
          <w:bCs/>
          <w:color w:val="auto"/>
          <w:szCs w:val="21"/>
          <w:highlight w:val="none"/>
          <w:shd w:val="clear" w:color="auto" w:fill="auto"/>
          <w:lang w:val="en-US" w:eastAsia="zh-CN"/>
        </w:rPr>
        <w:t>或不愿协商</w:t>
      </w:r>
      <w:r>
        <w:rPr>
          <w:rFonts w:hint="eastAsia" w:cs="宋体"/>
          <w:bCs/>
          <w:color w:val="auto"/>
          <w:szCs w:val="21"/>
          <w:highlight w:val="none"/>
          <w:shd w:val="clear" w:color="auto" w:fill="auto"/>
        </w:rPr>
        <w:t>的，任何一方均可向</w:t>
      </w:r>
      <w:r>
        <w:rPr>
          <w:rFonts w:hint="eastAsia" w:cs="宋体"/>
          <w:bCs/>
          <w:color w:val="auto"/>
          <w:szCs w:val="21"/>
          <w:highlight w:val="none"/>
          <w:shd w:val="clear" w:color="auto" w:fill="auto"/>
          <w:lang w:val="en-US" w:eastAsia="zh-CN"/>
        </w:rPr>
        <w:t>业主方</w:t>
      </w:r>
      <w:r>
        <w:rPr>
          <w:rFonts w:hint="eastAsia" w:cs="宋体"/>
          <w:bCs/>
          <w:color w:val="auto"/>
          <w:szCs w:val="21"/>
          <w:highlight w:val="none"/>
          <w:shd w:val="clear" w:color="auto" w:fill="auto"/>
        </w:rPr>
        <w:t>所在地人民法院提起诉讼。</w:t>
      </w:r>
    </w:p>
    <w:p w14:paraId="03824C04">
      <w:pPr>
        <w:pStyle w:val="4"/>
        <w:spacing w:before="156" w:after="156"/>
        <w:rPr>
          <w:rFonts w:hint="eastAsia"/>
          <w:color w:val="auto"/>
          <w:highlight w:val="none"/>
        </w:rPr>
      </w:pPr>
      <w:r>
        <w:rPr>
          <w:rFonts w:hint="eastAsia"/>
          <w:color w:val="auto"/>
          <w:highlight w:val="none"/>
        </w:rPr>
        <w:t>二十二、保密义务：</w:t>
      </w:r>
    </w:p>
    <w:p w14:paraId="139E0D3C">
      <w:pPr>
        <w:spacing w:line="400" w:lineRule="exact"/>
        <w:ind w:left="420" w:leftChars="200" w:firstLine="0" w:firstLineChars="0"/>
        <w:rPr>
          <w:rFonts w:hint="eastAsia" w:cs="宋体"/>
          <w:bCs/>
          <w:color w:val="auto"/>
          <w:szCs w:val="21"/>
          <w:highlight w:val="none"/>
          <w:shd w:val="clear" w:color="auto" w:fill="auto"/>
        </w:rPr>
      </w:pPr>
      <w:r>
        <w:rPr>
          <w:rFonts w:hint="eastAsia" w:cs="宋体"/>
          <w:bCs/>
          <w:color w:val="auto"/>
          <w:szCs w:val="21"/>
          <w:highlight w:val="none"/>
          <w:shd w:val="clear" w:color="auto" w:fill="auto"/>
        </w:rPr>
        <w:t>保险各方因本合同签</w:t>
      </w:r>
      <w:r>
        <w:rPr>
          <w:rFonts w:hint="eastAsia" w:cs="宋体"/>
          <w:bCs/>
          <w:color w:val="auto"/>
          <w:szCs w:val="21"/>
          <w:highlight w:val="none"/>
          <w:shd w:val="clear" w:color="auto" w:fill="auto"/>
          <w:lang w:val="en-US" w:eastAsia="zh-CN"/>
        </w:rPr>
        <w:t>订</w:t>
      </w:r>
      <w:r>
        <w:rPr>
          <w:rFonts w:hint="eastAsia" w:cs="宋体"/>
          <w:bCs/>
          <w:color w:val="auto"/>
          <w:szCs w:val="21"/>
          <w:highlight w:val="none"/>
          <w:shd w:val="clear" w:color="auto" w:fill="auto"/>
        </w:rPr>
        <w:t>提供的各项资料，以及因合同履行获得对方的各项资料，未经对方同意，不得向第三方公开或作为其他用途使用</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lang w:val="en-US" w:eastAsia="zh-CN"/>
        </w:rPr>
        <w:t>否则须对由此引起的损失承担赔偿责任</w:t>
      </w:r>
      <w:r>
        <w:rPr>
          <w:rFonts w:hint="eastAsia" w:cs="宋体"/>
          <w:bCs/>
          <w:color w:val="auto"/>
          <w:szCs w:val="21"/>
          <w:highlight w:val="none"/>
          <w:shd w:val="clear" w:color="auto" w:fill="auto"/>
        </w:rPr>
        <w:t>。</w:t>
      </w:r>
    </w:p>
    <w:p w14:paraId="4DAAEBD2">
      <w:pPr>
        <w:pStyle w:val="4"/>
        <w:spacing w:before="156" w:after="156"/>
        <w:rPr>
          <w:rFonts w:hint="eastAsia"/>
          <w:color w:val="auto"/>
          <w:highlight w:val="none"/>
        </w:rPr>
      </w:pPr>
      <w:r>
        <w:rPr>
          <w:rFonts w:hint="eastAsia"/>
          <w:color w:val="auto"/>
          <w:highlight w:val="none"/>
        </w:rPr>
        <w:t>二十三、合同份数：</w:t>
      </w:r>
    </w:p>
    <w:p w14:paraId="677E533E">
      <w:pPr>
        <w:spacing w:line="400" w:lineRule="exact"/>
        <w:ind w:left="420" w:leftChars="200" w:firstLine="0" w:firstLineChars="0"/>
        <w:rPr>
          <w:rFonts w:hint="eastAsia" w:cs="宋体"/>
          <w:bCs/>
          <w:color w:val="auto"/>
          <w:szCs w:val="21"/>
          <w:highlight w:val="none"/>
          <w:shd w:val="clear" w:color="auto" w:fill="auto"/>
        </w:rPr>
      </w:pPr>
      <w:r>
        <w:rPr>
          <w:rFonts w:hint="eastAsia"/>
          <w:color w:val="auto"/>
          <w:highlight w:val="none"/>
          <w:lang w:val="en-US" w:eastAsia="zh-CN"/>
        </w:rPr>
        <w:t>本合同一式</w:t>
      </w:r>
      <w:r>
        <w:rPr>
          <w:rFonts w:hint="eastAsia"/>
          <w:color w:val="auto"/>
          <w:highlight w:val="none"/>
          <w:u w:val="single"/>
          <w:lang w:val="en-US" w:eastAsia="zh-CN"/>
        </w:rPr>
        <w:t xml:space="preserve">  </w:t>
      </w:r>
      <w:r>
        <w:rPr>
          <w:rFonts w:hint="eastAsia"/>
          <w:color w:val="auto"/>
          <w:highlight w:val="none"/>
          <w:lang w:val="en-US" w:eastAsia="zh-CN"/>
        </w:rPr>
        <w:t>份，甲方</w:t>
      </w:r>
      <w:r>
        <w:rPr>
          <w:rFonts w:hint="eastAsia"/>
          <w:color w:val="auto"/>
          <w:highlight w:val="none"/>
          <w:u w:val="single"/>
          <w:lang w:val="en-US" w:eastAsia="zh-CN"/>
        </w:rPr>
        <w:t xml:space="preserve">  </w:t>
      </w:r>
      <w:r>
        <w:rPr>
          <w:rFonts w:hint="eastAsia"/>
          <w:color w:val="auto"/>
          <w:highlight w:val="none"/>
          <w:lang w:val="en-US" w:eastAsia="zh-CN"/>
        </w:rPr>
        <w:t>份，乙方</w:t>
      </w:r>
      <w:r>
        <w:rPr>
          <w:rFonts w:hint="eastAsia"/>
          <w:color w:val="auto"/>
          <w:highlight w:val="none"/>
          <w:u w:val="single"/>
          <w:lang w:val="en-US" w:eastAsia="zh-CN"/>
        </w:rPr>
        <w:t xml:space="preserve">  </w:t>
      </w:r>
      <w:r>
        <w:rPr>
          <w:rFonts w:hint="eastAsia"/>
          <w:color w:val="auto"/>
          <w:highlight w:val="none"/>
          <w:lang w:val="en-US" w:eastAsia="zh-CN"/>
        </w:rPr>
        <w:t>份，丙方</w:t>
      </w:r>
      <w:r>
        <w:rPr>
          <w:rFonts w:hint="eastAsia"/>
          <w:color w:val="auto"/>
          <w:highlight w:val="none"/>
          <w:u w:val="single"/>
          <w:lang w:val="en-US" w:eastAsia="zh-CN"/>
        </w:rPr>
        <w:t xml:space="preserve">  </w:t>
      </w:r>
      <w:r>
        <w:rPr>
          <w:rFonts w:hint="eastAsia"/>
          <w:color w:val="auto"/>
          <w:highlight w:val="none"/>
          <w:lang w:val="en-US" w:eastAsia="zh-CN"/>
        </w:rPr>
        <w:t>份，丁方</w:t>
      </w:r>
      <w:r>
        <w:rPr>
          <w:rFonts w:hint="eastAsia"/>
          <w:color w:val="auto"/>
          <w:highlight w:val="none"/>
          <w:u w:val="single"/>
          <w:lang w:val="en-US" w:eastAsia="zh-CN"/>
        </w:rPr>
        <w:t xml:space="preserve"> 2 </w:t>
      </w:r>
      <w:r>
        <w:rPr>
          <w:rFonts w:hint="eastAsia"/>
          <w:color w:val="auto"/>
          <w:highlight w:val="none"/>
          <w:lang w:val="en-US" w:eastAsia="zh-CN"/>
        </w:rPr>
        <w:t>份， 具有同等法律效力。</w:t>
      </w:r>
    </w:p>
    <w:p w14:paraId="62C198C5">
      <w:pPr>
        <w:pStyle w:val="4"/>
        <w:spacing w:before="156" w:after="156"/>
        <w:rPr>
          <w:rFonts w:hint="eastAsia"/>
          <w:color w:val="auto"/>
          <w:highlight w:val="none"/>
        </w:rPr>
      </w:pPr>
      <w:r>
        <w:rPr>
          <w:rFonts w:hint="eastAsia"/>
          <w:color w:val="auto"/>
          <w:highlight w:val="none"/>
        </w:rPr>
        <w:t>二十四、合同附件：</w:t>
      </w:r>
    </w:p>
    <w:p w14:paraId="39372B44">
      <w:pPr>
        <w:spacing w:line="400" w:lineRule="exact"/>
        <w:ind w:firstLine="420" w:firstLineChars="200"/>
        <w:rPr>
          <w:rFonts w:hint="eastAsia" w:eastAsia="宋体" w:cs="宋体"/>
          <w:bCs/>
          <w:color w:val="auto"/>
          <w:szCs w:val="21"/>
          <w:highlight w:val="none"/>
          <w:lang w:eastAsia="zh-CN"/>
        </w:rPr>
      </w:pPr>
      <w:r>
        <w:rPr>
          <w:rFonts w:hint="eastAsia" w:cs="宋体"/>
          <w:bCs/>
          <w:color w:val="auto"/>
          <w:szCs w:val="21"/>
          <w:highlight w:val="none"/>
        </w:rPr>
        <w:t>（一）投保工程量</w:t>
      </w:r>
      <w:r>
        <w:rPr>
          <w:rFonts w:hint="eastAsia" w:cs="宋体"/>
          <w:bCs/>
          <w:color w:val="auto"/>
          <w:szCs w:val="21"/>
          <w:highlight w:val="none"/>
          <w:lang w:val="en-US" w:eastAsia="zh-CN"/>
        </w:rPr>
        <w:t xml:space="preserve"> </w:t>
      </w:r>
    </w:p>
    <w:p w14:paraId="76877CDA">
      <w:pPr>
        <w:spacing w:line="400" w:lineRule="exact"/>
        <w:ind w:firstLine="420" w:firstLineChars="200"/>
        <w:rPr>
          <w:rFonts w:hint="eastAsia" w:cs="宋体"/>
          <w:bCs/>
          <w:color w:val="auto"/>
          <w:szCs w:val="21"/>
          <w:highlight w:val="none"/>
        </w:rPr>
      </w:pPr>
      <w:r>
        <w:rPr>
          <w:rFonts w:hint="eastAsia" w:cs="宋体"/>
          <w:bCs/>
          <w:color w:val="auto"/>
          <w:szCs w:val="21"/>
          <w:highlight w:val="none"/>
        </w:rPr>
        <w:t>（</w:t>
      </w:r>
      <w:r>
        <w:rPr>
          <w:rFonts w:hint="eastAsia" w:cs="宋体"/>
          <w:bCs/>
          <w:color w:val="auto"/>
          <w:szCs w:val="21"/>
          <w:highlight w:val="none"/>
          <w:lang w:val="en-US" w:eastAsia="zh-CN"/>
        </w:rPr>
        <w:t>二</w:t>
      </w:r>
      <w:r>
        <w:rPr>
          <w:rFonts w:hint="eastAsia" w:cs="宋体"/>
          <w:bCs/>
          <w:color w:val="auto"/>
          <w:szCs w:val="21"/>
          <w:highlight w:val="none"/>
        </w:rPr>
        <w:t>）保险条款</w:t>
      </w:r>
    </w:p>
    <w:p w14:paraId="18FB612A">
      <w:pPr>
        <w:spacing w:line="400" w:lineRule="exact"/>
        <w:ind w:firstLine="420" w:firstLineChars="200"/>
        <w:rPr>
          <w:rFonts w:hint="eastAsia" w:cs="宋体"/>
          <w:bCs/>
          <w:color w:val="auto"/>
          <w:szCs w:val="21"/>
          <w:highlight w:val="none"/>
        </w:rPr>
      </w:pPr>
      <w:r>
        <w:rPr>
          <w:rFonts w:hint="eastAsia" w:cs="宋体"/>
          <w:bCs/>
          <w:color w:val="auto"/>
          <w:szCs w:val="21"/>
          <w:highlight w:val="none"/>
        </w:rPr>
        <w:t>（</w:t>
      </w:r>
      <w:r>
        <w:rPr>
          <w:rFonts w:hint="eastAsia" w:cs="宋体"/>
          <w:bCs/>
          <w:color w:val="auto"/>
          <w:szCs w:val="21"/>
          <w:highlight w:val="none"/>
          <w:lang w:val="en-US" w:eastAsia="zh-CN"/>
        </w:rPr>
        <w:t>三</w:t>
      </w:r>
      <w:r>
        <w:rPr>
          <w:rFonts w:hint="eastAsia" w:cs="宋体"/>
          <w:bCs/>
          <w:color w:val="auto"/>
          <w:szCs w:val="21"/>
          <w:highlight w:val="none"/>
        </w:rPr>
        <w:t>）扩展条款</w:t>
      </w:r>
    </w:p>
    <w:p w14:paraId="3FA1A148">
      <w:pPr>
        <w:spacing w:line="400" w:lineRule="exact"/>
        <w:ind w:firstLine="420" w:firstLineChars="200"/>
        <w:rPr>
          <w:rFonts w:hint="eastAsia" w:cs="宋体"/>
          <w:bCs/>
          <w:color w:val="auto"/>
          <w:szCs w:val="21"/>
          <w:highlight w:val="none"/>
        </w:rPr>
      </w:pPr>
      <w:r>
        <w:rPr>
          <w:rFonts w:hint="eastAsia" w:cs="宋体"/>
          <w:bCs/>
          <w:color w:val="auto"/>
          <w:szCs w:val="21"/>
          <w:highlight w:val="none"/>
        </w:rPr>
        <w:t>（以下无正文，转盖章页）</w:t>
      </w:r>
    </w:p>
    <w:p w14:paraId="4A14AA28">
      <w:pPr>
        <w:spacing w:line="400" w:lineRule="exact"/>
        <w:rPr>
          <w:rFonts w:hint="eastAsia" w:cs="宋体"/>
          <w:bCs/>
          <w:color w:val="auto"/>
          <w:szCs w:val="21"/>
          <w:highlight w:val="none"/>
        </w:rPr>
        <w:sectPr>
          <w:pgSz w:w="11906" w:h="16838"/>
          <w:pgMar w:top="1440" w:right="1800" w:bottom="1440" w:left="1800" w:header="851" w:footer="992" w:gutter="0"/>
          <w:pgNumType w:fmt="numberInDash"/>
          <w:cols w:space="720" w:num="1"/>
          <w:docGrid w:type="lines" w:linePitch="312" w:charSpace="0"/>
        </w:sectPr>
      </w:pPr>
    </w:p>
    <w:p w14:paraId="59763F9E">
      <w:pPr>
        <w:spacing w:line="400" w:lineRule="exact"/>
        <w:ind w:firstLine="420" w:firstLineChars="200"/>
        <w:rPr>
          <w:rFonts w:hint="eastAsia" w:cs="宋体"/>
          <w:bCs/>
          <w:color w:val="auto"/>
          <w:szCs w:val="21"/>
          <w:highlight w:val="none"/>
          <w:shd w:val="clear" w:color="auto" w:fill="auto"/>
        </w:rPr>
      </w:pPr>
    </w:p>
    <w:p w14:paraId="12386CA6">
      <w:pPr>
        <w:spacing w:line="400" w:lineRule="exact"/>
        <w:ind w:firstLine="420" w:firstLineChars="200"/>
        <w:rPr>
          <w:rFonts w:hint="eastAsia" w:cs="宋体"/>
          <w:bCs/>
          <w:color w:val="auto"/>
          <w:szCs w:val="21"/>
          <w:highlight w:val="none"/>
          <w:shd w:val="clear" w:color="auto" w:fill="auto"/>
        </w:rPr>
      </w:pPr>
    </w:p>
    <w:p w14:paraId="24D70AB9">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甲</w:t>
      </w:r>
      <w:r>
        <w:rPr>
          <w:rFonts w:hint="eastAsia" w:cs="宋体"/>
          <w:bCs/>
          <w:color w:val="auto"/>
          <w:szCs w:val="21"/>
          <w:highlight w:val="none"/>
          <w:shd w:val="clear" w:color="auto" w:fill="auto"/>
        </w:rPr>
        <w:t>方</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lang w:val="en-US" w:eastAsia="zh-CN"/>
        </w:rPr>
        <w:t>投保人</w:t>
      </w:r>
      <w:r>
        <w:rPr>
          <w:rFonts w:hint="eastAsia" w:cs="宋体"/>
          <w:bCs/>
          <w:color w:val="auto"/>
          <w:szCs w:val="21"/>
          <w:highlight w:val="none"/>
          <w:shd w:val="clear" w:color="auto" w:fill="auto"/>
          <w:lang w:eastAsia="zh-CN"/>
        </w:rPr>
        <w:t>）：    （盖章）</w:t>
      </w:r>
    </w:p>
    <w:p w14:paraId="13BC5685">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负责人签名（或授权代表）</w:t>
      </w:r>
    </w:p>
    <w:p w14:paraId="612BE9DD">
      <w:pPr>
        <w:spacing w:line="400" w:lineRule="exact"/>
        <w:ind w:firstLine="1050" w:firstLineChars="500"/>
        <w:rPr>
          <w:rFonts w:hint="eastAsia" w:cs="宋体"/>
          <w:bCs/>
          <w:color w:val="auto"/>
          <w:szCs w:val="21"/>
          <w:highlight w:val="none"/>
          <w:shd w:val="clear" w:color="auto" w:fill="auto"/>
        </w:rPr>
      </w:pPr>
      <w:r>
        <w:rPr>
          <w:rFonts w:hint="eastAsia" w:cs="宋体"/>
          <w:bCs/>
          <w:color w:val="auto"/>
          <w:szCs w:val="21"/>
          <w:highlight w:val="none"/>
          <w:shd w:val="clear" w:color="auto" w:fill="auto"/>
        </w:rPr>
        <w:t xml:space="preserve"> 年    月    日</w:t>
      </w:r>
    </w:p>
    <w:p w14:paraId="3B69FEE8">
      <w:pPr>
        <w:spacing w:line="400" w:lineRule="exact"/>
        <w:rPr>
          <w:rFonts w:hint="eastAsia" w:eastAsia="宋体" w:cs="宋体"/>
          <w:bCs/>
          <w:color w:val="auto"/>
          <w:szCs w:val="21"/>
          <w:highlight w:val="none"/>
          <w:shd w:val="clear" w:color="auto" w:fill="auto"/>
          <w:lang w:val="en-US" w:eastAsia="zh-CN"/>
        </w:rPr>
      </w:pPr>
    </w:p>
    <w:p w14:paraId="147C44CA">
      <w:pPr>
        <w:pStyle w:val="48"/>
        <w:rPr>
          <w:rFonts w:hint="eastAsia"/>
          <w:color w:val="auto"/>
          <w:highlight w:val="none"/>
          <w:lang w:val="en-US" w:eastAsia="zh-CN"/>
        </w:rPr>
      </w:pPr>
    </w:p>
    <w:p w14:paraId="314AF20F">
      <w:pPr>
        <w:spacing w:line="400" w:lineRule="exact"/>
        <w:rPr>
          <w:rFonts w:hint="eastAsia" w:eastAsia="宋体" w:cs="宋体"/>
          <w:bCs/>
          <w:color w:val="auto"/>
          <w:szCs w:val="21"/>
          <w:highlight w:val="none"/>
          <w:shd w:val="clear" w:color="auto" w:fill="auto"/>
          <w:lang w:val="en-US" w:eastAsia="zh-CN"/>
        </w:rPr>
      </w:pPr>
    </w:p>
    <w:p w14:paraId="14C7B917">
      <w:pPr>
        <w:pStyle w:val="48"/>
        <w:rPr>
          <w:rFonts w:hint="eastAsia"/>
          <w:color w:val="auto"/>
          <w:highlight w:val="none"/>
          <w:lang w:val="en-US" w:eastAsia="zh-CN"/>
        </w:rPr>
      </w:pPr>
    </w:p>
    <w:p w14:paraId="4790EEAC">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乙方</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lang w:val="en-US" w:eastAsia="zh-CN"/>
        </w:rPr>
        <w:t>首席保险人</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 xml:space="preserve">      </w:t>
      </w:r>
      <w:r>
        <w:rPr>
          <w:rFonts w:hint="eastAsia" w:cs="宋体"/>
          <w:bCs/>
          <w:color w:val="auto"/>
          <w:szCs w:val="21"/>
          <w:highlight w:val="none"/>
          <w:shd w:val="clear" w:color="auto" w:fill="auto"/>
        </w:rPr>
        <w:t>（盖章）</w:t>
      </w:r>
    </w:p>
    <w:p w14:paraId="1FE3B814">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负责人签名（或授权代表）</w:t>
      </w:r>
    </w:p>
    <w:p w14:paraId="088FD033">
      <w:pPr>
        <w:spacing w:line="400" w:lineRule="exact"/>
        <w:ind w:firstLine="1050" w:firstLineChars="500"/>
        <w:rPr>
          <w:rFonts w:hint="eastAsia" w:eastAsia="宋体" w:cs="宋体"/>
          <w:bCs/>
          <w:color w:val="auto"/>
          <w:szCs w:val="21"/>
          <w:highlight w:val="none"/>
          <w:shd w:val="clear" w:color="auto" w:fill="auto"/>
          <w:lang w:val="en-US" w:eastAsia="zh-CN"/>
        </w:rPr>
      </w:pPr>
      <w:r>
        <w:rPr>
          <w:rFonts w:hint="eastAsia" w:cs="宋体"/>
          <w:bCs/>
          <w:color w:val="auto"/>
          <w:szCs w:val="21"/>
          <w:highlight w:val="none"/>
          <w:shd w:val="clear" w:color="auto" w:fill="auto"/>
          <w:lang w:val="en-US" w:eastAsia="zh-CN"/>
        </w:rPr>
        <w:t xml:space="preserve"> 年    月    日</w:t>
      </w:r>
    </w:p>
    <w:p w14:paraId="6C170313">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 xml:space="preserve">      </w:t>
      </w:r>
    </w:p>
    <w:p w14:paraId="0B18C678">
      <w:pPr>
        <w:spacing w:line="400" w:lineRule="exact"/>
        <w:rPr>
          <w:rFonts w:hint="eastAsia" w:cs="宋体"/>
          <w:bCs/>
          <w:color w:val="auto"/>
          <w:szCs w:val="21"/>
          <w:highlight w:val="none"/>
          <w:shd w:val="clear" w:color="auto" w:fill="auto"/>
        </w:rPr>
      </w:pPr>
    </w:p>
    <w:p w14:paraId="28862FE1">
      <w:pPr>
        <w:pStyle w:val="48"/>
        <w:rPr>
          <w:rFonts w:hint="eastAsia"/>
          <w:color w:val="auto"/>
          <w:highlight w:val="none"/>
        </w:rPr>
      </w:pPr>
    </w:p>
    <w:p w14:paraId="1B880D51">
      <w:pPr>
        <w:spacing w:line="400" w:lineRule="exact"/>
        <w:ind w:firstLine="420" w:firstLineChars="200"/>
        <w:rPr>
          <w:rFonts w:hint="eastAsia" w:cs="宋体"/>
          <w:bCs/>
          <w:color w:val="auto"/>
          <w:szCs w:val="21"/>
          <w:highlight w:val="none"/>
          <w:shd w:val="clear" w:color="auto" w:fill="auto"/>
        </w:rPr>
      </w:pPr>
    </w:p>
    <w:p w14:paraId="44FEC039">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 xml:space="preserve">            </w:t>
      </w:r>
    </w:p>
    <w:p w14:paraId="0B17502E">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丙方（业主方）</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val="en-US" w:eastAsia="zh-CN"/>
        </w:rPr>
        <w:t xml:space="preserve"> </w:t>
      </w:r>
      <w:r>
        <w:rPr>
          <w:rFonts w:hint="eastAsia" w:cs="宋体"/>
          <w:bCs/>
          <w:color w:val="auto"/>
          <w:szCs w:val="21"/>
          <w:highlight w:val="none"/>
          <w:shd w:val="clear" w:color="auto" w:fill="auto"/>
        </w:rPr>
        <w:t>（盖章）</w:t>
      </w:r>
    </w:p>
    <w:p w14:paraId="422A3C1E">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负责人签名（或授权代表）</w:t>
      </w:r>
    </w:p>
    <w:p w14:paraId="6FA98210">
      <w:pPr>
        <w:spacing w:line="400" w:lineRule="exact"/>
        <w:ind w:firstLine="840" w:firstLineChars="400"/>
        <w:rPr>
          <w:rFonts w:hint="eastAsia" w:cs="宋体"/>
          <w:bCs/>
          <w:color w:val="auto"/>
          <w:szCs w:val="21"/>
          <w:highlight w:val="none"/>
          <w:shd w:val="clear" w:color="auto" w:fill="auto"/>
        </w:rPr>
      </w:pPr>
      <w:r>
        <w:rPr>
          <w:rFonts w:hint="eastAsia" w:cs="宋体"/>
          <w:bCs/>
          <w:color w:val="auto"/>
          <w:szCs w:val="21"/>
          <w:highlight w:val="none"/>
          <w:shd w:val="clear" w:color="auto" w:fill="auto"/>
        </w:rPr>
        <w:t xml:space="preserve"> </w:t>
      </w:r>
      <w:r>
        <w:rPr>
          <w:rFonts w:hint="eastAsia" w:cs="宋体"/>
          <w:bCs/>
          <w:color w:val="auto"/>
          <w:szCs w:val="21"/>
          <w:highlight w:val="none"/>
          <w:shd w:val="clear" w:color="auto" w:fill="auto"/>
          <w:lang w:val="en-US" w:eastAsia="zh-CN"/>
        </w:rPr>
        <w:t xml:space="preserve">    </w:t>
      </w:r>
      <w:r>
        <w:rPr>
          <w:rFonts w:hint="eastAsia" w:cs="宋体"/>
          <w:bCs/>
          <w:color w:val="auto"/>
          <w:szCs w:val="21"/>
          <w:highlight w:val="none"/>
          <w:shd w:val="clear" w:color="auto" w:fill="auto"/>
        </w:rPr>
        <w:t>年    月    日</w:t>
      </w:r>
    </w:p>
    <w:p w14:paraId="67F0365B">
      <w:pPr>
        <w:spacing w:line="400" w:lineRule="exact"/>
        <w:ind w:firstLine="420" w:firstLineChars="200"/>
        <w:rPr>
          <w:rFonts w:hint="eastAsia" w:cs="宋体"/>
          <w:bCs/>
          <w:color w:val="auto"/>
          <w:szCs w:val="21"/>
          <w:highlight w:val="none"/>
          <w:shd w:val="clear" w:color="auto" w:fill="auto"/>
        </w:rPr>
      </w:pPr>
    </w:p>
    <w:p w14:paraId="195AB600">
      <w:pPr>
        <w:spacing w:line="400" w:lineRule="exact"/>
        <w:ind w:firstLine="420" w:firstLineChars="200"/>
        <w:rPr>
          <w:rFonts w:hint="eastAsia" w:cs="宋体"/>
          <w:bCs/>
          <w:color w:val="auto"/>
          <w:szCs w:val="21"/>
          <w:highlight w:val="none"/>
          <w:shd w:val="clear" w:color="auto" w:fill="auto"/>
        </w:rPr>
      </w:pPr>
    </w:p>
    <w:p w14:paraId="4FB314AB">
      <w:pPr>
        <w:spacing w:line="400" w:lineRule="exact"/>
        <w:ind w:firstLine="420" w:firstLineChars="200"/>
        <w:rPr>
          <w:rFonts w:hint="eastAsia" w:cs="宋体"/>
          <w:bCs/>
          <w:color w:val="auto"/>
          <w:szCs w:val="21"/>
          <w:highlight w:val="none"/>
          <w:shd w:val="clear" w:color="auto" w:fill="auto"/>
        </w:rPr>
      </w:pPr>
    </w:p>
    <w:p w14:paraId="36265A60">
      <w:pPr>
        <w:pStyle w:val="48"/>
        <w:rPr>
          <w:rFonts w:hint="eastAsia"/>
          <w:color w:val="auto"/>
          <w:highlight w:val="none"/>
        </w:rPr>
      </w:pPr>
    </w:p>
    <w:p w14:paraId="74D56AA3">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lang w:val="en-US" w:eastAsia="zh-CN"/>
        </w:rPr>
        <w:t>丁方（</w:t>
      </w:r>
      <w:r>
        <w:rPr>
          <w:rFonts w:hint="eastAsia" w:cs="宋体"/>
          <w:bCs/>
          <w:color w:val="auto"/>
          <w:szCs w:val="21"/>
          <w:highlight w:val="none"/>
          <w:shd w:val="clear" w:color="auto" w:fill="auto"/>
        </w:rPr>
        <w:t>保险经纪</w:t>
      </w:r>
      <w:r>
        <w:rPr>
          <w:rFonts w:hint="eastAsia" w:cs="宋体"/>
          <w:bCs/>
          <w:color w:val="auto"/>
          <w:szCs w:val="21"/>
          <w:highlight w:val="none"/>
          <w:shd w:val="clear" w:color="auto" w:fill="auto"/>
          <w:lang w:eastAsia="zh-CN"/>
        </w:rPr>
        <w:t>）</w:t>
      </w:r>
      <w:r>
        <w:rPr>
          <w:rFonts w:hint="eastAsia" w:cs="宋体"/>
          <w:bCs/>
          <w:color w:val="auto"/>
          <w:szCs w:val="21"/>
          <w:highlight w:val="none"/>
          <w:shd w:val="clear" w:color="auto" w:fill="auto"/>
        </w:rPr>
        <w:t>：</w:t>
      </w:r>
      <w:r>
        <w:rPr>
          <w:rFonts w:hint="eastAsia" w:cs="宋体"/>
          <w:bCs/>
          <w:color w:val="auto"/>
          <w:szCs w:val="21"/>
          <w:highlight w:val="none"/>
          <w:shd w:val="clear" w:color="auto" w:fill="auto"/>
          <w:lang w:eastAsia="zh-CN"/>
        </w:rPr>
        <w:t xml:space="preserve">  </w:t>
      </w:r>
      <w:r>
        <w:rPr>
          <w:rFonts w:hint="eastAsia" w:cs="宋体"/>
          <w:bCs/>
          <w:color w:val="auto"/>
          <w:szCs w:val="21"/>
          <w:highlight w:val="none"/>
          <w:shd w:val="clear" w:color="auto" w:fill="auto"/>
        </w:rPr>
        <w:t xml:space="preserve">（盖章） </w:t>
      </w:r>
    </w:p>
    <w:p w14:paraId="03CD1961">
      <w:pPr>
        <w:spacing w:line="400" w:lineRule="exact"/>
        <w:ind w:firstLine="420" w:firstLineChars="200"/>
        <w:rPr>
          <w:rFonts w:hint="eastAsia" w:cs="宋体"/>
          <w:bCs/>
          <w:color w:val="auto"/>
          <w:szCs w:val="21"/>
          <w:highlight w:val="none"/>
          <w:shd w:val="clear" w:color="auto" w:fill="auto"/>
        </w:rPr>
      </w:pPr>
      <w:r>
        <w:rPr>
          <w:rFonts w:hint="eastAsia" w:cs="宋体"/>
          <w:bCs/>
          <w:color w:val="auto"/>
          <w:szCs w:val="21"/>
          <w:highlight w:val="none"/>
          <w:shd w:val="clear" w:color="auto" w:fill="auto"/>
        </w:rPr>
        <w:t>负责人签名（或授权代表）</w:t>
      </w:r>
    </w:p>
    <w:p w14:paraId="4DF4A110">
      <w:pPr>
        <w:spacing w:line="400" w:lineRule="exact"/>
        <w:ind w:firstLine="1050" w:firstLineChars="500"/>
        <w:rPr>
          <w:rFonts w:hint="eastAsia" w:cs="宋体"/>
          <w:bCs/>
          <w:color w:val="auto"/>
          <w:szCs w:val="21"/>
          <w:highlight w:val="none"/>
          <w:shd w:val="clear" w:color="auto" w:fill="auto"/>
        </w:rPr>
      </w:pPr>
      <w:r>
        <w:rPr>
          <w:rFonts w:hint="eastAsia" w:cs="宋体"/>
          <w:bCs/>
          <w:color w:val="auto"/>
          <w:szCs w:val="21"/>
          <w:highlight w:val="none"/>
          <w:shd w:val="clear" w:color="auto" w:fill="auto"/>
        </w:rPr>
        <w:t xml:space="preserve">  年    月    日</w:t>
      </w:r>
    </w:p>
    <w:p w14:paraId="3551AD10">
      <w:pPr>
        <w:spacing w:line="400" w:lineRule="exact"/>
        <w:ind w:firstLine="420" w:firstLineChars="200"/>
        <w:rPr>
          <w:rFonts w:hint="eastAsia" w:cs="宋体"/>
          <w:bCs/>
          <w:color w:val="auto"/>
          <w:szCs w:val="21"/>
          <w:highlight w:val="none"/>
        </w:rPr>
      </w:pPr>
    </w:p>
    <w:p w14:paraId="0F56C4B0">
      <w:pPr>
        <w:spacing w:line="400" w:lineRule="exact"/>
        <w:rPr>
          <w:rFonts w:hint="eastAsia" w:cs="宋体"/>
          <w:bCs/>
          <w:color w:val="auto"/>
          <w:szCs w:val="21"/>
          <w:highlight w:val="none"/>
        </w:rPr>
      </w:pPr>
      <w:r>
        <w:rPr>
          <w:rFonts w:hint="eastAsia" w:cs="宋体"/>
          <w:bCs/>
          <w:color w:val="auto"/>
          <w:szCs w:val="21"/>
          <w:highlight w:val="none"/>
        </w:rPr>
        <w:t xml:space="preserve">   </w:t>
      </w:r>
    </w:p>
    <w:p w14:paraId="64379234">
      <w:pPr>
        <w:spacing w:line="400" w:lineRule="exact"/>
        <w:rPr>
          <w:rFonts w:hint="eastAsia" w:cs="宋体"/>
          <w:color w:val="auto"/>
          <w:szCs w:val="21"/>
          <w:highlight w:val="none"/>
        </w:rPr>
      </w:pPr>
    </w:p>
    <w:p w14:paraId="10992C9D">
      <w:pPr>
        <w:pStyle w:val="4"/>
        <w:spacing w:before="156" w:after="156"/>
        <w:rPr>
          <w:rFonts w:hint="eastAsia"/>
          <w:color w:val="auto"/>
          <w:sz w:val="24"/>
          <w:szCs w:val="24"/>
          <w:highlight w:val="none"/>
        </w:rPr>
      </w:pPr>
      <w:r>
        <w:rPr>
          <w:rFonts w:hint="eastAsia"/>
          <w:color w:val="auto"/>
          <w:sz w:val="24"/>
          <w:szCs w:val="24"/>
          <w:highlight w:val="none"/>
        </w:rPr>
        <w:t>附件</w:t>
      </w:r>
      <w:r>
        <w:rPr>
          <w:rFonts w:hint="eastAsia"/>
          <w:color w:val="auto"/>
          <w:sz w:val="24"/>
          <w:szCs w:val="24"/>
          <w:highlight w:val="none"/>
          <w:lang w:val="en-US" w:eastAsia="zh-CN"/>
        </w:rPr>
        <w:t>一</w:t>
      </w:r>
      <w:r>
        <w:rPr>
          <w:rFonts w:hint="eastAsia"/>
          <w:color w:val="auto"/>
          <w:sz w:val="24"/>
          <w:szCs w:val="24"/>
          <w:highlight w:val="none"/>
          <w:lang w:eastAsia="zh-CN"/>
        </w:rPr>
        <w:t>：（</w:t>
      </w:r>
      <w:r>
        <w:rPr>
          <w:rFonts w:hint="eastAsia"/>
          <w:color w:val="auto"/>
          <w:sz w:val="24"/>
          <w:szCs w:val="24"/>
          <w:highlight w:val="none"/>
          <w:lang w:val="en-US" w:eastAsia="zh-CN"/>
        </w:rPr>
        <w:t>一</w:t>
      </w:r>
      <w:r>
        <w:rPr>
          <w:rFonts w:hint="eastAsia"/>
          <w:color w:val="auto"/>
          <w:sz w:val="24"/>
          <w:szCs w:val="24"/>
          <w:highlight w:val="none"/>
          <w:lang w:eastAsia="zh-CN"/>
        </w:rPr>
        <w:t>）</w:t>
      </w:r>
      <w:r>
        <w:rPr>
          <w:rFonts w:hint="eastAsia"/>
          <w:color w:val="auto"/>
          <w:sz w:val="24"/>
          <w:szCs w:val="24"/>
          <w:highlight w:val="none"/>
          <w:lang w:val="en-US" w:eastAsia="zh-CN"/>
        </w:rPr>
        <w:t>建筑工程一切险</w:t>
      </w:r>
      <w:r>
        <w:rPr>
          <w:rFonts w:hint="eastAsia"/>
          <w:color w:val="auto"/>
          <w:sz w:val="24"/>
          <w:szCs w:val="24"/>
          <w:highlight w:val="none"/>
        </w:rPr>
        <w:t>保险条款</w:t>
      </w:r>
    </w:p>
    <w:p w14:paraId="170109C4">
      <w:pPr>
        <w:rPr>
          <w:rFonts w:hint="eastAsia"/>
          <w:color w:val="auto"/>
          <w:highlight w:val="none"/>
          <w:lang w:eastAsia="zh-CN"/>
        </w:rPr>
      </w:pPr>
    </w:p>
    <w:p w14:paraId="6808657F">
      <w:pPr>
        <w:jc w:val="center"/>
        <w:rPr>
          <w:rFonts w:hint="eastAsia" w:ascii="黑体" w:eastAsia="黑体"/>
          <w:b/>
          <w:color w:val="auto"/>
          <w:sz w:val="24"/>
          <w:szCs w:val="24"/>
          <w:highlight w:val="none"/>
        </w:rPr>
      </w:pPr>
      <w:r>
        <w:rPr>
          <w:rFonts w:hint="eastAsia" w:ascii="黑体" w:eastAsia="黑体"/>
          <w:b/>
          <w:color w:val="auto"/>
          <w:sz w:val="24"/>
          <w:szCs w:val="24"/>
          <w:highlight w:val="none"/>
          <w:lang w:val="en-US" w:eastAsia="zh-CN"/>
        </w:rPr>
        <w:t>**</w:t>
      </w:r>
      <w:r>
        <w:rPr>
          <w:rFonts w:hint="eastAsia" w:ascii="黑体" w:eastAsia="黑体"/>
          <w:b/>
          <w:color w:val="auto"/>
          <w:sz w:val="24"/>
          <w:szCs w:val="24"/>
          <w:highlight w:val="none"/>
        </w:rPr>
        <w:t>财产保险股份有限公司建筑工程一切险条款</w:t>
      </w:r>
    </w:p>
    <w:p w14:paraId="2149BF77">
      <w:pPr>
        <w:jc w:val="center"/>
        <w:rPr>
          <w:rFonts w:hint="eastAsia" w:ascii="黑体" w:eastAsia="黑体"/>
          <w:color w:val="auto"/>
          <w:sz w:val="24"/>
          <w:highlight w:val="none"/>
        </w:rPr>
      </w:pPr>
      <w:r>
        <w:rPr>
          <w:rFonts w:hint="eastAsia" w:ascii="黑体" w:eastAsia="黑体"/>
          <w:color w:val="auto"/>
          <w:sz w:val="24"/>
          <w:highlight w:val="none"/>
        </w:rPr>
        <w:t>（2009版）</w:t>
      </w:r>
    </w:p>
    <w:p w14:paraId="4D77EA2C">
      <w:pPr>
        <w:spacing w:line="240" w:lineRule="exact"/>
        <w:rPr>
          <w:rFonts w:hint="eastAsia"/>
          <w:color w:val="auto"/>
          <w:szCs w:val="21"/>
          <w:highlight w:val="none"/>
        </w:rPr>
      </w:pPr>
    </w:p>
    <w:p w14:paraId="4323812D">
      <w:pPr>
        <w:spacing w:line="400" w:lineRule="exact"/>
        <w:jc w:val="center"/>
        <w:rPr>
          <w:rFonts w:hint="eastAsia"/>
          <w:b/>
          <w:bCs/>
          <w:color w:val="auto"/>
          <w:szCs w:val="21"/>
          <w:highlight w:val="none"/>
        </w:rPr>
      </w:pPr>
      <w:bookmarkStart w:id="60" w:name="总则"/>
      <w:r>
        <w:rPr>
          <w:rFonts w:hint="eastAsia"/>
          <w:b/>
          <w:bCs/>
          <w:color w:val="auto"/>
          <w:szCs w:val="21"/>
          <w:highlight w:val="none"/>
        </w:rPr>
        <w:t>总  则</w:t>
      </w:r>
      <w:bookmarkEnd w:id="60"/>
    </w:p>
    <w:p w14:paraId="7E5100CD">
      <w:pPr>
        <w:spacing w:line="400" w:lineRule="exact"/>
        <w:ind w:firstLine="420" w:firstLineChars="200"/>
        <w:rPr>
          <w:rFonts w:hint="eastAsia"/>
          <w:color w:val="auto"/>
          <w:szCs w:val="21"/>
          <w:highlight w:val="none"/>
        </w:rPr>
      </w:pPr>
      <w:r>
        <w:rPr>
          <w:rFonts w:hint="eastAsia"/>
          <w:b/>
          <w:color w:val="auto"/>
          <w:szCs w:val="21"/>
          <w:highlight w:val="none"/>
        </w:rPr>
        <w:t>第一条</w:t>
      </w:r>
      <w:r>
        <w:rPr>
          <w:rFonts w:hint="eastAsia"/>
          <w:color w:val="auto"/>
          <w:szCs w:val="21"/>
          <w:highlight w:val="none"/>
        </w:rPr>
        <w:t xml:space="preserve"> 本保险合同由保险条款、投保单、保险单以及批单组成。凡涉及本保险合同的约定，均应采用书面形式。</w:t>
      </w:r>
    </w:p>
    <w:p w14:paraId="535AC824">
      <w:pPr>
        <w:spacing w:line="400" w:lineRule="exact"/>
        <w:ind w:firstLine="482"/>
        <w:rPr>
          <w:rFonts w:hint="eastAsia"/>
          <w:color w:val="auto"/>
          <w:szCs w:val="21"/>
          <w:highlight w:val="none"/>
        </w:rPr>
      </w:pPr>
    </w:p>
    <w:p w14:paraId="76D95449">
      <w:pPr>
        <w:spacing w:line="400" w:lineRule="exact"/>
        <w:jc w:val="center"/>
        <w:rPr>
          <w:rFonts w:hint="eastAsia"/>
          <w:b/>
          <w:bCs/>
          <w:color w:val="auto"/>
          <w:szCs w:val="21"/>
          <w:highlight w:val="none"/>
        </w:rPr>
      </w:pPr>
      <w:r>
        <w:rPr>
          <w:rFonts w:hint="eastAsia"/>
          <w:b/>
          <w:bCs/>
          <w:color w:val="auto"/>
          <w:szCs w:val="21"/>
          <w:highlight w:val="none"/>
        </w:rPr>
        <w:t>第一部分  物质损失保险部分</w:t>
      </w:r>
    </w:p>
    <w:p w14:paraId="5AE80E18">
      <w:pPr>
        <w:adjustRightInd w:val="0"/>
        <w:snapToGrid w:val="0"/>
        <w:spacing w:line="400" w:lineRule="exact"/>
        <w:jc w:val="center"/>
        <w:rPr>
          <w:rFonts w:hint="eastAsia"/>
          <w:b/>
          <w:bCs/>
          <w:color w:val="auto"/>
          <w:szCs w:val="21"/>
          <w:highlight w:val="none"/>
        </w:rPr>
      </w:pPr>
      <w:r>
        <w:rPr>
          <w:rFonts w:hint="eastAsia"/>
          <w:b/>
          <w:bCs/>
          <w:color w:val="auto"/>
          <w:szCs w:val="21"/>
          <w:highlight w:val="none"/>
        </w:rPr>
        <w:t>保险标的</w:t>
      </w:r>
    </w:p>
    <w:p w14:paraId="4E2B65CB">
      <w:pPr>
        <w:spacing w:line="400" w:lineRule="exact"/>
        <w:ind w:firstLine="412" w:firstLineChars="196"/>
        <w:rPr>
          <w:rFonts w:hint="eastAsia"/>
          <w:color w:val="auto"/>
          <w:szCs w:val="21"/>
          <w:highlight w:val="none"/>
        </w:rPr>
      </w:pPr>
      <w:r>
        <w:rPr>
          <w:rFonts w:hint="eastAsia"/>
          <w:b/>
          <w:color w:val="auto"/>
          <w:szCs w:val="21"/>
          <w:highlight w:val="none"/>
        </w:rPr>
        <w:t xml:space="preserve">第二条 </w:t>
      </w:r>
      <w:r>
        <w:rPr>
          <w:rFonts w:hint="eastAsia"/>
          <w:color w:val="auto"/>
          <w:szCs w:val="21"/>
          <w:highlight w:val="none"/>
        </w:rPr>
        <w:t>本保险合同的保险标的为：</w:t>
      </w:r>
    </w:p>
    <w:p w14:paraId="2E034328">
      <w:pPr>
        <w:spacing w:line="400" w:lineRule="exact"/>
        <w:ind w:firstLine="420" w:firstLineChars="200"/>
        <w:rPr>
          <w:rFonts w:hint="eastAsia"/>
          <w:color w:val="auto"/>
          <w:szCs w:val="21"/>
          <w:highlight w:val="none"/>
        </w:rPr>
      </w:pPr>
      <w:r>
        <w:rPr>
          <w:rFonts w:hint="eastAsia"/>
          <w:color w:val="auto"/>
          <w:szCs w:val="21"/>
          <w:highlight w:val="none"/>
        </w:rPr>
        <w:t>本保险合同明细表中分项列明的在列明工地范围内的与实施工程合同相关的财产或费用，属于本保险合同的保险标的。</w:t>
      </w:r>
    </w:p>
    <w:p w14:paraId="501558B4">
      <w:pPr>
        <w:adjustRightInd w:val="0"/>
        <w:snapToGrid w:val="0"/>
        <w:spacing w:line="400" w:lineRule="exact"/>
        <w:ind w:firstLine="412" w:firstLineChars="196"/>
        <w:rPr>
          <w:color w:val="auto"/>
          <w:szCs w:val="21"/>
          <w:highlight w:val="none"/>
        </w:rPr>
      </w:pPr>
      <w:r>
        <w:rPr>
          <w:rFonts w:hint="eastAsia"/>
          <w:b/>
          <w:color w:val="auto"/>
          <w:szCs w:val="21"/>
          <w:highlight w:val="none"/>
        </w:rPr>
        <w:t xml:space="preserve">第三条 </w:t>
      </w:r>
      <w:r>
        <w:rPr>
          <w:rFonts w:hint="eastAsia"/>
          <w:color w:val="auto"/>
          <w:szCs w:val="21"/>
          <w:highlight w:val="none"/>
        </w:rPr>
        <w:t>下列财产未经保险合同双方特别约定并在保险合同中载明保险金额的</w:t>
      </w:r>
      <w:r>
        <w:rPr>
          <w:color w:val="auto"/>
          <w:szCs w:val="21"/>
          <w:highlight w:val="none"/>
        </w:rPr>
        <w:t>，不属于本保险合同的保险标的：</w:t>
      </w:r>
    </w:p>
    <w:p w14:paraId="6819741D">
      <w:pPr>
        <w:adjustRightInd w:val="0"/>
        <w:snapToGrid w:val="0"/>
        <w:spacing w:line="400" w:lineRule="exact"/>
        <w:ind w:firstLine="420" w:firstLineChars="200"/>
        <w:rPr>
          <w:rFonts w:hint="eastAsia"/>
          <w:color w:val="auto"/>
          <w:szCs w:val="21"/>
          <w:highlight w:val="none"/>
        </w:rPr>
      </w:pPr>
      <w:r>
        <w:rPr>
          <w:rFonts w:hint="eastAsia"/>
          <w:color w:val="auto"/>
          <w:szCs w:val="21"/>
          <w:highlight w:val="none"/>
        </w:rPr>
        <w:t>（一）施工用机具、设备、机械装置；</w:t>
      </w:r>
    </w:p>
    <w:p w14:paraId="338BAA78">
      <w:pPr>
        <w:adjustRightInd w:val="0"/>
        <w:snapToGrid w:val="0"/>
        <w:spacing w:line="400" w:lineRule="exact"/>
        <w:ind w:firstLine="420" w:firstLineChars="200"/>
        <w:rPr>
          <w:rFonts w:hint="eastAsia"/>
          <w:color w:val="auto"/>
          <w:szCs w:val="21"/>
          <w:highlight w:val="none"/>
        </w:rPr>
      </w:pPr>
      <w:r>
        <w:rPr>
          <w:rFonts w:hint="eastAsia"/>
          <w:color w:val="auto"/>
          <w:szCs w:val="21"/>
          <w:highlight w:val="none"/>
        </w:rPr>
        <w:t>（二）在保险工程开始以前已经存在或形成的位于工地范围内或其周围的属于被保险人的财产；</w:t>
      </w:r>
    </w:p>
    <w:p w14:paraId="41D34611">
      <w:pPr>
        <w:adjustRightInd w:val="0"/>
        <w:snapToGrid w:val="0"/>
        <w:spacing w:line="400" w:lineRule="exact"/>
        <w:ind w:firstLine="420" w:firstLineChars="200"/>
        <w:rPr>
          <w:rFonts w:hint="eastAsia"/>
          <w:color w:val="auto"/>
          <w:szCs w:val="21"/>
          <w:highlight w:val="none"/>
        </w:rPr>
      </w:pPr>
      <w:r>
        <w:rPr>
          <w:rFonts w:hint="eastAsia"/>
          <w:color w:val="auto"/>
          <w:szCs w:val="21"/>
          <w:highlight w:val="none"/>
        </w:rPr>
        <w:t>（三）在本保险合同保险期间终止前，已经投入商业运行或业主已经接受、实际占有的财产或其中的任何一部分财产，或已经签发工程竣工证书或工程承包人已经正式提出申请验收并经业主代表验收合格的财产或其中任何一部分财产；</w:t>
      </w:r>
    </w:p>
    <w:p w14:paraId="0EC50868">
      <w:pPr>
        <w:adjustRightInd w:val="0"/>
        <w:snapToGrid w:val="0"/>
        <w:spacing w:line="400" w:lineRule="exact"/>
        <w:ind w:firstLine="420" w:firstLineChars="200"/>
        <w:rPr>
          <w:rFonts w:hint="eastAsia"/>
          <w:color w:val="auto"/>
          <w:szCs w:val="21"/>
          <w:highlight w:val="none"/>
        </w:rPr>
      </w:pPr>
      <w:r>
        <w:rPr>
          <w:rFonts w:hint="eastAsia"/>
          <w:color w:val="auto"/>
          <w:szCs w:val="21"/>
          <w:highlight w:val="none"/>
        </w:rPr>
        <w:t>（四）清除残骸费用。该费用指发生保险事故后，被保险人为修复保险标的而清理施工现场所发生的必要、合理的费用。</w:t>
      </w:r>
    </w:p>
    <w:p w14:paraId="21BA037B">
      <w:pPr>
        <w:spacing w:line="400" w:lineRule="exact"/>
        <w:ind w:firstLine="412" w:firstLineChars="196"/>
        <w:rPr>
          <w:rFonts w:hint="eastAsia"/>
          <w:color w:val="auto"/>
          <w:szCs w:val="21"/>
          <w:highlight w:val="none"/>
        </w:rPr>
      </w:pPr>
      <w:r>
        <w:rPr>
          <w:rFonts w:hint="eastAsia"/>
          <w:b/>
          <w:color w:val="auto"/>
          <w:szCs w:val="21"/>
          <w:highlight w:val="none"/>
        </w:rPr>
        <w:t xml:space="preserve">第四条 </w:t>
      </w:r>
      <w:r>
        <w:rPr>
          <w:rFonts w:hint="eastAsia"/>
          <w:color w:val="auto"/>
          <w:szCs w:val="21"/>
          <w:highlight w:val="none"/>
        </w:rPr>
        <w:t>下列财产不属于本保险合同的保险标的：</w:t>
      </w:r>
    </w:p>
    <w:p w14:paraId="16E7F8B9">
      <w:pPr>
        <w:adjustRightInd w:val="0"/>
        <w:snapToGrid w:val="0"/>
        <w:spacing w:line="400" w:lineRule="exact"/>
        <w:ind w:firstLine="420" w:firstLineChars="200"/>
        <w:rPr>
          <w:rFonts w:hint="eastAsia"/>
          <w:color w:val="auto"/>
          <w:szCs w:val="21"/>
          <w:highlight w:val="none"/>
        </w:rPr>
      </w:pPr>
      <w:r>
        <w:rPr>
          <w:rFonts w:hint="eastAsia"/>
          <w:color w:val="auto"/>
          <w:szCs w:val="21"/>
          <w:highlight w:val="none"/>
        </w:rPr>
        <w:t>（一）文件、账册、图表、技术资料、计算机软件、计算机数据资料等无法鉴定价值的财产；</w:t>
      </w:r>
    </w:p>
    <w:p w14:paraId="316EE0C5">
      <w:pPr>
        <w:adjustRightInd w:val="0"/>
        <w:snapToGrid w:val="0"/>
        <w:spacing w:line="400" w:lineRule="exact"/>
        <w:ind w:firstLine="420" w:firstLineChars="200"/>
        <w:rPr>
          <w:rFonts w:hint="eastAsia"/>
          <w:color w:val="auto"/>
          <w:szCs w:val="21"/>
          <w:highlight w:val="none"/>
        </w:rPr>
      </w:pPr>
      <w:r>
        <w:rPr>
          <w:rFonts w:hint="eastAsia"/>
          <w:color w:val="auto"/>
          <w:szCs w:val="21"/>
          <w:highlight w:val="none"/>
        </w:rPr>
        <w:t>（二）便携式通讯装置、便携式计算机设备、便携式照相摄像器材以及其他便携式装置、设备；</w:t>
      </w:r>
    </w:p>
    <w:p w14:paraId="31A0C02B">
      <w:pPr>
        <w:adjustRightInd w:val="0"/>
        <w:snapToGrid w:val="0"/>
        <w:spacing w:line="400" w:lineRule="exact"/>
        <w:ind w:firstLine="420" w:firstLineChars="200"/>
        <w:rPr>
          <w:rFonts w:hint="eastAsia"/>
          <w:color w:val="auto"/>
          <w:szCs w:val="21"/>
          <w:highlight w:val="none"/>
        </w:rPr>
      </w:pPr>
      <w:r>
        <w:rPr>
          <w:rFonts w:hint="eastAsia"/>
          <w:color w:val="auto"/>
          <w:szCs w:val="21"/>
          <w:highlight w:val="none"/>
        </w:rPr>
        <w:t>（三）土地、海床、矿藏、水资源、动物、植物、农作物；</w:t>
      </w:r>
    </w:p>
    <w:p w14:paraId="4F704741">
      <w:pPr>
        <w:adjustRightInd w:val="0"/>
        <w:snapToGrid w:val="0"/>
        <w:spacing w:line="400" w:lineRule="exact"/>
        <w:ind w:firstLine="420" w:firstLineChars="200"/>
        <w:rPr>
          <w:rFonts w:hint="eastAsia"/>
          <w:color w:val="auto"/>
          <w:szCs w:val="21"/>
          <w:highlight w:val="none"/>
        </w:rPr>
      </w:pPr>
      <w:r>
        <w:rPr>
          <w:rFonts w:hint="eastAsia"/>
          <w:color w:val="auto"/>
          <w:szCs w:val="21"/>
          <w:highlight w:val="none"/>
        </w:rPr>
        <w:t>（四）领有公共运输行驶执照的，或已由其他保险予以保障的车辆、船舶、航空器；</w:t>
      </w:r>
    </w:p>
    <w:p w14:paraId="4621EF9B">
      <w:pPr>
        <w:adjustRightInd w:val="0"/>
        <w:snapToGrid w:val="0"/>
        <w:spacing w:line="400" w:lineRule="exact"/>
        <w:ind w:firstLine="420" w:firstLineChars="200"/>
        <w:rPr>
          <w:rFonts w:hint="eastAsia"/>
          <w:b/>
          <w:color w:val="auto"/>
          <w:szCs w:val="21"/>
          <w:highlight w:val="none"/>
        </w:rPr>
      </w:pPr>
      <w:r>
        <w:rPr>
          <w:rFonts w:hint="eastAsia"/>
          <w:color w:val="auto"/>
          <w:szCs w:val="21"/>
          <w:highlight w:val="none"/>
        </w:rPr>
        <w:t>（五）违章建筑、危险建筑、非法占用的财产。</w:t>
      </w:r>
    </w:p>
    <w:p w14:paraId="27D53D9F">
      <w:pPr>
        <w:spacing w:line="400" w:lineRule="exact"/>
        <w:ind w:firstLine="482"/>
        <w:rPr>
          <w:rFonts w:hint="eastAsia"/>
          <w:color w:val="auto"/>
          <w:szCs w:val="21"/>
          <w:highlight w:val="none"/>
        </w:rPr>
      </w:pPr>
    </w:p>
    <w:p w14:paraId="63FBDA8A">
      <w:pPr>
        <w:spacing w:line="400" w:lineRule="exact"/>
        <w:jc w:val="center"/>
        <w:rPr>
          <w:rFonts w:hint="eastAsia"/>
          <w:b/>
          <w:bCs/>
          <w:color w:val="auto"/>
          <w:szCs w:val="21"/>
          <w:highlight w:val="none"/>
        </w:rPr>
      </w:pPr>
      <w:r>
        <w:rPr>
          <w:rFonts w:hint="eastAsia"/>
          <w:b/>
          <w:bCs/>
          <w:color w:val="auto"/>
          <w:szCs w:val="21"/>
          <w:highlight w:val="none"/>
        </w:rPr>
        <w:t>保险责任</w:t>
      </w:r>
    </w:p>
    <w:p w14:paraId="7E244B71">
      <w:pPr>
        <w:spacing w:line="400" w:lineRule="exact"/>
        <w:ind w:firstLine="412" w:firstLineChars="196"/>
        <w:rPr>
          <w:rFonts w:hint="eastAsia"/>
          <w:color w:val="auto"/>
          <w:szCs w:val="21"/>
          <w:highlight w:val="none"/>
        </w:rPr>
      </w:pPr>
      <w:r>
        <w:rPr>
          <w:rFonts w:hint="eastAsia"/>
          <w:b/>
          <w:color w:val="auto"/>
          <w:szCs w:val="21"/>
          <w:highlight w:val="none"/>
        </w:rPr>
        <w:t xml:space="preserve">第五条 </w:t>
      </w:r>
      <w:r>
        <w:rPr>
          <w:rFonts w:hint="eastAsia"/>
          <w:color w:val="auto"/>
          <w:szCs w:val="21"/>
          <w:highlight w:val="none"/>
        </w:rPr>
        <w:t>在保险期间内，本保险合同分项列明的保险财产在列明的工地范围内，因本保险合同责任免除以外的任何自然灾害或意外事故造成的物质损坏或灭失</w:t>
      </w:r>
      <w:r>
        <w:rPr>
          <w:color w:val="auto"/>
          <w:szCs w:val="21"/>
          <w:highlight w:val="none"/>
        </w:rPr>
        <w:t>(</w:t>
      </w:r>
      <w:r>
        <w:rPr>
          <w:rFonts w:hint="eastAsia"/>
          <w:color w:val="auto"/>
          <w:szCs w:val="21"/>
          <w:highlight w:val="none"/>
        </w:rPr>
        <w:t>以下简称“损失”</w:t>
      </w:r>
      <w:r>
        <w:rPr>
          <w:color w:val="auto"/>
          <w:szCs w:val="21"/>
          <w:highlight w:val="none"/>
        </w:rPr>
        <w:t>)</w:t>
      </w:r>
      <w:r>
        <w:rPr>
          <w:rFonts w:hint="eastAsia"/>
          <w:color w:val="auto"/>
          <w:szCs w:val="21"/>
          <w:highlight w:val="none"/>
        </w:rPr>
        <w:t>，保险人按本保险合同的约定负责赔偿。</w:t>
      </w:r>
    </w:p>
    <w:p w14:paraId="4CABA18E">
      <w:pPr>
        <w:spacing w:line="400" w:lineRule="exact"/>
        <w:ind w:firstLine="412" w:firstLineChars="196"/>
        <w:rPr>
          <w:b/>
          <w:color w:val="auto"/>
          <w:szCs w:val="21"/>
          <w:highlight w:val="none"/>
        </w:rPr>
      </w:pPr>
      <w:r>
        <w:rPr>
          <w:rFonts w:hint="eastAsia"/>
          <w:b/>
          <w:color w:val="auto"/>
          <w:szCs w:val="21"/>
          <w:highlight w:val="none"/>
        </w:rPr>
        <w:t xml:space="preserve">第六条 </w:t>
      </w:r>
      <w:r>
        <w:rPr>
          <w:rFonts w:hint="eastAsia"/>
          <w:color w:val="auto"/>
          <w:szCs w:val="21"/>
          <w:highlight w:val="none"/>
        </w:rPr>
        <w:t>在保险期间内，由于第五条保险责任事故发生造成保险标的的损失所产生的以下费用，保险人按照本保险合同的约定负责赔偿：</w:t>
      </w:r>
    </w:p>
    <w:p w14:paraId="40785EAF">
      <w:pPr>
        <w:pStyle w:val="26"/>
        <w:adjustRightInd w:val="0"/>
        <w:snapToGrid w:val="0"/>
        <w:spacing w:line="400" w:lineRule="exact"/>
        <w:ind w:firstLine="420" w:firstLineChars="200"/>
        <w:rPr>
          <w:rFonts w:hint="eastAsia" w:ascii="宋体" w:eastAsia="宋体"/>
          <w:b w:val="0"/>
          <w:color w:val="auto"/>
          <w:sz w:val="21"/>
          <w:szCs w:val="21"/>
          <w:highlight w:val="none"/>
        </w:rPr>
      </w:pPr>
      <w:r>
        <w:rPr>
          <w:rFonts w:hint="eastAsia" w:ascii="宋体" w:eastAsia="宋体"/>
          <w:b w:val="0"/>
          <w:color w:val="auto"/>
          <w:sz w:val="21"/>
          <w:szCs w:val="21"/>
          <w:highlight w:val="none"/>
        </w:rPr>
        <w:t>（一）保险事故发生后，被保险人为防止或减少保险标的的损失所支付的必要的、合理的费用，保险人按照本保险合同的约定也负责赔偿。</w:t>
      </w:r>
    </w:p>
    <w:p w14:paraId="2099F2FE">
      <w:pPr>
        <w:pStyle w:val="26"/>
        <w:adjustRightInd w:val="0"/>
        <w:snapToGrid w:val="0"/>
        <w:spacing w:line="400" w:lineRule="exact"/>
        <w:ind w:firstLine="420" w:firstLineChars="200"/>
        <w:rPr>
          <w:rFonts w:ascii="宋体" w:eastAsia="宋体"/>
          <w:b w:val="0"/>
          <w:color w:val="auto"/>
          <w:sz w:val="21"/>
          <w:szCs w:val="21"/>
          <w:highlight w:val="none"/>
        </w:rPr>
      </w:pPr>
      <w:r>
        <w:rPr>
          <w:rFonts w:hint="eastAsia" w:ascii="宋体" w:eastAsia="宋体"/>
          <w:b w:val="0"/>
          <w:color w:val="auto"/>
          <w:sz w:val="21"/>
          <w:szCs w:val="21"/>
          <w:highlight w:val="none"/>
        </w:rPr>
        <w:t>（二）对经本保险合同列明的因发生上述损失所产生的其他有关费用，保险人按本保险合同约定负责赔偿。</w:t>
      </w:r>
    </w:p>
    <w:p w14:paraId="136B5C4D">
      <w:pPr>
        <w:spacing w:line="400" w:lineRule="exact"/>
        <w:ind w:firstLine="482"/>
        <w:rPr>
          <w:rFonts w:hint="eastAsia"/>
          <w:color w:val="auto"/>
          <w:szCs w:val="21"/>
          <w:highlight w:val="none"/>
        </w:rPr>
      </w:pPr>
    </w:p>
    <w:p w14:paraId="2A20FB14">
      <w:pPr>
        <w:spacing w:line="400" w:lineRule="exact"/>
        <w:jc w:val="center"/>
        <w:rPr>
          <w:rFonts w:hint="eastAsia"/>
          <w:b/>
          <w:bCs/>
          <w:color w:val="auto"/>
          <w:szCs w:val="21"/>
          <w:highlight w:val="none"/>
        </w:rPr>
      </w:pPr>
      <w:r>
        <w:rPr>
          <w:rFonts w:hint="eastAsia"/>
          <w:b/>
          <w:bCs/>
          <w:color w:val="auto"/>
          <w:szCs w:val="21"/>
          <w:highlight w:val="none"/>
        </w:rPr>
        <w:t>责任免除</w:t>
      </w:r>
    </w:p>
    <w:p w14:paraId="2B2199A4">
      <w:pPr>
        <w:autoSpaceDE w:val="0"/>
        <w:autoSpaceDN w:val="0"/>
        <w:adjustRightInd w:val="0"/>
        <w:spacing w:line="400" w:lineRule="exact"/>
        <w:ind w:firstLine="410" w:firstLineChars="195"/>
        <w:rPr>
          <w:rFonts w:hint="eastAsia"/>
          <w:b/>
          <w:color w:val="auto"/>
          <w:szCs w:val="21"/>
          <w:highlight w:val="none"/>
        </w:rPr>
      </w:pPr>
      <w:r>
        <w:rPr>
          <w:rFonts w:hint="eastAsia"/>
          <w:b/>
          <w:color w:val="auto"/>
          <w:szCs w:val="21"/>
          <w:highlight w:val="none"/>
        </w:rPr>
        <w:t>第七条 下列原因造成的损失、费用，保险人不负责赔偿：</w:t>
      </w:r>
    </w:p>
    <w:p w14:paraId="4CEC4B07">
      <w:pPr>
        <w:autoSpaceDE w:val="0"/>
        <w:autoSpaceDN w:val="0"/>
        <w:adjustRightInd w:val="0"/>
        <w:spacing w:line="400" w:lineRule="exact"/>
        <w:ind w:firstLine="410" w:firstLineChars="195"/>
        <w:rPr>
          <w:rFonts w:hint="eastAsia"/>
          <w:b/>
          <w:color w:val="auto"/>
          <w:szCs w:val="21"/>
          <w:highlight w:val="none"/>
        </w:rPr>
      </w:pPr>
      <w:r>
        <w:rPr>
          <w:rFonts w:hint="eastAsia"/>
          <w:b/>
          <w:color w:val="auto"/>
          <w:szCs w:val="21"/>
          <w:highlight w:val="none"/>
        </w:rPr>
        <w:t>（一）设计错误引起的损失和费用；</w:t>
      </w:r>
    </w:p>
    <w:p w14:paraId="5D838F8B">
      <w:pPr>
        <w:autoSpaceDE w:val="0"/>
        <w:autoSpaceDN w:val="0"/>
        <w:adjustRightInd w:val="0"/>
        <w:spacing w:line="400" w:lineRule="exact"/>
        <w:ind w:firstLine="410" w:firstLineChars="195"/>
        <w:rPr>
          <w:rFonts w:hint="eastAsia"/>
          <w:b/>
          <w:color w:val="auto"/>
          <w:szCs w:val="21"/>
          <w:highlight w:val="none"/>
        </w:rPr>
      </w:pPr>
      <w:r>
        <w:rPr>
          <w:rFonts w:hint="eastAsia"/>
          <w:b/>
          <w:color w:val="auto"/>
          <w:szCs w:val="21"/>
          <w:highlight w:val="none"/>
        </w:rPr>
        <w:t>（二）自然磨损、内在或潜在缺陷、物质本身变化、自燃、自热、氧化、锈蚀、渗漏、鼠咬、虫蛀、大气</w:t>
      </w:r>
      <w:r>
        <w:rPr>
          <w:b/>
          <w:color w:val="auto"/>
          <w:szCs w:val="21"/>
          <w:highlight w:val="none"/>
        </w:rPr>
        <w:t>(</w:t>
      </w:r>
      <w:r>
        <w:rPr>
          <w:rFonts w:hint="eastAsia"/>
          <w:b/>
          <w:color w:val="auto"/>
          <w:szCs w:val="21"/>
          <w:highlight w:val="none"/>
        </w:rPr>
        <w:t>气候或气温</w:t>
      </w:r>
      <w:r>
        <w:rPr>
          <w:b/>
          <w:color w:val="auto"/>
          <w:szCs w:val="21"/>
          <w:highlight w:val="none"/>
        </w:rPr>
        <w:t>)</w:t>
      </w:r>
      <w:r>
        <w:rPr>
          <w:rFonts w:hint="eastAsia"/>
          <w:b/>
          <w:color w:val="auto"/>
          <w:szCs w:val="21"/>
          <w:highlight w:val="none"/>
        </w:rPr>
        <w:t>变化、正常水位变化或其他渐变原因造成的保险财产自身的损失和费用；</w:t>
      </w:r>
    </w:p>
    <w:p w14:paraId="0CEB439F">
      <w:pPr>
        <w:autoSpaceDE w:val="0"/>
        <w:autoSpaceDN w:val="0"/>
        <w:adjustRightInd w:val="0"/>
        <w:spacing w:line="400" w:lineRule="exact"/>
        <w:ind w:firstLine="410" w:firstLineChars="195"/>
        <w:rPr>
          <w:rFonts w:hint="eastAsia"/>
          <w:b/>
          <w:color w:val="auto"/>
          <w:szCs w:val="21"/>
          <w:highlight w:val="none"/>
        </w:rPr>
      </w:pPr>
      <w:r>
        <w:rPr>
          <w:rFonts w:hint="eastAsia"/>
          <w:b/>
          <w:color w:val="auto"/>
          <w:szCs w:val="21"/>
          <w:highlight w:val="none"/>
        </w:rPr>
        <w:t>（三）因原材料缺陷或工艺不善引起的保险财产本身的损失以及为换置、修理或矫正这些缺点错误所支付的费用；</w:t>
      </w:r>
    </w:p>
    <w:p w14:paraId="05D300BF">
      <w:pPr>
        <w:autoSpaceDE w:val="0"/>
        <w:autoSpaceDN w:val="0"/>
        <w:adjustRightInd w:val="0"/>
        <w:spacing w:line="400" w:lineRule="exact"/>
        <w:ind w:firstLine="410" w:firstLineChars="195"/>
        <w:rPr>
          <w:b/>
          <w:color w:val="auto"/>
          <w:szCs w:val="21"/>
          <w:highlight w:val="none"/>
        </w:rPr>
      </w:pPr>
      <w:r>
        <w:rPr>
          <w:rFonts w:hint="eastAsia"/>
          <w:b/>
          <w:color w:val="auto"/>
          <w:szCs w:val="21"/>
          <w:highlight w:val="none"/>
        </w:rPr>
        <w:t>（四）非外力引起的机械或电气装置的本身损失，或施工用机具、设备、机械装置失灵造成的本身损失。</w:t>
      </w:r>
    </w:p>
    <w:p w14:paraId="41AF1AC4">
      <w:pPr>
        <w:adjustRightInd w:val="0"/>
        <w:snapToGrid w:val="0"/>
        <w:spacing w:line="400" w:lineRule="exact"/>
        <w:ind w:firstLine="410" w:firstLineChars="195"/>
        <w:rPr>
          <w:rFonts w:hint="eastAsia"/>
          <w:b/>
          <w:color w:val="auto"/>
          <w:szCs w:val="21"/>
          <w:highlight w:val="none"/>
        </w:rPr>
      </w:pPr>
      <w:r>
        <w:rPr>
          <w:rFonts w:hint="eastAsia"/>
          <w:b/>
          <w:color w:val="auto"/>
          <w:szCs w:val="21"/>
          <w:highlight w:val="none"/>
        </w:rPr>
        <w:t>第八条 下列损失、费用，保险人也不负责赔偿：</w:t>
      </w:r>
    </w:p>
    <w:p w14:paraId="3BF527DA">
      <w:pPr>
        <w:adjustRightInd w:val="0"/>
        <w:snapToGrid w:val="0"/>
        <w:spacing w:line="400" w:lineRule="exact"/>
        <w:ind w:firstLine="410" w:firstLineChars="195"/>
        <w:rPr>
          <w:rFonts w:hint="eastAsia"/>
          <w:b/>
          <w:color w:val="auto"/>
          <w:szCs w:val="21"/>
          <w:highlight w:val="none"/>
        </w:rPr>
      </w:pPr>
      <w:r>
        <w:rPr>
          <w:rFonts w:hint="eastAsia"/>
          <w:b/>
          <w:color w:val="auto"/>
          <w:szCs w:val="21"/>
          <w:highlight w:val="none"/>
        </w:rPr>
        <w:t>（一）维修保养或正常检修的费用；</w:t>
      </w:r>
    </w:p>
    <w:p w14:paraId="4E7101BB">
      <w:pPr>
        <w:adjustRightInd w:val="0"/>
        <w:snapToGrid w:val="0"/>
        <w:spacing w:line="400" w:lineRule="exact"/>
        <w:ind w:firstLine="410" w:firstLineChars="195"/>
        <w:rPr>
          <w:rFonts w:hint="eastAsia"/>
          <w:b/>
          <w:color w:val="auto"/>
          <w:szCs w:val="21"/>
          <w:highlight w:val="none"/>
        </w:rPr>
      </w:pPr>
      <w:r>
        <w:rPr>
          <w:rFonts w:hint="eastAsia"/>
          <w:b/>
          <w:color w:val="auto"/>
          <w:szCs w:val="21"/>
          <w:highlight w:val="none"/>
        </w:rPr>
        <w:t>（二）档案、文件、账簿、票据、现金、各种有价证券、图表资料及包装物料的损失；</w:t>
      </w:r>
    </w:p>
    <w:p w14:paraId="23B35A93">
      <w:pPr>
        <w:adjustRightInd w:val="0"/>
        <w:snapToGrid w:val="0"/>
        <w:spacing w:line="400" w:lineRule="exact"/>
        <w:ind w:firstLine="410" w:firstLineChars="195"/>
        <w:rPr>
          <w:rFonts w:hint="eastAsia"/>
          <w:b/>
          <w:color w:val="auto"/>
          <w:szCs w:val="21"/>
          <w:highlight w:val="none"/>
        </w:rPr>
      </w:pPr>
      <w:r>
        <w:rPr>
          <w:rFonts w:hint="eastAsia"/>
          <w:b/>
          <w:color w:val="auto"/>
          <w:szCs w:val="21"/>
          <w:highlight w:val="none"/>
        </w:rPr>
        <w:t>（三）盘点时发现的短缺；</w:t>
      </w:r>
    </w:p>
    <w:p w14:paraId="24A429BC">
      <w:pPr>
        <w:adjustRightInd w:val="0"/>
        <w:snapToGrid w:val="0"/>
        <w:spacing w:line="400" w:lineRule="exact"/>
        <w:ind w:firstLine="410" w:firstLineChars="195"/>
        <w:rPr>
          <w:rFonts w:hint="eastAsia"/>
          <w:b/>
          <w:color w:val="auto"/>
          <w:szCs w:val="21"/>
          <w:highlight w:val="none"/>
        </w:rPr>
      </w:pPr>
      <w:r>
        <w:rPr>
          <w:rFonts w:hint="eastAsia"/>
          <w:b/>
          <w:color w:val="auto"/>
          <w:szCs w:val="21"/>
          <w:highlight w:val="none"/>
        </w:rPr>
        <w:t>（四）领有公共运输行驶执照的，或已由其他保险予以保障的车辆、船舶和飞机的损失；</w:t>
      </w:r>
    </w:p>
    <w:p w14:paraId="41D23434">
      <w:pPr>
        <w:adjustRightInd w:val="0"/>
        <w:snapToGrid w:val="0"/>
        <w:spacing w:line="400" w:lineRule="exact"/>
        <w:ind w:firstLine="410" w:firstLineChars="195"/>
        <w:rPr>
          <w:rFonts w:hint="eastAsia"/>
          <w:b/>
          <w:color w:val="auto"/>
          <w:szCs w:val="21"/>
          <w:highlight w:val="none"/>
        </w:rPr>
      </w:pPr>
      <w:r>
        <w:rPr>
          <w:rFonts w:hint="eastAsia"/>
          <w:b/>
          <w:color w:val="auto"/>
          <w:szCs w:val="21"/>
          <w:highlight w:val="none"/>
        </w:rPr>
        <w:t>（五）除非另有约定，在保险工程开始以前已经存在或形成的位于工地范围内或其周围的属于被保险人的财产的损失；</w:t>
      </w:r>
    </w:p>
    <w:p w14:paraId="49BCC8BB">
      <w:pPr>
        <w:adjustRightInd w:val="0"/>
        <w:snapToGrid w:val="0"/>
        <w:spacing w:line="400" w:lineRule="exact"/>
        <w:ind w:firstLine="410" w:firstLineChars="195"/>
        <w:rPr>
          <w:rFonts w:hint="eastAsia"/>
          <w:b/>
          <w:color w:val="auto"/>
          <w:szCs w:val="21"/>
          <w:highlight w:val="none"/>
        </w:rPr>
      </w:pPr>
      <w:r>
        <w:rPr>
          <w:rFonts w:hint="eastAsia"/>
          <w:b/>
          <w:color w:val="auto"/>
          <w:szCs w:val="21"/>
          <w:highlight w:val="none"/>
        </w:rPr>
        <w:t>（六）除非另有约定，在本保险合同保险期间终止以前，保险财产中已由工程所有人签发完工验收证书或验收合格或实际占有或使用或接收部分的损失。</w:t>
      </w:r>
    </w:p>
    <w:p w14:paraId="42FC0EAC">
      <w:pPr>
        <w:spacing w:line="400" w:lineRule="exact"/>
        <w:ind w:firstLine="482"/>
        <w:rPr>
          <w:rFonts w:hint="eastAsia"/>
          <w:color w:val="auto"/>
          <w:szCs w:val="21"/>
          <w:highlight w:val="none"/>
        </w:rPr>
      </w:pPr>
    </w:p>
    <w:p w14:paraId="2B2B1502">
      <w:pPr>
        <w:spacing w:line="400" w:lineRule="exact"/>
        <w:jc w:val="center"/>
        <w:rPr>
          <w:rFonts w:hint="eastAsia"/>
          <w:b/>
          <w:bCs/>
          <w:color w:val="auto"/>
          <w:szCs w:val="21"/>
          <w:highlight w:val="none"/>
        </w:rPr>
      </w:pPr>
      <w:r>
        <w:rPr>
          <w:rFonts w:hint="eastAsia"/>
          <w:b/>
          <w:bCs/>
          <w:color w:val="auto"/>
          <w:szCs w:val="21"/>
          <w:highlight w:val="none"/>
        </w:rPr>
        <w:t>保险金额与免赔额（率）</w:t>
      </w:r>
    </w:p>
    <w:p w14:paraId="24FF12CF">
      <w:pPr>
        <w:adjustRightInd w:val="0"/>
        <w:snapToGrid w:val="0"/>
        <w:spacing w:line="400" w:lineRule="exact"/>
        <w:ind w:firstLine="412" w:firstLineChars="196"/>
        <w:rPr>
          <w:rFonts w:hint="eastAsia"/>
          <w:color w:val="auto"/>
          <w:szCs w:val="21"/>
          <w:highlight w:val="none"/>
        </w:rPr>
      </w:pPr>
      <w:r>
        <w:rPr>
          <w:rFonts w:hint="eastAsia"/>
          <w:b/>
          <w:color w:val="auto"/>
          <w:szCs w:val="21"/>
          <w:highlight w:val="none"/>
        </w:rPr>
        <w:t xml:space="preserve">第九条 </w:t>
      </w:r>
      <w:r>
        <w:rPr>
          <w:color w:val="auto"/>
          <w:szCs w:val="21"/>
          <w:highlight w:val="none"/>
        </w:rPr>
        <w:t>(</w:t>
      </w:r>
      <w:r>
        <w:rPr>
          <w:rFonts w:hint="eastAsia"/>
          <w:color w:val="auto"/>
          <w:szCs w:val="21"/>
          <w:highlight w:val="none"/>
        </w:rPr>
        <w:t>一</w:t>
      </w:r>
      <w:r>
        <w:rPr>
          <w:color w:val="auto"/>
          <w:szCs w:val="21"/>
          <w:highlight w:val="none"/>
        </w:rPr>
        <w:t xml:space="preserve">) </w:t>
      </w:r>
      <w:r>
        <w:rPr>
          <w:rFonts w:hint="eastAsia"/>
          <w:color w:val="auto"/>
          <w:szCs w:val="21"/>
          <w:highlight w:val="none"/>
        </w:rPr>
        <w:t>本保险合同中列明的保险金额应不低于：</w:t>
      </w:r>
    </w:p>
    <w:p w14:paraId="0D9AE71F">
      <w:pPr>
        <w:autoSpaceDE w:val="0"/>
        <w:autoSpaceDN w:val="0"/>
        <w:adjustRightInd w:val="0"/>
        <w:spacing w:line="400" w:lineRule="exact"/>
        <w:ind w:firstLine="359" w:firstLineChars="171"/>
        <w:rPr>
          <w:rFonts w:hint="eastAsia"/>
          <w:color w:val="auto"/>
          <w:szCs w:val="21"/>
          <w:highlight w:val="none"/>
        </w:rPr>
      </w:pPr>
      <w:r>
        <w:rPr>
          <w:color w:val="auto"/>
          <w:szCs w:val="21"/>
          <w:highlight w:val="none"/>
        </w:rPr>
        <w:t>1</w:t>
      </w:r>
      <w:r>
        <w:rPr>
          <w:rFonts w:hint="eastAsia"/>
          <w:color w:val="auto"/>
          <w:szCs w:val="21"/>
          <w:highlight w:val="none"/>
        </w:rPr>
        <w:t>、建筑工程一一保险工程建筑完成时的总价值，包括原材料费用、设备费用、建造费、安装费、运保费、关税、其他税项和费用，以及由工程所有人提供的原材料和设备的费用；</w:t>
      </w:r>
    </w:p>
    <w:p w14:paraId="42474329">
      <w:pPr>
        <w:autoSpaceDE w:val="0"/>
        <w:autoSpaceDN w:val="0"/>
        <w:adjustRightInd w:val="0"/>
        <w:spacing w:line="400" w:lineRule="exact"/>
        <w:ind w:firstLine="359" w:firstLineChars="171"/>
        <w:rPr>
          <w:rFonts w:hint="eastAsia"/>
          <w:color w:val="auto"/>
          <w:szCs w:val="21"/>
          <w:highlight w:val="none"/>
        </w:rPr>
      </w:pPr>
      <w:r>
        <w:rPr>
          <w:rFonts w:hint="eastAsia"/>
          <w:color w:val="auto"/>
          <w:szCs w:val="21"/>
          <w:highlight w:val="none"/>
        </w:rPr>
        <w:t>2、其他保险项目一一由投保人与保险人商定的金额。</w:t>
      </w:r>
    </w:p>
    <w:p w14:paraId="6754A81B">
      <w:pPr>
        <w:autoSpaceDE w:val="0"/>
        <w:autoSpaceDN w:val="0"/>
        <w:adjustRightInd w:val="0"/>
        <w:spacing w:line="400" w:lineRule="exact"/>
        <w:ind w:firstLine="359" w:firstLineChars="171"/>
        <w:rPr>
          <w:rFonts w:hint="eastAsia"/>
          <w:color w:val="auto"/>
          <w:szCs w:val="21"/>
          <w:highlight w:val="none"/>
        </w:rPr>
      </w:pPr>
      <w:r>
        <w:rPr>
          <w:color w:val="auto"/>
          <w:szCs w:val="21"/>
          <w:highlight w:val="none"/>
        </w:rPr>
        <w:t>(</w:t>
      </w:r>
      <w:r>
        <w:rPr>
          <w:rFonts w:hint="eastAsia"/>
          <w:color w:val="auto"/>
          <w:szCs w:val="21"/>
          <w:highlight w:val="none"/>
        </w:rPr>
        <w:t>二</w:t>
      </w:r>
      <w:r>
        <w:rPr>
          <w:color w:val="auto"/>
          <w:szCs w:val="21"/>
          <w:highlight w:val="none"/>
        </w:rPr>
        <w:t>)</w:t>
      </w:r>
      <w:r>
        <w:rPr>
          <w:rFonts w:hint="eastAsia"/>
          <w:color w:val="auto"/>
          <w:szCs w:val="21"/>
          <w:highlight w:val="none"/>
        </w:rPr>
        <w:t>若投保人是以保险工程合同规定的工程概算总造价投保，投保人或被保险人应：</w:t>
      </w:r>
    </w:p>
    <w:p w14:paraId="08C56CE9">
      <w:pPr>
        <w:autoSpaceDE w:val="0"/>
        <w:autoSpaceDN w:val="0"/>
        <w:adjustRightInd w:val="0"/>
        <w:spacing w:line="400" w:lineRule="exact"/>
        <w:ind w:firstLine="359" w:firstLineChars="171"/>
        <w:rPr>
          <w:rFonts w:hint="eastAsia"/>
          <w:color w:val="auto"/>
          <w:szCs w:val="21"/>
          <w:highlight w:val="none"/>
        </w:rPr>
      </w:pPr>
      <w:r>
        <w:rPr>
          <w:color w:val="auto"/>
          <w:szCs w:val="21"/>
          <w:highlight w:val="none"/>
        </w:rPr>
        <w:t>1</w:t>
      </w:r>
      <w:r>
        <w:rPr>
          <w:rFonts w:hint="eastAsia"/>
          <w:color w:val="auto"/>
          <w:szCs w:val="21"/>
          <w:highlight w:val="none"/>
        </w:rPr>
        <w:t>、在本保险项下工程造价中包括的各项费用因涨价或升值原因而超出保险工程造价时，必须尽快以书面通知保险人，保险人据此调整保险金额；</w:t>
      </w:r>
    </w:p>
    <w:p w14:paraId="001ABAE3">
      <w:pPr>
        <w:autoSpaceDE w:val="0"/>
        <w:autoSpaceDN w:val="0"/>
        <w:adjustRightInd w:val="0"/>
        <w:spacing w:line="400" w:lineRule="exact"/>
        <w:ind w:firstLine="359" w:firstLineChars="171"/>
        <w:rPr>
          <w:rFonts w:hint="eastAsia"/>
          <w:color w:val="auto"/>
          <w:szCs w:val="21"/>
          <w:highlight w:val="none"/>
        </w:rPr>
      </w:pPr>
      <w:r>
        <w:rPr>
          <w:color w:val="auto"/>
          <w:szCs w:val="21"/>
          <w:highlight w:val="none"/>
        </w:rPr>
        <w:t>2</w:t>
      </w:r>
      <w:r>
        <w:rPr>
          <w:rFonts w:hint="eastAsia"/>
          <w:color w:val="auto"/>
          <w:szCs w:val="21"/>
          <w:highlight w:val="none"/>
        </w:rPr>
        <w:t>、在保险期间内对相应的工程细节作出精确记录，并允许保险人在合理的时候对该项记录进行查验；</w:t>
      </w:r>
    </w:p>
    <w:p w14:paraId="2F3F00ED">
      <w:pPr>
        <w:autoSpaceDE w:val="0"/>
        <w:autoSpaceDN w:val="0"/>
        <w:adjustRightInd w:val="0"/>
        <w:spacing w:line="400" w:lineRule="exact"/>
        <w:ind w:firstLine="359" w:firstLineChars="171"/>
        <w:rPr>
          <w:color w:val="auto"/>
          <w:szCs w:val="21"/>
          <w:highlight w:val="none"/>
        </w:rPr>
      </w:pPr>
      <w:r>
        <w:rPr>
          <w:color w:val="auto"/>
          <w:szCs w:val="21"/>
          <w:highlight w:val="none"/>
        </w:rPr>
        <w:t>3</w:t>
      </w:r>
      <w:r>
        <w:rPr>
          <w:rFonts w:hint="eastAsia"/>
          <w:color w:val="auto"/>
          <w:szCs w:val="21"/>
          <w:highlight w:val="none"/>
        </w:rPr>
        <w:t>、若保险工程的建造期超过三年，必须从本保险合同生效日起每隔十二个月向保险人申报当时的工程实际投入金额及调整后的工程总造价，保险人将据此调整保险费；</w:t>
      </w:r>
    </w:p>
    <w:p w14:paraId="15A76518">
      <w:pPr>
        <w:spacing w:line="400" w:lineRule="exact"/>
        <w:ind w:firstLine="420" w:firstLineChars="200"/>
        <w:rPr>
          <w:rFonts w:hint="eastAsia"/>
          <w:color w:val="auto"/>
          <w:szCs w:val="21"/>
          <w:highlight w:val="none"/>
        </w:rPr>
      </w:pPr>
      <w:r>
        <w:rPr>
          <w:color w:val="auto"/>
          <w:szCs w:val="21"/>
          <w:highlight w:val="none"/>
        </w:rPr>
        <w:t>4</w:t>
      </w:r>
      <w:r>
        <w:rPr>
          <w:rFonts w:hint="eastAsia"/>
          <w:color w:val="auto"/>
          <w:szCs w:val="21"/>
          <w:highlight w:val="none"/>
        </w:rPr>
        <w:t>、在本保险合同列明的保险期间届满后三个月内向保险人申报最终的工程总价值，保险人据此以多退少补的方式对预收保险费进行调整。</w:t>
      </w:r>
    </w:p>
    <w:p w14:paraId="273D0652">
      <w:pPr>
        <w:spacing w:line="400" w:lineRule="exact"/>
        <w:ind w:firstLine="412" w:firstLineChars="196"/>
        <w:rPr>
          <w:rFonts w:hint="eastAsia"/>
          <w:color w:val="auto"/>
          <w:szCs w:val="21"/>
          <w:highlight w:val="none"/>
        </w:rPr>
      </w:pPr>
      <w:r>
        <w:rPr>
          <w:rFonts w:hint="eastAsia"/>
          <w:b/>
          <w:color w:val="auto"/>
          <w:szCs w:val="21"/>
          <w:highlight w:val="none"/>
        </w:rPr>
        <w:t xml:space="preserve">第十条 </w:t>
      </w:r>
      <w:r>
        <w:rPr>
          <w:rFonts w:hint="eastAsia"/>
          <w:color w:val="auto"/>
          <w:szCs w:val="21"/>
          <w:highlight w:val="none"/>
        </w:rPr>
        <w:t>免赔额（率）由投保人与保险人在订立保险合同时协商确定，并在保险合同中载明。</w:t>
      </w:r>
    </w:p>
    <w:p w14:paraId="6C24CB84">
      <w:pPr>
        <w:spacing w:line="400" w:lineRule="exact"/>
        <w:ind w:firstLine="482"/>
        <w:rPr>
          <w:rFonts w:hint="eastAsia"/>
          <w:color w:val="auto"/>
          <w:szCs w:val="21"/>
          <w:highlight w:val="none"/>
        </w:rPr>
      </w:pPr>
    </w:p>
    <w:p w14:paraId="52FB3551">
      <w:pPr>
        <w:spacing w:line="400" w:lineRule="exact"/>
        <w:jc w:val="center"/>
        <w:rPr>
          <w:rFonts w:hint="eastAsia"/>
          <w:b/>
          <w:color w:val="auto"/>
          <w:szCs w:val="21"/>
          <w:highlight w:val="none"/>
        </w:rPr>
      </w:pPr>
      <w:r>
        <w:rPr>
          <w:rFonts w:hint="eastAsia"/>
          <w:b/>
          <w:color w:val="auto"/>
          <w:szCs w:val="21"/>
          <w:highlight w:val="none"/>
        </w:rPr>
        <w:t>赔偿处理</w:t>
      </w:r>
    </w:p>
    <w:p w14:paraId="66207A9C">
      <w:pPr>
        <w:spacing w:line="400" w:lineRule="exact"/>
        <w:ind w:firstLine="412" w:firstLineChars="196"/>
        <w:rPr>
          <w:rFonts w:hint="eastAsia"/>
          <w:color w:val="auto"/>
          <w:szCs w:val="21"/>
          <w:highlight w:val="none"/>
        </w:rPr>
      </w:pPr>
      <w:r>
        <w:rPr>
          <w:rFonts w:hint="eastAsia"/>
          <w:b/>
          <w:color w:val="auto"/>
          <w:szCs w:val="21"/>
          <w:highlight w:val="none"/>
        </w:rPr>
        <w:t xml:space="preserve">第十一条 </w:t>
      </w:r>
      <w:r>
        <w:rPr>
          <w:rFonts w:hint="eastAsia"/>
          <w:color w:val="auto"/>
          <w:szCs w:val="21"/>
          <w:highlight w:val="none"/>
        </w:rPr>
        <w:t>对保险标的遭受的损失，保险人可选择以支付赔款或以修复、重置受损项目的方式予以赔偿，对保险标的在修复或替换过程中，被保险人进行的任何变更、性能增加或改进所产生的额外费用，保险人不负责赔偿。</w:t>
      </w:r>
    </w:p>
    <w:p w14:paraId="25E849FE">
      <w:pPr>
        <w:spacing w:line="400" w:lineRule="exact"/>
        <w:ind w:firstLine="412" w:firstLineChars="196"/>
        <w:rPr>
          <w:rFonts w:hint="eastAsia"/>
          <w:b/>
          <w:bCs/>
          <w:color w:val="auto"/>
          <w:szCs w:val="21"/>
          <w:highlight w:val="none"/>
        </w:rPr>
      </w:pPr>
      <w:r>
        <w:rPr>
          <w:rFonts w:hint="eastAsia"/>
          <w:b/>
          <w:bCs/>
          <w:color w:val="auto"/>
          <w:szCs w:val="21"/>
          <w:highlight w:val="none"/>
        </w:rPr>
        <w:t>第十二条 在发生本保险单项下的损失后，保险人按下列方式确定损失金额：</w:t>
      </w:r>
    </w:p>
    <w:p w14:paraId="25A9DDBC">
      <w:pPr>
        <w:pStyle w:val="13"/>
        <w:adjustRightInd w:val="0"/>
        <w:snapToGrid w:val="0"/>
        <w:spacing w:line="400" w:lineRule="exact"/>
        <w:rPr>
          <w:rFonts w:hint="eastAsia"/>
          <w:color w:val="auto"/>
          <w:szCs w:val="21"/>
          <w:highlight w:val="none"/>
        </w:rPr>
      </w:pPr>
      <w:r>
        <w:rPr>
          <w:rFonts w:hint="eastAsia"/>
          <w:color w:val="auto"/>
          <w:szCs w:val="21"/>
          <w:highlight w:val="none"/>
        </w:rPr>
        <w:t>（一）可以修复的部分损失：以将保险财产修复至其基本恢复受损前状态的费用考虑本</w:t>
      </w:r>
    </w:p>
    <w:p w14:paraId="23A9B13D">
      <w:pPr>
        <w:pStyle w:val="13"/>
        <w:adjustRightInd w:val="0"/>
        <w:snapToGrid w:val="0"/>
        <w:spacing w:line="400" w:lineRule="exact"/>
        <w:ind w:left="0" w:leftChars="0" w:firstLine="0" w:firstLineChars="0"/>
        <w:rPr>
          <w:rFonts w:hint="eastAsia"/>
          <w:color w:val="auto"/>
          <w:szCs w:val="21"/>
          <w:highlight w:val="none"/>
        </w:rPr>
      </w:pPr>
      <w:r>
        <w:rPr>
          <w:rFonts w:hint="eastAsia"/>
          <w:color w:val="auto"/>
          <w:szCs w:val="21"/>
          <w:highlight w:val="none"/>
        </w:rPr>
        <w:t>保险合同第四十六条约定的残值处理方式后确定的赔偿金额为准。但若修复费用等于或超过保险财产损失前的价值时，则按下列第（二）款的规定处理；</w:t>
      </w:r>
    </w:p>
    <w:p w14:paraId="5D39465F">
      <w:pPr>
        <w:pStyle w:val="13"/>
        <w:adjustRightInd w:val="0"/>
        <w:snapToGrid w:val="0"/>
        <w:spacing w:line="400" w:lineRule="exact"/>
        <w:rPr>
          <w:rFonts w:hint="eastAsia"/>
          <w:color w:val="auto"/>
          <w:szCs w:val="21"/>
          <w:highlight w:val="none"/>
        </w:rPr>
      </w:pPr>
      <w:r>
        <w:rPr>
          <w:rFonts w:hint="eastAsia"/>
          <w:color w:val="auto"/>
          <w:szCs w:val="21"/>
          <w:highlight w:val="none"/>
        </w:rPr>
        <w:t>（二）全部损失或推定全损：以保险财产损失前的实际价值考虑本保险合同第四十六条</w:t>
      </w:r>
    </w:p>
    <w:p w14:paraId="735BD25D">
      <w:pPr>
        <w:pStyle w:val="13"/>
        <w:adjustRightInd w:val="0"/>
        <w:snapToGrid w:val="0"/>
        <w:spacing w:line="400" w:lineRule="exact"/>
        <w:ind w:left="0" w:leftChars="0" w:firstLine="0" w:firstLineChars="0"/>
        <w:rPr>
          <w:rFonts w:hint="eastAsia"/>
          <w:color w:val="auto"/>
          <w:szCs w:val="21"/>
          <w:highlight w:val="none"/>
        </w:rPr>
      </w:pPr>
      <w:r>
        <w:rPr>
          <w:rFonts w:hint="eastAsia"/>
          <w:color w:val="auto"/>
          <w:szCs w:val="21"/>
          <w:highlight w:val="none"/>
        </w:rPr>
        <w:t>约定的残值处理方式后确定的赔偿金额为准。</w:t>
      </w:r>
    </w:p>
    <w:p w14:paraId="356F368D">
      <w:pPr>
        <w:pStyle w:val="13"/>
        <w:adjustRightInd w:val="0"/>
        <w:snapToGrid w:val="0"/>
        <w:spacing w:line="400" w:lineRule="exact"/>
        <w:rPr>
          <w:color w:val="auto"/>
          <w:szCs w:val="21"/>
          <w:highlight w:val="none"/>
        </w:rPr>
      </w:pPr>
      <w:r>
        <w:rPr>
          <w:rFonts w:hint="eastAsia"/>
          <w:b/>
          <w:color w:val="auto"/>
          <w:szCs w:val="21"/>
          <w:highlight w:val="none"/>
        </w:rPr>
        <w:t xml:space="preserve">第十三条 </w:t>
      </w:r>
      <w:r>
        <w:rPr>
          <w:rFonts w:hint="eastAsia"/>
          <w:color w:val="auto"/>
          <w:szCs w:val="21"/>
          <w:highlight w:val="none"/>
        </w:rPr>
        <w:t>保险标的发生保险责任范围内的损失，保险人按以下方式计算赔偿：</w:t>
      </w:r>
    </w:p>
    <w:p w14:paraId="52D4CA42">
      <w:pPr>
        <w:pStyle w:val="13"/>
        <w:adjustRightInd w:val="0"/>
        <w:snapToGrid w:val="0"/>
        <w:spacing w:line="400" w:lineRule="exact"/>
        <w:rPr>
          <w:rFonts w:hint="eastAsia"/>
          <w:color w:val="auto"/>
          <w:szCs w:val="21"/>
          <w:highlight w:val="none"/>
        </w:rPr>
      </w:pPr>
      <w:r>
        <w:rPr>
          <w:rFonts w:hint="eastAsia"/>
          <w:color w:val="auto"/>
          <w:szCs w:val="21"/>
          <w:highlight w:val="none"/>
        </w:rPr>
        <w:t>（一）保险金额等于或高于应保险金额时，按实际损失计算赔偿，最高不超过应保险金</w:t>
      </w:r>
    </w:p>
    <w:p w14:paraId="2A46F79B">
      <w:pPr>
        <w:pStyle w:val="13"/>
        <w:adjustRightInd w:val="0"/>
        <w:snapToGrid w:val="0"/>
        <w:spacing w:line="400" w:lineRule="exact"/>
        <w:ind w:left="0" w:leftChars="0" w:firstLine="0" w:firstLineChars="0"/>
        <w:rPr>
          <w:color w:val="auto"/>
          <w:szCs w:val="21"/>
          <w:highlight w:val="none"/>
        </w:rPr>
      </w:pPr>
      <w:r>
        <w:rPr>
          <w:rFonts w:hint="eastAsia"/>
          <w:color w:val="auto"/>
          <w:szCs w:val="21"/>
          <w:highlight w:val="none"/>
        </w:rPr>
        <w:t>额；</w:t>
      </w:r>
    </w:p>
    <w:p w14:paraId="7810D2DE">
      <w:pPr>
        <w:pStyle w:val="13"/>
        <w:adjustRightInd w:val="0"/>
        <w:snapToGrid w:val="0"/>
        <w:spacing w:line="400" w:lineRule="exact"/>
        <w:rPr>
          <w:rFonts w:hint="eastAsia"/>
          <w:color w:val="auto"/>
          <w:szCs w:val="21"/>
          <w:highlight w:val="none"/>
        </w:rPr>
      </w:pPr>
      <w:r>
        <w:rPr>
          <w:rFonts w:hint="eastAsia"/>
          <w:color w:val="auto"/>
          <w:szCs w:val="21"/>
          <w:highlight w:val="none"/>
        </w:rPr>
        <w:t>（二）保险金额低于应保险金额时，按保险金额与应保险金额的比例乘以实际损失计算</w:t>
      </w:r>
    </w:p>
    <w:p w14:paraId="6A8C069C">
      <w:pPr>
        <w:pStyle w:val="13"/>
        <w:adjustRightInd w:val="0"/>
        <w:snapToGrid w:val="0"/>
        <w:spacing w:line="400" w:lineRule="exact"/>
        <w:ind w:left="0" w:leftChars="0" w:firstLine="0" w:firstLineChars="0"/>
        <w:rPr>
          <w:rFonts w:hint="eastAsia"/>
          <w:color w:val="auto"/>
          <w:szCs w:val="21"/>
          <w:highlight w:val="none"/>
        </w:rPr>
      </w:pPr>
      <w:r>
        <w:rPr>
          <w:rFonts w:hint="eastAsia"/>
          <w:color w:val="auto"/>
          <w:szCs w:val="21"/>
          <w:highlight w:val="none"/>
        </w:rPr>
        <w:t>赔偿，最高不超过保险金额。</w:t>
      </w:r>
    </w:p>
    <w:p w14:paraId="3AF4587A">
      <w:pPr>
        <w:spacing w:line="400" w:lineRule="exact"/>
        <w:ind w:firstLine="412" w:firstLineChars="196"/>
        <w:rPr>
          <w:rFonts w:hint="eastAsia"/>
          <w:bCs/>
          <w:color w:val="auto"/>
          <w:szCs w:val="21"/>
          <w:highlight w:val="none"/>
        </w:rPr>
      </w:pPr>
      <w:r>
        <w:rPr>
          <w:rFonts w:hint="eastAsia"/>
          <w:b/>
          <w:color w:val="auto"/>
          <w:szCs w:val="21"/>
          <w:highlight w:val="none"/>
        </w:rPr>
        <w:t xml:space="preserve">第十四条 </w:t>
      </w:r>
      <w:r>
        <w:rPr>
          <w:rStyle w:val="38"/>
          <w:rFonts w:hint="eastAsia"/>
          <w:color w:val="auto"/>
          <w:szCs w:val="21"/>
          <w:highlight w:val="none"/>
        </w:rPr>
        <w:t>每次事故保险人的赔偿金额为根据第十三条约定计算的金额扣除每次事故免赔额后的金额，</w:t>
      </w:r>
      <w:r>
        <w:rPr>
          <w:rFonts w:hint="eastAsia"/>
          <w:color w:val="auto"/>
          <w:szCs w:val="21"/>
          <w:highlight w:val="none"/>
        </w:rPr>
        <w:t>或者为</w:t>
      </w:r>
      <w:r>
        <w:rPr>
          <w:rStyle w:val="38"/>
          <w:rFonts w:hint="eastAsia"/>
          <w:color w:val="auto"/>
          <w:szCs w:val="21"/>
          <w:highlight w:val="none"/>
        </w:rPr>
        <w:t>根据第十三条约定计算的金额扣除该金额与免赔率乘积后的金额。</w:t>
      </w:r>
    </w:p>
    <w:p w14:paraId="15441363">
      <w:pPr>
        <w:spacing w:line="400" w:lineRule="exact"/>
        <w:ind w:firstLine="420" w:firstLineChars="200"/>
        <w:rPr>
          <w:rFonts w:hint="eastAsia"/>
          <w:color w:val="auto"/>
          <w:szCs w:val="21"/>
          <w:highlight w:val="none"/>
        </w:rPr>
      </w:pPr>
      <w:r>
        <w:rPr>
          <w:rFonts w:hint="eastAsia"/>
          <w:color w:val="auto"/>
          <w:szCs w:val="21"/>
          <w:highlight w:val="none"/>
        </w:rPr>
        <w:t>保险标的在连续72小时内遭受暴雨、台风、洪水或其它连续发生的自然灾害所致损失视为一次单独事件，在计算赔偿时视为一次保险事故，并扣减一个相应的免赔额（率）。被保险人可自行决定72小时的起始时间，但若在连续数个72小时时间内发生损失，任何两个或两个以上72小时期限不得重叠。</w:t>
      </w:r>
    </w:p>
    <w:p w14:paraId="1D8EDB9B">
      <w:pPr>
        <w:spacing w:line="400" w:lineRule="exact"/>
        <w:ind w:firstLine="412" w:firstLineChars="196"/>
        <w:rPr>
          <w:rFonts w:hint="eastAsia"/>
          <w:color w:val="auto"/>
          <w:szCs w:val="21"/>
          <w:highlight w:val="none"/>
        </w:rPr>
      </w:pPr>
      <w:r>
        <w:rPr>
          <w:rFonts w:hint="eastAsia"/>
          <w:b/>
          <w:color w:val="auto"/>
          <w:szCs w:val="21"/>
          <w:highlight w:val="none"/>
        </w:rPr>
        <w:t xml:space="preserve">第十五条 </w:t>
      </w:r>
      <w:r>
        <w:rPr>
          <w:rFonts w:hint="eastAsia"/>
          <w:color w:val="auto"/>
          <w:szCs w:val="21"/>
          <w:highlight w:val="none"/>
        </w:rPr>
        <w:t>若本保险合同所列标的不止一项时，应分项计算赔偿，保险人对每一保险项目的赔偿责任均不得超过本保险合同明细表对应列明的分项保险金额，以及本保险合同特别条款或批单中规定的其他适用的赔偿限额。在任何情况下，保险人在本保险合同下承担的对物质损失的最高赔偿金额不得超过保险合同明细表中列明的总保险金额。</w:t>
      </w:r>
    </w:p>
    <w:p w14:paraId="504864CC">
      <w:pPr>
        <w:spacing w:line="400" w:lineRule="exact"/>
        <w:ind w:firstLine="412" w:firstLineChars="196"/>
        <w:rPr>
          <w:rFonts w:hint="eastAsia"/>
          <w:color w:val="auto"/>
          <w:szCs w:val="21"/>
          <w:highlight w:val="none"/>
        </w:rPr>
      </w:pPr>
      <w:r>
        <w:rPr>
          <w:rFonts w:hint="eastAsia"/>
          <w:b/>
          <w:color w:val="auto"/>
          <w:szCs w:val="21"/>
          <w:highlight w:val="none"/>
        </w:rPr>
        <w:t xml:space="preserve">第十六条 </w:t>
      </w:r>
      <w:r>
        <w:rPr>
          <w:rFonts w:hint="eastAsia"/>
          <w:color w:val="auto"/>
          <w:szCs w:val="21"/>
          <w:highlight w:val="none"/>
        </w:rPr>
        <w:t>保险标的的保险金额大于或等于其应保险金额时，被保险人为防止或减少保险标的的损失所支付的必要的、合理的费用，在保险标的损失赔偿金额之外另行计算，最高不超过被施救标的的应保险金额。</w:t>
      </w:r>
    </w:p>
    <w:p w14:paraId="3C05B9E2">
      <w:pPr>
        <w:pStyle w:val="13"/>
        <w:spacing w:line="400" w:lineRule="exact"/>
        <w:rPr>
          <w:rFonts w:hint="eastAsia"/>
          <w:color w:val="auto"/>
          <w:szCs w:val="21"/>
          <w:highlight w:val="none"/>
        </w:rPr>
      </w:pPr>
      <w:r>
        <w:rPr>
          <w:rFonts w:hint="eastAsia"/>
          <w:color w:val="auto"/>
          <w:szCs w:val="21"/>
          <w:highlight w:val="none"/>
        </w:rPr>
        <w:t>保险标的的保险金额小于其应保险金额时，上述费用按被施救标的的保险金额与其应保险金额的比例在保险标的损失赔偿金额之外另行计算，最高不超过被施救标的的保险金额。</w:t>
      </w:r>
    </w:p>
    <w:p w14:paraId="017E3CE3">
      <w:pPr>
        <w:spacing w:line="400" w:lineRule="exact"/>
        <w:ind w:firstLine="420" w:firstLineChars="200"/>
        <w:rPr>
          <w:rFonts w:hint="eastAsia"/>
          <w:color w:val="auto"/>
          <w:szCs w:val="21"/>
          <w:highlight w:val="none"/>
        </w:rPr>
      </w:pPr>
      <w:r>
        <w:rPr>
          <w:rFonts w:hint="eastAsia"/>
          <w:color w:val="auto"/>
          <w:szCs w:val="21"/>
          <w:highlight w:val="none"/>
        </w:rPr>
        <w:t>被施救的财产中，含有本保险合同未承保财产的，按被施救保险标的的应保险金额与全部被施救财产价值的比例分摊施救费用。</w:t>
      </w:r>
    </w:p>
    <w:p w14:paraId="6745AE47">
      <w:pPr>
        <w:numPr>
          <w:ilvl w:val="0"/>
          <w:numId w:val="20"/>
        </w:numPr>
        <w:adjustRightInd w:val="0"/>
        <w:snapToGrid w:val="0"/>
        <w:spacing w:line="400" w:lineRule="exact"/>
        <w:ind w:firstLine="411" w:firstLineChars="196"/>
        <w:jc w:val="left"/>
        <w:rPr>
          <w:rFonts w:hint="eastAsia"/>
          <w:color w:val="auto"/>
          <w:szCs w:val="21"/>
          <w:highlight w:val="none"/>
        </w:rPr>
      </w:pPr>
      <w:r>
        <w:rPr>
          <w:rFonts w:hint="eastAsia"/>
          <w:color w:val="auto"/>
          <w:szCs w:val="21"/>
          <w:highlight w:val="none"/>
        </w:rPr>
        <w:t>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14:paraId="73E06733">
      <w:pPr>
        <w:pStyle w:val="48"/>
        <w:keepNext/>
        <w:keepLines/>
        <w:widowControl w:val="0"/>
        <w:numPr>
          <w:ilvl w:val="0"/>
          <w:numId w:val="0"/>
        </w:numPr>
        <w:adjustRightInd w:val="0"/>
        <w:snapToGrid w:val="0"/>
        <w:spacing w:before="50" w:beforeLines="50" w:beforeAutospacing="0" w:after="50" w:afterLines="50" w:afterAutospacing="0" w:line="240" w:lineRule="atLeast"/>
        <w:jc w:val="both"/>
        <w:textAlignment w:val="baseline"/>
        <w:outlineLvl w:val="2"/>
        <w:rPr>
          <w:rFonts w:hint="eastAsia"/>
          <w:color w:val="auto"/>
          <w:highlight w:val="none"/>
        </w:rPr>
      </w:pPr>
    </w:p>
    <w:p w14:paraId="1E2FF5F0">
      <w:pPr>
        <w:rPr>
          <w:rFonts w:hint="eastAsia"/>
          <w:color w:val="auto"/>
          <w:highlight w:val="none"/>
        </w:rPr>
      </w:pPr>
    </w:p>
    <w:p w14:paraId="71658838">
      <w:pPr>
        <w:pStyle w:val="48"/>
        <w:rPr>
          <w:rFonts w:hint="eastAsia"/>
          <w:color w:val="auto"/>
          <w:highlight w:val="none"/>
        </w:rPr>
      </w:pPr>
    </w:p>
    <w:p w14:paraId="1B6F3084">
      <w:pPr>
        <w:rPr>
          <w:rFonts w:hint="eastAsia"/>
          <w:color w:val="auto"/>
          <w:highlight w:val="none"/>
        </w:rPr>
      </w:pPr>
    </w:p>
    <w:p w14:paraId="1360F75B">
      <w:pPr>
        <w:pStyle w:val="48"/>
        <w:rPr>
          <w:rFonts w:hint="eastAsia"/>
          <w:color w:val="auto"/>
          <w:highlight w:val="none"/>
        </w:rPr>
      </w:pPr>
    </w:p>
    <w:p w14:paraId="7E120388">
      <w:pPr>
        <w:rPr>
          <w:rFonts w:hint="eastAsia"/>
          <w:color w:val="auto"/>
          <w:highlight w:val="none"/>
        </w:rPr>
      </w:pPr>
    </w:p>
    <w:p w14:paraId="349DBD13">
      <w:pPr>
        <w:pStyle w:val="48"/>
        <w:rPr>
          <w:rFonts w:hint="eastAsia"/>
          <w:color w:val="auto"/>
          <w:highlight w:val="none"/>
        </w:rPr>
      </w:pPr>
    </w:p>
    <w:p w14:paraId="42BF37FB">
      <w:pPr>
        <w:rPr>
          <w:rFonts w:hint="eastAsia"/>
          <w:color w:val="auto"/>
          <w:highlight w:val="none"/>
        </w:rPr>
      </w:pPr>
    </w:p>
    <w:p w14:paraId="587B4707">
      <w:pPr>
        <w:pStyle w:val="48"/>
        <w:rPr>
          <w:rFonts w:hint="eastAsia"/>
          <w:color w:val="auto"/>
          <w:highlight w:val="none"/>
        </w:rPr>
      </w:pPr>
    </w:p>
    <w:p w14:paraId="10B51276">
      <w:pPr>
        <w:rPr>
          <w:rFonts w:hint="eastAsia"/>
          <w:color w:val="auto"/>
          <w:highlight w:val="none"/>
        </w:rPr>
      </w:pPr>
    </w:p>
    <w:p w14:paraId="3726112E">
      <w:pPr>
        <w:rPr>
          <w:rFonts w:hint="eastAsia"/>
          <w:color w:val="auto"/>
          <w:highlight w:val="none"/>
        </w:rPr>
      </w:pPr>
    </w:p>
    <w:p w14:paraId="5217BC7C">
      <w:pPr>
        <w:pStyle w:val="48"/>
        <w:jc w:val="both"/>
        <w:rPr>
          <w:rFonts w:hint="default" w:eastAsia="仿宋"/>
          <w:b/>
          <w:bCs/>
          <w:color w:val="auto"/>
          <w:sz w:val="24"/>
          <w:szCs w:val="24"/>
          <w:highlight w:val="none"/>
          <w:lang w:val="en-US" w:eastAsia="zh-CN"/>
        </w:rPr>
      </w:pPr>
      <w:r>
        <w:rPr>
          <w:rFonts w:hint="eastAsia"/>
          <w:b/>
          <w:bCs/>
          <w:color w:val="auto"/>
          <w:sz w:val="24"/>
          <w:szCs w:val="24"/>
          <w:highlight w:val="none"/>
          <w:lang w:val="en-US" w:eastAsia="zh-CN"/>
        </w:rPr>
        <w:t>（二）安全生产责任险保险条款</w:t>
      </w:r>
    </w:p>
    <w:p w14:paraId="7AE43F66">
      <w:pPr>
        <w:widowControl/>
        <w:spacing w:before="312" w:beforeLines="100" w:line="460" w:lineRule="exact"/>
        <w:jc w:val="center"/>
        <w:rPr>
          <w:rFonts w:ascii="黑体" w:hAnsi="黑体" w:eastAsia="黑体" w:cs="宋体"/>
          <w:color w:val="auto"/>
          <w:kern w:val="0"/>
          <w:sz w:val="24"/>
          <w:szCs w:val="24"/>
          <w:highlight w:val="none"/>
        </w:rPr>
      </w:pPr>
      <w:r>
        <w:rPr>
          <w:rFonts w:hint="eastAsia" w:cs="仿宋"/>
          <w:b/>
          <w:bCs/>
          <w:color w:val="auto"/>
          <w:sz w:val="24"/>
          <w:szCs w:val="24"/>
          <w:highlight w:val="none"/>
          <w:lang w:val="en-US" w:eastAsia="zh-CN"/>
        </w:rPr>
        <w:t xml:space="preserve"> </w:t>
      </w:r>
      <w:r>
        <w:rPr>
          <w:rFonts w:hint="eastAsia" w:ascii="黑体" w:hAnsi="黑体" w:eastAsia="黑体" w:cs="宋体"/>
          <w:color w:val="auto"/>
          <w:kern w:val="0"/>
          <w:sz w:val="24"/>
          <w:szCs w:val="24"/>
          <w:highlight w:val="none"/>
          <w:lang w:val="en-US" w:eastAsia="zh-CN"/>
        </w:rPr>
        <w:t xml:space="preserve"> **</w:t>
      </w:r>
      <w:r>
        <w:rPr>
          <w:rFonts w:hint="eastAsia" w:ascii="黑体" w:hAnsi="黑体" w:eastAsia="黑体" w:cs="宋体"/>
          <w:color w:val="auto"/>
          <w:kern w:val="0"/>
          <w:sz w:val="24"/>
          <w:szCs w:val="24"/>
          <w:highlight w:val="none"/>
        </w:rPr>
        <w:t>保险股份有限公司</w:t>
      </w:r>
    </w:p>
    <w:p w14:paraId="2740238F">
      <w:pPr>
        <w:widowControl/>
        <w:spacing w:line="460" w:lineRule="exact"/>
        <w:jc w:val="center"/>
        <w:rPr>
          <w:rFonts w:ascii="黑体" w:hAnsi="黑体" w:eastAsia="黑体" w:cs="宋体"/>
          <w:color w:val="auto"/>
          <w:kern w:val="0"/>
          <w:sz w:val="28"/>
          <w:szCs w:val="28"/>
          <w:highlight w:val="none"/>
        </w:rPr>
      </w:pPr>
      <w:r>
        <w:rPr>
          <w:rFonts w:hint="eastAsia" w:ascii="黑体" w:hAnsi="黑体" w:eastAsia="黑体" w:cs="宋体"/>
          <w:color w:val="auto"/>
          <w:kern w:val="0"/>
          <w:sz w:val="24"/>
          <w:szCs w:val="24"/>
          <w:highlight w:val="none"/>
        </w:rPr>
        <w:t>建筑施工行业安全生产责任保险条款</w:t>
      </w:r>
    </w:p>
    <w:p w14:paraId="696E5C41">
      <w:pPr>
        <w:widowControl/>
        <w:spacing w:before="156" w:beforeLines="50" w:after="156" w:afterLines="50" w:line="6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总则</w:t>
      </w:r>
    </w:p>
    <w:p w14:paraId="2F0EBEFF">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第一条</w:t>
      </w:r>
      <w:r>
        <w:rPr>
          <w:rFonts w:hint="eastAsia" w:ascii="宋体" w:hAnsi="宋体" w:eastAsia="宋体" w:cs="宋体"/>
          <w:color w:val="auto"/>
          <w:kern w:val="0"/>
          <w:sz w:val="22"/>
          <w:highlight w:val="none"/>
        </w:rPr>
        <w:t> 本保险合同由保险条款、投保单、保险单、保险凭证以及批单组成。凡涉及本保险合同的约定，均应采用书面形式。</w:t>
      </w:r>
    </w:p>
    <w:p w14:paraId="7C76F544">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第二条</w:t>
      </w:r>
      <w:r>
        <w:rPr>
          <w:rFonts w:hint="eastAsia" w:ascii="宋体" w:hAnsi="宋体" w:eastAsia="宋体" w:cs="宋体"/>
          <w:color w:val="auto"/>
          <w:kern w:val="0"/>
          <w:sz w:val="22"/>
          <w:highlight w:val="none"/>
        </w:rPr>
        <w:t> 凡经建设行政主管部门批准，取得相应资质证书并经工商行政管理部门登记注册，依法设立的建筑施工企业，均可作为本保险合同的被保险人。</w:t>
      </w:r>
    </w:p>
    <w:p w14:paraId="59390D7F">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第三条</w:t>
      </w:r>
      <w:r>
        <w:rPr>
          <w:rFonts w:hint="eastAsia" w:ascii="宋体" w:hAnsi="宋体" w:eastAsia="宋体" w:cs="宋体"/>
          <w:color w:val="auto"/>
          <w:kern w:val="0"/>
          <w:sz w:val="22"/>
          <w:highlight w:val="none"/>
        </w:rPr>
        <w:t> 本保险合同由总则、从业人员责任保险、第三者责任保险、救援费用保险、通用条款五部分组成。</w:t>
      </w:r>
      <w:r>
        <w:rPr>
          <w:rFonts w:hint="eastAsia" w:ascii="宋体" w:hAnsi="宋体" w:eastAsia="宋体" w:cs="宋体"/>
          <w:color w:val="auto"/>
          <w:sz w:val="22"/>
          <w:highlight w:val="none"/>
        </w:rPr>
        <w:t>投保人可选择投保从业人员责任保险、第三者责任保险或救援费用保险，也可同时投保。</w:t>
      </w:r>
    </w:p>
    <w:p w14:paraId="3BCEC3AD">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第四条 </w:t>
      </w:r>
      <w:r>
        <w:rPr>
          <w:rFonts w:hint="eastAsia" w:ascii="宋体" w:hAnsi="宋体" w:eastAsia="宋体" w:cs="宋体"/>
          <w:color w:val="auto"/>
          <w:kern w:val="0"/>
          <w:sz w:val="22"/>
          <w:highlight w:val="none"/>
        </w:rPr>
        <w:t>从业人员责任保险、第三者责任保险、救援费用保险的约定适用于该部分，总则和通用条款的约定适用于整个保险合同。</w:t>
      </w:r>
    </w:p>
    <w:p w14:paraId="0D14375E">
      <w:pPr>
        <w:widowControl/>
        <w:spacing w:before="156" w:beforeLines="50" w:after="156" w:afterLines="50" w:line="500" w:lineRule="exact"/>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第一部分 从业人员责任保险</w:t>
      </w:r>
    </w:p>
    <w:p w14:paraId="350E8F2E">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保险责任</w:t>
      </w:r>
    </w:p>
    <w:p w14:paraId="5FAEE120">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第五条</w:t>
      </w:r>
      <w:r>
        <w:rPr>
          <w:rFonts w:hint="eastAsia" w:ascii="宋体" w:hAnsi="宋体" w:eastAsia="宋体" w:cs="宋体"/>
          <w:color w:val="auto"/>
          <w:kern w:val="0"/>
          <w:sz w:val="22"/>
          <w:highlight w:val="none"/>
        </w:rPr>
        <w:t> 在保险期间内，被保险人的从业人员在保险单载明的施工地址内依法从事建筑施工及相关工作，因发生生产安全事故造成从业人员人身伤亡，依照中华人民共和国法律（不包括港、澳、台地区法律）应由被保险人承担的经济赔偿责任，保险人按本保险合同的约定负责赔偿。</w:t>
      </w:r>
    </w:p>
    <w:p w14:paraId="4A3CB343">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责任免除</w:t>
      </w:r>
    </w:p>
    <w:p w14:paraId="12B062C0">
      <w:pPr>
        <w:spacing w:line="500" w:lineRule="exact"/>
        <w:ind w:firstLine="442" w:firstLineChars="200"/>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第六条 下列原因造成的损失、费用和责任，保险人不负责赔偿：</w:t>
      </w:r>
    </w:p>
    <w:p w14:paraId="5EAE968E">
      <w:pPr>
        <w:spacing w:line="500" w:lineRule="exact"/>
        <w:ind w:firstLine="442" w:firstLineChars="200"/>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（一）从业人员在工作时间和工作场所内，因履行工作职责受到暴力伤害的；</w:t>
      </w:r>
    </w:p>
    <w:p w14:paraId="159D785D">
      <w:pPr>
        <w:spacing w:line="500" w:lineRule="exact"/>
        <w:ind w:firstLine="442" w:firstLineChars="200"/>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（二）从业人员在工作时间和工作岗位，突发疾病死亡或者在48小时之内经抢救无效死亡；</w:t>
      </w:r>
    </w:p>
    <w:p w14:paraId="7B03BF66">
      <w:pPr>
        <w:autoSpaceDE w:val="0"/>
        <w:autoSpaceDN w:val="0"/>
        <w:adjustRightInd w:val="0"/>
        <w:spacing w:line="500" w:lineRule="exact"/>
        <w:ind w:firstLine="602"/>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（三）从业人员因工外出期间，由于工作原因受到伤害或者发生事故下落不明的；</w:t>
      </w:r>
    </w:p>
    <w:p w14:paraId="1AF510E8">
      <w:pPr>
        <w:autoSpaceDE w:val="0"/>
        <w:autoSpaceDN w:val="0"/>
        <w:adjustRightInd w:val="0"/>
        <w:spacing w:line="520" w:lineRule="exact"/>
        <w:ind w:firstLine="602"/>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（四）从业人员在上下班途中，受到非本人主要责任的交通事故或者城市轨道交通、客运轮渡、火车事故伤害的；</w:t>
      </w:r>
    </w:p>
    <w:p w14:paraId="7DDA10ED">
      <w:pPr>
        <w:spacing w:line="520" w:lineRule="exact"/>
        <w:ind w:firstLine="442" w:firstLineChars="200"/>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（五）从业人员在抢险救灾等维护国家利益、公共利益活动中受到伤害的；</w:t>
      </w:r>
    </w:p>
    <w:p w14:paraId="78C1CBBA">
      <w:pPr>
        <w:spacing w:line="520" w:lineRule="exact"/>
        <w:ind w:firstLine="433" w:firstLineChars="196"/>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（六）从业人员的故意行为、犯罪行为，或自杀、自伤、醉酒、吸毒或受精神药品影响，造成自身人身伤亡。</w:t>
      </w:r>
    </w:p>
    <w:p w14:paraId="53D0F05C">
      <w:pPr>
        <w:widowControl/>
        <w:spacing w:before="156" w:beforeLines="50" w:line="52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责任限额和免赔额（率）</w:t>
      </w:r>
    </w:p>
    <w:p w14:paraId="0B31B636">
      <w:pPr>
        <w:widowControl/>
        <w:spacing w:line="520" w:lineRule="exact"/>
        <w:ind w:firstLine="380" w:firstLineChars="172"/>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第七条 </w:t>
      </w:r>
      <w:r>
        <w:rPr>
          <w:rFonts w:hint="eastAsia" w:ascii="宋体" w:hAnsi="宋体" w:eastAsia="宋体" w:cs="宋体"/>
          <w:color w:val="auto"/>
          <w:kern w:val="0"/>
          <w:sz w:val="22"/>
          <w:highlight w:val="none"/>
        </w:rPr>
        <w:t>除另有约定外，从业人员责任保险部分的责任限额包括每次事故责任限额、每人伤亡责任限额、每人医疗费用责任限额。</w:t>
      </w:r>
    </w:p>
    <w:p w14:paraId="1D443804">
      <w:pPr>
        <w:widowControl/>
        <w:spacing w:line="520" w:lineRule="exact"/>
        <w:ind w:firstLine="440" w:firstLineChars="20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各项责任限额由投保人和保险人协商确定，并在保险单中载明。</w:t>
      </w:r>
    </w:p>
    <w:p w14:paraId="5E37BCF5">
      <w:pPr>
        <w:widowControl/>
        <w:spacing w:line="520" w:lineRule="exact"/>
        <w:ind w:firstLine="643"/>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第八条</w:t>
      </w:r>
      <w:r>
        <w:rPr>
          <w:rFonts w:hint="eastAsia" w:ascii="宋体" w:hAnsi="宋体" w:eastAsia="宋体" w:cs="宋体"/>
          <w:color w:val="auto"/>
          <w:kern w:val="0"/>
          <w:sz w:val="22"/>
          <w:highlight w:val="none"/>
        </w:rPr>
        <w:t xml:space="preserve"> </w:t>
      </w:r>
      <w:r>
        <w:rPr>
          <w:rFonts w:hint="eastAsia" w:ascii="宋体" w:hAnsi="宋体" w:eastAsia="宋体" w:cs="宋体"/>
          <w:b/>
          <w:color w:val="auto"/>
          <w:kern w:val="0"/>
          <w:sz w:val="22"/>
          <w:highlight w:val="none"/>
        </w:rPr>
        <w:t>每人医疗费用免赔额（率）由投保人与保险人在签订保险合同时协商确定，并在保险单中载明。</w:t>
      </w:r>
    </w:p>
    <w:p w14:paraId="3C04C2D3">
      <w:pPr>
        <w:widowControl/>
        <w:spacing w:line="520" w:lineRule="exact"/>
        <w:ind w:firstLine="442" w:firstLineChars="200"/>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同时约定了免赔额和免赔率的，免赔金额以免赔额和按照免赔率计算的金额二者高者为准。</w:t>
      </w:r>
    </w:p>
    <w:p w14:paraId="0AD3D920">
      <w:pPr>
        <w:widowControl/>
        <w:spacing w:before="156" w:beforeLines="50" w:after="156" w:afterLines="50" w:line="520" w:lineRule="exact"/>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第二部分 第三者责任保险</w:t>
      </w:r>
    </w:p>
    <w:p w14:paraId="73B1A81D">
      <w:pPr>
        <w:widowControl/>
        <w:spacing w:line="52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保险责任</w:t>
      </w:r>
    </w:p>
    <w:p w14:paraId="4C6BA313">
      <w:pPr>
        <w:widowControl/>
        <w:spacing w:line="52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第九条</w:t>
      </w:r>
      <w:r>
        <w:rPr>
          <w:rFonts w:hint="eastAsia" w:ascii="宋体" w:hAnsi="宋体" w:eastAsia="宋体" w:cs="宋体"/>
          <w:color w:val="auto"/>
          <w:kern w:val="0"/>
          <w:sz w:val="22"/>
          <w:highlight w:val="none"/>
        </w:rPr>
        <w:t> 在保险期间内，被保险人在保险单载明的施工地址内依法从事建筑施工及相关工作，因发生生产安全事故造成第三者人身伤亡</w:t>
      </w:r>
      <w:r>
        <w:rPr>
          <w:rFonts w:hint="eastAsia" w:eastAsia="宋体" w:cs="宋体"/>
          <w:color w:val="auto"/>
          <w:kern w:val="0"/>
          <w:sz w:val="22"/>
          <w:highlight w:val="none"/>
          <w:lang w:val="en-US" w:eastAsia="zh-CN"/>
        </w:rPr>
        <w:t>或财产损失</w:t>
      </w:r>
      <w:r>
        <w:rPr>
          <w:rFonts w:hint="eastAsia" w:ascii="宋体" w:hAnsi="宋体" w:eastAsia="宋体" w:cs="宋体"/>
          <w:color w:val="auto"/>
          <w:kern w:val="0"/>
          <w:sz w:val="22"/>
          <w:highlight w:val="none"/>
        </w:rPr>
        <w:t>，依照中华人民共和国法律（不包括港、澳、台地区法律）应由被保险人承担的经济赔偿责任，保险人按本保险合同的约定负责赔偿。</w:t>
      </w:r>
    </w:p>
    <w:p w14:paraId="14B578EF">
      <w:pPr>
        <w:widowControl/>
        <w:spacing w:before="156" w:beforeLines="50" w:line="52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责任限额与免赔额（率）</w:t>
      </w:r>
    </w:p>
    <w:p w14:paraId="30C2328C">
      <w:pPr>
        <w:widowControl/>
        <w:spacing w:line="520" w:lineRule="exact"/>
        <w:ind w:firstLine="630"/>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第十条 </w:t>
      </w:r>
      <w:r>
        <w:rPr>
          <w:rFonts w:hint="eastAsia" w:ascii="宋体" w:hAnsi="宋体" w:eastAsia="宋体" w:cs="宋体"/>
          <w:color w:val="auto"/>
          <w:kern w:val="0"/>
          <w:sz w:val="22"/>
          <w:highlight w:val="none"/>
        </w:rPr>
        <w:t>除另有约定外，第三者责任保险部分的责任限额包括每次事故责任限额、每人伤亡责任限额、每人医疗费用责任限额。</w:t>
      </w:r>
    </w:p>
    <w:p w14:paraId="287472C6">
      <w:pPr>
        <w:widowControl/>
        <w:spacing w:line="520" w:lineRule="exact"/>
        <w:ind w:firstLine="555"/>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各项责任限额由投保人和保险人协商确定，并在保险单中载明。</w:t>
      </w:r>
    </w:p>
    <w:p w14:paraId="3000E678">
      <w:pPr>
        <w:widowControl/>
        <w:spacing w:line="520" w:lineRule="exact"/>
        <w:ind w:firstLine="643"/>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第十一条 每人医疗费用免赔额（率）由投保人与保险人在签订保险合同时协商确定，并在保险单中载明。</w:t>
      </w:r>
    </w:p>
    <w:p w14:paraId="328D8E53">
      <w:pPr>
        <w:widowControl/>
        <w:spacing w:line="520" w:lineRule="exact"/>
        <w:ind w:firstLine="555"/>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同时约定了免赔额和免赔率的，免赔金额以免赔额和按照免赔率计算的金额二者高者为准。</w:t>
      </w:r>
    </w:p>
    <w:p w14:paraId="5B513E7A">
      <w:pPr>
        <w:widowControl/>
        <w:spacing w:before="156" w:beforeLines="50" w:after="156" w:afterLines="50" w:line="500" w:lineRule="exact"/>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第三部分 救援费用保险</w:t>
      </w:r>
    </w:p>
    <w:p w14:paraId="6CF24F8B">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保险责任</w:t>
      </w:r>
    </w:p>
    <w:p w14:paraId="6ACEA86B">
      <w:pPr>
        <w:spacing w:line="500" w:lineRule="exact"/>
        <w:ind w:firstLine="643"/>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 xml:space="preserve">第十二条 </w:t>
      </w:r>
      <w:r>
        <w:rPr>
          <w:rFonts w:hint="eastAsia" w:ascii="宋体" w:hAnsi="宋体" w:eastAsia="宋体" w:cs="宋体"/>
          <w:color w:val="auto"/>
          <w:kern w:val="0"/>
          <w:sz w:val="22"/>
          <w:highlight w:val="none"/>
        </w:rPr>
        <w:t>在保险期间内，被保险人在保险单载明的施工现场内因发生生产安全事故导致被保险人的从业人员或第三者发生意外，应由被保险人负担的因采取紧急抢险救援措施而支出的下列必要、合理的救援费用，保险人按照本保险合同约定负责赔偿：</w:t>
      </w:r>
    </w:p>
    <w:p w14:paraId="3DF4BA9B">
      <w:pPr>
        <w:widowControl/>
        <w:spacing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（一）抢险救援人员的劳务费用；</w:t>
      </w:r>
    </w:p>
    <w:p w14:paraId="74AED310">
      <w:pPr>
        <w:widowControl/>
        <w:spacing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（二）救援器材、设备的租赁、使用费用；</w:t>
      </w:r>
    </w:p>
    <w:p w14:paraId="14743B3A">
      <w:pPr>
        <w:widowControl/>
        <w:spacing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（三）单价低于200元人民币的救援工具购置费用；</w:t>
      </w:r>
    </w:p>
    <w:p w14:paraId="71AD078C">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（四）生产安全事故现场发生的医疗抢救费用。</w:t>
      </w:r>
    </w:p>
    <w:p w14:paraId="637B0251">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责任免除</w:t>
      </w:r>
    </w:p>
    <w:p w14:paraId="764FDB4A">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第十三条 下列损失、费用和责任，保险人不负责赔偿：</w:t>
      </w:r>
    </w:p>
    <w:p w14:paraId="07D2823B">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（一）清污费用；</w:t>
      </w:r>
    </w:p>
    <w:p w14:paraId="34EE9A6C">
      <w:pPr>
        <w:widowControl/>
        <w:spacing w:line="500" w:lineRule="exact"/>
        <w:ind w:firstLine="643"/>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（二）保险事故发生后，受伤人员被送往医院以后产生的医疗费用。</w:t>
      </w:r>
    </w:p>
    <w:p w14:paraId="47FD2103">
      <w:pPr>
        <w:widowControl/>
        <w:spacing w:before="156" w:beforeLines="50"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责任限额与免赔额（率）</w:t>
      </w:r>
    </w:p>
    <w:p w14:paraId="5002542F">
      <w:pPr>
        <w:widowControl/>
        <w:spacing w:line="500" w:lineRule="exact"/>
        <w:ind w:firstLine="630"/>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第十四条</w:t>
      </w:r>
      <w:r>
        <w:rPr>
          <w:rFonts w:hint="eastAsia" w:ascii="宋体" w:hAnsi="宋体" w:eastAsia="宋体" w:cs="宋体"/>
          <w:color w:val="auto"/>
          <w:kern w:val="0"/>
          <w:sz w:val="22"/>
          <w:highlight w:val="none"/>
        </w:rPr>
        <w:t> 除另有约定外，救援费用保险部分的责任限额包括每次事故救援费用限额、每人救援费用限额。</w:t>
      </w:r>
    </w:p>
    <w:p w14:paraId="0FEC17B4">
      <w:pPr>
        <w:widowControl/>
        <w:spacing w:line="500" w:lineRule="exact"/>
        <w:ind w:firstLine="627"/>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各项责任限额，由投保人和保险人协商确定，并在保险单中载明。</w:t>
      </w:r>
    </w:p>
    <w:p w14:paraId="08CF61E7">
      <w:pPr>
        <w:widowControl/>
        <w:spacing w:line="500" w:lineRule="exact"/>
        <w:ind w:firstLine="643"/>
        <w:rPr>
          <w:rFonts w:ascii="宋体" w:hAnsi="宋体" w:eastAsia="宋体" w:cs="宋体"/>
          <w:b/>
          <w:color w:val="auto"/>
          <w:kern w:val="0"/>
          <w:sz w:val="22"/>
          <w:highlight w:val="none"/>
        </w:rPr>
      </w:pPr>
      <w:r>
        <w:rPr>
          <w:rFonts w:hint="eastAsia" w:ascii="宋体" w:hAnsi="宋体" w:eastAsia="宋体" w:cs="宋体"/>
          <w:b/>
          <w:bCs/>
          <w:color w:val="auto"/>
          <w:kern w:val="0"/>
          <w:sz w:val="22"/>
          <w:highlight w:val="none"/>
        </w:rPr>
        <w:t>第十五条 </w:t>
      </w:r>
      <w:r>
        <w:rPr>
          <w:rFonts w:hint="eastAsia" w:ascii="宋体" w:hAnsi="宋体" w:eastAsia="宋体" w:cs="宋体"/>
          <w:b/>
          <w:color w:val="auto"/>
          <w:kern w:val="0"/>
          <w:sz w:val="22"/>
          <w:highlight w:val="none"/>
        </w:rPr>
        <w:t>每次事故救援费用免赔额（率）由投保人与保险人在签订保险合同时协商确定，并在保险单中载明。</w:t>
      </w:r>
    </w:p>
    <w:p w14:paraId="5BD77FF4">
      <w:pPr>
        <w:widowControl/>
        <w:spacing w:line="500" w:lineRule="exact"/>
        <w:ind w:firstLine="555"/>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同时约定了免赔额和免赔率的，免赔金额以免赔额和按照免赔率计算的金额二者高者为准。</w:t>
      </w:r>
    </w:p>
    <w:p w14:paraId="2AB7197C">
      <w:pPr>
        <w:widowControl/>
        <w:spacing w:before="156" w:beforeLines="50" w:after="156" w:afterLines="50" w:line="500" w:lineRule="exact"/>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第四部分 通用条款</w:t>
      </w:r>
    </w:p>
    <w:p w14:paraId="0633B129">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保险责任</w:t>
      </w:r>
    </w:p>
    <w:p w14:paraId="34E58BB8">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第十六条</w:t>
      </w:r>
      <w:r>
        <w:rPr>
          <w:rFonts w:hint="eastAsia" w:ascii="宋体" w:hAnsi="宋体" w:eastAsia="宋体" w:cs="宋体"/>
          <w:color w:val="auto"/>
          <w:kern w:val="0"/>
          <w:sz w:val="22"/>
          <w:highlight w:val="none"/>
        </w:rPr>
        <w:t> 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14:paraId="1953EADA">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责任免除</w:t>
      </w:r>
    </w:p>
    <w:p w14:paraId="6FA7AD17">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第十七条 下列原因造成的损失、费用和责任，保险人不负责赔偿：</w:t>
      </w:r>
    </w:p>
    <w:p w14:paraId="7164BC2D">
      <w:pPr>
        <w:widowControl/>
        <w:spacing w:line="500" w:lineRule="exact"/>
        <w:ind w:left="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（一）投保人、被保险人的故意行为、犯罪行为；</w:t>
      </w:r>
    </w:p>
    <w:p w14:paraId="79644F33">
      <w:pPr>
        <w:widowControl/>
        <w:spacing w:line="500" w:lineRule="exact"/>
        <w:ind w:firstLine="630"/>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（二）战争、敌对行动、军事行为、武装冲突、罢工、暴动、民众骚乱、恐怖活动；</w:t>
      </w:r>
    </w:p>
    <w:p w14:paraId="6A2C80ED">
      <w:pPr>
        <w:widowControl/>
        <w:spacing w:line="500" w:lineRule="exact"/>
        <w:ind w:firstLine="630"/>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（三）行政行为或司法行为；</w:t>
      </w:r>
    </w:p>
    <w:p w14:paraId="3ABB88C3">
      <w:pPr>
        <w:widowControl/>
        <w:spacing w:line="500" w:lineRule="exact"/>
        <w:ind w:firstLine="630"/>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（四）大气污染、土地污染、水污染及其他各种污染；</w:t>
      </w:r>
    </w:p>
    <w:p w14:paraId="3B6B69C9">
      <w:pPr>
        <w:widowControl/>
        <w:spacing w:line="500" w:lineRule="exact"/>
        <w:ind w:firstLine="630"/>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（五）任何疾病，包括但不限于高原反应、妊娠、流产、分娩、药物过敏等；</w:t>
      </w:r>
    </w:p>
    <w:p w14:paraId="6BA4E8BC">
      <w:pPr>
        <w:widowControl/>
        <w:spacing w:line="500" w:lineRule="exact"/>
        <w:ind w:firstLine="433" w:firstLineChars="196"/>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（六）由于震动、移动或减弱支撑而造成的任何财产、土地、建筑物的损失及由此造成的任何人身伤亡和财产损失；</w:t>
      </w:r>
    </w:p>
    <w:p w14:paraId="4CEC11A1">
      <w:pPr>
        <w:widowControl/>
        <w:spacing w:line="500" w:lineRule="exact"/>
        <w:ind w:firstLine="433" w:firstLineChars="196"/>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（七）</w:t>
      </w:r>
      <w:r>
        <w:rPr>
          <w:rFonts w:hint="eastAsia" w:ascii="宋体" w:hAnsi="宋体" w:eastAsia="宋体" w:cs="宋体"/>
          <w:b/>
          <w:color w:val="auto"/>
          <w:sz w:val="22"/>
          <w:highlight w:val="none"/>
        </w:rPr>
        <w:t>领有公共运输行驶执照的车辆、船舶、飞机造成的事故。</w:t>
      </w:r>
    </w:p>
    <w:p w14:paraId="3BAB4BC3">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第十八条 下列损失、费用和责任，保险人也不负责赔偿：</w:t>
      </w:r>
    </w:p>
    <w:p w14:paraId="07573B22">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（一）罚款、罚金及惩罚性赔偿；</w:t>
      </w:r>
    </w:p>
    <w:p w14:paraId="7E192CC0">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（二）间接损失；</w:t>
      </w:r>
    </w:p>
    <w:p w14:paraId="54C469AD">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（三）精神损害赔偿，但有法院判决的不在此限；</w:t>
      </w:r>
    </w:p>
    <w:p w14:paraId="4E222132">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（四）本保险单中载明的免赔额或按照本保险单中载明的免赔率计算的免赔额。</w:t>
      </w:r>
    </w:p>
    <w:p w14:paraId="513D8E52">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第十九条 有下列情形之一的，保险人不负责赔偿：</w:t>
      </w:r>
    </w:p>
    <w:p w14:paraId="68EB2992">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（一）被保险人在主管部门责令停产整顿期间擅自从事生产发生的事故，或被主管部门关闭后擅自恢复生产发生的事故；</w:t>
      </w:r>
    </w:p>
    <w:p w14:paraId="21BEC8F1">
      <w:pPr>
        <w:widowControl/>
        <w:spacing w:line="500" w:lineRule="exact"/>
        <w:ind w:firstLine="643"/>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（二）被保险人从事与保险单载明的经营范围不符的活动，或者被保险人违法违规经营的；</w:t>
      </w:r>
    </w:p>
    <w:p w14:paraId="26401A5D">
      <w:pPr>
        <w:widowControl/>
        <w:spacing w:line="500" w:lineRule="exact"/>
        <w:ind w:firstLine="643"/>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（三）被保险人许可证（照）不在有效期内，但因许可证（照）在办理延续许可手续期间等有正当理由的不在此列。</w:t>
      </w:r>
    </w:p>
    <w:p w14:paraId="51C72310">
      <w:pPr>
        <w:widowControl/>
        <w:spacing w:line="500" w:lineRule="exact"/>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责任限额</w:t>
      </w:r>
    </w:p>
    <w:p w14:paraId="6EBD267E">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第二十条 </w:t>
      </w:r>
      <w:r>
        <w:rPr>
          <w:rFonts w:hint="eastAsia" w:ascii="宋体" w:hAnsi="宋体" w:eastAsia="宋体" w:cs="宋体"/>
          <w:color w:val="auto"/>
          <w:kern w:val="0"/>
          <w:sz w:val="22"/>
          <w:highlight w:val="none"/>
        </w:rPr>
        <w:t>除另有约定外，通用部分的责任限额包括每次事故法律费用责任限额及累计责任限额。</w:t>
      </w:r>
    </w:p>
    <w:p w14:paraId="17AEA0F9">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保险期间</w:t>
      </w:r>
    </w:p>
    <w:p w14:paraId="2AEF43F1">
      <w:pPr>
        <w:spacing w:line="500" w:lineRule="exact"/>
        <w:ind w:firstLine="442" w:firstLineChars="200"/>
        <w:jc w:val="left"/>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xml:space="preserve">第二十一条 </w:t>
      </w:r>
      <w:r>
        <w:rPr>
          <w:rFonts w:hint="eastAsia" w:ascii="宋体" w:hAnsi="宋体" w:eastAsia="宋体" w:cs="宋体"/>
          <w:bCs/>
          <w:color w:val="auto"/>
          <w:kern w:val="0"/>
          <w:sz w:val="22"/>
          <w:highlight w:val="none"/>
        </w:rPr>
        <w:t>本保险合同自保险期间开始之日起，至签发工程项目完工验收证书或合格证书，或至上述工程项目建筑合同规定的施工期限结束的二十四时止，两者以先发生为准。但在任何情况下，保险期间的起始或终止不得超出保险单载明的生效日或终止日。</w:t>
      </w:r>
    </w:p>
    <w:p w14:paraId="78EAE930">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保险人义务</w:t>
      </w:r>
    </w:p>
    <w:p w14:paraId="62F052E7">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第二十二条</w:t>
      </w:r>
      <w:r>
        <w:rPr>
          <w:rFonts w:hint="eastAsia" w:ascii="宋体" w:hAnsi="宋体" w:eastAsia="宋体" w:cs="宋体"/>
          <w:color w:val="auto"/>
          <w:kern w:val="0"/>
          <w:sz w:val="22"/>
          <w:highlight w:val="none"/>
        </w:rPr>
        <w:t> 本保险合同成立后，保险人应当及时向投保人签发保险单或其他保险凭证。</w:t>
      </w:r>
    </w:p>
    <w:p w14:paraId="017A1C77">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第二十三条</w:t>
      </w:r>
      <w:r>
        <w:rPr>
          <w:rFonts w:hint="eastAsia" w:ascii="宋体" w:hAnsi="宋体" w:eastAsia="宋体" w:cs="宋体"/>
          <w:color w:val="auto"/>
          <w:kern w:val="0"/>
          <w:sz w:val="22"/>
          <w:highlight w:val="none"/>
        </w:rPr>
        <w:t> 保险事故发生后，投保人、被保险人提供的有关索赔的证明和资料不完整的，保险人应当及时一次性通知投保人、被保险人补充提供。</w:t>
      </w:r>
    </w:p>
    <w:p w14:paraId="6AEF752C">
      <w:pPr>
        <w:widowControl/>
        <w:spacing w:line="500" w:lineRule="exact"/>
        <w:ind w:firstLine="640"/>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第二十四条</w:t>
      </w:r>
      <w:r>
        <w:rPr>
          <w:rFonts w:hint="eastAsia" w:ascii="宋体" w:hAnsi="宋体" w:eastAsia="宋体" w:cs="宋体"/>
          <w:color w:val="auto"/>
          <w:kern w:val="0"/>
          <w:sz w:val="22"/>
          <w:highlight w:val="none"/>
        </w:rPr>
        <w:t> 保险人收到被保险人的赔偿请求后，应当及时就是否属于保险责任作出核定，并将核定结果通知被保险人。</w:t>
      </w:r>
    </w:p>
    <w:p w14:paraId="559FA1F6">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投保人、被保险人义务</w:t>
      </w:r>
    </w:p>
    <w:p w14:paraId="1D42F811">
      <w:pPr>
        <w:widowControl/>
        <w:spacing w:line="500" w:lineRule="exact"/>
        <w:ind w:firstLine="643"/>
        <w:jc w:val="left"/>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第二十五条</w:t>
      </w:r>
      <w:r>
        <w:rPr>
          <w:rFonts w:hint="eastAsia" w:ascii="宋体" w:hAnsi="宋体" w:eastAsia="宋体" w:cs="宋体"/>
          <w:color w:val="auto"/>
          <w:kern w:val="0"/>
          <w:sz w:val="22"/>
          <w:highlight w:val="none"/>
        </w:rPr>
        <w:t> 投保人应履行如实告知义务，如实回答保险人就被保险人安全管理、教育培训、风险状况方面以及被保险人的其他有关情况提出的询问，并如实填写投保单。</w:t>
      </w:r>
    </w:p>
    <w:p w14:paraId="1AE3ED1B">
      <w:pPr>
        <w:widowControl/>
        <w:spacing w:line="500" w:lineRule="exact"/>
        <w:ind w:firstLine="643"/>
        <w:jc w:val="left"/>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第二十六条</w:t>
      </w:r>
      <w:r>
        <w:rPr>
          <w:rFonts w:hint="eastAsia" w:ascii="宋体" w:hAnsi="宋体" w:eastAsia="宋体" w:cs="宋体"/>
          <w:color w:val="auto"/>
          <w:kern w:val="0"/>
          <w:sz w:val="22"/>
          <w:highlight w:val="none"/>
        </w:rPr>
        <w:t> 如未约定分期交付保险费的，投保人应当在保险合同成立时交清保险费。</w:t>
      </w:r>
    </w:p>
    <w:p w14:paraId="2A6AFE6D">
      <w:pPr>
        <w:widowControl/>
        <w:spacing w:after="156" w:line="500" w:lineRule="exact"/>
        <w:ind w:firstLine="643"/>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第二十七条</w:t>
      </w:r>
      <w:r>
        <w:rPr>
          <w:rFonts w:hint="eastAsia" w:ascii="宋体" w:hAnsi="宋体" w:eastAsia="宋体" w:cs="宋体"/>
          <w:color w:val="auto"/>
          <w:kern w:val="0"/>
          <w:sz w:val="22"/>
          <w:highlight w:val="none"/>
        </w:rPr>
        <w:t> 被保险人应严格遵守《安全生产法》、《建筑法》以及国家及政府有关部门制定的其他相关法律、法规及规定，加强管理，采取合理的预防措施，尽力避免或减少责任事故的发生。</w:t>
      </w:r>
    </w:p>
    <w:p w14:paraId="38DD2A12">
      <w:pPr>
        <w:widowControl/>
        <w:spacing w:line="500" w:lineRule="exact"/>
        <w:ind w:firstLine="640"/>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第二十八条</w:t>
      </w:r>
      <w:r>
        <w:rPr>
          <w:rFonts w:hint="eastAsia" w:ascii="宋体" w:hAnsi="宋体" w:eastAsia="宋体" w:cs="宋体"/>
          <w:color w:val="auto"/>
          <w:kern w:val="0"/>
          <w:sz w:val="22"/>
          <w:highlight w:val="none"/>
        </w:rPr>
        <w:t>  在合同有效期内，如保险标的的危险程度显著增加的，被保险人应当按照合同的约定及时通知保险人，保险人可以按照合同约定增加保险费或者解除合同。</w:t>
      </w:r>
    </w:p>
    <w:p w14:paraId="374091C1">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第二十九条</w:t>
      </w:r>
      <w:r>
        <w:rPr>
          <w:rFonts w:hint="eastAsia" w:ascii="宋体" w:hAnsi="宋体" w:eastAsia="宋体" w:cs="宋体"/>
          <w:color w:val="auto"/>
          <w:kern w:val="0"/>
          <w:sz w:val="22"/>
          <w:highlight w:val="none"/>
        </w:rPr>
        <w:t> 保险事故发生时，被保险人应当尽力采取必要的措施，防止或者减少损失。投保人、被保险人知道保险事故发生后，应当及时通知保险人。</w:t>
      </w:r>
    </w:p>
    <w:p w14:paraId="5BACBEA6">
      <w:pPr>
        <w:widowControl/>
        <w:spacing w:line="500" w:lineRule="exact"/>
        <w:ind w:firstLine="643"/>
        <w:jc w:val="left"/>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第三十条 </w:t>
      </w:r>
      <w:r>
        <w:rPr>
          <w:rFonts w:hint="eastAsia" w:ascii="宋体" w:hAnsi="宋体" w:eastAsia="宋体" w:cs="宋体"/>
          <w:color w:val="auto"/>
          <w:kern w:val="0"/>
          <w:sz w:val="22"/>
          <w:highlight w:val="none"/>
        </w:rPr>
        <w:t>被保险人收到受害人的损害赔偿请求或得知可能产生损害赔偿时，应及时以书面形式通知保险人，并就损害赔偿请求与保险人进行协商。</w:t>
      </w:r>
    </w:p>
    <w:p w14:paraId="2E4647F3">
      <w:pPr>
        <w:spacing w:line="500" w:lineRule="exact"/>
        <w:ind w:firstLine="442" w:firstLineChars="200"/>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第三十一条</w:t>
      </w:r>
      <w:r>
        <w:rPr>
          <w:rFonts w:hint="eastAsia" w:ascii="宋体" w:hAnsi="宋体" w:eastAsia="宋体" w:cs="宋体"/>
          <w:color w:val="auto"/>
          <w:kern w:val="0"/>
          <w:sz w:val="22"/>
          <w:highlight w:val="none"/>
        </w:rPr>
        <w:t> 发生保险责任范围内的损失，应由有关责任方负责赔偿的，被保险人应行使或者保留向该责任方请求赔偿的权利。</w:t>
      </w:r>
    </w:p>
    <w:p w14:paraId="1666BC15">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在保险人向有关责任方行使代位请求赔偿权利时，被保险人应当向保险人提供必要的文件和其所知道的有关情况。</w:t>
      </w:r>
    </w:p>
    <w:p w14:paraId="46E40494">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第三十二条</w:t>
      </w:r>
      <w:r>
        <w:rPr>
          <w:rFonts w:hint="eastAsia" w:ascii="宋体" w:hAnsi="宋体" w:eastAsia="宋体" w:cs="宋体"/>
          <w:color w:val="auto"/>
          <w:kern w:val="0"/>
          <w:sz w:val="22"/>
          <w:highlight w:val="none"/>
        </w:rPr>
        <w:t xml:space="preserve"> 被保险人向保险人请求赔偿时，应提交以下材料：</w:t>
      </w:r>
    </w:p>
    <w:p w14:paraId="30B07F26">
      <w:pPr>
        <w:widowControl/>
        <w:spacing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（一）保险单正本；</w:t>
      </w:r>
    </w:p>
    <w:p w14:paraId="612EA0F0">
      <w:pPr>
        <w:widowControl/>
        <w:spacing w:after="156"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（二）被保险人或其代表填具的索赔申请书；</w:t>
      </w:r>
    </w:p>
    <w:p w14:paraId="3B10785B">
      <w:pPr>
        <w:widowControl/>
        <w:spacing w:after="156"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（三）受害人向被保险人提出人身伤害索赔的资料；</w:t>
      </w:r>
    </w:p>
    <w:p w14:paraId="6EC66EB7">
      <w:pPr>
        <w:widowControl/>
        <w:spacing w:after="156"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（四）伤亡人员名单；</w:t>
      </w:r>
    </w:p>
    <w:p w14:paraId="42CCD68A">
      <w:pPr>
        <w:widowControl/>
        <w:spacing w:after="50"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五）受害人残疾的，应当提供具备相关法律法规要求的伤残鉴定资格的鉴定机构出具的残疾程度证明；受害人死亡的，由保险人指定或认可的二级以上(含)医疗机构或当地公安机关出具的死亡证明及户籍注销证明，宣告死亡的还需提供法院宣告死亡的证明；</w:t>
      </w:r>
    </w:p>
    <w:p w14:paraId="7C6D545C">
      <w:pPr>
        <w:widowControl/>
        <w:spacing w:after="156"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（六）被保险人与受害人所签订的赔偿协议书或和解书；经判决或仲裁的，应提供判决文书或仲裁裁决文书；</w:t>
      </w:r>
    </w:p>
    <w:p w14:paraId="2518DDC7">
      <w:pPr>
        <w:widowControl/>
        <w:spacing w:after="156"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（七）医疗费用证明；</w:t>
      </w:r>
    </w:p>
    <w:p w14:paraId="6B472326">
      <w:pPr>
        <w:widowControl/>
        <w:spacing w:after="156"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（八）用工合同或劳资关系证明；</w:t>
      </w:r>
    </w:p>
    <w:p w14:paraId="1DBC7ECC">
      <w:pPr>
        <w:widowControl/>
        <w:spacing w:after="50"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（九）救援费用、法律费用的相关支付凭证；</w:t>
      </w:r>
    </w:p>
    <w:p w14:paraId="030B871A">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（十）投保人、被保险人所能提供的其他与确认保险事故的性质、原因、损失程度等有关的证明和资料。</w:t>
      </w:r>
    </w:p>
    <w:p w14:paraId="625A9A3D">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赔偿处理</w:t>
      </w:r>
    </w:p>
    <w:p w14:paraId="09A21B9B">
      <w:pPr>
        <w:spacing w:line="500" w:lineRule="exact"/>
        <w:ind w:firstLine="442" w:firstLineChars="200"/>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第三十三条</w:t>
      </w:r>
      <w:r>
        <w:rPr>
          <w:rFonts w:hint="eastAsia" w:ascii="宋体" w:hAnsi="宋体" w:eastAsia="宋体" w:cs="宋体"/>
          <w:color w:val="auto"/>
          <w:kern w:val="0"/>
          <w:sz w:val="22"/>
          <w:highlight w:val="none"/>
        </w:rPr>
        <w:t> 保险人以下列方式之一确定的被保险人的赔偿责任为基础，按照保险合同的约定进行赔偿：</w:t>
      </w:r>
    </w:p>
    <w:p w14:paraId="41E2F12C">
      <w:pPr>
        <w:spacing w:line="500" w:lineRule="exact"/>
        <w:ind w:firstLine="440" w:firstLineChars="20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（一）被保险人和向其提出损害赔偿请求的受害人协商并经保险人确认； </w:t>
      </w:r>
    </w:p>
    <w:p w14:paraId="1B38FB05">
      <w:pPr>
        <w:spacing w:line="500" w:lineRule="exact"/>
        <w:ind w:firstLine="440" w:firstLineChars="20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（二）仲裁机构裁决；</w:t>
      </w:r>
    </w:p>
    <w:p w14:paraId="13047417">
      <w:pPr>
        <w:spacing w:line="500" w:lineRule="exact"/>
        <w:ind w:firstLine="440" w:firstLineChars="20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（三）人民法院判决；</w:t>
      </w:r>
    </w:p>
    <w:p w14:paraId="6FA3042A">
      <w:pPr>
        <w:widowControl/>
        <w:spacing w:line="500" w:lineRule="exact"/>
        <w:ind w:firstLine="431" w:firstLineChars="196"/>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（四）保险人认可的其它方式。</w:t>
      </w:r>
    </w:p>
    <w:p w14:paraId="2EE62FD4">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第三十四条 </w:t>
      </w:r>
      <w:r>
        <w:rPr>
          <w:rFonts w:hint="eastAsia" w:ascii="宋体" w:hAnsi="宋体" w:eastAsia="宋体" w:cs="宋体"/>
          <w:color w:val="auto"/>
          <w:kern w:val="0"/>
          <w:sz w:val="22"/>
          <w:highlight w:val="none"/>
        </w:rPr>
        <w:t>发生本保险合同第五条、第九条约定的保险事故时，被保险人对伤亡人员依法应承担的经济赔偿责任，保险人按照以下方式赔偿：</w:t>
      </w:r>
    </w:p>
    <w:p w14:paraId="16D425DD">
      <w:pPr>
        <w:widowControl/>
        <w:spacing w:line="50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（一）发生人员死亡的，保险人在每人伤亡责任限额内赔偿；</w:t>
      </w:r>
    </w:p>
    <w:p w14:paraId="6A49A46F">
      <w:pPr>
        <w:widowControl/>
        <w:spacing w:line="52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（二）发生人员残疾的，由二级以上(含)医疗机构或司法机构依据《职工工伤与职业病致残程度鉴定》标准鉴定残疾程度，保险人按照本保险合同所附残疾赔偿比例表规定的百分比，在每人伤亡责任限额内赔付；</w:t>
      </w:r>
    </w:p>
    <w:p w14:paraId="427A47AF">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color w:val="auto"/>
          <w:kern w:val="0"/>
          <w:sz w:val="22"/>
          <w:highlight w:val="none"/>
        </w:rPr>
        <w:t>（三）发生人员就医的，</w:t>
      </w:r>
      <w:r>
        <w:rPr>
          <w:rFonts w:hint="eastAsia" w:ascii="宋体" w:hAnsi="宋体" w:eastAsia="宋体" w:cs="宋体"/>
          <w:bCs/>
          <w:color w:val="auto"/>
          <w:sz w:val="22"/>
          <w:highlight w:val="none"/>
          <w:lang w:val="zh-CN"/>
        </w:rPr>
        <w:t xml:space="preserve">被保险人对其从业人员、第三者依法应承担的符合国家工伤保险待遇规定的标准的下列医疗费用，保险人扣除每次事故每人医疗费用免赔额后在每人医疗费用责任限额内据实赔偿，医疗费用包括： </w:t>
      </w:r>
    </w:p>
    <w:p w14:paraId="1D950B1C">
      <w:pPr>
        <w:spacing w:line="52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1.挂号费、治疗费、手术费、检查费、医药费；</w:t>
      </w:r>
    </w:p>
    <w:p w14:paraId="0AD96716">
      <w:pPr>
        <w:spacing w:line="52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2.住院期间的床位费、陪护费、伙食费、取暖费、空调费；</w:t>
      </w:r>
    </w:p>
    <w:p w14:paraId="4A20DDFD">
      <w:pPr>
        <w:spacing w:line="520" w:lineRule="exact"/>
        <w:ind w:firstLine="440" w:firstLineChars="200"/>
        <w:rPr>
          <w:rFonts w:ascii="宋体" w:hAnsi="宋体" w:eastAsia="宋体" w:cs="宋体"/>
          <w:color w:val="auto"/>
          <w:sz w:val="22"/>
          <w:highlight w:val="none"/>
        </w:rPr>
      </w:pPr>
      <w:r>
        <w:rPr>
          <w:rFonts w:hint="eastAsia" w:ascii="宋体" w:hAnsi="宋体" w:eastAsia="宋体" w:cs="宋体"/>
          <w:color w:val="auto"/>
          <w:sz w:val="22"/>
          <w:highlight w:val="none"/>
        </w:rPr>
        <w:t>3.就（转）诊交通费、急救车费；</w:t>
      </w:r>
    </w:p>
    <w:p w14:paraId="34EBD885">
      <w:pPr>
        <w:spacing w:line="520" w:lineRule="exact"/>
        <w:ind w:firstLine="440" w:firstLineChars="200"/>
        <w:rPr>
          <w:rFonts w:ascii="宋体" w:hAnsi="宋体" w:eastAsia="宋体" w:cs="宋体"/>
          <w:b/>
          <w:bCs/>
          <w:color w:val="auto"/>
          <w:sz w:val="22"/>
          <w:highlight w:val="none"/>
          <w:lang w:val="zh-CN"/>
        </w:rPr>
      </w:pPr>
      <w:r>
        <w:rPr>
          <w:rFonts w:hint="eastAsia" w:ascii="宋体" w:hAnsi="宋体" w:eastAsia="宋体" w:cs="宋体"/>
          <w:color w:val="auto"/>
          <w:sz w:val="22"/>
          <w:highlight w:val="none"/>
        </w:rPr>
        <w:t>4.安装假肢、假牙、假眼和残疾用具费用。</w:t>
      </w:r>
    </w:p>
    <w:p w14:paraId="1967C275">
      <w:pPr>
        <w:widowControl/>
        <w:spacing w:line="520" w:lineRule="exact"/>
        <w:ind w:firstLine="640"/>
        <w:rPr>
          <w:rFonts w:ascii="宋体" w:hAnsi="宋体" w:eastAsia="宋体" w:cs="宋体"/>
          <w:color w:val="auto"/>
          <w:kern w:val="0"/>
          <w:sz w:val="22"/>
          <w:highlight w:val="none"/>
        </w:rPr>
      </w:pPr>
      <w:r>
        <w:rPr>
          <w:rFonts w:hint="eastAsia" w:ascii="宋体" w:hAnsi="宋体" w:eastAsia="宋体" w:cs="宋体"/>
          <w:bCs/>
          <w:color w:val="auto"/>
          <w:sz w:val="22"/>
          <w:highlight w:val="none"/>
          <w:lang w:val="zh-CN"/>
        </w:rPr>
        <w:t>除紧急抢救外，受伤工作人员均应在二级以上（含）医院或保险人认可的医疗机构就诊。</w:t>
      </w:r>
    </w:p>
    <w:p w14:paraId="2C3A161D">
      <w:pPr>
        <w:widowControl/>
        <w:spacing w:line="52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四）受伤人员暂时丧失工作能力超过五天（不包括五天）的，经医院证明，保险人依据事故发生地政府公布的最低生活保障金标准，按照每人／天补偿误工费，医疗期满或确定残疾程度后停发，最长不超过1年；如最终鉴定为残疾的，保险人对残疾赔偿金及误工费的赔偿以第（二）款计算的责任限额为限；</w:t>
      </w:r>
    </w:p>
    <w:p w14:paraId="24C9536C">
      <w:pPr>
        <w:widowControl/>
        <w:spacing w:line="52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（五）对于每次事故造成的上述各项损失，保险人在每次事故责任限额内赔偿，其中从业人员与第三者不共用每次事故责任限额。</w:t>
      </w:r>
    </w:p>
    <w:p w14:paraId="37836D44">
      <w:pPr>
        <w:widowControl/>
        <w:spacing w:line="52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第三十五条</w:t>
      </w:r>
      <w:r>
        <w:rPr>
          <w:rFonts w:hint="eastAsia" w:ascii="宋体" w:hAnsi="宋体" w:eastAsia="宋体" w:cs="宋体"/>
          <w:color w:val="auto"/>
          <w:kern w:val="0"/>
          <w:sz w:val="22"/>
          <w:highlight w:val="none"/>
        </w:rPr>
        <w:t> 发生本保险合同第十二条约定的保险事故时，被保险人支付或承担的救援费用，保险人按照以下方式赔偿：</w:t>
      </w:r>
    </w:p>
    <w:p w14:paraId="7E3D0104">
      <w:pPr>
        <w:widowControl/>
        <w:spacing w:line="52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（一）保险人在扣除每次事故救援费用免赔额后，依照本条第（二）项进行赔偿；</w:t>
      </w:r>
    </w:p>
    <w:p w14:paraId="19762184">
      <w:pPr>
        <w:widowControl/>
        <w:spacing w:line="520" w:lineRule="exact"/>
        <w:ind w:firstLine="64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（二）对于每次事故造成的损失，保险人在每次事故救援费用限额内赔偿，对每人救援的费用，保险人在每人救援费用责任限额内赔偿。</w:t>
      </w:r>
    </w:p>
    <w:p w14:paraId="79A4CFB0">
      <w:pPr>
        <w:widowControl/>
        <w:spacing w:line="520" w:lineRule="exact"/>
        <w:ind w:firstLine="643"/>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第三十六条 </w:t>
      </w:r>
      <w:r>
        <w:rPr>
          <w:rFonts w:hint="eastAsia" w:ascii="宋体" w:hAnsi="宋体" w:eastAsia="宋体" w:cs="宋体"/>
          <w:color w:val="auto"/>
          <w:kern w:val="0"/>
          <w:sz w:val="22"/>
          <w:highlight w:val="none"/>
        </w:rPr>
        <w:t>被保险人因一次保险事故支出的法律费用，保险人在每次事故法律费用责任限额内赔偿，在保险期间内，保险人对多次事故各项损失的累计赔偿金额不超过累计责任限额。</w:t>
      </w:r>
    </w:p>
    <w:p w14:paraId="609AFD5B">
      <w:pPr>
        <w:widowControl/>
        <w:spacing w:line="500" w:lineRule="exact"/>
        <w:jc w:val="center"/>
        <w:rPr>
          <w:rFonts w:ascii="宋体" w:hAnsi="宋体" w:eastAsia="宋体" w:cs="宋体"/>
          <w:color w:val="auto"/>
          <w:kern w:val="0"/>
          <w:sz w:val="22"/>
          <w:highlight w:val="none"/>
        </w:rPr>
      </w:pPr>
      <w:r>
        <w:rPr>
          <w:rFonts w:hint="eastAsia" w:ascii="宋体" w:hAnsi="宋体" w:eastAsia="宋体" w:cs="宋体"/>
          <w:b/>
          <w:bCs/>
          <w:color w:val="auto"/>
          <w:kern w:val="0"/>
          <w:sz w:val="22"/>
          <w:highlight w:val="none"/>
        </w:rPr>
        <w:t>争议处理和法律适用</w:t>
      </w:r>
    </w:p>
    <w:p w14:paraId="609E951E">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第三十七条</w:t>
      </w:r>
      <w:r>
        <w:rPr>
          <w:rFonts w:hint="eastAsia" w:ascii="宋体" w:hAnsi="宋体" w:eastAsia="宋体" w:cs="宋体"/>
          <w:color w:val="auto"/>
          <w:kern w:val="0"/>
          <w:sz w:val="22"/>
          <w:highlight w:val="none"/>
        </w:rPr>
        <w:t> 因履行本保险合同发生的争议，由当事人协商解决。协商不成的，提交保险单载明的仲裁机构仲裁；保险单未载明仲裁机构且争议发生后未达成仲裁协议的，依法向中华人民共和国人民法院起诉。</w:t>
      </w:r>
    </w:p>
    <w:p w14:paraId="064F4883">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第三十八条</w:t>
      </w:r>
      <w:r>
        <w:rPr>
          <w:rFonts w:hint="eastAsia" w:ascii="宋体" w:hAnsi="宋体" w:eastAsia="宋体" w:cs="宋体"/>
          <w:color w:val="auto"/>
          <w:kern w:val="0"/>
          <w:sz w:val="22"/>
          <w:highlight w:val="none"/>
        </w:rPr>
        <w:t> 与本保险合同有关的以及履行本保险合同产生的一切争议处理适用中华人民共和国法律（不包括港、澳、台地区法律）。</w:t>
      </w:r>
    </w:p>
    <w:p w14:paraId="532CB11E">
      <w:pPr>
        <w:widowControl/>
        <w:spacing w:line="500" w:lineRule="exact"/>
        <w:ind w:firstLine="643"/>
        <w:jc w:val="center"/>
        <w:rPr>
          <w:rFonts w:ascii="宋体" w:hAnsi="宋体" w:eastAsia="宋体" w:cs="宋体"/>
          <w:b/>
          <w:color w:val="auto"/>
          <w:kern w:val="0"/>
          <w:sz w:val="22"/>
          <w:highlight w:val="none"/>
        </w:rPr>
      </w:pPr>
      <w:r>
        <w:rPr>
          <w:rFonts w:hint="eastAsia" w:ascii="宋体" w:hAnsi="宋体" w:eastAsia="宋体" w:cs="宋体"/>
          <w:b/>
          <w:color w:val="auto"/>
          <w:kern w:val="0"/>
          <w:sz w:val="22"/>
          <w:highlight w:val="none"/>
        </w:rPr>
        <w:t>其他事项</w:t>
      </w:r>
    </w:p>
    <w:p w14:paraId="571FB20C">
      <w:pPr>
        <w:spacing w:line="500" w:lineRule="exact"/>
        <w:ind w:firstLine="442" w:firstLineChars="200"/>
        <w:rPr>
          <w:rFonts w:ascii="宋体" w:hAnsi="宋体" w:eastAsia="宋体" w:cs="宋体"/>
          <w:color w:val="auto"/>
          <w:kern w:val="0"/>
          <w:sz w:val="22"/>
          <w:highlight w:val="none"/>
        </w:rPr>
      </w:pPr>
      <w:r>
        <w:rPr>
          <w:rFonts w:hint="eastAsia" w:ascii="宋体" w:hAnsi="宋体" w:eastAsia="宋体" w:cs="宋体"/>
          <w:b/>
          <w:color w:val="auto"/>
          <w:kern w:val="0"/>
          <w:sz w:val="22"/>
          <w:highlight w:val="none"/>
        </w:rPr>
        <w:t>第三十九条</w:t>
      </w:r>
      <w:r>
        <w:rPr>
          <w:rFonts w:hint="eastAsia" w:ascii="宋体" w:hAnsi="宋体" w:eastAsia="宋体" w:cs="宋体"/>
          <w:color w:val="auto"/>
          <w:kern w:val="0"/>
          <w:sz w:val="22"/>
          <w:highlight w:val="none"/>
        </w:rPr>
        <w:t> 保险责任开始前，投保人要求解除保险合同的，应当向保险人支付相当于保险费5%的退保手续费，保险人应当退还剩余部分保险费。</w:t>
      </w:r>
    </w:p>
    <w:p w14:paraId="2F448DD1">
      <w:pPr>
        <w:widowControl/>
        <w:spacing w:line="500" w:lineRule="exact"/>
        <w:ind w:firstLine="643"/>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保险责任开始后，投保人要求解除保险合同的，自通知保险人之日起，保险合同解除，保险人按照保险责任开始之日起至合同解除之日止期间与保险期间的日比例计收保险费，并退还剩余部分保险费。</w:t>
      </w:r>
    </w:p>
    <w:p w14:paraId="4BEC97CF">
      <w:pPr>
        <w:widowControl/>
        <w:spacing w:line="500" w:lineRule="exact"/>
        <w:ind w:firstLine="643"/>
        <w:rPr>
          <w:rFonts w:ascii="宋体" w:hAnsi="宋体" w:eastAsia="宋体"/>
          <w:color w:val="auto"/>
          <w:highlight w:val="none"/>
        </w:rPr>
      </w:pPr>
      <w:r>
        <w:rPr>
          <w:rFonts w:hint="eastAsia" w:ascii="宋体" w:hAnsi="宋体" w:eastAsia="宋体" w:cs="宋体"/>
          <w:b/>
          <w:color w:val="auto"/>
          <w:kern w:val="0"/>
          <w:sz w:val="22"/>
          <w:highlight w:val="none"/>
        </w:rPr>
        <w:t xml:space="preserve">第四十条 </w:t>
      </w:r>
      <w:r>
        <w:rPr>
          <w:rFonts w:hint="eastAsia" w:ascii="宋体" w:hAnsi="宋体" w:eastAsia="宋体" w:cs="宋体"/>
          <w:color w:val="auto"/>
          <w:kern w:val="0"/>
          <w:sz w:val="22"/>
          <w:highlight w:val="none"/>
        </w:rPr>
        <w:t>本保险合同约定与《中华人民共和国保险法》等法律规定相悖之处，以法律规定为准。本保险合同未尽事宜，以法律规定为准。</w:t>
      </w:r>
    </w:p>
    <w:p w14:paraId="5F071182">
      <w:pPr>
        <w:rPr>
          <w:rFonts w:ascii="宋体" w:hAnsi="宋体" w:eastAsia="宋体"/>
          <w:color w:val="auto"/>
          <w:highlight w:val="none"/>
        </w:rPr>
      </w:pPr>
    </w:p>
    <w:p w14:paraId="0AD35DA8">
      <w:pPr>
        <w:pStyle w:val="48"/>
        <w:rPr>
          <w:rFonts w:ascii="宋体" w:hAnsi="宋体" w:eastAsia="宋体"/>
          <w:color w:val="auto"/>
          <w:highlight w:val="none"/>
        </w:rPr>
      </w:pPr>
    </w:p>
    <w:p w14:paraId="1027291B">
      <w:pPr>
        <w:rPr>
          <w:rFonts w:ascii="宋体" w:hAnsi="宋体" w:eastAsia="宋体"/>
          <w:color w:val="auto"/>
          <w:highlight w:val="none"/>
        </w:rPr>
      </w:pPr>
    </w:p>
    <w:p w14:paraId="32FE1D7F">
      <w:pPr>
        <w:pStyle w:val="48"/>
        <w:rPr>
          <w:rFonts w:ascii="宋体" w:hAnsi="宋体" w:eastAsia="宋体"/>
          <w:color w:val="auto"/>
          <w:highlight w:val="none"/>
        </w:rPr>
      </w:pPr>
    </w:p>
    <w:p w14:paraId="6CE002CA">
      <w:pPr>
        <w:rPr>
          <w:color w:val="auto"/>
          <w:highlight w:val="none"/>
        </w:rPr>
      </w:pPr>
    </w:p>
    <w:p w14:paraId="7F861DB1">
      <w:pPr>
        <w:autoSpaceDE w:val="0"/>
        <w:autoSpaceDN w:val="0"/>
        <w:adjustRightInd w:val="0"/>
        <w:snapToGrid w:val="0"/>
        <w:spacing w:line="500" w:lineRule="exact"/>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（三）安全生产责任险附加条款</w:t>
      </w:r>
    </w:p>
    <w:p w14:paraId="479EB042">
      <w:pPr>
        <w:widowControl/>
        <w:numPr>
          <w:ilvl w:val="0"/>
          <w:numId w:val="0"/>
        </w:numPr>
        <w:spacing w:before="312" w:beforeLines="100" w:line="460" w:lineRule="exact"/>
        <w:ind w:leftChars="0" w:firstLine="2400" w:firstLineChars="1000"/>
        <w:jc w:val="both"/>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lang w:val="en-US" w:eastAsia="zh-CN"/>
        </w:rPr>
        <w:t>**</w:t>
      </w:r>
      <w:r>
        <w:rPr>
          <w:rFonts w:hint="eastAsia" w:ascii="黑体" w:hAnsi="黑体" w:eastAsia="黑体" w:cs="宋体"/>
          <w:color w:val="auto"/>
          <w:kern w:val="0"/>
          <w:sz w:val="24"/>
          <w:szCs w:val="24"/>
          <w:highlight w:val="none"/>
        </w:rPr>
        <w:t>财产保险股份有限公司</w:t>
      </w:r>
    </w:p>
    <w:p w14:paraId="3C49B6B5">
      <w:pPr>
        <w:widowControl/>
        <w:spacing w:line="460" w:lineRule="exact"/>
        <w:jc w:val="center"/>
        <w:rPr>
          <w:rFonts w:ascii="宋体" w:hAnsi="宋体" w:eastAsia="宋体" w:cs="宋体"/>
          <w:b/>
          <w:bCs/>
          <w:color w:val="auto"/>
          <w:sz w:val="24"/>
          <w:szCs w:val="24"/>
          <w:highlight w:val="none"/>
        </w:rPr>
      </w:pPr>
      <w:r>
        <w:rPr>
          <w:rFonts w:hint="eastAsia" w:ascii="黑体" w:hAnsi="黑体" w:eastAsia="黑体" w:cs="宋体"/>
          <w:color w:val="auto"/>
          <w:kern w:val="0"/>
          <w:sz w:val="24"/>
          <w:szCs w:val="24"/>
          <w:highlight w:val="none"/>
        </w:rPr>
        <w:t>安全生产责任保险附加法律费用保险条款</w:t>
      </w:r>
    </w:p>
    <w:p w14:paraId="434DF44B">
      <w:pPr>
        <w:autoSpaceDE w:val="0"/>
        <w:autoSpaceDN w:val="0"/>
        <w:adjustRightInd w:val="0"/>
        <w:snapToGrid w:val="0"/>
        <w:spacing w:line="500" w:lineRule="exact"/>
        <w:ind w:firstLine="472" w:firstLineChars="196"/>
        <w:rPr>
          <w:rFonts w:ascii="宋体" w:hAnsi="宋体" w:eastAsia="宋体" w:cs="宋体"/>
          <w:bCs/>
          <w:color w:val="auto"/>
          <w:sz w:val="22"/>
          <w:highlight w:val="none"/>
          <w:lang w:val="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2"/>
          <w:highlight w:val="none"/>
          <w:lang w:val="zh-CN"/>
        </w:rPr>
        <w:t xml:space="preserve">第一条 </w:t>
      </w:r>
      <w:r>
        <w:rPr>
          <w:rFonts w:hint="eastAsia" w:ascii="宋体" w:hAnsi="宋体" w:eastAsia="宋体" w:cs="宋体"/>
          <w:color w:val="auto"/>
          <w:sz w:val="22"/>
          <w:highlight w:val="none"/>
        </w:rPr>
        <w:t>本条款为《中国人民财产保险股份有限公司煤矿企业安全生产责任保险》、《中国人民财产保险股份有限公司非煤矿山企业安全生产责任保险》、《中国人民财产保险股份有限公司危险化学品企业安全生产责任保险》、《中国人民财产保险股份有限公司烟花爆竹企业安全生产责任保险》等安全生产类责任保险（以下简称主险）的附加险条款，只有在投保了主险的基础上，方可投保本附加险。</w:t>
      </w:r>
    </w:p>
    <w:p w14:paraId="1C9E8C74">
      <w:pPr>
        <w:spacing w:line="500" w:lineRule="exact"/>
        <w:jc w:val="center"/>
        <w:rPr>
          <w:rFonts w:ascii="宋体" w:hAnsi="宋体" w:eastAsia="宋体" w:cs="宋体"/>
          <w:color w:val="auto"/>
          <w:sz w:val="16"/>
          <w:szCs w:val="18"/>
          <w:highlight w:val="none"/>
        </w:rPr>
      </w:pPr>
      <w:r>
        <w:rPr>
          <w:rFonts w:hint="eastAsia" w:ascii="宋体" w:hAnsi="宋体" w:eastAsia="宋体" w:cs="宋体"/>
          <w:b/>
          <w:bCs/>
          <w:color w:val="auto"/>
          <w:sz w:val="22"/>
          <w:highlight w:val="none"/>
        </w:rPr>
        <w:t>附加险内容</w:t>
      </w:r>
    </w:p>
    <w:p w14:paraId="64FBB789">
      <w:pPr>
        <w:autoSpaceDE w:val="0"/>
        <w:autoSpaceDN w:val="0"/>
        <w:adjustRightInd w:val="0"/>
        <w:snapToGrid w:val="0"/>
        <w:spacing w:line="500" w:lineRule="exact"/>
        <w:ind w:firstLine="433" w:firstLineChars="196"/>
        <w:rPr>
          <w:rFonts w:ascii="宋体" w:hAnsi="宋体" w:eastAsia="宋体" w:cs="宋体"/>
          <w:bCs/>
          <w:color w:val="auto"/>
          <w:sz w:val="22"/>
          <w:highlight w:val="none"/>
          <w:lang w:val="zh-CN"/>
        </w:rPr>
      </w:pPr>
      <w:r>
        <w:rPr>
          <w:rFonts w:hint="eastAsia" w:ascii="宋体" w:hAnsi="宋体" w:eastAsia="宋体" w:cs="宋体"/>
          <w:b/>
          <w:bCs/>
          <w:color w:val="auto"/>
          <w:sz w:val="22"/>
          <w:highlight w:val="none"/>
          <w:lang w:val="zh-CN"/>
        </w:rPr>
        <w:t>第二条</w:t>
      </w:r>
      <w:r>
        <w:rPr>
          <w:rFonts w:hint="eastAsia" w:ascii="宋体" w:hAnsi="宋体" w:eastAsia="宋体" w:cs="宋体"/>
          <w:bCs/>
          <w:color w:val="auto"/>
          <w:sz w:val="22"/>
          <w:highlight w:val="none"/>
          <w:lang w:val="zh-CN"/>
        </w:rPr>
        <w:t xml:space="preserve"> 在保险期间内，发生保险责任范围内的安全生产事故，被保险人因此被提起仲裁或者诉讼的，对应由被保险人支付的仲裁或诉讼费用以及事先经保险人书面同意支付的其他必要的、合理的法律费用（以下简称法律费用），保险人按照本附加险合同的约定，在法律费用责任限额内负责赔偿。</w:t>
      </w:r>
    </w:p>
    <w:p w14:paraId="01838D6F">
      <w:pPr>
        <w:autoSpaceDE w:val="0"/>
        <w:autoSpaceDN w:val="0"/>
        <w:adjustRightInd w:val="0"/>
        <w:snapToGrid w:val="0"/>
        <w:spacing w:line="500" w:lineRule="exact"/>
        <w:ind w:firstLine="433" w:firstLineChars="196"/>
        <w:rPr>
          <w:rFonts w:ascii="宋体" w:hAnsi="宋体" w:eastAsia="宋体" w:cs="宋体"/>
          <w:bCs/>
          <w:color w:val="auto"/>
          <w:sz w:val="22"/>
          <w:highlight w:val="none"/>
          <w:lang w:val="zh-CN"/>
        </w:rPr>
      </w:pPr>
      <w:r>
        <w:rPr>
          <w:rFonts w:hint="eastAsia" w:ascii="宋体" w:hAnsi="宋体" w:eastAsia="宋体" w:cs="宋体"/>
          <w:b/>
          <w:bCs/>
          <w:color w:val="auto"/>
          <w:sz w:val="22"/>
          <w:highlight w:val="none"/>
          <w:lang w:val="zh-CN"/>
        </w:rPr>
        <w:t>第三条</w:t>
      </w:r>
      <w:r>
        <w:rPr>
          <w:rFonts w:hint="eastAsia" w:ascii="宋体" w:hAnsi="宋体" w:eastAsia="宋体" w:cs="宋体"/>
          <w:bCs/>
          <w:color w:val="auto"/>
          <w:sz w:val="22"/>
          <w:highlight w:val="none"/>
          <w:lang w:val="zh-CN"/>
        </w:rPr>
        <w:t xml:space="preserve"> 本附加险合同的责任限额包括每次事故法律费用责任限额及累计法律费用责任限额，由投保人和保险人协商确定，并在保险单中载明。</w:t>
      </w:r>
    </w:p>
    <w:p w14:paraId="069FFAA5">
      <w:pPr>
        <w:autoSpaceDE w:val="0"/>
        <w:autoSpaceDN w:val="0"/>
        <w:adjustRightInd w:val="0"/>
        <w:snapToGrid w:val="0"/>
        <w:spacing w:line="500" w:lineRule="exact"/>
        <w:ind w:firstLine="433" w:firstLineChars="196"/>
        <w:rPr>
          <w:rFonts w:ascii="宋体" w:hAnsi="宋体" w:eastAsia="宋体" w:cs="宋体"/>
          <w:bCs/>
          <w:color w:val="auto"/>
          <w:sz w:val="22"/>
          <w:highlight w:val="none"/>
          <w:lang w:val="zh-CN"/>
        </w:rPr>
      </w:pPr>
      <w:r>
        <w:rPr>
          <w:rFonts w:hint="eastAsia" w:ascii="宋体" w:hAnsi="宋体" w:eastAsia="宋体" w:cs="宋体"/>
          <w:b/>
          <w:bCs/>
          <w:color w:val="auto"/>
          <w:sz w:val="22"/>
          <w:highlight w:val="none"/>
          <w:lang w:val="zh-CN"/>
        </w:rPr>
        <w:t xml:space="preserve">第四条 </w:t>
      </w:r>
      <w:r>
        <w:rPr>
          <w:rFonts w:hint="eastAsia" w:ascii="宋体" w:hAnsi="宋体" w:eastAsia="宋体" w:cs="宋体"/>
          <w:bCs/>
          <w:color w:val="auto"/>
          <w:sz w:val="22"/>
          <w:highlight w:val="none"/>
          <w:lang w:val="zh-CN"/>
        </w:rPr>
        <w:t>保险人对每次事故的法律费用的赔偿金额不超过每次事故法律费用责任限额。</w:t>
      </w:r>
    </w:p>
    <w:p w14:paraId="7E877657">
      <w:pPr>
        <w:autoSpaceDE w:val="0"/>
        <w:autoSpaceDN w:val="0"/>
        <w:adjustRightInd w:val="0"/>
        <w:snapToGrid w:val="0"/>
        <w:spacing w:line="500" w:lineRule="exact"/>
        <w:ind w:firstLine="330" w:firstLineChars="150"/>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在保险期间内，保险人对多次事故的法律费用的赔偿金额不超过累计法律费用责任限额。</w:t>
      </w:r>
    </w:p>
    <w:p w14:paraId="1A727770">
      <w:pPr>
        <w:spacing w:line="500" w:lineRule="exact"/>
        <w:jc w:val="center"/>
        <w:rPr>
          <w:rFonts w:ascii="宋体" w:hAnsi="宋体" w:eastAsia="宋体" w:cs="宋体"/>
          <w:color w:val="auto"/>
          <w:sz w:val="16"/>
          <w:szCs w:val="18"/>
          <w:highlight w:val="none"/>
        </w:rPr>
      </w:pPr>
      <w:r>
        <w:rPr>
          <w:rFonts w:hint="eastAsia" w:ascii="宋体" w:hAnsi="宋体" w:eastAsia="宋体" w:cs="宋体"/>
          <w:b/>
          <w:bCs/>
          <w:color w:val="auto"/>
          <w:sz w:val="22"/>
          <w:highlight w:val="none"/>
        </w:rPr>
        <w:t>主险与附加险关系</w:t>
      </w:r>
    </w:p>
    <w:p w14:paraId="29C9496C">
      <w:pPr>
        <w:spacing w:line="500" w:lineRule="exact"/>
        <w:jc w:val="left"/>
        <w:rPr>
          <w:rFonts w:ascii="宋体" w:hAnsi="宋体" w:eastAsia="宋体" w:cs="宋体"/>
          <w:color w:val="auto"/>
          <w:sz w:val="16"/>
          <w:szCs w:val="18"/>
          <w:highlight w:val="none"/>
        </w:rPr>
      </w:pPr>
      <w:r>
        <w:rPr>
          <w:rFonts w:hint="eastAsia" w:ascii="宋体" w:hAnsi="宋体" w:eastAsia="宋体" w:cs="宋体"/>
          <w:b/>
          <w:color w:val="auto"/>
          <w:sz w:val="22"/>
          <w:highlight w:val="none"/>
        </w:rPr>
        <w:t>  第五条</w:t>
      </w:r>
      <w:r>
        <w:rPr>
          <w:rFonts w:hint="eastAsia" w:ascii="宋体" w:hAnsi="宋体" w:eastAsia="宋体" w:cs="宋体"/>
          <w:color w:val="auto"/>
          <w:sz w:val="22"/>
          <w:highlight w:val="none"/>
        </w:rPr>
        <w:t xml:space="preserve"> 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14:paraId="56458B43">
      <w:pPr>
        <w:rPr>
          <w:color w:val="auto"/>
          <w:highlight w:val="none"/>
        </w:rPr>
      </w:pPr>
      <w:r>
        <w:rPr>
          <w:color w:val="auto"/>
          <w:highlight w:val="none"/>
        </w:rPr>
        <w:br w:type="page"/>
      </w:r>
    </w:p>
    <w:p w14:paraId="2AFB2C28">
      <w:pPr>
        <w:widowControl/>
        <w:spacing w:line="460" w:lineRule="exact"/>
        <w:jc w:val="center"/>
        <w:rPr>
          <w:rFonts w:ascii="黑体" w:hAnsi="黑体" w:eastAsia="黑体" w:cs="宋体"/>
          <w:color w:val="auto"/>
          <w:kern w:val="0"/>
          <w:sz w:val="24"/>
          <w:szCs w:val="24"/>
          <w:highlight w:val="none"/>
        </w:rPr>
      </w:pPr>
      <w:r>
        <w:rPr>
          <w:rFonts w:hint="eastAsia" w:ascii="黑体" w:hAnsi="黑体" w:eastAsia="黑体" w:cs="宋体"/>
          <w:color w:val="auto"/>
          <w:kern w:val="0"/>
          <w:sz w:val="24"/>
          <w:szCs w:val="24"/>
          <w:highlight w:val="none"/>
          <w:lang w:val="en-US" w:eastAsia="zh-CN"/>
        </w:rPr>
        <w:t>**</w:t>
      </w:r>
      <w:r>
        <w:rPr>
          <w:rFonts w:ascii="黑体" w:hAnsi="黑体" w:eastAsia="黑体" w:cs="宋体"/>
          <w:color w:val="auto"/>
          <w:kern w:val="0"/>
          <w:sz w:val="24"/>
          <w:szCs w:val="24"/>
          <w:highlight w:val="none"/>
        </w:rPr>
        <w:t>财产保险股份有限公司</w:t>
      </w:r>
    </w:p>
    <w:p w14:paraId="50ECC6FE">
      <w:pPr>
        <w:widowControl/>
        <w:spacing w:line="460" w:lineRule="exact"/>
        <w:jc w:val="center"/>
        <w:rPr>
          <w:rFonts w:ascii="黑体" w:hAnsi="黑体" w:eastAsia="黑体" w:cs="宋体"/>
          <w:color w:val="auto"/>
          <w:kern w:val="0"/>
          <w:sz w:val="24"/>
          <w:szCs w:val="24"/>
          <w:highlight w:val="none"/>
        </w:rPr>
      </w:pPr>
      <w:r>
        <w:rPr>
          <w:rFonts w:ascii="黑体" w:hAnsi="黑体" w:eastAsia="黑体" w:cs="宋体"/>
          <w:color w:val="auto"/>
          <w:kern w:val="0"/>
          <w:sz w:val="24"/>
          <w:szCs w:val="24"/>
          <w:highlight w:val="none"/>
        </w:rPr>
        <w:t>安全生产责任保险附加医疗费用责任保险条款</w:t>
      </w:r>
    </w:p>
    <w:p w14:paraId="6231F7DD">
      <w:pPr>
        <w:autoSpaceDE w:val="0"/>
        <w:autoSpaceDN w:val="0"/>
        <w:adjustRightInd w:val="0"/>
        <w:spacing w:line="600" w:lineRule="exact"/>
        <w:jc w:val="center"/>
        <w:rPr>
          <w:rFonts w:ascii="仿宋_GB2312" w:eastAsia="仿宋_GB2312" w:cs="仿宋_GB2312"/>
          <w:b/>
          <w:bCs/>
          <w:color w:val="auto"/>
          <w:sz w:val="28"/>
          <w:szCs w:val="28"/>
          <w:highlight w:val="none"/>
        </w:rPr>
      </w:pPr>
    </w:p>
    <w:p w14:paraId="21F2E322">
      <w:pPr>
        <w:autoSpaceDE w:val="0"/>
        <w:autoSpaceDN w:val="0"/>
        <w:adjustRightInd w:val="0"/>
        <w:spacing w:line="520" w:lineRule="exact"/>
        <w:jc w:val="center"/>
        <w:rPr>
          <w:rFonts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总则</w:t>
      </w:r>
    </w:p>
    <w:p w14:paraId="6CD2B62F">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
          <w:bCs/>
          <w:color w:val="auto"/>
          <w:sz w:val="22"/>
          <w:highlight w:val="none"/>
          <w:lang w:val="zh-CN"/>
        </w:rPr>
        <w:t xml:space="preserve">第一条 </w:t>
      </w:r>
      <w:r>
        <w:rPr>
          <w:rFonts w:hint="eastAsia" w:ascii="宋体" w:hAnsi="宋体" w:eastAsia="宋体" w:cs="宋体"/>
          <w:bCs/>
          <w:color w:val="auto"/>
          <w:sz w:val="22"/>
          <w:highlight w:val="none"/>
          <w:lang w:val="zh-CN"/>
        </w:rPr>
        <w:t>本条款是《中国人民财产保险股份有限公司安全生产责任保险》等安全生产类责任保险（以下简称“主险”）的附加险条款，只有在投保了主险的基础上，方可投保本附加险。</w:t>
      </w:r>
    </w:p>
    <w:p w14:paraId="44489459">
      <w:pPr>
        <w:autoSpaceDE w:val="0"/>
        <w:autoSpaceDN w:val="0"/>
        <w:adjustRightInd w:val="0"/>
        <w:spacing w:line="520" w:lineRule="exact"/>
        <w:jc w:val="center"/>
        <w:rPr>
          <w:rFonts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保险责任</w:t>
      </w:r>
    </w:p>
    <w:p w14:paraId="53E90B32">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
          <w:bCs/>
          <w:color w:val="auto"/>
          <w:sz w:val="22"/>
          <w:highlight w:val="none"/>
          <w:lang w:val="zh-CN"/>
        </w:rPr>
        <w:t>第二条</w:t>
      </w:r>
      <w:r>
        <w:rPr>
          <w:rFonts w:hint="eastAsia" w:ascii="宋体" w:hAnsi="宋体" w:eastAsia="宋体" w:cs="宋体"/>
          <w:bCs/>
          <w:color w:val="auto"/>
          <w:sz w:val="22"/>
          <w:highlight w:val="none"/>
          <w:lang w:val="zh-CN"/>
        </w:rPr>
        <w:t xml:space="preserve"> 在保险期间内，发生保险责任范围内的安全生产事故，导致被保险人的工作人员或第三者人身伤亡，依照中华人民共和国法律（不包括港、澳、台地区）应由被保险人承担的医疗费用，保险人按照本附加险合同约定负责赔偿。</w:t>
      </w:r>
    </w:p>
    <w:p w14:paraId="6255B78A">
      <w:pPr>
        <w:autoSpaceDE w:val="0"/>
        <w:autoSpaceDN w:val="0"/>
        <w:adjustRightInd w:val="0"/>
        <w:spacing w:line="520" w:lineRule="exact"/>
        <w:jc w:val="center"/>
        <w:rPr>
          <w:rFonts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责任限额及免赔额</w:t>
      </w:r>
    </w:p>
    <w:p w14:paraId="0A7BD447">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
          <w:bCs/>
          <w:color w:val="auto"/>
          <w:sz w:val="22"/>
          <w:highlight w:val="none"/>
          <w:lang w:val="zh-CN"/>
        </w:rPr>
        <w:t>第三条</w:t>
      </w:r>
      <w:r>
        <w:rPr>
          <w:rFonts w:hint="eastAsia" w:ascii="宋体" w:hAnsi="宋体" w:eastAsia="宋体" w:cs="宋体"/>
          <w:bCs/>
          <w:color w:val="auto"/>
          <w:sz w:val="22"/>
          <w:highlight w:val="none"/>
          <w:lang w:val="zh-CN"/>
        </w:rPr>
        <w:t xml:space="preserve"> 除另有约定外，本附加险的责任限额包括每人医疗费用责任限额，由投保人和保险人协商确定，并在保险单中载明。</w:t>
      </w:r>
    </w:p>
    <w:p w14:paraId="5CCB2195">
      <w:pPr>
        <w:autoSpaceDE w:val="0"/>
        <w:autoSpaceDN w:val="0"/>
        <w:adjustRightInd w:val="0"/>
        <w:spacing w:line="520" w:lineRule="exact"/>
        <w:ind w:firstLine="433" w:firstLineChars="196"/>
        <w:rPr>
          <w:rFonts w:ascii="宋体" w:hAnsi="宋体" w:eastAsia="宋体" w:cs="宋体"/>
          <w:bCs/>
          <w:color w:val="auto"/>
          <w:sz w:val="22"/>
          <w:highlight w:val="none"/>
          <w:lang w:val="zh-CN"/>
        </w:rPr>
      </w:pPr>
      <w:r>
        <w:rPr>
          <w:rFonts w:hint="eastAsia" w:ascii="宋体" w:hAnsi="宋体" w:eastAsia="宋体" w:cs="宋体"/>
          <w:b/>
          <w:bCs/>
          <w:color w:val="auto"/>
          <w:sz w:val="22"/>
          <w:highlight w:val="none"/>
          <w:lang w:val="zh-CN"/>
        </w:rPr>
        <w:t>第四条</w:t>
      </w:r>
      <w:r>
        <w:rPr>
          <w:rFonts w:hint="eastAsia" w:ascii="宋体" w:hAnsi="宋体" w:eastAsia="宋体" w:cs="宋体"/>
          <w:bCs/>
          <w:color w:val="auto"/>
          <w:sz w:val="22"/>
          <w:highlight w:val="none"/>
          <w:lang w:val="zh-CN"/>
        </w:rPr>
        <w:t xml:space="preserve"> 每次事故每人医疗费用免赔额由投保人和保险人协商确定，并在保险单中载明。</w:t>
      </w:r>
    </w:p>
    <w:p w14:paraId="46C71C24">
      <w:pPr>
        <w:autoSpaceDE w:val="0"/>
        <w:autoSpaceDN w:val="0"/>
        <w:adjustRightInd w:val="0"/>
        <w:spacing w:line="520" w:lineRule="exact"/>
        <w:jc w:val="center"/>
        <w:rPr>
          <w:rFonts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投保人及被保险人义务</w:t>
      </w:r>
    </w:p>
    <w:p w14:paraId="6FD7998B">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
          <w:bCs/>
          <w:color w:val="auto"/>
          <w:sz w:val="22"/>
          <w:highlight w:val="none"/>
          <w:lang w:val="zh-CN"/>
        </w:rPr>
        <w:t>第</w:t>
      </w:r>
      <w:r>
        <w:rPr>
          <w:rFonts w:hint="eastAsia" w:ascii="宋体" w:hAnsi="宋体" w:eastAsia="宋体" w:cs="宋体"/>
          <w:b/>
          <w:bCs/>
          <w:color w:val="auto"/>
          <w:sz w:val="22"/>
          <w:highlight w:val="none"/>
        </w:rPr>
        <w:t>五</w:t>
      </w:r>
      <w:r>
        <w:rPr>
          <w:rFonts w:hint="eastAsia" w:ascii="宋体" w:hAnsi="宋体" w:eastAsia="宋体" w:cs="宋体"/>
          <w:b/>
          <w:bCs/>
          <w:color w:val="auto"/>
          <w:sz w:val="22"/>
          <w:highlight w:val="none"/>
          <w:lang w:val="zh-CN"/>
        </w:rPr>
        <w:t>条</w:t>
      </w:r>
      <w:r>
        <w:rPr>
          <w:rFonts w:hint="eastAsia" w:ascii="宋体" w:hAnsi="宋体" w:eastAsia="宋体" w:cs="宋体"/>
          <w:bCs/>
          <w:color w:val="auto"/>
          <w:sz w:val="22"/>
          <w:highlight w:val="none"/>
          <w:lang w:val="zh-CN"/>
        </w:rPr>
        <w:t xml:space="preserve"> 被保险人向保险人请求赔偿时，应提供以下材料：</w:t>
      </w:r>
    </w:p>
    <w:p w14:paraId="3BDC0793">
      <w:pPr>
        <w:autoSpaceDE w:val="0"/>
        <w:autoSpaceDN w:val="0"/>
        <w:adjustRightInd w:val="0"/>
        <w:spacing w:line="520" w:lineRule="exact"/>
        <w:ind w:firstLine="431" w:firstLineChars="196"/>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（一）保险单、批单、投保清单、保费发票；</w:t>
      </w:r>
    </w:p>
    <w:p w14:paraId="67038BC9">
      <w:pPr>
        <w:autoSpaceDE w:val="0"/>
        <w:autoSpaceDN w:val="0"/>
        <w:adjustRightInd w:val="0"/>
        <w:spacing w:line="520" w:lineRule="exact"/>
        <w:ind w:firstLine="431" w:firstLineChars="196"/>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（二）医疗机构或司法机构出具的死亡证明、伤残鉴定书；</w:t>
      </w:r>
    </w:p>
    <w:p w14:paraId="312FEB01">
      <w:pPr>
        <w:autoSpaceDE w:val="0"/>
        <w:autoSpaceDN w:val="0"/>
        <w:adjustRightInd w:val="0"/>
        <w:spacing w:line="520" w:lineRule="exact"/>
        <w:ind w:firstLine="431" w:firstLineChars="196"/>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（三）伤亡人员的人事关系证明、身份证明、书面赔偿请求以及被保险人已经向受害人或其代表支付赔偿金的书面证明材料;</w:t>
      </w:r>
    </w:p>
    <w:p w14:paraId="6BBC2915">
      <w:pPr>
        <w:autoSpaceDE w:val="0"/>
        <w:autoSpaceDN w:val="0"/>
        <w:adjustRightInd w:val="0"/>
        <w:spacing w:line="520" w:lineRule="exact"/>
        <w:ind w:firstLine="431" w:firstLineChars="196"/>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（四）门诊及住院病历、检查报告、医疗费用项目清单、医疗费用单据；</w:t>
      </w:r>
    </w:p>
    <w:p w14:paraId="477E53BA">
      <w:pPr>
        <w:autoSpaceDE w:val="0"/>
        <w:autoSpaceDN w:val="0"/>
        <w:adjustRightInd w:val="0"/>
        <w:spacing w:line="520" w:lineRule="exact"/>
        <w:ind w:firstLine="431" w:firstLineChars="196"/>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（五）能够确定被保险人责任及赔偿金额的有关法律文书或经保险人同意，被保险人与受害人达成的赔偿协议及赔偿金支付凭据；</w:t>
      </w:r>
    </w:p>
    <w:p w14:paraId="327EFE4B">
      <w:pPr>
        <w:autoSpaceDE w:val="0"/>
        <w:autoSpaceDN w:val="0"/>
        <w:adjustRightInd w:val="0"/>
        <w:spacing w:line="520" w:lineRule="exact"/>
        <w:ind w:firstLine="431" w:firstLineChars="196"/>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（六）保险出险/索赔通知书；</w:t>
      </w:r>
    </w:p>
    <w:p w14:paraId="52955035">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（七）投保人、被保险人所能提供的其他与确认保险事故性质、原因、损失程度等有关的证明和资料。</w:t>
      </w:r>
    </w:p>
    <w:p w14:paraId="2C88C983">
      <w:pPr>
        <w:autoSpaceDE w:val="0"/>
        <w:autoSpaceDN w:val="0"/>
        <w:adjustRightInd w:val="0"/>
        <w:spacing w:line="520" w:lineRule="exact"/>
        <w:jc w:val="center"/>
        <w:rPr>
          <w:rFonts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赔偿处理</w:t>
      </w:r>
    </w:p>
    <w:p w14:paraId="14857A6E">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
          <w:bCs/>
          <w:color w:val="auto"/>
          <w:sz w:val="22"/>
          <w:highlight w:val="none"/>
          <w:lang w:val="zh-CN"/>
        </w:rPr>
        <w:t>第六条</w:t>
      </w:r>
      <w:r>
        <w:rPr>
          <w:rFonts w:hint="eastAsia" w:ascii="宋体" w:hAnsi="宋体" w:eastAsia="宋体" w:cs="宋体"/>
          <w:bCs/>
          <w:color w:val="auto"/>
          <w:sz w:val="22"/>
          <w:highlight w:val="none"/>
          <w:lang w:val="zh-CN"/>
        </w:rPr>
        <w:t xml:space="preserve"> 发生本附加险约定的保险事故时，被保险人对其工作人员、第三者依法应承担的符合按照本保险合同签发地政府颁布的工伤保险报销范围的下列医疗费用，保险人在扣除每次事故每人医疗费用免赔额后在每人医疗费用责任限额内据实赔偿，医疗费用包括： </w:t>
      </w:r>
    </w:p>
    <w:p w14:paraId="5862588C">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（一）挂号费、治疗费、手术费、检查费、医药费；</w:t>
      </w:r>
    </w:p>
    <w:p w14:paraId="156001F4">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（二）住院期间的床位费、陪护费、伙食费、取暖费、空调费；</w:t>
      </w:r>
    </w:p>
    <w:p w14:paraId="640B7319">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（三）就（转）诊交通费、急救车费;</w:t>
      </w:r>
    </w:p>
    <w:p w14:paraId="58105F5A">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（四）安装假肢、假牙、假眼和残疾用具费用。</w:t>
      </w:r>
    </w:p>
    <w:p w14:paraId="6D7774CB">
      <w:pPr>
        <w:autoSpaceDE w:val="0"/>
        <w:autoSpaceDN w:val="0"/>
        <w:adjustRightInd w:val="0"/>
        <w:spacing w:line="520" w:lineRule="exact"/>
        <w:ind w:firstLine="602"/>
        <w:rPr>
          <w:rFonts w:ascii="宋体" w:hAnsi="宋体" w:eastAsia="宋体" w:cs="宋体"/>
          <w:bCs/>
          <w:color w:val="auto"/>
          <w:sz w:val="22"/>
          <w:highlight w:val="none"/>
          <w:lang w:val="zh-CN"/>
        </w:rPr>
      </w:pPr>
      <w:r>
        <w:rPr>
          <w:rFonts w:hint="eastAsia" w:ascii="宋体" w:hAnsi="宋体" w:eastAsia="宋体" w:cs="宋体"/>
          <w:bCs/>
          <w:color w:val="auto"/>
          <w:sz w:val="22"/>
          <w:highlight w:val="none"/>
          <w:lang w:val="zh-CN"/>
        </w:rPr>
        <w:t>除紧急抢救外，受伤工作人员均应在二级以上（含二级）医院或保险人认可的医疗机构就诊。</w:t>
      </w:r>
    </w:p>
    <w:p w14:paraId="3511CF75">
      <w:pPr>
        <w:autoSpaceDE w:val="0"/>
        <w:autoSpaceDN w:val="0"/>
        <w:adjustRightInd w:val="0"/>
        <w:spacing w:line="520" w:lineRule="exact"/>
        <w:jc w:val="center"/>
        <w:rPr>
          <w:rFonts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其它事项</w:t>
      </w:r>
    </w:p>
    <w:p w14:paraId="3A5AA8DA">
      <w:pPr>
        <w:autoSpaceDE w:val="0"/>
        <w:autoSpaceDN w:val="0"/>
        <w:adjustRightInd w:val="0"/>
        <w:spacing w:line="520" w:lineRule="exact"/>
        <w:ind w:firstLine="442" w:firstLineChars="200"/>
        <w:rPr>
          <w:rFonts w:ascii="宋体" w:hAnsi="宋体" w:eastAsia="宋体" w:cs="宋体"/>
          <w:bCs/>
          <w:color w:val="auto"/>
          <w:sz w:val="22"/>
          <w:highlight w:val="none"/>
          <w:lang w:val="zh-CN"/>
        </w:rPr>
      </w:pPr>
      <w:r>
        <w:rPr>
          <w:rFonts w:hint="eastAsia" w:ascii="宋体" w:hAnsi="宋体" w:eastAsia="宋体" w:cs="宋体"/>
          <w:b/>
          <w:bCs/>
          <w:color w:val="auto"/>
          <w:sz w:val="22"/>
          <w:highlight w:val="none"/>
          <w:lang w:val="zh-CN"/>
        </w:rPr>
        <w:t xml:space="preserve">第七条 </w:t>
      </w:r>
      <w:r>
        <w:rPr>
          <w:rFonts w:hint="eastAsia" w:ascii="宋体" w:hAnsi="宋体" w:eastAsia="宋体" w:cs="宋体"/>
          <w:color w:val="auto"/>
          <w:sz w:val="22"/>
          <w:highlight w:val="none"/>
        </w:rPr>
        <w:t>凡涉及本附加险合同的约定，均应采用书面形式。主险合同与本附加险合同相抵触，以本附加险合同为准；本附加险合同未约定事项，以主险合同为准。</w:t>
      </w:r>
    </w:p>
    <w:p w14:paraId="0AF164AB">
      <w:pPr>
        <w:spacing w:line="600" w:lineRule="exact"/>
        <w:jc w:val="left"/>
        <w:rPr>
          <w:rFonts w:hint="default" w:ascii="宋体" w:hAnsi="宋体" w:eastAsia="宋体" w:cs="宋体"/>
          <w:b/>
          <w:bCs/>
          <w:color w:val="auto"/>
          <w:sz w:val="24"/>
          <w:szCs w:val="24"/>
          <w:highlight w:val="none"/>
          <w:lang w:val="en-US" w:eastAsia="zh-CN"/>
        </w:rPr>
      </w:pPr>
    </w:p>
    <w:p w14:paraId="4C8B0422">
      <w:pPr>
        <w:snapToGrid w:val="0"/>
        <w:spacing w:before="312" w:beforeLines="100" w:after="156" w:afterLines="50" w:line="460" w:lineRule="exact"/>
        <w:jc w:val="center"/>
        <w:rPr>
          <w:rFonts w:ascii="黑体" w:hAnsi="黑体" w:eastAsia="黑体" w:cs="Times New Roman"/>
          <w:bCs/>
          <w:color w:val="auto"/>
          <w:sz w:val="24"/>
          <w:szCs w:val="24"/>
          <w:highlight w:val="none"/>
        </w:rPr>
      </w:pPr>
      <w:r>
        <w:rPr>
          <w:rFonts w:hint="eastAsia" w:ascii="黑体" w:hAnsi="黑体" w:eastAsia="黑体" w:cs="Times New Roman"/>
          <w:bCs/>
          <w:color w:val="auto"/>
          <w:sz w:val="24"/>
          <w:szCs w:val="24"/>
          <w:highlight w:val="none"/>
        </w:rPr>
        <w:t>安全生产责任保险附加24小时责任保险条款</w:t>
      </w:r>
    </w:p>
    <w:p w14:paraId="5CFB280F">
      <w:pPr>
        <w:snapToGrid w:val="0"/>
        <w:spacing w:after="156" w:afterLines="50" w:line="460" w:lineRule="exact"/>
        <w:jc w:val="center"/>
        <w:rPr>
          <w:rFonts w:ascii="宋体" w:hAnsi="宋体" w:eastAsia="宋体" w:cs="Times New Roman"/>
          <w:b/>
          <w:bCs/>
          <w:color w:val="auto"/>
          <w:sz w:val="22"/>
          <w:highlight w:val="none"/>
        </w:rPr>
      </w:pPr>
      <w:r>
        <w:rPr>
          <w:rFonts w:hint="eastAsia" w:ascii="宋体" w:hAnsi="宋体" w:eastAsia="宋体" w:cs="Times New Roman"/>
          <w:b/>
          <w:bCs/>
          <w:color w:val="auto"/>
          <w:sz w:val="22"/>
          <w:highlight w:val="none"/>
        </w:rPr>
        <w:t>总则</w:t>
      </w:r>
    </w:p>
    <w:p w14:paraId="3886E02A">
      <w:pPr>
        <w:widowControl/>
        <w:tabs>
          <w:tab w:val="left" w:pos="1134"/>
          <w:tab w:val="left" w:pos="1418"/>
        </w:tabs>
        <w:adjustRightInd w:val="0"/>
        <w:spacing w:line="460" w:lineRule="exact"/>
        <w:ind w:firstLine="442" w:firstLineChars="200"/>
        <w:rPr>
          <w:rFonts w:ascii="宋体" w:hAnsi="宋体" w:eastAsia="宋体" w:cs="仿宋"/>
          <w:b/>
          <w:bCs/>
          <w:color w:val="auto"/>
          <w:kern w:val="0"/>
          <w:sz w:val="22"/>
          <w:highlight w:val="none"/>
        </w:rPr>
      </w:pPr>
      <w:r>
        <w:rPr>
          <w:rFonts w:hint="eastAsia" w:ascii="宋体" w:hAnsi="宋体" w:eastAsia="宋体" w:cs="仿宋"/>
          <w:b/>
          <w:bCs/>
          <w:color w:val="auto"/>
          <w:kern w:val="0"/>
          <w:sz w:val="22"/>
          <w:highlight w:val="none"/>
        </w:rPr>
        <w:t xml:space="preserve">第一条 </w:t>
      </w:r>
      <w:r>
        <w:rPr>
          <w:rFonts w:hint="eastAsia" w:ascii="宋体" w:hAnsi="宋体" w:eastAsia="宋体" w:cs="仿宋"/>
          <w:color w:val="auto"/>
          <w:kern w:val="0"/>
          <w:sz w:val="22"/>
          <w:highlight w:val="none"/>
        </w:rPr>
        <w:t>在投保安全生产责任保险（以下简称“主险”）的基础上，投保人可以投保本附加险。凡涉及本附加险合同的约定，均应采用书面形式。</w:t>
      </w:r>
    </w:p>
    <w:p w14:paraId="028B9B01">
      <w:pPr>
        <w:widowControl/>
        <w:tabs>
          <w:tab w:val="left" w:pos="1134"/>
          <w:tab w:val="left" w:pos="1418"/>
        </w:tabs>
        <w:adjustRightInd w:val="0"/>
        <w:spacing w:line="460" w:lineRule="exact"/>
        <w:ind w:firstLine="442" w:firstLineChars="200"/>
        <w:rPr>
          <w:rFonts w:ascii="宋体" w:hAnsi="宋体" w:eastAsia="宋体" w:cs="仿宋"/>
          <w:b/>
          <w:bCs/>
          <w:color w:val="auto"/>
          <w:kern w:val="0"/>
          <w:sz w:val="22"/>
          <w:highlight w:val="none"/>
        </w:rPr>
      </w:pPr>
      <w:r>
        <w:rPr>
          <w:rFonts w:hint="eastAsia" w:ascii="宋体" w:hAnsi="宋体" w:eastAsia="宋体" w:cs="仿宋"/>
          <w:b/>
          <w:bCs/>
          <w:color w:val="auto"/>
          <w:kern w:val="0"/>
          <w:sz w:val="22"/>
          <w:highlight w:val="none"/>
        </w:rPr>
        <w:t xml:space="preserve">第二条 </w:t>
      </w:r>
      <w:r>
        <w:rPr>
          <w:rFonts w:hint="eastAsia" w:ascii="宋体" w:hAnsi="宋体" w:eastAsia="宋体" w:cs="仿宋"/>
          <w:color w:val="auto"/>
          <w:kern w:val="0"/>
          <w:sz w:val="22"/>
          <w:highlight w:val="none"/>
        </w:rPr>
        <w:t>主险合同效力终止，本附加险合同效力亦同时终止；主险合同无效，本附加险合同亦无效。本附加险合同未约定事项，以主险合同的约定为准；本附加险合同与主险合同的约定若有相抵触之处，以本附加险合同为准。</w:t>
      </w:r>
    </w:p>
    <w:p w14:paraId="1C545F0E">
      <w:pPr>
        <w:snapToGrid w:val="0"/>
        <w:spacing w:after="156" w:afterLines="50" w:line="460" w:lineRule="exact"/>
        <w:jc w:val="center"/>
        <w:rPr>
          <w:rFonts w:ascii="宋体" w:hAnsi="宋体" w:eastAsia="宋体" w:cs="Times New Roman"/>
          <w:b/>
          <w:bCs/>
          <w:color w:val="auto"/>
          <w:sz w:val="22"/>
          <w:highlight w:val="none"/>
        </w:rPr>
      </w:pPr>
      <w:r>
        <w:rPr>
          <w:rFonts w:hint="eastAsia" w:ascii="宋体" w:hAnsi="宋体" w:eastAsia="宋体" w:cs="Times New Roman"/>
          <w:b/>
          <w:bCs/>
          <w:color w:val="auto"/>
          <w:sz w:val="22"/>
          <w:highlight w:val="none"/>
        </w:rPr>
        <w:t>保险责任</w:t>
      </w:r>
    </w:p>
    <w:p w14:paraId="2D744049">
      <w:pPr>
        <w:widowControl/>
        <w:tabs>
          <w:tab w:val="left" w:pos="1134"/>
          <w:tab w:val="left" w:pos="1418"/>
        </w:tabs>
        <w:adjustRightInd w:val="0"/>
        <w:spacing w:line="460" w:lineRule="exact"/>
        <w:ind w:firstLine="442" w:firstLineChars="200"/>
        <w:rPr>
          <w:rFonts w:ascii="宋体" w:hAnsi="宋体" w:eastAsia="宋体" w:cs="仿宋"/>
          <w:b/>
          <w:bCs/>
          <w:color w:val="auto"/>
          <w:kern w:val="0"/>
          <w:sz w:val="22"/>
          <w:highlight w:val="none"/>
        </w:rPr>
      </w:pPr>
      <w:r>
        <w:rPr>
          <w:rFonts w:hint="eastAsia" w:ascii="宋体" w:hAnsi="宋体" w:eastAsia="宋体" w:cs="仿宋"/>
          <w:b/>
          <w:bCs/>
          <w:color w:val="auto"/>
          <w:kern w:val="0"/>
          <w:sz w:val="22"/>
          <w:highlight w:val="none"/>
        </w:rPr>
        <w:t xml:space="preserve">第三条 </w:t>
      </w:r>
      <w:r>
        <w:rPr>
          <w:rFonts w:hint="eastAsia" w:ascii="宋体" w:hAnsi="宋体" w:eastAsia="宋体" w:cs="仿宋"/>
          <w:color w:val="auto"/>
          <w:kern w:val="0"/>
          <w:sz w:val="22"/>
          <w:highlight w:val="none"/>
        </w:rPr>
        <w:t>主险条款第四条列明的情形中限定承保时间范围的，本附加险扩展至保险期间内全天24小时，而不论是否在工作期间。被保险人的从业人员在此期间因发生意外事故导致其遭受人身损害，依照中华人民共和国法律（不包括港澳台地区法律）应由被保险人承担的死亡赔偿金、残疾赔偿金或医疗费用赔偿，保险人按照本附加险合同的约定负责赔偿。</w:t>
      </w:r>
    </w:p>
    <w:p w14:paraId="6D1DA3F0">
      <w:pPr>
        <w:snapToGrid w:val="0"/>
        <w:spacing w:after="156" w:afterLines="50" w:line="460" w:lineRule="exact"/>
        <w:jc w:val="center"/>
        <w:rPr>
          <w:rFonts w:ascii="宋体" w:hAnsi="宋体" w:eastAsia="宋体" w:cs="Times New Roman"/>
          <w:b/>
          <w:bCs/>
          <w:color w:val="auto"/>
          <w:sz w:val="22"/>
          <w:highlight w:val="none"/>
        </w:rPr>
      </w:pPr>
      <w:r>
        <w:rPr>
          <w:rFonts w:hint="eastAsia" w:ascii="宋体" w:hAnsi="宋体" w:eastAsia="宋体" w:cs="Times New Roman"/>
          <w:b/>
          <w:bCs/>
          <w:color w:val="auto"/>
          <w:sz w:val="22"/>
          <w:highlight w:val="none"/>
        </w:rPr>
        <w:t>责任免除</w:t>
      </w:r>
    </w:p>
    <w:p w14:paraId="6FF9CDC0">
      <w:pPr>
        <w:snapToGrid w:val="0"/>
        <w:spacing w:after="156" w:afterLines="50" w:line="460" w:lineRule="exact"/>
        <w:ind w:firstLine="442" w:firstLineChars="200"/>
        <w:rPr>
          <w:rFonts w:ascii="宋体" w:hAnsi="宋体" w:eastAsia="宋体" w:cs="Times New Roman"/>
          <w:color w:val="auto"/>
          <w:sz w:val="22"/>
          <w:highlight w:val="none"/>
        </w:rPr>
      </w:pPr>
      <w:r>
        <w:rPr>
          <w:rFonts w:hint="eastAsia" w:ascii="宋体" w:hAnsi="宋体" w:eastAsia="宋体" w:cs="Times New Roman"/>
          <w:b/>
          <w:bCs/>
          <w:color w:val="auto"/>
          <w:sz w:val="22"/>
          <w:highlight w:val="none"/>
        </w:rPr>
        <w:t>第四条</w:t>
      </w:r>
      <w:r>
        <w:rPr>
          <w:rFonts w:hint="eastAsia" w:ascii="宋体" w:hAnsi="宋体" w:eastAsia="宋体" w:cs="Times New Roman"/>
          <w:color w:val="auto"/>
          <w:sz w:val="22"/>
          <w:highlight w:val="none"/>
        </w:rPr>
        <w:t xml:space="preserve"> 被保险人的从业人员因下列原因遭受人身损害的，保险人不负责赔偿：</w:t>
      </w:r>
    </w:p>
    <w:p w14:paraId="10FB342F">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（一）战争、战乱、反叛、罢工、暴乱、动乱以及核辐射；</w:t>
      </w:r>
    </w:p>
    <w:p w14:paraId="7D426D94">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（二）疾病、传染病、生育、怀孕；</w:t>
      </w:r>
    </w:p>
    <w:p w14:paraId="02764616">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（三）自残、自杀以及因药物或酒精导致的犯罪或失常行为；</w:t>
      </w:r>
    </w:p>
    <w:p w14:paraId="6F676580">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（四）打架、酗酒、吸毒、精神错乱以及参加高风险运动 。</w:t>
      </w:r>
    </w:p>
    <w:p w14:paraId="0A7846D6">
      <w:pPr>
        <w:snapToGrid w:val="0"/>
        <w:spacing w:after="156" w:afterLines="50" w:line="460" w:lineRule="exact"/>
        <w:ind w:firstLine="442" w:firstLineChars="200"/>
        <w:rPr>
          <w:rFonts w:ascii="宋体" w:hAnsi="宋体" w:eastAsia="宋体" w:cs="Times New Roman"/>
          <w:color w:val="auto"/>
          <w:sz w:val="22"/>
          <w:highlight w:val="none"/>
        </w:rPr>
      </w:pPr>
      <w:r>
        <w:rPr>
          <w:rFonts w:hint="eastAsia" w:ascii="宋体" w:hAnsi="宋体" w:eastAsia="宋体" w:cs="Times New Roman"/>
          <w:b/>
          <w:bCs/>
          <w:color w:val="auto"/>
          <w:sz w:val="22"/>
          <w:highlight w:val="none"/>
        </w:rPr>
        <w:t>第五条</w:t>
      </w:r>
      <w:r>
        <w:rPr>
          <w:rFonts w:hint="eastAsia" w:ascii="宋体" w:hAnsi="宋体" w:eastAsia="宋体" w:cs="Times New Roman"/>
          <w:color w:val="auto"/>
          <w:sz w:val="22"/>
          <w:highlight w:val="none"/>
        </w:rPr>
        <w:t xml:space="preserve"> 主险约定的责任免除事项，未列入本附加险保险责任的，也适用于本附加险 。</w:t>
      </w:r>
    </w:p>
    <w:p w14:paraId="01548E4C">
      <w:pPr>
        <w:snapToGrid w:val="0"/>
        <w:spacing w:after="156" w:afterLines="50" w:line="460" w:lineRule="exact"/>
        <w:jc w:val="center"/>
        <w:rPr>
          <w:rFonts w:ascii="宋体" w:hAnsi="宋体" w:eastAsia="宋体" w:cs="Times New Roman"/>
          <w:b/>
          <w:bCs/>
          <w:color w:val="auto"/>
          <w:sz w:val="22"/>
          <w:highlight w:val="none"/>
        </w:rPr>
      </w:pPr>
      <w:r>
        <w:rPr>
          <w:rFonts w:hint="eastAsia" w:ascii="宋体" w:hAnsi="宋体" w:eastAsia="宋体" w:cs="Times New Roman"/>
          <w:b/>
          <w:bCs/>
          <w:color w:val="auto"/>
          <w:sz w:val="22"/>
          <w:highlight w:val="none"/>
        </w:rPr>
        <w:t>责任限额</w:t>
      </w:r>
    </w:p>
    <w:p w14:paraId="22EAEE59">
      <w:pPr>
        <w:widowControl/>
        <w:tabs>
          <w:tab w:val="left" w:pos="1134"/>
          <w:tab w:val="left" w:pos="1418"/>
        </w:tabs>
        <w:adjustRightInd w:val="0"/>
        <w:spacing w:line="460" w:lineRule="exact"/>
        <w:ind w:firstLine="442" w:firstLineChars="200"/>
        <w:rPr>
          <w:rFonts w:ascii="宋体" w:hAnsi="宋体" w:eastAsia="宋体" w:cs="仿宋"/>
          <w:color w:val="auto"/>
          <w:kern w:val="0"/>
          <w:sz w:val="22"/>
          <w:highlight w:val="none"/>
        </w:rPr>
      </w:pPr>
      <w:r>
        <w:rPr>
          <w:rFonts w:hint="eastAsia" w:ascii="宋体" w:hAnsi="宋体" w:eastAsia="宋体" w:cs="仿宋"/>
          <w:b/>
          <w:bCs/>
          <w:color w:val="auto"/>
          <w:kern w:val="0"/>
          <w:sz w:val="22"/>
          <w:highlight w:val="none"/>
        </w:rPr>
        <w:t xml:space="preserve">第六条 </w:t>
      </w:r>
      <w:r>
        <w:rPr>
          <w:rFonts w:hint="eastAsia" w:ascii="宋体" w:hAnsi="宋体" w:eastAsia="宋体" w:cs="仿宋"/>
          <w:color w:val="auto"/>
          <w:kern w:val="0"/>
          <w:sz w:val="22"/>
          <w:highlight w:val="none"/>
        </w:rPr>
        <w:t>除另有约定外，本附加险合同项下的责任限额包括累计责任限额、每次事故责任限额、每次事故每人死亡残疾责任限额、每次事故每人医疗费用责任限额，由投保人、保险人协商确定，并在保险合同中载明。</w:t>
      </w:r>
    </w:p>
    <w:p w14:paraId="74CF11F1">
      <w:pPr>
        <w:widowControl/>
        <w:tabs>
          <w:tab w:val="left" w:pos="1134"/>
          <w:tab w:val="left" w:pos="1418"/>
        </w:tabs>
        <w:adjustRightInd w:val="0"/>
        <w:spacing w:line="460" w:lineRule="exact"/>
        <w:ind w:firstLine="440" w:firstLineChars="200"/>
        <w:rPr>
          <w:rFonts w:ascii="宋体" w:hAnsi="宋体" w:eastAsia="宋体" w:cs="仿宋"/>
          <w:color w:val="auto"/>
          <w:kern w:val="0"/>
          <w:sz w:val="22"/>
          <w:highlight w:val="none"/>
        </w:rPr>
      </w:pPr>
      <w:r>
        <w:rPr>
          <w:rFonts w:hint="eastAsia" w:ascii="宋体" w:hAnsi="宋体" w:eastAsia="宋体" w:cs="仿宋"/>
          <w:color w:val="auto"/>
          <w:kern w:val="0"/>
          <w:sz w:val="22"/>
          <w:highlight w:val="none"/>
        </w:rPr>
        <w:t>上述责任限额包含在主险合同项下对应的责任限额之内，而不是在其基础上的累加。</w:t>
      </w:r>
    </w:p>
    <w:p w14:paraId="07B4E0D5">
      <w:pPr>
        <w:snapToGrid w:val="0"/>
        <w:spacing w:after="156" w:afterLines="50" w:line="460" w:lineRule="exact"/>
        <w:jc w:val="center"/>
        <w:rPr>
          <w:rFonts w:ascii="宋体" w:hAnsi="宋体" w:eastAsia="宋体" w:cs="Times New Roman"/>
          <w:color w:val="auto"/>
          <w:sz w:val="22"/>
          <w:highlight w:val="none"/>
        </w:rPr>
      </w:pPr>
      <w:r>
        <w:rPr>
          <w:rFonts w:hint="eastAsia" w:ascii="宋体" w:hAnsi="宋体" w:eastAsia="宋体" w:cs="Times New Roman"/>
          <w:b/>
          <w:bCs/>
          <w:color w:val="auto"/>
          <w:sz w:val="22"/>
          <w:highlight w:val="none"/>
        </w:rPr>
        <w:t>释义</w:t>
      </w:r>
    </w:p>
    <w:p w14:paraId="07D3E5E1">
      <w:pPr>
        <w:widowControl/>
        <w:tabs>
          <w:tab w:val="left" w:pos="1134"/>
          <w:tab w:val="left" w:pos="1418"/>
        </w:tabs>
        <w:adjustRightInd w:val="0"/>
        <w:spacing w:line="460" w:lineRule="exact"/>
        <w:ind w:firstLine="442" w:firstLineChars="200"/>
        <w:rPr>
          <w:rFonts w:ascii="等线" w:hAnsi="等线" w:eastAsia="等线" w:cs="仿宋"/>
          <w:b/>
          <w:bCs/>
          <w:color w:val="auto"/>
          <w:kern w:val="0"/>
          <w:sz w:val="22"/>
          <w:highlight w:val="none"/>
        </w:rPr>
      </w:pPr>
      <w:r>
        <w:rPr>
          <w:rFonts w:hint="eastAsia" w:ascii="宋体" w:hAnsi="宋体" w:eastAsia="宋体" w:cs="仿宋"/>
          <w:b/>
          <w:bCs/>
          <w:color w:val="auto"/>
          <w:kern w:val="0"/>
          <w:sz w:val="22"/>
          <w:highlight w:val="none"/>
        </w:rPr>
        <w:t>【高风险运动】</w:t>
      </w:r>
      <w:r>
        <w:rPr>
          <w:rFonts w:hint="eastAsia" w:ascii="宋体" w:hAnsi="宋体" w:eastAsia="宋体" w:cs="仿宋"/>
          <w:color w:val="auto"/>
          <w:kern w:val="0"/>
          <w:sz w:val="22"/>
          <w:highlight w:val="none"/>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73C32BB2">
      <w:pPr>
        <w:snapToGrid w:val="0"/>
        <w:spacing w:before="312" w:beforeLines="100" w:after="156" w:afterLines="50" w:line="460" w:lineRule="exact"/>
        <w:jc w:val="center"/>
        <w:rPr>
          <w:rFonts w:ascii="黑体" w:hAnsi="黑体" w:eastAsia="黑体" w:cs="Times New Roman"/>
          <w:bCs/>
          <w:color w:val="auto"/>
          <w:sz w:val="24"/>
          <w:szCs w:val="24"/>
          <w:highlight w:val="none"/>
        </w:rPr>
      </w:pPr>
      <w:r>
        <w:rPr>
          <w:rFonts w:hint="eastAsia" w:ascii="黑体" w:hAnsi="黑体" w:eastAsia="黑体" w:cs="Times New Roman"/>
          <w:bCs/>
          <w:color w:val="auto"/>
          <w:sz w:val="24"/>
          <w:szCs w:val="24"/>
          <w:highlight w:val="none"/>
        </w:rPr>
        <w:t>安全生产责任保险附加雇主责任扩展保险条款</w:t>
      </w:r>
    </w:p>
    <w:p w14:paraId="0FCFC7E5">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兹经投保人与保险人双方同意，本附加险扩展承保在保险期间内，被保险人的工作人员因下列原因导致人身伤亡，依照中华人民共和国法律（不包括香港、澳门特别行政区和台湾地区法律）应由被保险人承担的经济赔偿责任，保险人按照主险及本附加险合同的约定负责赔偿:</w:t>
      </w:r>
    </w:p>
    <w:p w14:paraId="22570AC3">
      <w:pPr>
        <w:numPr>
          <w:ilvl w:val="0"/>
          <w:numId w:val="21"/>
        </w:numPr>
        <w:tabs>
          <w:tab w:val="left" w:pos="1134"/>
        </w:tabs>
        <w:snapToGrid w:val="0"/>
        <w:spacing w:after="156" w:afterLines="50" w:line="460" w:lineRule="exact"/>
        <w:rPr>
          <w:rFonts w:ascii="宋体" w:hAnsi="宋体" w:eastAsia="宋体" w:cs="Times New Roman"/>
          <w:color w:val="auto"/>
          <w:sz w:val="22"/>
          <w:highlight w:val="none"/>
        </w:rPr>
      </w:pPr>
      <w:r>
        <w:rPr>
          <w:rFonts w:hint="eastAsia" w:ascii="宋体" w:hAnsi="宋体" w:eastAsia="宋体" w:cs="Times New Roman"/>
          <w:color w:val="auto"/>
          <w:sz w:val="22"/>
          <w:highlight w:val="none"/>
        </w:rPr>
        <w:t>在工作时间及工作场所内，因工作原因受到安全生产事故以外的其他意外伤害；</w:t>
      </w:r>
    </w:p>
    <w:p w14:paraId="590A606E">
      <w:pPr>
        <w:numPr>
          <w:ilvl w:val="0"/>
          <w:numId w:val="21"/>
        </w:numPr>
        <w:tabs>
          <w:tab w:val="left" w:pos="1134"/>
        </w:tabs>
        <w:snapToGrid w:val="0"/>
        <w:spacing w:after="156" w:afterLines="50" w:line="460" w:lineRule="exact"/>
        <w:rPr>
          <w:rFonts w:ascii="宋体" w:hAnsi="宋体" w:eastAsia="宋体" w:cs="Times New Roman"/>
          <w:color w:val="auto"/>
          <w:sz w:val="22"/>
          <w:highlight w:val="none"/>
        </w:rPr>
      </w:pPr>
      <w:r>
        <w:rPr>
          <w:rFonts w:hint="eastAsia" w:ascii="宋体" w:hAnsi="宋体" w:eastAsia="宋体" w:cs="Times New Roman"/>
          <w:color w:val="auto"/>
          <w:sz w:val="22"/>
          <w:highlight w:val="none"/>
        </w:rPr>
        <w:t>在工作时间前后，在工作场所内，从事与履行其工作职责有关的预备性或者收尾性工作受到安全生产事故以外的其他意外伤害。</w:t>
      </w:r>
    </w:p>
    <w:p w14:paraId="3A185786">
      <w:pPr>
        <w:snapToGrid w:val="0"/>
        <w:spacing w:after="156" w:afterLines="50" w:line="460" w:lineRule="exact"/>
        <w:ind w:firstLine="442" w:firstLineChars="200"/>
        <w:rPr>
          <w:rFonts w:ascii="宋体" w:hAnsi="宋体" w:eastAsia="宋体" w:cs="Times New Roman"/>
          <w:b/>
          <w:color w:val="auto"/>
          <w:sz w:val="22"/>
          <w:highlight w:val="none"/>
        </w:rPr>
      </w:pPr>
      <w:r>
        <w:rPr>
          <w:rFonts w:hint="eastAsia" w:ascii="宋体" w:hAnsi="宋体" w:eastAsia="宋体" w:cs="Times New Roman"/>
          <w:b/>
          <w:color w:val="auto"/>
          <w:sz w:val="22"/>
          <w:highlight w:val="none"/>
        </w:rPr>
        <w:t>主险中责任免除事项未纳入本附加险保险责任的，同样适用于本附加险。</w:t>
      </w:r>
    </w:p>
    <w:p w14:paraId="54375DC2">
      <w:pPr>
        <w:spacing w:after="156" w:afterLines="50" w:line="460" w:lineRule="exact"/>
        <w:ind w:firstLine="442" w:firstLineChars="200"/>
        <w:rPr>
          <w:rFonts w:ascii="Calibri" w:hAnsi="Calibri" w:eastAsia="宋体" w:cs="Times New Roman"/>
          <w:b/>
          <w:color w:val="auto"/>
          <w:sz w:val="22"/>
          <w:highlight w:val="none"/>
        </w:rPr>
      </w:pPr>
      <w:r>
        <w:rPr>
          <w:rFonts w:hint="eastAsia" w:ascii="宋体" w:hAnsi="宋体" w:eastAsia="宋体" w:cs="Times New Roman"/>
          <w:b/>
          <w:color w:val="auto"/>
          <w:sz w:val="22"/>
          <w:highlight w:val="none"/>
        </w:rPr>
        <w:t>本附加险与主险相抵触之处，以本附加险为准；本附加险未尽之处，以主险为准。</w:t>
      </w:r>
      <w:r>
        <w:rPr>
          <w:rFonts w:hint="eastAsia" w:ascii="Calibri" w:hAnsi="Calibri" w:eastAsia="宋体" w:cs="Times New Roman"/>
          <w:b/>
          <w:color w:val="auto"/>
          <w:sz w:val="22"/>
          <w:highlight w:val="none"/>
        </w:rPr>
        <w:t>主险合同效力终止，本附加险合同效力即行终止。</w:t>
      </w:r>
    </w:p>
    <w:p w14:paraId="304AA1DB">
      <w:pPr>
        <w:snapToGrid w:val="0"/>
        <w:spacing w:before="312" w:beforeLines="100" w:after="156" w:afterLines="50" w:line="460" w:lineRule="exact"/>
        <w:jc w:val="center"/>
        <w:rPr>
          <w:rFonts w:ascii="黑体" w:hAnsi="黑体" w:eastAsia="黑体" w:cs="Times New Roman"/>
          <w:bCs/>
          <w:color w:val="auto"/>
          <w:sz w:val="24"/>
          <w:szCs w:val="24"/>
          <w:highlight w:val="none"/>
        </w:rPr>
      </w:pPr>
      <w:r>
        <w:rPr>
          <w:rFonts w:hint="eastAsia" w:ascii="黑体" w:hAnsi="黑体" w:eastAsia="黑体" w:cs="Times New Roman"/>
          <w:bCs/>
          <w:color w:val="auto"/>
          <w:sz w:val="24"/>
          <w:szCs w:val="24"/>
          <w:highlight w:val="none"/>
        </w:rPr>
        <w:t>安全生产责任保险附加就餐时间扩展条款</w:t>
      </w:r>
    </w:p>
    <w:p w14:paraId="45950F63">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兹经投保人与保险人双方同意，本附加险扩展承保被保险人的工作人员在保险单列明的地点范围内就餐过程中因意外导致人身伤亡，依照中华人民共和国法律（不包括香港、澳门特别行政区和台湾地区法律）应由被保险人承担的经济赔偿责任，保险人按照主险及本附加险合同的约定负责赔偿。</w:t>
      </w:r>
    </w:p>
    <w:p w14:paraId="317ED186">
      <w:pPr>
        <w:snapToGrid w:val="0"/>
        <w:spacing w:after="156" w:afterLines="50" w:line="460" w:lineRule="exact"/>
        <w:ind w:firstLine="442" w:firstLineChars="200"/>
        <w:rPr>
          <w:rFonts w:ascii="宋体" w:hAnsi="宋体" w:eastAsia="宋体" w:cs="Times New Roman"/>
          <w:b/>
          <w:color w:val="auto"/>
          <w:sz w:val="22"/>
          <w:highlight w:val="none"/>
        </w:rPr>
      </w:pPr>
      <w:r>
        <w:rPr>
          <w:rFonts w:hint="eastAsia" w:ascii="宋体" w:hAnsi="宋体" w:eastAsia="宋体" w:cs="Times New Roman"/>
          <w:b/>
          <w:color w:val="auto"/>
          <w:sz w:val="22"/>
          <w:highlight w:val="none"/>
        </w:rPr>
        <w:t>主险中责任免除事项未纳入本附加险保险责任的，同样适用于本附加险。</w:t>
      </w:r>
    </w:p>
    <w:p w14:paraId="585D8F25">
      <w:pPr>
        <w:snapToGrid w:val="0"/>
        <w:spacing w:after="156" w:afterLines="50" w:line="460" w:lineRule="exact"/>
        <w:ind w:firstLine="440" w:firstLineChars="200"/>
        <w:rPr>
          <w:rFonts w:ascii="宋体" w:hAnsi="宋体" w:eastAsia="宋体" w:cs="宋体"/>
          <w:b/>
          <w:color w:val="auto"/>
          <w:sz w:val="22"/>
          <w:highlight w:val="none"/>
        </w:rPr>
      </w:pPr>
      <w:r>
        <w:rPr>
          <w:rFonts w:hint="eastAsia" w:ascii="宋体" w:hAnsi="宋体" w:eastAsia="宋体" w:cs="Times New Roman"/>
          <w:color w:val="auto"/>
          <w:sz w:val="22"/>
          <w:highlight w:val="none"/>
        </w:rPr>
        <w:t>本附加险与主险相抵触之处，以本附加险为准；本附加险未尽之处，以主险为准。</w:t>
      </w:r>
      <w:r>
        <w:rPr>
          <w:rFonts w:hint="eastAsia" w:ascii="Calibri" w:hAnsi="Calibri" w:eastAsia="宋体" w:cs="Times New Roman"/>
          <w:color w:val="auto"/>
          <w:sz w:val="22"/>
          <w:highlight w:val="none"/>
        </w:rPr>
        <w:t>主险合同效力终止，本附加险合同效力即行终止。</w:t>
      </w:r>
    </w:p>
    <w:p w14:paraId="2C04094D">
      <w:pPr>
        <w:snapToGrid w:val="0"/>
        <w:spacing w:before="312" w:beforeLines="100" w:after="156" w:afterLines="50" w:line="460" w:lineRule="exact"/>
        <w:jc w:val="center"/>
        <w:rPr>
          <w:rFonts w:ascii="黑体" w:hAnsi="黑体" w:eastAsia="黑体" w:cs="Times New Roman"/>
          <w:bCs/>
          <w:color w:val="auto"/>
          <w:sz w:val="24"/>
          <w:szCs w:val="24"/>
          <w:highlight w:val="none"/>
        </w:rPr>
      </w:pPr>
      <w:r>
        <w:rPr>
          <w:color w:val="auto"/>
          <w:highlight w:val="none"/>
        </w:rPr>
        <w:fldChar w:fldCharType="begin"/>
      </w:r>
      <w:r>
        <w:rPr>
          <w:color w:val="auto"/>
          <w:highlight w:val="none"/>
        </w:rPr>
        <w:instrText xml:space="preserve"> HYPERLINK "http://app.ccic-net.com.cn:27347/ccicpms/a/ccic/product/view?productId=IC20180524000132&amp;flowId=&amp;inside=NO" </w:instrText>
      </w:r>
      <w:r>
        <w:rPr>
          <w:color w:val="auto"/>
          <w:highlight w:val="none"/>
        </w:rPr>
        <w:fldChar w:fldCharType="separate"/>
      </w:r>
      <w:r>
        <w:rPr>
          <w:rFonts w:hint="eastAsia" w:ascii="黑体" w:hAnsi="黑体" w:eastAsia="黑体" w:cs="Times New Roman"/>
          <w:bCs/>
          <w:color w:val="auto"/>
          <w:sz w:val="24"/>
          <w:szCs w:val="24"/>
          <w:highlight w:val="none"/>
        </w:rPr>
        <w:t>安全生产责任保险</w:t>
      </w:r>
      <w:r>
        <w:rPr>
          <w:rFonts w:hint="eastAsia" w:ascii="黑体" w:hAnsi="黑体" w:eastAsia="黑体" w:cs="Times New Roman"/>
          <w:bCs/>
          <w:color w:val="auto"/>
          <w:sz w:val="24"/>
          <w:szCs w:val="24"/>
          <w:highlight w:val="none"/>
        </w:rPr>
        <w:fldChar w:fldCharType="end"/>
      </w:r>
      <w:r>
        <w:rPr>
          <w:rFonts w:hint="eastAsia" w:ascii="黑体" w:hAnsi="黑体" w:eastAsia="黑体" w:cs="Times New Roman"/>
          <w:bCs/>
          <w:color w:val="auto"/>
          <w:sz w:val="24"/>
          <w:szCs w:val="24"/>
          <w:highlight w:val="none"/>
        </w:rPr>
        <w:t>附加生产安全事故证明补充约定保险条款</w:t>
      </w:r>
    </w:p>
    <w:p w14:paraId="0E5A6491">
      <w:pPr>
        <w:snapToGrid w:val="0"/>
        <w:spacing w:after="156" w:afterLines="50" w:line="460" w:lineRule="exact"/>
        <w:ind w:firstLine="440" w:firstLineChars="200"/>
        <w:rPr>
          <w:rFonts w:hint="eastAsia"/>
          <w:color w:val="auto"/>
          <w:szCs w:val="21"/>
          <w:highlight w:val="none"/>
        </w:rPr>
      </w:pPr>
      <w:r>
        <w:rPr>
          <w:rFonts w:hint="eastAsia" w:ascii="宋体" w:hAnsi="宋体" w:eastAsia="宋体" w:cs="Times New Roman"/>
          <w:color w:val="auto"/>
          <w:sz w:val="22"/>
          <w:highlight w:val="none"/>
        </w:rPr>
        <w:t>兹明确，在保险期间内，发生主险保险合同约定的生产安全事故后，被保险人虽然未能提供安全生产监督管理部门出具的事故证明材料，但提供了保险人认可的、可以证明其发生了生产安全事故的其他事故证明材料的，保险人同意按照主险保险合同的约定负责赔偿。</w:t>
      </w:r>
    </w:p>
    <w:p w14:paraId="23231EF1">
      <w:pPr>
        <w:autoSpaceDE w:val="0"/>
        <w:autoSpaceDN w:val="0"/>
        <w:adjustRightInd w:val="0"/>
        <w:snapToGrid w:val="0"/>
        <w:spacing w:after="156" w:afterLines="50"/>
        <w:jc w:val="left"/>
        <w:rPr>
          <w:rFonts w:hint="eastAsia" w:ascii="宋体" w:hAnsi="宋体" w:eastAsia="宋体" w:cs="仿宋_GB2312"/>
          <w:b/>
          <w:color w:val="auto"/>
          <w:sz w:val="24"/>
          <w:szCs w:val="24"/>
          <w:highlight w:val="none"/>
          <w:lang w:val="zh-CN" w:eastAsia="zh-CN"/>
        </w:rPr>
      </w:pPr>
      <w:r>
        <w:rPr>
          <w:rFonts w:hint="eastAsia" w:ascii="宋体" w:hAnsi="宋体" w:eastAsia="宋体" w:cs="仿宋_GB2312"/>
          <w:b/>
          <w:color w:val="auto"/>
          <w:sz w:val="24"/>
          <w:szCs w:val="24"/>
          <w:highlight w:val="none"/>
          <w:lang w:val="en-US" w:eastAsia="zh-CN"/>
        </w:rPr>
        <w:t>附件二、</w:t>
      </w:r>
      <w:r>
        <w:rPr>
          <w:rFonts w:hint="eastAsia" w:eastAsia="宋体" w:cs="仿宋_GB2312"/>
          <w:b/>
          <w:color w:val="auto"/>
          <w:sz w:val="24"/>
          <w:szCs w:val="24"/>
          <w:highlight w:val="none"/>
          <w:lang w:val="en-US" w:eastAsia="zh-CN"/>
        </w:rPr>
        <w:t>（一）建筑工程一切险</w:t>
      </w:r>
      <w:r>
        <w:rPr>
          <w:rFonts w:hint="eastAsia" w:ascii="宋体" w:hAnsi="宋体" w:eastAsia="宋体" w:cs="仿宋_GB2312"/>
          <w:b/>
          <w:color w:val="auto"/>
          <w:sz w:val="24"/>
          <w:szCs w:val="24"/>
          <w:highlight w:val="none"/>
          <w:lang w:val="en-US" w:eastAsia="zh-CN"/>
        </w:rPr>
        <w:t>扩展条款</w:t>
      </w:r>
    </w:p>
    <w:p w14:paraId="74A179C8">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工程完工部分扩展条款</w:t>
      </w:r>
    </w:p>
    <w:p w14:paraId="7AE345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兹经双方同意，鉴于被保险人已缴付了附加的保险费，本保险合同扩展承保本保险合同明细表中物质损失项下被保险财产在保险期限内施工过程中造成已交付使用的部分的损失。</w:t>
      </w:r>
    </w:p>
    <w:p w14:paraId="066E166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4E12CF5B">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清理费用扩展条款（每次事故赔偿限额：1000万元）</w:t>
      </w:r>
    </w:p>
    <w:p w14:paraId="0734597A">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被保险人因本保险合同项下的保险标的损失而发生的下列合理的费用，保险人负责赔偿：</w:t>
      </w:r>
    </w:p>
    <w:p w14:paraId="75D1105E">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一、清除、拆除、打捞、转移受毁损财产的费用；</w:t>
      </w:r>
    </w:p>
    <w:p w14:paraId="12DE3383">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二、支撑受损财产的费用；</w:t>
      </w:r>
    </w:p>
    <w:p w14:paraId="2E200B4A">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三、恢复在保险事故发生前已经客观存在的施工条件而产生的清理费用。</w:t>
      </w:r>
    </w:p>
    <w:p w14:paraId="13BC31DF">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每次事故赔偿限额：以保险单载明为准。</w:t>
      </w:r>
    </w:p>
    <w:p w14:paraId="3D2A4EFD">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本附加险条款与主险条款内容相悖之处，以本附加险条款为准；未尽之处，以主险条款为准。</w:t>
      </w:r>
    </w:p>
    <w:p w14:paraId="07F907C9">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专业费用特别条款（每次事故赔偿限额：500万元）</w:t>
      </w:r>
    </w:p>
    <w:p w14:paraId="792DAF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保险人负责赔偿被保险人因本保险合同项下承保风险造成被保险工程损失后，在重置过程中发生的必要的设计师、检验师及工程咨询人费用，但被保险人为了准备索赔，或估损所发生的任何费用除外。上述赔偿费用应以损失当时适用的有关行业管理部门制订的收费标准为准，但不得超过本保险合同明细表中列明的赔偿限额。</w:t>
      </w:r>
    </w:p>
    <w:p w14:paraId="2EF2B1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4E1FD61B">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特别费用扩展条款（每次事故赔偿限额：500万元）</w:t>
      </w:r>
    </w:p>
    <w:p w14:paraId="76558283">
      <w:pPr>
        <w:spacing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鉴于被保险人已缴付了附加的保险费，本保险合同扩展承保下列特别费用，即：加班费、夜班费、节假日加班费以及快运费(不包括空运费)。但该特别费用须与本保险合同项下予以赔偿的保险财产的损失有关。且本条款项下特别费用的最高赔偿金额在保险期限内不超过以下列明限额。若保险财产的保额不足，本条款项下特别费用的赔偿金额按比例减少。</w:t>
      </w:r>
    </w:p>
    <w:p w14:paraId="4DDCE1CA">
      <w:pPr>
        <w:spacing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0C001EDE">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管理费用条款（每次事故赔偿限额：500万元）</w:t>
      </w:r>
    </w:p>
    <w:p w14:paraId="3BA667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并约定，保险人负责赔偿被保险标的物发生保险责任范围内的损失需予以修复时，被保险人除修复费用外，业主为修复工作所发生的合理的管理费用，但施工合同金额内的管理费不属本条款赔偿范围。</w:t>
      </w:r>
    </w:p>
    <w:p w14:paraId="242DCB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6E3E73E4">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灭火费用扩展条款B（每次事故赔偿限额：500万元）</w:t>
      </w:r>
    </w:p>
    <w:p w14:paraId="02A5EF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被保险人为扑灭本保险单中载明的保险标的地址内的火灾而发生的下列必要及合理的费用，保险人按照本附加险合同的约定负责赔偿：</w:t>
      </w:r>
    </w:p>
    <w:p w14:paraId="315930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一、雇员（不包括正常上班的雇员及属于被保险人专职消防队的雇员）协助灭火而产生的加班费用；</w:t>
      </w:r>
    </w:p>
    <w:p w14:paraId="72A2A7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二、对在灭火过程中使用过的灭火器材重新填充的费用；</w:t>
      </w:r>
    </w:p>
    <w:p w14:paraId="379CE1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三、被保险人的雇员在灭火过程中直接损毁的个人物品。</w:t>
      </w:r>
    </w:p>
    <w:p w14:paraId="470E53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本附加条款项下保险人的赔偿责任不超过本保险单中载明的相应赔偿限额。</w:t>
      </w:r>
    </w:p>
    <w:p w14:paraId="3B446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48010513">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急救费用条款</w:t>
      </w:r>
    </w:p>
    <w:p w14:paraId="3CB892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兹经双方同意，本保险合同扩展被保险人因本保险合同明细表中列明的施工场地及其邻近区域内发生意外事故造成第三者人身伤亡时应支付的合理急救和救护车的费用。但保险期限内，金额不得超过：</w:t>
      </w:r>
    </w:p>
    <w:p w14:paraId="0957D8D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累计及每次事故赔偿限额：</w:t>
      </w:r>
    </w:p>
    <w:p w14:paraId="6ADBFD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659DB3CF">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保险金额及保险费调整条款</w:t>
      </w:r>
    </w:p>
    <w:p w14:paraId="6F3D46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兹经双方同意，被保险人应在本保险合同列明的保险期限届满后3个月内向保险人申报最终的工程决算金额。</w:t>
      </w:r>
    </w:p>
    <w:p w14:paraId="388697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如本保险合同项下保险工程决算金额与保险金额相差不超过±10%，则保险人同意在本保险期限结束后不再对保险费进行调整。</w:t>
      </w:r>
    </w:p>
    <w:p w14:paraId="256C59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05C03EAF">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工程图纸、文件特别条款（每次赔偿限额：200万元）</w:t>
      </w:r>
    </w:p>
    <w:p w14:paraId="06510B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兹经双方同意，保险人负责赔偿被保险人因本保险合同项下承保风险造成工程图纸及文件的损失而产生的重新绘制、重新制作的费用。</w:t>
      </w:r>
    </w:p>
    <w:p w14:paraId="5CD9FE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63B62C63">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工地外储存物特别条款（每次事故赔偿限额：</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00万元，累计赔偿限额：</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000万元）</w:t>
      </w:r>
    </w:p>
    <w:p w14:paraId="7F5220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兹经双方同意，本保险合同扩展承保本保险合同明细表中列明的工地以外的储存物，但该储存物的金额应包括在保险金额中。被保险人应根据保险人要求提供：</w:t>
      </w:r>
    </w:p>
    <w:p w14:paraId="12C3EA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(一)工地外储存的地址：</w:t>
      </w:r>
    </w:p>
    <w:p w14:paraId="7B4D54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(二)储存物的最高金额：</w:t>
      </w:r>
    </w:p>
    <w:p w14:paraId="00FBA8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(三)储存期限。</w:t>
      </w:r>
    </w:p>
    <w:p w14:paraId="5AC0F23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被保险人应保证：</w:t>
      </w:r>
    </w:p>
    <w:p w14:paraId="29B979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(一)上述工地外储存地点必须有安全警卫人员24小时值班；</w:t>
      </w:r>
    </w:p>
    <w:p w14:paraId="101654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(二)上述工地外储存地点必须符合储存物的存放要求。</w:t>
      </w:r>
    </w:p>
    <w:p w14:paraId="61FCED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6FEEA427">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车辆装卸责任条款</w:t>
      </w:r>
    </w:p>
    <w:p w14:paraId="1510C7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本保险合同扩展承保被保险人因其拥有的车辆在本保险合同列明工地范围内进行与工程建设有关的装卸过程中发生意外事故造成的第三者人身伤亡或财产损失时应负的赔偿责任。</w:t>
      </w:r>
    </w:p>
    <w:p w14:paraId="0D74AC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每次事故赔偿限额：300万元</w:t>
      </w:r>
    </w:p>
    <w:p w14:paraId="24EAC0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38BFD7B1">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运输险、工程险责任分摊条款（50/50条款）</w:t>
      </w:r>
    </w:p>
    <w:p w14:paraId="70A440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兹经双方同意，保险人要求：</w:t>
      </w:r>
    </w:p>
    <w:p w14:paraId="6328BE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(一)一旦原材料及设备运抵工地，被保险人应立即检验其运输途中可能发生的损失，若裸装货物损失明显，被保险人应在运输险保险合同下提出索赔。</w:t>
      </w:r>
    </w:p>
    <w:p w14:paraId="2C8A67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(二)若包装的货物未立即开箱，需放置一段时间，则被保险人应观察检验外包装是否有货损迹象。若货损迹象明显，被保险人应在运输险保险合同下提出索赔。</w:t>
      </w:r>
    </w:p>
    <w:p w14:paraId="14B1E3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(三)若货物外包装无货损迹象，并且货物仍处于包装状态，直至货物开箱时才发现损失，该损失将视作发生在运输期间，除非从损失的性质上有明显的证据表明损失确系发生在运输保险终止后。</w:t>
      </w:r>
    </w:p>
    <w:p w14:paraId="38E20E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(四)若无明显证据确定损失的发生时间，则该损失将由运输保险及本保险各分摊50%。</w:t>
      </w:r>
    </w:p>
    <w:p w14:paraId="38CC648B">
      <w:pPr>
        <w:spacing w:after="120" w:after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071C070E">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内陆运输扩展条款（每次事故赔偿限额：1000万元）</w:t>
      </w:r>
    </w:p>
    <w:p w14:paraId="48E150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人负责赔偿被保险人的材料、物料、预制件和构件等从中华人民共和国境内(包括港澳地区，不包括台湾地区)任何供应商供货地点到本保险合同中列明的工程现场，及保险标的在不同的工程场地之间的内陆、内河、海上运输途中、拖航及装卸过程中因自然灾害或意外事故引起的损失。</w:t>
      </w:r>
    </w:p>
    <w:p w14:paraId="3A30E2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每次运输赔偿限额：以保险单载明为准。</w:t>
      </w:r>
    </w:p>
    <w:p w14:paraId="01C336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48200E9C">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场外制造条款</w:t>
      </w:r>
    </w:p>
    <w:p w14:paraId="734C74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对于保险标的在保单约定的工程地点中的任一地点进行处理或制造或预制过程中发生的损失，保险人负责赔偿。</w:t>
      </w:r>
    </w:p>
    <w:p w14:paraId="3987A7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每一场外制造地点的每次事故及累计赔偿限额：以保险单载明为准。</w:t>
      </w:r>
    </w:p>
    <w:p w14:paraId="175904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5FA8617F">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工地外修理或修改条款</w:t>
      </w:r>
    </w:p>
    <w:p w14:paraId="7DC064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已运至工地的保险财产需要修理或修改，此修理或修改工作需要在工地外或地域限制外的其它地方进行时，本保险将自动扩展承保保险财产在这些修理或修改所发生的地点的损失。这些损失造成的原因是：火灾、雷电、爆炸、风暴、台风、冰雹、水灾、飞行物和其它飞行部件或飞行物体的坠落、地震、海啸、罢工、暴乱和民变。</w:t>
      </w:r>
    </w:p>
    <w:p w14:paraId="025E81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为了避免混淆，本保险承保保险财产运送至上述地区的运输过程中遭受的损失。</w:t>
      </w:r>
    </w:p>
    <w:p w14:paraId="3038F4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如未事先征得保险人的同意，本保险不承担被保险财产在运输途中或在修理或修改地点进行装卸时所遭受的损失。</w:t>
      </w:r>
    </w:p>
    <w:p w14:paraId="1768DC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4A057FB3">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恶意破坏扩展条款A</w:t>
      </w:r>
    </w:p>
    <w:p w14:paraId="1A61E6C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由于第三者恶意破坏行为造成保险标的的损失，保险人按照本保险合同的约定负责赔偿。但除另有约定外，对作为建筑物组成部分的玻璃破碎损失，以及盗窃、抢劫导致的损失，保险人不负责赔偿。</w:t>
      </w:r>
    </w:p>
    <w:p w14:paraId="42D879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发生本附加险合同项下的损失后，被保险人应立即向公安机关报案。</w:t>
      </w:r>
    </w:p>
    <w:p w14:paraId="77974C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50CF5B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201ABE96">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工地访问条款</w:t>
      </w:r>
    </w:p>
    <w:p w14:paraId="3CFF24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工程访问者、参观者、检查者，或参加奠基、揭礼或类似典礼的，或任何其它没有直接参与工程建造的（含技术顾问等），但经工程所有人以及工程总承包商同意在保险合同列明工地范围内的活动的人员，皆属于本保险合同第三者责任险所指的第三者范畴。</w:t>
      </w:r>
    </w:p>
    <w:p w14:paraId="445458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1735C9C3">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交叉责任扩展条款</w:t>
      </w:r>
    </w:p>
    <w:p w14:paraId="0EA9D6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鉴于被保险人已缴付了附加的保险费，本保险合同第三者责任项下的保障范围将适用于本保险合同明细表列明的所有被保险人，就如同每一被保险人均持有一份独立的保险合同，但保险人对被保险人不承担以下赔偿责任：</w:t>
      </w:r>
    </w:p>
    <w:p w14:paraId="0EF7BA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(一)已在或可在本保险合同物质损失部分投保的财产损失，包括因免赔额，或赔偿限额规定不予赔偿的损失；</w:t>
      </w:r>
    </w:p>
    <w:p w14:paraId="67779F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(二)已在或应在劳工保险或雇主责任保险项下投保的被保险人的雇员的疾病或人身伤亡。</w:t>
      </w:r>
    </w:p>
    <w:p w14:paraId="76B9C4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保险人对所有被保险人由一次事故或同一事故引起的数次事故承担的全部责任不得超过保险合同明细表中列明的每次事故赔偿限额。</w:t>
      </w:r>
    </w:p>
    <w:p w14:paraId="28F4AA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05BEB8EB">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停工损失扩展条款</w:t>
      </w:r>
    </w:p>
    <w:p w14:paraId="3BC220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兹经双方同意，本保险合同扩展承保被保险工程全部或部分停工期间发生本保险合同项下的保险责任范围内的事故导致的损失。但仅限于连续停工不超过3个月的工程部分，并且被保险人：</w:t>
      </w:r>
    </w:p>
    <w:p w14:paraId="04D10C7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（１）在发生停工时，必须及时书面通知保险人，并向保险人提交由本工程总监理工程师签发的停工令或复工令；</w:t>
      </w:r>
    </w:p>
    <w:p w14:paraId="129226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（２）停工期间，必须对停工部分工程采取合理的防损措施；</w:t>
      </w:r>
    </w:p>
    <w:p w14:paraId="25EE24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26881DB2">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保护现场条款</w:t>
      </w:r>
    </w:p>
    <w:p w14:paraId="7F45C70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发生本保险合同项下保险责任范围内风险事故时，被保险人应及时通知保险人，保险人在正常工作时间内，应在4小时内到达现场。4小时后，若保险人代表未赶到现场，被保险人可根据工程损失现状及检验需要，事故现场在拍照保留证据后不再保留。其他时间发生事故，现场尽量保留到次日，如工作急需，拍照后将不被保留。</w:t>
      </w:r>
    </w:p>
    <w:p w14:paraId="402A28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但被保险人为进行施救或减少损失，在保险人代表未赶到现场前或未拍照前破坏了现场，由此产生的后果，不能作为保险人拒赔的理由。被保险人应做好对第一现场拍照或录像的工作。</w:t>
      </w:r>
    </w:p>
    <w:p w14:paraId="0FBCEA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7828AEA6">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公共当局扩展条款B</w:t>
      </w:r>
    </w:p>
    <w:p w14:paraId="3DF236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遵循任何法令、规定或任何市政府或当地政府或任何合法的权力机构或政府(无论是中央、省或地方政府)颁布的条例，保险标的在保险责任范围内遭受损失后，所需支付的重置或修理的额外费用；保险人负责赔偿。</w:t>
      </w:r>
    </w:p>
    <w:p w14:paraId="352048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对下列损失、费用，保险人不负责赔偿：</w:t>
      </w:r>
    </w:p>
    <w:p w14:paraId="5D3AD05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一、为遵从上述法令、法律或条例而发生的费用；</w:t>
      </w:r>
    </w:p>
    <w:p w14:paraId="7B1C47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二、被保险人已接到有关当局关于拆除、重建的通知后发生的损失；</w:t>
      </w:r>
    </w:p>
    <w:p w14:paraId="6BB9E2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三、不是为恢复而进行修改的未受损财产的损失；</w:t>
      </w:r>
    </w:p>
    <w:p w14:paraId="0010CA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四、为遵从上述法令、法律或条例而保险标的需要支付的由于资金上涨而引起的任何税项、税款或其他费用。</w:t>
      </w:r>
    </w:p>
    <w:p w14:paraId="39D2B3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重新修复的工作必须尽快开始和进行，在不增加保险人责任的情况下可以全部或部分在另一工地进行。</w:t>
      </w:r>
    </w:p>
    <w:p w14:paraId="6AD98E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每次及累计赔偿限额:以保险单载明为准。</w:t>
      </w:r>
    </w:p>
    <w:p w14:paraId="352C93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7E6EBC62">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保险双方不得单方中止/终止合同条款</w:t>
      </w:r>
    </w:p>
    <w:p w14:paraId="43D1659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在保险有效期内，保险人和投保人中任何一方不得单方中止或终止保单。</w:t>
      </w:r>
    </w:p>
    <w:p w14:paraId="5F87766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3559EBA3">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错误和遗漏条款A</w:t>
      </w:r>
    </w:p>
    <w:p w14:paraId="0D0DCE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投保人、被保险人因过失而延迟、错误或遗漏向保险人告知或通知保险标的所占用的场地或价值的变更、保险标的危险程度增加或其他重要事项，被保险人在本保险合同项下的权益不受影响。</w:t>
      </w:r>
    </w:p>
    <w:p w14:paraId="40A724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但投保人、被保险人一旦发现其延迟、错误或遗漏，应立即通知保险人上述事项，并支付从风险增加之日起至保险期限届满之日止期间可能的额外保险费，否则保险人不承担保险责任。</w:t>
      </w:r>
    </w:p>
    <w:p w14:paraId="457AAF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5820CCF8">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违反条件条款</w:t>
      </w:r>
      <w:r>
        <w:rPr>
          <w:rFonts w:hint="eastAsia" w:ascii="宋体" w:hAnsi="宋体" w:eastAsia="宋体" w:cs="宋体"/>
          <w:b/>
          <w:bCs/>
          <w:color w:val="auto"/>
          <w:sz w:val="21"/>
          <w:szCs w:val="21"/>
          <w:highlight w:val="none"/>
        </w:rPr>
        <w:tab/>
      </w:r>
    </w:p>
    <w:p w14:paraId="4C16E9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本保险合同的条件和保证将分别适用于每一承保风险，而非共同适用于所有承保风险。因此，对某些条件和保证的违反仅使该违反所适用风险的那一部分保障失效，不影响有关其它风险保障的有效性。</w:t>
      </w:r>
    </w:p>
    <w:p w14:paraId="2007C48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5D44BECF">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连续损失特别条款</w:t>
      </w:r>
      <w:r>
        <w:rPr>
          <w:rFonts w:hint="eastAsia" w:ascii="宋体" w:hAnsi="宋体" w:eastAsia="宋体" w:cs="宋体"/>
          <w:b/>
          <w:bCs/>
          <w:color w:val="auto"/>
          <w:sz w:val="21"/>
          <w:szCs w:val="21"/>
          <w:highlight w:val="none"/>
        </w:rPr>
        <w:tab/>
      </w:r>
    </w:p>
    <w:p w14:paraId="3CAB5AA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兹经双方同意，鉴于投保人已交付了附加的保险费，本保险合同增加以下条款：</w:t>
      </w:r>
    </w:p>
    <w:p w14:paraId="5BD6AC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由于设计错误、铸造或原材料缺陷、工艺不善（安装错误除外）等原因中同一原因多次造成相同类型或型号的机器设备的损失或损坏，保险人对每次事故扣除保险合同约定的免赔额后，按下列比例赔偿：</w:t>
      </w:r>
    </w:p>
    <w:p w14:paraId="7A9FE103">
      <w:pPr>
        <w:spacing w:line="360" w:lineRule="auto"/>
        <w:ind w:firstLine="420" w:firstLineChars="200"/>
        <w:rPr>
          <w:rFonts w:hint="eastAsia" w:ascii="宋体" w:hAnsi="宋体" w:eastAsia="宋体" w:cs="宋体"/>
          <w:color w:val="auto"/>
          <w:sz w:val="21"/>
          <w:szCs w:val="21"/>
          <w:highlight w:val="none"/>
        </w:rPr>
      </w:pPr>
      <w:bookmarkStart w:id="61" w:name="_Toc11385_WPSOffice_Level1"/>
      <w:r>
        <w:rPr>
          <w:rFonts w:hint="eastAsia" w:ascii="宋体" w:hAnsi="宋体" w:eastAsia="宋体" w:cs="宋体"/>
          <w:color w:val="auto"/>
          <w:sz w:val="21"/>
          <w:szCs w:val="21"/>
          <w:highlight w:val="none"/>
        </w:rPr>
        <w:t>第一次事故：100%；</w:t>
      </w:r>
      <w:bookmarkEnd w:id="61"/>
    </w:p>
    <w:p w14:paraId="7DC8F707">
      <w:pPr>
        <w:spacing w:line="360" w:lineRule="auto"/>
        <w:ind w:firstLine="420" w:firstLineChars="200"/>
        <w:rPr>
          <w:rFonts w:hint="eastAsia" w:ascii="宋体" w:hAnsi="宋体" w:eastAsia="宋体" w:cs="宋体"/>
          <w:color w:val="auto"/>
          <w:sz w:val="21"/>
          <w:szCs w:val="21"/>
          <w:highlight w:val="none"/>
        </w:rPr>
      </w:pPr>
      <w:bookmarkStart w:id="62" w:name="_Toc25836_WPSOffice_Level1"/>
      <w:r>
        <w:rPr>
          <w:rFonts w:hint="eastAsia" w:ascii="宋体" w:hAnsi="宋体" w:eastAsia="宋体" w:cs="宋体"/>
          <w:color w:val="auto"/>
          <w:sz w:val="21"/>
          <w:szCs w:val="21"/>
          <w:highlight w:val="none"/>
        </w:rPr>
        <w:t>第二次事故：100%；</w:t>
      </w:r>
      <w:bookmarkEnd w:id="62"/>
    </w:p>
    <w:p w14:paraId="13179CD7">
      <w:pPr>
        <w:spacing w:line="360" w:lineRule="auto"/>
        <w:ind w:firstLine="420" w:firstLineChars="200"/>
        <w:rPr>
          <w:rFonts w:hint="eastAsia" w:ascii="宋体" w:hAnsi="宋体" w:eastAsia="宋体" w:cs="宋体"/>
          <w:color w:val="auto"/>
          <w:sz w:val="21"/>
          <w:szCs w:val="21"/>
          <w:highlight w:val="none"/>
        </w:rPr>
      </w:pPr>
      <w:bookmarkStart w:id="63" w:name="_Toc1614_WPSOffice_Level1"/>
      <w:r>
        <w:rPr>
          <w:rFonts w:hint="eastAsia" w:ascii="宋体" w:hAnsi="宋体" w:eastAsia="宋体" w:cs="宋体"/>
          <w:color w:val="auto"/>
          <w:sz w:val="21"/>
          <w:szCs w:val="21"/>
          <w:highlight w:val="none"/>
        </w:rPr>
        <w:t>第三次事故：80%；</w:t>
      </w:r>
      <w:bookmarkEnd w:id="63"/>
    </w:p>
    <w:p w14:paraId="4912F38D">
      <w:pPr>
        <w:spacing w:line="360" w:lineRule="auto"/>
        <w:ind w:firstLine="420" w:firstLineChars="200"/>
        <w:rPr>
          <w:rFonts w:hint="eastAsia" w:ascii="宋体" w:hAnsi="宋体" w:eastAsia="宋体" w:cs="宋体"/>
          <w:color w:val="auto"/>
          <w:sz w:val="21"/>
          <w:szCs w:val="21"/>
          <w:highlight w:val="none"/>
        </w:rPr>
      </w:pPr>
      <w:bookmarkStart w:id="64" w:name="_Toc6115_WPSOffice_Level1"/>
      <w:r>
        <w:rPr>
          <w:rFonts w:hint="eastAsia" w:ascii="宋体" w:hAnsi="宋体" w:eastAsia="宋体" w:cs="宋体"/>
          <w:color w:val="auto"/>
          <w:sz w:val="21"/>
          <w:szCs w:val="21"/>
          <w:highlight w:val="none"/>
        </w:rPr>
        <w:t>第四次事故：60%；</w:t>
      </w:r>
      <w:bookmarkEnd w:id="64"/>
    </w:p>
    <w:p w14:paraId="74C07C02">
      <w:pPr>
        <w:spacing w:line="360" w:lineRule="auto"/>
        <w:ind w:firstLine="420" w:firstLineChars="200"/>
        <w:rPr>
          <w:rFonts w:hint="eastAsia" w:ascii="宋体" w:hAnsi="宋体" w:eastAsia="宋体" w:cs="宋体"/>
          <w:color w:val="auto"/>
          <w:sz w:val="21"/>
          <w:szCs w:val="21"/>
          <w:highlight w:val="none"/>
        </w:rPr>
      </w:pPr>
      <w:bookmarkStart w:id="65" w:name="_Toc16423_WPSOffice_Level1"/>
      <w:r>
        <w:rPr>
          <w:rFonts w:hint="eastAsia" w:ascii="宋体" w:hAnsi="宋体" w:eastAsia="宋体" w:cs="宋体"/>
          <w:color w:val="auto"/>
          <w:sz w:val="21"/>
          <w:szCs w:val="21"/>
          <w:highlight w:val="none"/>
        </w:rPr>
        <w:t>第五次事故：50%；</w:t>
      </w:r>
      <w:bookmarkEnd w:id="65"/>
    </w:p>
    <w:p w14:paraId="78306C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以后同类事故不予赔偿</w:t>
      </w:r>
    </w:p>
    <w:p w14:paraId="16568B90">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工地安全和火警安全条款</w:t>
      </w:r>
      <w:r>
        <w:rPr>
          <w:rFonts w:hint="eastAsia" w:ascii="宋体" w:hAnsi="宋体" w:eastAsia="宋体" w:cs="宋体"/>
          <w:b/>
          <w:bCs/>
          <w:color w:val="auto"/>
          <w:sz w:val="21"/>
          <w:szCs w:val="21"/>
          <w:highlight w:val="none"/>
        </w:rPr>
        <w:tab/>
      </w:r>
    </w:p>
    <w:p w14:paraId="1FE9B2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被保险人应采取任何合理的措施来维持项目工地的安全水准和保险人所建议的救火设施，被保险人就保险人对保险财产的防灾防损的合理要求必须遵从。</w:t>
      </w:r>
    </w:p>
    <w:p w14:paraId="6983EC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22BFA5C9">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转移至安全地点特别条款</w:t>
      </w:r>
      <w:r>
        <w:rPr>
          <w:rFonts w:hint="eastAsia" w:ascii="宋体" w:hAnsi="宋体" w:eastAsia="宋体" w:cs="宋体"/>
          <w:b/>
          <w:bCs/>
          <w:color w:val="auto"/>
          <w:sz w:val="21"/>
          <w:szCs w:val="21"/>
          <w:highlight w:val="none"/>
        </w:rPr>
        <w:tab/>
      </w:r>
    </w:p>
    <w:p w14:paraId="15869D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兹经双方同意，被保险人为避免可能发生保险事故造成损失而将保险财产临时性转移至邻近的安全地点时的保险财产遭受的损失，保险人负责赔偿。               </w:t>
      </w:r>
    </w:p>
    <w:p w14:paraId="2EF12B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047B8A79">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批单效力条款</w:t>
      </w:r>
      <w:r>
        <w:rPr>
          <w:rFonts w:hint="eastAsia" w:ascii="宋体" w:hAnsi="宋体" w:eastAsia="宋体" w:cs="宋体"/>
          <w:b/>
          <w:bCs/>
          <w:color w:val="auto"/>
          <w:sz w:val="21"/>
          <w:szCs w:val="21"/>
          <w:highlight w:val="none"/>
        </w:rPr>
        <w:tab/>
      </w:r>
    </w:p>
    <w:p w14:paraId="79B0F4A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根据本条款，上述保险人同意除按法律要求必须遵守的内容外，本保险合同附有的批单将替换保险合同基本条件中的相应内容。保险人在本保险合同项下的责任也以替换后批单所规定的内容条件为准。</w:t>
      </w:r>
    </w:p>
    <w:p w14:paraId="46B8C4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双方同意本保险合同中的诸如各种条款/保险合同段落和任何批单的标题仅是为了措辞方便，而非某种限制或影响本保险合同相关部分的规定。</w:t>
      </w:r>
    </w:p>
    <w:p w14:paraId="1F6281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5970CF10">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不使失效条款</w:t>
      </w:r>
      <w:r>
        <w:rPr>
          <w:rFonts w:hint="eastAsia" w:ascii="宋体" w:hAnsi="宋体" w:eastAsia="宋体" w:cs="宋体"/>
          <w:b/>
          <w:bCs/>
          <w:color w:val="auto"/>
          <w:sz w:val="21"/>
          <w:szCs w:val="21"/>
          <w:highlight w:val="none"/>
        </w:rPr>
        <w:tab/>
      </w:r>
    </w:p>
    <w:p w14:paraId="22F25A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本保险合同不因下列原因失效：</w:t>
      </w:r>
    </w:p>
    <w:p w14:paraId="04D404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一、被保险人不知情的保险标的的风险增加。但被保险人一经知道应立即通知保险人，并支付可能要求的自风险增加之日起的附加保险费。</w:t>
      </w:r>
    </w:p>
    <w:p w14:paraId="161F233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二、工人出于修理、微小变动或一般维修等类似目的在保险单列明场所作业。</w:t>
      </w:r>
    </w:p>
    <w:p w14:paraId="507235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p>
    <w:p w14:paraId="4708F3A1">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自动恢复保额特别条款</w:t>
      </w:r>
      <w:r>
        <w:rPr>
          <w:rFonts w:hint="eastAsia" w:ascii="宋体" w:hAnsi="宋体" w:eastAsia="宋体" w:cs="宋体"/>
          <w:b/>
          <w:bCs/>
          <w:color w:val="auto"/>
          <w:sz w:val="21"/>
          <w:szCs w:val="21"/>
          <w:highlight w:val="none"/>
        </w:rPr>
        <w:tab/>
      </w:r>
    </w:p>
    <w:p w14:paraId="4EB6C7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兹经双方同意，在保险人对保险财产的损失予以赔偿后，原保险金额自动恢复。但被保险人应按日比例补交自损失发生之日起至保险终止之日止恢复保险金额部分的保险费。否则，本条款无效。</w:t>
      </w:r>
    </w:p>
    <w:p w14:paraId="71E2E4A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6BED4BA1">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重大过失赔偿条款</w:t>
      </w:r>
      <w:r>
        <w:rPr>
          <w:rFonts w:hint="eastAsia" w:ascii="宋体" w:hAnsi="宋体" w:eastAsia="宋体" w:cs="宋体"/>
          <w:b/>
          <w:bCs/>
          <w:color w:val="auto"/>
          <w:sz w:val="21"/>
          <w:szCs w:val="21"/>
          <w:highlight w:val="none"/>
        </w:rPr>
        <w:tab/>
      </w:r>
    </w:p>
    <w:p w14:paraId="6C55C1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被保险人及其代表的重大过失引起保险标的的物质损失和由此引发的对第三者的赔偿责任，保险人负责赔偿。</w:t>
      </w:r>
    </w:p>
    <w:p w14:paraId="58658AB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每次事故及累计赔偿限额:以保险单载明为准。</w:t>
      </w:r>
    </w:p>
    <w:p w14:paraId="061BC6C0">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本附加险条款与主险条款内容相悖之处，以本附加险条款为准；未尽之处，以主险条款为准。</w:t>
      </w:r>
      <w:r>
        <w:rPr>
          <w:rFonts w:hint="eastAsia" w:ascii="宋体" w:hAnsi="宋体" w:eastAsia="宋体" w:cs="宋体"/>
          <w:b/>
          <w:bCs/>
          <w:color w:val="auto"/>
          <w:sz w:val="21"/>
          <w:szCs w:val="21"/>
          <w:highlight w:val="none"/>
        </w:rPr>
        <w:tab/>
      </w:r>
    </w:p>
    <w:p w14:paraId="2EDDC92C">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干扰与阻塞条款</w:t>
      </w:r>
      <w:r>
        <w:rPr>
          <w:rFonts w:hint="eastAsia" w:ascii="宋体" w:hAnsi="宋体" w:eastAsia="宋体" w:cs="宋体"/>
          <w:b/>
          <w:bCs/>
          <w:color w:val="auto"/>
          <w:sz w:val="21"/>
          <w:szCs w:val="21"/>
          <w:highlight w:val="none"/>
        </w:rPr>
        <w:tab/>
      </w:r>
    </w:p>
    <w:p w14:paraId="3F6655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的保障将扩展赔偿被保险人由于妨碍、失去舒适、非法侵害或干扰道路、灯、空中、水中的使用权而引起的法律责任或任何原因引起干扰第三者的财产或工作或使用或价值，除非是由于工作性质不可避免的、合理的、可预见的。</w:t>
      </w:r>
    </w:p>
    <w:p w14:paraId="3A452D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2F1A40C9">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广告及装饰装置责任条款</w:t>
      </w:r>
      <w:r>
        <w:rPr>
          <w:rFonts w:hint="eastAsia" w:ascii="宋体" w:hAnsi="宋体" w:eastAsia="宋体" w:cs="宋体"/>
          <w:b/>
          <w:bCs/>
          <w:color w:val="auto"/>
          <w:sz w:val="21"/>
          <w:szCs w:val="21"/>
          <w:highlight w:val="none"/>
        </w:rPr>
        <w:tab/>
      </w:r>
    </w:p>
    <w:p w14:paraId="21502F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本保险合同扩展承保被保险人因在本保险合同明细表中列明的工程地址内、周边场所或其他列明的场所布置的广告、霓红灯、装饰物发生意外事故造成第三者人身伤亡或财产损失时应负的赔偿责任。</w:t>
      </w:r>
    </w:p>
    <w:p w14:paraId="0582818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被保险人应保证指派合格人员对上述装置定期进行检查和维护。</w:t>
      </w:r>
    </w:p>
    <w:p w14:paraId="43F646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0192BE3B">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无过失条款</w:t>
      </w:r>
      <w:r>
        <w:rPr>
          <w:rFonts w:hint="eastAsia" w:ascii="宋体" w:hAnsi="宋体" w:eastAsia="宋体" w:cs="宋体"/>
          <w:b/>
          <w:bCs/>
          <w:color w:val="auto"/>
          <w:sz w:val="21"/>
          <w:szCs w:val="21"/>
          <w:highlight w:val="none"/>
        </w:rPr>
        <w:tab/>
      </w:r>
    </w:p>
    <w:p w14:paraId="28BB13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双方同意：</w:t>
      </w:r>
    </w:p>
    <w:p w14:paraId="129DD1A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扩展承保因震动、移动或减弱支撑造成第三者财产损失时，业主和承包商应负的法律赔偿责任，并且本保险合同扩展承保业主因倒塌、地陷、震动、移动、减弱支撑或地下水下降造成工程以外的财产损坏而引起的损失及费用。</w:t>
      </w:r>
    </w:p>
    <w:p w14:paraId="32E4C2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但是，一经发现造成财产损失的震动、移动或减弱支撑，系起因于或被认为系起因于被保险人或他人代表其进行的作业，则被保险人应立即暂停作业、进行修理，并对受损财产安装额外的支撑。如果被保险人未能遵守本特别规定，保险人对受损财产的有关索赔不予负责。</w:t>
      </w:r>
    </w:p>
    <w:p w14:paraId="28CADF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保险人对以下不负赔偿责任：</w:t>
      </w:r>
    </w:p>
    <w:p w14:paraId="45917D7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 造成拆除中或已为政府部门宣布为危险的建筑物损坏的有关索赔；</w:t>
      </w:r>
    </w:p>
    <w:p w14:paraId="76FAC2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为防止财产受损而采取安全措施所支付的费用；</w:t>
      </w:r>
    </w:p>
    <w:p w14:paraId="4008CB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 裂缝或其他原因造成建筑物或其他结构损失的有关索赔，除非建筑物或结构的稳定性或其使用者的安全已受损害。</w:t>
      </w:r>
    </w:p>
    <w:p w14:paraId="46304AF0">
      <w:pPr>
        <w:spacing w:line="360" w:lineRule="auto"/>
        <w:ind w:firstLine="420" w:firstLineChars="200"/>
        <w:rPr>
          <w:rFonts w:hint="eastAsia" w:eastAsia="宋体" w:cs="宋体"/>
          <w:bCs/>
          <w:color w:val="auto"/>
          <w:sz w:val="21"/>
          <w:szCs w:val="21"/>
          <w:highlight w:val="none"/>
        </w:rPr>
      </w:pPr>
      <w:r>
        <w:rPr>
          <w:rFonts w:hint="eastAsia" w:ascii="宋体" w:hAnsi="宋体" w:eastAsia="宋体" w:cs="宋体"/>
          <w:color w:val="auto"/>
          <w:sz w:val="21"/>
          <w:szCs w:val="21"/>
          <w:highlight w:val="none"/>
        </w:rPr>
        <w:t>本保险合同所载其他条件不变。</w:t>
      </w:r>
    </w:p>
    <w:p w14:paraId="6EDC005E">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扩展责任保证期扩展条款（</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个月）</w:t>
      </w:r>
    </w:p>
    <w:p w14:paraId="1CF15F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本保险合同扩展承保以下列明的保证期内因被保险的承包人为履行工程合同在进行维修保养的过程中所造成的保险工程的损失，以及在完工证书签出前的建筑期内由于施工原因导致保证期内发生的保险工程的损失。</w:t>
      </w:r>
    </w:p>
    <w:p w14:paraId="0CC0DD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本保险合同保证期遵循如下约定：</w:t>
      </w:r>
    </w:p>
    <w:p w14:paraId="45C34A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期的保险期限与工程合同中规定的保证期一致，从工程所有人对部分或全部工程签发完工验收证书或验收合格，或工程所有人实际占有或使用或接收该部分或全部工程时起算，以先发生者为准。但在任何情况下，保证期的保险期限不得超出本保险单明细表中列明的保证期。</w:t>
      </w:r>
    </w:p>
    <w:p w14:paraId="53353919">
      <w:pPr>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rPr>
        <w:t>本保险合同所载其它条件不变。</w:t>
      </w:r>
    </w:p>
    <w:p w14:paraId="218BEAB7">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保证期特别扩展条款</w:t>
      </w:r>
    </w:p>
    <w:p w14:paraId="175139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本保险合同特别扩展承保以下列明的保证期限内由于安装错误、设计错误、原材料或铸件缺陷以及工艺不善引起被保险财产的损失，但对被保险人在损失发生前即已发现错误并应予以矫正的费用除外。</w:t>
      </w:r>
    </w:p>
    <w:p w14:paraId="5A37E7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本特别扩展条款既不承保直接或间接由于火灾、爆炸以及任何人力不可抗拒的自然灾害造成的损失，也不承保任何第三者责任。</w:t>
      </w:r>
    </w:p>
    <w:p w14:paraId="7B1DAD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本保险合同保证期遵循如下约定：</w:t>
      </w:r>
    </w:p>
    <w:p w14:paraId="1C95E7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期的保险期限与工程合同中规定的保证期一致，从工程所有人对部分或全部工程签发完工验收证书或验收合格，或工程所有人实际占有或使用或接收该部分或全部工程时起算，以先发生者为准。但在任何情况下，保证期的保险期限不得超出本保险单明细表中列明的保证期。</w:t>
      </w:r>
    </w:p>
    <w:p w14:paraId="3BCB7D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745F30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p>
    <w:p w14:paraId="6764B0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每次事故免赔额：损失金额的10%。</w:t>
      </w:r>
    </w:p>
    <w:p w14:paraId="1D5ADC75">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预防措施条款 (每次事故赔偿限额：200万元)</w:t>
      </w:r>
    </w:p>
    <w:p w14:paraId="54FCBBC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兹经双方同意，如果保险财产发生了实际损失或即将发生损失，保险人将负责支付为了 防止、降低或减少本可在本保险合同项下获得赔偿的此类损失而产生的必要的合理的费用。</w:t>
      </w:r>
    </w:p>
    <w:p w14:paraId="490420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本保险合同所载其它条件不变。</w:t>
      </w:r>
    </w:p>
    <w:p w14:paraId="2B657413">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地质灾害特别条款</w:t>
      </w:r>
    </w:p>
    <w:p w14:paraId="608C78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兹经保险双方同意，本条款明确，保险人负责赔偿本保险单明细表中列明的被保险</w:t>
      </w:r>
    </w:p>
    <w:p w14:paraId="188960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工程因地崩、山崩、滑坡、隧道坍塌、涌水等人力不可抗拒的地质性灾害造成的保险财产的 损失。本保险单所载其他条件不变。</w:t>
      </w:r>
    </w:p>
    <w:p w14:paraId="15D4B8CD">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自然灾害条款（每次事故赔偿限额：500万元，累计赔偿限额：1000万元）</w:t>
      </w:r>
    </w:p>
    <w:p w14:paraId="302DDB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兹经双方同意，本保险单第三者责任险项下扩展承保由于施工原因导致自然灾害造成第三者财产损失和人身伤亡的赔偿责任，包括第三者种植物、养殖物的损毁或死亡的赔偿责任；以及修复土地、清理土地污染的费用。     </w:t>
      </w:r>
    </w:p>
    <w:p w14:paraId="70445E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但应按下述规定的每次事件和累计赔偿责任限额进行赔偿：</w:t>
      </w:r>
    </w:p>
    <w:p w14:paraId="3791AB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每次事故赔偿限额：500万元；  总累计赔偿限额：1000万元</w:t>
      </w:r>
    </w:p>
    <w:p w14:paraId="45BCE5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本保险单所载其他条件不变。</w:t>
      </w:r>
    </w:p>
    <w:p w14:paraId="7E660519">
      <w:pPr>
        <w:numPr>
          <w:ilvl w:val="0"/>
          <w:numId w:val="22"/>
        </w:numPr>
        <w:spacing w:line="360" w:lineRule="auto"/>
        <w:ind w:firstLine="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意外污染责任特别条款</w:t>
      </w:r>
    </w:p>
    <w:p w14:paraId="13F235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险人对被保险人在设计和施工中采取了必要的安全防范措施前提下造成环境污染而导致第三者人身伤亡、财产损失（包括清理费用）承担赔偿责任。在本条款中，安全防范意味着在保险期内的任何时候，被保险人对可能造成污染的物品采取了符合国家安全要求的保管措施。</w:t>
      </w:r>
    </w:p>
    <w:p w14:paraId="3A1C742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本条款项下每次事故及累计赔偿限额为800万元。</w:t>
      </w:r>
    </w:p>
    <w:p w14:paraId="098DBD86">
      <w:pPr>
        <w:rPr>
          <w:color w:val="auto"/>
          <w:highlight w:val="none"/>
        </w:rPr>
      </w:pPr>
      <w:r>
        <w:rPr>
          <w:rFonts w:hint="eastAsia" w:ascii="宋体" w:hAnsi="宋体" w:eastAsia="宋体" w:cs="宋体"/>
          <w:color w:val="auto"/>
          <w:sz w:val="21"/>
          <w:szCs w:val="21"/>
          <w:highlight w:val="none"/>
        </w:rPr>
        <w:t>本保险合同所载其他条件不变。</w:t>
      </w:r>
    </w:p>
    <w:p w14:paraId="07091859">
      <w:pPr>
        <w:rPr>
          <w:color w:val="auto"/>
          <w:highlight w:val="none"/>
        </w:rPr>
      </w:pPr>
    </w:p>
    <w:p w14:paraId="00928523">
      <w:pPr>
        <w:spacing w:line="400" w:lineRule="exact"/>
        <w:rPr>
          <w:rFonts w:hint="eastAsia" w:cs="宋体"/>
          <w:color w:val="auto"/>
          <w:szCs w:val="21"/>
          <w:highlight w:val="none"/>
        </w:rPr>
      </w:pPr>
    </w:p>
    <w:p w14:paraId="3BEE6A1F">
      <w:pPr>
        <w:pStyle w:val="48"/>
        <w:rPr>
          <w:rFonts w:hint="eastAsia" w:cs="宋体"/>
          <w:color w:val="auto"/>
          <w:szCs w:val="21"/>
          <w:highlight w:val="none"/>
        </w:rPr>
      </w:pPr>
    </w:p>
    <w:p w14:paraId="39496CAD">
      <w:pPr>
        <w:rPr>
          <w:rFonts w:hint="eastAsia" w:cs="宋体"/>
          <w:color w:val="auto"/>
          <w:szCs w:val="21"/>
          <w:highlight w:val="none"/>
        </w:rPr>
      </w:pPr>
    </w:p>
    <w:p w14:paraId="57E8B13A">
      <w:pPr>
        <w:pStyle w:val="48"/>
        <w:rPr>
          <w:rFonts w:hint="eastAsia" w:cs="宋体"/>
          <w:color w:val="auto"/>
          <w:szCs w:val="21"/>
          <w:highlight w:val="none"/>
        </w:rPr>
      </w:pPr>
    </w:p>
    <w:p w14:paraId="24CD7F3A">
      <w:pPr>
        <w:rPr>
          <w:rFonts w:hint="eastAsia" w:cs="宋体"/>
          <w:color w:val="auto"/>
          <w:szCs w:val="21"/>
          <w:highlight w:val="none"/>
        </w:rPr>
      </w:pPr>
    </w:p>
    <w:p w14:paraId="657688A5">
      <w:pPr>
        <w:pStyle w:val="48"/>
        <w:rPr>
          <w:rFonts w:hint="eastAsia" w:cs="宋体"/>
          <w:color w:val="auto"/>
          <w:szCs w:val="21"/>
          <w:highlight w:val="none"/>
        </w:rPr>
      </w:pPr>
    </w:p>
    <w:p w14:paraId="18ADAAF7">
      <w:pPr>
        <w:rPr>
          <w:rFonts w:hint="eastAsia" w:cs="宋体"/>
          <w:color w:val="auto"/>
          <w:szCs w:val="21"/>
          <w:highlight w:val="none"/>
        </w:rPr>
      </w:pPr>
    </w:p>
    <w:p w14:paraId="3A9CEFCC">
      <w:pPr>
        <w:pStyle w:val="48"/>
        <w:rPr>
          <w:rFonts w:hint="eastAsia" w:cs="宋体"/>
          <w:color w:val="auto"/>
          <w:szCs w:val="21"/>
          <w:highlight w:val="none"/>
        </w:rPr>
      </w:pPr>
    </w:p>
    <w:p w14:paraId="788C6C53">
      <w:pPr>
        <w:rPr>
          <w:rFonts w:hint="eastAsia" w:cs="宋体"/>
          <w:color w:val="auto"/>
          <w:szCs w:val="21"/>
          <w:highlight w:val="none"/>
        </w:rPr>
      </w:pPr>
    </w:p>
    <w:p w14:paraId="3DA27F1D">
      <w:pPr>
        <w:pStyle w:val="48"/>
        <w:rPr>
          <w:rFonts w:hint="eastAsia" w:cs="宋体"/>
          <w:color w:val="auto"/>
          <w:szCs w:val="21"/>
          <w:highlight w:val="none"/>
        </w:rPr>
      </w:pPr>
    </w:p>
    <w:p w14:paraId="6FA39D42">
      <w:pPr>
        <w:rPr>
          <w:rFonts w:hint="eastAsia" w:cs="宋体"/>
          <w:color w:val="auto"/>
          <w:szCs w:val="21"/>
          <w:highlight w:val="none"/>
        </w:rPr>
      </w:pPr>
    </w:p>
    <w:p w14:paraId="7344A426">
      <w:pPr>
        <w:pStyle w:val="48"/>
        <w:rPr>
          <w:rFonts w:hint="eastAsia" w:cs="宋体"/>
          <w:color w:val="auto"/>
          <w:szCs w:val="21"/>
          <w:highlight w:val="none"/>
        </w:rPr>
      </w:pPr>
    </w:p>
    <w:p w14:paraId="6133B12D">
      <w:pPr>
        <w:rPr>
          <w:rFonts w:hint="eastAsia" w:cs="宋体"/>
          <w:color w:val="auto"/>
          <w:szCs w:val="21"/>
          <w:highlight w:val="none"/>
        </w:rPr>
      </w:pPr>
    </w:p>
    <w:p w14:paraId="7F6629B8">
      <w:pPr>
        <w:pStyle w:val="48"/>
        <w:rPr>
          <w:rFonts w:hint="eastAsia" w:cs="宋体"/>
          <w:color w:val="auto"/>
          <w:szCs w:val="21"/>
          <w:highlight w:val="none"/>
        </w:rPr>
      </w:pPr>
    </w:p>
    <w:p w14:paraId="1E8D9A64">
      <w:pPr>
        <w:rPr>
          <w:rFonts w:hint="eastAsia" w:cs="宋体"/>
          <w:color w:val="auto"/>
          <w:szCs w:val="21"/>
          <w:highlight w:val="none"/>
        </w:rPr>
      </w:pPr>
    </w:p>
    <w:p w14:paraId="3A003650">
      <w:pPr>
        <w:pStyle w:val="48"/>
        <w:rPr>
          <w:rFonts w:hint="eastAsia" w:cs="宋体"/>
          <w:color w:val="auto"/>
          <w:szCs w:val="21"/>
          <w:highlight w:val="none"/>
        </w:rPr>
      </w:pPr>
    </w:p>
    <w:p w14:paraId="4C850AB0">
      <w:pPr>
        <w:rPr>
          <w:rFonts w:hint="eastAsia" w:cs="宋体"/>
          <w:color w:val="auto"/>
          <w:szCs w:val="21"/>
          <w:highlight w:val="none"/>
        </w:rPr>
      </w:pPr>
    </w:p>
    <w:p w14:paraId="5B2EC68E">
      <w:pPr>
        <w:rPr>
          <w:rFonts w:hint="eastAsia" w:cs="宋体"/>
          <w:color w:val="auto"/>
          <w:szCs w:val="21"/>
          <w:highlight w:val="none"/>
        </w:rPr>
      </w:pPr>
    </w:p>
    <w:p w14:paraId="6FDB98D7">
      <w:pPr>
        <w:pStyle w:val="48"/>
        <w:jc w:val="both"/>
        <w:rPr>
          <w:rFonts w:hint="eastAsia" w:ascii="宋体" w:hAnsi="宋体" w:eastAsia="宋体" w:cs="仿宋_GB2312"/>
          <w:b/>
          <w:color w:val="auto"/>
          <w:sz w:val="24"/>
          <w:szCs w:val="24"/>
          <w:highlight w:val="none"/>
          <w:lang w:val="en-US" w:eastAsia="zh-CN"/>
        </w:rPr>
      </w:pPr>
    </w:p>
    <w:p w14:paraId="370D839F">
      <w:pPr>
        <w:pStyle w:val="48"/>
        <w:jc w:val="both"/>
        <w:rPr>
          <w:rFonts w:hint="eastAsia" w:ascii="宋体" w:hAnsi="宋体" w:eastAsia="宋体" w:cs="仿宋_GB2312"/>
          <w:b/>
          <w:color w:val="auto"/>
          <w:sz w:val="24"/>
          <w:szCs w:val="24"/>
          <w:highlight w:val="none"/>
          <w:lang w:val="en-US" w:eastAsia="zh-CN"/>
        </w:rPr>
        <w:sectPr>
          <w:headerReference r:id="rId10" w:type="default"/>
          <w:footerReference r:id="rId11" w:type="default"/>
          <w:pgSz w:w="11906" w:h="16838"/>
          <w:pgMar w:top="1440" w:right="1800" w:bottom="1440" w:left="1800" w:header="851" w:footer="992" w:gutter="0"/>
          <w:pgNumType w:fmt="numberInDash"/>
          <w:cols w:space="720" w:num="1"/>
          <w:docGrid w:type="lines" w:linePitch="312" w:charSpace="0"/>
        </w:sectPr>
      </w:pPr>
    </w:p>
    <w:p w14:paraId="32F22C96">
      <w:pPr>
        <w:pStyle w:val="48"/>
        <w:jc w:val="both"/>
        <w:rPr>
          <w:rFonts w:ascii="宋体" w:hAnsi="宋体" w:eastAsia="宋体" w:cs="宋体"/>
          <w:b/>
          <w:bCs/>
          <w:color w:val="auto"/>
          <w:sz w:val="24"/>
          <w:szCs w:val="24"/>
          <w:highlight w:val="none"/>
        </w:rPr>
      </w:pPr>
      <w:bookmarkStart w:id="66" w:name="_Toc13763_WPSOffice_Level1"/>
      <w:r>
        <w:rPr>
          <w:rFonts w:hint="eastAsia" w:ascii="宋体" w:hAnsi="宋体" w:eastAsia="宋体" w:cs="仿宋_GB2312"/>
          <w:b/>
          <w:color w:val="auto"/>
          <w:sz w:val="24"/>
          <w:szCs w:val="24"/>
          <w:highlight w:val="none"/>
          <w:lang w:val="en-US" w:eastAsia="zh-CN"/>
        </w:rPr>
        <w:t>附件二、</w:t>
      </w:r>
      <w:r>
        <w:rPr>
          <w:rFonts w:hint="eastAsia" w:eastAsia="宋体" w:cs="仿宋_GB2312"/>
          <w:b/>
          <w:color w:val="auto"/>
          <w:sz w:val="24"/>
          <w:szCs w:val="24"/>
          <w:highlight w:val="none"/>
          <w:lang w:val="en-US" w:eastAsia="zh-CN"/>
        </w:rPr>
        <w:t>（二）</w:t>
      </w:r>
      <w:r>
        <w:rPr>
          <w:rFonts w:hint="eastAsia" w:ascii="宋体" w:hAnsi="宋体" w:eastAsia="宋体" w:cs="宋体"/>
          <w:b/>
          <w:bCs/>
          <w:color w:val="auto"/>
          <w:sz w:val="24"/>
          <w:szCs w:val="24"/>
          <w:highlight w:val="none"/>
        </w:rPr>
        <w:t>安全生产责任险保险条款扩展条款</w:t>
      </w:r>
      <w:bookmarkEnd w:id="66"/>
    </w:p>
    <w:p w14:paraId="23B5D20A">
      <w:pPr>
        <w:snapToGrid w:val="0"/>
        <w:spacing w:before="312" w:beforeLines="100" w:after="156" w:afterLines="50" w:line="460" w:lineRule="exact"/>
        <w:jc w:val="center"/>
        <w:rPr>
          <w:rFonts w:ascii="黑体" w:hAnsi="黑体" w:eastAsia="黑体" w:cs="Times New Roman"/>
          <w:bCs/>
          <w:color w:val="auto"/>
          <w:sz w:val="24"/>
          <w:szCs w:val="24"/>
          <w:highlight w:val="none"/>
        </w:rPr>
      </w:pPr>
      <w:bookmarkStart w:id="67" w:name="_Toc14696_WPSOffice_Level1"/>
      <w:r>
        <w:rPr>
          <w:rFonts w:hint="eastAsia" w:ascii="黑体" w:hAnsi="黑体" w:eastAsia="黑体" w:cs="Times New Roman"/>
          <w:bCs/>
          <w:color w:val="auto"/>
          <w:sz w:val="24"/>
          <w:szCs w:val="24"/>
          <w:highlight w:val="none"/>
        </w:rPr>
        <w:t>1、安全生产责任保险附加24小时责任保险条款</w:t>
      </w:r>
      <w:bookmarkEnd w:id="67"/>
    </w:p>
    <w:p w14:paraId="2CC15D7C">
      <w:pPr>
        <w:snapToGrid w:val="0"/>
        <w:spacing w:after="156" w:afterLines="50" w:line="460" w:lineRule="exact"/>
        <w:jc w:val="center"/>
        <w:rPr>
          <w:rFonts w:ascii="宋体" w:hAnsi="宋体" w:eastAsia="宋体" w:cs="Times New Roman"/>
          <w:b/>
          <w:bCs/>
          <w:color w:val="auto"/>
          <w:sz w:val="22"/>
          <w:highlight w:val="none"/>
        </w:rPr>
      </w:pPr>
      <w:r>
        <w:rPr>
          <w:rFonts w:hint="eastAsia" w:ascii="宋体" w:hAnsi="宋体" w:eastAsia="宋体" w:cs="Times New Roman"/>
          <w:b/>
          <w:bCs/>
          <w:color w:val="auto"/>
          <w:sz w:val="22"/>
          <w:highlight w:val="none"/>
        </w:rPr>
        <w:t>总则</w:t>
      </w:r>
    </w:p>
    <w:p w14:paraId="6D7EF05A">
      <w:pPr>
        <w:widowControl/>
        <w:tabs>
          <w:tab w:val="left" w:pos="1134"/>
          <w:tab w:val="left" w:pos="1418"/>
        </w:tabs>
        <w:adjustRightInd w:val="0"/>
        <w:spacing w:line="460" w:lineRule="exact"/>
        <w:ind w:firstLine="442" w:firstLineChars="200"/>
        <w:rPr>
          <w:rFonts w:ascii="宋体" w:hAnsi="宋体" w:eastAsia="宋体" w:cs="仿宋"/>
          <w:b/>
          <w:bCs/>
          <w:color w:val="auto"/>
          <w:kern w:val="0"/>
          <w:sz w:val="22"/>
          <w:highlight w:val="none"/>
        </w:rPr>
      </w:pPr>
      <w:r>
        <w:rPr>
          <w:rFonts w:hint="eastAsia" w:ascii="宋体" w:hAnsi="宋体" w:eastAsia="宋体" w:cs="仿宋"/>
          <w:b/>
          <w:bCs/>
          <w:color w:val="auto"/>
          <w:kern w:val="0"/>
          <w:sz w:val="22"/>
          <w:highlight w:val="none"/>
        </w:rPr>
        <w:t xml:space="preserve">第一条 </w:t>
      </w:r>
      <w:r>
        <w:rPr>
          <w:rFonts w:hint="eastAsia" w:ascii="宋体" w:hAnsi="宋体" w:eastAsia="宋体" w:cs="仿宋"/>
          <w:color w:val="auto"/>
          <w:kern w:val="0"/>
          <w:sz w:val="22"/>
          <w:highlight w:val="none"/>
        </w:rPr>
        <w:t>在投保安全生产责任保险（以下简称“主险”）的基础上，投保人可以投保本附加险。凡涉及本附加险合同的约定，均应采用书面形式。</w:t>
      </w:r>
    </w:p>
    <w:p w14:paraId="3BFD3455">
      <w:pPr>
        <w:widowControl/>
        <w:tabs>
          <w:tab w:val="left" w:pos="1134"/>
          <w:tab w:val="left" w:pos="1418"/>
        </w:tabs>
        <w:adjustRightInd w:val="0"/>
        <w:spacing w:line="460" w:lineRule="exact"/>
        <w:ind w:firstLine="442" w:firstLineChars="200"/>
        <w:rPr>
          <w:rFonts w:ascii="宋体" w:hAnsi="宋体" w:eastAsia="宋体" w:cs="仿宋"/>
          <w:b/>
          <w:bCs/>
          <w:color w:val="auto"/>
          <w:kern w:val="0"/>
          <w:sz w:val="22"/>
          <w:highlight w:val="none"/>
        </w:rPr>
      </w:pPr>
      <w:r>
        <w:rPr>
          <w:rFonts w:hint="eastAsia" w:ascii="宋体" w:hAnsi="宋体" w:eastAsia="宋体" w:cs="仿宋"/>
          <w:b/>
          <w:bCs/>
          <w:color w:val="auto"/>
          <w:kern w:val="0"/>
          <w:sz w:val="22"/>
          <w:highlight w:val="none"/>
        </w:rPr>
        <w:t xml:space="preserve">第二条 </w:t>
      </w:r>
      <w:r>
        <w:rPr>
          <w:rFonts w:hint="eastAsia" w:ascii="宋体" w:hAnsi="宋体" w:eastAsia="宋体" w:cs="仿宋"/>
          <w:color w:val="auto"/>
          <w:kern w:val="0"/>
          <w:sz w:val="22"/>
          <w:highlight w:val="none"/>
        </w:rPr>
        <w:t>主险合同效力终止，本附加险合同效力亦同时终止；主险合同无效，本附加险合同亦无效。本附加险合同未约定事项，以主险合同的约定为准；本附加险合同与主险合同的约定若有相抵触之处，以本附加险合同为准。</w:t>
      </w:r>
    </w:p>
    <w:p w14:paraId="2944BB08">
      <w:pPr>
        <w:snapToGrid w:val="0"/>
        <w:spacing w:after="156" w:afterLines="50" w:line="460" w:lineRule="exact"/>
        <w:jc w:val="center"/>
        <w:rPr>
          <w:rFonts w:ascii="宋体" w:hAnsi="宋体" w:eastAsia="宋体" w:cs="Times New Roman"/>
          <w:b/>
          <w:bCs/>
          <w:color w:val="auto"/>
          <w:sz w:val="22"/>
          <w:highlight w:val="none"/>
        </w:rPr>
      </w:pPr>
      <w:r>
        <w:rPr>
          <w:rFonts w:hint="eastAsia" w:ascii="宋体" w:hAnsi="宋体" w:eastAsia="宋体" w:cs="Times New Roman"/>
          <w:b/>
          <w:bCs/>
          <w:color w:val="auto"/>
          <w:sz w:val="22"/>
          <w:highlight w:val="none"/>
        </w:rPr>
        <w:t>保险责任</w:t>
      </w:r>
    </w:p>
    <w:p w14:paraId="1C729F8F">
      <w:pPr>
        <w:widowControl/>
        <w:tabs>
          <w:tab w:val="left" w:pos="1134"/>
          <w:tab w:val="left" w:pos="1418"/>
        </w:tabs>
        <w:adjustRightInd w:val="0"/>
        <w:spacing w:line="460" w:lineRule="exact"/>
        <w:ind w:firstLine="442" w:firstLineChars="200"/>
        <w:rPr>
          <w:rFonts w:ascii="宋体" w:hAnsi="宋体" w:eastAsia="宋体" w:cs="仿宋"/>
          <w:b/>
          <w:bCs/>
          <w:color w:val="auto"/>
          <w:kern w:val="0"/>
          <w:sz w:val="22"/>
          <w:highlight w:val="none"/>
        </w:rPr>
      </w:pPr>
      <w:r>
        <w:rPr>
          <w:rFonts w:hint="eastAsia" w:ascii="宋体" w:hAnsi="宋体" w:eastAsia="宋体" w:cs="仿宋"/>
          <w:b/>
          <w:bCs/>
          <w:color w:val="auto"/>
          <w:kern w:val="0"/>
          <w:sz w:val="22"/>
          <w:highlight w:val="none"/>
        </w:rPr>
        <w:t xml:space="preserve">第三条 </w:t>
      </w:r>
      <w:r>
        <w:rPr>
          <w:rFonts w:hint="eastAsia" w:ascii="宋体" w:hAnsi="宋体" w:eastAsia="宋体" w:cs="仿宋"/>
          <w:color w:val="auto"/>
          <w:kern w:val="0"/>
          <w:sz w:val="22"/>
          <w:highlight w:val="none"/>
        </w:rPr>
        <w:t>主险条款第四条列明的情形中限定承保时间范围的，本附加险扩展至保险期间内全天24小时，而不论是否在工作期间。被保险人的从业人员在此期间因发生意外事故导致其遭受人身损害，依照中华人民共和国法律（不包括港澳台地区法律）应由被保险人承担的死亡赔偿金、残疾赔偿金或医疗费用赔偿，保险人按照本附加险合同的约定负责赔偿。</w:t>
      </w:r>
    </w:p>
    <w:p w14:paraId="66EEAC0B">
      <w:pPr>
        <w:snapToGrid w:val="0"/>
        <w:spacing w:after="156" w:afterLines="50" w:line="460" w:lineRule="exact"/>
        <w:jc w:val="center"/>
        <w:rPr>
          <w:rFonts w:ascii="宋体" w:hAnsi="宋体" w:eastAsia="宋体" w:cs="Times New Roman"/>
          <w:b/>
          <w:bCs/>
          <w:color w:val="auto"/>
          <w:sz w:val="22"/>
          <w:highlight w:val="none"/>
        </w:rPr>
      </w:pPr>
      <w:r>
        <w:rPr>
          <w:rFonts w:hint="eastAsia" w:ascii="宋体" w:hAnsi="宋体" w:eastAsia="宋体" w:cs="Times New Roman"/>
          <w:b/>
          <w:bCs/>
          <w:color w:val="auto"/>
          <w:sz w:val="22"/>
          <w:highlight w:val="none"/>
        </w:rPr>
        <w:t>责任免除</w:t>
      </w:r>
    </w:p>
    <w:p w14:paraId="19B44B86">
      <w:pPr>
        <w:snapToGrid w:val="0"/>
        <w:spacing w:after="156" w:afterLines="50" w:line="460" w:lineRule="exact"/>
        <w:ind w:firstLine="442" w:firstLineChars="200"/>
        <w:rPr>
          <w:rFonts w:ascii="宋体" w:hAnsi="宋体" w:eastAsia="宋体" w:cs="Times New Roman"/>
          <w:color w:val="auto"/>
          <w:sz w:val="22"/>
          <w:highlight w:val="none"/>
        </w:rPr>
      </w:pPr>
      <w:r>
        <w:rPr>
          <w:rFonts w:hint="eastAsia" w:ascii="宋体" w:hAnsi="宋体" w:eastAsia="宋体" w:cs="Times New Roman"/>
          <w:b/>
          <w:bCs/>
          <w:color w:val="auto"/>
          <w:sz w:val="22"/>
          <w:highlight w:val="none"/>
        </w:rPr>
        <w:t>第四条</w:t>
      </w:r>
      <w:r>
        <w:rPr>
          <w:rFonts w:hint="eastAsia" w:ascii="宋体" w:hAnsi="宋体" w:eastAsia="宋体" w:cs="Times New Roman"/>
          <w:color w:val="auto"/>
          <w:sz w:val="22"/>
          <w:highlight w:val="none"/>
        </w:rPr>
        <w:t xml:space="preserve"> 被保险人的从业人员因下列原因遭受人身损害的，保险人不负责赔偿：</w:t>
      </w:r>
    </w:p>
    <w:p w14:paraId="71D10D9E">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（一）战争、战乱、反叛、罢工、暴乱、动乱以及核辐射；</w:t>
      </w:r>
    </w:p>
    <w:p w14:paraId="047A81CF">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（二）疾病、传染病、生育、怀孕；</w:t>
      </w:r>
    </w:p>
    <w:p w14:paraId="7574226A">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（三）自残、自杀以及因药物或酒精导致的犯罪或失常行为；</w:t>
      </w:r>
    </w:p>
    <w:p w14:paraId="09814579">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（四）打架、酗酒、吸毒、精神错乱以及参加高风险运动 。</w:t>
      </w:r>
    </w:p>
    <w:p w14:paraId="0BC40D72">
      <w:pPr>
        <w:snapToGrid w:val="0"/>
        <w:spacing w:after="156" w:afterLines="50" w:line="460" w:lineRule="exact"/>
        <w:ind w:firstLine="442" w:firstLineChars="200"/>
        <w:rPr>
          <w:rFonts w:ascii="宋体" w:hAnsi="宋体" w:eastAsia="宋体" w:cs="Times New Roman"/>
          <w:color w:val="auto"/>
          <w:sz w:val="22"/>
          <w:highlight w:val="none"/>
        </w:rPr>
      </w:pPr>
      <w:r>
        <w:rPr>
          <w:rFonts w:hint="eastAsia" w:ascii="宋体" w:hAnsi="宋体" w:eastAsia="宋体" w:cs="Times New Roman"/>
          <w:b/>
          <w:bCs/>
          <w:color w:val="auto"/>
          <w:sz w:val="22"/>
          <w:highlight w:val="none"/>
        </w:rPr>
        <w:t>第五条</w:t>
      </w:r>
      <w:r>
        <w:rPr>
          <w:rFonts w:hint="eastAsia" w:ascii="宋体" w:hAnsi="宋体" w:eastAsia="宋体" w:cs="Times New Roman"/>
          <w:color w:val="auto"/>
          <w:sz w:val="22"/>
          <w:highlight w:val="none"/>
        </w:rPr>
        <w:t xml:space="preserve"> 主险约定的责任免除事项，未列入本附加险保险责任的，也适用于本附加险 。</w:t>
      </w:r>
    </w:p>
    <w:p w14:paraId="2D72D992">
      <w:pPr>
        <w:snapToGrid w:val="0"/>
        <w:spacing w:after="156" w:afterLines="50" w:line="460" w:lineRule="exact"/>
        <w:jc w:val="center"/>
        <w:rPr>
          <w:rFonts w:ascii="宋体" w:hAnsi="宋体" w:eastAsia="宋体" w:cs="Times New Roman"/>
          <w:b/>
          <w:bCs/>
          <w:color w:val="auto"/>
          <w:sz w:val="22"/>
          <w:highlight w:val="none"/>
        </w:rPr>
      </w:pPr>
      <w:r>
        <w:rPr>
          <w:rFonts w:hint="eastAsia" w:ascii="宋体" w:hAnsi="宋体" w:eastAsia="宋体" w:cs="Times New Roman"/>
          <w:b/>
          <w:bCs/>
          <w:color w:val="auto"/>
          <w:sz w:val="22"/>
          <w:highlight w:val="none"/>
        </w:rPr>
        <w:t>责任限额</w:t>
      </w:r>
    </w:p>
    <w:p w14:paraId="5A5BDB7B">
      <w:pPr>
        <w:widowControl/>
        <w:tabs>
          <w:tab w:val="left" w:pos="1134"/>
          <w:tab w:val="left" w:pos="1418"/>
        </w:tabs>
        <w:adjustRightInd w:val="0"/>
        <w:spacing w:line="460" w:lineRule="exact"/>
        <w:ind w:firstLine="442" w:firstLineChars="200"/>
        <w:rPr>
          <w:rFonts w:ascii="宋体" w:hAnsi="宋体" w:eastAsia="宋体" w:cs="仿宋"/>
          <w:color w:val="auto"/>
          <w:kern w:val="0"/>
          <w:sz w:val="22"/>
          <w:highlight w:val="none"/>
        </w:rPr>
      </w:pPr>
      <w:r>
        <w:rPr>
          <w:rFonts w:hint="eastAsia" w:ascii="宋体" w:hAnsi="宋体" w:eastAsia="宋体" w:cs="仿宋"/>
          <w:b/>
          <w:bCs/>
          <w:color w:val="auto"/>
          <w:kern w:val="0"/>
          <w:sz w:val="22"/>
          <w:highlight w:val="none"/>
        </w:rPr>
        <w:t xml:space="preserve">第六条 </w:t>
      </w:r>
      <w:r>
        <w:rPr>
          <w:rFonts w:hint="eastAsia" w:ascii="宋体" w:hAnsi="宋体" w:eastAsia="宋体" w:cs="仿宋"/>
          <w:color w:val="auto"/>
          <w:kern w:val="0"/>
          <w:sz w:val="22"/>
          <w:highlight w:val="none"/>
        </w:rPr>
        <w:t>除另有约定外，本附加险合同项下的责任限额包括累计责任限额、每次事故责任限额、每次事故每人死亡残疾责任限额、每次事故每人医疗费用责任限额，由投保人、保险人协商确定，并在保险合同中载明。</w:t>
      </w:r>
    </w:p>
    <w:p w14:paraId="6EDBFB8E">
      <w:pPr>
        <w:widowControl/>
        <w:tabs>
          <w:tab w:val="left" w:pos="1134"/>
          <w:tab w:val="left" w:pos="1418"/>
        </w:tabs>
        <w:adjustRightInd w:val="0"/>
        <w:spacing w:line="460" w:lineRule="exact"/>
        <w:ind w:firstLine="440" w:firstLineChars="200"/>
        <w:rPr>
          <w:rFonts w:ascii="宋体" w:hAnsi="宋体" w:eastAsia="宋体" w:cs="仿宋"/>
          <w:color w:val="auto"/>
          <w:kern w:val="0"/>
          <w:sz w:val="22"/>
          <w:highlight w:val="none"/>
        </w:rPr>
      </w:pPr>
      <w:r>
        <w:rPr>
          <w:rFonts w:hint="eastAsia" w:ascii="宋体" w:hAnsi="宋体" w:eastAsia="宋体" w:cs="仿宋"/>
          <w:color w:val="auto"/>
          <w:kern w:val="0"/>
          <w:sz w:val="22"/>
          <w:highlight w:val="none"/>
        </w:rPr>
        <w:t>上述责任限额包含在主险合同项下对应的责任限额之内，而不是在其基础上的累加。</w:t>
      </w:r>
    </w:p>
    <w:p w14:paraId="25A414CE">
      <w:pPr>
        <w:snapToGrid w:val="0"/>
        <w:spacing w:after="156" w:afterLines="50" w:line="460" w:lineRule="exact"/>
        <w:jc w:val="center"/>
        <w:rPr>
          <w:rFonts w:ascii="宋体" w:hAnsi="宋体" w:eastAsia="宋体" w:cs="Times New Roman"/>
          <w:color w:val="auto"/>
          <w:sz w:val="22"/>
          <w:highlight w:val="none"/>
        </w:rPr>
      </w:pPr>
      <w:r>
        <w:rPr>
          <w:rFonts w:hint="eastAsia" w:ascii="宋体" w:hAnsi="宋体" w:eastAsia="宋体" w:cs="Times New Roman"/>
          <w:b/>
          <w:bCs/>
          <w:color w:val="auto"/>
          <w:sz w:val="22"/>
          <w:highlight w:val="none"/>
        </w:rPr>
        <w:t>释义</w:t>
      </w:r>
    </w:p>
    <w:p w14:paraId="45B69A7F">
      <w:pPr>
        <w:widowControl/>
        <w:tabs>
          <w:tab w:val="left" w:pos="1134"/>
          <w:tab w:val="left" w:pos="1418"/>
        </w:tabs>
        <w:adjustRightInd w:val="0"/>
        <w:spacing w:line="460" w:lineRule="exact"/>
        <w:ind w:firstLine="442" w:firstLineChars="200"/>
        <w:rPr>
          <w:rFonts w:ascii="等线" w:hAnsi="等线" w:eastAsia="等线" w:cs="仿宋"/>
          <w:b/>
          <w:bCs/>
          <w:color w:val="auto"/>
          <w:kern w:val="0"/>
          <w:sz w:val="22"/>
          <w:highlight w:val="none"/>
        </w:rPr>
      </w:pPr>
      <w:r>
        <w:rPr>
          <w:rFonts w:hint="eastAsia" w:ascii="宋体" w:hAnsi="宋体" w:eastAsia="宋体" w:cs="仿宋"/>
          <w:b/>
          <w:bCs/>
          <w:color w:val="auto"/>
          <w:kern w:val="0"/>
          <w:sz w:val="22"/>
          <w:highlight w:val="none"/>
        </w:rPr>
        <w:t>【高风险运动】</w:t>
      </w:r>
      <w:r>
        <w:rPr>
          <w:rFonts w:hint="eastAsia" w:ascii="宋体" w:hAnsi="宋体" w:eastAsia="宋体" w:cs="仿宋"/>
          <w:color w:val="auto"/>
          <w:kern w:val="0"/>
          <w:sz w:val="22"/>
          <w:highlight w:val="none"/>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0A23B1C4">
      <w:pPr>
        <w:snapToGrid w:val="0"/>
        <w:spacing w:before="312" w:beforeLines="100" w:after="156" w:afterLines="50" w:line="460" w:lineRule="exact"/>
        <w:jc w:val="center"/>
        <w:rPr>
          <w:rFonts w:ascii="黑体" w:hAnsi="黑体" w:eastAsia="黑体" w:cs="Times New Roman"/>
          <w:bCs/>
          <w:color w:val="auto"/>
          <w:sz w:val="24"/>
          <w:szCs w:val="24"/>
          <w:highlight w:val="none"/>
        </w:rPr>
      </w:pPr>
      <w:bookmarkStart w:id="68" w:name="_Toc12801_WPSOffice_Level1"/>
      <w:r>
        <w:rPr>
          <w:rFonts w:hint="eastAsia" w:ascii="黑体" w:hAnsi="黑体" w:eastAsia="黑体" w:cs="Times New Roman"/>
          <w:bCs/>
          <w:color w:val="auto"/>
          <w:sz w:val="24"/>
          <w:szCs w:val="24"/>
          <w:highlight w:val="none"/>
        </w:rPr>
        <w:t>2、安全生产责任保险附加雇主责任扩展保险条款</w:t>
      </w:r>
      <w:bookmarkEnd w:id="68"/>
    </w:p>
    <w:p w14:paraId="1E0C74DC">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兹经投保人与保险人双方同意，本附加险扩展承保在保险期间内，被保险人的工作人员因下列原因导致人身伤亡，依照中华人民共和国法律（不包括香港、澳门特别行政区和台湾地区法律）应由被保险人承担的经济赔偿责任，保险人按照主险及本附加险合同的约定负责赔偿:</w:t>
      </w:r>
    </w:p>
    <w:p w14:paraId="0CB1168F">
      <w:pPr>
        <w:numPr>
          <w:ilvl w:val="0"/>
          <w:numId w:val="21"/>
        </w:numPr>
        <w:tabs>
          <w:tab w:val="left" w:pos="1134"/>
        </w:tabs>
        <w:snapToGrid w:val="0"/>
        <w:spacing w:after="156" w:afterLines="50" w:line="460" w:lineRule="exact"/>
        <w:rPr>
          <w:rFonts w:ascii="宋体" w:hAnsi="宋体" w:eastAsia="宋体" w:cs="Times New Roman"/>
          <w:color w:val="auto"/>
          <w:sz w:val="22"/>
          <w:highlight w:val="none"/>
        </w:rPr>
      </w:pPr>
      <w:r>
        <w:rPr>
          <w:rFonts w:hint="eastAsia" w:ascii="宋体" w:hAnsi="宋体" w:eastAsia="宋体" w:cs="Times New Roman"/>
          <w:color w:val="auto"/>
          <w:sz w:val="22"/>
          <w:highlight w:val="none"/>
        </w:rPr>
        <w:t>在工作时间及工作场所内，因工作原因受到安全生产事故以外的其他意外伤害；</w:t>
      </w:r>
    </w:p>
    <w:p w14:paraId="7A65FB7C">
      <w:pPr>
        <w:numPr>
          <w:ilvl w:val="0"/>
          <w:numId w:val="21"/>
        </w:numPr>
        <w:tabs>
          <w:tab w:val="left" w:pos="1134"/>
        </w:tabs>
        <w:snapToGrid w:val="0"/>
        <w:spacing w:after="156" w:afterLines="50" w:line="460" w:lineRule="exact"/>
        <w:rPr>
          <w:rFonts w:ascii="宋体" w:hAnsi="宋体" w:eastAsia="宋体" w:cs="Times New Roman"/>
          <w:color w:val="auto"/>
          <w:sz w:val="22"/>
          <w:highlight w:val="none"/>
        </w:rPr>
      </w:pPr>
      <w:r>
        <w:rPr>
          <w:rFonts w:hint="eastAsia" w:ascii="宋体" w:hAnsi="宋体" w:eastAsia="宋体" w:cs="Times New Roman"/>
          <w:color w:val="auto"/>
          <w:sz w:val="22"/>
          <w:highlight w:val="none"/>
        </w:rPr>
        <w:t>在工作时间前后，在工作场所内，从事与履行其工作职责有关的预备性或者收尾性工作受到安全生产事故以外的其他意外伤害。</w:t>
      </w:r>
    </w:p>
    <w:p w14:paraId="31CF48B6">
      <w:pPr>
        <w:snapToGrid w:val="0"/>
        <w:spacing w:after="156" w:afterLines="50" w:line="460" w:lineRule="exact"/>
        <w:ind w:firstLine="442" w:firstLineChars="200"/>
        <w:rPr>
          <w:rFonts w:ascii="宋体" w:hAnsi="宋体" w:eastAsia="宋体" w:cs="Times New Roman"/>
          <w:b/>
          <w:color w:val="auto"/>
          <w:sz w:val="22"/>
          <w:highlight w:val="none"/>
        </w:rPr>
      </w:pPr>
      <w:r>
        <w:rPr>
          <w:rFonts w:hint="eastAsia" w:ascii="宋体" w:hAnsi="宋体" w:eastAsia="宋体" w:cs="Times New Roman"/>
          <w:b/>
          <w:color w:val="auto"/>
          <w:sz w:val="22"/>
          <w:highlight w:val="none"/>
        </w:rPr>
        <w:t>主险中责任免除事项未纳入本附加险保险责任的，同样适用于本附加险。</w:t>
      </w:r>
    </w:p>
    <w:p w14:paraId="505FC0D5">
      <w:pPr>
        <w:spacing w:after="156" w:afterLines="50" w:line="460" w:lineRule="exact"/>
        <w:ind w:firstLine="442" w:firstLineChars="200"/>
        <w:rPr>
          <w:rFonts w:ascii="Calibri" w:hAnsi="Calibri" w:eastAsia="宋体" w:cs="Times New Roman"/>
          <w:b/>
          <w:color w:val="auto"/>
          <w:sz w:val="22"/>
          <w:highlight w:val="none"/>
        </w:rPr>
      </w:pPr>
      <w:r>
        <w:rPr>
          <w:rFonts w:hint="eastAsia" w:ascii="宋体" w:hAnsi="宋体" w:eastAsia="宋体" w:cs="Times New Roman"/>
          <w:b/>
          <w:color w:val="auto"/>
          <w:sz w:val="22"/>
          <w:highlight w:val="none"/>
        </w:rPr>
        <w:t>本附加险与主险相抵触之处，以本附加险为准；本附加险未尽之处，以主险为准。</w:t>
      </w:r>
      <w:r>
        <w:rPr>
          <w:rFonts w:hint="eastAsia" w:ascii="Calibri" w:hAnsi="Calibri" w:eastAsia="宋体" w:cs="Times New Roman"/>
          <w:b/>
          <w:color w:val="auto"/>
          <w:sz w:val="22"/>
          <w:highlight w:val="none"/>
        </w:rPr>
        <w:t>主险合同效力终止，本附加险合同效力即行终止。</w:t>
      </w:r>
    </w:p>
    <w:p w14:paraId="1F1B1469">
      <w:pPr>
        <w:snapToGrid w:val="0"/>
        <w:spacing w:before="312" w:beforeLines="100" w:after="156" w:afterLines="50" w:line="460" w:lineRule="exact"/>
        <w:jc w:val="center"/>
        <w:rPr>
          <w:rFonts w:ascii="黑体" w:hAnsi="黑体" w:eastAsia="黑体" w:cs="Times New Roman"/>
          <w:bCs/>
          <w:color w:val="auto"/>
          <w:sz w:val="24"/>
          <w:szCs w:val="24"/>
          <w:highlight w:val="none"/>
        </w:rPr>
      </w:pPr>
      <w:bookmarkStart w:id="69" w:name="_Toc27336_WPSOffice_Level1"/>
      <w:r>
        <w:rPr>
          <w:rFonts w:hint="eastAsia" w:ascii="黑体" w:hAnsi="黑体" w:eastAsia="黑体" w:cs="Times New Roman"/>
          <w:bCs/>
          <w:color w:val="auto"/>
          <w:sz w:val="24"/>
          <w:szCs w:val="24"/>
          <w:highlight w:val="none"/>
        </w:rPr>
        <w:t>3、安全生产责任保险附加就餐时间扩展条款</w:t>
      </w:r>
      <w:bookmarkEnd w:id="69"/>
    </w:p>
    <w:p w14:paraId="6379D00E">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兹经投保人与保险人双方同意，本附加险扩展承保被保险人的工作人员在保险单列明的地点范围内就餐过程中因意外导致人身伤亡，依照中华人民共和国法律（不包括香港、澳门特别行政区和台湾地区法律）应由被保险人承担的经济赔偿责任，保险人按照主险及本附加险合同的约定负责赔偿。</w:t>
      </w:r>
    </w:p>
    <w:p w14:paraId="51D21336">
      <w:pPr>
        <w:snapToGrid w:val="0"/>
        <w:spacing w:after="156" w:afterLines="50" w:line="460" w:lineRule="exact"/>
        <w:ind w:firstLine="442" w:firstLineChars="200"/>
        <w:rPr>
          <w:rFonts w:ascii="宋体" w:hAnsi="宋体" w:eastAsia="宋体" w:cs="Times New Roman"/>
          <w:b/>
          <w:color w:val="auto"/>
          <w:sz w:val="22"/>
          <w:highlight w:val="none"/>
        </w:rPr>
      </w:pPr>
      <w:r>
        <w:rPr>
          <w:rFonts w:hint="eastAsia" w:ascii="宋体" w:hAnsi="宋体" w:eastAsia="宋体" w:cs="Times New Roman"/>
          <w:b/>
          <w:color w:val="auto"/>
          <w:sz w:val="22"/>
          <w:highlight w:val="none"/>
        </w:rPr>
        <w:t>主险中责任免除事项未纳入本附加险保险责任的，同样适用于本附加险。</w:t>
      </w:r>
    </w:p>
    <w:p w14:paraId="00084FD9">
      <w:pPr>
        <w:snapToGrid w:val="0"/>
        <w:spacing w:after="156" w:afterLines="50" w:line="460" w:lineRule="exact"/>
        <w:ind w:firstLine="440" w:firstLineChars="200"/>
        <w:rPr>
          <w:rFonts w:ascii="宋体" w:hAnsi="宋体" w:eastAsia="宋体" w:cs="宋体"/>
          <w:b/>
          <w:color w:val="auto"/>
          <w:sz w:val="22"/>
          <w:highlight w:val="none"/>
        </w:rPr>
      </w:pPr>
      <w:r>
        <w:rPr>
          <w:rFonts w:hint="eastAsia" w:ascii="宋体" w:hAnsi="宋体" w:eastAsia="宋体" w:cs="Times New Roman"/>
          <w:color w:val="auto"/>
          <w:sz w:val="22"/>
          <w:highlight w:val="none"/>
        </w:rPr>
        <w:t>本附加险与主险相抵触之处，以本附加险为准；本附加险未尽之处，以主险为准。</w:t>
      </w:r>
      <w:r>
        <w:rPr>
          <w:rFonts w:hint="eastAsia" w:ascii="Calibri" w:hAnsi="Calibri" w:eastAsia="宋体" w:cs="Times New Roman"/>
          <w:color w:val="auto"/>
          <w:sz w:val="22"/>
          <w:highlight w:val="none"/>
        </w:rPr>
        <w:t>主险合同效力终止，本附加险合同效力即行终止。</w:t>
      </w:r>
    </w:p>
    <w:p w14:paraId="222DEE37">
      <w:pPr>
        <w:snapToGrid w:val="0"/>
        <w:spacing w:before="312" w:beforeLines="100" w:after="156" w:afterLines="50" w:line="460" w:lineRule="exact"/>
        <w:jc w:val="center"/>
        <w:rPr>
          <w:rFonts w:ascii="黑体" w:hAnsi="黑体" w:eastAsia="黑体" w:cs="Times New Roman"/>
          <w:bCs/>
          <w:color w:val="auto"/>
          <w:sz w:val="24"/>
          <w:szCs w:val="24"/>
          <w:highlight w:val="none"/>
        </w:rPr>
      </w:pPr>
      <w:bookmarkStart w:id="70" w:name="_Toc4393_WPSOffice_Level1"/>
      <w:r>
        <w:rPr>
          <w:rFonts w:hint="eastAsia" w:ascii="黑体" w:hAnsi="黑体" w:eastAsia="黑体" w:cs="Times New Roman"/>
          <w:bCs/>
          <w:color w:val="auto"/>
          <w:sz w:val="24"/>
          <w:szCs w:val="24"/>
          <w:highlight w:val="none"/>
        </w:rPr>
        <w:t>4、</w:t>
      </w:r>
      <w:r>
        <w:rPr>
          <w:color w:val="auto"/>
          <w:highlight w:val="none"/>
        </w:rPr>
        <w:fldChar w:fldCharType="begin"/>
      </w:r>
      <w:r>
        <w:rPr>
          <w:color w:val="auto"/>
          <w:highlight w:val="none"/>
        </w:rPr>
        <w:instrText xml:space="preserve"> HYPERLINK "http://app.cc</w:instrText>
      </w:r>
      <w:bookmarkEnd w:id="70"/>
      <w:r>
        <w:rPr>
          <w:color w:val="auto"/>
          <w:highlight w:val="none"/>
        </w:rPr>
        <w:instrText xml:space="preserve">ic-net.com.cn:27347/ccicpms/a/ccic/product/view?productId=IC20180524000132&amp;flowId=&amp;inside=NO" </w:instrText>
      </w:r>
      <w:r>
        <w:rPr>
          <w:color w:val="auto"/>
          <w:highlight w:val="none"/>
        </w:rPr>
        <w:fldChar w:fldCharType="separate"/>
      </w:r>
      <w:r>
        <w:rPr>
          <w:rFonts w:hint="eastAsia" w:ascii="黑体" w:hAnsi="黑体" w:eastAsia="黑体" w:cs="Times New Roman"/>
          <w:bCs/>
          <w:color w:val="auto"/>
          <w:sz w:val="24"/>
          <w:szCs w:val="24"/>
          <w:highlight w:val="none"/>
        </w:rPr>
        <w:t>安全生产责任保险</w:t>
      </w:r>
      <w:r>
        <w:rPr>
          <w:rFonts w:hint="eastAsia" w:ascii="黑体" w:hAnsi="黑体" w:eastAsia="黑体" w:cs="Times New Roman"/>
          <w:bCs/>
          <w:color w:val="auto"/>
          <w:sz w:val="24"/>
          <w:szCs w:val="24"/>
          <w:highlight w:val="none"/>
        </w:rPr>
        <w:fldChar w:fldCharType="end"/>
      </w:r>
      <w:r>
        <w:rPr>
          <w:rFonts w:hint="eastAsia" w:ascii="黑体" w:hAnsi="黑体" w:eastAsia="黑体" w:cs="Times New Roman"/>
          <w:bCs/>
          <w:color w:val="auto"/>
          <w:sz w:val="24"/>
          <w:szCs w:val="24"/>
          <w:highlight w:val="none"/>
        </w:rPr>
        <w:t>附加生产安全事故证明补充约定保险条款</w:t>
      </w:r>
    </w:p>
    <w:p w14:paraId="74919BC6">
      <w:pPr>
        <w:snapToGrid w:val="0"/>
        <w:spacing w:after="156" w:afterLines="50" w:line="460" w:lineRule="exact"/>
        <w:ind w:firstLine="440" w:firstLineChars="200"/>
        <w:rPr>
          <w:rFonts w:ascii="宋体" w:hAnsi="宋体" w:eastAsia="宋体" w:cs="Times New Roman"/>
          <w:color w:val="auto"/>
          <w:sz w:val="22"/>
          <w:highlight w:val="none"/>
        </w:rPr>
      </w:pPr>
      <w:r>
        <w:rPr>
          <w:rFonts w:hint="eastAsia" w:ascii="宋体" w:hAnsi="宋体" w:eastAsia="宋体" w:cs="Times New Roman"/>
          <w:color w:val="auto"/>
          <w:sz w:val="22"/>
          <w:highlight w:val="none"/>
        </w:rPr>
        <w:t>兹明确，在保险期间内，发生主险保险合同约定的生产安全事故后，被保险人虽然未能提供安全生产监督管理部门出具的事故证明材料，但提供了保险人认可的、可以证明其发生了生产安全事故的其他事故证明材料的，保险人同意按照主险保险合同的约定负责赔偿。</w:t>
      </w:r>
    </w:p>
    <w:p w14:paraId="3D15DAE3">
      <w:pPr>
        <w:rPr>
          <w:color w:val="auto"/>
          <w:highlight w:val="none"/>
        </w:rPr>
      </w:pPr>
    </w:p>
    <w:p w14:paraId="4C773CAC">
      <w:pPr>
        <w:pStyle w:val="51"/>
        <w:shd w:val="clear" w:color="auto" w:fill="auto"/>
        <w:rPr>
          <w:color w:val="auto"/>
          <w:highlight w:val="none"/>
        </w:rPr>
      </w:pPr>
    </w:p>
    <w:p w14:paraId="790DBED8">
      <w:pPr>
        <w:shd w:val="clear" w:color="auto" w:fill="auto"/>
        <w:rPr>
          <w:rFonts w:hint="eastAsia"/>
          <w:color w:val="auto"/>
          <w:highlight w:val="none"/>
        </w:rPr>
      </w:pPr>
    </w:p>
    <w:p w14:paraId="117C0F50">
      <w:pPr>
        <w:shd w:val="clear" w:color="auto" w:fill="auto"/>
        <w:rPr>
          <w:rFonts w:hint="eastAsia"/>
          <w:color w:val="auto"/>
          <w:highlight w:val="none"/>
        </w:rPr>
      </w:pPr>
    </w:p>
    <w:p w14:paraId="698BAD05">
      <w:pPr>
        <w:shd w:val="clear" w:color="auto" w:fill="auto"/>
        <w:rPr>
          <w:rFonts w:hint="eastAsia"/>
          <w:color w:val="auto"/>
          <w:highlight w:val="none"/>
        </w:rPr>
      </w:pPr>
    </w:p>
    <w:p w14:paraId="1B5B821C">
      <w:pPr>
        <w:shd w:val="clear" w:color="auto" w:fill="auto"/>
        <w:rPr>
          <w:rFonts w:hint="eastAsia"/>
          <w:color w:val="auto"/>
          <w:highlight w:val="none"/>
        </w:rPr>
      </w:pPr>
    </w:p>
    <w:p w14:paraId="5917FFDF">
      <w:pPr>
        <w:shd w:val="clear" w:color="auto" w:fill="auto"/>
        <w:rPr>
          <w:rFonts w:hint="eastAsia"/>
          <w:color w:val="auto"/>
          <w:highlight w:val="none"/>
        </w:rPr>
      </w:pPr>
      <w:r>
        <w:rPr>
          <w:rFonts w:hint="eastAsia"/>
          <w:color w:val="auto"/>
          <w:highlight w:val="none"/>
        </w:rPr>
        <w:br w:type="page"/>
      </w:r>
    </w:p>
    <w:p w14:paraId="4D5CE797">
      <w:pPr>
        <w:shd w:val="clear" w:color="auto" w:fill="auto"/>
        <w:rPr>
          <w:rFonts w:hint="eastAsia"/>
          <w:color w:val="auto"/>
          <w:highlight w:val="none"/>
        </w:rPr>
      </w:pPr>
    </w:p>
    <w:p w14:paraId="364DA83C">
      <w:pPr>
        <w:spacing w:line="360" w:lineRule="auto"/>
        <w:jc w:val="center"/>
        <w:rPr>
          <w:rFonts w:hint="eastAsia" w:ascii="宋体"/>
          <w:b/>
          <w:color w:val="auto"/>
          <w:sz w:val="36"/>
          <w:szCs w:val="36"/>
          <w:highlight w:val="none"/>
        </w:rPr>
      </w:pPr>
      <w:bookmarkStart w:id="71" w:name="_Toc17045_WPSOffice_Level1"/>
      <w:r>
        <w:rPr>
          <w:rFonts w:hint="eastAsia" w:ascii="宋体"/>
          <w:b/>
          <w:color w:val="auto"/>
          <w:sz w:val="36"/>
          <w:szCs w:val="36"/>
          <w:highlight w:val="none"/>
        </w:rPr>
        <w:t>第六章 投标文件格式</w:t>
      </w:r>
      <w:bookmarkEnd w:id="71"/>
    </w:p>
    <w:p w14:paraId="731C7BA0">
      <w:pPr>
        <w:spacing w:line="360" w:lineRule="auto"/>
        <w:ind w:right="532"/>
        <w:rPr>
          <w:rFonts w:hint="eastAsia" w:ascii="仿宋_GB2312" w:eastAsia="仿宋_GB2312"/>
          <w:b/>
          <w:color w:val="auto"/>
          <w:sz w:val="36"/>
          <w:szCs w:val="36"/>
          <w:highlight w:val="none"/>
        </w:rPr>
      </w:pPr>
    </w:p>
    <w:p w14:paraId="0E450886">
      <w:pPr>
        <w:spacing w:line="360" w:lineRule="auto"/>
        <w:jc w:val="both"/>
        <w:rPr>
          <w:rFonts w:hint="eastAsia" w:ascii="宋体" w:cs="宋体"/>
          <w:b/>
          <w:color w:val="auto"/>
          <w:sz w:val="30"/>
          <w:szCs w:val="30"/>
          <w:highlight w:val="none"/>
        </w:rPr>
      </w:pPr>
    </w:p>
    <w:p w14:paraId="3EF355BF">
      <w:pPr>
        <w:spacing w:line="360" w:lineRule="auto"/>
        <w:rPr>
          <w:rFonts w:hint="eastAsia" w:ascii="宋体" w:hAnsi="宋体" w:cs="宋体"/>
          <w:b/>
          <w:color w:val="auto"/>
          <w:sz w:val="44"/>
          <w:highlight w:val="none"/>
        </w:rPr>
      </w:pPr>
      <w:r>
        <w:rPr>
          <w:rFonts w:hint="eastAsia" w:ascii="宋体" w:cs="宋体"/>
          <w:b/>
          <w:color w:val="auto"/>
          <w:sz w:val="36"/>
          <w:szCs w:val="36"/>
          <w:highlight w:val="none"/>
        </w:rPr>
        <w:br w:type="pag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p>
    <w:p w14:paraId="20CF51E2">
      <w:pPr>
        <w:pStyle w:val="17"/>
        <w:spacing w:line="360" w:lineRule="auto"/>
        <w:ind w:left="0" w:leftChars="0" w:firstLine="0" w:firstLineChars="0"/>
        <w:jc w:val="center"/>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lang w:val="en-US" w:eastAsia="zh-CN"/>
        </w:rPr>
        <w:t>台州湾陆岛联动综合码头工程（一期）建筑工程一切险及安全生产责任险保险服务项目</w:t>
      </w:r>
    </w:p>
    <w:p w14:paraId="29841981">
      <w:pPr>
        <w:pStyle w:val="17"/>
        <w:spacing w:line="360" w:lineRule="auto"/>
        <w:ind w:left="0" w:leftChars="0" w:firstLine="0" w:firstLineChars="0"/>
        <w:jc w:val="center"/>
        <w:rPr>
          <w:rFonts w:hint="eastAsia" w:ascii="宋体" w:hAnsi="宋体" w:eastAsia="宋体" w:cs="宋体"/>
          <w:b/>
          <w:bCs/>
          <w:color w:val="auto"/>
          <w:szCs w:val="32"/>
          <w:highlight w:val="none"/>
          <w:lang w:val="en-US" w:eastAsia="zh-CN"/>
        </w:rPr>
      </w:pPr>
      <w:bookmarkStart w:id="72" w:name="_Toc28654_WPSOffice_Level1"/>
      <w:r>
        <w:rPr>
          <w:rFonts w:hint="eastAsia" w:ascii="宋体" w:hAnsi="宋体" w:eastAsia="宋体" w:cs="宋体"/>
          <w:b/>
          <w:bCs/>
          <w:color w:val="auto"/>
          <w:szCs w:val="32"/>
          <w:highlight w:val="none"/>
          <w:lang w:val="en-US" w:eastAsia="zh-CN"/>
        </w:rPr>
        <w:t>开标一览表</w:t>
      </w:r>
      <w:bookmarkEnd w:id="72"/>
    </w:p>
    <w:p w14:paraId="01A58207">
      <w:pPr>
        <w:pStyle w:val="17"/>
        <w:spacing w:line="360" w:lineRule="auto"/>
        <w:ind w:left="0" w:leftChars="0" w:firstLine="0" w:firstLineChars="0"/>
        <w:jc w:val="left"/>
        <w:rPr>
          <w:rFonts w:hint="default"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color w:val="auto"/>
          <w:kern w:val="0"/>
          <w:sz w:val="21"/>
          <w:szCs w:val="21"/>
          <w:highlight w:val="none"/>
          <w:u w:val="single"/>
          <w:lang w:eastAsia="zh-CN"/>
        </w:rPr>
        <w:t>台州西廊港口开发有限公司、中交第三航务工程局有限公司</w:t>
      </w:r>
      <w:r>
        <w:rPr>
          <w:rFonts w:hint="eastAsia" w:ascii="宋体" w:hAnsi="宋体" w:eastAsia="宋体" w:cs="宋体"/>
          <w:snapToGrid w:val="0"/>
          <w:color w:val="auto"/>
          <w:kern w:val="0"/>
          <w:sz w:val="21"/>
          <w:szCs w:val="21"/>
          <w:highlight w:val="none"/>
          <w:u w:val="none"/>
        </w:rPr>
        <w:t>：</w:t>
      </w:r>
      <w:r>
        <w:rPr>
          <w:rFonts w:hint="eastAsia" w:ascii="宋体" w:hAnsi="宋体" w:eastAsia="宋体" w:cs="宋体"/>
          <w:snapToGrid w:val="0"/>
          <w:color w:val="auto"/>
          <w:kern w:val="0"/>
          <w:sz w:val="21"/>
          <w:szCs w:val="21"/>
          <w:highlight w:val="none"/>
          <w:u w:val="none"/>
          <w:lang w:val="en-US" w:eastAsia="zh-CN"/>
        </w:rPr>
        <w:t xml:space="preserve"> </w:t>
      </w:r>
      <w:r>
        <w:rPr>
          <w:rFonts w:hint="eastAsia" w:ascii="宋体" w:hAnsi="宋体" w:eastAsia="宋体" w:cs="宋体"/>
          <w:snapToGrid w:val="0"/>
          <w:color w:val="auto"/>
          <w:kern w:val="0"/>
          <w:sz w:val="21"/>
          <w:szCs w:val="21"/>
          <w:highlight w:val="none"/>
          <w:u w:val="single"/>
          <w:lang w:val="en-US" w:eastAsia="zh-CN"/>
        </w:rPr>
        <w:t xml:space="preserve">   </w:t>
      </w:r>
    </w:p>
    <w:p w14:paraId="78E902A1">
      <w:pPr>
        <w:spacing w:line="6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一、根据己收到的</w:t>
      </w:r>
      <w:r>
        <w:rPr>
          <w:rFonts w:hint="eastAsia" w:ascii="宋体" w:hAnsi="宋体" w:eastAsia="宋体" w:cs="宋体"/>
          <w:snapToGrid w:val="0"/>
          <w:color w:val="auto"/>
          <w:kern w:val="0"/>
          <w:sz w:val="21"/>
          <w:szCs w:val="21"/>
          <w:highlight w:val="none"/>
          <w:u w:val="single"/>
          <w:lang w:val="en-US" w:eastAsia="zh-CN"/>
        </w:rPr>
        <w:t>台州湾陆岛联动综合码头工程（一期）建筑工程一切险及安全生产责任险保险服务项目</w:t>
      </w:r>
      <w:r>
        <w:rPr>
          <w:rFonts w:hint="eastAsia" w:ascii="宋体" w:hAnsi="宋体" w:eastAsia="宋体" w:cs="宋体"/>
          <w:color w:val="auto"/>
          <w:sz w:val="21"/>
          <w:szCs w:val="21"/>
          <w:highlight w:val="none"/>
        </w:rPr>
        <w:t>招</w:t>
      </w:r>
      <w:r>
        <w:rPr>
          <w:rFonts w:hint="eastAsia" w:ascii="宋体" w:hAnsi="宋体" w:eastAsia="宋体" w:cs="宋体"/>
          <w:snapToGrid w:val="0"/>
          <w:color w:val="auto"/>
          <w:kern w:val="0"/>
          <w:sz w:val="21"/>
          <w:szCs w:val="21"/>
          <w:highlight w:val="none"/>
        </w:rPr>
        <w:t>标文件，我单位经考察现场和研究上述项目的招标文件后，</w:t>
      </w:r>
      <w:r>
        <w:rPr>
          <w:rFonts w:hint="eastAsia" w:ascii="宋体" w:hAnsi="宋体" w:eastAsia="宋体" w:cs="宋体"/>
          <w:snapToGrid w:val="0"/>
          <w:color w:val="auto"/>
          <w:w w:val="107"/>
          <w:kern w:val="0"/>
          <w:sz w:val="21"/>
          <w:szCs w:val="21"/>
          <w:highlight w:val="none"/>
        </w:rPr>
        <w:t>我方愿以</w:t>
      </w:r>
      <w:r>
        <w:rPr>
          <w:rFonts w:hint="eastAsia" w:ascii="宋体" w:hAnsi="宋体" w:eastAsia="宋体" w:cs="宋体"/>
          <w:color w:val="auto"/>
          <w:sz w:val="21"/>
          <w:szCs w:val="21"/>
          <w:highlight w:val="none"/>
        </w:rPr>
        <w:t>保险服务费</w:t>
      </w:r>
      <w:r>
        <w:rPr>
          <w:rFonts w:hint="eastAsia" w:ascii="宋体" w:hAnsi="宋体" w:eastAsia="宋体" w:cs="宋体"/>
          <w:snapToGrid w:val="0"/>
          <w:color w:val="auto"/>
          <w:w w:val="107"/>
          <w:kern w:val="0"/>
          <w:sz w:val="21"/>
          <w:szCs w:val="21"/>
          <w:highlight w:val="none"/>
        </w:rPr>
        <w:t>总报价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snapToGrid w:val="0"/>
          <w:color w:val="auto"/>
          <w:kern w:val="0"/>
          <w:sz w:val="21"/>
          <w:szCs w:val="21"/>
          <w:highlight w:val="none"/>
        </w:rPr>
        <w:t>（</w:t>
      </w:r>
      <w:r>
        <w:rPr>
          <w:rFonts w:hint="eastAsia" w:ascii="宋体" w:hAnsi="宋体" w:eastAsia="宋体" w:cs="宋体"/>
          <w:color w:val="auto"/>
          <w:sz w:val="21"/>
          <w:szCs w:val="24"/>
          <w:highlight w:val="none"/>
        </w:rPr>
        <w:t>以元为单位，保留整数，小数点后四舍五入</w:t>
      </w:r>
      <w:r>
        <w:rPr>
          <w:rFonts w:hint="eastAsia" w:ascii="宋体" w:hAnsi="宋体" w:eastAsia="宋体" w:cs="宋体"/>
          <w:snapToGrid w:val="0"/>
          <w:color w:val="auto"/>
          <w:kern w:val="0"/>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snapToGrid w:val="0"/>
          <w:color w:val="auto"/>
          <w:w w:val="107"/>
          <w:kern w:val="0"/>
          <w:sz w:val="21"/>
          <w:szCs w:val="21"/>
          <w:highlight w:val="none"/>
        </w:rPr>
        <w:t>大写金额人民币</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w w:val="107"/>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佰</w:t>
      </w:r>
      <w:r>
        <w:rPr>
          <w:rFonts w:hint="eastAsia" w:ascii="宋体" w:hAnsi="宋体" w:eastAsia="宋体" w:cs="宋体"/>
          <w:snapToGrid w:val="0"/>
          <w:color w:val="auto"/>
          <w:w w:val="107"/>
          <w:kern w:val="0"/>
          <w:sz w:val="21"/>
          <w:szCs w:val="21"/>
          <w:highlight w:val="none"/>
          <w:u w:val="single"/>
        </w:rPr>
        <w:t xml:space="preserve">    </w:t>
      </w:r>
      <w:r>
        <w:rPr>
          <w:rFonts w:hint="eastAsia" w:ascii="宋体" w:hAnsi="宋体" w:eastAsia="宋体" w:cs="宋体"/>
          <w:snapToGrid w:val="0"/>
          <w:color w:val="auto"/>
          <w:w w:val="107"/>
          <w:kern w:val="0"/>
          <w:sz w:val="21"/>
          <w:szCs w:val="21"/>
          <w:highlight w:val="none"/>
        </w:rPr>
        <w:t>拾</w:t>
      </w:r>
      <w:r>
        <w:rPr>
          <w:rFonts w:hint="eastAsia" w:ascii="宋体" w:hAnsi="宋体" w:eastAsia="宋体" w:cs="宋体"/>
          <w:snapToGrid w:val="0"/>
          <w:color w:val="auto"/>
          <w:w w:val="107"/>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万</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佰</w:t>
      </w:r>
      <w:r>
        <w:rPr>
          <w:rFonts w:hint="eastAsia" w:ascii="宋体" w:hAnsi="宋体" w:eastAsia="宋体" w:cs="宋体"/>
          <w:snapToGrid w:val="0"/>
          <w:color w:val="auto"/>
          <w:w w:val="107"/>
          <w:kern w:val="0"/>
          <w:sz w:val="21"/>
          <w:szCs w:val="21"/>
          <w:highlight w:val="none"/>
          <w:u w:val="single"/>
        </w:rPr>
        <w:t xml:space="preserve">    </w:t>
      </w:r>
      <w:r>
        <w:rPr>
          <w:rFonts w:hint="eastAsia" w:ascii="宋体" w:hAnsi="宋体" w:eastAsia="宋体" w:cs="宋体"/>
          <w:snapToGrid w:val="0"/>
          <w:color w:val="auto"/>
          <w:w w:val="107"/>
          <w:kern w:val="0"/>
          <w:sz w:val="21"/>
          <w:szCs w:val="21"/>
          <w:highlight w:val="none"/>
        </w:rPr>
        <w:t>拾</w:t>
      </w:r>
      <w:r>
        <w:rPr>
          <w:rFonts w:hint="eastAsia" w:ascii="宋体" w:hAnsi="宋体" w:eastAsia="宋体" w:cs="宋体"/>
          <w:snapToGrid w:val="0"/>
          <w:color w:val="auto"/>
          <w:w w:val="107"/>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元，</w:t>
      </w:r>
      <w:r>
        <w:rPr>
          <w:rFonts w:hint="eastAsia" w:ascii="宋体" w:hAnsi="宋体" w:eastAsia="宋体" w:cs="宋体"/>
          <w:snapToGrid w:val="0"/>
          <w:color w:val="auto"/>
          <w:kern w:val="24"/>
          <w:sz w:val="21"/>
          <w:szCs w:val="21"/>
          <w:highlight w:val="none"/>
        </w:rPr>
        <w:t>承担</w:t>
      </w:r>
      <w:r>
        <w:rPr>
          <w:rFonts w:hint="eastAsia" w:ascii="宋体" w:hAnsi="宋体" w:eastAsia="宋体" w:cs="宋体"/>
          <w:snapToGrid w:val="0"/>
          <w:color w:val="auto"/>
          <w:kern w:val="24"/>
          <w:sz w:val="21"/>
          <w:szCs w:val="21"/>
          <w:highlight w:val="none"/>
          <w:lang w:val="en-US" w:eastAsia="zh-CN"/>
        </w:rPr>
        <w:t>本项目</w:t>
      </w:r>
      <w:r>
        <w:rPr>
          <w:rFonts w:hint="eastAsia" w:ascii="宋体" w:hAnsi="宋体" w:eastAsia="宋体" w:cs="宋体"/>
          <w:snapToGrid w:val="0"/>
          <w:color w:val="auto"/>
          <w:kern w:val="24"/>
          <w:sz w:val="21"/>
          <w:szCs w:val="21"/>
          <w:highlight w:val="none"/>
        </w:rPr>
        <w:t>保险服务。</w:t>
      </w:r>
    </w:p>
    <w:p w14:paraId="4ABE803B">
      <w:pPr>
        <w:spacing w:line="600" w:lineRule="exact"/>
        <w:ind w:firstLine="48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二、服务期限：</w:t>
      </w:r>
      <w:r>
        <w:rPr>
          <w:rFonts w:hint="eastAsia" w:ascii="宋体" w:hAnsi="宋体" w:eastAsia="宋体" w:cs="宋体"/>
          <w:snapToGrid w:val="0"/>
          <w:color w:val="auto"/>
          <w:kern w:val="0"/>
          <w:sz w:val="21"/>
          <w:szCs w:val="21"/>
          <w:highlight w:val="none"/>
          <w:lang w:eastAsia="zh-CN"/>
        </w:rPr>
        <w:t>满足招标文件要求。</w:t>
      </w:r>
    </w:p>
    <w:p w14:paraId="1A67F272">
      <w:pPr>
        <w:spacing w:line="600" w:lineRule="exact"/>
        <w:ind w:firstLine="48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三、一旦我方中标，我方在全部同意招标文件内容前提下保证本投标文件的所有资料真实有效，如有虚假成份，愿承担一切后果。</w:t>
      </w:r>
    </w:p>
    <w:p w14:paraId="2D42ADA2">
      <w:pPr>
        <w:spacing w:line="600" w:lineRule="exact"/>
        <w:ind w:firstLine="48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四、除非另外达成协议并生效，你方的中标通知书和本投标文件将构成约束我们双方的合同。</w:t>
      </w:r>
    </w:p>
    <w:p w14:paraId="3319DA3A">
      <w:pPr>
        <w:spacing w:line="6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snapToGrid w:val="0"/>
          <w:color w:val="auto"/>
          <w:kern w:val="0"/>
          <w:sz w:val="21"/>
          <w:szCs w:val="21"/>
          <w:highlight w:val="none"/>
        </w:rPr>
        <w:t>、</w:t>
      </w:r>
      <w:r>
        <w:rPr>
          <w:rFonts w:hint="eastAsia" w:ascii="宋体" w:hAnsi="宋体" w:eastAsia="宋体" w:cs="宋体"/>
          <w:color w:val="auto"/>
          <w:sz w:val="21"/>
          <w:szCs w:val="21"/>
          <w:highlight w:val="none"/>
        </w:rPr>
        <w:t>我方的投标担保已按招标文件的要求递交</w:t>
      </w:r>
      <w:r>
        <w:rPr>
          <w:rFonts w:hint="eastAsia" w:ascii="宋体" w:hAnsi="宋体" w:eastAsia="宋体" w:cs="宋体"/>
          <w:snapToGrid w:val="0"/>
          <w:color w:val="auto"/>
          <w:kern w:val="0"/>
          <w:sz w:val="21"/>
          <w:szCs w:val="21"/>
          <w:highlight w:val="none"/>
        </w:rPr>
        <w:t>。</w:t>
      </w:r>
    </w:p>
    <w:p w14:paraId="6B7E6956">
      <w:pPr>
        <w:spacing w:line="60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r>
        <w:rPr>
          <w:rFonts w:ascii="宋体" w:hAnsi="宋体" w:eastAsia="宋体" w:cs="宋体"/>
          <w:color w:val="auto"/>
          <w:spacing w:val="-7"/>
          <w:sz w:val="21"/>
          <w:szCs w:val="21"/>
          <w:highlight w:val="none"/>
        </w:rPr>
        <w:t xml:space="preserve">若我方中标， 作为首席保险人我方可接受的最大承保份额： ____% </w:t>
      </w:r>
      <w:r>
        <w:rPr>
          <w:rFonts w:hint="eastAsia" w:ascii="宋体" w:hAnsi="宋体" w:eastAsia="宋体" w:cs="宋体"/>
          <w:color w:val="auto"/>
          <w:spacing w:val="-7"/>
          <w:sz w:val="21"/>
          <w:szCs w:val="21"/>
          <w:highlight w:val="none"/>
        </w:rPr>
        <w:t>。</w:t>
      </w:r>
    </w:p>
    <w:p w14:paraId="4ECC5241">
      <w:pPr>
        <w:spacing w:line="600" w:lineRule="exact"/>
        <w:ind w:firstLine="480"/>
        <w:jc w:val="right"/>
        <w:rPr>
          <w:rFonts w:hint="eastAsia" w:ascii="宋体" w:hAnsi="宋体" w:eastAsia="宋体" w:cs="宋体"/>
          <w:color w:val="auto"/>
          <w:sz w:val="21"/>
          <w:szCs w:val="21"/>
          <w:highlight w:val="none"/>
        </w:rPr>
      </w:pPr>
    </w:p>
    <w:p w14:paraId="3B80548F">
      <w:pPr>
        <w:spacing w:line="600" w:lineRule="exact"/>
        <w:rPr>
          <w:rFonts w:hint="eastAsia" w:ascii="宋体" w:hAnsi="宋体" w:eastAsia="宋体" w:cs="宋体"/>
          <w:color w:val="auto"/>
          <w:sz w:val="21"/>
          <w:szCs w:val="21"/>
          <w:highlight w:val="none"/>
        </w:rPr>
      </w:pPr>
    </w:p>
    <w:p w14:paraId="39C42BD1">
      <w:pPr>
        <w:rPr>
          <w:rFonts w:hint="eastAsia" w:ascii="宋体" w:hAnsi="宋体" w:eastAsia="宋体" w:cs="宋体"/>
          <w:color w:val="auto"/>
          <w:sz w:val="21"/>
          <w:szCs w:val="21"/>
          <w:highlight w:val="none"/>
        </w:rPr>
      </w:pPr>
    </w:p>
    <w:p w14:paraId="4AB14418">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投标单位名称： (盖单位电子公章)</w:t>
      </w:r>
    </w:p>
    <w:p w14:paraId="26F9E160">
      <w:pPr>
        <w:ind w:firstLine="210" w:firstLineChars="100"/>
        <w:rPr>
          <w:rFonts w:hint="eastAsia" w:ascii="宋体" w:hAnsi="宋体" w:eastAsia="宋体" w:cs="宋体"/>
          <w:snapToGrid w:val="0"/>
          <w:color w:val="auto"/>
          <w:sz w:val="21"/>
          <w:szCs w:val="21"/>
          <w:highlight w:val="none"/>
        </w:rPr>
      </w:pPr>
    </w:p>
    <w:p w14:paraId="27D022AA">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法定代表人（负责人）或委托代理人：（电子签章）</w:t>
      </w:r>
    </w:p>
    <w:p w14:paraId="4637D1C6">
      <w:pPr>
        <w:jc w:val="right"/>
        <w:rPr>
          <w:rFonts w:hint="eastAsia" w:ascii="宋体" w:hAnsi="宋体" w:eastAsia="宋体" w:cs="宋体"/>
          <w:color w:val="auto"/>
          <w:sz w:val="21"/>
          <w:szCs w:val="21"/>
          <w:highlight w:val="none"/>
        </w:rPr>
      </w:pPr>
    </w:p>
    <w:p w14:paraId="4E432C58">
      <w:pPr>
        <w:spacing w:line="440" w:lineRule="exact"/>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 xml:space="preserve">  日期：   年   月   日</w:t>
      </w:r>
    </w:p>
    <w:p w14:paraId="79413BED">
      <w:pPr>
        <w:pStyle w:val="2"/>
        <w:numPr>
          <w:ilvl w:val="0"/>
          <w:numId w:val="0"/>
        </w:numPr>
        <w:ind w:left="360" w:leftChars="0"/>
        <w:jc w:val="both"/>
        <w:outlineLvl w:val="9"/>
        <w:rPr>
          <w:rFonts w:hint="eastAsia" w:ascii="宋体" w:hAnsi="宋体" w:cs="宋体"/>
          <w:color w:val="auto"/>
          <w:sz w:val="24"/>
          <w:highlight w:val="none"/>
        </w:rPr>
      </w:pPr>
    </w:p>
    <w:p w14:paraId="7962481A">
      <w:pPr>
        <w:pStyle w:val="17"/>
        <w:spacing w:line="360" w:lineRule="auto"/>
        <w:ind w:left="0" w:leftChars="0" w:firstLine="0" w:firstLineChars="0"/>
        <w:outlineLvl w:val="2"/>
        <w:rPr>
          <w:rFonts w:hint="eastAsia" w:ascii="宋体" w:hAnsi="宋体" w:eastAsia="宋体" w:cs="宋体"/>
          <w:color w:val="auto"/>
          <w:sz w:val="21"/>
          <w:szCs w:val="21"/>
          <w:highlight w:val="none"/>
        </w:rPr>
      </w:pPr>
      <w:bookmarkStart w:id="73" w:name="_Toc32263"/>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w:t>
      </w:r>
      <w:bookmarkEnd w:id="73"/>
    </w:p>
    <w:p w14:paraId="2FCCD80A">
      <w:pPr>
        <w:pStyle w:val="17"/>
        <w:spacing w:line="360" w:lineRule="auto"/>
        <w:ind w:left="0" w:leftChars="0" w:firstLine="0" w:firstLineChars="0"/>
        <w:jc w:val="center"/>
        <w:rPr>
          <w:rFonts w:hint="eastAsia" w:ascii="宋体" w:hAnsi="宋体" w:eastAsia="宋体" w:cs="宋体"/>
          <w:b/>
          <w:bCs/>
          <w:color w:val="auto"/>
          <w:sz w:val="28"/>
          <w:szCs w:val="24"/>
          <w:highlight w:val="none"/>
          <w:lang w:eastAsia="zh-CN"/>
        </w:rPr>
      </w:pPr>
      <w:r>
        <w:rPr>
          <w:rFonts w:hint="eastAsia" w:ascii="宋体" w:hAnsi="宋体" w:eastAsia="宋体" w:cs="宋体"/>
          <w:b/>
          <w:bCs/>
          <w:color w:val="auto"/>
          <w:sz w:val="28"/>
          <w:szCs w:val="24"/>
          <w:highlight w:val="none"/>
          <w:lang w:val="en-US" w:eastAsia="zh-CN"/>
        </w:rPr>
        <w:t>台州湾陆岛联动综合码头工程（一期）建筑工程一切险及安全生产责任险保险服务项目</w:t>
      </w:r>
    </w:p>
    <w:p w14:paraId="10894CEE">
      <w:pPr>
        <w:pStyle w:val="17"/>
        <w:spacing w:line="360" w:lineRule="auto"/>
        <w:ind w:left="0" w:leftChars="0" w:firstLine="0" w:firstLineChars="0"/>
        <w:jc w:val="cente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lang w:eastAsia="zh-CN"/>
        </w:rPr>
        <w:t>投标报价汇总表</w:t>
      </w:r>
    </w:p>
    <w:tbl>
      <w:tblPr>
        <w:tblStyle w:val="30"/>
        <w:tblW w:w="94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4"/>
        <w:gridCol w:w="1080"/>
        <w:gridCol w:w="1905"/>
        <w:gridCol w:w="1200"/>
        <w:gridCol w:w="1050"/>
        <w:gridCol w:w="1290"/>
        <w:gridCol w:w="1605"/>
      </w:tblGrid>
      <w:tr w14:paraId="2D345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 w:hRule="atLeast"/>
        </w:trPr>
        <w:tc>
          <w:tcPr>
            <w:tcW w:w="1274" w:type="dxa"/>
            <w:tcBorders>
              <w:top w:val="single" w:color="000000" w:sz="2" w:space="0"/>
              <w:bottom w:val="single" w:color="000000" w:sz="2" w:space="0"/>
            </w:tcBorders>
            <w:noWrap w:val="0"/>
            <w:vAlign w:val="center"/>
          </w:tcPr>
          <w:p w14:paraId="5AFA3F42">
            <w:pPr>
              <w:spacing w:before="295" w:line="220" w:lineRule="auto"/>
              <w:ind w:left="449" w:hanging="444" w:hangingChars="216"/>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w:t>
            </w:r>
          </w:p>
        </w:tc>
        <w:tc>
          <w:tcPr>
            <w:tcW w:w="1080" w:type="dxa"/>
            <w:tcBorders>
              <w:top w:val="single" w:color="000000" w:sz="2" w:space="0"/>
              <w:bottom w:val="single" w:color="000000" w:sz="2" w:space="0"/>
            </w:tcBorders>
            <w:noWrap w:val="0"/>
            <w:vAlign w:val="center"/>
          </w:tcPr>
          <w:p w14:paraId="3B71CA71">
            <w:pPr>
              <w:spacing w:before="295" w:line="220" w:lineRule="auto"/>
              <w:ind w:left="535" w:hanging="529" w:hangingChars="257"/>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保险</w:t>
            </w:r>
            <w:r>
              <w:rPr>
                <w:rFonts w:ascii="宋体" w:hAnsi="宋体" w:eastAsia="宋体" w:cs="宋体"/>
                <w:color w:val="auto"/>
                <w:spacing w:val="-1"/>
                <w:sz w:val="21"/>
                <w:szCs w:val="21"/>
                <w:highlight w:val="none"/>
              </w:rPr>
              <w:t>险种</w:t>
            </w:r>
          </w:p>
        </w:tc>
        <w:tc>
          <w:tcPr>
            <w:tcW w:w="1905" w:type="dxa"/>
            <w:tcBorders>
              <w:top w:val="single" w:color="000000" w:sz="2" w:space="0"/>
              <w:bottom w:val="single" w:color="000000" w:sz="2" w:space="0"/>
            </w:tcBorders>
            <w:noWrap w:val="0"/>
            <w:vAlign w:val="center"/>
          </w:tcPr>
          <w:p w14:paraId="537678BB">
            <w:pPr>
              <w:spacing w:before="294" w:line="220" w:lineRule="auto"/>
              <w:ind w:left="537" w:hanging="531" w:hangingChars="258"/>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保险</w:t>
            </w:r>
            <w:r>
              <w:rPr>
                <w:rFonts w:ascii="宋体" w:hAnsi="宋体" w:eastAsia="宋体" w:cs="宋体"/>
                <w:color w:val="auto"/>
                <w:spacing w:val="-1"/>
                <w:sz w:val="21"/>
                <w:szCs w:val="21"/>
                <w:highlight w:val="none"/>
              </w:rPr>
              <w:t>金额（万元）</w:t>
            </w:r>
          </w:p>
        </w:tc>
        <w:tc>
          <w:tcPr>
            <w:tcW w:w="1200" w:type="dxa"/>
            <w:tcBorders>
              <w:top w:val="single" w:color="000000" w:sz="2" w:space="0"/>
              <w:bottom w:val="single" w:color="000000" w:sz="2" w:space="0"/>
            </w:tcBorders>
            <w:noWrap w:val="0"/>
            <w:vAlign w:val="center"/>
          </w:tcPr>
          <w:p w14:paraId="7D3095A0">
            <w:pPr>
              <w:spacing w:before="294" w:line="220" w:lineRule="auto"/>
              <w:ind w:left="145" w:hanging="156" w:hangingChars="64"/>
              <w:jc w:val="center"/>
              <w:rPr>
                <w:rFonts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保险</w:t>
            </w:r>
            <w:r>
              <w:rPr>
                <w:rFonts w:ascii="宋体" w:hAnsi="宋体" w:eastAsia="宋体" w:cs="宋体"/>
                <w:color w:val="auto"/>
                <w:spacing w:val="17"/>
                <w:sz w:val="21"/>
                <w:szCs w:val="21"/>
                <w:highlight w:val="none"/>
              </w:rPr>
              <w:t>费</w:t>
            </w:r>
            <w:r>
              <w:rPr>
                <w:rFonts w:ascii="宋体" w:hAnsi="宋体" w:eastAsia="宋体" w:cs="宋体"/>
                <w:color w:val="auto"/>
                <w:spacing w:val="14"/>
                <w:sz w:val="21"/>
                <w:szCs w:val="21"/>
                <w:highlight w:val="none"/>
              </w:rPr>
              <w:t>率</w:t>
            </w:r>
            <w:r>
              <w:rPr>
                <w:rFonts w:hint="eastAsia" w:ascii="宋体" w:hAnsi="宋体" w:eastAsia="宋体" w:cs="宋体"/>
                <w:color w:val="auto"/>
                <w:spacing w:val="14"/>
                <w:sz w:val="21"/>
                <w:szCs w:val="21"/>
                <w:highlight w:val="none"/>
                <w:lang w:val="en-US" w:eastAsia="zh-CN"/>
              </w:rPr>
              <w:t>上限</w:t>
            </w:r>
          </w:p>
        </w:tc>
        <w:tc>
          <w:tcPr>
            <w:tcW w:w="1050" w:type="dxa"/>
            <w:tcBorders>
              <w:top w:val="single" w:color="000000" w:sz="2" w:space="0"/>
              <w:bottom w:val="single" w:color="000000" w:sz="2" w:space="0"/>
            </w:tcBorders>
            <w:noWrap w:val="0"/>
            <w:vAlign w:val="center"/>
          </w:tcPr>
          <w:p w14:paraId="5FFECD94">
            <w:pPr>
              <w:spacing w:before="294" w:line="220" w:lineRule="auto"/>
              <w:ind w:left="145" w:hanging="156" w:hangingChars="64"/>
              <w:jc w:val="center"/>
              <w:rPr>
                <w:rFonts w:hint="eastAsia" w:ascii="宋体" w:hAnsi="宋体" w:eastAsia="宋体" w:cs="宋体"/>
                <w:color w:val="auto"/>
                <w:spacing w:val="17"/>
                <w:sz w:val="21"/>
                <w:szCs w:val="21"/>
                <w:highlight w:val="none"/>
              </w:rPr>
            </w:pPr>
            <w:r>
              <w:rPr>
                <w:rFonts w:hint="eastAsia" w:ascii="宋体" w:hAnsi="宋体" w:eastAsia="宋体" w:cs="宋体"/>
                <w:color w:val="auto"/>
                <w:spacing w:val="17"/>
                <w:sz w:val="21"/>
                <w:szCs w:val="21"/>
                <w:highlight w:val="none"/>
              </w:rPr>
              <w:t>保险</w:t>
            </w:r>
            <w:r>
              <w:rPr>
                <w:rFonts w:ascii="宋体" w:hAnsi="宋体" w:eastAsia="宋体" w:cs="宋体"/>
                <w:color w:val="auto"/>
                <w:spacing w:val="17"/>
                <w:sz w:val="21"/>
                <w:szCs w:val="21"/>
                <w:highlight w:val="none"/>
              </w:rPr>
              <w:t>费</w:t>
            </w:r>
            <w:r>
              <w:rPr>
                <w:rFonts w:ascii="宋体" w:hAnsi="宋体" w:eastAsia="宋体" w:cs="宋体"/>
                <w:color w:val="auto"/>
                <w:spacing w:val="14"/>
                <w:sz w:val="21"/>
                <w:szCs w:val="21"/>
                <w:highlight w:val="none"/>
              </w:rPr>
              <w:t>率</w:t>
            </w:r>
          </w:p>
        </w:tc>
        <w:tc>
          <w:tcPr>
            <w:tcW w:w="1290" w:type="dxa"/>
            <w:tcBorders>
              <w:top w:val="single" w:color="000000" w:sz="2" w:space="0"/>
              <w:bottom w:val="single" w:color="000000" w:sz="2" w:space="0"/>
            </w:tcBorders>
            <w:noWrap w:val="0"/>
            <w:vAlign w:val="center"/>
          </w:tcPr>
          <w:p w14:paraId="5D201F72">
            <w:pPr>
              <w:spacing w:before="294" w:line="220" w:lineRule="auto"/>
              <w:ind w:left="145" w:hanging="152" w:hangingChars="64"/>
              <w:jc w:val="center"/>
              <w:rPr>
                <w:rFonts w:hint="eastAsia" w:ascii="宋体" w:hAnsi="宋体" w:eastAsia="宋体" w:cs="宋体"/>
                <w:color w:val="auto"/>
                <w:spacing w:val="17"/>
                <w:sz w:val="21"/>
                <w:szCs w:val="21"/>
                <w:highlight w:val="none"/>
              </w:rPr>
            </w:pPr>
            <w:r>
              <w:rPr>
                <w:rFonts w:ascii="宋体" w:hAnsi="宋体" w:eastAsia="宋体" w:cs="宋体"/>
                <w:color w:val="auto"/>
                <w:spacing w:val="14"/>
                <w:sz w:val="21"/>
                <w:szCs w:val="21"/>
                <w:highlight w:val="none"/>
              </w:rPr>
              <w:t>保险费</w:t>
            </w:r>
            <w:r>
              <w:rPr>
                <w:rFonts w:hint="eastAsia" w:ascii="宋体" w:hAnsi="宋体" w:eastAsia="宋体" w:cs="宋体"/>
                <w:color w:val="auto"/>
                <w:spacing w:val="14"/>
                <w:sz w:val="21"/>
                <w:szCs w:val="21"/>
                <w:highlight w:val="none"/>
                <w:lang w:val="en-US" w:eastAsia="zh-CN"/>
              </w:rPr>
              <w:t>上限</w:t>
            </w:r>
          </w:p>
        </w:tc>
        <w:tc>
          <w:tcPr>
            <w:tcW w:w="1605" w:type="dxa"/>
            <w:tcBorders>
              <w:top w:val="single" w:color="000000" w:sz="2" w:space="0"/>
              <w:bottom w:val="single" w:color="000000" w:sz="2" w:space="0"/>
            </w:tcBorders>
            <w:noWrap w:val="0"/>
            <w:vAlign w:val="center"/>
          </w:tcPr>
          <w:p w14:paraId="4624A772">
            <w:pPr>
              <w:spacing w:before="295" w:line="220" w:lineRule="auto"/>
              <w:ind w:left="181" w:hanging="192" w:hangingChars="81"/>
              <w:jc w:val="center"/>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保险费</w:t>
            </w:r>
          </w:p>
        </w:tc>
      </w:tr>
      <w:tr w14:paraId="2CEC7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1274" w:type="dxa"/>
            <w:vMerge w:val="restart"/>
            <w:tcBorders>
              <w:top w:val="single" w:color="000000" w:sz="2" w:space="0"/>
            </w:tcBorders>
            <w:noWrap w:val="0"/>
            <w:vAlign w:val="center"/>
          </w:tcPr>
          <w:p w14:paraId="0F25B096">
            <w:pPr>
              <w:spacing w:before="199" w:line="279" w:lineRule="auto"/>
              <w:ind w:left="127" w:right="79"/>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台州湾陆岛联动综合码头工程（一期）建筑工程一切险及安全生产责任险保险服务项目</w:t>
            </w:r>
          </w:p>
        </w:tc>
        <w:tc>
          <w:tcPr>
            <w:tcW w:w="1080" w:type="dxa"/>
            <w:tcBorders>
              <w:top w:val="single" w:color="000000" w:sz="2" w:space="0"/>
              <w:bottom w:val="single" w:color="000000" w:sz="2" w:space="0"/>
            </w:tcBorders>
            <w:noWrap w:val="0"/>
            <w:vAlign w:val="center"/>
          </w:tcPr>
          <w:p w14:paraId="48C1C962">
            <w:pPr>
              <w:spacing w:before="68" w:line="220" w:lineRule="auto"/>
              <w:ind w:hanging="5"/>
              <w:jc w:val="center"/>
              <w:rPr>
                <w:rFonts w:hint="eastAsia" w:ascii="宋体" w:hAnsi="宋体" w:eastAsia="宋体" w:cs="宋体"/>
                <w:color w:val="auto"/>
                <w:sz w:val="21"/>
                <w:szCs w:val="21"/>
                <w:highlight w:val="none"/>
              </w:rPr>
            </w:pPr>
          </w:p>
          <w:p w14:paraId="3EE0E7B9">
            <w:pPr>
              <w:spacing w:before="68" w:line="220" w:lineRule="auto"/>
              <w:ind w:hanging="5"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建筑工程一切险</w:t>
            </w:r>
          </w:p>
        </w:tc>
        <w:tc>
          <w:tcPr>
            <w:tcW w:w="1905" w:type="dxa"/>
            <w:tcBorders>
              <w:top w:val="single" w:color="000000" w:sz="2" w:space="0"/>
              <w:bottom w:val="single" w:color="000000" w:sz="2" w:space="0"/>
            </w:tcBorders>
            <w:noWrap w:val="0"/>
            <w:vAlign w:val="center"/>
          </w:tcPr>
          <w:p w14:paraId="0659C46F">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815892366元</w:t>
            </w:r>
          </w:p>
        </w:tc>
        <w:tc>
          <w:tcPr>
            <w:tcW w:w="1200" w:type="dxa"/>
            <w:tcBorders>
              <w:top w:val="single" w:color="000000" w:sz="2" w:space="0"/>
              <w:bottom w:val="single" w:color="000000" w:sz="2" w:space="0"/>
            </w:tcBorders>
            <w:noWrap w:val="0"/>
            <w:vAlign w:val="center"/>
          </w:tcPr>
          <w:p w14:paraId="063C304C">
            <w:pPr>
              <w:spacing w:before="68" w:line="220" w:lineRule="auto"/>
              <w:ind w:hanging="5"/>
              <w:jc w:val="center"/>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3‰</w:t>
            </w:r>
          </w:p>
        </w:tc>
        <w:tc>
          <w:tcPr>
            <w:tcW w:w="1050" w:type="dxa"/>
            <w:tcBorders>
              <w:top w:val="single" w:color="000000" w:sz="2" w:space="0"/>
              <w:bottom w:val="single" w:color="000000" w:sz="2" w:space="0"/>
            </w:tcBorders>
            <w:noWrap w:val="0"/>
            <w:vAlign w:val="center"/>
          </w:tcPr>
          <w:p w14:paraId="73C6215D">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p>
        </w:tc>
        <w:tc>
          <w:tcPr>
            <w:tcW w:w="1290" w:type="dxa"/>
            <w:tcBorders>
              <w:top w:val="single" w:color="000000" w:sz="2" w:space="0"/>
              <w:bottom w:val="single" w:color="000000" w:sz="2" w:space="0"/>
            </w:tcBorders>
            <w:noWrap w:val="0"/>
            <w:vAlign w:val="center"/>
          </w:tcPr>
          <w:p w14:paraId="08F5D71C">
            <w:pPr>
              <w:spacing w:before="68" w:line="220" w:lineRule="auto"/>
              <w:ind w:hanging="5"/>
              <w:jc w:val="center"/>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2447677元</w:t>
            </w:r>
          </w:p>
        </w:tc>
        <w:tc>
          <w:tcPr>
            <w:tcW w:w="1605" w:type="dxa"/>
            <w:tcBorders>
              <w:top w:val="single" w:color="000000" w:sz="2" w:space="0"/>
              <w:bottom w:val="single" w:color="000000" w:sz="2" w:space="0"/>
            </w:tcBorders>
            <w:noWrap w:val="0"/>
            <w:vAlign w:val="center"/>
          </w:tcPr>
          <w:p w14:paraId="7CBA11C1">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元</w:t>
            </w:r>
          </w:p>
        </w:tc>
      </w:tr>
      <w:tr w14:paraId="512C0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1274" w:type="dxa"/>
            <w:vMerge w:val="continue"/>
            <w:noWrap w:val="0"/>
            <w:vAlign w:val="center"/>
          </w:tcPr>
          <w:p w14:paraId="6105C0FA">
            <w:pPr>
              <w:jc w:val="center"/>
              <w:rPr>
                <w:rFonts w:ascii="Arial"/>
                <w:color w:val="auto"/>
                <w:sz w:val="21"/>
                <w:highlight w:val="none"/>
              </w:rPr>
            </w:pPr>
          </w:p>
        </w:tc>
        <w:tc>
          <w:tcPr>
            <w:tcW w:w="1080" w:type="dxa"/>
            <w:tcBorders>
              <w:top w:val="single" w:color="000000" w:sz="2" w:space="0"/>
              <w:bottom w:val="single" w:color="000000" w:sz="2" w:space="0"/>
            </w:tcBorders>
            <w:noWrap w:val="0"/>
            <w:vAlign w:val="center"/>
          </w:tcPr>
          <w:p w14:paraId="0B0FBE5D">
            <w:pPr>
              <w:spacing w:before="68" w:line="220" w:lineRule="auto"/>
              <w:ind w:hanging="5"/>
              <w:jc w:val="center"/>
              <w:rPr>
                <w:rFonts w:hint="eastAsia" w:ascii="宋体" w:hAnsi="宋体" w:eastAsia="宋体" w:cs="宋体"/>
                <w:color w:val="auto"/>
                <w:sz w:val="21"/>
                <w:szCs w:val="21"/>
                <w:highlight w:val="none"/>
              </w:rPr>
            </w:pPr>
          </w:p>
          <w:p w14:paraId="6D224E28">
            <w:pPr>
              <w:spacing w:before="68" w:line="220" w:lineRule="auto"/>
              <w:ind w:hanging="5" w:firstLineChars="0"/>
              <w:jc w:val="center"/>
              <w:rPr>
                <w:rFonts w:hint="eastAsia" w:ascii="宋体" w:hAnsi="宋体" w:eastAsia="宋体" w:cs="宋体"/>
                <w:color w:val="auto"/>
                <w:kern w:val="2"/>
                <w:sz w:val="21"/>
                <w:szCs w:val="21"/>
                <w:highlight w:val="none"/>
                <w:lang w:val="en-US" w:eastAsia="zh-CN" w:bidi="ar-SA"/>
              </w:rPr>
            </w:pPr>
          </w:p>
          <w:p w14:paraId="72A81AED">
            <w:pPr>
              <w:spacing w:before="68" w:line="220" w:lineRule="auto"/>
              <w:ind w:hanging="5"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安全生产责任险</w:t>
            </w:r>
          </w:p>
        </w:tc>
        <w:tc>
          <w:tcPr>
            <w:tcW w:w="1905" w:type="dxa"/>
            <w:tcBorders>
              <w:top w:val="single" w:color="000000" w:sz="2" w:space="0"/>
              <w:bottom w:val="single" w:color="000000" w:sz="2" w:space="0"/>
            </w:tcBorders>
            <w:noWrap w:val="0"/>
            <w:vAlign w:val="center"/>
          </w:tcPr>
          <w:p w14:paraId="4E78F9B7">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815892366元</w:t>
            </w:r>
          </w:p>
        </w:tc>
        <w:tc>
          <w:tcPr>
            <w:tcW w:w="1200" w:type="dxa"/>
            <w:tcBorders>
              <w:top w:val="single" w:color="000000" w:sz="2" w:space="0"/>
              <w:bottom w:val="single" w:color="000000" w:sz="2" w:space="0"/>
            </w:tcBorders>
            <w:noWrap w:val="0"/>
            <w:vAlign w:val="center"/>
          </w:tcPr>
          <w:p w14:paraId="796FF1F0">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w:t>
            </w:r>
          </w:p>
        </w:tc>
        <w:tc>
          <w:tcPr>
            <w:tcW w:w="1050" w:type="dxa"/>
            <w:tcBorders>
              <w:top w:val="single" w:color="000000" w:sz="2" w:space="0"/>
              <w:bottom w:val="single" w:color="000000" w:sz="2" w:space="0"/>
            </w:tcBorders>
            <w:noWrap w:val="0"/>
            <w:vAlign w:val="center"/>
          </w:tcPr>
          <w:p w14:paraId="6B12498B">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p>
        </w:tc>
        <w:tc>
          <w:tcPr>
            <w:tcW w:w="1290" w:type="dxa"/>
            <w:tcBorders>
              <w:top w:val="single" w:color="000000" w:sz="2" w:space="0"/>
              <w:bottom w:val="single" w:color="000000" w:sz="2" w:space="0"/>
            </w:tcBorders>
            <w:noWrap w:val="0"/>
            <w:vAlign w:val="center"/>
          </w:tcPr>
          <w:p w14:paraId="3448AD90">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1631785元</w:t>
            </w:r>
          </w:p>
        </w:tc>
        <w:tc>
          <w:tcPr>
            <w:tcW w:w="1605" w:type="dxa"/>
            <w:tcBorders>
              <w:top w:val="single" w:color="000000" w:sz="2" w:space="0"/>
              <w:bottom w:val="single" w:color="000000" w:sz="2" w:space="0"/>
            </w:tcBorders>
            <w:noWrap w:val="0"/>
            <w:vAlign w:val="center"/>
          </w:tcPr>
          <w:p w14:paraId="0C971B6C">
            <w:pPr>
              <w:spacing w:before="68" w:line="220" w:lineRule="auto"/>
              <w:ind w:hanging="5"/>
              <w:jc w:val="center"/>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元</w:t>
            </w:r>
          </w:p>
        </w:tc>
      </w:tr>
      <w:tr w14:paraId="17088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3" w:hRule="atLeast"/>
        </w:trPr>
        <w:tc>
          <w:tcPr>
            <w:tcW w:w="9404" w:type="dxa"/>
            <w:gridSpan w:val="7"/>
            <w:tcBorders>
              <w:top w:val="single" w:color="000000" w:sz="2" w:space="0"/>
              <w:bottom w:val="single" w:color="000000" w:sz="2" w:space="0"/>
            </w:tcBorders>
            <w:noWrap w:val="0"/>
            <w:vAlign w:val="center"/>
          </w:tcPr>
          <w:p w14:paraId="0E24625F">
            <w:pPr>
              <w:spacing w:line="342" w:lineRule="auto"/>
              <w:jc w:val="center"/>
              <w:rPr>
                <w:rFonts w:ascii="Arial"/>
                <w:color w:val="auto"/>
                <w:sz w:val="21"/>
                <w:highlight w:val="none"/>
              </w:rPr>
            </w:pPr>
          </w:p>
          <w:p w14:paraId="58DB06D2">
            <w:pPr>
              <w:spacing w:before="68" w:line="220" w:lineRule="auto"/>
              <w:ind w:firstLine="824" w:firstLineChars="400"/>
              <w:jc w:val="both"/>
              <w:rPr>
                <w:rFonts w:hint="default" w:ascii="Arial" w:eastAsia="宋体"/>
                <w:color w:val="auto"/>
                <w:sz w:val="21"/>
                <w:highlight w:val="none"/>
                <w:lang w:val="en-US" w:eastAsia="zh-CN"/>
              </w:rPr>
            </w:pPr>
            <w:r>
              <w:rPr>
                <w:rFonts w:ascii="宋体" w:hAnsi="宋体" w:eastAsia="宋体" w:cs="宋体"/>
                <w:color w:val="auto"/>
                <w:spacing w:val="-2"/>
                <w:sz w:val="21"/>
                <w:szCs w:val="21"/>
                <w:highlight w:val="none"/>
              </w:rPr>
              <w:t>保</w:t>
            </w:r>
            <w:r>
              <w:rPr>
                <w:rFonts w:hint="eastAsia" w:ascii="宋体" w:hAnsi="宋体" w:eastAsia="宋体" w:cs="宋体"/>
                <w:color w:val="auto"/>
                <w:spacing w:val="-2"/>
                <w:sz w:val="21"/>
                <w:szCs w:val="21"/>
                <w:highlight w:val="none"/>
              </w:rPr>
              <w:t>险</w:t>
            </w:r>
            <w:r>
              <w:rPr>
                <w:rFonts w:ascii="宋体" w:hAnsi="宋体" w:eastAsia="宋体" w:cs="宋体"/>
                <w:color w:val="auto"/>
                <w:spacing w:val="-2"/>
                <w:sz w:val="21"/>
                <w:szCs w:val="21"/>
                <w:highlight w:val="none"/>
              </w:rPr>
              <w:t>费</w:t>
            </w:r>
            <w:r>
              <w:rPr>
                <w:rFonts w:ascii="宋体" w:hAnsi="宋体" w:eastAsia="宋体" w:cs="宋体"/>
                <w:color w:val="auto"/>
                <w:spacing w:val="-1"/>
                <w:sz w:val="21"/>
                <w:szCs w:val="21"/>
                <w:highlight w:val="none"/>
              </w:rPr>
              <w:t>合计</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u w:val="single"/>
                <w:lang w:val="en-US" w:eastAsia="zh-CN"/>
              </w:rPr>
              <w:t xml:space="preserve">                           </w:t>
            </w:r>
            <w:r>
              <w:rPr>
                <w:rFonts w:hint="eastAsia" w:ascii="宋体" w:hAnsi="宋体" w:eastAsia="宋体" w:cs="宋体"/>
                <w:color w:val="auto"/>
                <w:spacing w:val="-1"/>
                <w:sz w:val="21"/>
                <w:szCs w:val="21"/>
                <w:highlight w:val="none"/>
                <w:lang w:val="en-US" w:eastAsia="zh-CN"/>
              </w:rPr>
              <w:t xml:space="preserve"> 元</w:t>
            </w:r>
          </w:p>
          <w:p w14:paraId="38B74AE7">
            <w:pPr>
              <w:spacing w:before="68" w:line="183" w:lineRule="auto"/>
              <w:ind w:left="531"/>
              <w:jc w:val="center"/>
              <w:rPr>
                <w:rFonts w:ascii="宋体" w:hAnsi="宋体" w:eastAsia="宋体" w:cs="宋体"/>
                <w:color w:val="auto"/>
                <w:sz w:val="21"/>
                <w:szCs w:val="21"/>
                <w:highlight w:val="none"/>
              </w:rPr>
            </w:pPr>
          </w:p>
        </w:tc>
      </w:tr>
    </w:tbl>
    <w:p w14:paraId="060929BB">
      <w:pPr>
        <w:pStyle w:val="27"/>
        <w:spacing w:before="0" w:beforeAutospacing="0" w:after="0" w:afterAutospacing="0"/>
        <w:rPr>
          <w:rFonts w:hint="eastAsia" w:cs="宋体"/>
          <w:b/>
          <w:bCs/>
          <w:color w:val="auto"/>
          <w:sz w:val="32"/>
          <w:szCs w:val="32"/>
          <w:highlight w:val="none"/>
        </w:rPr>
      </w:pPr>
    </w:p>
    <w:p w14:paraId="01C0CEE6">
      <w:pPr>
        <w:spacing w:before="134" w:line="220" w:lineRule="auto"/>
        <w:ind w:left="296"/>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说</w:t>
      </w:r>
      <w:r>
        <w:rPr>
          <w:rFonts w:ascii="宋体" w:hAnsi="宋体" w:eastAsia="宋体" w:cs="宋体"/>
          <w:color w:val="auto"/>
          <w:spacing w:val="-8"/>
          <w:sz w:val="21"/>
          <w:szCs w:val="21"/>
          <w:highlight w:val="none"/>
        </w:rPr>
        <w:t>明： 1、费率用“‰”号表示，保留小数点后 2 位；</w:t>
      </w:r>
    </w:p>
    <w:p w14:paraId="466203B3">
      <w:pPr>
        <w:spacing w:before="215" w:line="218" w:lineRule="auto"/>
        <w:ind w:left="9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2、上</w:t>
      </w:r>
      <w:r>
        <w:rPr>
          <w:rFonts w:ascii="宋体" w:hAnsi="宋体" w:eastAsia="宋体" w:cs="宋体"/>
          <w:color w:val="auto"/>
          <w:spacing w:val="-3"/>
          <w:sz w:val="21"/>
          <w:szCs w:val="21"/>
          <w:highlight w:val="none"/>
        </w:rPr>
        <w:t>述报价为含增值税价款；</w:t>
      </w:r>
    </w:p>
    <w:p w14:paraId="491BB843">
      <w:pPr>
        <w:spacing w:before="217" w:line="219" w:lineRule="auto"/>
        <w:ind w:left="92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3、保费精确到元</w:t>
      </w:r>
      <w:r>
        <w:rPr>
          <w:rFonts w:ascii="宋体" w:hAnsi="宋体" w:eastAsia="宋体" w:cs="宋体"/>
          <w:color w:val="auto"/>
          <w:spacing w:val="-5"/>
          <w:sz w:val="21"/>
          <w:szCs w:val="21"/>
          <w:highlight w:val="none"/>
        </w:rPr>
        <w:t>；</w:t>
      </w:r>
    </w:p>
    <w:p w14:paraId="38AA0863">
      <w:pPr>
        <w:spacing w:before="232" w:line="218" w:lineRule="auto"/>
        <w:ind w:left="92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4、投标</w:t>
      </w:r>
      <w:r>
        <w:rPr>
          <w:rFonts w:ascii="宋体" w:hAnsi="宋体" w:eastAsia="宋体" w:cs="宋体"/>
          <w:color w:val="auto"/>
          <w:spacing w:val="-5"/>
          <w:sz w:val="21"/>
          <w:szCs w:val="21"/>
          <w:highlight w:val="none"/>
        </w:rPr>
        <w:t>总</w:t>
      </w:r>
      <w:r>
        <w:rPr>
          <w:rFonts w:ascii="宋体" w:hAnsi="宋体" w:eastAsia="宋体" w:cs="宋体"/>
          <w:color w:val="auto"/>
          <w:spacing w:val="-3"/>
          <w:sz w:val="21"/>
          <w:szCs w:val="21"/>
          <w:highlight w:val="none"/>
        </w:rPr>
        <w:t>报价须以本项目100%的份额进行报价；</w:t>
      </w:r>
    </w:p>
    <w:p w14:paraId="79C84FE2">
      <w:pPr>
        <w:spacing w:before="217" w:line="220" w:lineRule="auto"/>
        <w:ind w:left="9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5、费率与保险金</w:t>
      </w:r>
      <w:r>
        <w:rPr>
          <w:rFonts w:ascii="宋体" w:hAnsi="宋体" w:eastAsia="宋体" w:cs="宋体"/>
          <w:color w:val="auto"/>
          <w:sz w:val="21"/>
          <w:szCs w:val="21"/>
          <w:highlight w:val="none"/>
        </w:rPr>
        <w:t>额的乘积和保险费不一致的，以保险费为准，修正费率。</w:t>
      </w:r>
    </w:p>
    <w:p w14:paraId="73C2843F">
      <w:pPr>
        <w:pStyle w:val="27"/>
        <w:spacing w:before="0" w:beforeAutospacing="0" w:after="0" w:afterAutospacing="0"/>
        <w:ind w:firstLine="420" w:firstLineChars="200"/>
        <w:rPr>
          <w:rFonts w:hint="eastAsia" w:cs="宋体"/>
          <w:snapToGrid w:val="0"/>
          <w:color w:val="auto"/>
          <w:sz w:val="21"/>
          <w:szCs w:val="21"/>
          <w:highlight w:val="none"/>
        </w:rPr>
      </w:pPr>
    </w:p>
    <w:p w14:paraId="6FDF5009">
      <w:pPr>
        <w:spacing w:line="440" w:lineRule="exact"/>
        <w:rPr>
          <w:rFonts w:hint="eastAsia" w:ascii="宋体" w:hAnsi="宋体" w:eastAsia="宋体" w:cs="宋体"/>
          <w:color w:val="auto"/>
          <w:sz w:val="21"/>
          <w:szCs w:val="21"/>
          <w:highlight w:val="none"/>
        </w:rPr>
      </w:pPr>
    </w:p>
    <w:p w14:paraId="6DC5531A">
      <w:pPr>
        <w:ind w:firstLine="210" w:firstLineChars="100"/>
        <w:rPr>
          <w:rFonts w:hint="eastAsia" w:ascii="宋体" w:hAnsi="宋体" w:eastAsia="宋体" w:cs="宋体"/>
          <w:snapToGrid w:val="0"/>
          <w:color w:val="auto"/>
          <w:sz w:val="21"/>
          <w:szCs w:val="21"/>
          <w:highlight w:val="none"/>
        </w:rPr>
      </w:pPr>
    </w:p>
    <w:p w14:paraId="0F75B023">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投标单位名称： (盖单位电子公章)</w:t>
      </w:r>
    </w:p>
    <w:p w14:paraId="6C0762CF">
      <w:pPr>
        <w:ind w:firstLine="210" w:firstLineChars="100"/>
        <w:rPr>
          <w:rFonts w:hint="eastAsia" w:ascii="宋体" w:hAnsi="宋体" w:eastAsia="宋体" w:cs="宋体"/>
          <w:snapToGrid w:val="0"/>
          <w:color w:val="auto"/>
          <w:sz w:val="21"/>
          <w:szCs w:val="21"/>
          <w:highlight w:val="none"/>
        </w:rPr>
      </w:pPr>
    </w:p>
    <w:p w14:paraId="05006FF4">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法定代表人（负责人）或委托代理人：（电子签章）</w:t>
      </w:r>
    </w:p>
    <w:p w14:paraId="32161923">
      <w:pPr>
        <w:spacing w:line="440" w:lineRule="exact"/>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 xml:space="preserve">  日期：   年   月   日</w:t>
      </w:r>
    </w:p>
    <w:p w14:paraId="33E64A32">
      <w:pPr>
        <w:pStyle w:val="2"/>
        <w:numPr>
          <w:ilvl w:val="0"/>
          <w:numId w:val="0"/>
        </w:numPr>
        <w:ind w:left="4410" w:leftChars="0"/>
        <w:jc w:val="both"/>
        <w:outlineLvl w:val="9"/>
        <w:rPr>
          <w:rFonts w:hint="eastAsia" w:ascii="宋体" w:hAnsi="宋体" w:cs="宋体"/>
          <w:color w:val="auto"/>
          <w:highlight w:val="none"/>
        </w:rPr>
      </w:pPr>
    </w:p>
    <w:p w14:paraId="1A4931B9">
      <w:pPr>
        <w:outlineLvl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br w:type="page"/>
      </w:r>
      <w:bookmarkStart w:id="74" w:name="_Toc19592"/>
      <w:r>
        <w:rPr>
          <w:rFonts w:hint="eastAsia" w:ascii="宋体" w:hAnsi="宋体" w:eastAsia="宋体" w:cs="宋体"/>
          <w:color w:val="auto"/>
          <w:sz w:val="21"/>
          <w:szCs w:val="21"/>
          <w:highlight w:val="none"/>
        </w:rPr>
        <w:t>附件</w:t>
      </w:r>
      <w:bookmarkEnd w:id="74"/>
      <w:r>
        <w:rPr>
          <w:rFonts w:hint="eastAsia" w:ascii="宋体" w:hAnsi="宋体" w:eastAsia="宋体" w:cs="宋体"/>
          <w:color w:val="auto"/>
          <w:sz w:val="21"/>
          <w:szCs w:val="21"/>
          <w:highlight w:val="none"/>
          <w:lang w:val="en-US" w:eastAsia="zh-CN"/>
        </w:rPr>
        <w:t>3</w:t>
      </w:r>
    </w:p>
    <w:p w14:paraId="3DAEFFE9">
      <w:pPr>
        <w:pStyle w:val="17"/>
        <w:spacing w:line="360" w:lineRule="auto"/>
        <w:ind w:left="0" w:leftChars="0" w:firstLine="0" w:firstLineChars="0"/>
        <w:jc w:val="center"/>
        <w:rPr>
          <w:rFonts w:hint="eastAsia" w:ascii="宋体" w:hAnsi="宋体" w:eastAsia="宋体" w:cs="宋体"/>
          <w:b/>
          <w:bCs/>
          <w:color w:val="auto"/>
          <w:szCs w:val="32"/>
          <w:highlight w:val="none"/>
        </w:rPr>
      </w:pPr>
      <w:bookmarkStart w:id="75" w:name="_Toc32022_WPSOffice_Level1"/>
      <w:r>
        <w:rPr>
          <w:rFonts w:hint="eastAsia" w:ascii="宋体" w:hAnsi="宋体" w:eastAsia="宋体" w:cs="宋体"/>
          <w:b/>
          <w:bCs/>
          <w:color w:val="auto"/>
          <w:szCs w:val="32"/>
          <w:highlight w:val="none"/>
        </w:rPr>
        <w:t>台州湾陆岛联动综合码头工程（一期）</w:t>
      </w:r>
      <w:r>
        <w:rPr>
          <w:rFonts w:hint="eastAsia" w:ascii="宋体" w:hAnsi="宋体" w:eastAsia="宋体" w:cs="宋体"/>
          <w:b/>
          <w:bCs/>
          <w:color w:val="auto"/>
          <w:szCs w:val="32"/>
          <w:highlight w:val="none"/>
          <w:lang w:eastAsia="zh-CN"/>
        </w:rPr>
        <w:t>建筑工程一切险</w:t>
      </w:r>
      <w:r>
        <w:rPr>
          <w:rFonts w:hint="eastAsia" w:ascii="宋体" w:hAnsi="宋体" w:eastAsia="宋体" w:cs="宋体"/>
          <w:b/>
          <w:bCs/>
          <w:color w:val="auto"/>
          <w:szCs w:val="32"/>
          <w:highlight w:val="none"/>
        </w:rPr>
        <w:t>及安全生产责任险保险方案</w:t>
      </w:r>
      <w:bookmarkEnd w:id="75"/>
    </w:p>
    <w:p w14:paraId="5C218412">
      <w:pPr>
        <w:ind w:firstLine="2530" w:firstLineChars="900"/>
        <w:jc w:val="both"/>
        <w:rPr>
          <w:rFonts w:hint="default" w:eastAsia="宋体"/>
          <w:color w:val="auto"/>
          <w:highlight w:val="none"/>
          <w:lang w:val="en-US" w:eastAsia="zh-CN"/>
        </w:rPr>
      </w:pPr>
      <w:r>
        <w:rPr>
          <w:rFonts w:hint="eastAsia" w:ascii="宋体" w:hAnsi="宋体" w:eastAsia="宋体" w:cs="宋体"/>
          <w:b/>
          <w:bCs/>
          <w:color w:val="auto"/>
          <w:sz w:val="28"/>
          <w:szCs w:val="24"/>
          <w:highlight w:val="none"/>
          <w:lang w:eastAsia="zh-CN"/>
        </w:rPr>
        <w:t>拟投入人员一览表</w:t>
      </w:r>
    </w:p>
    <w:tbl>
      <w:tblPr>
        <w:tblStyle w:val="30"/>
        <w:tblpPr w:leftFromText="180" w:rightFromText="180" w:vertAnchor="text" w:horzAnchor="page" w:tblpX="1421" w:tblpY="115"/>
        <w:tblOverlap w:val="never"/>
        <w:tblW w:w="0" w:type="auto"/>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5"/>
        <w:gridCol w:w="1737"/>
        <w:gridCol w:w="868"/>
        <w:gridCol w:w="659"/>
        <w:gridCol w:w="1422"/>
        <w:gridCol w:w="1332"/>
        <w:gridCol w:w="2343"/>
      </w:tblGrid>
      <w:tr w14:paraId="55495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725" w:type="dxa"/>
            <w:tcBorders>
              <w:left w:val="single" w:color="000000" w:sz="12" w:space="0"/>
              <w:right w:val="single" w:color="000000" w:sz="6" w:space="0"/>
            </w:tcBorders>
            <w:noWrap w:val="0"/>
            <w:vAlign w:val="top"/>
          </w:tcPr>
          <w:p w14:paraId="59A0768E">
            <w:pPr>
              <w:spacing w:line="393" w:lineRule="auto"/>
              <w:rPr>
                <w:rFonts w:ascii="Arial"/>
                <w:color w:val="auto"/>
                <w:sz w:val="21"/>
                <w:highlight w:val="none"/>
              </w:rPr>
            </w:pPr>
          </w:p>
          <w:p w14:paraId="79CF75EC">
            <w:pPr>
              <w:spacing w:before="62" w:line="226" w:lineRule="auto"/>
              <w:ind w:left="141"/>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序</w:t>
            </w:r>
            <w:r>
              <w:rPr>
                <w:rFonts w:ascii="宋体" w:hAnsi="宋体" w:eastAsia="宋体" w:cs="宋体"/>
                <w:color w:val="auto"/>
                <w:spacing w:val="1"/>
                <w:sz w:val="19"/>
                <w:szCs w:val="19"/>
                <w:highlight w:val="none"/>
              </w:rPr>
              <w:t>号</w:t>
            </w:r>
          </w:p>
        </w:tc>
        <w:tc>
          <w:tcPr>
            <w:tcW w:w="1737" w:type="dxa"/>
            <w:tcBorders>
              <w:left w:val="single" w:color="000000" w:sz="6" w:space="0"/>
              <w:right w:val="single" w:color="000000" w:sz="6" w:space="0"/>
            </w:tcBorders>
            <w:noWrap w:val="0"/>
            <w:vAlign w:val="top"/>
          </w:tcPr>
          <w:p w14:paraId="1667988C">
            <w:pPr>
              <w:spacing w:line="394" w:lineRule="auto"/>
              <w:rPr>
                <w:rFonts w:ascii="Arial"/>
                <w:color w:val="auto"/>
                <w:sz w:val="21"/>
                <w:highlight w:val="none"/>
              </w:rPr>
            </w:pPr>
          </w:p>
          <w:p w14:paraId="6133F372">
            <w:pPr>
              <w:spacing w:before="61" w:line="224" w:lineRule="auto"/>
              <w:ind w:left="671"/>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姓名</w:t>
            </w:r>
          </w:p>
        </w:tc>
        <w:tc>
          <w:tcPr>
            <w:tcW w:w="868" w:type="dxa"/>
            <w:tcBorders>
              <w:left w:val="single" w:color="000000" w:sz="6" w:space="0"/>
              <w:right w:val="single" w:color="000000" w:sz="6" w:space="0"/>
            </w:tcBorders>
            <w:noWrap w:val="0"/>
            <w:vAlign w:val="top"/>
          </w:tcPr>
          <w:p w14:paraId="4BE19F8A">
            <w:pPr>
              <w:spacing w:line="393" w:lineRule="auto"/>
              <w:rPr>
                <w:rFonts w:ascii="Arial"/>
                <w:color w:val="auto"/>
                <w:sz w:val="21"/>
                <w:highlight w:val="none"/>
              </w:rPr>
            </w:pPr>
          </w:p>
          <w:p w14:paraId="2CA17D8E">
            <w:pPr>
              <w:spacing w:before="62" w:line="225" w:lineRule="auto"/>
              <w:ind w:left="243"/>
              <w:rPr>
                <w:rFonts w:ascii="宋体" w:hAnsi="宋体" w:eastAsia="宋体" w:cs="宋体"/>
                <w:color w:val="auto"/>
                <w:sz w:val="19"/>
                <w:szCs w:val="19"/>
                <w:highlight w:val="none"/>
              </w:rPr>
            </w:pPr>
            <w:r>
              <w:rPr>
                <w:rFonts w:ascii="宋体" w:hAnsi="宋体" w:eastAsia="宋体" w:cs="宋体"/>
                <w:color w:val="auto"/>
                <w:sz w:val="19"/>
                <w:szCs w:val="19"/>
                <w:highlight w:val="none"/>
              </w:rPr>
              <w:t>性别</w:t>
            </w:r>
          </w:p>
        </w:tc>
        <w:tc>
          <w:tcPr>
            <w:tcW w:w="659" w:type="dxa"/>
            <w:tcBorders>
              <w:left w:val="single" w:color="000000" w:sz="6" w:space="0"/>
              <w:right w:val="single" w:color="000000" w:sz="6" w:space="0"/>
            </w:tcBorders>
            <w:noWrap w:val="0"/>
            <w:vAlign w:val="top"/>
          </w:tcPr>
          <w:p w14:paraId="6AE2210C">
            <w:pPr>
              <w:spacing w:line="394" w:lineRule="auto"/>
              <w:rPr>
                <w:rFonts w:ascii="Arial"/>
                <w:color w:val="auto"/>
                <w:sz w:val="21"/>
                <w:highlight w:val="none"/>
              </w:rPr>
            </w:pPr>
          </w:p>
          <w:p w14:paraId="349CA564">
            <w:pPr>
              <w:spacing w:before="61" w:line="224" w:lineRule="auto"/>
              <w:ind w:left="139"/>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年</w:t>
            </w:r>
            <w:r>
              <w:rPr>
                <w:rFonts w:ascii="宋体" w:hAnsi="宋体" w:eastAsia="宋体" w:cs="宋体"/>
                <w:color w:val="auto"/>
                <w:sz w:val="19"/>
                <w:szCs w:val="19"/>
                <w:highlight w:val="none"/>
              </w:rPr>
              <w:t>龄</w:t>
            </w:r>
          </w:p>
        </w:tc>
        <w:tc>
          <w:tcPr>
            <w:tcW w:w="1422" w:type="dxa"/>
            <w:tcBorders>
              <w:left w:val="single" w:color="000000" w:sz="6" w:space="0"/>
              <w:right w:val="single" w:color="000000" w:sz="6" w:space="0"/>
            </w:tcBorders>
            <w:noWrap w:val="0"/>
            <w:vAlign w:val="top"/>
          </w:tcPr>
          <w:p w14:paraId="12D1DDF5">
            <w:pPr>
              <w:spacing w:line="394" w:lineRule="auto"/>
              <w:rPr>
                <w:rFonts w:ascii="Arial"/>
                <w:color w:val="auto"/>
                <w:sz w:val="21"/>
                <w:highlight w:val="none"/>
              </w:rPr>
            </w:pPr>
          </w:p>
          <w:p w14:paraId="504E524A">
            <w:pPr>
              <w:spacing w:before="61" w:line="224" w:lineRule="auto"/>
              <w:ind w:left="532"/>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职</w:t>
            </w:r>
            <w:r>
              <w:rPr>
                <w:rFonts w:ascii="宋体" w:hAnsi="宋体" w:eastAsia="宋体" w:cs="宋体"/>
                <w:color w:val="auto"/>
                <w:sz w:val="19"/>
                <w:szCs w:val="19"/>
                <w:highlight w:val="none"/>
              </w:rPr>
              <w:t>务</w:t>
            </w:r>
          </w:p>
        </w:tc>
        <w:tc>
          <w:tcPr>
            <w:tcW w:w="1332" w:type="dxa"/>
            <w:tcBorders>
              <w:left w:val="single" w:color="000000" w:sz="6" w:space="0"/>
              <w:right w:val="single" w:color="000000" w:sz="6" w:space="0"/>
            </w:tcBorders>
            <w:noWrap w:val="0"/>
            <w:vAlign w:val="top"/>
          </w:tcPr>
          <w:p w14:paraId="4C5CDD98">
            <w:pPr>
              <w:spacing w:line="394" w:lineRule="auto"/>
              <w:rPr>
                <w:rFonts w:ascii="Arial"/>
                <w:color w:val="auto"/>
                <w:sz w:val="21"/>
                <w:highlight w:val="none"/>
              </w:rPr>
            </w:pPr>
          </w:p>
          <w:p w14:paraId="2D0B2E78">
            <w:pPr>
              <w:spacing w:before="61" w:line="224" w:lineRule="auto"/>
              <w:ind w:left="281"/>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技术职</w:t>
            </w:r>
            <w:r>
              <w:rPr>
                <w:rFonts w:ascii="宋体" w:hAnsi="宋体" w:eastAsia="宋体" w:cs="宋体"/>
                <w:color w:val="auto"/>
                <w:spacing w:val="2"/>
                <w:sz w:val="19"/>
                <w:szCs w:val="19"/>
                <w:highlight w:val="none"/>
              </w:rPr>
              <w:t>称</w:t>
            </w:r>
          </w:p>
        </w:tc>
        <w:tc>
          <w:tcPr>
            <w:tcW w:w="2343" w:type="dxa"/>
            <w:tcBorders>
              <w:left w:val="single" w:color="000000" w:sz="6" w:space="0"/>
              <w:right w:val="single" w:color="000000" w:sz="12" w:space="0"/>
            </w:tcBorders>
            <w:noWrap w:val="0"/>
            <w:vAlign w:val="top"/>
          </w:tcPr>
          <w:p w14:paraId="67447141">
            <w:pPr>
              <w:spacing w:line="393" w:lineRule="auto"/>
              <w:rPr>
                <w:rFonts w:ascii="Arial"/>
                <w:color w:val="auto"/>
                <w:sz w:val="21"/>
                <w:highlight w:val="none"/>
              </w:rPr>
            </w:pPr>
          </w:p>
          <w:p w14:paraId="00375557">
            <w:pPr>
              <w:spacing w:before="62" w:line="224" w:lineRule="auto"/>
              <w:ind w:left="301"/>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本项目拟担任的职务</w:t>
            </w:r>
          </w:p>
        </w:tc>
      </w:tr>
      <w:tr w14:paraId="4B32A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67DB8897">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5C7233B0">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5A998236">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61EB3244">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0EDF2C20">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7F10DEB1">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32FDA175">
            <w:pPr>
              <w:rPr>
                <w:rFonts w:ascii="Arial"/>
                <w:color w:val="auto"/>
                <w:sz w:val="21"/>
                <w:highlight w:val="none"/>
              </w:rPr>
            </w:pPr>
          </w:p>
        </w:tc>
      </w:tr>
      <w:tr w14:paraId="19885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25" w:type="dxa"/>
            <w:tcBorders>
              <w:left w:val="single" w:color="000000" w:sz="12" w:space="0"/>
              <w:right w:val="single" w:color="000000" w:sz="6" w:space="0"/>
            </w:tcBorders>
            <w:noWrap w:val="0"/>
            <w:vAlign w:val="top"/>
          </w:tcPr>
          <w:p w14:paraId="70EF5CAE">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332329C6">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12052697">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38182EEE">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004430AE">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53C82BFF">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64BB20DC">
            <w:pPr>
              <w:rPr>
                <w:rFonts w:ascii="Arial"/>
                <w:color w:val="auto"/>
                <w:sz w:val="21"/>
                <w:highlight w:val="none"/>
              </w:rPr>
            </w:pPr>
          </w:p>
        </w:tc>
      </w:tr>
      <w:tr w14:paraId="63E73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2FB0DDFB">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336D3D19">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2E5F8C2D">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41050068">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641EC53B">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5B7F7004">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33EAE298">
            <w:pPr>
              <w:rPr>
                <w:rFonts w:ascii="Arial"/>
                <w:color w:val="auto"/>
                <w:sz w:val="21"/>
                <w:highlight w:val="none"/>
              </w:rPr>
            </w:pPr>
          </w:p>
        </w:tc>
      </w:tr>
      <w:tr w14:paraId="1AAED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62CB18A3">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01A6CD34">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17086E0B">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68ACBBFA">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6EBB51E0">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7CC4AFE1">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2244C65C">
            <w:pPr>
              <w:rPr>
                <w:rFonts w:ascii="Arial"/>
                <w:color w:val="auto"/>
                <w:sz w:val="21"/>
                <w:highlight w:val="none"/>
              </w:rPr>
            </w:pPr>
          </w:p>
        </w:tc>
      </w:tr>
      <w:tr w14:paraId="3F947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5" w:type="dxa"/>
            <w:tcBorders>
              <w:left w:val="single" w:color="000000" w:sz="12" w:space="0"/>
              <w:right w:val="single" w:color="000000" w:sz="6" w:space="0"/>
            </w:tcBorders>
            <w:noWrap w:val="0"/>
            <w:vAlign w:val="top"/>
          </w:tcPr>
          <w:p w14:paraId="2C48C9BD">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27FD8C31">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43AD5DED">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076FD422">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6F1A1839">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1236B49A">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3E8EF549">
            <w:pPr>
              <w:rPr>
                <w:rFonts w:ascii="Arial"/>
                <w:color w:val="auto"/>
                <w:sz w:val="21"/>
                <w:highlight w:val="none"/>
              </w:rPr>
            </w:pPr>
          </w:p>
        </w:tc>
      </w:tr>
      <w:tr w14:paraId="6EE66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73423B57">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26040307">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7CAF45B3">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057C8125">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76B0DC91">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574183C8">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69DBDD07">
            <w:pPr>
              <w:rPr>
                <w:rFonts w:ascii="Arial"/>
                <w:color w:val="auto"/>
                <w:sz w:val="21"/>
                <w:highlight w:val="none"/>
              </w:rPr>
            </w:pPr>
          </w:p>
        </w:tc>
      </w:tr>
      <w:tr w14:paraId="2FA3D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4EA0D6C2">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1701C956">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7080CF93">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5211843E">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556F7B1D">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50020D52">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11C490A3">
            <w:pPr>
              <w:rPr>
                <w:rFonts w:ascii="Arial"/>
                <w:color w:val="auto"/>
                <w:sz w:val="21"/>
                <w:highlight w:val="none"/>
              </w:rPr>
            </w:pPr>
          </w:p>
        </w:tc>
      </w:tr>
      <w:tr w14:paraId="2774D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25" w:type="dxa"/>
            <w:tcBorders>
              <w:left w:val="single" w:color="000000" w:sz="12" w:space="0"/>
              <w:right w:val="single" w:color="000000" w:sz="6" w:space="0"/>
            </w:tcBorders>
            <w:noWrap w:val="0"/>
            <w:vAlign w:val="top"/>
          </w:tcPr>
          <w:p w14:paraId="18FDA522">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0537C8C0">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4CB189C6">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25154596">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32941459">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2174B8C5">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217C0EE7">
            <w:pPr>
              <w:rPr>
                <w:rFonts w:ascii="Arial"/>
                <w:color w:val="auto"/>
                <w:sz w:val="21"/>
                <w:highlight w:val="none"/>
              </w:rPr>
            </w:pPr>
          </w:p>
        </w:tc>
      </w:tr>
      <w:tr w14:paraId="237F7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4FDEED63">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269F7B55">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3ABCDDFA">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2A542DCA">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104AEBAD">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774DA779">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7354CB57">
            <w:pPr>
              <w:rPr>
                <w:rFonts w:ascii="Arial"/>
                <w:color w:val="auto"/>
                <w:sz w:val="21"/>
                <w:highlight w:val="none"/>
              </w:rPr>
            </w:pPr>
          </w:p>
        </w:tc>
      </w:tr>
      <w:tr w14:paraId="76974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725" w:type="dxa"/>
            <w:tcBorders>
              <w:left w:val="single" w:color="000000" w:sz="12" w:space="0"/>
              <w:right w:val="single" w:color="000000" w:sz="6" w:space="0"/>
            </w:tcBorders>
            <w:noWrap w:val="0"/>
            <w:vAlign w:val="top"/>
          </w:tcPr>
          <w:p w14:paraId="7FDE3F09">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0F4EF2C8">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6D2790DC">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412D5BA4">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3FB30418">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785FCB2E">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47990A8F">
            <w:pPr>
              <w:rPr>
                <w:rFonts w:ascii="Arial"/>
                <w:color w:val="auto"/>
                <w:sz w:val="21"/>
                <w:highlight w:val="none"/>
              </w:rPr>
            </w:pPr>
          </w:p>
        </w:tc>
      </w:tr>
      <w:tr w14:paraId="45EE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25" w:type="dxa"/>
            <w:tcBorders>
              <w:left w:val="single" w:color="000000" w:sz="12" w:space="0"/>
              <w:right w:val="single" w:color="000000" w:sz="6" w:space="0"/>
            </w:tcBorders>
            <w:noWrap w:val="0"/>
            <w:vAlign w:val="top"/>
          </w:tcPr>
          <w:p w14:paraId="20CB3203">
            <w:pPr>
              <w:rPr>
                <w:rFonts w:ascii="Arial"/>
                <w:color w:val="auto"/>
                <w:sz w:val="21"/>
                <w:highlight w:val="none"/>
              </w:rPr>
            </w:pPr>
          </w:p>
        </w:tc>
        <w:tc>
          <w:tcPr>
            <w:tcW w:w="1737" w:type="dxa"/>
            <w:tcBorders>
              <w:left w:val="single" w:color="000000" w:sz="6" w:space="0"/>
              <w:right w:val="single" w:color="000000" w:sz="6" w:space="0"/>
            </w:tcBorders>
            <w:noWrap w:val="0"/>
            <w:vAlign w:val="top"/>
          </w:tcPr>
          <w:p w14:paraId="052A2A32">
            <w:pPr>
              <w:rPr>
                <w:rFonts w:ascii="Arial"/>
                <w:color w:val="auto"/>
                <w:sz w:val="21"/>
                <w:highlight w:val="none"/>
              </w:rPr>
            </w:pPr>
          </w:p>
        </w:tc>
        <w:tc>
          <w:tcPr>
            <w:tcW w:w="868" w:type="dxa"/>
            <w:tcBorders>
              <w:left w:val="single" w:color="000000" w:sz="6" w:space="0"/>
              <w:right w:val="single" w:color="000000" w:sz="6" w:space="0"/>
            </w:tcBorders>
            <w:noWrap w:val="0"/>
            <w:vAlign w:val="top"/>
          </w:tcPr>
          <w:p w14:paraId="1F65D69B">
            <w:pPr>
              <w:rPr>
                <w:rFonts w:ascii="Arial"/>
                <w:color w:val="auto"/>
                <w:sz w:val="21"/>
                <w:highlight w:val="none"/>
              </w:rPr>
            </w:pPr>
          </w:p>
        </w:tc>
        <w:tc>
          <w:tcPr>
            <w:tcW w:w="659" w:type="dxa"/>
            <w:tcBorders>
              <w:left w:val="single" w:color="000000" w:sz="6" w:space="0"/>
              <w:right w:val="single" w:color="000000" w:sz="6" w:space="0"/>
            </w:tcBorders>
            <w:noWrap w:val="0"/>
            <w:vAlign w:val="top"/>
          </w:tcPr>
          <w:p w14:paraId="3F2B39CC">
            <w:pPr>
              <w:rPr>
                <w:rFonts w:ascii="Arial"/>
                <w:color w:val="auto"/>
                <w:sz w:val="21"/>
                <w:highlight w:val="none"/>
              </w:rPr>
            </w:pPr>
          </w:p>
        </w:tc>
        <w:tc>
          <w:tcPr>
            <w:tcW w:w="1422" w:type="dxa"/>
            <w:tcBorders>
              <w:left w:val="single" w:color="000000" w:sz="6" w:space="0"/>
              <w:right w:val="single" w:color="000000" w:sz="6" w:space="0"/>
            </w:tcBorders>
            <w:noWrap w:val="0"/>
            <w:vAlign w:val="top"/>
          </w:tcPr>
          <w:p w14:paraId="50FB5BC7">
            <w:pPr>
              <w:rPr>
                <w:rFonts w:ascii="Arial"/>
                <w:color w:val="auto"/>
                <w:sz w:val="21"/>
                <w:highlight w:val="none"/>
              </w:rPr>
            </w:pPr>
          </w:p>
        </w:tc>
        <w:tc>
          <w:tcPr>
            <w:tcW w:w="1332" w:type="dxa"/>
            <w:tcBorders>
              <w:left w:val="single" w:color="000000" w:sz="6" w:space="0"/>
              <w:right w:val="single" w:color="000000" w:sz="6" w:space="0"/>
            </w:tcBorders>
            <w:noWrap w:val="0"/>
            <w:vAlign w:val="top"/>
          </w:tcPr>
          <w:p w14:paraId="46A99D12">
            <w:pPr>
              <w:rPr>
                <w:rFonts w:ascii="Arial"/>
                <w:color w:val="auto"/>
                <w:sz w:val="21"/>
                <w:highlight w:val="none"/>
              </w:rPr>
            </w:pPr>
          </w:p>
        </w:tc>
        <w:tc>
          <w:tcPr>
            <w:tcW w:w="2343" w:type="dxa"/>
            <w:tcBorders>
              <w:left w:val="single" w:color="000000" w:sz="6" w:space="0"/>
              <w:right w:val="single" w:color="000000" w:sz="12" w:space="0"/>
            </w:tcBorders>
            <w:noWrap w:val="0"/>
            <w:vAlign w:val="top"/>
          </w:tcPr>
          <w:p w14:paraId="05DF6420">
            <w:pPr>
              <w:rPr>
                <w:rFonts w:ascii="Arial"/>
                <w:color w:val="auto"/>
                <w:sz w:val="21"/>
                <w:highlight w:val="none"/>
              </w:rPr>
            </w:pPr>
          </w:p>
        </w:tc>
      </w:tr>
    </w:tbl>
    <w:p w14:paraId="515887C7">
      <w:pPr>
        <w:ind w:firstLine="210" w:firstLineChars="100"/>
        <w:rPr>
          <w:rFonts w:hint="eastAsia" w:ascii="宋体" w:hAnsi="宋体" w:eastAsia="宋体" w:cs="宋体"/>
          <w:snapToGrid w:val="0"/>
          <w:color w:val="auto"/>
          <w:sz w:val="21"/>
          <w:szCs w:val="21"/>
          <w:highlight w:val="none"/>
        </w:rPr>
      </w:pPr>
    </w:p>
    <w:p w14:paraId="21877D45">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投标单位名称： (盖单位电子公章)</w:t>
      </w:r>
    </w:p>
    <w:p w14:paraId="24390EF1">
      <w:pPr>
        <w:ind w:firstLine="210" w:firstLineChars="100"/>
        <w:rPr>
          <w:rFonts w:hint="eastAsia" w:ascii="宋体" w:hAnsi="宋体" w:eastAsia="宋体" w:cs="宋体"/>
          <w:snapToGrid w:val="0"/>
          <w:color w:val="auto"/>
          <w:sz w:val="21"/>
          <w:szCs w:val="21"/>
          <w:highlight w:val="none"/>
        </w:rPr>
      </w:pPr>
    </w:p>
    <w:p w14:paraId="7BC6BD0F">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法定代表人（负责人）或委托代理人：（电子签章）</w:t>
      </w:r>
    </w:p>
    <w:p w14:paraId="51AB5CC3">
      <w:pPr>
        <w:spacing w:line="440" w:lineRule="exact"/>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 xml:space="preserve">  日期：   年   月   日</w:t>
      </w:r>
    </w:p>
    <w:p w14:paraId="49337580">
      <w:pPr>
        <w:jc w:val="left"/>
        <w:rPr>
          <w:rFonts w:hint="eastAsia" w:ascii="宋体" w:hAnsi="宋体" w:eastAsia="宋体" w:cs="宋体"/>
          <w:b/>
          <w:bCs/>
          <w:color w:val="auto"/>
          <w:sz w:val="21"/>
          <w:szCs w:val="21"/>
          <w:highlight w:val="none"/>
          <w:lang w:val="en-US" w:eastAsia="zh-CN"/>
        </w:rPr>
      </w:pPr>
      <w:r>
        <w:rPr>
          <w:rFonts w:ascii="宋体" w:hAnsi="宋体" w:eastAsia="宋体" w:cs="宋体"/>
          <w:color w:val="auto"/>
          <w:spacing w:val="18"/>
          <w:sz w:val="28"/>
          <w:szCs w:val="28"/>
          <w:highlight w:val="none"/>
        </w:rPr>
        <w:br w:type="pag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4</w:t>
      </w:r>
    </w:p>
    <w:p w14:paraId="38642EA2">
      <w:pPr>
        <w:jc w:val="center"/>
        <w:rPr>
          <w:rFonts w:hint="eastAsia" w:ascii="宋体" w:hAnsi="宋体" w:eastAsia="宋体" w:cs="宋体"/>
          <w:b/>
          <w:bCs/>
          <w:color w:val="auto"/>
          <w:kern w:val="2"/>
          <w:sz w:val="28"/>
          <w:szCs w:val="24"/>
          <w:highlight w:val="none"/>
          <w:lang w:val="en-US" w:eastAsia="zh-CN" w:bidi="ar-SA"/>
        </w:rPr>
      </w:pPr>
      <w:r>
        <w:rPr>
          <w:rFonts w:hint="eastAsia" w:ascii="宋体" w:hAnsi="宋体" w:eastAsia="宋体" w:cs="宋体"/>
          <w:b/>
          <w:bCs/>
          <w:color w:val="auto"/>
          <w:kern w:val="2"/>
          <w:sz w:val="28"/>
          <w:szCs w:val="24"/>
          <w:highlight w:val="none"/>
          <w:lang w:val="en-US" w:eastAsia="zh-CN" w:bidi="ar-SA"/>
        </w:rPr>
        <w:t>台州湾陆岛联动综合码头工程（一期）建筑工程一切险及安全生产责任险保险服务项目</w:t>
      </w:r>
    </w:p>
    <w:p w14:paraId="277FCF0D">
      <w:pPr>
        <w:pStyle w:val="1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kern w:val="2"/>
          <w:sz w:val="28"/>
          <w:szCs w:val="24"/>
          <w:highlight w:val="none"/>
          <w:lang w:val="en-US" w:eastAsia="zh-CN" w:bidi="ar-SA"/>
        </w:rPr>
      </w:pPr>
      <w:r>
        <w:rPr>
          <w:rFonts w:hint="eastAsia" w:ascii="宋体" w:hAnsi="宋体" w:eastAsia="宋体" w:cs="宋体"/>
          <w:b/>
          <w:bCs/>
          <w:color w:val="auto"/>
          <w:kern w:val="2"/>
          <w:sz w:val="28"/>
          <w:szCs w:val="24"/>
          <w:highlight w:val="none"/>
          <w:lang w:val="en-US" w:eastAsia="zh-CN" w:bidi="ar-SA"/>
        </w:rPr>
        <w:t>拟投入主要人员简历表</w:t>
      </w:r>
    </w:p>
    <w:tbl>
      <w:tblPr>
        <w:tblStyle w:val="30"/>
        <w:tblW w:w="0" w:type="auto"/>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824"/>
        <w:gridCol w:w="823"/>
        <w:gridCol w:w="778"/>
        <w:gridCol w:w="913"/>
        <w:gridCol w:w="823"/>
        <w:gridCol w:w="135"/>
        <w:gridCol w:w="539"/>
        <w:gridCol w:w="718"/>
        <w:gridCol w:w="509"/>
        <w:gridCol w:w="1063"/>
        <w:gridCol w:w="1370"/>
      </w:tblGrid>
      <w:tr w14:paraId="6B29B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221" w:type="dxa"/>
            <w:gridSpan w:val="12"/>
            <w:tcBorders>
              <w:left w:val="single" w:color="000000" w:sz="12" w:space="0"/>
              <w:right w:val="single" w:color="000000" w:sz="12" w:space="0"/>
            </w:tcBorders>
            <w:noWrap w:val="0"/>
            <w:vAlign w:val="top"/>
          </w:tcPr>
          <w:p w14:paraId="7D2E9116">
            <w:pPr>
              <w:spacing w:before="299" w:line="220" w:lineRule="auto"/>
              <w:ind w:left="4067"/>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1</w:t>
            </w:r>
            <w:r>
              <w:rPr>
                <w:rFonts w:ascii="宋体" w:hAnsi="宋体" w:eastAsia="宋体" w:cs="宋体"/>
                <w:color w:val="auto"/>
                <w:spacing w:val="-5"/>
                <w:sz w:val="24"/>
                <w:szCs w:val="24"/>
                <w:highlight w:val="none"/>
              </w:rPr>
              <w:t>．一般情况</w:t>
            </w:r>
          </w:p>
        </w:tc>
      </w:tr>
      <w:tr w14:paraId="4C65D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26" w:type="dxa"/>
            <w:tcBorders>
              <w:left w:val="single" w:color="000000" w:sz="12" w:space="0"/>
              <w:right w:val="single" w:color="000000" w:sz="6" w:space="0"/>
            </w:tcBorders>
            <w:noWrap w:val="0"/>
            <w:vAlign w:val="top"/>
          </w:tcPr>
          <w:p w14:paraId="6490F6B4">
            <w:pPr>
              <w:spacing w:before="276" w:line="220" w:lineRule="auto"/>
              <w:ind w:left="9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姓</w:t>
            </w:r>
            <w:r>
              <w:rPr>
                <w:rFonts w:ascii="宋体" w:hAnsi="宋体" w:eastAsia="宋体" w:cs="宋体"/>
                <w:color w:val="auto"/>
                <w:spacing w:val="-2"/>
                <w:sz w:val="24"/>
                <w:szCs w:val="24"/>
                <w:highlight w:val="none"/>
              </w:rPr>
              <w:t>名</w:t>
            </w:r>
          </w:p>
        </w:tc>
        <w:tc>
          <w:tcPr>
            <w:tcW w:w="824" w:type="dxa"/>
            <w:tcBorders>
              <w:left w:val="single" w:color="000000" w:sz="6" w:space="0"/>
              <w:right w:val="single" w:color="000000" w:sz="6" w:space="0"/>
            </w:tcBorders>
            <w:noWrap w:val="0"/>
            <w:vAlign w:val="top"/>
          </w:tcPr>
          <w:p w14:paraId="2C798279">
            <w:pPr>
              <w:rPr>
                <w:rFonts w:ascii="Arial"/>
                <w:color w:val="auto"/>
                <w:sz w:val="21"/>
                <w:highlight w:val="none"/>
              </w:rPr>
            </w:pPr>
          </w:p>
        </w:tc>
        <w:tc>
          <w:tcPr>
            <w:tcW w:w="823" w:type="dxa"/>
            <w:tcBorders>
              <w:left w:val="single" w:color="000000" w:sz="6" w:space="0"/>
              <w:right w:val="single" w:color="000000" w:sz="6" w:space="0"/>
            </w:tcBorders>
            <w:noWrap w:val="0"/>
            <w:vAlign w:val="top"/>
          </w:tcPr>
          <w:p w14:paraId="5D2CBE3B">
            <w:pPr>
              <w:spacing w:before="277" w:line="220" w:lineRule="auto"/>
              <w:ind w:left="10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性别</w:t>
            </w:r>
          </w:p>
        </w:tc>
        <w:tc>
          <w:tcPr>
            <w:tcW w:w="778" w:type="dxa"/>
            <w:tcBorders>
              <w:left w:val="single" w:color="000000" w:sz="6" w:space="0"/>
              <w:right w:val="single" w:color="000000" w:sz="6" w:space="0"/>
            </w:tcBorders>
            <w:noWrap w:val="0"/>
            <w:vAlign w:val="top"/>
          </w:tcPr>
          <w:p w14:paraId="1C4C7380">
            <w:pPr>
              <w:rPr>
                <w:rFonts w:ascii="Arial"/>
                <w:color w:val="auto"/>
                <w:sz w:val="21"/>
                <w:highlight w:val="none"/>
              </w:rPr>
            </w:pPr>
          </w:p>
        </w:tc>
        <w:tc>
          <w:tcPr>
            <w:tcW w:w="913" w:type="dxa"/>
            <w:tcBorders>
              <w:left w:val="single" w:color="000000" w:sz="6" w:space="0"/>
              <w:right w:val="single" w:color="000000" w:sz="6" w:space="0"/>
            </w:tcBorders>
            <w:noWrap w:val="0"/>
            <w:vAlign w:val="top"/>
          </w:tcPr>
          <w:p w14:paraId="21AE431C">
            <w:pPr>
              <w:spacing w:before="276" w:line="220" w:lineRule="auto"/>
              <w:ind w:left="11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w:t>
            </w:r>
            <w:r>
              <w:rPr>
                <w:rFonts w:ascii="宋体" w:hAnsi="宋体" w:eastAsia="宋体" w:cs="宋体"/>
                <w:color w:val="auto"/>
                <w:spacing w:val="-2"/>
                <w:sz w:val="24"/>
                <w:szCs w:val="24"/>
                <w:highlight w:val="none"/>
              </w:rPr>
              <w:t>龄</w:t>
            </w:r>
          </w:p>
        </w:tc>
        <w:tc>
          <w:tcPr>
            <w:tcW w:w="823" w:type="dxa"/>
            <w:tcBorders>
              <w:left w:val="single" w:color="000000" w:sz="6" w:space="0"/>
              <w:right w:val="single" w:color="000000" w:sz="6" w:space="0"/>
            </w:tcBorders>
            <w:noWrap w:val="0"/>
            <w:vAlign w:val="top"/>
          </w:tcPr>
          <w:p w14:paraId="664B15C2">
            <w:pPr>
              <w:rPr>
                <w:rFonts w:ascii="Arial"/>
                <w:color w:val="auto"/>
                <w:sz w:val="21"/>
                <w:highlight w:val="none"/>
              </w:rPr>
            </w:pPr>
          </w:p>
        </w:tc>
        <w:tc>
          <w:tcPr>
            <w:tcW w:w="674" w:type="dxa"/>
            <w:gridSpan w:val="2"/>
            <w:tcBorders>
              <w:left w:val="single" w:color="000000" w:sz="6" w:space="0"/>
              <w:right w:val="single" w:color="000000" w:sz="6" w:space="0"/>
            </w:tcBorders>
            <w:noWrap w:val="0"/>
            <w:vAlign w:val="top"/>
          </w:tcPr>
          <w:p w14:paraId="5F786668">
            <w:pPr>
              <w:spacing w:before="126" w:line="231" w:lineRule="auto"/>
              <w:ind w:left="136"/>
              <w:rPr>
                <w:rFonts w:ascii="宋体" w:hAnsi="宋体" w:eastAsia="宋体" w:cs="宋体"/>
                <w:color w:val="auto"/>
                <w:sz w:val="24"/>
                <w:szCs w:val="24"/>
                <w:highlight w:val="none"/>
              </w:rPr>
            </w:pPr>
            <w:r>
              <w:rPr>
                <w:rFonts w:ascii="宋体" w:hAnsi="宋体" w:eastAsia="宋体" w:cs="宋体"/>
                <w:color w:val="auto"/>
                <w:sz w:val="24"/>
                <w:szCs w:val="24"/>
                <w:highlight w:val="none"/>
              </w:rPr>
              <w:t>学</w:t>
            </w:r>
          </w:p>
          <w:p w14:paraId="278E69D7">
            <w:pPr>
              <w:spacing w:before="1" w:line="220" w:lineRule="auto"/>
              <w:ind w:left="131"/>
              <w:rPr>
                <w:rFonts w:ascii="宋体" w:hAnsi="宋体" w:eastAsia="宋体" w:cs="宋体"/>
                <w:color w:val="auto"/>
                <w:sz w:val="24"/>
                <w:szCs w:val="24"/>
                <w:highlight w:val="none"/>
              </w:rPr>
            </w:pPr>
            <w:r>
              <w:rPr>
                <w:rFonts w:ascii="宋体" w:hAnsi="宋体" w:eastAsia="宋体" w:cs="宋体"/>
                <w:color w:val="auto"/>
                <w:sz w:val="24"/>
                <w:szCs w:val="24"/>
                <w:highlight w:val="none"/>
              </w:rPr>
              <w:t>位</w:t>
            </w:r>
          </w:p>
        </w:tc>
        <w:tc>
          <w:tcPr>
            <w:tcW w:w="718" w:type="dxa"/>
            <w:tcBorders>
              <w:left w:val="single" w:color="000000" w:sz="6" w:space="0"/>
              <w:right w:val="single" w:color="000000" w:sz="6" w:space="0"/>
            </w:tcBorders>
            <w:noWrap w:val="0"/>
            <w:vAlign w:val="top"/>
          </w:tcPr>
          <w:p w14:paraId="58AB8EB0">
            <w:pPr>
              <w:rPr>
                <w:rFonts w:ascii="Arial"/>
                <w:color w:val="auto"/>
                <w:sz w:val="21"/>
                <w:highlight w:val="none"/>
              </w:rPr>
            </w:pPr>
          </w:p>
        </w:tc>
        <w:tc>
          <w:tcPr>
            <w:tcW w:w="1572" w:type="dxa"/>
            <w:gridSpan w:val="2"/>
            <w:tcBorders>
              <w:left w:val="single" w:color="000000" w:sz="6" w:space="0"/>
              <w:right w:val="single" w:color="000000" w:sz="6" w:space="0"/>
            </w:tcBorders>
            <w:noWrap w:val="0"/>
            <w:vAlign w:val="top"/>
          </w:tcPr>
          <w:p w14:paraId="1D8861AF">
            <w:pPr>
              <w:spacing w:before="276" w:line="220" w:lineRule="auto"/>
              <w:ind w:left="12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身</w:t>
            </w:r>
            <w:r>
              <w:rPr>
                <w:rFonts w:ascii="宋体" w:hAnsi="宋体" w:eastAsia="宋体" w:cs="宋体"/>
                <w:color w:val="auto"/>
                <w:spacing w:val="-2"/>
                <w:sz w:val="24"/>
                <w:szCs w:val="24"/>
                <w:highlight w:val="none"/>
              </w:rPr>
              <w:t>份证号码</w:t>
            </w:r>
          </w:p>
        </w:tc>
        <w:tc>
          <w:tcPr>
            <w:tcW w:w="1370" w:type="dxa"/>
            <w:tcBorders>
              <w:left w:val="single" w:color="000000" w:sz="6" w:space="0"/>
              <w:right w:val="single" w:color="000000" w:sz="12" w:space="0"/>
            </w:tcBorders>
            <w:noWrap w:val="0"/>
            <w:vAlign w:val="top"/>
          </w:tcPr>
          <w:p w14:paraId="374B784A">
            <w:pPr>
              <w:rPr>
                <w:rFonts w:ascii="Arial"/>
                <w:color w:val="auto"/>
                <w:sz w:val="21"/>
                <w:highlight w:val="none"/>
              </w:rPr>
            </w:pPr>
          </w:p>
        </w:tc>
      </w:tr>
      <w:tr w14:paraId="44B3E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064" w:type="dxa"/>
            <w:gridSpan w:val="5"/>
            <w:tcBorders>
              <w:left w:val="single" w:color="000000" w:sz="12" w:space="0"/>
              <w:right w:val="single" w:color="000000" w:sz="6" w:space="0"/>
            </w:tcBorders>
            <w:noWrap w:val="0"/>
            <w:vAlign w:val="top"/>
          </w:tcPr>
          <w:p w14:paraId="378622D3">
            <w:pPr>
              <w:spacing w:before="276" w:line="220" w:lineRule="auto"/>
              <w:ind w:left="102"/>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为投标人服务时间(年</w:t>
            </w:r>
            <w:r>
              <w:rPr>
                <w:rFonts w:ascii="宋体" w:hAnsi="宋体" w:eastAsia="宋体" w:cs="宋体"/>
                <w:color w:val="auto"/>
                <w:spacing w:val="6"/>
                <w:sz w:val="24"/>
                <w:szCs w:val="24"/>
                <w:highlight w:val="none"/>
              </w:rPr>
              <w:t>)</w:t>
            </w:r>
          </w:p>
        </w:tc>
        <w:tc>
          <w:tcPr>
            <w:tcW w:w="1497" w:type="dxa"/>
            <w:gridSpan w:val="3"/>
            <w:tcBorders>
              <w:left w:val="single" w:color="000000" w:sz="6" w:space="0"/>
              <w:right w:val="single" w:color="000000" w:sz="6" w:space="0"/>
            </w:tcBorders>
            <w:noWrap w:val="0"/>
            <w:vAlign w:val="top"/>
          </w:tcPr>
          <w:p w14:paraId="4F653FEE">
            <w:pPr>
              <w:rPr>
                <w:rFonts w:ascii="Arial"/>
                <w:color w:val="auto"/>
                <w:sz w:val="21"/>
                <w:highlight w:val="none"/>
              </w:rPr>
            </w:pPr>
          </w:p>
        </w:tc>
        <w:tc>
          <w:tcPr>
            <w:tcW w:w="2290" w:type="dxa"/>
            <w:gridSpan w:val="3"/>
            <w:tcBorders>
              <w:left w:val="single" w:color="000000" w:sz="6" w:space="0"/>
              <w:right w:val="single" w:color="000000" w:sz="6" w:space="0"/>
            </w:tcBorders>
            <w:noWrap w:val="0"/>
            <w:vAlign w:val="top"/>
          </w:tcPr>
          <w:p w14:paraId="3126BAA0">
            <w:pPr>
              <w:spacing w:before="277" w:line="219" w:lineRule="auto"/>
              <w:ind w:left="1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在本合同中</w:t>
            </w:r>
            <w:r>
              <w:rPr>
                <w:rFonts w:ascii="宋体" w:hAnsi="宋体" w:eastAsia="宋体" w:cs="宋体"/>
                <w:color w:val="auto"/>
                <w:sz w:val="24"/>
                <w:szCs w:val="24"/>
                <w:highlight w:val="none"/>
              </w:rPr>
              <w:t>拟任职</w:t>
            </w:r>
          </w:p>
        </w:tc>
        <w:tc>
          <w:tcPr>
            <w:tcW w:w="1370" w:type="dxa"/>
            <w:tcBorders>
              <w:left w:val="single" w:color="000000" w:sz="6" w:space="0"/>
              <w:right w:val="single" w:color="000000" w:sz="12" w:space="0"/>
            </w:tcBorders>
            <w:noWrap w:val="0"/>
            <w:vAlign w:val="top"/>
          </w:tcPr>
          <w:p w14:paraId="006919BF">
            <w:pPr>
              <w:rPr>
                <w:rFonts w:ascii="Arial"/>
                <w:color w:val="auto"/>
                <w:sz w:val="21"/>
                <w:highlight w:val="none"/>
              </w:rPr>
            </w:pPr>
          </w:p>
        </w:tc>
      </w:tr>
      <w:tr w14:paraId="66AC8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26" w:type="dxa"/>
            <w:tcBorders>
              <w:left w:val="single" w:color="000000" w:sz="12" w:space="0"/>
              <w:right w:val="single" w:color="000000" w:sz="6" w:space="0"/>
            </w:tcBorders>
            <w:noWrap w:val="0"/>
            <w:vAlign w:val="top"/>
          </w:tcPr>
          <w:p w14:paraId="38C4633D">
            <w:pPr>
              <w:spacing w:before="278" w:line="221" w:lineRule="auto"/>
              <w:ind w:left="10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学</w:t>
            </w:r>
            <w:r>
              <w:rPr>
                <w:rFonts w:ascii="宋体" w:hAnsi="宋体" w:eastAsia="宋体" w:cs="宋体"/>
                <w:color w:val="auto"/>
                <w:spacing w:val="-3"/>
                <w:sz w:val="24"/>
                <w:szCs w:val="24"/>
                <w:highlight w:val="none"/>
              </w:rPr>
              <w:t>历</w:t>
            </w:r>
          </w:p>
        </w:tc>
        <w:tc>
          <w:tcPr>
            <w:tcW w:w="1647" w:type="dxa"/>
            <w:gridSpan w:val="2"/>
            <w:tcBorders>
              <w:left w:val="single" w:color="000000" w:sz="6" w:space="0"/>
              <w:right w:val="nil"/>
            </w:tcBorders>
            <w:noWrap w:val="0"/>
            <w:vAlign w:val="top"/>
          </w:tcPr>
          <w:p w14:paraId="7450D207">
            <w:pPr>
              <w:spacing w:before="277" w:line="220" w:lineRule="auto"/>
              <w:ind w:left="11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年毕业</w:t>
            </w:r>
            <w:r>
              <w:rPr>
                <w:rFonts w:ascii="宋体" w:hAnsi="宋体" w:eastAsia="宋体" w:cs="宋体"/>
                <w:color w:val="auto"/>
                <w:spacing w:val="-1"/>
                <w:sz w:val="24"/>
                <w:szCs w:val="24"/>
                <w:highlight w:val="none"/>
              </w:rPr>
              <w:t>于</w:t>
            </w:r>
          </w:p>
        </w:tc>
        <w:tc>
          <w:tcPr>
            <w:tcW w:w="2514" w:type="dxa"/>
            <w:gridSpan w:val="3"/>
            <w:tcBorders>
              <w:left w:val="nil"/>
              <w:right w:val="nil"/>
            </w:tcBorders>
            <w:noWrap w:val="0"/>
            <w:vAlign w:val="top"/>
          </w:tcPr>
          <w:p w14:paraId="4741791C">
            <w:pPr>
              <w:spacing w:before="278" w:line="220" w:lineRule="auto"/>
              <w:ind w:left="887"/>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w:t>
            </w:r>
            <w:r>
              <w:rPr>
                <w:rFonts w:ascii="宋体" w:hAnsi="宋体" w:eastAsia="宋体" w:cs="宋体"/>
                <w:color w:val="auto"/>
                <w:spacing w:val="22"/>
                <w:sz w:val="24"/>
                <w:szCs w:val="24"/>
                <w:highlight w:val="none"/>
              </w:rPr>
              <w:t>学校)</w:t>
            </w:r>
          </w:p>
        </w:tc>
        <w:tc>
          <w:tcPr>
            <w:tcW w:w="4334" w:type="dxa"/>
            <w:gridSpan w:val="6"/>
            <w:tcBorders>
              <w:left w:val="nil"/>
              <w:right w:val="single" w:color="000000" w:sz="12" w:space="0"/>
            </w:tcBorders>
            <w:noWrap w:val="0"/>
            <w:vAlign w:val="top"/>
          </w:tcPr>
          <w:p w14:paraId="17221E0A">
            <w:pPr>
              <w:spacing w:before="278" w:line="220" w:lineRule="auto"/>
              <w:ind w:left="1376"/>
              <w:rPr>
                <w:rFonts w:ascii="宋体" w:hAnsi="宋体" w:eastAsia="宋体" w:cs="宋体"/>
                <w:color w:val="auto"/>
                <w:sz w:val="24"/>
                <w:szCs w:val="24"/>
                <w:highlight w:val="none"/>
              </w:rPr>
            </w:pPr>
            <w:r>
              <w:rPr>
                <w:rFonts w:ascii="宋体" w:hAnsi="宋体" w:eastAsia="宋体" w:cs="宋体"/>
                <w:color w:val="auto"/>
                <w:spacing w:val="23"/>
                <w:sz w:val="24"/>
                <w:szCs w:val="24"/>
                <w:highlight w:val="none"/>
              </w:rPr>
              <w:t>(</w:t>
            </w:r>
            <w:r>
              <w:rPr>
                <w:rFonts w:ascii="宋体" w:hAnsi="宋体" w:eastAsia="宋体" w:cs="宋体"/>
                <w:color w:val="auto"/>
                <w:spacing w:val="22"/>
                <w:sz w:val="24"/>
                <w:szCs w:val="24"/>
                <w:highlight w:val="none"/>
              </w:rPr>
              <w:t>专业)</w:t>
            </w:r>
          </w:p>
        </w:tc>
      </w:tr>
      <w:tr w14:paraId="4800C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26" w:type="dxa"/>
            <w:tcBorders>
              <w:left w:val="single" w:color="000000" w:sz="12" w:space="0"/>
              <w:right w:val="single" w:color="000000" w:sz="6" w:space="0"/>
            </w:tcBorders>
            <w:noWrap w:val="0"/>
            <w:vAlign w:val="top"/>
          </w:tcPr>
          <w:p w14:paraId="1FBFDAE2">
            <w:pPr>
              <w:spacing w:before="128" w:line="246" w:lineRule="auto"/>
              <w:ind w:left="109" w:right="132" w:hanging="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专业</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资</w:t>
            </w:r>
            <w:r>
              <w:rPr>
                <w:rFonts w:ascii="宋体" w:hAnsi="宋体" w:eastAsia="宋体" w:cs="宋体"/>
                <w:color w:val="auto"/>
                <w:spacing w:val="-9"/>
                <w:sz w:val="24"/>
                <w:szCs w:val="24"/>
                <w:highlight w:val="none"/>
              </w:rPr>
              <w:t>格</w:t>
            </w:r>
          </w:p>
        </w:tc>
        <w:tc>
          <w:tcPr>
            <w:tcW w:w="8495" w:type="dxa"/>
            <w:gridSpan w:val="11"/>
            <w:tcBorders>
              <w:left w:val="single" w:color="000000" w:sz="6" w:space="0"/>
              <w:right w:val="single" w:color="000000" w:sz="12" w:space="0"/>
            </w:tcBorders>
            <w:noWrap w:val="0"/>
            <w:vAlign w:val="top"/>
          </w:tcPr>
          <w:p w14:paraId="44BE7E5D">
            <w:pPr>
              <w:rPr>
                <w:rFonts w:ascii="Arial"/>
                <w:color w:val="auto"/>
                <w:sz w:val="21"/>
                <w:highlight w:val="none"/>
              </w:rPr>
            </w:pPr>
          </w:p>
        </w:tc>
      </w:tr>
      <w:tr w14:paraId="042B6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221" w:type="dxa"/>
            <w:gridSpan w:val="12"/>
            <w:tcBorders>
              <w:left w:val="single" w:color="000000" w:sz="12" w:space="0"/>
              <w:right w:val="single" w:color="000000" w:sz="12" w:space="0"/>
            </w:tcBorders>
            <w:noWrap w:val="0"/>
            <w:vAlign w:val="top"/>
          </w:tcPr>
          <w:p w14:paraId="21ECF05D">
            <w:pPr>
              <w:spacing w:before="279" w:line="222" w:lineRule="auto"/>
              <w:ind w:left="418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2</w:t>
            </w:r>
            <w:r>
              <w:rPr>
                <w:rFonts w:ascii="宋体" w:hAnsi="宋体" w:eastAsia="宋体" w:cs="宋体"/>
                <w:color w:val="auto"/>
                <w:spacing w:val="-5"/>
                <w:sz w:val="24"/>
                <w:szCs w:val="24"/>
                <w:highlight w:val="none"/>
              </w:rPr>
              <w:t>．经历</w:t>
            </w:r>
          </w:p>
        </w:tc>
      </w:tr>
      <w:tr w14:paraId="72CE0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26" w:type="dxa"/>
            <w:tcBorders>
              <w:left w:val="single" w:color="000000" w:sz="12" w:space="0"/>
              <w:right w:val="single" w:color="000000" w:sz="6" w:space="0"/>
            </w:tcBorders>
            <w:noWrap w:val="0"/>
            <w:vAlign w:val="top"/>
          </w:tcPr>
          <w:p w14:paraId="2135DFAE">
            <w:pPr>
              <w:spacing w:before="280" w:line="222" w:lineRule="auto"/>
              <w:ind w:left="11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时</w:t>
            </w:r>
            <w:r>
              <w:rPr>
                <w:rFonts w:ascii="宋体" w:hAnsi="宋体" w:eastAsia="宋体" w:cs="宋体"/>
                <w:color w:val="auto"/>
                <w:spacing w:val="-5"/>
                <w:sz w:val="24"/>
                <w:szCs w:val="24"/>
                <w:highlight w:val="none"/>
              </w:rPr>
              <w:t>间</w:t>
            </w:r>
          </w:p>
        </w:tc>
        <w:tc>
          <w:tcPr>
            <w:tcW w:w="4296" w:type="dxa"/>
            <w:gridSpan w:val="6"/>
            <w:tcBorders>
              <w:left w:val="single" w:color="000000" w:sz="6" w:space="0"/>
              <w:right w:val="single" w:color="000000" w:sz="6" w:space="0"/>
            </w:tcBorders>
            <w:noWrap w:val="0"/>
            <w:vAlign w:val="top"/>
          </w:tcPr>
          <w:p w14:paraId="2617D891">
            <w:pPr>
              <w:spacing w:before="279" w:line="220" w:lineRule="auto"/>
              <w:ind w:left="126"/>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负</w:t>
            </w:r>
            <w:r>
              <w:rPr>
                <w:rFonts w:ascii="宋体" w:hAnsi="宋体" w:eastAsia="宋体" w:cs="宋体"/>
                <w:color w:val="auto"/>
                <w:spacing w:val="6"/>
                <w:sz w:val="24"/>
                <w:szCs w:val="24"/>
                <w:highlight w:val="none"/>
              </w:rPr>
              <w:t>责过的主要工程(类型和金额)</w:t>
            </w:r>
          </w:p>
        </w:tc>
        <w:tc>
          <w:tcPr>
            <w:tcW w:w="1766" w:type="dxa"/>
            <w:gridSpan w:val="3"/>
            <w:tcBorders>
              <w:left w:val="single" w:color="000000" w:sz="6" w:space="0"/>
              <w:right w:val="single" w:color="000000" w:sz="6" w:space="0"/>
            </w:tcBorders>
            <w:noWrap w:val="0"/>
            <w:vAlign w:val="top"/>
          </w:tcPr>
          <w:p w14:paraId="27D047B7">
            <w:pPr>
              <w:spacing w:before="279" w:line="220" w:lineRule="auto"/>
              <w:ind w:left="12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该项目</w:t>
            </w:r>
            <w:r>
              <w:rPr>
                <w:rFonts w:ascii="宋体" w:hAnsi="宋体" w:eastAsia="宋体" w:cs="宋体"/>
                <w:color w:val="auto"/>
                <w:spacing w:val="-1"/>
                <w:sz w:val="24"/>
                <w:szCs w:val="24"/>
                <w:highlight w:val="none"/>
              </w:rPr>
              <w:t>中任职</w:t>
            </w:r>
          </w:p>
        </w:tc>
        <w:tc>
          <w:tcPr>
            <w:tcW w:w="2433" w:type="dxa"/>
            <w:gridSpan w:val="2"/>
            <w:tcBorders>
              <w:left w:val="single" w:color="000000" w:sz="6" w:space="0"/>
              <w:right w:val="single" w:color="000000" w:sz="12" w:space="0"/>
            </w:tcBorders>
            <w:noWrap w:val="0"/>
            <w:vAlign w:val="top"/>
          </w:tcPr>
          <w:p w14:paraId="36C61565">
            <w:pPr>
              <w:spacing w:before="280" w:line="220" w:lineRule="auto"/>
              <w:ind w:left="1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发</w:t>
            </w:r>
            <w:r>
              <w:rPr>
                <w:rFonts w:ascii="宋体" w:hAnsi="宋体" w:eastAsia="宋体" w:cs="宋体"/>
                <w:color w:val="auto"/>
                <w:spacing w:val="-1"/>
                <w:sz w:val="24"/>
                <w:szCs w:val="24"/>
                <w:highlight w:val="none"/>
              </w:rPr>
              <w:t>包人及联系电话</w:t>
            </w:r>
          </w:p>
        </w:tc>
      </w:tr>
      <w:tr w14:paraId="42A25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6" w:hRule="atLeast"/>
        </w:trPr>
        <w:tc>
          <w:tcPr>
            <w:tcW w:w="726" w:type="dxa"/>
            <w:tcBorders>
              <w:left w:val="single" w:color="000000" w:sz="12" w:space="0"/>
              <w:right w:val="single" w:color="000000" w:sz="6" w:space="0"/>
            </w:tcBorders>
            <w:noWrap w:val="0"/>
            <w:vAlign w:val="top"/>
          </w:tcPr>
          <w:p w14:paraId="755944F5">
            <w:pPr>
              <w:rPr>
                <w:rFonts w:ascii="Arial"/>
                <w:color w:val="auto"/>
                <w:sz w:val="21"/>
                <w:highlight w:val="none"/>
              </w:rPr>
            </w:pPr>
          </w:p>
        </w:tc>
        <w:tc>
          <w:tcPr>
            <w:tcW w:w="4296" w:type="dxa"/>
            <w:gridSpan w:val="6"/>
            <w:tcBorders>
              <w:left w:val="single" w:color="000000" w:sz="6" w:space="0"/>
              <w:right w:val="single" w:color="000000" w:sz="6" w:space="0"/>
            </w:tcBorders>
            <w:noWrap w:val="0"/>
            <w:vAlign w:val="top"/>
          </w:tcPr>
          <w:p w14:paraId="03E2B9EE">
            <w:pPr>
              <w:rPr>
                <w:rFonts w:ascii="Arial"/>
                <w:color w:val="auto"/>
                <w:sz w:val="21"/>
                <w:highlight w:val="none"/>
              </w:rPr>
            </w:pPr>
          </w:p>
        </w:tc>
        <w:tc>
          <w:tcPr>
            <w:tcW w:w="1766" w:type="dxa"/>
            <w:gridSpan w:val="3"/>
            <w:tcBorders>
              <w:left w:val="single" w:color="000000" w:sz="6" w:space="0"/>
              <w:right w:val="single" w:color="000000" w:sz="6" w:space="0"/>
            </w:tcBorders>
            <w:noWrap w:val="0"/>
            <w:vAlign w:val="top"/>
          </w:tcPr>
          <w:p w14:paraId="27F914E0">
            <w:pPr>
              <w:rPr>
                <w:rFonts w:ascii="Arial"/>
                <w:color w:val="auto"/>
                <w:sz w:val="21"/>
                <w:highlight w:val="none"/>
              </w:rPr>
            </w:pPr>
          </w:p>
        </w:tc>
        <w:tc>
          <w:tcPr>
            <w:tcW w:w="2433" w:type="dxa"/>
            <w:gridSpan w:val="2"/>
            <w:tcBorders>
              <w:left w:val="single" w:color="000000" w:sz="6" w:space="0"/>
              <w:right w:val="single" w:color="000000" w:sz="12" w:space="0"/>
            </w:tcBorders>
            <w:noWrap w:val="0"/>
            <w:vAlign w:val="top"/>
          </w:tcPr>
          <w:p w14:paraId="2D012BB6">
            <w:pPr>
              <w:rPr>
                <w:rFonts w:ascii="Arial"/>
                <w:color w:val="auto"/>
                <w:sz w:val="21"/>
                <w:highlight w:val="none"/>
              </w:rPr>
            </w:pPr>
          </w:p>
        </w:tc>
      </w:tr>
      <w:tr w14:paraId="3CE25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221" w:type="dxa"/>
            <w:gridSpan w:val="12"/>
            <w:tcBorders>
              <w:left w:val="single" w:color="000000" w:sz="12" w:space="0"/>
              <w:right w:val="single" w:color="000000" w:sz="12" w:space="0"/>
            </w:tcBorders>
            <w:noWrap w:val="0"/>
            <w:vAlign w:val="top"/>
          </w:tcPr>
          <w:p w14:paraId="576A0815">
            <w:pPr>
              <w:spacing w:before="280" w:line="220" w:lineRule="auto"/>
              <w:ind w:left="369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目前承担的任务</w:t>
            </w:r>
          </w:p>
        </w:tc>
      </w:tr>
      <w:tr w14:paraId="6207F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9221" w:type="dxa"/>
            <w:gridSpan w:val="12"/>
            <w:tcBorders>
              <w:left w:val="single" w:color="000000" w:sz="12" w:space="0"/>
              <w:right w:val="single" w:color="000000" w:sz="12" w:space="0"/>
            </w:tcBorders>
            <w:noWrap w:val="0"/>
            <w:vAlign w:val="top"/>
          </w:tcPr>
          <w:p w14:paraId="05DF26B7">
            <w:pPr>
              <w:rPr>
                <w:rFonts w:ascii="Arial"/>
                <w:color w:val="auto"/>
                <w:sz w:val="21"/>
                <w:highlight w:val="none"/>
              </w:rPr>
            </w:pPr>
          </w:p>
        </w:tc>
      </w:tr>
    </w:tbl>
    <w:p w14:paraId="619D74F5">
      <w:pPr>
        <w:rPr>
          <w:rFonts w:hint="eastAsia" w:ascii="宋体" w:hAnsi="宋体" w:eastAsia="宋体" w:cs="宋体"/>
          <w:snapToGrid w:val="0"/>
          <w:color w:val="auto"/>
          <w:sz w:val="21"/>
          <w:szCs w:val="21"/>
          <w:highlight w:val="none"/>
        </w:rPr>
      </w:pPr>
    </w:p>
    <w:p w14:paraId="7C07107D">
      <w:pPr>
        <w:rPr>
          <w:rFonts w:hint="eastAsia" w:ascii="宋体" w:hAnsi="宋体" w:eastAsia="宋体" w:cs="宋体"/>
          <w:snapToGrid w:val="0"/>
          <w:color w:val="auto"/>
          <w:sz w:val="21"/>
          <w:szCs w:val="21"/>
          <w:highlight w:val="none"/>
        </w:rPr>
      </w:pPr>
    </w:p>
    <w:p w14:paraId="11E5C615">
      <w:pPr>
        <w:rPr>
          <w:rFonts w:hint="eastAsia" w:ascii="宋体" w:hAnsi="宋体" w:eastAsia="宋体" w:cs="宋体"/>
          <w:snapToGrid w:val="0"/>
          <w:color w:val="auto"/>
          <w:sz w:val="21"/>
          <w:szCs w:val="21"/>
          <w:highlight w:val="none"/>
        </w:rPr>
      </w:pPr>
    </w:p>
    <w:p w14:paraId="1D738682">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投标单位名称： (盖单位电子公章)</w:t>
      </w:r>
    </w:p>
    <w:p w14:paraId="08DB7D9A">
      <w:pPr>
        <w:ind w:firstLine="210" w:firstLineChars="100"/>
        <w:rPr>
          <w:rFonts w:hint="eastAsia" w:ascii="宋体" w:hAnsi="宋体" w:eastAsia="宋体" w:cs="宋体"/>
          <w:snapToGrid w:val="0"/>
          <w:color w:val="auto"/>
          <w:sz w:val="21"/>
          <w:szCs w:val="21"/>
          <w:highlight w:val="none"/>
        </w:rPr>
      </w:pPr>
    </w:p>
    <w:p w14:paraId="6D2D913A">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法定代表人（负责人）或委托代理人：（电子签章）</w:t>
      </w:r>
    </w:p>
    <w:p w14:paraId="234CE39A">
      <w:pPr>
        <w:rPr>
          <w:rFonts w:hint="eastAsia" w:ascii="宋体" w:hAnsi="宋体" w:eastAsia="宋体" w:cs="宋体"/>
          <w:snapToGrid w:val="0"/>
          <w:color w:val="auto"/>
          <w:sz w:val="21"/>
          <w:szCs w:val="21"/>
          <w:highlight w:val="none"/>
        </w:rPr>
      </w:pPr>
    </w:p>
    <w:p w14:paraId="79C4E4CF">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日期：  </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年</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月</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日</w:t>
      </w:r>
    </w:p>
    <w:p w14:paraId="17D2B688">
      <w:pPr>
        <w:pStyle w:val="5"/>
        <w:tabs>
          <w:tab w:val="left" w:pos="4592"/>
        </w:tabs>
        <w:ind w:left="4592" w:hanging="4592"/>
        <w:rPr>
          <w:rFonts w:hint="eastAsia" w:ascii="宋体" w:hAnsi="宋体" w:eastAsia="宋体" w:cs="宋体"/>
          <w:b w:val="0"/>
          <w:color w:val="auto"/>
          <w:sz w:val="21"/>
          <w:szCs w:val="21"/>
          <w:highlight w:val="none"/>
        </w:rPr>
      </w:pPr>
      <w:r>
        <w:rPr>
          <w:rFonts w:hint="eastAsia" w:ascii="宋体" w:hAnsi="宋体" w:eastAsia="宋体" w:cs="宋体"/>
          <w:snapToGrid w:val="0"/>
          <w:color w:val="auto"/>
          <w:sz w:val="21"/>
          <w:szCs w:val="21"/>
          <w:highlight w:val="none"/>
        </w:rPr>
        <w:br w:type="page"/>
      </w:r>
      <w:bookmarkStart w:id="76" w:name="_Toc184620125"/>
      <w:bookmarkStart w:id="77" w:name="_Toc106012816"/>
      <w:bookmarkStart w:id="78" w:name="_Toc321553332"/>
      <w:bookmarkStart w:id="79" w:name="_Toc3932"/>
      <w:bookmarkStart w:id="80" w:name="_Toc106553078"/>
      <w:bookmarkStart w:id="81" w:name="_Toc163027440"/>
      <w:bookmarkStart w:id="82" w:name="_Toc331149340"/>
      <w:bookmarkStart w:id="83" w:name="_Toc243713940"/>
      <w:bookmarkStart w:id="84" w:name="_Toc268120612"/>
      <w:bookmarkStart w:id="85" w:name="_Toc106553077"/>
      <w:bookmarkStart w:id="86" w:name="_Toc288213731"/>
      <w:bookmarkStart w:id="87" w:name="_Toc331149338"/>
      <w:r>
        <w:rPr>
          <w:rFonts w:hint="eastAsia" w:ascii="宋体" w:hAnsi="宋体" w:eastAsia="宋体" w:cs="宋体"/>
          <w:b w:val="0"/>
          <w:color w:val="auto"/>
          <w:sz w:val="21"/>
          <w:szCs w:val="21"/>
          <w:highlight w:val="none"/>
        </w:rPr>
        <w:t>附件</w:t>
      </w:r>
      <w:r>
        <w:rPr>
          <w:rFonts w:hint="eastAsia" w:ascii="宋体" w:hAnsi="宋体" w:eastAsia="宋体" w:cs="宋体"/>
          <w:b w:val="0"/>
          <w:color w:val="auto"/>
          <w:sz w:val="21"/>
          <w:szCs w:val="21"/>
          <w:highlight w:val="none"/>
          <w:lang w:val="en-US" w:eastAsia="zh-CN"/>
        </w:rPr>
        <w:t>5</w:t>
      </w:r>
      <w:bookmarkEnd w:id="76"/>
      <w:bookmarkEnd w:id="77"/>
      <w:bookmarkEnd w:id="78"/>
      <w:bookmarkEnd w:id="79"/>
      <w:bookmarkEnd w:id="80"/>
      <w:bookmarkEnd w:id="81"/>
      <w:bookmarkEnd w:id="82"/>
      <w:bookmarkEnd w:id="83"/>
    </w:p>
    <w:p w14:paraId="41A859A5">
      <w:pPr>
        <w:pStyle w:val="17"/>
        <w:spacing w:line="360" w:lineRule="auto"/>
        <w:ind w:left="0" w:leftChars="0" w:firstLine="0" w:firstLineChars="0"/>
        <w:jc w:val="center"/>
        <w:rPr>
          <w:rFonts w:hint="eastAsia" w:ascii="宋体" w:hAnsi="宋体" w:eastAsia="宋体" w:cs="宋体"/>
          <w:b/>
          <w:bCs/>
          <w:color w:val="auto"/>
          <w:szCs w:val="32"/>
          <w:highlight w:val="none"/>
        </w:rPr>
      </w:pPr>
      <w:bookmarkStart w:id="88" w:name="_Toc19762_WPSOffice_Level1"/>
      <w:r>
        <w:rPr>
          <w:rFonts w:hint="eastAsia" w:ascii="宋体" w:hAnsi="宋体" w:eastAsia="宋体" w:cs="宋体"/>
          <w:b/>
          <w:bCs/>
          <w:color w:val="auto"/>
          <w:szCs w:val="32"/>
          <w:highlight w:val="none"/>
        </w:rPr>
        <w:t>诚信投标承诺书</w:t>
      </w:r>
      <w:bookmarkEnd w:id="88"/>
    </w:p>
    <w:p w14:paraId="2E12C6E9">
      <w:pPr>
        <w:adjustRightInd w:val="0"/>
        <w:snapToGrid w:val="0"/>
        <w:spacing w:line="360" w:lineRule="auto"/>
        <w:ind w:firstLine="482"/>
        <w:rPr>
          <w:rFonts w:hint="eastAsia" w:ascii="宋体" w:hAnsi="宋体" w:eastAsia="宋体" w:cs="宋体"/>
          <w:color w:val="auto"/>
          <w:sz w:val="21"/>
          <w:szCs w:val="21"/>
          <w:highlight w:val="none"/>
        </w:rPr>
      </w:pPr>
    </w:p>
    <w:p w14:paraId="483F85CE">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61BD0BF9">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一、将遵循公开、公平、公正和诚实信用的原则参加</w:t>
      </w:r>
      <w:r>
        <w:rPr>
          <w:rFonts w:hint="eastAsia" w:ascii="宋体" w:hAnsi="宋体" w:eastAsia="宋体" w:cs="宋体"/>
          <w:color w:val="auto"/>
          <w:sz w:val="24"/>
          <w:szCs w:val="24"/>
          <w:highlight w:val="none"/>
          <w:u w:val="single"/>
          <w:lang w:val="en-US" w:eastAsia="zh-CN"/>
        </w:rPr>
        <w:t>台州湾陆岛联动综合码头工程（一期）建筑工程一切险及安全生产责任险保险服务项目</w:t>
      </w:r>
      <w:r>
        <w:rPr>
          <w:rFonts w:hint="eastAsia" w:ascii="宋体" w:hAnsi="宋体" w:eastAsia="宋体" w:cs="宋体"/>
          <w:color w:val="auto"/>
          <w:sz w:val="24"/>
          <w:szCs w:val="24"/>
          <w:highlight w:val="none"/>
        </w:rPr>
        <w:t>的投标；</w:t>
      </w:r>
    </w:p>
    <w:p w14:paraId="6F085127">
      <w:pPr>
        <w:keepNext w:val="0"/>
        <w:keepLines w:val="0"/>
        <w:pageBreakBefore w:val="0"/>
        <w:widowControl w:val="0"/>
        <w:tabs>
          <w:tab w:val="left" w:pos="287"/>
        </w:tabs>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二、所提供的一切材料都是真实、有效、合法的；</w:t>
      </w:r>
    </w:p>
    <w:p w14:paraId="0F88A1F2">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三、不与其他投标人相互串通投标报价，不排挤其他投标人的公平竞争，不损害招标人或其他投标人的合法权益；</w:t>
      </w:r>
    </w:p>
    <w:p w14:paraId="668E288A">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四、不与招标人或招标代理机构串通投标，损害国家利益、社会公共利益或者他人的合法权益；</w:t>
      </w:r>
    </w:p>
    <w:p w14:paraId="2795D980">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五、不向招标人或者评标委员会成员行贿以牟取中标；</w:t>
      </w:r>
    </w:p>
    <w:p w14:paraId="2430C4FF">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六、不以他人名义投标或者以其他方式弄虚作假，骗取中标；</w:t>
      </w:r>
    </w:p>
    <w:p w14:paraId="435E023D">
      <w:pPr>
        <w:keepNext w:val="0"/>
        <w:keepLines w:val="0"/>
        <w:pageBreakBefore w:val="0"/>
        <w:widowControl w:val="0"/>
        <w:kinsoku/>
        <w:wordWrap/>
        <w:overflowPunct/>
        <w:topLinePunct w:val="0"/>
        <w:autoSpaceDE/>
        <w:autoSpaceDN/>
        <w:bidi w:val="0"/>
        <w:adjustRightInd w:val="0"/>
        <w:snapToGrid w:val="0"/>
        <w:spacing w:line="48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本公司若有违反本承诺内容的行为，愿意承担法律责任。如已中标的，自动放弃中标资格；给招标人造成损失的，依法承担赔偿责任。</w:t>
      </w:r>
    </w:p>
    <w:p w14:paraId="54139D16">
      <w:pPr>
        <w:adjustRightInd w:val="0"/>
        <w:snapToGrid w:val="0"/>
        <w:spacing w:line="360" w:lineRule="auto"/>
        <w:ind w:firstLine="482"/>
        <w:rPr>
          <w:rFonts w:hint="eastAsia" w:ascii="宋体" w:hAnsi="宋体" w:eastAsia="宋体" w:cs="宋体"/>
          <w:color w:val="auto"/>
          <w:sz w:val="21"/>
          <w:szCs w:val="21"/>
          <w:highlight w:val="none"/>
        </w:rPr>
      </w:pPr>
    </w:p>
    <w:p w14:paraId="54BD3D7F">
      <w:pPr>
        <w:pStyle w:val="2"/>
        <w:numPr>
          <w:ilvl w:val="0"/>
          <w:numId w:val="0"/>
        </w:numPr>
        <w:jc w:val="both"/>
        <w:rPr>
          <w:rFonts w:hint="eastAsia" w:ascii="宋体" w:hAnsi="宋体" w:cs="宋体"/>
          <w:color w:val="auto"/>
          <w:sz w:val="21"/>
          <w:szCs w:val="21"/>
          <w:highlight w:val="none"/>
        </w:rPr>
      </w:pPr>
    </w:p>
    <w:p w14:paraId="50AEC4BA">
      <w:pPr>
        <w:rPr>
          <w:rFonts w:hint="eastAsia" w:ascii="宋体" w:hAnsi="宋体" w:eastAsia="宋体" w:cs="宋体"/>
          <w:b w:val="0"/>
          <w:bCs w:val="0"/>
          <w:color w:val="auto"/>
          <w:sz w:val="21"/>
          <w:szCs w:val="21"/>
          <w:highlight w:val="none"/>
        </w:rPr>
      </w:pPr>
    </w:p>
    <w:p w14:paraId="72EE91E4">
      <w:pPr>
        <w:pStyle w:val="2"/>
        <w:numPr>
          <w:ilvl w:val="0"/>
          <w:numId w:val="0"/>
        </w:numPr>
        <w:ind w:left="4410" w:leftChars="0"/>
        <w:jc w:val="both"/>
        <w:rPr>
          <w:rFonts w:hint="eastAsia" w:ascii="宋体" w:hAnsi="宋体" w:cs="宋体"/>
          <w:color w:val="auto"/>
          <w:sz w:val="21"/>
          <w:szCs w:val="21"/>
          <w:highlight w:val="none"/>
        </w:rPr>
      </w:pPr>
    </w:p>
    <w:p w14:paraId="0B2BAC4C">
      <w:pPr>
        <w:rPr>
          <w:rFonts w:hint="eastAsia"/>
          <w:color w:val="auto"/>
          <w:highlight w:val="none"/>
        </w:rPr>
      </w:pPr>
    </w:p>
    <w:p w14:paraId="133965A4">
      <w:pPr>
        <w:ind w:firstLine="210" w:firstLineChars="100"/>
        <w:rPr>
          <w:rFonts w:hint="eastAsia" w:ascii="宋体" w:hAnsi="宋体" w:eastAsia="宋体" w:cs="宋体"/>
          <w:snapToGrid w:val="0"/>
          <w:color w:val="auto"/>
          <w:sz w:val="21"/>
          <w:szCs w:val="21"/>
          <w:highlight w:val="none"/>
        </w:rPr>
      </w:pPr>
      <w:bookmarkStart w:id="89" w:name="_Toc1627"/>
      <w:r>
        <w:rPr>
          <w:rFonts w:hint="eastAsia" w:ascii="宋体" w:hAnsi="宋体" w:eastAsia="宋体" w:cs="宋体"/>
          <w:snapToGrid w:val="0"/>
          <w:color w:val="auto"/>
          <w:sz w:val="21"/>
          <w:szCs w:val="21"/>
          <w:highlight w:val="none"/>
        </w:rPr>
        <w:t>投标单位名称： (盖单位电子公章)</w:t>
      </w:r>
    </w:p>
    <w:p w14:paraId="313246B8">
      <w:pPr>
        <w:ind w:firstLine="210" w:firstLineChars="100"/>
        <w:rPr>
          <w:rFonts w:hint="eastAsia" w:ascii="宋体" w:hAnsi="宋体" w:eastAsia="宋体" w:cs="宋体"/>
          <w:snapToGrid w:val="0"/>
          <w:color w:val="auto"/>
          <w:sz w:val="21"/>
          <w:szCs w:val="21"/>
          <w:highlight w:val="none"/>
        </w:rPr>
      </w:pPr>
    </w:p>
    <w:p w14:paraId="0DCFCFA7">
      <w:pPr>
        <w:ind w:firstLine="210" w:firstLineChars="100"/>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法定代表人（负责人）或委托代理人：（电子签章）</w:t>
      </w:r>
    </w:p>
    <w:p w14:paraId="7FA20961">
      <w:pPr>
        <w:ind w:firstLine="210" w:firstLineChars="100"/>
        <w:rPr>
          <w:rFonts w:hint="eastAsia" w:ascii="宋体" w:hAnsi="宋体" w:eastAsia="宋体" w:cs="宋体"/>
          <w:snapToGrid w:val="0"/>
          <w:color w:val="auto"/>
          <w:sz w:val="21"/>
          <w:szCs w:val="21"/>
          <w:highlight w:val="none"/>
        </w:rPr>
      </w:pPr>
    </w:p>
    <w:p w14:paraId="34D2D49C">
      <w:pPr>
        <w:rPr>
          <w:rFonts w:hint="eastAsia" w:ascii="宋体" w:hAnsi="宋体" w:eastAsia="宋体" w:cs="宋体"/>
          <w:snapToGrid w:val="0"/>
          <w:color w:val="auto"/>
          <w:sz w:val="21"/>
          <w:szCs w:val="21"/>
          <w:highlight w:val="none"/>
        </w:rPr>
      </w:pPr>
    </w:p>
    <w:p w14:paraId="458E6D14">
      <w:pP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日期： </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年</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月</w:t>
      </w:r>
      <w:r>
        <w:rPr>
          <w:rFonts w:hint="eastAsia"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日</w:t>
      </w:r>
    </w:p>
    <w:p w14:paraId="5EC52D2C">
      <w:pPr>
        <w:spacing w:line="440" w:lineRule="exact"/>
        <w:jc w:val="left"/>
        <w:rPr>
          <w:rFonts w:hint="eastAsia" w:ascii="宋体" w:hAnsi="宋体" w:eastAsia="宋体" w:cs="宋体"/>
          <w:color w:val="auto"/>
          <w:sz w:val="21"/>
          <w:szCs w:val="21"/>
          <w:highlight w:val="none"/>
        </w:rPr>
      </w:pPr>
    </w:p>
    <w:p w14:paraId="049F329E">
      <w:pPr>
        <w:pStyle w:val="5"/>
        <w:tabs>
          <w:tab w:val="left" w:pos="4592"/>
        </w:tabs>
        <w:rPr>
          <w:rFonts w:hint="eastAsia" w:ascii="宋体" w:hAnsi="宋体" w:eastAsia="宋体" w:cs="宋体"/>
          <w:b w:val="0"/>
          <w:bCs w:val="0"/>
          <w:color w:val="auto"/>
          <w:sz w:val="28"/>
          <w:szCs w:val="28"/>
          <w:highlight w:val="none"/>
        </w:rPr>
      </w:pPr>
      <w:bookmarkStart w:id="90" w:name="_Toc7472"/>
      <w:bookmarkStart w:id="91" w:name="_Toc510085063"/>
      <w:r>
        <w:rPr>
          <w:rFonts w:hint="eastAsia" w:ascii="宋体" w:hAnsi="宋体" w:eastAsia="宋体" w:cs="宋体"/>
          <w:b w:val="0"/>
          <w:color w:val="auto"/>
          <w:sz w:val="21"/>
          <w:szCs w:val="21"/>
          <w:highlight w:val="none"/>
        </w:rPr>
        <w:t>附件</w:t>
      </w:r>
      <w:r>
        <w:rPr>
          <w:rFonts w:hint="eastAsia" w:ascii="宋体" w:hAnsi="宋体" w:eastAsia="宋体" w:cs="宋体"/>
          <w:b w:val="0"/>
          <w:color w:val="auto"/>
          <w:sz w:val="21"/>
          <w:szCs w:val="21"/>
          <w:highlight w:val="none"/>
          <w:lang w:val="en-US" w:eastAsia="zh-CN"/>
        </w:rPr>
        <w:t>6</w:t>
      </w:r>
      <w:bookmarkEnd w:id="90"/>
      <w:bookmarkEnd w:id="91"/>
    </w:p>
    <w:p w14:paraId="05F32176">
      <w:pPr>
        <w:spacing w:before="293" w:line="222" w:lineRule="auto"/>
        <w:ind w:left="3266"/>
        <w:rPr>
          <w:rFonts w:ascii="宋体" w:hAnsi="宋体" w:eastAsia="宋体" w:cs="宋体"/>
          <w:color w:val="auto"/>
          <w:sz w:val="36"/>
          <w:szCs w:val="36"/>
          <w:highlight w:val="none"/>
        </w:rPr>
      </w:pPr>
      <w:bookmarkStart w:id="92" w:name="_Toc22791_WPSOffice_Level1"/>
      <w:bookmarkStart w:id="93" w:name="_Toc10635"/>
      <w:bookmarkStart w:id="94" w:name="_Toc288213732"/>
      <w:bookmarkStart w:id="95" w:name="_Toc268120613"/>
      <w:bookmarkStart w:id="96" w:name="_Toc427131831"/>
      <w:bookmarkStart w:id="97" w:name="_Toc184620124"/>
      <w:bookmarkStart w:id="98" w:name="_Toc163027439"/>
      <w:bookmarkStart w:id="99" w:name="_Toc427133094"/>
      <w:bookmarkStart w:id="100" w:name="_Toc243713939"/>
      <w:bookmarkStart w:id="101" w:name="_Toc510085064"/>
      <w:bookmarkStart w:id="102" w:name="_Toc331149339"/>
      <w:r>
        <w:rPr>
          <w:rFonts w:ascii="宋体" w:hAnsi="宋体" w:eastAsia="宋体" w:cs="宋体"/>
          <w:color w:val="auto"/>
          <w:spacing w:val="48"/>
          <w:sz w:val="36"/>
          <w:szCs w:val="36"/>
          <w:highlight w:val="none"/>
        </w:rPr>
        <w:t>业务授权书</w:t>
      </w:r>
      <w:bookmarkEnd w:id="92"/>
    </w:p>
    <w:p w14:paraId="61990814">
      <w:pPr>
        <w:spacing w:line="270" w:lineRule="auto"/>
        <w:rPr>
          <w:rFonts w:ascii="Arial"/>
          <w:color w:val="auto"/>
          <w:sz w:val="21"/>
          <w:highlight w:val="none"/>
        </w:rPr>
      </w:pPr>
    </w:p>
    <w:p w14:paraId="16F4AEC7">
      <w:pPr>
        <w:spacing w:line="271" w:lineRule="auto"/>
        <w:rPr>
          <w:rFonts w:ascii="Arial"/>
          <w:color w:val="auto"/>
          <w:sz w:val="21"/>
          <w:highlight w:val="none"/>
        </w:rPr>
      </w:pPr>
    </w:p>
    <w:p w14:paraId="30E4AFB0">
      <w:pPr>
        <w:spacing w:line="271" w:lineRule="auto"/>
        <w:rPr>
          <w:rFonts w:ascii="Arial"/>
          <w:color w:val="auto"/>
          <w:sz w:val="21"/>
          <w:highlight w:val="none"/>
        </w:rPr>
      </w:pPr>
    </w:p>
    <w:p w14:paraId="666409D8">
      <w:pPr>
        <w:spacing w:before="68" w:line="412" w:lineRule="auto"/>
        <w:ind w:left="23"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本业务授权书声明： </w:t>
      </w:r>
      <w:r>
        <w:rPr>
          <w:rFonts w:ascii="宋体" w:hAnsi="宋体" w:eastAsia="宋体" w:cs="宋体"/>
          <w:color w:val="auto"/>
          <w:sz w:val="21"/>
          <w:szCs w:val="21"/>
          <w:highlight w:val="none"/>
          <w:u w:val="single"/>
        </w:rPr>
        <w:t xml:space="preserve">               (投标单位总公司名称) </w:t>
      </w:r>
      <w:r>
        <w:rPr>
          <w:rFonts w:ascii="宋体" w:hAnsi="宋体" w:eastAsia="宋体" w:cs="宋体"/>
          <w:color w:val="auto"/>
          <w:sz w:val="21"/>
          <w:szCs w:val="21"/>
          <w:highlight w:val="none"/>
        </w:rPr>
        <w:t>授权注册于</w:t>
      </w:r>
      <w:r>
        <w:rPr>
          <w:rFonts w:ascii="宋体" w:hAnsi="宋体" w:eastAsia="宋体" w:cs="宋体"/>
          <w:color w:val="auto"/>
          <w:sz w:val="21"/>
          <w:szCs w:val="21"/>
          <w:highlight w:val="none"/>
          <w:u w:val="single"/>
        </w:rPr>
        <w:t xml:space="preserve">     (注册</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u w:val="single"/>
        </w:rPr>
        <w:t xml:space="preserve">地址) </w:t>
      </w:r>
      <w:r>
        <w:rPr>
          <w:rFonts w:ascii="宋体" w:hAnsi="宋体" w:eastAsia="宋体" w:cs="宋体"/>
          <w:color w:val="auto"/>
          <w:spacing w:val="-6"/>
          <w:sz w:val="21"/>
          <w:szCs w:val="21"/>
          <w:highlight w:val="none"/>
        </w:rPr>
        <w:t>的</w:t>
      </w:r>
      <w:r>
        <w:rPr>
          <w:rFonts w:ascii="宋体" w:hAnsi="宋体" w:eastAsia="宋体" w:cs="宋体"/>
          <w:color w:val="auto"/>
          <w:spacing w:val="-4"/>
          <w:sz w:val="21"/>
          <w:szCs w:val="21"/>
          <w:highlight w:val="none"/>
          <w:u w:val="single"/>
        </w:rPr>
        <w:t xml:space="preserve">         (省级或地市级分支机构名称) </w:t>
      </w:r>
      <w:r>
        <w:rPr>
          <w:rFonts w:ascii="宋体" w:hAnsi="宋体" w:eastAsia="宋体" w:cs="宋体"/>
          <w:color w:val="auto"/>
          <w:spacing w:val="-4"/>
          <w:sz w:val="21"/>
          <w:szCs w:val="21"/>
          <w:highlight w:val="none"/>
        </w:rPr>
        <w:t xml:space="preserve"> 代表本公司， 参加</w:t>
      </w:r>
      <w:r>
        <w:rPr>
          <w:rFonts w:ascii="宋体" w:hAnsi="宋体" w:eastAsia="宋体" w:cs="宋体"/>
          <w:color w:val="auto"/>
          <w:spacing w:val="-4"/>
          <w:sz w:val="21"/>
          <w:szCs w:val="21"/>
          <w:highlight w:val="none"/>
          <w:u w:val="single"/>
        </w:rPr>
        <w:t xml:space="preserve"> (项目名称) </w:t>
      </w:r>
      <w:r>
        <w:rPr>
          <w:rFonts w:ascii="宋体" w:hAnsi="宋体" w:eastAsia="宋体" w:cs="宋体"/>
          <w:color w:val="auto"/>
          <w:spacing w:val="-4"/>
          <w:sz w:val="21"/>
          <w:szCs w:val="21"/>
          <w:highlight w:val="none"/>
        </w:rPr>
        <w:t>的投标、</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谈判</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以及中标后保险合同的履行， 并以</w:t>
      </w:r>
      <w:r>
        <w:rPr>
          <w:rFonts w:ascii="宋体" w:hAnsi="宋体" w:eastAsia="宋体" w:cs="宋体"/>
          <w:color w:val="auto"/>
          <w:spacing w:val="-2"/>
          <w:sz w:val="21"/>
          <w:szCs w:val="21"/>
          <w:highlight w:val="none"/>
          <w:u w:val="single"/>
        </w:rPr>
        <w:t xml:space="preserve">              (省级或地市级分支机构名称) </w:t>
      </w:r>
      <w:r>
        <w:rPr>
          <w:rFonts w:ascii="宋体" w:hAnsi="宋体" w:eastAsia="宋体" w:cs="宋体"/>
          <w:color w:val="auto"/>
          <w:spacing w:val="-2"/>
          <w:sz w:val="21"/>
          <w:szCs w:val="21"/>
          <w:highlight w:val="none"/>
        </w:rPr>
        <w:t>名</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义处理一切</w:t>
      </w:r>
      <w:r>
        <w:rPr>
          <w:rFonts w:ascii="宋体" w:hAnsi="宋体" w:eastAsia="宋体" w:cs="宋体"/>
          <w:color w:val="auto"/>
          <w:sz w:val="21"/>
          <w:szCs w:val="21"/>
          <w:highlight w:val="none"/>
        </w:rPr>
        <w:t>与之有关的各项事务(包括法律事务)，由此产生的法律效力本公司均予以承认。</w:t>
      </w:r>
    </w:p>
    <w:p w14:paraId="2B47199E">
      <w:pPr>
        <w:spacing w:before="1" w:line="415" w:lineRule="auto"/>
        <w:ind w:left="444" w:right="6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本业务授权书自本公司签章之日起生效，在该项目保</w:t>
      </w:r>
      <w:r>
        <w:rPr>
          <w:rFonts w:ascii="宋体" w:hAnsi="宋体" w:eastAsia="宋体" w:cs="宋体"/>
          <w:color w:val="auto"/>
          <w:sz w:val="21"/>
          <w:szCs w:val="21"/>
          <w:highlight w:val="none"/>
        </w:rPr>
        <w:t xml:space="preserve">险合同有效期内持续有效。 </w:t>
      </w:r>
      <w:r>
        <w:rPr>
          <w:rFonts w:ascii="宋体" w:hAnsi="宋体" w:eastAsia="宋体" w:cs="宋体"/>
          <w:color w:val="auto"/>
          <w:spacing w:val="-6"/>
          <w:sz w:val="21"/>
          <w:szCs w:val="21"/>
          <w:highlight w:val="none"/>
        </w:rPr>
        <w:t>特此授权。</w:t>
      </w:r>
    </w:p>
    <w:p w14:paraId="1DCAE33A">
      <w:pPr>
        <w:spacing w:line="380" w:lineRule="auto"/>
        <w:rPr>
          <w:rFonts w:ascii="Arial"/>
          <w:color w:val="auto"/>
          <w:sz w:val="21"/>
          <w:highlight w:val="none"/>
        </w:rPr>
      </w:pPr>
    </w:p>
    <w:p w14:paraId="53C68563">
      <w:pPr>
        <w:spacing w:before="68" w:line="481" w:lineRule="exact"/>
        <w:ind w:left="1600"/>
        <w:rPr>
          <w:rFonts w:ascii="宋体" w:hAnsi="宋体" w:eastAsia="宋体" w:cs="宋体"/>
          <w:color w:val="auto"/>
          <w:sz w:val="21"/>
          <w:szCs w:val="21"/>
          <w:highlight w:val="none"/>
        </w:rPr>
      </w:pPr>
      <w:r>
        <w:rPr>
          <w:rFonts w:ascii="宋体" w:hAnsi="宋体" w:eastAsia="宋体" w:cs="宋体"/>
          <w:color w:val="auto"/>
          <w:spacing w:val="10"/>
          <w:position w:val="20"/>
          <w:sz w:val="21"/>
          <w:szCs w:val="21"/>
          <w:highlight w:val="none"/>
        </w:rPr>
        <w:t>授权</w:t>
      </w:r>
      <w:r>
        <w:rPr>
          <w:rFonts w:ascii="宋体" w:hAnsi="宋体" w:eastAsia="宋体" w:cs="宋体"/>
          <w:color w:val="auto"/>
          <w:spacing w:val="5"/>
          <w:position w:val="20"/>
          <w:sz w:val="21"/>
          <w:szCs w:val="21"/>
          <w:highlight w:val="none"/>
        </w:rPr>
        <w:t>方(总公司)：(盖单位公章)</w:t>
      </w:r>
    </w:p>
    <w:p w14:paraId="1DD76174">
      <w:pPr>
        <w:spacing w:line="218" w:lineRule="auto"/>
        <w:ind w:left="160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w:t>
      </w:r>
      <w:r>
        <w:rPr>
          <w:rFonts w:ascii="宋体" w:hAnsi="宋体" w:eastAsia="宋体" w:cs="宋体"/>
          <w:color w:val="auto"/>
          <w:sz w:val="21"/>
          <w:szCs w:val="21"/>
          <w:highlight w:val="none"/>
        </w:rPr>
        <w:t>(签字或盖章)</w:t>
      </w:r>
    </w:p>
    <w:p w14:paraId="055A3660">
      <w:pPr>
        <w:spacing w:before="217" w:line="465" w:lineRule="exact"/>
        <w:ind w:left="1601"/>
        <w:rPr>
          <w:rFonts w:ascii="宋体" w:hAnsi="宋体" w:eastAsia="宋体" w:cs="宋体"/>
          <w:color w:val="auto"/>
          <w:sz w:val="21"/>
          <w:szCs w:val="21"/>
          <w:highlight w:val="none"/>
        </w:rPr>
      </w:pPr>
      <w:r>
        <w:rPr>
          <w:rFonts w:ascii="宋体" w:hAnsi="宋体" w:eastAsia="宋体" w:cs="宋体"/>
          <w:color w:val="auto"/>
          <w:spacing w:val="4"/>
          <w:position w:val="19"/>
          <w:sz w:val="21"/>
          <w:szCs w:val="21"/>
          <w:highlight w:val="none"/>
        </w:rPr>
        <w:t>被授权方(省级或地市级分支机构)：(盖单位公章</w:t>
      </w:r>
      <w:r>
        <w:rPr>
          <w:rFonts w:ascii="宋体" w:hAnsi="宋体" w:eastAsia="宋体" w:cs="宋体"/>
          <w:color w:val="auto"/>
          <w:spacing w:val="1"/>
          <w:position w:val="19"/>
          <w:sz w:val="21"/>
          <w:szCs w:val="21"/>
          <w:highlight w:val="none"/>
        </w:rPr>
        <w:t>)</w:t>
      </w:r>
    </w:p>
    <w:p w14:paraId="7BAFF84D">
      <w:pPr>
        <w:spacing w:before="1" w:line="218" w:lineRule="auto"/>
        <w:ind w:left="16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负</w:t>
      </w:r>
      <w:r>
        <w:rPr>
          <w:rFonts w:ascii="宋体" w:hAnsi="宋体" w:eastAsia="宋体" w:cs="宋体"/>
          <w:color w:val="auto"/>
          <w:spacing w:val="-1"/>
          <w:sz w:val="21"/>
          <w:szCs w:val="21"/>
          <w:highlight w:val="none"/>
        </w:rPr>
        <w:t xml:space="preserve"> 责 人：(签字或盖章)</w:t>
      </w:r>
    </w:p>
    <w:p w14:paraId="1D4998B6">
      <w:pPr>
        <w:spacing w:before="216" w:line="220" w:lineRule="auto"/>
        <w:ind w:left="43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年   月   日</w:t>
      </w:r>
    </w:p>
    <w:p w14:paraId="08BED27E">
      <w:pPr>
        <w:spacing w:line="279" w:lineRule="auto"/>
        <w:rPr>
          <w:rFonts w:ascii="Arial"/>
          <w:color w:val="auto"/>
          <w:sz w:val="21"/>
          <w:highlight w:val="none"/>
        </w:rPr>
      </w:pPr>
    </w:p>
    <w:p w14:paraId="11125C04">
      <w:pPr>
        <w:spacing w:line="280" w:lineRule="auto"/>
        <w:rPr>
          <w:rFonts w:ascii="Arial"/>
          <w:color w:val="auto"/>
          <w:sz w:val="21"/>
          <w:highlight w:val="none"/>
        </w:rPr>
      </w:pPr>
    </w:p>
    <w:p w14:paraId="2786D03C">
      <w:pPr>
        <w:spacing w:line="280" w:lineRule="auto"/>
        <w:rPr>
          <w:rFonts w:ascii="Arial"/>
          <w:color w:val="auto"/>
          <w:sz w:val="21"/>
          <w:highlight w:val="none"/>
        </w:rPr>
      </w:pPr>
    </w:p>
    <w:p w14:paraId="5C266CB8">
      <w:pPr>
        <w:spacing w:line="280" w:lineRule="auto"/>
        <w:rPr>
          <w:rFonts w:ascii="Arial"/>
          <w:color w:val="auto"/>
          <w:sz w:val="21"/>
          <w:highlight w:val="none"/>
        </w:rPr>
      </w:pPr>
    </w:p>
    <w:p w14:paraId="63B483A5">
      <w:pPr>
        <w:spacing w:line="280" w:lineRule="auto"/>
        <w:rPr>
          <w:rFonts w:ascii="Arial"/>
          <w:color w:val="auto"/>
          <w:sz w:val="21"/>
          <w:highlight w:val="none"/>
        </w:rPr>
      </w:pPr>
    </w:p>
    <w:p w14:paraId="68C5845C">
      <w:pPr>
        <w:spacing w:before="69" w:line="219" w:lineRule="auto"/>
        <w:ind w:left="26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 xml:space="preserve">注： </w:t>
      </w:r>
      <w:r>
        <w:rPr>
          <w:rFonts w:ascii="宋体" w:hAnsi="宋体" w:eastAsia="宋体" w:cs="宋体"/>
          <w:color w:val="auto"/>
          <w:spacing w:val="-3"/>
          <w:sz w:val="21"/>
          <w:szCs w:val="21"/>
          <w:highlight w:val="none"/>
        </w:rPr>
        <w:t>1、本业务授权书适用于投标人总公司授权其省级或地市级分支机构参加本项目投标</w:t>
      </w:r>
    </w:p>
    <w:p w14:paraId="13D61070">
      <w:pPr>
        <w:spacing w:before="217" w:line="375" w:lineRule="exact"/>
        <w:ind w:left="23"/>
        <w:rPr>
          <w:rFonts w:ascii="宋体" w:hAnsi="宋体" w:eastAsia="宋体" w:cs="宋体"/>
          <w:color w:val="auto"/>
          <w:sz w:val="21"/>
          <w:szCs w:val="21"/>
          <w:highlight w:val="none"/>
        </w:rPr>
      </w:pPr>
      <w:r>
        <w:rPr>
          <w:rFonts w:ascii="宋体" w:hAnsi="宋体" w:eastAsia="宋体" w:cs="宋体"/>
          <w:color w:val="auto"/>
          <w:spacing w:val="-4"/>
          <w:position w:val="12"/>
          <w:sz w:val="21"/>
          <w:szCs w:val="21"/>
          <w:highlight w:val="none"/>
        </w:rPr>
        <w:t>及中标</w:t>
      </w:r>
      <w:r>
        <w:rPr>
          <w:rFonts w:ascii="宋体" w:hAnsi="宋体" w:eastAsia="宋体" w:cs="宋体"/>
          <w:color w:val="auto"/>
          <w:spacing w:val="-2"/>
          <w:position w:val="12"/>
          <w:sz w:val="21"/>
          <w:szCs w:val="21"/>
          <w:highlight w:val="none"/>
        </w:rPr>
        <w:t>后项目的具体操作。</w:t>
      </w:r>
    </w:p>
    <w:p w14:paraId="2B7BF110">
      <w:pPr>
        <w:spacing w:before="1" w:line="218" w:lineRule="auto"/>
        <w:ind w:left="44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2、本业务授</w:t>
      </w:r>
      <w:r>
        <w:rPr>
          <w:rFonts w:ascii="宋体" w:hAnsi="宋体" w:eastAsia="宋体" w:cs="宋体"/>
          <w:color w:val="auto"/>
          <w:sz w:val="21"/>
          <w:szCs w:val="21"/>
          <w:highlight w:val="none"/>
        </w:rPr>
        <w:t>权书应附拟法定代表人、省级或地市级分支机构机构负责人身份证复制件</w:t>
      </w:r>
    </w:p>
    <w:p w14:paraId="16ED3824">
      <w:pPr>
        <w:spacing w:before="66" w:line="219" w:lineRule="auto"/>
        <w:ind w:left="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并加</w:t>
      </w:r>
      <w:r>
        <w:rPr>
          <w:rFonts w:ascii="宋体" w:hAnsi="宋体" w:eastAsia="宋体" w:cs="宋体"/>
          <w:color w:val="auto"/>
          <w:spacing w:val="-3"/>
          <w:sz w:val="21"/>
          <w:szCs w:val="21"/>
          <w:highlight w:val="none"/>
        </w:rPr>
        <w:t>盖单位电子公章。</w:t>
      </w:r>
    </w:p>
    <w:p w14:paraId="32E330C4">
      <w:pPr>
        <w:pStyle w:val="5"/>
        <w:tabs>
          <w:tab w:val="left" w:pos="4592"/>
        </w:tabs>
        <w:ind w:left="4592" w:hanging="4592"/>
        <w:rPr>
          <w:rFonts w:ascii="Arial"/>
          <w:color w:val="auto"/>
          <w:sz w:val="21"/>
          <w:highlight w:val="none"/>
        </w:rPr>
      </w:pPr>
      <w:r>
        <w:rPr>
          <w:rFonts w:ascii="Arial"/>
          <w:color w:val="auto"/>
          <w:sz w:val="21"/>
          <w:highlight w:val="none"/>
        </w:rPr>
        <w:br w:type="page"/>
      </w:r>
      <w:r>
        <w:rPr>
          <w:rFonts w:hint="eastAsia" w:ascii="宋体" w:hAnsi="宋体" w:eastAsia="宋体" w:cs="宋体"/>
          <w:b w:val="0"/>
          <w:color w:val="auto"/>
          <w:sz w:val="21"/>
          <w:szCs w:val="21"/>
          <w:highlight w:val="none"/>
        </w:rPr>
        <w:t>附件</w:t>
      </w:r>
      <w:r>
        <w:rPr>
          <w:rFonts w:hint="eastAsia" w:ascii="宋体" w:hAnsi="宋体" w:eastAsia="宋体" w:cs="宋体"/>
          <w:b w:val="0"/>
          <w:color w:val="auto"/>
          <w:sz w:val="21"/>
          <w:szCs w:val="21"/>
          <w:highlight w:val="none"/>
          <w:lang w:val="en-US" w:eastAsia="zh-CN"/>
        </w:rPr>
        <w:t>7</w:t>
      </w:r>
    </w:p>
    <w:p w14:paraId="0A6B43F9">
      <w:pPr>
        <w:spacing w:before="91" w:line="222" w:lineRule="auto"/>
        <w:jc w:val="center"/>
        <w:rPr>
          <w:rFonts w:ascii="Arial"/>
          <w:color w:val="auto"/>
          <w:sz w:val="21"/>
          <w:highlight w:val="none"/>
        </w:rPr>
      </w:pPr>
      <w:bookmarkStart w:id="103" w:name="_Toc12157_WPSOffice_Level1"/>
      <w:r>
        <w:rPr>
          <w:rFonts w:hint="eastAsia" w:ascii="宋体" w:hAnsi="宋体" w:eastAsia="宋体" w:cs="宋体"/>
          <w:b/>
          <w:bCs/>
          <w:color w:val="auto"/>
          <w:sz w:val="36"/>
          <w:szCs w:val="52"/>
          <w:highlight w:val="none"/>
        </w:rPr>
        <w:t>法定代表人（负责人）授权委托书</w:t>
      </w:r>
      <w:bookmarkEnd w:id="103"/>
    </w:p>
    <w:p w14:paraId="78D1090D">
      <w:pPr>
        <w:spacing w:line="248" w:lineRule="auto"/>
        <w:rPr>
          <w:rFonts w:ascii="Arial"/>
          <w:color w:val="auto"/>
          <w:sz w:val="21"/>
          <w:highlight w:val="none"/>
        </w:rPr>
      </w:pPr>
    </w:p>
    <w:p w14:paraId="10481778">
      <w:pPr>
        <w:spacing w:before="68" w:line="414" w:lineRule="auto"/>
        <w:ind w:left="25" w:right="14" w:firstLine="41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本人</w:t>
      </w:r>
      <w:r>
        <w:rPr>
          <w:rFonts w:ascii="宋体" w:hAnsi="宋体" w:eastAsia="宋体" w:cs="宋体"/>
          <w:color w:val="auto"/>
          <w:spacing w:val="8"/>
          <w:sz w:val="21"/>
          <w:szCs w:val="21"/>
          <w:highlight w:val="none"/>
          <w:u w:val="single"/>
        </w:rPr>
        <w:t xml:space="preserve"> (姓名</w:t>
      </w:r>
      <w:r>
        <w:rPr>
          <w:rFonts w:ascii="宋体" w:hAnsi="宋体" w:eastAsia="宋体" w:cs="宋体"/>
          <w:color w:val="auto"/>
          <w:spacing w:val="7"/>
          <w:sz w:val="21"/>
          <w:szCs w:val="21"/>
          <w:highlight w:val="none"/>
          <w:u w:val="single"/>
        </w:rPr>
        <w:t>)</w:t>
      </w:r>
      <w:r>
        <w:rPr>
          <w:rFonts w:ascii="宋体" w:hAnsi="宋体" w:eastAsia="宋体" w:cs="宋体"/>
          <w:color w:val="auto"/>
          <w:spacing w:val="4"/>
          <w:sz w:val="21"/>
          <w:szCs w:val="21"/>
          <w:highlight w:val="none"/>
          <w:u w:val="single"/>
        </w:rPr>
        <w:t xml:space="preserve"> </w:t>
      </w:r>
      <w:r>
        <w:rPr>
          <w:rFonts w:ascii="宋体" w:hAnsi="宋体" w:eastAsia="宋体" w:cs="宋体"/>
          <w:color w:val="auto"/>
          <w:spacing w:val="4"/>
          <w:sz w:val="21"/>
          <w:szCs w:val="21"/>
          <w:highlight w:val="none"/>
        </w:rPr>
        <w:t xml:space="preserve"> 系</w:t>
      </w:r>
      <w:r>
        <w:rPr>
          <w:rFonts w:ascii="宋体" w:hAnsi="宋体" w:eastAsia="宋体" w:cs="宋体"/>
          <w:color w:val="auto"/>
          <w:spacing w:val="4"/>
          <w:sz w:val="21"/>
          <w:szCs w:val="21"/>
          <w:highlight w:val="none"/>
          <w:u w:val="single"/>
        </w:rPr>
        <w:t xml:space="preserve">   (投标人名称)   </w:t>
      </w:r>
      <w:r>
        <w:rPr>
          <w:rFonts w:ascii="宋体" w:hAnsi="宋体" w:eastAsia="宋体" w:cs="宋体"/>
          <w:color w:val="auto"/>
          <w:spacing w:val="4"/>
          <w:sz w:val="21"/>
          <w:szCs w:val="21"/>
          <w:highlight w:val="none"/>
        </w:rPr>
        <w:t xml:space="preserve"> 的法定代表</w:t>
      </w:r>
      <w:r>
        <w:rPr>
          <w:rFonts w:hint="eastAsia" w:ascii="宋体" w:hAnsi="宋体" w:eastAsia="宋体" w:cs="宋体"/>
          <w:color w:val="auto"/>
          <w:spacing w:val="4"/>
          <w:sz w:val="21"/>
          <w:szCs w:val="21"/>
          <w:highlight w:val="none"/>
        </w:rPr>
        <w:t>(或负责)</w:t>
      </w:r>
      <w:r>
        <w:rPr>
          <w:rFonts w:ascii="宋体" w:hAnsi="宋体" w:eastAsia="宋体" w:cs="宋体"/>
          <w:color w:val="auto"/>
          <w:spacing w:val="4"/>
          <w:sz w:val="21"/>
          <w:szCs w:val="21"/>
          <w:highlight w:val="none"/>
        </w:rPr>
        <w:t>人，现委托</w:t>
      </w:r>
      <w:r>
        <w:rPr>
          <w:rFonts w:ascii="宋体" w:hAnsi="宋体" w:eastAsia="宋体" w:cs="宋体"/>
          <w:color w:val="auto"/>
          <w:spacing w:val="4"/>
          <w:sz w:val="21"/>
          <w:szCs w:val="21"/>
          <w:highlight w:val="none"/>
          <w:u w:val="single"/>
        </w:rPr>
        <w:t xml:space="preserve"> (姓名) </w:t>
      </w:r>
      <w:r>
        <w:rPr>
          <w:rFonts w:ascii="宋体" w:hAnsi="宋体" w:eastAsia="宋体" w:cs="宋体"/>
          <w:color w:val="auto"/>
          <w:spacing w:val="4"/>
          <w:sz w:val="21"/>
          <w:szCs w:val="21"/>
          <w:highlight w:val="none"/>
        </w:rPr>
        <w:t xml:space="preserve"> 为我方代理</w:t>
      </w:r>
      <w:r>
        <w:rPr>
          <w:rFonts w:ascii="宋体" w:hAnsi="宋体" w:eastAsia="宋体" w:cs="宋体"/>
          <w:color w:val="auto"/>
          <w:spacing w:val="-6"/>
          <w:sz w:val="21"/>
          <w:szCs w:val="21"/>
          <w:highlight w:val="none"/>
        </w:rPr>
        <w:t>人。代理人</w:t>
      </w:r>
      <w:r>
        <w:rPr>
          <w:rFonts w:ascii="宋体" w:hAnsi="宋体" w:eastAsia="宋体" w:cs="宋体"/>
          <w:color w:val="auto"/>
          <w:spacing w:val="-4"/>
          <w:sz w:val="21"/>
          <w:szCs w:val="21"/>
          <w:highlight w:val="none"/>
        </w:rPr>
        <w:t>根</w:t>
      </w:r>
      <w:r>
        <w:rPr>
          <w:rFonts w:ascii="宋体" w:hAnsi="宋体" w:eastAsia="宋体" w:cs="宋体"/>
          <w:color w:val="auto"/>
          <w:spacing w:val="-3"/>
          <w:sz w:val="21"/>
          <w:szCs w:val="21"/>
          <w:highlight w:val="none"/>
        </w:rPr>
        <w:t xml:space="preserve">据授权，以我方名义签署、澄清、说明、补正、递交、撤回、修改 </w:t>
      </w:r>
      <w:r>
        <w:rPr>
          <w:rFonts w:ascii="宋体" w:hAnsi="宋体" w:eastAsia="宋体" w:cs="宋体"/>
          <w:color w:val="auto"/>
          <w:spacing w:val="-3"/>
          <w:sz w:val="21"/>
          <w:szCs w:val="21"/>
          <w:highlight w:val="none"/>
          <w:u w:val="single"/>
        </w:rPr>
        <w:t xml:space="preserve">    (项目</w:t>
      </w:r>
      <w:r>
        <w:rPr>
          <w:rFonts w:ascii="宋体" w:hAnsi="宋体" w:eastAsia="宋体" w:cs="宋体"/>
          <w:color w:val="auto"/>
          <w:spacing w:val="-6"/>
          <w:sz w:val="21"/>
          <w:szCs w:val="21"/>
          <w:highlight w:val="none"/>
          <w:u w:val="single"/>
        </w:rPr>
        <w:t xml:space="preserve">名称)  </w:t>
      </w:r>
      <w:r>
        <w:rPr>
          <w:rFonts w:ascii="宋体" w:hAnsi="宋体" w:eastAsia="宋体" w:cs="宋体"/>
          <w:color w:val="auto"/>
          <w:spacing w:val="-4"/>
          <w:sz w:val="21"/>
          <w:szCs w:val="21"/>
          <w:highlight w:val="none"/>
          <w:u w:val="single"/>
        </w:rPr>
        <w:t xml:space="preserve"> </w:t>
      </w:r>
      <w:r>
        <w:rPr>
          <w:rFonts w:ascii="宋体" w:hAnsi="宋体" w:eastAsia="宋体" w:cs="宋体"/>
          <w:color w:val="auto"/>
          <w:spacing w:val="-3"/>
          <w:sz w:val="21"/>
          <w:szCs w:val="21"/>
          <w:highlight w:val="none"/>
          <w:u w:val="single"/>
        </w:rPr>
        <w:t xml:space="preserve"> </w:t>
      </w:r>
      <w:r>
        <w:rPr>
          <w:rFonts w:ascii="宋体" w:hAnsi="宋体" w:eastAsia="宋体" w:cs="宋体"/>
          <w:color w:val="auto"/>
          <w:spacing w:val="-3"/>
          <w:sz w:val="21"/>
          <w:szCs w:val="21"/>
          <w:highlight w:val="none"/>
        </w:rPr>
        <w:t xml:space="preserve"> 保险投标文件、签订合同和处理有关事宜，其法律后果由我方承担。</w:t>
      </w:r>
    </w:p>
    <w:p w14:paraId="59A596B8">
      <w:pPr>
        <w:spacing w:before="215" w:line="220" w:lineRule="auto"/>
        <w:ind w:firstLine="42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委托期限： 签发之日起至    年  月  日。</w:t>
      </w:r>
    </w:p>
    <w:p w14:paraId="7314E237">
      <w:pPr>
        <w:spacing w:before="215" w:line="220" w:lineRule="auto"/>
        <w:ind w:firstLine="42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代</w:t>
      </w:r>
      <w:r>
        <w:rPr>
          <w:rFonts w:ascii="宋体" w:hAnsi="宋体" w:eastAsia="宋体" w:cs="宋体"/>
          <w:color w:val="auto"/>
          <w:spacing w:val="-4"/>
          <w:sz w:val="21"/>
          <w:szCs w:val="21"/>
          <w:highlight w:val="none"/>
        </w:rPr>
        <w:t>理</w:t>
      </w:r>
      <w:r>
        <w:rPr>
          <w:rFonts w:ascii="宋体" w:hAnsi="宋体" w:eastAsia="宋体" w:cs="宋体"/>
          <w:color w:val="auto"/>
          <w:spacing w:val="-3"/>
          <w:sz w:val="21"/>
          <w:szCs w:val="21"/>
          <w:highlight w:val="none"/>
        </w:rPr>
        <w:t>人无转委托权。</w:t>
      </w:r>
    </w:p>
    <w:p w14:paraId="1E71EABA">
      <w:pPr>
        <w:spacing w:line="304" w:lineRule="auto"/>
        <w:rPr>
          <w:rFonts w:ascii="Arial"/>
          <w:color w:val="auto"/>
          <w:sz w:val="21"/>
          <w:highlight w:val="none"/>
        </w:rPr>
      </w:pPr>
    </w:p>
    <w:p w14:paraId="429DFD6E">
      <w:pPr>
        <w:spacing w:line="304" w:lineRule="auto"/>
        <w:rPr>
          <w:rFonts w:ascii="Arial"/>
          <w:color w:val="auto"/>
          <w:sz w:val="21"/>
          <w:highlight w:val="none"/>
        </w:rPr>
      </w:pPr>
    </w:p>
    <w:p w14:paraId="51AAAB25">
      <w:pPr>
        <w:spacing w:before="68" w:line="219" w:lineRule="auto"/>
        <w:ind w:left="447"/>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投标人(盖单位电子公章)：</w:t>
      </w:r>
    </w:p>
    <w:p w14:paraId="1CBC6AEB">
      <w:pPr>
        <w:spacing w:before="232" w:line="465" w:lineRule="exact"/>
        <w:ind w:left="445"/>
        <w:rPr>
          <w:rFonts w:ascii="宋体" w:hAnsi="宋体" w:eastAsia="宋体" w:cs="宋体"/>
          <w:color w:val="auto"/>
          <w:sz w:val="21"/>
          <w:szCs w:val="21"/>
          <w:highlight w:val="none"/>
        </w:rPr>
      </w:pPr>
      <w:r>
        <w:rPr>
          <w:rFonts w:hint="eastAsia" w:ascii="宋体" w:hAnsi="宋体" w:eastAsia="宋体" w:cs="宋体"/>
          <w:color w:val="auto"/>
          <w:spacing w:val="2"/>
          <w:position w:val="19"/>
          <w:sz w:val="21"/>
          <w:szCs w:val="21"/>
          <w:highlight w:val="none"/>
        </w:rPr>
        <w:t>法定代表人（负责人）</w:t>
      </w:r>
      <w:r>
        <w:rPr>
          <w:rFonts w:ascii="宋体" w:hAnsi="宋体" w:eastAsia="宋体" w:cs="宋体"/>
          <w:color w:val="auto"/>
          <w:spacing w:val="2"/>
          <w:position w:val="19"/>
          <w:sz w:val="21"/>
          <w:szCs w:val="21"/>
          <w:highlight w:val="none"/>
        </w:rPr>
        <w:t xml:space="preserve"> (盖电子章)：</w:t>
      </w:r>
    </w:p>
    <w:p w14:paraId="477675D5">
      <w:pPr>
        <w:spacing w:before="1" w:line="219" w:lineRule="auto"/>
        <w:ind w:left="44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代理人(被授权人) ：</w:t>
      </w:r>
    </w:p>
    <w:p w14:paraId="7CB6AFA1">
      <w:pPr>
        <w:spacing w:before="215" w:line="220" w:lineRule="auto"/>
        <w:ind w:left="445"/>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职</w:t>
      </w:r>
      <w:r>
        <w:rPr>
          <w:rFonts w:ascii="宋体" w:hAnsi="宋体" w:eastAsia="宋体" w:cs="宋体"/>
          <w:color w:val="auto"/>
          <w:spacing w:val="-12"/>
          <w:sz w:val="21"/>
          <w:szCs w:val="21"/>
          <w:highlight w:val="none"/>
        </w:rPr>
        <w:t>务：</w:t>
      </w:r>
    </w:p>
    <w:p w14:paraId="4DF32D33">
      <w:pPr>
        <w:spacing w:before="215" w:line="220" w:lineRule="auto"/>
        <w:ind w:left="48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 xml:space="preserve">日期：     年  月  </w:t>
      </w:r>
      <w:r>
        <w:rPr>
          <w:rFonts w:ascii="宋体" w:hAnsi="宋体" w:eastAsia="宋体" w:cs="宋体"/>
          <w:color w:val="auto"/>
          <w:spacing w:val="-6"/>
          <w:sz w:val="21"/>
          <w:szCs w:val="21"/>
          <w:highlight w:val="none"/>
        </w:rPr>
        <w:t>日</w:t>
      </w:r>
    </w:p>
    <w:p w14:paraId="61AAB2A3">
      <w:pPr>
        <w:spacing w:line="311" w:lineRule="auto"/>
        <w:rPr>
          <w:rFonts w:ascii="Arial"/>
          <w:color w:val="auto"/>
          <w:sz w:val="21"/>
          <w:highlight w:val="none"/>
        </w:rPr>
      </w:pPr>
    </w:p>
    <w:p w14:paraId="6836A509">
      <w:pPr>
        <w:spacing w:line="312" w:lineRule="auto"/>
        <w:rPr>
          <w:rFonts w:ascii="Arial"/>
          <w:color w:val="auto"/>
          <w:sz w:val="21"/>
          <w:highlight w:val="none"/>
        </w:rPr>
      </w:pPr>
    </w:p>
    <w:p w14:paraId="3EBC6206">
      <w:pPr>
        <w:spacing w:before="69" w:line="219" w:lineRule="auto"/>
        <w:ind w:left="23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注：</w:t>
      </w:r>
      <w:r>
        <w:rPr>
          <w:rFonts w:ascii="宋体" w:hAnsi="宋体" w:eastAsia="宋体" w:cs="宋体"/>
          <w:color w:val="auto"/>
          <w:spacing w:val="-7"/>
          <w:sz w:val="21"/>
          <w:szCs w:val="21"/>
          <w:highlight w:val="none"/>
        </w:rPr>
        <w:t xml:space="preserve"> </w:t>
      </w:r>
      <w:r>
        <w:rPr>
          <w:rFonts w:ascii="宋体" w:hAnsi="宋体" w:eastAsia="宋体" w:cs="宋体"/>
          <w:color w:val="auto"/>
          <w:spacing w:val="-5"/>
          <w:sz w:val="21"/>
          <w:szCs w:val="21"/>
          <w:highlight w:val="none"/>
        </w:rPr>
        <w:t>1、应由投标人的</w:t>
      </w:r>
      <w:r>
        <w:rPr>
          <w:rFonts w:hint="eastAsia" w:ascii="宋体" w:hAnsi="宋体" w:eastAsia="宋体" w:cs="宋体"/>
          <w:color w:val="auto"/>
          <w:spacing w:val="-5"/>
          <w:sz w:val="21"/>
          <w:szCs w:val="21"/>
          <w:highlight w:val="none"/>
        </w:rPr>
        <w:t>法定代表 (或负责) 人</w:t>
      </w:r>
      <w:r>
        <w:rPr>
          <w:rFonts w:ascii="宋体" w:hAnsi="宋体" w:eastAsia="宋体" w:cs="宋体"/>
          <w:color w:val="auto"/>
          <w:spacing w:val="-5"/>
          <w:sz w:val="21"/>
          <w:szCs w:val="21"/>
          <w:highlight w:val="none"/>
        </w:rPr>
        <w:t>签署授权委托书。</w:t>
      </w:r>
    </w:p>
    <w:p w14:paraId="21663AC1">
      <w:pPr>
        <w:spacing w:before="217" w:line="415" w:lineRule="auto"/>
        <w:ind w:left="30" w:right="15" w:firstLine="6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ascii="宋体" w:hAnsi="宋体" w:eastAsia="宋体" w:cs="宋体"/>
          <w:color w:val="auto"/>
          <w:sz w:val="21"/>
          <w:szCs w:val="21"/>
          <w:highlight w:val="none"/>
        </w:rPr>
        <w:t>、若由</w:t>
      </w:r>
      <w:r>
        <w:rPr>
          <w:rFonts w:hint="eastAsia" w:ascii="宋体" w:hAnsi="宋体" w:eastAsia="宋体" w:cs="宋体"/>
          <w:color w:val="auto"/>
          <w:sz w:val="21"/>
          <w:szCs w:val="21"/>
          <w:highlight w:val="none"/>
        </w:rPr>
        <w:t>法定代表 (或负责) 人</w:t>
      </w:r>
      <w:r>
        <w:rPr>
          <w:rFonts w:ascii="宋体" w:hAnsi="宋体" w:eastAsia="宋体" w:cs="宋体"/>
          <w:color w:val="auto"/>
          <w:sz w:val="21"/>
          <w:szCs w:val="21"/>
          <w:highlight w:val="none"/>
        </w:rPr>
        <w:t>签署投标文件，则不需要提供授权委托书。</w:t>
      </w:r>
      <w:r>
        <w:rPr>
          <w:rFonts w:hint="eastAsia" w:ascii="宋体" w:hAnsi="宋体" w:eastAsia="宋体" w:cs="宋体"/>
          <w:color w:val="auto"/>
          <w:sz w:val="21"/>
          <w:szCs w:val="21"/>
          <w:highlight w:val="none"/>
        </w:rPr>
        <w:t>法定代表 (或负责) 人</w:t>
      </w:r>
      <w:r>
        <w:rPr>
          <w:rFonts w:ascii="宋体" w:hAnsi="宋体" w:eastAsia="宋体" w:cs="宋体"/>
          <w:color w:val="auto"/>
          <w:sz w:val="21"/>
          <w:szCs w:val="21"/>
          <w:highlight w:val="none"/>
        </w:rPr>
        <w:t>以营业执</w:t>
      </w:r>
      <w:r>
        <w:rPr>
          <w:rFonts w:ascii="宋体" w:hAnsi="宋体" w:eastAsia="宋体" w:cs="宋体"/>
          <w:color w:val="auto"/>
          <w:spacing w:val="-7"/>
          <w:sz w:val="21"/>
          <w:szCs w:val="21"/>
          <w:highlight w:val="none"/>
        </w:rPr>
        <w:t>照</w:t>
      </w:r>
      <w:r>
        <w:rPr>
          <w:rFonts w:ascii="宋体" w:hAnsi="宋体" w:eastAsia="宋体" w:cs="宋体"/>
          <w:color w:val="auto"/>
          <w:spacing w:val="-5"/>
          <w:sz w:val="21"/>
          <w:szCs w:val="21"/>
          <w:highlight w:val="none"/>
        </w:rPr>
        <w:t>中载明为准。</w:t>
      </w:r>
    </w:p>
    <w:p w14:paraId="1D48EAE5">
      <w:pPr>
        <w:rPr>
          <w:color w:val="auto"/>
          <w:highlight w:val="none"/>
        </w:rPr>
      </w:pPr>
    </w:p>
    <w:p w14:paraId="0ECC535D">
      <w:pPr>
        <w:spacing w:line="75" w:lineRule="exact"/>
        <w:rPr>
          <w:color w:val="auto"/>
          <w:highlight w:val="none"/>
        </w:rPr>
      </w:pPr>
    </w:p>
    <w:p w14:paraId="0061C13A">
      <w:pPr>
        <w:pStyle w:val="5"/>
        <w:tabs>
          <w:tab w:val="left" w:pos="4592"/>
        </w:tabs>
        <w:ind w:left="4592" w:hanging="4592"/>
        <w:rPr>
          <w:rFonts w:hint="eastAsia" w:ascii="宋体" w:hAnsi="宋体" w:eastAsia="宋体" w:cs="宋体"/>
          <w:b w:val="0"/>
          <w:color w:val="auto"/>
          <w:sz w:val="21"/>
          <w:szCs w:val="21"/>
          <w:highlight w:val="none"/>
        </w:rPr>
      </w:pPr>
    </w:p>
    <w:p w14:paraId="42E3756B">
      <w:pPr>
        <w:pStyle w:val="5"/>
        <w:tabs>
          <w:tab w:val="left" w:pos="4592"/>
        </w:tabs>
        <w:ind w:left="4592" w:hanging="4592"/>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br w:type="page"/>
      </w:r>
      <w:r>
        <w:rPr>
          <w:rFonts w:hint="eastAsia" w:ascii="宋体" w:hAnsi="宋体" w:eastAsia="宋体" w:cs="宋体"/>
          <w:b w:val="0"/>
          <w:color w:val="auto"/>
          <w:sz w:val="21"/>
          <w:szCs w:val="21"/>
          <w:highlight w:val="none"/>
        </w:rPr>
        <w:t>附件</w:t>
      </w:r>
      <w:bookmarkEnd w:id="93"/>
      <w:bookmarkEnd w:id="94"/>
      <w:bookmarkEnd w:id="95"/>
      <w:bookmarkEnd w:id="96"/>
      <w:bookmarkEnd w:id="97"/>
      <w:bookmarkEnd w:id="98"/>
      <w:bookmarkEnd w:id="99"/>
      <w:bookmarkEnd w:id="100"/>
      <w:bookmarkEnd w:id="101"/>
      <w:bookmarkEnd w:id="102"/>
      <w:r>
        <w:rPr>
          <w:rFonts w:hint="eastAsia" w:ascii="宋体" w:hAnsi="宋体" w:eastAsia="宋体" w:cs="宋体"/>
          <w:b w:val="0"/>
          <w:color w:val="auto"/>
          <w:sz w:val="21"/>
          <w:szCs w:val="21"/>
          <w:highlight w:val="none"/>
          <w:lang w:val="en-US" w:eastAsia="zh-CN"/>
        </w:rPr>
        <w:t>8</w:t>
      </w:r>
    </w:p>
    <w:bookmarkEnd w:id="84"/>
    <w:bookmarkEnd w:id="85"/>
    <w:bookmarkEnd w:id="86"/>
    <w:bookmarkEnd w:id="87"/>
    <w:bookmarkEnd w:id="89"/>
    <w:p w14:paraId="4A7DFC2C">
      <w:pPr>
        <w:spacing w:before="91" w:line="222" w:lineRule="auto"/>
        <w:jc w:val="center"/>
        <w:rPr>
          <w:rFonts w:hint="eastAsia" w:ascii="宋体" w:hAnsi="宋体" w:eastAsia="宋体" w:cs="宋体"/>
          <w:b/>
          <w:bCs/>
          <w:color w:val="auto"/>
          <w:sz w:val="36"/>
          <w:szCs w:val="52"/>
          <w:highlight w:val="none"/>
        </w:rPr>
      </w:pPr>
      <w:bookmarkStart w:id="104" w:name="_Toc13036_WPSOffice_Level1"/>
      <w:r>
        <w:rPr>
          <w:rFonts w:hint="eastAsia" w:ascii="宋体" w:hAnsi="宋体" w:eastAsia="宋体" w:cs="宋体"/>
          <w:b/>
          <w:bCs/>
          <w:color w:val="auto"/>
          <w:sz w:val="36"/>
          <w:szCs w:val="52"/>
          <w:highlight w:val="none"/>
        </w:rPr>
        <w:t>法定代表人（负责人）身份证明</w:t>
      </w:r>
      <w:bookmarkEnd w:id="104"/>
    </w:p>
    <w:p w14:paraId="161B620A">
      <w:pPr>
        <w:pStyle w:val="52"/>
        <w:spacing w:line="440" w:lineRule="exact"/>
        <w:rPr>
          <w:rFonts w:hint="eastAsia" w:ascii="宋体" w:hAnsi="宋体" w:cs="宋体"/>
          <w:color w:val="auto"/>
          <w:sz w:val="24"/>
          <w:szCs w:val="24"/>
          <w:highlight w:val="none"/>
        </w:rPr>
      </w:pPr>
    </w:p>
    <w:p w14:paraId="63A4F0D8">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76A8C40">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FBBE09A">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14:paraId="4989026A">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1D7A8631">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C19C94D">
      <w:pPr>
        <w:pStyle w:val="52"/>
        <w:spacing w:line="6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电子邮箱：</w:t>
      </w:r>
      <w:r>
        <w:rPr>
          <w:rFonts w:hint="eastAsia" w:ascii="宋体" w:hAnsi="宋体" w:cs="宋体"/>
          <w:color w:val="auto"/>
          <w:sz w:val="24"/>
          <w:szCs w:val="24"/>
          <w:highlight w:val="none"/>
          <w:u w:val="single"/>
        </w:rPr>
        <w:t xml:space="preserve">            </w:t>
      </w:r>
    </w:p>
    <w:p w14:paraId="3517D7CF">
      <w:pPr>
        <w:pStyle w:val="52"/>
        <w:spacing w:line="60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18457305">
      <w:pPr>
        <w:pStyle w:val="52"/>
        <w:spacing w:line="6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（投标人名称）的法定代表</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 xml:space="preserve"> (负责人)。</w:t>
      </w:r>
    </w:p>
    <w:p w14:paraId="50331F66">
      <w:pPr>
        <w:pStyle w:val="52"/>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24A5FBF1">
      <w:pPr>
        <w:pStyle w:val="52"/>
        <w:spacing w:line="600" w:lineRule="exact"/>
        <w:rPr>
          <w:rFonts w:hint="eastAsia" w:ascii="宋体" w:hAnsi="宋体" w:cs="宋体"/>
          <w:color w:val="auto"/>
          <w:sz w:val="24"/>
          <w:szCs w:val="24"/>
          <w:highlight w:val="none"/>
        </w:rPr>
      </w:pPr>
    </w:p>
    <w:p w14:paraId="4C250C6C">
      <w:pPr>
        <w:pStyle w:val="52"/>
        <w:spacing w:line="440" w:lineRule="exact"/>
        <w:rPr>
          <w:rFonts w:hint="eastAsia" w:ascii="宋体" w:hAnsi="宋体" w:cs="宋体"/>
          <w:color w:val="auto"/>
          <w:sz w:val="24"/>
          <w:szCs w:val="24"/>
          <w:highlight w:val="none"/>
        </w:rPr>
      </w:pPr>
    </w:p>
    <w:p w14:paraId="6F0CD0D7">
      <w:pPr>
        <w:pStyle w:val="52"/>
        <w:spacing w:line="440" w:lineRule="exact"/>
        <w:rPr>
          <w:rFonts w:hint="eastAsia" w:ascii="宋体" w:hAnsi="宋体" w:cs="宋体"/>
          <w:color w:val="auto"/>
          <w:sz w:val="24"/>
          <w:szCs w:val="24"/>
          <w:highlight w:val="none"/>
        </w:rPr>
      </w:pPr>
    </w:p>
    <w:p w14:paraId="5808F9A6">
      <w:pPr>
        <w:pStyle w:val="52"/>
        <w:spacing w:line="7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（盖单位电子公章）</w:t>
      </w:r>
    </w:p>
    <w:p w14:paraId="0127AB07">
      <w:pPr>
        <w:pStyle w:val="52"/>
        <w:spacing w:line="7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20D59F8">
      <w:pPr>
        <w:shd w:val="clear" w:color="auto" w:fill="auto"/>
        <w:ind w:firstLine="435"/>
        <w:rPr>
          <w:rFonts w:hint="eastAsia" w:ascii="宋体" w:hAnsi="宋体"/>
          <w:b/>
          <w:color w:val="auto"/>
          <w:sz w:val="32"/>
          <w:szCs w:val="32"/>
          <w:highlight w:val="none"/>
          <w:lang w:val="en-GB" w:eastAsia="en-GB"/>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D17D">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A501">
    <w:pPr>
      <w:pStyle w:val="20"/>
      <w:ind w:right="360" w:firstLine="360"/>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05C560C0">
                <w:pPr>
                  <w:pStyle w:val="20"/>
                </w:pPr>
                <w:r>
                  <w:fldChar w:fldCharType="begin"/>
                </w:r>
                <w:r>
                  <w:instrText xml:space="preserve"> PAGE  \* MERGEFORMAT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1431F">
    <w:pPr>
      <w:pStyle w:val="20"/>
      <w:ind w:right="360" w:firstLine="360"/>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14:paraId="65156A45">
                <w:pPr>
                  <w:pStyle w:val="20"/>
                </w:pPr>
                <w:r>
                  <w:fldChar w:fldCharType="begin"/>
                </w:r>
                <w:r>
                  <w:instrText xml:space="preserve"> PAGE  \* MERGEFORMAT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1699">
    <w:pPr>
      <w:pStyle w:val="20"/>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E56F50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DBFA">
    <w:pPr>
      <w:pStyle w:val="2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CF2587B">
                <w:pPr>
                  <w:pStyle w:val="20"/>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FCED">
    <w:pPr>
      <w:pStyle w:val="21"/>
      <w:jc w:val="right"/>
      <w:rPr>
        <w:rFonts w:hint="eastAsia" w:eastAsia="宋体"/>
        <w:lang w:val="en-US" w:eastAsia="zh-CN"/>
      </w:rPr>
    </w:pPr>
    <w:r>
      <w:rPr>
        <w:rFonts w:hint="eastAsia"/>
        <w:lang w:val="en-US" w:eastAsia="zh-CN"/>
      </w:rPr>
      <w:t>台州湾陆岛联动综合码头工程（一期）建筑工程一切险及安全生产责任险保险服务项目招标文件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95A2">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C700">
    <w:pPr>
      <w:pStyle w:val="21"/>
      <w:jc w:val="right"/>
      <w:rPr>
        <w:rFonts w:hint="default"/>
        <w:lang w:val="en-US"/>
      </w:rPr>
    </w:pPr>
    <w:r>
      <w:rPr>
        <w:rFonts w:hint="default"/>
        <w:lang w:val="en-US" w:eastAsia="zh-CN"/>
      </w:rPr>
      <w:t>台州湾陆岛联动综合码头工程（一期）建筑工程一切险及安全生产责任险保险服务项目</w:t>
    </w:r>
    <w:r>
      <w:rPr>
        <w:rFonts w:hint="default"/>
        <w:lang w:val="en-US"/>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5537">
    <w:pPr>
      <w:pStyle w:val="21"/>
      <w:jc w:val="right"/>
      <w:rPr>
        <w:rFonts w:hint="eastAsia" w:eastAsia="宋体"/>
        <w:lang w:val="en-US" w:eastAsia="zh-CN"/>
      </w:rPr>
    </w:pPr>
    <w:r>
      <w:rPr>
        <w:rFonts w:hint="eastAsia"/>
        <w:lang w:val="en-US" w:eastAsia="zh-CN"/>
      </w:rPr>
      <w:t>台州湾陆岛联动综合码头工程（一期）建筑工程一切险及安全生产责任险保险服务项目招标文件</w:t>
    </w:r>
  </w:p>
  <w:p w14:paraId="40BA1B08">
    <w:pPr>
      <w:spacing w:line="2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AAEF8"/>
    <w:multiLevelType w:val="singleLevel"/>
    <w:tmpl w:val="877AAEF8"/>
    <w:lvl w:ilvl="0" w:tentative="0">
      <w:start w:val="16"/>
      <w:numFmt w:val="chineseCounting"/>
      <w:suff w:val="nothing"/>
      <w:lvlText w:val="%1、"/>
      <w:lvlJc w:val="left"/>
      <w:rPr>
        <w:rFonts w:hint="eastAsia"/>
      </w:rPr>
    </w:lvl>
  </w:abstractNum>
  <w:abstractNum w:abstractNumId="1">
    <w:nsid w:val="8DB9B16E"/>
    <w:multiLevelType w:val="singleLevel"/>
    <w:tmpl w:val="8DB9B16E"/>
    <w:lvl w:ilvl="0" w:tentative="0">
      <w:start w:val="2"/>
      <w:numFmt w:val="decimal"/>
      <w:suff w:val="nothing"/>
      <w:lvlText w:val="（%1）"/>
      <w:lvlJc w:val="left"/>
    </w:lvl>
  </w:abstractNum>
  <w:abstractNum w:abstractNumId="2">
    <w:nsid w:val="999FB372"/>
    <w:multiLevelType w:val="singleLevel"/>
    <w:tmpl w:val="999FB372"/>
    <w:lvl w:ilvl="0" w:tentative="0">
      <w:start w:val="1"/>
      <w:numFmt w:val="decimal"/>
      <w:suff w:val="nothing"/>
      <w:lvlText w:val="（%1）"/>
      <w:lvlJc w:val="left"/>
    </w:lvl>
  </w:abstractNum>
  <w:abstractNum w:abstractNumId="3">
    <w:nsid w:val="B37BFBCE"/>
    <w:multiLevelType w:val="singleLevel"/>
    <w:tmpl w:val="B37BFBCE"/>
    <w:lvl w:ilvl="0" w:tentative="0">
      <w:start w:val="1"/>
      <w:numFmt w:val="decimal"/>
      <w:pStyle w:val="6"/>
      <w:lvlText w:val="%1."/>
      <w:lvlJc w:val="left"/>
      <w:pPr>
        <w:tabs>
          <w:tab w:val="left" w:pos="360"/>
        </w:tabs>
        <w:ind w:left="360" w:hanging="360"/>
      </w:pPr>
    </w:lvl>
  </w:abstractNum>
  <w:abstractNum w:abstractNumId="4">
    <w:nsid w:val="BB7B9BA6"/>
    <w:multiLevelType w:val="singleLevel"/>
    <w:tmpl w:val="BB7B9BA6"/>
    <w:lvl w:ilvl="0" w:tentative="0">
      <w:start w:val="1"/>
      <w:numFmt w:val="decimal"/>
      <w:lvlText w:val="(%1)"/>
      <w:lvlJc w:val="left"/>
      <w:pPr>
        <w:ind w:left="425" w:hanging="425"/>
      </w:pPr>
      <w:rPr>
        <w:rFonts w:hint="default"/>
      </w:rPr>
    </w:lvl>
  </w:abstractNum>
  <w:abstractNum w:abstractNumId="5">
    <w:nsid w:val="BF907E09"/>
    <w:multiLevelType w:val="singleLevel"/>
    <w:tmpl w:val="BF907E09"/>
    <w:lvl w:ilvl="0" w:tentative="0">
      <w:start w:val="1"/>
      <w:numFmt w:val="japaneseCounting"/>
      <w:pStyle w:val="2"/>
      <w:lvlText w:val="%1、"/>
      <w:lvlJc w:val="left"/>
      <w:pPr>
        <w:tabs>
          <w:tab w:val="left" w:pos="960"/>
        </w:tabs>
        <w:ind w:left="5010" w:hanging="600"/>
      </w:pPr>
      <w:rPr>
        <w:rFonts w:hint="eastAsia" w:cs="Times New Roman"/>
      </w:rPr>
    </w:lvl>
  </w:abstractNum>
  <w:abstractNum w:abstractNumId="6">
    <w:nsid w:val="C87FB4EA"/>
    <w:multiLevelType w:val="singleLevel"/>
    <w:tmpl w:val="C87FB4EA"/>
    <w:lvl w:ilvl="0" w:tentative="0">
      <w:start w:val="8"/>
      <w:numFmt w:val="decimal"/>
      <w:suff w:val="nothing"/>
      <w:lvlText w:val="（%1）"/>
      <w:lvlJc w:val="left"/>
    </w:lvl>
  </w:abstractNum>
  <w:abstractNum w:abstractNumId="7">
    <w:nsid w:val="D154AD68"/>
    <w:multiLevelType w:val="singleLevel"/>
    <w:tmpl w:val="D154AD68"/>
    <w:lvl w:ilvl="0" w:tentative="0">
      <w:start w:val="1"/>
      <w:numFmt w:val="decimal"/>
      <w:suff w:val="nothing"/>
      <w:lvlText w:val="%1）"/>
      <w:lvlJc w:val="left"/>
    </w:lvl>
  </w:abstractNum>
  <w:abstractNum w:abstractNumId="8">
    <w:nsid w:val="E36A844B"/>
    <w:multiLevelType w:val="singleLevel"/>
    <w:tmpl w:val="E36A844B"/>
    <w:lvl w:ilvl="0" w:tentative="0">
      <w:start w:val="1"/>
      <w:numFmt w:val="decimal"/>
      <w:lvlText w:val="%1."/>
      <w:lvlJc w:val="left"/>
      <w:pPr>
        <w:ind w:left="425" w:hanging="425"/>
      </w:pPr>
      <w:rPr>
        <w:rFonts w:hint="default"/>
      </w:rPr>
    </w:lvl>
  </w:abstractNum>
  <w:abstractNum w:abstractNumId="9">
    <w:nsid w:val="020AD718"/>
    <w:multiLevelType w:val="singleLevel"/>
    <w:tmpl w:val="020AD718"/>
    <w:lvl w:ilvl="0" w:tentative="0">
      <w:start w:val="1"/>
      <w:numFmt w:val="decimal"/>
      <w:suff w:val="nothing"/>
      <w:lvlText w:val="%1）"/>
      <w:lvlJc w:val="left"/>
    </w:lvl>
  </w:abstractNum>
  <w:abstractNum w:abstractNumId="10">
    <w:nsid w:val="07BB528B"/>
    <w:multiLevelType w:val="multilevel"/>
    <w:tmpl w:val="07BB528B"/>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FF92E1"/>
    <w:multiLevelType w:val="singleLevel"/>
    <w:tmpl w:val="12FF92E1"/>
    <w:lvl w:ilvl="0" w:tentative="0">
      <w:start w:val="1"/>
      <w:numFmt w:val="decimal"/>
      <w:suff w:val="nothing"/>
      <w:lvlText w:val="%1、"/>
      <w:lvlJc w:val="left"/>
      <w:pPr>
        <w:ind w:left="480" w:firstLine="0"/>
      </w:pPr>
    </w:lvl>
  </w:abstractNum>
  <w:abstractNum w:abstractNumId="12">
    <w:nsid w:val="1A7A62D2"/>
    <w:multiLevelType w:val="singleLevel"/>
    <w:tmpl w:val="1A7A62D2"/>
    <w:lvl w:ilvl="0" w:tentative="0">
      <w:start w:val="2"/>
      <w:numFmt w:val="upperLetter"/>
      <w:suff w:val="space"/>
      <w:lvlText w:val="%1."/>
      <w:lvlJc w:val="left"/>
      <w:pPr>
        <w:ind w:left="541" w:firstLine="0"/>
      </w:pPr>
    </w:lvl>
  </w:abstractNum>
  <w:abstractNum w:abstractNumId="13">
    <w:nsid w:val="28FE56A4"/>
    <w:multiLevelType w:val="multilevel"/>
    <w:tmpl w:val="28FE56A4"/>
    <w:lvl w:ilvl="0" w:tentative="0">
      <w:start w:val="1"/>
      <w:numFmt w:val="japaneseCounting"/>
      <w:lvlText w:val="（%1）"/>
      <w:lvlJc w:val="left"/>
      <w:pPr>
        <w:ind w:left="1140" w:hanging="720"/>
      </w:pPr>
      <w:rPr>
        <w:rFonts w:hint="default"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315791B"/>
    <w:multiLevelType w:val="singleLevel"/>
    <w:tmpl w:val="3315791B"/>
    <w:lvl w:ilvl="0" w:tentative="0">
      <w:start w:val="8"/>
      <w:numFmt w:val="chineseCounting"/>
      <w:suff w:val="nothing"/>
      <w:lvlText w:val="（%1）"/>
      <w:lvlJc w:val="left"/>
      <w:rPr>
        <w:rFonts w:hint="eastAsia"/>
      </w:rPr>
    </w:lvl>
  </w:abstractNum>
  <w:abstractNum w:abstractNumId="15">
    <w:nsid w:val="3BA68D91"/>
    <w:multiLevelType w:val="singleLevel"/>
    <w:tmpl w:val="3BA68D9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6">
    <w:nsid w:val="4765C7CC"/>
    <w:multiLevelType w:val="singleLevel"/>
    <w:tmpl w:val="4765C7CC"/>
    <w:lvl w:ilvl="0" w:tentative="0">
      <w:start w:val="1"/>
      <w:numFmt w:val="chineseCounting"/>
      <w:suff w:val="nothing"/>
      <w:lvlText w:val="%1、"/>
      <w:lvlJc w:val="left"/>
      <w:rPr>
        <w:rFonts w:hint="eastAsia"/>
      </w:rPr>
    </w:lvl>
  </w:abstractNum>
  <w:abstractNum w:abstractNumId="17">
    <w:nsid w:val="54C736D6"/>
    <w:multiLevelType w:val="singleLevel"/>
    <w:tmpl w:val="54C736D6"/>
    <w:lvl w:ilvl="0" w:tentative="0">
      <w:start w:val="1"/>
      <w:numFmt w:val="chineseCounting"/>
      <w:suff w:val="nothing"/>
      <w:lvlText w:val="（%1）"/>
      <w:lvlJc w:val="left"/>
      <w:rPr>
        <w:rFonts w:hint="eastAsia"/>
      </w:rPr>
    </w:lvl>
  </w:abstractNum>
  <w:abstractNum w:abstractNumId="18">
    <w:nsid w:val="5716F3E7"/>
    <w:multiLevelType w:val="singleLevel"/>
    <w:tmpl w:val="5716F3E7"/>
    <w:lvl w:ilvl="0" w:tentative="0">
      <w:start w:val="7"/>
      <w:numFmt w:val="chineseCounting"/>
      <w:suff w:val="nothing"/>
      <w:lvlText w:val="%1、"/>
      <w:lvlJc w:val="left"/>
    </w:lvl>
  </w:abstractNum>
  <w:abstractNum w:abstractNumId="19">
    <w:nsid w:val="573A893E"/>
    <w:multiLevelType w:val="singleLevel"/>
    <w:tmpl w:val="573A893E"/>
    <w:lvl w:ilvl="0" w:tentative="0">
      <w:start w:val="9"/>
      <w:numFmt w:val="chineseCounting"/>
      <w:suff w:val="nothing"/>
      <w:lvlText w:val="%1、"/>
      <w:lvlJc w:val="left"/>
    </w:lvl>
  </w:abstractNum>
  <w:abstractNum w:abstractNumId="20">
    <w:nsid w:val="652B95E5"/>
    <w:multiLevelType w:val="singleLevel"/>
    <w:tmpl w:val="652B95E5"/>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21">
    <w:nsid w:val="6808FF7E"/>
    <w:multiLevelType w:val="singleLevel"/>
    <w:tmpl w:val="6808FF7E"/>
    <w:lvl w:ilvl="0" w:tentative="0">
      <w:start w:val="17"/>
      <w:numFmt w:val="chineseCounting"/>
      <w:suff w:val="space"/>
      <w:lvlText w:val="第%1条"/>
      <w:lvlJc w:val="left"/>
      <w:rPr>
        <w:rFonts w:hint="eastAsia"/>
      </w:rPr>
    </w:lvl>
  </w:abstractNum>
  <w:num w:numId="1">
    <w:abstractNumId w:val="5"/>
  </w:num>
  <w:num w:numId="2">
    <w:abstractNumId w:val="3"/>
  </w:num>
  <w:num w:numId="3">
    <w:abstractNumId w:val="15"/>
  </w:num>
  <w:num w:numId="4">
    <w:abstractNumId w:val="20"/>
  </w:num>
  <w:num w:numId="5">
    <w:abstractNumId w:val="14"/>
  </w:num>
  <w:num w:numId="6">
    <w:abstractNumId w:val="11"/>
  </w:num>
  <w:num w:numId="7">
    <w:abstractNumId w:val="16"/>
  </w:num>
  <w:num w:numId="8">
    <w:abstractNumId w:val="2"/>
  </w:num>
  <w:num w:numId="9">
    <w:abstractNumId w:val="18"/>
  </w:num>
  <w:num w:numId="10">
    <w:abstractNumId w:val="19"/>
  </w:num>
  <w:num w:numId="11">
    <w:abstractNumId w:val="17"/>
  </w:num>
  <w:num w:numId="12">
    <w:abstractNumId w:val="1"/>
  </w:num>
  <w:num w:numId="13">
    <w:abstractNumId w:val="10"/>
  </w:num>
  <w:num w:numId="14">
    <w:abstractNumId w:val="0"/>
  </w:num>
  <w:num w:numId="15">
    <w:abstractNumId w:val="4"/>
  </w:num>
  <w:num w:numId="16">
    <w:abstractNumId w:val="7"/>
  </w:num>
  <w:num w:numId="17">
    <w:abstractNumId w:val="12"/>
  </w:num>
  <w:num w:numId="18">
    <w:abstractNumId w:val="9"/>
  </w:num>
  <w:num w:numId="19">
    <w:abstractNumId w:val="6"/>
  </w:num>
  <w:num w:numId="20">
    <w:abstractNumId w:val="21"/>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E1YjI5NjI4ODRjMjczZTJlYTk2NTYyNTg3ZjMwZTYifQ=="/>
  </w:docVars>
  <w:rsids>
    <w:rsidRoot w:val="00172A27"/>
    <w:rsid w:val="00214F44"/>
    <w:rsid w:val="00294867"/>
    <w:rsid w:val="003638F0"/>
    <w:rsid w:val="004E3B4A"/>
    <w:rsid w:val="00633577"/>
    <w:rsid w:val="006D5009"/>
    <w:rsid w:val="0077798E"/>
    <w:rsid w:val="0081551B"/>
    <w:rsid w:val="009E66CC"/>
    <w:rsid w:val="00C80DA5"/>
    <w:rsid w:val="00D1470C"/>
    <w:rsid w:val="00DB14C1"/>
    <w:rsid w:val="00DE6CBF"/>
    <w:rsid w:val="00E25199"/>
    <w:rsid w:val="00F85214"/>
    <w:rsid w:val="010433E2"/>
    <w:rsid w:val="010A29DC"/>
    <w:rsid w:val="01423F24"/>
    <w:rsid w:val="016C5620"/>
    <w:rsid w:val="01A037A2"/>
    <w:rsid w:val="01C04E49"/>
    <w:rsid w:val="01D54D98"/>
    <w:rsid w:val="02701BCE"/>
    <w:rsid w:val="027C16B8"/>
    <w:rsid w:val="02995210"/>
    <w:rsid w:val="02BE582C"/>
    <w:rsid w:val="02C646E1"/>
    <w:rsid w:val="02FC0103"/>
    <w:rsid w:val="033D05A6"/>
    <w:rsid w:val="03524D53"/>
    <w:rsid w:val="03A53F43"/>
    <w:rsid w:val="03C81846"/>
    <w:rsid w:val="03EF0D16"/>
    <w:rsid w:val="04206854"/>
    <w:rsid w:val="042E0786"/>
    <w:rsid w:val="04340C32"/>
    <w:rsid w:val="0463615C"/>
    <w:rsid w:val="04910B5D"/>
    <w:rsid w:val="04BD6F80"/>
    <w:rsid w:val="052A1C56"/>
    <w:rsid w:val="056908C9"/>
    <w:rsid w:val="05856721"/>
    <w:rsid w:val="05AC4062"/>
    <w:rsid w:val="05B14668"/>
    <w:rsid w:val="063411A1"/>
    <w:rsid w:val="06606BFB"/>
    <w:rsid w:val="0673321C"/>
    <w:rsid w:val="06767C5A"/>
    <w:rsid w:val="06844B3B"/>
    <w:rsid w:val="06942E5A"/>
    <w:rsid w:val="06D8095E"/>
    <w:rsid w:val="06E94E42"/>
    <w:rsid w:val="06FC1F0D"/>
    <w:rsid w:val="07580F35"/>
    <w:rsid w:val="076126BA"/>
    <w:rsid w:val="07664B4A"/>
    <w:rsid w:val="0777639B"/>
    <w:rsid w:val="07B9589B"/>
    <w:rsid w:val="084F5179"/>
    <w:rsid w:val="088B3DA8"/>
    <w:rsid w:val="08BC0A60"/>
    <w:rsid w:val="08D8516E"/>
    <w:rsid w:val="09047D11"/>
    <w:rsid w:val="095A2027"/>
    <w:rsid w:val="09756E61"/>
    <w:rsid w:val="09B6100A"/>
    <w:rsid w:val="09D76B83"/>
    <w:rsid w:val="0A4A193E"/>
    <w:rsid w:val="0AD61A4C"/>
    <w:rsid w:val="0B0C10FF"/>
    <w:rsid w:val="0B116715"/>
    <w:rsid w:val="0B122AC0"/>
    <w:rsid w:val="0B845C77"/>
    <w:rsid w:val="0B8A512C"/>
    <w:rsid w:val="0B987FAD"/>
    <w:rsid w:val="0BAD40C2"/>
    <w:rsid w:val="0BD7170D"/>
    <w:rsid w:val="0C2F7932"/>
    <w:rsid w:val="0C364685"/>
    <w:rsid w:val="0C4958E1"/>
    <w:rsid w:val="0CA46076"/>
    <w:rsid w:val="0CB41A4E"/>
    <w:rsid w:val="0D3F1086"/>
    <w:rsid w:val="0D3F756A"/>
    <w:rsid w:val="0DB0689E"/>
    <w:rsid w:val="0DBB0D4C"/>
    <w:rsid w:val="0E76470A"/>
    <w:rsid w:val="0EB5141D"/>
    <w:rsid w:val="0EE30717"/>
    <w:rsid w:val="0EFD4BED"/>
    <w:rsid w:val="10083A28"/>
    <w:rsid w:val="10230BB8"/>
    <w:rsid w:val="1045133B"/>
    <w:rsid w:val="104E6EB8"/>
    <w:rsid w:val="106C67B8"/>
    <w:rsid w:val="10930ECD"/>
    <w:rsid w:val="10AD5132"/>
    <w:rsid w:val="10E125E6"/>
    <w:rsid w:val="10FC16EA"/>
    <w:rsid w:val="11915AAE"/>
    <w:rsid w:val="11E132E5"/>
    <w:rsid w:val="120B0362"/>
    <w:rsid w:val="12783B64"/>
    <w:rsid w:val="13001549"/>
    <w:rsid w:val="131D558B"/>
    <w:rsid w:val="131E5A61"/>
    <w:rsid w:val="1399266F"/>
    <w:rsid w:val="143B74C7"/>
    <w:rsid w:val="14885C9A"/>
    <w:rsid w:val="14BF6DFE"/>
    <w:rsid w:val="14D312AE"/>
    <w:rsid w:val="156405B1"/>
    <w:rsid w:val="157323BB"/>
    <w:rsid w:val="15A5287C"/>
    <w:rsid w:val="15B527C0"/>
    <w:rsid w:val="15D8055B"/>
    <w:rsid w:val="16D01B7A"/>
    <w:rsid w:val="17676E7C"/>
    <w:rsid w:val="17770099"/>
    <w:rsid w:val="17C97FB9"/>
    <w:rsid w:val="18671C48"/>
    <w:rsid w:val="189746FE"/>
    <w:rsid w:val="18A3218D"/>
    <w:rsid w:val="18D9060A"/>
    <w:rsid w:val="190F2AAA"/>
    <w:rsid w:val="192E3823"/>
    <w:rsid w:val="193C52A5"/>
    <w:rsid w:val="193E2DCB"/>
    <w:rsid w:val="196640D0"/>
    <w:rsid w:val="198F51B4"/>
    <w:rsid w:val="19BE353C"/>
    <w:rsid w:val="1A0947A9"/>
    <w:rsid w:val="1A7202B3"/>
    <w:rsid w:val="1AB1625B"/>
    <w:rsid w:val="1AB5523E"/>
    <w:rsid w:val="1B0B5E06"/>
    <w:rsid w:val="1B557C16"/>
    <w:rsid w:val="1B985885"/>
    <w:rsid w:val="1BBF4128"/>
    <w:rsid w:val="1C3A1F18"/>
    <w:rsid w:val="1C4D2974"/>
    <w:rsid w:val="1C87045D"/>
    <w:rsid w:val="1C8A6DD7"/>
    <w:rsid w:val="1CCB187C"/>
    <w:rsid w:val="1D402F70"/>
    <w:rsid w:val="1DEC6C46"/>
    <w:rsid w:val="1E572920"/>
    <w:rsid w:val="1E5A5660"/>
    <w:rsid w:val="1E5B61CE"/>
    <w:rsid w:val="1E803E86"/>
    <w:rsid w:val="1EB666B4"/>
    <w:rsid w:val="1EF84D7D"/>
    <w:rsid w:val="1F5B27BE"/>
    <w:rsid w:val="1FA45952"/>
    <w:rsid w:val="1FB2712E"/>
    <w:rsid w:val="2007760D"/>
    <w:rsid w:val="20446132"/>
    <w:rsid w:val="20CD32D6"/>
    <w:rsid w:val="21430A89"/>
    <w:rsid w:val="218A6B94"/>
    <w:rsid w:val="21BD5839"/>
    <w:rsid w:val="21D15036"/>
    <w:rsid w:val="21F4099B"/>
    <w:rsid w:val="22031056"/>
    <w:rsid w:val="220F3557"/>
    <w:rsid w:val="22307BFF"/>
    <w:rsid w:val="22AA4E63"/>
    <w:rsid w:val="237D267E"/>
    <w:rsid w:val="238B4E5F"/>
    <w:rsid w:val="23B67C1B"/>
    <w:rsid w:val="23CB0C30"/>
    <w:rsid w:val="23E84078"/>
    <w:rsid w:val="240411C5"/>
    <w:rsid w:val="242913CE"/>
    <w:rsid w:val="245637B2"/>
    <w:rsid w:val="24B623B0"/>
    <w:rsid w:val="24B65F0C"/>
    <w:rsid w:val="24DE36B4"/>
    <w:rsid w:val="24ED17AF"/>
    <w:rsid w:val="24F21A82"/>
    <w:rsid w:val="2531044D"/>
    <w:rsid w:val="2573204F"/>
    <w:rsid w:val="259124D5"/>
    <w:rsid w:val="25D971A5"/>
    <w:rsid w:val="2631074B"/>
    <w:rsid w:val="269A360B"/>
    <w:rsid w:val="26F64CE5"/>
    <w:rsid w:val="27196C26"/>
    <w:rsid w:val="27686C72"/>
    <w:rsid w:val="289466FE"/>
    <w:rsid w:val="28A14135"/>
    <w:rsid w:val="291050C1"/>
    <w:rsid w:val="29FD282F"/>
    <w:rsid w:val="2AAE58D7"/>
    <w:rsid w:val="2AFA54D0"/>
    <w:rsid w:val="2BA2543C"/>
    <w:rsid w:val="2BC17C38"/>
    <w:rsid w:val="2C106849"/>
    <w:rsid w:val="2C363841"/>
    <w:rsid w:val="2C520C10"/>
    <w:rsid w:val="2C7D6E0B"/>
    <w:rsid w:val="2D053812"/>
    <w:rsid w:val="2D331791"/>
    <w:rsid w:val="2DBF57BE"/>
    <w:rsid w:val="2DF83A39"/>
    <w:rsid w:val="2DFF16B8"/>
    <w:rsid w:val="2E017B5A"/>
    <w:rsid w:val="2E32007E"/>
    <w:rsid w:val="2F3F7518"/>
    <w:rsid w:val="2F7C1265"/>
    <w:rsid w:val="2FC95E3C"/>
    <w:rsid w:val="30A04E3F"/>
    <w:rsid w:val="31081922"/>
    <w:rsid w:val="31181885"/>
    <w:rsid w:val="31232B7B"/>
    <w:rsid w:val="31264419"/>
    <w:rsid w:val="31613EEB"/>
    <w:rsid w:val="32292091"/>
    <w:rsid w:val="32544A21"/>
    <w:rsid w:val="32665344"/>
    <w:rsid w:val="32A221C5"/>
    <w:rsid w:val="32E76955"/>
    <w:rsid w:val="3321758E"/>
    <w:rsid w:val="33264BA4"/>
    <w:rsid w:val="3339369A"/>
    <w:rsid w:val="33DE722D"/>
    <w:rsid w:val="33F6786A"/>
    <w:rsid w:val="34312917"/>
    <w:rsid w:val="343F34C4"/>
    <w:rsid w:val="346911EC"/>
    <w:rsid w:val="35612EBF"/>
    <w:rsid w:val="356E2833"/>
    <w:rsid w:val="3579545F"/>
    <w:rsid w:val="35902935"/>
    <w:rsid w:val="35A52533"/>
    <w:rsid w:val="35B069A7"/>
    <w:rsid w:val="35E24C38"/>
    <w:rsid w:val="35F86460"/>
    <w:rsid w:val="362D624A"/>
    <w:rsid w:val="36461167"/>
    <w:rsid w:val="36DC40C2"/>
    <w:rsid w:val="37194B98"/>
    <w:rsid w:val="371F5B92"/>
    <w:rsid w:val="376B0359"/>
    <w:rsid w:val="37C4498C"/>
    <w:rsid w:val="37E46E65"/>
    <w:rsid w:val="37FD26DB"/>
    <w:rsid w:val="38060E26"/>
    <w:rsid w:val="38657F1D"/>
    <w:rsid w:val="389A7583"/>
    <w:rsid w:val="38B75593"/>
    <w:rsid w:val="38CC1D4A"/>
    <w:rsid w:val="38F4650B"/>
    <w:rsid w:val="38FF3C60"/>
    <w:rsid w:val="394138CF"/>
    <w:rsid w:val="396C7089"/>
    <w:rsid w:val="3A7D446C"/>
    <w:rsid w:val="3A972492"/>
    <w:rsid w:val="3AB939A3"/>
    <w:rsid w:val="3B5514EC"/>
    <w:rsid w:val="3C5030A7"/>
    <w:rsid w:val="3C683B38"/>
    <w:rsid w:val="3D7B782E"/>
    <w:rsid w:val="3DB178D0"/>
    <w:rsid w:val="3E081734"/>
    <w:rsid w:val="3E0A04A7"/>
    <w:rsid w:val="3EA40668"/>
    <w:rsid w:val="3EA43405"/>
    <w:rsid w:val="3F3E4F37"/>
    <w:rsid w:val="3F86284A"/>
    <w:rsid w:val="3F88641F"/>
    <w:rsid w:val="3F97735A"/>
    <w:rsid w:val="3FA54CAF"/>
    <w:rsid w:val="3FC45529"/>
    <w:rsid w:val="3FFB190F"/>
    <w:rsid w:val="40006ED5"/>
    <w:rsid w:val="401E77A2"/>
    <w:rsid w:val="4026772A"/>
    <w:rsid w:val="404A58EF"/>
    <w:rsid w:val="40847977"/>
    <w:rsid w:val="41032081"/>
    <w:rsid w:val="41183C07"/>
    <w:rsid w:val="418B2DEB"/>
    <w:rsid w:val="421D297D"/>
    <w:rsid w:val="422229DB"/>
    <w:rsid w:val="4226288C"/>
    <w:rsid w:val="424B64F4"/>
    <w:rsid w:val="42A25018"/>
    <w:rsid w:val="42BA5743"/>
    <w:rsid w:val="42BC4BDD"/>
    <w:rsid w:val="434835A7"/>
    <w:rsid w:val="43DA644B"/>
    <w:rsid w:val="43E720C7"/>
    <w:rsid w:val="4431187C"/>
    <w:rsid w:val="45442C68"/>
    <w:rsid w:val="45A2646C"/>
    <w:rsid w:val="460536A7"/>
    <w:rsid w:val="46205672"/>
    <w:rsid w:val="46540A83"/>
    <w:rsid w:val="46C15020"/>
    <w:rsid w:val="46F015D0"/>
    <w:rsid w:val="46F77D3B"/>
    <w:rsid w:val="47663BB2"/>
    <w:rsid w:val="47A80E69"/>
    <w:rsid w:val="48AB372A"/>
    <w:rsid w:val="48AF7D73"/>
    <w:rsid w:val="48D50E87"/>
    <w:rsid w:val="48E16F9D"/>
    <w:rsid w:val="49294119"/>
    <w:rsid w:val="4930715B"/>
    <w:rsid w:val="495518E8"/>
    <w:rsid w:val="49581CC9"/>
    <w:rsid w:val="495F2766"/>
    <w:rsid w:val="49610D63"/>
    <w:rsid w:val="4965086D"/>
    <w:rsid w:val="49C4513B"/>
    <w:rsid w:val="4A8444DB"/>
    <w:rsid w:val="4ABD2F58"/>
    <w:rsid w:val="4AC76815"/>
    <w:rsid w:val="4B571947"/>
    <w:rsid w:val="4C6F2CC0"/>
    <w:rsid w:val="4C7402D7"/>
    <w:rsid w:val="4C771B75"/>
    <w:rsid w:val="4C8809C6"/>
    <w:rsid w:val="4CA85C5E"/>
    <w:rsid w:val="4CBE7524"/>
    <w:rsid w:val="4CCD0235"/>
    <w:rsid w:val="4D197CBB"/>
    <w:rsid w:val="4D9B74A7"/>
    <w:rsid w:val="4DB20386"/>
    <w:rsid w:val="4E216FA8"/>
    <w:rsid w:val="4E4C150B"/>
    <w:rsid w:val="4EB8094F"/>
    <w:rsid w:val="4EC759C0"/>
    <w:rsid w:val="4ED67027"/>
    <w:rsid w:val="4F0A4F22"/>
    <w:rsid w:val="4F1C6801"/>
    <w:rsid w:val="4F1F6F85"/>
    <w:rsid w:val="4FEB08B0"/>
    <w:rsid w:val="504E4CBF"/>
    <w:rsid w:val="50670CB2"/>
    <w:rsid w:val="50A47828"/>
    <w:rsid w:val="50C81206"/>
    <w:rsid w:val="51DD7272"/>
    <w:rsid w:val="523D2E61"/>
    <w:rsid w:val="532760A3"/>
    <w:rsid w:val="541128AF"/>
    <w:rsid w:val="54590618"/>
    <w:rsid w:val="547C5F7A"/>
    <w:rsid w:val="54E73006"/>
    <w:rsid w:val="55CE2806"/>
    <w:rsid w:val="567A555F"/>
    <w:rsid w:val="56A63033"/>
    <w:rsid w:val="56B87C30"/>
    <w:rsid w:val="56C66B98"/>
    <w:rsid w:val="56D06A51"/>
    <w:rsid w:val="57156C92"/>
    <w:rsid w:val="57261240"/>
    <w:rsid w:val="57B9155E"/>
    <w:rsid w:val="57BF5664"/>
    <w:rsid w:val="57CA34A1"/>
    <w:rsid w:val="57D24779"/>
    <w:rsid w:val="58435112"/>
    <w:rsid w:val="585316E8"/>
    <w:rsid w:val="58613483"/>
    <w:rsid w:val="58AF67EA"/>
    <w:rsid w:val="58E13912"/>
    <w:rsid w:val="58EE6DE5"/>
    <w:rsid w:val="593B4656"/>
    <w:rsid w:val="593E5EE8"/>
    <w:rsid w:val="59554FEC"/>
    <w:rsid w:val="59725B9E"/>
    <w:rsid w:val="59AC10B0"/>
    <w:rsid w:val="59AD4E28"/>
    <w:rsid w:val="59F506B6"/>
    <w:rsid w:val="59F93BC9"/>
    <w:rsid w:val="59FB3DE5"/>
    <w:rsid w:val="5B4302B8"/>
    <w:rsid w:val="5B660E8D"/>
    <w:rsid w:val="5BD33BC5"/>
    <w:rsid w:val="5BFC1303"/>
    <w:rsid w:val="5C1B0481"/>
    <w:rsid w:val="5C3142AB"/>
    <w:rsid w:val="5C615406"/>
    <w:rsid w:val="5C7A634D"/>
    <w:rsid w:val="5C9D67BC"/>
    <w:rsid w:val="5CD76941"/>
    <w:rsid w:val="5D1D3C73"/>
    <w:rsid w:val="5D7719D5"/>
    <w:rsid w:val="5E0D554E"/>
    <w:rsid w:val="5E325CCA"/>
    <w:rsid w:val="5E4078C7"/>
    <w:rsid w:val="5E457D25"/>
    <w:rsid w:val="5E814E30"/>
    <w:rsid w:val="5ECF26CD"/>
    <w:rsid w:val="5EF26FC8"/>
    <w:rsid w:val="5FBC5DC5"/>
    <w:rsid w:val="604E0154"/>
    <w:rsid w:val="60A56859"/>
    <w:rsid w:val="60D21F5D"/>
    <w:rsid w:val="611522C3"/>
    <w:rsid w:val="617241EB"/>
    <w:rsid w:val="61842912"/>
    <w:rsid w:val="621321DF"/>
    <w:rsid w:val="623F0013"/>
    <w:rsid w:val="625E7607"/>
    <w:rsid w:val="628030DA"/>
    <w:rsid w:val="62C121BE"/>
    <w:rsid w:val="62CB1DCF"/>
    <w:rsid w:val="630468D5"/>
    <w:rsid w:val="630B6D68"/>
    <w:rsid w:val="630F4158"/>
    <w:rsid w:val="633F0475"/>
    <w:rsid w:val="63F024E1"/>
    <w:rsid w:val="64DE51C6"/>
    <w:rsid w:val="652A37D1"/>
    <w:rsid w:val="65502FE7"/>
    <w:rsid w:val="65C9123C"/>
    <w:rsid w:val="65EC19D3"/>
    <w:rsid w:val="65F31E15"/>
    <w:rsid w:val="666C0AE0"/>
    <w:rsid w:val="66862C89"/>
    <w:rsid w:val="66ED4AB6"/>
    <w:rsid w:val="66F95DEB"/>
    <w:rsid w:val="671253F8"/>
    <w:rsid w:val="67292640"/>
    <w:rsid w:val="674E7C4A"/>
    <w:rsid w:val="677C3DE8"/>
    <w:rsid w:val="67B7439F"/>
    <w:rsid w:val="68955405"/>
    <w:rsid w:val="68B166E3"/>
    <w:rsid w:val="68CD0126"/>
    <w:rsid w:val="697777B0"/>
    <w:rsid w:val="697E02EA"/>
    <w:rsid w:val="69A13C82"/>
    <w:rsid w:val="69A66213"/>
    <w:rsid w:val="6A077F06"/>
    <w:rsid w:val="6A2F013D"/>
    <w:rsid w:val="6A414A72"/>
    <w:rsid w:val="6A613465"/>
    <w:rsid w:val="6A7844BC"/>
    <w:rsid w:val="6A900A52"/>
    <w:rsid w:val="6AB64522"/>
    <w:rsid w:val="6AC63C42"/>
    <w:rsid w:val="6AF749B9"/>
    <w:rsid w:val="6B0E12FD"/>
    <w:rsid w:val="6B6D2669"/>
    <w:rsid w:val="6BFA214F"/>
    <w:rsid w:val="6C134FBF"/>
    <w:rsid w:val="6C6F1649"/>
    <w:rsid w:val="6CC7054B"/>
    <w:rsid w:val="6CEE36A6"/>
    <w:rsid w:val="6E1F6E43"/>
    <w:rsid w:val="6EE06A91"/>
    <w:rsid w:val="6F7047B8"/>
    <w:rsid w:val="6FC23282"/>
    <w:rsid w:val="6FCA6314"/>
    <w:rsid w:val="6FE02268"/>
    <w:rsid w:val="6FE252C1"/>
    <w:rsid w:val="6FF82DE6"/>
    <w:rsid w:val="700658E8"/>
    <w:rsid w:val="701F03D6"/>
    <w:rsid w:val="702157FA"/>
    <w:rsid w:val="704F34CF"/>
    <w:rsid w:val="70CB1582"/>
    <w:rsid w:val="70EF1F9B"/>
    <w:rsid w:val="70F7175E"/>
    <w:rsid w:val="71272FC9"/>
    <w:rsid w:val="71AD6008"/>
    <w:rsid w:val="71D348ED"/>
    <w:rsid w:val="723B2957"/>
    <w:rsid w:val="724C2EB3"/>
    <w:rsid w:val="726B691E"/>
    <w:rsid w:val="727D6E07"/>
    <w:rsid w:val="727F3EE9"/>
    <w:rsid w:val="729974EC"/>
    <w:rsid w:val="72A31C76"/>
    <w:rsid w:val="72F62F44"/>
    <w:rsid w:val="73362D1B"/>
    <w:rsid w:val="734C48BA"/>
    <w:rsid w:val="73810422"/>
    <w:rsid w:val="73A73693"/>
    <w:rsid w:val="746D3AB2"/>
    <w:rsid w:val="74DF0134"/>
    <w:rsid w:val="758121CF"/>
    <w:rsid w:val="75A629FF"/>
    <w:rsid w:val="75C4507C"/>
    <w:rsid w:val="75EE15A7"/>
    <w:rsid w:val="75F34042"/>
    <w:rsid w:val="75F97519"/>
    <w:rsid w:val="76057898"/>
    <w:rsid w:val="76580192"/>
    <w:rsid w:val="768216BE"/>
    <w:rsid w:val="76D11CFE"/>
    <w:rsid w:val="770E5AE1"/>
    <w:rsid w:val="777C4360"/>
    <w:rsid w:val="77A7077A"/>
    <w:rsid w:val="781418DA"/>
    <w:rsid w:val="781C6B1A"/>
    <w:rsid w:val="785B6A87"/>
    <w:rsid w:val="786A29AA"/>
    <w:rsid w:val="78874C35"/>
    <w:rsid w:val="78A92B59"/>
    <w:rsid w:val="78C87131"/>
    <w:rsid w:val="78C968C6"/>
    <w:rsid w:val="79133EC0"/>
    <w:rsid w:val="793B5B55"/>
    <w:rsid w:val="7954038A"/>
    <w:rsid w:val="798016BB"/>
    <w:rsid w:val="79CC3126"/>
    <w:rsid w:val="79EE7531"/>
    <w:rsid w:val="7A0A4F2F"/>
    <w:rsid w:val="7A8A304E"/>
    <w:rsid w:val="7BDF09CF"/>
    <w:rsid w:val="7CBB4802"/>
    <w:rsid w:val="7CCC504D"/>
    <w:rsid w:val="7D205E6E"/>
    <w:rsid w:val="7D2232B3"/>
    <w:rsid w:val="7D5300AB"/>
    <w:rsid w:val="7DAD0F67"/>
    <w:rsid w:val="7E10135E"/>
    <w:rsid w:val="7E221091"/>
    <w:rsid w:val="7E9A5506"/>
    <w:rsid w:val="7F01514B"/>
    <w:rsid w:val="7F117F00"/>
    <w:rsid w:val="7F8E2E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Arial" w:cs="Arial"/>
      <w:kern w:val="2"/>
      <w:sz w:val="21"/>
      <w:szCs w:val="24"/>
      <w:lang w:val="en-US" w:eastAsia="zh-CN" w:bidi="ar-SA"/>
    </w:rPr>
  </w:style>
  <w:style w:type="paragraph" w:styleId="3">
    <w:name w:val="heading 1"/>
    <w:basedOn w:val="1"/>
    <w:next w:val="1"/>
    <w:link w:val="37"/>
    <w:qFormat/>
    <w:uiPriority w:val="0"/>
    <w:pPr>
      <w:keepNext/>
      <w:keepLines/>
      <w:widowControl w:val="0"/>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spacing w:before="260" w:after="260" w:line="412" w:lineRule="auto"/>
      <w:jc w:val="left"/>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numPr>
        <w:ilvl w:val="0"/>
        <w:numId w:val="1"/>
      </w:numPr>
      <w:adjustRightInd w:val="0"/>
      <w:snapToGrid w:val="0"/>
      <w:spacing w:line="400" w:lineRule="exact"/>
      <w:jc w:val="center"/>
      <w:outlineLvl w:val="0"/>
    </w:pPr>
    <w:rPr>
      <w:rFonts w:eastAsia="微软雅黑"/>
      <w:b/>
      <w:spacing w:val="5"/>
      <w:kern w:val="28"/>
      <w:sz w:val="24"/>
      <w:szCs w:val="24"/>
    </w:rPr>
  </w:style>
  <w:style w:type="paragraph" w:styleId="6">
    <w:name w:val="List Number"/>
    <w:basedOn w:val="1"/>
    <w:qFormat/>
    <w:uiPriority w:val="0"/>
    <w:pPr>
      <w:numPr>
        <w:ilvl w:val="0"/>
        <w:numId w:val="2"/>
      </w:numPr>
    </w:pPr>
  </w:style>
  <w:style w:type="paragraph" w:styleId="7">
    <w:name w:val="Normal Indent"/>
    <w:basedOn w:val="1"/>
    <w:qFormat/>
    <w:uiPriority w:val="0"/>
    <w:pPr>
      <w:ind w:firstLine="420"/>
    </w:pPr>
    <w:rPr>
      <w:szCs w:val="20"/>
    </w:rPr>
  </w:style>
  <w:style w:type="paragraph" w:styleId="8">
    <w:name w:val="List Bullet"/>
    <w:basedOn w:val="1"/>
    <w:next w:val="1"/>
    <w:qFormat/>
    <w:uiPriority w:val="0"/>
    <w:pPr>
      <w:numPr>
        <w:ilvl w:val="0"/>
        <w:numId w:val="3"/>
      </w:numPr>
    </w:pPr>
  </w:style>
  <w:style w:type="paragraph" w:styleId="9">
    <w:name w:val="annotation text"/>
    <w:basedOn w:val="1"/>
    <w:qFormat/>
    <w:uiPriority w:val="0"/>
    <w:pPr>
      <w:jc w:val="left"/>
    </w:pPr>
    <w:rPr>
      <w:kern w:val="2"/>
      <w:sz w:val="21"/>
      <w:szCs w:val="24"/>
    </w:rPr>
  </w:style>
  <w:style w:type="paragraph" w:styleId="10">
    <w:name w:val="Body Text 3"/>
    <w:basedOn w:val="1"/>
    <w:qFormat/>
    <w:uiPriority w:val="0"/>
    <w:pPr>
      <w:spacing w:after="120" w:afterLines="0"/>
    </w:pPr>
    <w:rPr>
      <w:sz w:val="16"/>
      <w:szCs w:val="16"/>
    </w:rPr>
  </w:style>
  <w:style w:type="paragraph" w:styleId="11">
    <w:name w:val="Body Text"/>
    <w:basedOn w:val="1"/>
    <w:next w:val="12"/>
    <w:qFormat/>
    <w:uiPriority w:val="0"/>
    <w:pPr>
      <w:spacing w:after="120"/>
    </w:pPr>
    <w:rPr>
      <w:rFonts w:ascii="Times New Roman" w:hAnsi="Times New Roman" w:eastAsia="宋体" w:cs="Times New Roman"/>
      <w:szCs w:val="24"/>
      <w:lang w:bidi="ar-SA"/>
    </w:rPr>
  </w:style>
  <w:style w:type="paragraph" w:customStyle="1" w:styleId="12">
    <w:name w:val="Body Text First Indent1"/>
    <w:basedOn w:val="11"/>
    <w:qFormat/>
    <w:uiPriority w:val="0"/>
    <w:pPr>
      <w:tabs>
        <w:tab w:val="left" w:pos="574"/>
      </w:tabs>
      <w:spacing w:after="120" w:afterLines="0" w:line="240" w:lineRule="auto"/>
      <w:ind w:firstLine="420" w:firstLineChars="100"/>
    </w:pPr>
    <w:rPr>
      <w:rFonts w:ascii="Arial" w:hAnsi="Arial" w:cs="Arial"/>
      <w:kern w:val="0"/>
      <w:sz w:val="32"/>
    </w:rPr>
  </w:style>
  <w:style w:type="paragraph" w:styleId="13">
    <w:name w:val="Body Text Indent"/>
    <w:basedOn w:val="1"/>
    <w:next w:val="1"/>
    <w:qFormat/>
    <w:uiPriority w:val="0"/>
    <w:pPr>
      <w:spacing w:after="120"/>
      <w:ind w:left="200" w:leftChars="200"/>
    </w:pPr>
  </w:style>
  <w:style w:type="paragraph" w:styleId="14">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5">
    <w:name w:val="List Bullet 2"/>
    <w:basedOn w:val="1"/>
    <w:next w:val="8"/>
    <w:qFormat/>
    <w:uiPriority w:val="0"/>
    <w:pPr>
      <w:numPr>
        <w:ilvl w:val="0"/>
        <w:numId w:val="4"/>
      </w:numPr>
    </w:pPr>
  </w:style>
  <w:style w:type="paragraph" w:styleId="16">
    <w:name w:val="Plain Text"/>
    <w:basedOn w:val="1"/>
    <w:next w:val="17"/>
    <w:qFormat/>
    <w:uiPriority w:val="0"/>
    <w:rPr>
      <w:rFonts w:ascii="宋体" w:cs="Times New Roman"/>
      <w:lang w:bidi="ar-SA"/>
    </w:rPr>
  </w:style>
  <w:style w:type="paragraph" w:styleId="17">
    <w:name w:val="Date"/>
    <w:basedOn w:val="1"/>
    <w:next w:val="1"/>
    <w:qFormat/>
    <w:uiPriority w:val="0"/>
    <w:pPr>
      <w:ind w:left="2500" w:leftChars="2500"/>
    </w:pPr>
    <w:rPr>
      <w:rFonts w:ascii="Calibri" w:hAnsi="Calibri" w:eastAsia="楷体_GB2312"/>
      <w:sz w:val="32"/>
      <w:szCs w:val="22"/>
    </w:rPr>
  </w:style>
  <w:style w:type="paragraph" w:styleId="18">
    <w:name w:val="toc 8"/>
    <w:basedOn w:val="1"/>
    <w:next w:val="1"/>
    <w:unhideWhenUsed/>
    <w:qFormat/>
    <w:uiPriority w:val="39"/>
    <w:pPr>
      <w:widowControl/>
      <w:ind w:left="2940" w:leftChars="1400"/>
      <w:jc w:val="left"/>
    </w:pPr>
    <w:rPr>
      <w:rFonts w:ascii="宋体" w:hAnsi="宋体" w:cs="宋体"/>
      <w:kern w:val="0"/>
      <w:sz w:val="24"/>
    </w:rPr>
  </w:style>
  <w:style w:type="paragraph" w:styleId="19">
    <w:name w:val="Balloon Text"/>
    <w:basedOn w:val="1"/>
    <w:qFormat/>
    <w:uiPriority w:val="0"/>
    <w:rPr>
      <w:rFonts w:ascii="Times New Roman" w:hAnsi="Times New Roman" w:eastAsia="宋体" w:cs="Times New Roman"/>
      <w:sz w:val="18"/>
      <w:szCs w:val="18"/>
      <w:lang w:bidi="ar-SA"/>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qFormat/>
    <w:uiPriority w:val="0"/>
    <w:pPr>
      <w:spacing w:before="240" w:after="60" w:line="312" w:lineRule="auto"/>
      <w:jc w:val="center"/>
      <w:outlineLvl w:val="1"/>
    </w:pPr>
    <w:rPr>
      <w:rFonts w:ascii="Cambria" w:hAnsi="Cambria" w:eastAsia="宋体"/>
      <w:b/>
      <w:bCs/>
      <w:kern w:val="28"/>
      <w:szCs w:val="32"/>
    </w:rPr>
  </w:style>
  <w:style w:type="paragraph" w:styleId="23">
    <w:name w:val="toc 6"/>
    <w:basedOn w:val="1"/>
    <w:next w:val="1"/>
    <w:qFormat/>
    <w:uiPriority w:val="0"/>
    <w:pPr>
      <w:widowControl/>
      <w:ind w:left="2100" w:leftChars="1000"/>
      <w:jc w:val="left"/>
    </w:pPr>
    <w:rPr>
      <w:rFonts w:ascii="宋体" w:hAnsi="宋体" w:cs="宋体"/>
      <w:kern w:val="0"/>
      <w:sz w:val="24"/>
    </w:r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0"/>
    <w:pPr>
      <w:spacing w:line="480" w:lineRule="auto"/>
      <w:ind w:left="200" w:leftChars="200"/>
    </w:pPr>
  </w:style>
  <w:style w:type="paragraph" w:styleId="26">
    <w:name w:val="Body Text 2"/>
    <w:basedOn w:val="1"/>
    <w:qFormat/>
    <w:uiPriority w:val="0"/>
    <w:pPr>
      <w:autoSpaceDE w:val="0"/>
      <w:autoSpaceDN w:val="0"/>
      <w:adjustRightInd w:val="0"/>
      <w:spacing w:line="360" w:lineRule="auto"/>
    </w:pPr>
    <w:rPr>
      <w:rFonts w:ascii="宋体"/>
      <w:color w:val="000000"/>
      <w:kern w:val="0"/>
      <w:sz w:val="24"/>
    </w:rPr>
  </w:style>
  <w:style w:type="paragraph" w:styleId="27">
    <w:name w:val="Normal (Web)"/>
    <w:basedOn w:val="1"/>
    <w:qFormat/>
    <w:uiPriority w:val="0"/>
    <w:pPr>
      <w:widowControl/>
      <w:spacing w:before="100" w:beforeAutospacing="1" w:after="100" w:afterAutospacing="1"/>
      <w:jc w:val="left"/>
    </w:pPr>
    <w:rPr>
      <w:rFonts w:ascii="宋体"/>
      <w:kern w:val="0"/>
      <w:sz w:val="24"/>
    </w:rPr>
  </w:style>
  <w:style w:type="paragraph" w:styleId="28">
    <w:name w:val="Body Text First Indent"/>
    <w:basedOn w:val="11"/>
    <w:next w:val="1"/>
    <w:qFormat/>
    <w:uiPriority w:val="0"/>
    <w:pPr>
      <w:ind w:firstLine="100" w:firstLineChars="100"/>
    </w:pPr>
  </w:style>
  <w:style w:type="paragraph" w:styleId="29">
    <w:name w:val="Body Text First Indent 2"/>
    <w:basedOn w:val="13"/>
    <w:next w:val="1"/>
    <w:qFormat/>
    <w:uiPriority w:val="0"/>
    <w:pPr>
      <w:tabs>
        <w:tab w:val="left" w:pos="720"/>
        <w:tab w:val="left" w:pos="900"/>
        <w:tab w:val="left" w:pos="1260"/>
        <w:tab w:val="left" w:pos="2160"/>
        <w:tab w:val="left" w:pos="2880"/>
        <w:tab w:val="left" w:pos="3600"/>
        <w:tab w:val="left" w:pos="4320"/>
        <w:tab w:val="left" w:pos="5040"/>
        <w:tab w:val="left" w:pos="5760"/>
      </w:tabs>
      <w:spacing w:after="120" w:line="240" w:lineRule="auto"/>
      <w:ind w:left="200" w:leftChars="200" w:firstLine="420"/>
    </w:pPr>
    <w:rPr>
      <w:sz w:val="21"/>
      <w:szCs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rPr>
  </w:style>
  <w:style w:type="character" w:styleId="34">
    <w:name w:val="Hyperlink"/>
    <w:qFormat/>
    <w:uiPriority w:val="0"/>
    <w:rPr>
      <w:color w:val="0000FF"/>
      <w:u w:val="single"/>
    </w:rPr>
  </w:style>
  <w:style w:type="character" w:styleId="35">
    <w:name w:val="HTML Sample"/>
    <w:qFormat/>
    <w:uiPriority w:val="99"/>
    <w:rPr>
      <w:rFonts w:ascii="Courier New" w:hAnsi="Courier New" w:cs="Courier New"/>
    </w:rPr>
  </w:style>
  <w:style w:type="character" w:customStyle="1" w:styleId="36">
    <w:name w:val="NormalCharacter"/>
    <w:qFormat/>
    <w:uiPriority w:val="0"/>
  </w:style>
  <w:style w:type="character" w:customStyle="1" w:styleId="37">
    <w:name w:val="标题 1 Char"/>
    <w:link w:val="3"/>
    <w:qFormat/>
    <w:uiPriority w:val="0"/>
    <w:rPr>
      <w:b/>
      <w:bCs/>
      <w:kern w:val="44"/>
      <w:sz w:val="44"/>
      <w:szCs w:val="44"/>
    </w:rPr>
  </w:style>
  <w:style w:type="character" w:customStyle="1" w:styleId="38">
    <w:name w:val="apple-style-span"/>
    <w:basedOn w:val="32"/>
    <w:qFormat/>
    <w:uiPriority w:val="0"/>
  </w:style>
  <w:style w:type="character" w:customStyle="1" w:styleId="39">
    <w:name w:val="无"/>
    <w:qFormat/>
    <w:uiPriority w:val="0"/>
  </w:style>
  <w:style w:type="character" w:customStyle="1" w:styleId="40">
    <w:name w:val="fontstyle01"/>
    <w:qFormat/>
    <w:uiPriority w:val="0"/>
    <w:rPr>
      <w:rFonts w:hint="eastAsia" w:ascii="宋体" w:hAnsi="宋体" w:eastAsia="宋体" w:cs="宋体"/>
      <w:color w:val="000000"/>
      <w:sz w:val="24"/>
      <w:szCs w:val="24"/>
    </w:rPr>
  </w:style>
  <w:style w:type="character" w:customStyle="1" w:styleId="41">
    <w:name w:val="标题 2 Char1"/>
    <w:qFormat/>
    <w:uiPriority w:val="0"/>
    <w:rPr>
      <w:rFonts w:ascii="Arial" w:hAnsi="Arial" w:eastAsia="黑体"/>
      <w:b/>
      <w:bCs/>
      <w:kern w:val="2"/>
      <w:sz w:val="30"/>
      <w:szCs w:val="32"/>
      <w:lang w:val="en-US" w:eastAsia="zh-CN"/>
    </w:rPr>
  </w:style>
  <w:style w:type="character" w:customStyle="1" w:styleId="42">
    <w:name w:val="标题 2 Char"/>
    <w:qFormat/>
    <w:uiPriority w:val="0"/>
    <w:rPr>
      <w:rFonts w:ascii="Arial" w:hAnsi="Arial" w:eastAsia="黑体"/>
      <w:b/>
      <w:bCs/>
      <w:kern w:val="2"/>
      <w:sz w:val="30"/>
      <w:szCs w:val="32"/>
      <w:lang w:val="en-US" w:eastAsia="zh-CN"/>
    </w:rPr>
  </w:style>
  <w:style w:type="paragraph" w:customStyle="1" w:styleId="43">
    <w:name w:val="Body Text Indent"/>
    <w:basedOn w:val="1"/>
    <w:next w:val="1"/>
    <w:qFormat/>
    <w:uiPriority w:val="0"/>
    <w:pPr>
      <w:spacing w:after="120"/>
      <w:ind w:left="200" w:leftChars="200"/>
    </w:pPr>
    <w:rPr>
      <w:rFonts w:ascii="Times New Roman" w:hAnsi="Times New Roman" w:eastAsia="宋体" w:cs="Times New Roman"/>
      <w:szCs w:val="24"/>
      <w:lang w:bidi="ar-SA"/>
    </w:rPr>
  </w:style>
  <w:style w:type="paragraph" w:customStyle="1" w:styleId="44">
    <w:name w:val="Normal Indent"/>
    <w:basedOn w:val="1"/>
    <w:next w:val="25"/>
    <w:qFormat/>
    <w:uiPriority w:val="0"/>
    <w:pPr>
      <w:ind w:firstLine="420"/>
    </w:pPr>
    <w:rPr>
      <w:szCs w:val="20"/>
    </w:rPr>
  </w:style>
  <w:style w:type="paragraph" w:customStyle="1" w:styleId="45">
    <w:name w:val="zw"/>
    <w:basedOn w:val="1"/>
    <w:qFormat/>
    <w:uiPriority w:val="0"/>
    <w:pPr>
      <w:widowControl/>
      <w:spacing w:before="30"/>
      <w:ind w:left="100" w:right="100"/>
    </w:pPr>
    <w:rPr>
      <w:rFonts w:ascii="方正书宋简体" w:eastAsia="方正书宋简体"/>
      <w:color w:val="000000"/>
      <w:kern w:val="0"/>
      <w:szCs w:val="21"/>
    </w:rPr>
  </w:style>
  <w:style w:type="paragraph" w:customStyle="1" w:styleId="46">
    <w:name w:val="reader-word-layer"/>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47">
    <w:name w:val="表格文字"/>
    <w:basedOn w:val="1"/>
    <w:next w:val="11"/>
    <w:qFormat/>
    <w:uiPriority w:val="0"/>
    <w:pPr>
      <w:adjustRightInd w:val="0"/>
      <w:spacing w:line="420" w:lineRule="atLeast"/>
      <w:jc w:val="left"/>
      <w:textAlignment w:val="baseline"/>
    </w:pPr>
    <w:rPr>
      <w:kern w:val="0"/>
    </w:rPr>
  </w:style>
  <w:style w:type="paragraph" w:customStyle="1" w:styleId="48">
    <w:name w:val="表格"/>
    <w:basedOn w:val="49"/>
    <w:next w:val="1"/>
    <w:qFormat/>
    <w:uiPriority w:val="99"/>
    <w:pPr>
      <w:tabs>
        <w:tab w:val="left" w:pos="540"/>
      </w:tabs>
      <w:adjustRightInd w:val="0"/>
      <w:snapToGrid w:val="0"/>
      <w:spacing w:line="240" w:lineRule="atLeast"/>
      <w:textAlignment w:val="baseline"/>
    </w:pPr>
    <w:rPr>
      <w:rFonts w:ascii="仿宋_GB2312" w:eastAsia="仿宋"/>
      <w:kern w:val="0"/>
      <w:szCs w:val="20"/>
    </w:rPr>
  </w:style>
  <w:style w:type="paragraph" w:customStyle="1" w:styleId="49">
    <w:name w:val="表头"/>
    <w:basedOn w:val="50"/>
    <w:qFormat/>
    <w:uiPriority w:val="0"/>
    <w:pPr>
      <w:jc w:val="center"/>
    </w:pPr>
    <w:rPr>
      <w:rFonts w:ascii="楷体_GB2312"/>
      <w:b w:val="0"/>
      <w:kern w:val="28"/>
      <w:sz w:val="28"/>
      <w:szCs w:val="28"/>
    </w:rPr>
  </w:style>
  <w:style w:type="paragraph" w:styleId="50">
    <w:name w:val="No Spacing"/>
    <w:basedOn w:val="5"/>
    <w:qFormat/>
    <w:uiPriority w:val="0"/>
    <w:rPr>
      <w:sz w:val="22"/>
    </w:rPr>
  </w:style>
  <w:style w:type="paragraph" w:customStyle="1" w:styleId="51">
    <w:name w:val="_Style 3"/>
    <w:qFormat/>
    <w:uiPriority w:val="0"/>
    <w:pPr>
      <w:widowControl w:val="0"/>
      <w:jc w:val="both"/>
    </w:pPr>
    <w:rPr>
      <w:rFonts w:ascii="Calibri" w:hAnsi="Calibri" w:eastAsia="Arial" w:cs="Arial"/>
      <w:kern w:val="2"/>
      <w:sz w:val="21"/>
      <w:szCs w:val="22"/>
      <w:lang w:val="en-US" w:eastAsia="zh-CN" w:bidi="ar-SA"/>
    </w:rPr>
  </w:style>
  <w:style w:type="paragraph" w:customStyle="1" w:styleId="52">
    <w:name w:val="正文_4"/>
    <w:qFormat/>
    <w:uiPriority w:val="0"/>
    <w:pPr>
      <w:widowControl w:val="0"/>
      <w:jc w:val="both"/>
    </w:pPr>
    <w:rPr>
      <w:rFonts w:ascii="Arial" w:hAnsi="Arial" w:eastAsia="Arial" w:cs="Arial"/>
      <w:kern w:val="2"/>
      <w:sz w:val="21"/>
      <w:szCs w:val="24"/>
      <w:lang w:val="en-US" w:eastAsia="zh-CN" w:bidi="ar-SA"/>
    </w:rPr>
  </w:style>
  <w:style w:type="paragraph" w:customStyle="1" w:styleId="53">
    <w:name w:val="Date"/>
    <w:basedOn w:val="1"/>
    <w:next w:val="1"/>
    <w:qFormat/>
    <w:uiPriority w:val="0"/>
    <w:pPr>
      <w:ind w:left="2500" w:leftChars="2500"/>
    </w:pPr>
    <w:rPr>
      <w:rFonts w:ascii="Calibri" w:hAnsi="Calibri" w:eastAsia="楷体_GB2312"/>
      <w:sz w:val="32"/>
      <w:szCs w:val="22"/>
    </w:rPr>
  </w:style>
  <w:style w:type="paragraph" w:customStyle="1" w:styleId="5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10"/>
    <w:qFormat/>
    <w:uiPriority w:val="0"/>
    <w:pPr>
      <w:widowControl w:val="0"/>
      <w:jc w:val="both"/>
    </w:pPr>
    <w:rPr>
      <w:rFonts w:ascii="Arial" w:hAnsi="Arial" w:eastAsia="Arial" w:cs="Arial"/>
      <w:kern w:val="2"/>
      <w:sz w:val="21"/>
      <w:szCs w:val="24"/>
      <w:lang w:val="en-US" w:eastAsia="zh-CN" w:bidi="ar-SA"/>
    </w:rPr>
  </w:style>
  <w:style w:type="paragraph" w:customStyle="1" w:styleId="56">
    <w:name w:val="正文1"/>
    <w:next w:val="1"/>
    <w:qFormat/>
    <w:uiPriority w:val="0"/>
    <w:pPr>
      <w:widowControl w:val="0"/>
      <w:adjustRightInd w:val="0"/>
      <w:spacing w:line="240" w:lineRule="atLeast"/>
      <w:jc w:val="both"/>
    </w:pPr>
    <w:rPr>
      <w:rFonts w:ascii="宋体" w:hAnsi="Arial" w:eastAsia="Arial" w:cs="Arial"/>
      <w:sz w:val="34"/>
      <w:lang w:val="en-US" w:eastAsia="zh-CN" w:bidi="ar-SA"/>
    </w:rPr>
  </w:style>
  <w:style w:type="paragraph" w:customStyle="1" w:styleId="57">
    <w:name w:val="xl25"/>
    <w:basedOn w:val="1"/>
    <w:qFormat/>
    <w:uiPriority w:val="0"/>
    <w:pPr>
      <w:spacing w:before="100" w:beforeAutospacing="1" w:after="100" w:afterAutospacing="1"/>
      <w:jc w:val="center"/>
    </w:pPr>
    <w:rPr>
      <w:rFonts w:hint="eastAsia" w:ascii="楷体_GB2312" w:hAnsi="宋体" w:eastAsia="楷体_GB2312"/>
      <w:sz w:val="24"/>
    </w:rPr>
  </w:style>
  <w:style w:type="paragraph" w:customStyle="1" w:styleId="58">
    <w:name w:val="List Paragraph"/>
    <w:basedOn w:val="1"/>
    <w:qFormat/>
    <w:uiPriority w:val="0"/>
    <w:pPr>
      <w:ind w:firstLine="200" w:firstLineChars="200"/>
    </w:pPr>
    <w:rPr>
      <w:rFonts w:ascii="Calibri" w:hAnsi="Calibri"/>
      <w:szCs w:val="22"/>
    </w:rPr>
  </w:style>
  <w:style w:type="paragraph" w:customStyle="1" w:styleId="59">
    <w:name w:val="纯文本1"/>
    <w:basedOn w:val="56"/>
    <w:qFormat/>
    <w:uiPriority w:val="0"/>
    <w:pPr>
      <w:widowControl/>
      <w:jc w:val="left"/>
    </w:pPr>
  </w:style>
  <w:style w:type="paragraph" w:customStyle="1" w:styleId="60">
    <w:name w:val="段落"/>
    <w:qFormat/>
    <w:uiPriority w:val="5"/>
    <w:pPr>
      <w:adjustRightInd w:val="0"/>
      <w:snapToGrid w:val="0"/>
      <w:spacing w:line="360" w:lineRule="auto"/>
      <w:ind w:firstLine="200" w:firstLineChars="200"/>
    </w:pPr>
    <w:rPr>
      <w:rFonts w:ascii="Arial" w:hAnsi="Arial" w:eastAsia="Arial" w:cs="Arial"/>
      <w:snapToGrid w:val="0"/>
      <w:color w:val="000000"/>
      <w:sz w:val="24"/>
      <w:szCs w:val="24"/>
      <w:lang w:val="en-US" w:eastAsia="zh-CN" w:bidi="ar-SA"/>
    </w:rPr>
  </w:style>
  <w:style w:type="paragraph" w:customStyle="1" w:styleId="61">
    <w:name w:val="样式 10 磅31114"/>
    <w:qFormat/>
    <w:uiPriority w:val="0"/>
    <w:pPr>
      <w:widowControl w:val="0"/>
      <w:jc w:val="both"/>
    </w:pPr>
    <w:rPr>
      <w:rFonts w:ascii="Arial" w:hAnsi="Arial" w:eastAsia="Arial" w:cs="Arial"/>
      <w:kern w:val="2"/>
      <w:sz w:val="21"/>
      <w:szCs w:val="24"/>
      <w:lang w:val="en-US" w:eastAsia="zh-CN" w:bidi="ar-SA"/>
    </w:rPr>
  </w:style>
  <w:style w:type="paragraph" w:customStyle="1" w:styleId="62">
    <w:name w:val="正文_8_0_0"/>
    <w:qFormat/>
    <w:uiPriority w:val="0"/>
    <w:pPr>
      <w:widowControl w:val="0"/>
      <w:jc w:val="both"/>
    </w:pPr>
    <w:rPr>
      <w:rFonts w:ascii="Arial" w:hAnsi="Arial" w:eastAsia="Arial" w:cs="Arial"/>
      <w:kern w:val="2"/>
      <w:sz w:val="21"/>
      <w:szCs w:val="22"/>
      <w:lang w:val="en-US" w:eastAsia="zh-CN" w:bidi="ar-SA"/>
    </w:rPr>
  </w:style>
  <w:style w:type="paragraph" w:customStyle="1" w:styleId="63">
    <w:name w:val="正文_3_0"/>
    <w:qFormat/>
    <w:uiPriority w:val="0"/>
    <w:pPr>
      <w:widowControl w:val="0"/>
      <w:jc w:val="both"/>
    </w:pPr>
    <w:rPr>
      <w:rFonts w:ascii="Arial" w:hAnsi="Arial" w:eastAsia="Arial" w:cs="Arial"/>
      <w:kern w:val="2"/>
      <w:sz w:val="21"/>
      <w:szCs w:val="24"/>
      <w:lang w:val="en-US" w:eastAsia="zh-CN" w:bidi="ar-SA"/>
    </w:rPr>
  </w:style>
  <w:style w:type="paragraph" w:customStyle="1" w:styleId="64">
    <w:name w:val="表格文本"/>
    <w:basedOn w:val="1"/>
    <w:qFormat/>
    <w:uiPriority w:val="0"/>
    <w:pPr>
      <w:spacing w:before="120" w:after="120"/>
    </w:pPr>
    <w:rPr>
      <w:rFonts w:cs="黑体"/>
      <w:szCs w:val="21"/>
      <w:lang w:bidi="ar-SA"/>
    </w:rPr>
  </w:style>
  <w:style w:type="paragraph" w:customStyle="1" w:styleId="65">
    <w:name w:val="Plain Text"/>
    <w:basedOn w:val="1"/>
    <w:next w:val="53"/>
    <w:qFormat/>
    <w:uiPriority w:val="0"/>
    <w:rPr>
      <w:rFonts w:ascii="宋体" w:cs="黑体"/>
      <w:kern w:val="2"/>
      <w:sz w:val="21"/>
      <w:szCs w:val="24"/>
      <w:lang w:bidi="ar-SA"/>
    </w:rPr>
  </w:style>
  <w:style w:type="paragraph" w:customStyle="1" w:styleId="66">
    <w:name w:val="列表段落1"/>
    <w:basedOn w:val="1"/>
    <w:qFormat/>
    <w:uiPriority w:val="34"/>
    <w:pPr>
      <w:ind w:firstLine="420" w:firstLineChars="200"/>
    </w:pPr>
    <w:rPr>
      <w:rFonts w:ascii="Calibri" w:hAnsi="Calibri"/>
      <w:szCs w:val="22"/>
    </w:rPr>
  </w:style>
  <w:style w:type="paragraph" w:customStyle="1" w:styleId="67">
    <w:name w:val="正文_5"/>
    <w:qFormat/>
    <w:uiPriority w:val="0"/>
    <w:pPr>
      <w:widowControl w:val="0"/>
      <w:jc w:val="both"/>
    </w:pPr>
    <w:rPr>
      <w:rFonts w:ascii="Arial" w:hAnsi="Arial" w:eastAsia="Arial" w:cs="Arial"/>
      <w:kern w:val="2"/>
      <w:sz w:val="21"/>
      <w:szCs w:val="24"/>
      <w:lang w:val="en-US" w:eastAsia="zh-CN" w:bidi="ar-SA"/>
    </w:rPr>
  </w:style>
  <w:style w:type="paragraph" w:customStyle="1" w:styleId="68">
    <w:name w:val="Table Paragraph"/>
    <w:basedOn w:val="1"/>
    <w:qFormat/>
    <w:uiPriority w:val="1"/>
    <w:rPr>
      <w:rFonts w:ascii="宋体" w:hAnsi="宋体" w:eastAsia="宋体" w:cs="宋体"/>
      <w:lang w:val="zh-CN" w:eastAsia="zh-CN" w:bidi="zh-CN"/>
    </w:rPr>
  </w:style>
  <w:style w:type="paragraph" w:customStyle="1" w:styleId="69">
    <w:name w:val="Fließtext"/>
    <w:basedOn w:val="1"/>
    <w:qFormat/>
    <w:uiPriority w:val="0"/>
    <w:pPr>
      <w:overflowPunct w:val="0"/>
      <w:autoSpaceDE w:val="0"/>
      <w:autoSpaceDN w:val="0"/>
      <w:adjustRightInd w:val="0"/>
      <w:textAlignment w:val="baseline"/>
    </w:pPr>
    <w:rPr>
      <w:kern w:val="28"/>
      <w:szCs w:val="20"/>
    </w:rPr>
  </w:style>
  <w:style w:type="paragraph" w:customStyle="1" w:styleId="70">
    <w:name w:val="_Style 1"/>
    <w:qFormat/>
    <w:uiPriority w:val="99"/>
    <w:rPr>
      <w:rFonts w:ascii="Calibri" w:hAnsi="Calibri" w:eastAsia="宋体" w:cs="Times New Roman"/>
      <w:kern w:val="2"/>
      <w:sz w:val="28"/>
      <w:szCs w:val="22"/>
      <w:lang w:val="en-US" w:eastAsia="zh-CN" w:bidi="ar-SA"/>
    </w:rPr>
  </w:style>
  <w:style w:type="paragraph" w:customStyle="1" w:styleId="71">
    <w:name w:val="WPSOffice手动目录 1"/>
    <w:qFormat/>
    <w:uiPriority w:val="0"/>
    <w:pPr>
      <w:ind w:leftChars="0"/>
    </w:pPr>
    <w:rPr>
      <w:rFonts w:ascii="Arial" w:hAnsi="Arial" w:eastAsia="Arial" w:cs="Arial"/>
      <w:sz w:val="20"/>
      <w:szCs w:val="20"/>
    </w:rPr>
  </w:style>
  <w:style w:type="paragraph" w:customStyle="1" w:styleId="72">
    <w:name w:val="正文2"/>
    <w:basedOn w:val="1"/>
    <w:qFormat/>
    <w:uiPriority w:val="0"/>
    <w:pPr>
      <w:spacing w:before="156" w:line="360" w:lineRule="auto"/>
      <w:ind w:firstLine="200" w:firstLineChars="200"/>
    </w:pPr>
    <w:rPr>
      <w:kern w:val="2"/>
      <w:sz w:val="24"/>
    </w:rPr>
  </w:style>
  <w:style w:type="paragraph" w:customStyle="1" w:styleId="73">
    <w:name w:val="=正文="/>
    <w:qFormat/>
    <w:uiPriority w:val="0"/>
    <w:pPr>
      <w:widowControl w:val="0"/>
      <w:spacing w:before="50" w:beforeLines="50" w:line="360" w:lineRule="auto"/>
      <w:ind w:firstLine="200" w:firstLineChars="200"/>
      <w:jc w:val="both"/>
    </w:pPr>
    <w:rPr>
      <w:rFonts w:ascii="宋体" w:hAnsi="宋体" w:eastAsia="宋体" w:cs="Times New Roman"/>
      <w:kern w:val="2"/>
      <w:sz w:val="24"/>
      <w:szCs w:val="22"/>
      <w:lang w:val="en-US" w:eastAsia="zh-CN" w:bidi="ar-SA"/>
    </w:rPr>
  </w:style>
  <w:style w:type="paragraph" w:customStyle="1" w:styleId="74">
    <w:name w:val="Normal_15"/>
    <w:qFormat/>
    <w:uiPriority w:val="0"/>
    <w:pPr>
      <w:widowControl w:val="0"/>
      <w:jc w:val="both"/>
    </w:pPr>
    <w:rPr>
      <w:rFonts w:ascii="Arial" w:hAnsi="Arial" w:eastAsia="Arial" w:cs="Arial"/>
      <w:kern w:val="2"/>
      <w:sz w:val="21"/>
      <w:szCs w:val="22"/>
      <w:lang w:val="en-US" w:eastAsia="zh-CN" w:bidi="ar-SA"/>
    </w:rPr>
  </w:style>
  <w:style w:type="paragraph" w:customStyle="1" w:styleId="75">
    <w:name w:val="样式 标题 3 + (中文) 黑体 小四 非加粗 段前: 7.8 磅 段后: 0 磅 行距: 固定值 20 磅"/>
    <w:basedOn w:val="5"/>
    <w:qFormat/>
    <w:uiPriority w:val="0"/>
    <w:pPr>
      <w:tabs>
        <w:tab w:val="left" w:pos="900"/>
      </w:tabs>
      <w:spacing w:before="0" w:after="0" w:line="400" w:lineRule="exact"/>
    </w:pPr>
    <w:rPr>
      <w:rFonts w:eastAsia="黑体" w:cs="宋体"/>
      <w:b w:val="0"/>
      <w:sz w:val="24"/>
      <w:szCs w:val="20"/>
    </w:rPr>
  </w:style>
  <w:style w:type="paragraph" w:customStyle="1" w:styleId="76">
    <w:name w:val="正文_10_0"/>
    <w:uiPriority w:val="0"/>
    <w:pPr>
      <w:widowControl w:val="0"/>
      <w:jc w:val="both"/>
    </w:pPr>
    <w:rPr>
      <w:rFonts w:ascii="Arial" w:hAnsi="Arial" w:eastAsia="Arial" w:cs="Arial"/>
      <w:kern w:val="2"/>
      <w:sz w:val="21"/>
      <w:szCs w:val="22"/>
      <w:lang w:val="en-US" w:eastAsia="zh-CN" w:bidi="ar-SA"/>
    </w:rPr>
  </w:style>
  <w:style w:type="paragraph" w:customStyle="1" w:styleId="77">
    <w:name w:val="Block Text"/>
    <w:basedOn w:val="1"/>
    <w:qFormat/>
    <w:uiPriority w:val="0"/>
    <w:pPr>
      <w:adjustRightInd w:val="0"/>
      <w:snapToGrid w:val="0"/>
      <w:spacing w:line="360" w:lineRule="auto"/>
      <w:ind w:left="270" w:leftChars="270" w:right="-150" w:rightChars="-150" w:firstLine="200" w:firstLineChars="200"/>
    </w:pPr>
    <w:rPr>
      <w:rFonts w:ascii="宋体"/>
      <w:sz w:val="24"/>
    </w:rPr>
  </w:style>
  <w:style w:type="paragraph" w:customStyle="1" w:styleId="78">
    <w:name w:val="Body Text First Indent 2"/>
    <w:basedOn w:val="43"/>
    <w:qFormat/>
    <w:uiPriority w:val="0"/>
    <w:pPr>
      <w:ind w:left="0" w:leftChars="0" w:firstLine="210"/>
    </w:pPr>
    <w:rPr>
      <w:sz w:val="24"/>
    </w:rPr>
  </w:style>
  <w:style w:type="paragraph" w:customStyle="1" w:styleId="79">
    <w:name w:val="正文（首行缩进2字符）"/>
    <w:basedOn w:val="1"/>
    <w:qFormat/>
    <w:uiPriority w:val="0"/>
    <w:pPr>
      <w:ind w:firstLine="200" w:firstLineChars="200"/>
    </w:pPr>
    <w:rPr>
      <w:sz w:val="24"/>
      <w:szCs w:val="20"/>
    </w:rPr>
  </w:style>
  <w:style w:type="paragraph" w:customStyle="1" w:styleId="80">
    <w:name w:val="正文_14"/>
    <w:qFormat/>
    <w:uiPriority w:val="0"/>
    <w:rPr>
      <w:rFonts w:ascii="Arial" w:hAnsi="Arial" w:eastAsia="Arial" w:cs="Arial"/>
      <w:sz w:val="21"/>
      <w:szCs w:val="22"/>
      <w:lang w:val="en-US" w:eastAsia="zh-CN" w:bidi="ar-SA"/>
    </w:rPr>
  </w:style>
  <w:style w:type="paragraph" w:customStyle="1" w:styleId="81">
    <w:name w:val="表内文字"/>
    <w:basedOn w:val="1"/>
    <w:qFormat/>
    <w:uiPriority w:val="0"/>
    <w:pPr>
      <w:spacing w:line="500" w:lineRule="atLeast"/>
      <w:jc w:val="center"/>
    </w:pPr>
    <w:rPr>
      <w:rFonts w:ascii="Arial" w:hAnsi="Arial" w:eastAsia="楷体_GB2312"/>
      <w:sz w:val="28"/>
      <w:szCs w:val="20"/>
    </w:rPr>
  </w:style>
  <w:style w:type="paragraph" w:customStyle="1" w:styleId="82">
    <w:name w:val="正文_2_0"/>
    <w:qFormat/>
    <w:uiPriority w:val="0"/>
    <w:pPr>
      <w:widowControl w:val="0"/>
      <w:jc w:val="both"/>
    </w:pPr>
    <w:rPr>
      <w:rFonts w:ascii="Arial" w:hAnsi="Arial" w:eastAsia="Arial" w:cs="Arial"/>
      <w:kern w:val="2"/>
      <w:sz w:val="21"/>
      <w:szCs w:val="24"/>
      <w:lang w:val="en-US" w:eastAsia="zh-CN" w:bidi="ar-SA"/>
    </w:rPr>
  </w:style>
  <w:style w:type="paragraph" w:customStyle="1" w:styleId="83">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84">
    <w:name w:val="[Normal]"/>
    <w:uiPriority w:val="0"/>
    <w:rPr>
      <w:rFonts w:ascii="宋体" w:hAnsi="Arial" w:eastAsia="Arial" w:cs="Arial"/>
      <w:sz w:val="24"/>
      <w:szCs w:val="22"/>
      <w:lang w:val="zh-CN" w:eastAsia="zh-CN" w:bidi="ar-SA"/>
    </w:rPr>
  </w:style>
  <w:style w:type="paragraph" w:customStyle="1" w:styleId="85">
    <w:name w:val="Body Text"/>
    <w:basedOn w:val="1"/>
    <w:next w:val="86"/>
    <w:qFormat/>
    <w:uiPriority w:val="0"/>
    <w:pPr>
      <w:spacing w:after="120" w:afterLines="0" w:afterAutospacing="0"/>
    </w:pPr>
    <w:rPr>
      <w:rFonts w:ascii="Times New Roman" w:hAnsi="Times New Roman" w:eastAsia="宋体"/>
    </w:rPr>
  </w:style>
  <w:style w:type="paragraph" w:customStyle="1" w:styleId="86">
    <w:name w:val="Body Text First Indent"/>
    <w:basedOn w:val="11"/>
    <w:next w:val="1"/>
    <w:qFormat/>
    <w:uiPriority w:val="0"/>
    <w:pPr>
      <w:ind w:firstLine="100" w:firstLineChars="100"/>
    </w:pPr>
  </w:style>
  <w:style w:type="paragraph" w:customStyle="1" w:styleId="87">
    <w:name w:val="Normal (Web)"/>
    <w:basedOn w:val="1"/>
    <w:qFormat/>
    <w:uiPriority w:val="0"/>
    <w:pPr>
      <w:widowControl/>
      <w:spacing w:before="100" w:beforeAutospacing="1" w:after="100" w:afterAutospacing="1"/>
      <w:jc w:val="left"/>
    </w:pPr>
    <w:rPr>
      <w:rFonts w:ascii="宋体"/>
      <w:kern w:val="0"/>
      <w:sz w:val="24"/>
    </w:rPr>
  </w:style>
  <w:style w:type="paragraph" w:customStyle="1" w:styleId="88">
    <w:name w:val="正文_17"/>
    <w:qFormat/>
    <w:uiPriority w:val="0"/>
    <w:pPr>
      <w:widowControl w:val="0"/>
      <w:jc w:val="both"/>
    </w:pPr>
    <w:rPr>
      <w:rFonts w:ascii="Arial" w:hAnsi="Arial" w:eastAsia="Arial" w:cs="Arial"/>
      <w:kern w:val="2"/>
      <w:sz w:val="21"/>
      <w:szCs w:val="24"/>
      <w:lang w:val="en-US" w:eastAsia="zh-CN" w:bidi="ar-SA"/>
    </w:rPr>
  </w:style>
  <w:style w:type="paragraph" w:customStyle="1" w:styleId="89">
    <w:name w:val="纯文本_0_1"/>
    <w:basedOn w:val="1"/>
    <w:qFormat/>
    <w:uiPriority w:val="0"/>
    <w:pPr>
      <w:widowControl/>
      <w:jc w:val="left"/>
    </w:pPr>
    <w:rPr>
      <w:rFonts w:ascii="宋体"/>
      <w:szCs w:val="21"/>
    </w:rPr>
  </w:style>
  <w:style w:type="paragraph" w:customStyle="1" w:styleId="9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eastAsia="Arial Unicode MS"/>
      <w:kern w:val="0"/>
      <w:sz w:val="24"/>
    </w:rPr>
  </w:style>
  <w:style w:type="paragraph" w:customStyle="1" w:styleId="91">
    <w:name w:val="正文_6"/>
    <w:qFormat/>
    <w:uiPriority w:val="0"/>
    <w:pPr>
      <w:widowControl w:val="0"/>
      <w:jc w:val="both"/>
    </w:pPr>
    <w:rPr>
      <w:rFonts w:ascii="Arial" w:hAnsi="Arial" w:eastAsia="Arial" w:cs="Arial"/>
      <w:kern w:val="2"/>
      <w:sz w:val="21"/>
      <w:szCs w:val="24"/>
      <w:lang w:val="en-US" w:eastAsia="zh-CN" w:bidi="ar-SA"/>
    </w:rPr>
  </w:style>
  <w:style w:type="paragraph" w:customStyle="1" w:styleId="92">
    <w:name w:val="纯文本_3"/>
    <w:basedOn w:val="55"/>
    <w:qFormat/>
    <w:uiPriority w:val="0"/>
    <w:pPr>
      <w:widowControl/>
      <w:jc w:val="left"/>
    </w:pPr>
    <w:rPr>
      <w:rFonts w:asci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Company>
  <Pages>86</Pages>
  <Words>48290</Words>
  <Characters>49370</Characters>
  <Lines>138</Lines>
  <Paragraphs>38</Paragraphs>
  <TotalTime>9</TotalTime>
  <ScaleCrop>false</ScaleCrop>
  <LinksUpToDate>false</LinksUpToDate>
  <CharactersWithSpaces>51040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2020-11-23T08:11:00Z</dcterms:created>
  <dc:creator>苏彬</dc:creator>
  <cp:lastModifiedBy>dell</cp:lastModifiedBy>
  <cp:lastPrinted>2024-10-16T08:14:28Z</cp:lastPrinted>
  <dcterms:modified xsi:type="dcterms:W3CDTF">2024-10-16T08:17:04Z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1132194EB1504BC8A1486521F50B6E06_13</vt:lpwstr>
  </property>
</Properties>
</file>