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DB2CC">
      <w:pPr>
        <w:widowControl/>
        <w:tabs>
          <w:tab w:val="left" w:pos="7653"/>
        </w:tabs>
        <w:snapToGrid w:val="0"/>
        <w:spacing w:line="360" w:lineRule="auto"/>
        <w:rPr>
          <w:rFonts w:hint="default" w:hAnsi="宋体" w:eastAsia="宋体" w:cs="宋体"/>
          <w:color w:val="auto"/>
          <w:kern w:val="0"/>
          <w:szCs w:val="21"/>
          <w:highlight w:val="none"/>
          <w:lang w:val="en-US" w:eastAsia="zh-CN"/>
        </w:rPr>
      </w:pPr>
    </w:p>
    <w:p w14:paraId="7D9805FF">
      <w:pPr>
        <w:pStyle w:val="4"/>
        <w:rPr>
          <w:rFonts w:hint="default"/>
          <w:color w:val="auto"/>
          <w:highlight w:val="none"/>
          <w:lang w:val="en-US" w:eastAsia="zh-CN"/>
        </w:rPr>
      </w:pPr>
    </w:p>
    <w:p w14:paraId="4D6E581E">
      <w:pPr>
        <w:widowControl/>
        <w:snapToGrid w:val="0"/>
        <w:spacing w:line="360" w:lineRule="auto"/>
        <w:jc w:val="center"/>
        <w:rPr>
          <w:rFonts w:hint="eastAsia" w:hAnsi="宋体" w:cs="宋体"/>
          <w:color w:val="auto"/>
          <w:kern w:val="0"/>
          <w:szCs w:val="21"/>
          <w:highlight w:val="none"/>
        </w:rPr>
      </w:pPr>
    </w:p>
    <w:p w14:paraId="2DC34354">
      <w:pPr>
        <w:widowControl/>
        <w:snapToGrid w:val="0"/>
        <w:spacing w:line="360" w:lineRule="auto"/>
        <w:jc w:val="center"/>
        <w:rPr>
          <w:rFonts w:hint="eastAsia" w:hAnsi="宋体" w:eastAsia="宋体" w:cs="宋体"/>
          <w:b/>
          <w:bCs/>
          <w:color w:val="auto"/>
          <w:kern w:val="0"/>
          <w:sz w:val="32"/>
          <w:szCs w:val="32"/>
          <w:highlight w:val="none"/>
          <w:lang w:eastAsia="zh-CN"/>
        </w:rPr>
      </w:pPr>
      <w:r>
        <w:rPr>
          <w:rFonts w:hint="eastAsia"/>
          <w:b/>
          <w:bCs/>
          <w:color w:val="auto"/>
          <w:sz w:val="36"/>
          <w:szCs w:val="40"/>
          <w:highlight w:val="none"/>
          <w:lang w:eastAsia="zh-CN"/>
        </w:rPr>
        <w:t>台州市开发大道东段南侧、聚海河以西种植土地出租</w:t>
      </w:r>
    </w:p>
    <w:p w14:paraId="4C6ECC78">
      <w:pPr>
        <w:widowControl/>
        <w:snapToGrid w:val="0"/>
        <w:spacing w:line="360" w:lineRule="auto"/>
        <w:jc w:val="center"/>
        <w:rPr>
          <w:rFonts w:hint="eastAsia" w:hAnsi="宋体" w:cs="宋体"/>
          <w:b/>
          <w:bCs/>
          <w:color w:val="auto"/>
          <w:kern w:val="0"/>
          <w:sz w:val="32"/>
          <w:szCs w:val="32"/>
          <w:highlight w:val="none"/>
        </w:rPr>
      </w:pPr>
    </w:p>
    <w:p w14:paraId="64205D8C">
      <w:pPr>
        <w:widowControl/>
        <w:snapToGrid w:val="0"/>
        <w:spacing w:line="360" w:lineRule="auto"/>
        <w:jc w:val="center"/>
        <w:rPr>
          <w:rFonts w:hint="eastAsia" w:hAnsi="宋体" w:cs="宋体"/>
          <w:b/>
          <w:bCs/>
          <w:color w:val="auto"/>
          <w:kern w:val="0"/>
          <w:sz w:val="32"/>
          <w:szCs w:val="32"/>
          <w:highlight w:val="none"/>
        </w:rPr>
      </w:pPr>
    </w:p>
    <w:p w14:paraId="182AA6D0">
      <w:pPr>
        <w:widowControl/>
        <w:snapToGrid w:val="0"/>
        <w:spacing w:line="360" w:lineRule="auto"/>
        <w:jc w:val="center"/>
        <w:rPr>
          <w:rFonts w:hint="eastAsia" w:hAnsi="宋体" w:cs="宋体"/>
          <w:b/>
          <w:bCs/>
          <w:color w:val="auto"/>
          <w:kern w:val="0"/>
          <w:sz w:val="32"/>
          <w:szCs w:val="32"/>
          <w:highlight w:val="none"/>
        </w:rPr>
      </w:pPr>
    </w:p>
    <w:p w14:paraId="50E412B5">
      <w:pPr>
        <w:widowControl/>
        <w:snapToGrid w:val="0"/>
        <w:spacing w:line="360" w:lineRule="auto"/>
        <w:jc w:val="center"/>
        <w:rPr>
          <w:rFonts w:hint="eastAsia" w:hAnsi="宋体" w:cs="宋体"/>
          <w:b/>
          <w:bCs/>
          <w:color w:val="auto"/>
          <w:kern w:val="0"/>
          <w:sz w:val="72"/>
          <w:szCs w:val="72"/>
          <w:highlight w:val="none"/>
        </w:rPr>
      </w:pPr>
      <w:r>
        <w:rPr>
          <w:rFonts w:hint="eastAsia" w:hAnsi="宋体" w:cs="宋体"/>
          <w:b/>
          <w:bCs/>
          <w:color w:val="auto"/>
          <w:kern w:val="0"/>
          <w:sz w:val="72"/>
          <w:szCs w:val="72"/>
          <w:highlight w:val="none"/>
        </w:rPr>
        <w:t>招 标 文 件</w:t>
      </w:r>
    </w:p>
    <w:p w14:paraId="10D5D0A4">
      <w:pPr>
        <w:widowControl/>
        <w:snapToGrid w:val="0"/>
        <w:spacing w:line="360" w:lineRule="auto"/>
        <w:rPr>
          <w:rFonts w:hint="eastAsia" w:hAnsi="宋体" w:cs="宋体"/>
          <w:color w:val="auto"/>
          <w:kern w:val="0"/>
          <w:sz w:val="32"/>
          <w:szCs w:val="32"/>
          <w:highlight w:val="none"/>
        </w:rPr>
      </w:pPr>
    </w:p>
    <w:p w14:paraId="5414B05B">
      <w:pPr>
        <w:widowControl/>
        <w:snapToGrid w:val="0"/>
        <w:spacing w:line="360" w:lineRule="auto"/>
        <w:rPr>
          <w:rFonts w:hint="eastAsia" w:hAnsi="宋体" w:cs="宋体"/>
          <w:color w:val="auto"/>
          <w:kern w:val="0"/>
          <w:sz w:val="32"/>
          <w:szCs w:val="32"/>
          <w:highlight w:val="none"/>
        </w:rPr>
      </w:pPr>
    </w:p>
    <w:p w14:paraId="013DB8D6">
      <w:pPr>
        <w:widowControl/>
        <w:snapToGrid w:val="0"/>
        <w:spacing w:line="360" w:lineRule="auto"/>
        <w:ind w:left="718" w:leftChars="342" w:firstLine="640" w:firstLineChars="200"/>
        <w:rPr>
          <w:rFonts w:hint="eastAsia" w:hAnsi="宋体" w:cs="宋体"/>
          <w:color w:val="auto"/>
          <w:kern w:val="0"/>
          <w:sz w:val="32"/>
          <w:szCs w:val="32"/>
          <w:highlight w:val="none"/>
        </w:rPr>
      </w:pPr>
    </w:p>
    <w:p w14:paraId="4A7A3F55">
      <w:pPr>
        <w:widowControl/>
        <w:snapToGrid w:val="0"/>
        <w:spacing w:line="360" w:lineRule="auto"/>
        <w:ind w:left="718" w:leftChars="342" w:firstLine="640" w:firstLineChars="200"/>
        <w:rPr>
          <w:rFonts w:hint="eastAsia" w:hAnsi="宋体" w:cs="宋体"/>
          <w:color w:val="auto"/>
          <w:kern w:val="0"/>
          <w:sz w:val="32"/>
          <w:szCs w:val="32"/>
          <w:highlight w:val="none"/>
        </w:rPr>
      </w:pPr>
    </w:p>
    <w:p w14:paraId="19B25725">
      <w:pPr>
        <w:widowControl/>
        <w:snapToGrid w:val="0"/>
        <w:spacing w:line="360" w:lineRule="auto"/>
        <w:ind w:left="718" w:leftChars="342" w:firstLine="640" w:firstLineChars="200"/>
        <w:rPr>
          <w:rFonts w:hint="eastAsia" w:hAnsi="宋体" w:cs="宋体"/>
          <w:color w:val="auto"/>
          <w:kern w:val="0"/>
          <w:sz w:val="32"/>
          <w:szCs w:val="32"/>
          <w:highlight w:val="none"/>
        </w:rPr>
      </w:pPr>
    </w:p>
    <w:p w14:paraId="0CE16A13">
      <w:pPr>
        <w:widowControl/>
        <w:snapToGrid w:val="0"/>
        <w:spacing w:line="360" w:lineRule="auto"/>
        <w:ind w:left="718" w:leftChars="342" w:firstLine="640" w:firstLineChars="200"/>
        <w:rPr>
          <w:rFonts w:hint="eastAsia" w:hAnsi="宋体" w:cs="宋体"/>
          <w:color w:val="auto"/>
          <w:kern w:val="0"/>
          <w:sz w:val="32"/>
          <w:szCs w:val="32"/>
          <w:highlight w:val="none"/>
        </w:rPr>
      </w:pPr>
    </w:p>
    <w:p w14:paraId="696474B6">
      <w:pPr>
        <w:widowControl/>
        <w:snapToGrid w:val="0"/>
        <w:spacing w:line="360" w:lineRule="auto"/>
        <w:ind w:firstLine="1280" w:firstLineChars="400"/>
        <w:rPr>
          <w:rFonts w:hint="eastAsia" w:hAnsi="宋体" w:eastAsia="宋体" w:cs="宋体"/>
          <w:color w:val="auto"/>
          <w:kern w:val="0"/>
          <w:sz w:val="32"/>
          <w:szCs w:val="32"/>
          <w:highlight w:val="none"/>
          <w:lang w:eastAsia="zh-CN"/>
        </w:rPr>
      </w:pPr>
      <w:r>
        <w:rPr>
          <w:rFonts w:hint="eastAsia" w:hAnsi="宋体" w:cs="宋体"/>
          <w:color w:val="auto"/>
          <w:kern w:val="0"/>
          <w:sz w:val="32"/>
          <w:szCs w:val="32"/>
          <w:highlight w:val="none"/>
        </w:rPr>
        <w:t>招 标 人：</w:t>
      </w:r>
      <w:r>
        <w:rPr>
          <w:rFonts w:hint="eastAsia" w:hAnsi="宋体" w:cs="宋体"/>
          <w:color w:val="auto"/>
          <w:kern w:val="0"/>
          <w:sz w:val="32"/>
          <w:szCs w:val="32"/>
          <w:highlight w:val="none"/>
          <w:lang w:eastAsia="zh-CN"/>
        </w:rPr>
        <w:t>台州东茂观光农业开发有限公司</w:t>
      </w:r>
    </w:p>
    <w:p w14:paraId="416F9677">
      <w:pPr>
        <w:widowControl/>
        <w:snapToGrid w:val="0"/>
        <w:spacing w:line="360" w:lineRule="auto"/>
        <w:ind w:firstLine="1280" w:firstLineChars="400"/>
        <w:rPr>
          <w:rFonts w:hint="default" w:hAnsi="宋体" w:eastAsia="宋体" w:cs="宋体"/>
          <w:color w:val="auto"/>
          <w:kern w:val="0"/>
          <w:sz w:val="32"/>
          <w:szCs w:val="32"/>
          <w:highlight w:val="none"/>
          <w:lang w:val="en-US" w:eastAsia="zh-CN"/>
        </w:rPr>
      </w:pPr>
      <w:r>
        <w:rPr>
          <w:rFonts w:hint="eastAsia" w:hAnsi="宋体" w:cs="宋体"/>
          <w:color w:val="auto"/>
          <w:kern w:val="0"/>
          <w:sz w:val="32"/>
          <w:szCs w:val="32"/>
          <w:highlight w:val="none"/>
        </w:rPr>
        <w:t>联 系 人：颜文琪   联系电话：18069330767</w:t>
      </w:r>
    </w:p>
    <w:p w14:paraId="3AA6BD0B">
      <w:pPr>
        <w:widowControl/>
        <w:snapToGrid w:val="0"/>
        <w:spacing w:line="360" w:lineRule="auto"/>
        <w:ind w:firstLine="1280" w:firstLineChars="400"/>
        <w:rPr>
          <w:rFonts w:hint="eastAsia" w:hAnsi="宋体" w:cs="宋体"/>
          <w:color w:val="auto"/>
          <w:kern w:val="0"/>
          <w:sz w:val="32"/>
          <w:szCs w:val="32"/>
          <w:highlight w:val="none"/>
        </w:rPr>
      </w:pPr>
      <w:r>
        <w:rPr>
          <w:rFonts w:hint="eastAsia" w:hAnsi="宋体" w:cs="宋体"/>
          <w:color w:val="auto"/>
          <w:kern w:val="0"/>
          <w:sz w:val="32"/>
          <w:szCs w:val="32"/>
          <w:highlight w:val="none"/>
        </w:rPr>
        <w:t>招标代理：台州市建设咨询有限公司</w:t>
      </w:r>
    </w:p>
    <w:p w14:paraId="3A7E47F0">
      <w:pPr>
        <w:widowControl/>
        <w:snapToGrid w:val="0"/>
        <w:spacing w:line="360" w:lineRule="auto"/>
        <w:ind w:firstLine="1280" w:firstLineChars="400"/>
        <w:rPr>
          <w:rFonts w:hint="eastAsia" w:hAnsi="宋体" w:eastAsia="宋体" w:cs="宋体"/>
          <w:color w:val="auto"/>
          <w:kern w:val="0"/>
          <w:sz w:val="32"/>
          <w:szCs w:val="32"/>
          <w:highlight w:val="none"/>
          <w:lang w:eastAsia="zh-CN"/>
        </w:rPr>
      </w:pPr>
      <w:r>
        <w:rPr>
          <w:rFonts w:hint="eastAsia" w:hAnsi="宋体" w:cs="宋体"/>
          <w:color w:val="auto"/>
          <w:kern w:val="0"/>
          <w:sz w:val="32"/>
          <w:szCs w:val="32"/>
          <w:highlight w:val="none"/>
        </w:rPr>
        <w:t>联 系 人：</w:t>
      </w:r>
      <w:r>
        <w:rPr>
          <w:rFonts w:hint="eastAsia" w:hAnsi="宋体" w:cs="宋体"/>
          <w:color w:val="auto"/>
          <w:kern w:val="0"/>
          <w:sz w:val="32"/>
          <w:szCs w:val="32"/>
          <w:highlight w:val="none"/>
          <w:lang w:val="en-US" w:eastAsia="zh-CN"/>
        </w:rPr>
        <w:t>章家炀、葛俊</w:t>
      </w:r>
      <w:r>
        <w:rPr>
          <w:rFonts w:hint="eastAsia" w:hAnsi="宋体" w:cs="宋体"/>
          <w:color w:val="auto"/>
          <w:kern w:val="0"/>
          <w:sz w:val="32"/>
          <w:szCs w:val="32"/>
          <w:highlight w:val="none"/>
        </w:rPr>
        <w:t xml:space="preserve">  联系电话：0576-</w:t>
      </w:r>
      <w:r>
        <w:rPr>
          <w:rFonts w:hint="eastAsia" w:hAnsi="宋体" w:cs="宋体"/>
          <w:color w:val="auto"/>
          <w:kern w:val="0"/>
          <w:sz w:val="32"/>
          <w:szCs w:val="32"/>
          <w:highlight w:val="none"/>
          <w:lang w:eastAsia="zh-CN"/>
        </w:rPr>
        <w:t>88517782</w:t>
      </w:r>
    </w:p>
    <w:p w14:paraId="02BC37BC">
      <w:pPr>
        <w:widowControl/>
        <w:snapToGrid w:val="0"/>
        <w:spacing w:line="360" w:lineRule="auto"/>
        <w:ind w:firstLine="1280" w:firstLineChars="400"/>
        <w:rPr>
          <w:rFonts w:hAnsi="宋体" w:cs="宋体"/>
          <w:color w:val="auto"/>
          <w:kern w:val="0"/>
          <w:sz w:val="32"/>
          <w:szCs w:val="32"/>
          <w:highlight w:val="none"/>
        </w:rPr>
      </w:pPr>
      <w:r>
        <w:rPr>
          <w:rFonts w:hint="eastAsia" w:hAnsi="宋体" w:cs="宋体"/>
          <w:color w:val="auto"/>
          <w:kern w:val="0"/>
          <w:sz w:val="32"/>
          <w:szCs w:val="32"/>
          <w:highlight w:val="none"/>
        </w:rPr>
        <w:t>日    期：</w:t>
      </w:r>
      <w:r>
        <w:rPr>
          <w:rFonts w:hint="eastAsia" w:hAnsi="宋体" w:cs="宋体"/>
          <w:color w:val="auto"/>
          <w:kern w:val="0"/>
          <w:sz w:val="32"/>
          <w:szCs w:val="32"/>
          <w:highlight w:val="none"/>
          <w:lang w:val="en-US" w:eastAsia="zh-CN"/>
        </w:rPr>
        <w:t>二零二四</w:t>
      </w:r>
      <w:r>
        <w:rPr>
          <w:rFonts w:hint="eastAsia" w:hAnsi="宋体" w:cs="宋体"/>
          <w:color w:val="auto"/>
          <w:kern w:val="0"/>
          <w:sz w:val="32"/>
          <w:szCs w:val="32"/>
          <w:highlight w:val="none"/>
        </w:rPr>
        <w:t>年</w:t>
      </w:r>
      <w:r>
        <w:rPr>
          <w:rFonts w:hint="eastAsia" w:hAnsi="宋体" w:cs="宋体"/>
          <w:color w:val="auto"/>
          <w:kern w:val="0"/>
          <w:sz w:val="32"/>
          <w:szCs w:val="32"/>
          <w:highlight w:val="none"/>
          <w:lang w:val="en-US" w:eastAsia="zh-CN"/>
        </w:rPr>
        <w:t>十</w:t>
      </w:r>
      <w:r>
        <w:rPr>
          <w:rFonts w:hint="eastAsia" w:hAnsi="宋体" w:cs="宋体"/>
          <w:color w:val="auto"/>
          <w:kern w:val="0"/>
          <w:sz w:val="32"/>
          <w:szCs w:val="32"/>
          <w:highlight w:val="none"/>
        </w:rPr>
        <w:t>月</w:t>
      </w:r>
    </w:p>
    <w:p w14:paraId="58C251A6">
      <w:pPr>
        <w:widowControl/>
        <w:snapToGrid w:val="0"/>
        <w:spacing w:line="360" w:lineRule="auto"/>
        <w:ind w:left="718" w:leftChars="342" w:firstLine="2240" w:firstLineChars="700"/>
        <w:rPr>
          <w:rFonts w:hint="eastAsia" w:hAnsi="宋体" w:cs="宋体"/>
          <w:color w:val="auto"/>
          <w:kern w:val="0"/>
          <w:sz w:val="32"/>
          <w:szCs w:val="32"/>
          <w:highlight w:val="none"/>
        </w:rPr>
      </w:pPr>
    </w:p>
    <w:p w14:paraId="72821AC3">
      <w:pPr>
        <w:widowControl/>
        <w:snapToGrid w:val="0"/>
        <w:spacing w:line="360" w:lineRule="auto"/>
        <w:ind w:left="718" w:leftChars="342" w:firstLine="2240" w:firstLineChars="700"/>
        <w:rPr>
          <w:rFonts w:hint="eastAsia" w:hAnsi="宋体" w:cs="宋体"/>
          <w:color w:val="auto"/>
          <w:kern w:val="0"/>
          <w:sz w:val="32"/>
          <w:szCs w:val="32"/>
          <w:highlight w:val="none"/>
        </w:rPr>
      </w:pPr>
    </w:p>
    <w:p w14:paraId="13E9C76F">
      <w:pPr>
        <w:widowControl/>
        <w:snapToGrid w:val="0"/>
        <w:spacing w:line="360" w:lineRule="auto"/>
        <w:rPr>
          <w:rFonts w:hAnsi="宋体" w:cs="宋体"/>
          <w:color w:val="auto"/>
          <w:kern w:val="0"/>
          <w:szCs w:val="21"/>
          <w:highlight w:val="none"/>
        </w:rPr>
        <w:sectPr>
          <w:footerReference r:id="rId6" w:type="first"/>
          <w:headerReference r:id="rId3" w:type="default"/>
          <w:footerReference r:id="rId4" w:type="default"/>
          <w:footerReference r:id="rId5" w:type="even"/>
          <w:footnotePr>
            <w:numRestart w:val="eachPage"/>
          </w:footnotePr>
          <w:endnotePr>
            <w:numRestart w:val="eachSect"/>
          </w:endnotePr>
          <w:pgSz w:w="11907" w:h="16840"/>
          <w:pgMar w:top="767" w:right="1247" w:bottom="851" w:left="1304" w:header="434" w:footer="573" w:gutter="0"/>
          <w:pgNumType w:fmt="decimal"/>
          <w:cols w:space="720" w:num="1"/>
          <w:titlePg/>
          <w:docGrid w:linePitch="435" w:charSpace="-6554"/>
        </w:sectPr>
      </w:pPr>
    </w:p>
    <w:p w14:paraId="219B0887">
      <w:pPr>
        <w:pStyle w:val="3"/>
        <w:tabs>
          <w:tab w:val="left" w:pos="360"/>
        </w:tabs>
        <w:spacing w:line="360" w:lineRule="auto"/>
        <w:rPr>
          <w:rFonts w:hint="eastAsia"/>
          <w:color w:val="auto"/>
          <w:highlight w:val="none"/>
        </w:rPr>
      </w:pPr>
      <w:r>
        <w:rPr>
          <w:rFonts w:hint="eastAsia"/>
          <w:color w:val="auto"/>
          <w:highlight w:val="none"/>
          <w:lang w:val="en-US" w:eastAsia="zh-CN"/>
        </w:rPr>
        <w:t xml:space="preserve">第一章  </w:t>
      </w:r>
      <w:r>
        <w:rPr>
          <w:rFonts w:hint="eastAsia"/>
          <w:color w:val="auto"/>
          <w:highlight w:val="none"/>
        </w:rPr>
        <w:t>招标公告</w:t>
      </w:r>
    </w:p>
    <w:p w14:paraId="5031A133">
      <w:pPr>
        <w:widowControl/>
        <w:spacing w:line="360" w:lineRule="auto"/>
        <w:ind w:firstLine="420" w:firstLineChars="200"/>
        <w:jc w:val="left"/>
        <w:textAlignment w:val="bottom"/>
        <w:rPr>
          <w:rFonts w:hint="eastAsia" w:ascii="宋体" w:hAnsi="宋体" w:cs="宋体"/>
          <w:color w:val="auto"/>
          <w:kern w:val="0"/>
          <w:szCs w:val="28"/>
          <w:highlight w:val="none"/>
        </w:rPr>
      </w:pPr>
      <w:r>
        <w:rPr>
          <w:rFonts w:hint="eastAsia" w:ascii="宋体" w:hAnsi="宋体" w:cs="宋体"/>
          <w:color w:val="auto"/>
          <w:kern w:val="0"/>
          <w:szCs w:val="28"/>
          <w:highlight w:val="none"/>
        </w:rPr>
        <w:t>根据《中华人民共和国招标投标法》及相关法律、法规规定，台州市建设咨询有限公司受</w:t>
      </w:r>
      <w:r>
        <w:rPr>
          <w:rFonts w:hint="eastAsia" w:ascii="宋体" w:hAnsi="宋体" w:cs="宋体"/>
          <w:color w:val="auto"/>
          <w:kern w:val="0"/>
          <w:szCs w:val="28"/>
          <w:highlight w:val="none"/>
          <w:lang w:eastAsia="zh-CN"/>
        </w:rPr>
        <w:t>台州东茂观光农业开发有限公司</w:t>
      </w:r>
      <w:r>
        <w:rPr>
          <w:rFonts w:hint="eastAsia" w:ascii="宋体" w:hAnsi="宋体" w:cs="宋体"/>
          <w:color w:val="auto"/>
          <w:kern w:val="0"/>
          <w:szCs w:val="28"/>
          <w:highlight w:val="none"/>
        </w:rPr>
        <w:t>委托，</w:t>
      </w:r>
      <w:r>
        <w:rPr>
          <w:rFonts w:hint="eastAsia" w:ascii="宋体" w:hAnsi="宋体" w:cs="宋体"/>
          <w:color w:val="auto"/>
          <w:szCs w:val="28"/>
          <w:highlight w:val="none"/>
        </w:rPr>
        <w:t>对其</w:t>
      </w:r>
      <w:r>
        <w:rPr>
          <w:rFonts w:hint="eastAsia" w:ascii="宋体" w:hAnsi="宋体" w:cs="宋体"/>
          <w:b/>
          <w:bCs/>
          <w:color w:val="auto"/>
          <w:szCs w:val="28"/>
          <w:highlight w:val="none"/>
          <w:lang w:eastAsia="zh-CN"/>
        </w:rPr>
        <w:t>台州市开发大道东段南侧、聚海河以西种植土地出租</w:t>
      </w:r>
      <w:r>
        <w:rPr>
          <w:rFonts w:hint="eastAsia" w:ascii="宋体" w:hAnsi="宋体" w:cs="宋体"/>
          <w:color w:val="auto"/>
          <w:szCs w:val="28"/>
          <w:highlight w:val="none"/>
        </w:rPr>
        <w:t>进行公</w:t>
      </w:r>
      <w:r>
        <w:rPr>
          <w:rFonts w:hint="eastAsia" w:ascii="宋体" w:hAnsi="宋体" w:cs="宋体"/>
          <w:color w:val="auto"/>
          <w:kern w:val="0"/>
          <w:szCs w:val="28"/>
          <w:highlight w:val="none"/>
        </w:rPr>
        <w:t>开招标，欢迎合格的</w:t>
      </w:r>
      <w:r>
        <w:rPr>
          <w:rFonts w:hint="eastAsia" w:ascii="宋体" w:hAnsi="宋体" w:cs="宋体"/>
          <w:color w:val="auto"/>
          <w:kern w:val="0"/>
          <w:szCs w:val="28"/>
          <w:highlight w:val="none"/>
          <w:lang w:val="en-US" w:eastAsia="zh-CN"/>
        </w:rPr>
        <w:t>投标人</w:t>
      </w:r>
      <w:r>
        <w:rPr>
          <w:rFonts w:hint="eastAsia" w:ascii="宋体" w:hAnsi="宋体" w:cs="宋体"/>
          <w:color w:val="auto"/>
          <w:kern w:val="0"/>
          <w:szCs w:val="28"/>
          <w:highlight w:val="none"/>
        </w:rPr>
        <w:t>参加投标。</w:t>
      </w:r>
    </w:p>
    <w:p w14:paraId="02C7F54C">
      <w:pPr>
        <w:widowControl/>
        <w:spacing w:before="60" w:after="60" w:line="360" w:lineRule="auto"/>
        <w:ind w:left="60" w:right="60"/>
        <w:jc w:val="left"/>
        <w:rPr>
          <w:rFonts w:hint="eastAsia" w:ascii="宋体" w:hAnsi="宋体" w:eastAsia="宋体" w:cs="宋体"/>
          <w:color w:val="auto"/>
          <w:kern w:val="0"/>
          <w:szCs w:val="28"/>
          <w:highlight w:val="none"/>
          <w:lang w:eastAsia="zh-CN"/>
        </w:rPr>
      </w:pPr>
      <w:bookmarkStart w:id="0" w:name="_Toc251227776"/>
      <w:r>
        <w:rPr>
          <w:rFonts w:hint="eastAsia" w:ascii="宋体" w:hAnsi="宋体" w:cs="宋体"/>
          <w:b/>
          <w:color w:val="auto"/>
          <w:kern w:val="0"/>
          <w:szCs w:val="28"/>
          <w:highlight w:val="none"/>
        </w:rPr>
        <w:t>一、招标项目编号：</w:t>
      </w:r>
      <w:bookmarkEnd w:id="0"/>
      <w:r>
        <w:rPr>
          <w:rFonts w:hint="eastAsia" w:ascii="宋体" w:hAnsi="宋体" w:cs="宋体"/>
          <w:b/>
          <w:color w:val="auto"/>
          <w:kern w:val="0"/>
          <w:szCs w:val="28"/>
          <w:highlight w:val="none"/>
        </w:rPr>
        <w:t>QBJ2024223</w:t>
      </w:r>
    </w:p>
    <w:p w14:paraId="3322E4F2">
      <w:pPr>
        <w:widowControl/>
        <w:spacing w:before="60" w:after="60" w:line="360" w:lineRule="auto"/>
        <w:ind w:left="60" w:right="60"/>
        <w:jc w:val="left"/>
        <w:rPr>
          <w:rFonts w:hint="eastAsia" w:ascii="宋体" w:hAnsi="宋体" w:cs="宋体"/>
          <w:b/>
          <w:color w:val="auto"/>
          <w:kern w:val="0"/>
          <w:szCs w:val="28"/>
          <w:highlight w:val="none"/>
        </w:rPr>
      </w:pPr>
      <w:bookmarkStart w:id="1" w:name="_Toc251227777"/>
      <w:r>
        <w:rPr>
          <w:rFonts w:hint="eastAsia" w:ascii="宋体" w:hAnsi="宋体" w:cs="宋体"/>
          <w:b/>
          <w:color w:val="auto"/>
          <w:kern w:val="0"/>
          <w:szCs w:val="28"/>
          <w:highlight w:val="none"/>
        </w:rPr>
        <w:t>二、招标项目概况:</w:t>
      </w:r>
      <w:bookmarkEnd w:id="1"/>
      <w:r>
        <w:rPr>
          <w:rFonts w:hint="eastAsia" w:ascii="宋体" w:hAnsi="宋体" w:cs="宋体"/>
          <w:b/>
          <w:color w:val="auto"/>
          <w:kern w:val="0"/>
          <w:szCs w:val="28"/>
          <w:highlight w:val="none"/>
        </w:rPr>
        <w:t xml:space="preserve"> </w:t>
      </w:r>
    </w:p>
    <w:p w14:paraId="359D5FB4">
      <w:pPr>
        <w:spacing w:line="360" w:lineRule="auto"/>
        <w:ind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（1）项目名称：</w:t>
      </w:r>
      <w:r>
        <w:rPr>
          <w:rFonts w:hint="eastAsia" w:ascii="宋体" w:hAnsi="宋体" w:cs="宋体"/>
          <w:color w:val="auto"/>
          <w:kern w:val="0"/>
          <w:szCs w:val="21"/>
          <w:highlight w:val="none"/>
          <w:lang w:eastAsia="zh-CN"/>
        </w:rPr>
        <w:t>台州市开发大道东段南侧、聚海河以西种植土地出租</w:t>
      </w:r>
    </w:p>
    <w:p w14:paraId="0339D5F2">
      <w:pPr>
        <w:spacing w:line="360" w:lineRule="auto"/>
        <w:ind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（2）项目地点：</w:t>
      </w:r>
      <w:r>
        <w:rPr>
          <w:rFonts w:hint="eastAsia" w:ascii="宋体" w:hAnsi="宋体" w:cs="宋体"/>
          <w:color w:val="auto"/>
          <w:kern w:val="0"/>
          <w:szCs w:val="21"/>
          <w:highlight w:val="none"/>
          <w:u w:val="none"/>
          <w:lang w:eastAsia="zh-CN"/>
        </w:rPr>
        <w:t>位于一江山大道东段以北、聚海大道以东、开发大道东段以南</w:t>
      </w:r>
    </w:p>
    <w:p w14:paraId="6A01B8BD">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（3）招标方式：公开招标</w:t>
      </w:r>
    </w:p>
    <w:p w14:paraId="06E59DD2">
      <w:pPr>
        <w:spacing w:line="360" w:lineRule="auto"/>
        <w:ind w:left="0" w:leftChars="0"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en-US" w:eastAsia="zh-CN"/>
        </w:rPr>
        <w:t>招标范围：</w:t>
      </w:r>
      <w:r>
        <w:rPr>
          <w:rFonts w:hint="eastAsia" w:ascii="宋体" w:hAnsi="宋体" w:cs="宋体"/>
          <w:color w:val="auto"/>
          <w:kern w:val="0"/>
          <w:szCs w:val="21"/>
          <w:highlight w:val="none"/>
          <w:lang w:eastAsia="zh-CN"/>
        </w:rPr>
        <w:t>台州东茂观光农业开发有限公司指定范围内约</w:t>
      </w:r>
      <w:r>
        <w:rPr>
          <w:rFonts w:hint="eastAsia" w:ascii="宋体" w:hAnsi="宋体" w:cs="宋体"/>
          <w:color w:val="auto"/>
          <w:kern w:val="0"/>
          <w:szCs w:val="21"/>
          <w:highlight w:val="none"/>
          <w:lang w:val="en-US" w:eastAsia="zh-CN"/>
        </w:rPr>
        <w:t>880</w:t>
      </w:r>
      <w:r>
        <w:rPr>
          <w:rFonts w:hint="eastAsia" w:ascii="宋体" w:hAnsi="宋体" w:cs="宋体"/>
          <w:color w:val="auto"/>
          <w:kern w:val="0"/>
          <w:szCs w:val="21"/>
          <w:highlight w:val="none"/>
          <w:lang w:eastAsia="zh-CN"/>
        </w:rPr>
        <w:t>亩土地的租赁所有相关工作内容。</w:t>
      </w:r>
    </w:p>
    <w:p w14:paraId="2042CF36">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（5）租赁期限：</w:t>
      </w:r>
      <w:r>
        <w:rPr>
          <w:rFonts w:hint="eastAsia" w:ascii="宋体" w:hAnsi="宋体" w:cs="宋体"/>
          <w:b/>
          <w:bCs/>
          <w:color w:val="auto"/>
          <w:kern w:val="0"/>
          <w:szCs w:val="21"/>
          <w:highlight w:val="none"/>
          <w:lang w:val="en-US" w:eastAsia="zh-CN"/>
        </w:rPr>
        <w:t>自合同签订之日起1年。</w:t>
      </w:r>
    </w:p>
    <w:p w14:paraId="04298B39">
      <w:pPr>
        <w:spacing w:line="360" w:lineRule="auto"/>
        <w:ind w:firstLine="420" w:firstLineChars="200"/>
        <w:rPr>
          <w:rFonts w:hint="eastAsia" w:ascii="宋体" w:hAnsi="宋体" w:cs="宋体"/>
          <w:b/>
          <w:bCs/>
          <w:color w:val="auto"/>
          <w:kern w:val="0"/>
          <w:szCs w:val="21"/>
          <w:highlight w:val="none"/>
        </w:rPr>
      </w:pPr>
      <w:r>
        <w:rPr>
          <w:rFonts w:hint="eastAsia" w:ascii="宋体" w:hAnsi="宋体" w:cs="宋体"/>
          <w:color w:val="auto"/>
          <w:kern w:val="0"/>
          <w:szCs w:val="21"/>
          <w:highlight w:val="none"/>
        </w:rPr>
        <w:t>（6）租赁土地面积：</w:t>
      </w:r>
      <w:r>
        <w:rPr>
          <w:rFonts w:hint="eastAsia" w:ascii="宋体" w:hAnsi="宋体" w:cs="宋体"/>
          <w:b/>
          <w:bCs/>
          <w:color w:val="auto"/>
          <w:kern w:val="0"/>
          <w:szCs w:val="21"/>
          <w:highlight w:val="none"/>
          <w:lang w:eastAsia="zh-CN"/>
        </w:rPr>
        <w:t>面积约</w:t>
      </w:r>
      <w:r>
        <w:rPr>
          <w:rFonts w:hint="eastAsia" w:ascii="宋体" w:hAnsi="宋体" w:cs="宋体"/>
          <w:b/>
          <w:bCs/>
          <w:color w:val="auto"/>
          <w:kern w:val="0"/>
          <w:szCs w:val="21"/>
          <w:highlight w:val="none"/>
          <w:lang w:val="en-US" w:eastAsia="zh-CN"/>
        </w:rPr>
        <w:t>880</w:t>
      </w:r>
      <w:r>
        <w:rPr>
          <w:rFonts w:hint="eastAsia" w:ascii="宋体" w:hAnsi="宋体" w:cs="宋体"/>
          <w:b/>
          <w:bCs/>
          <w:color w:val="auto"/>
          <w:kern w:val="0"/>
          <w:szCs w:val="21"/>
          <w:highlight w:val="none"/>
          <w:lang w:eastAsia="zh-CN"/>
        </w:rPr>
        <w:t>亩，实际面积以现场测量为准（包括范围内的机耕路、过境电线杆及沟渠等设施）。</w:t>
      </w:r>
      <w:r>
        <w:rPr>
          <w:rFonts w:hint="eastAsia" w:ascii="宋体" w:hAnsi="宋体" w:cs="宋体"/>
          <w:b/>
          <w:bCs/>
          <w:color w:val="auto"/>
          <w:kern w:val="0"/>
          <w:szCs w:val="21"/>
          <w:highlight w:val="none"/>
        </w:rPr>
        <w:t>(具体面积详见招标人提供的图纸，见附件)</w:t>
      </w:r>
      <w:bookmarkStart w:id="2" w:name="_Toc251227778"/>
    </w:p>
    <w:p w14:paraId="1947EF3C">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）租赁</w:t>
      </w:r>
      <w:r>
        <w:rPr>
          <w:rFonts w:hint="eastAsia" w:ascii="宋体" w:hAnsi="宋体" w:cs="宋体"/>
          <w:color w:val="auto"/>
          <w:kern w:val="0"/>
          <w:szCs w:val="21"/>
          <w:highlight w:val="none"/>
          <w:lang w:val="en-US" w:eastAsia="zh-CN"/>
        </w:rPr>
        <w:t>要求：</w:t>
      </w:r>
    </w:p>
    <w:p w14:paraId="73D64E38">
      <w:pPr>
        <w:spacing w:line="360" w:lineRule="auto"/>
        <w:ind w:firstLine="420" w:firstLineChars="200"/>
        <w:rPr>
          <w:rFonts w:hint="eastAsia" w:eastAsia="宋体"/>
          <w:b w:val="0"/>
          <w:bCs w:val="0"/>
          <w:color w:val="auto"/>
          <w:highlight w:val="none"/>
          <w:lang w:eastAsia="zh-CN"/>
        </w:rPr>
      </w:pPr>
      <w:r>
        <w:rPr>
          <w:rFonts w:hint="eastAsia"/>
          <w:b w:val="0"/>
          <w:bCs w:val="0"/>
          <w:color w:val="auto"/>
          <w:highlight w:val="none"/>
        </w:rPr>
        <w:t>①</w:t>
      </w:r>
      <w:r>
        <w:rPr>
          <w:rFonts w:hint="eastAsia"/>
          <w:b w:val="0"/>
          <w:bCs w:val="0"/>
          <w:color w:val="auto"/>
          <w:highlight w:val="none"/>
          <w:lang w:val="en-US" w:eastAsia="zh-CN"/>
        </w:rPr>
        <w:t>每1年必须种植粮食作物一季以上，租赁期满，合同自行终止，交回土地，不予延期，若作物未收割造成的损失由乙方自行承担。</w:t>
      </w:r>
    </w:p>
    <w:p w14:paraId="31112D04">
      <w:pPr>
        <w:spacing w:line="360" w:lineRule="auto"/>
        <w:ind w:firstLine="420" w:firstLineChars="200"/>
        <w:rPr>
          <w:rFonts w:ascii="宋体" w:hAnsi="宋体" w:cs="宋体"/>
          <w:b w:val="0"/>
          <w:bCs w:val="0"/>
          <w:color w:val="auto"/>
          <w:highlight w:val="none"/>
        </w:rPr>
      </w:pPr>
      <w:r>
        <w:rPr>
          <w:rFonts w:hint="eastAsia" w:ascii="宋体" w:hAnsi="宋体" w:cs="宋体"/>
          <w:b w:val="0"/>
          <w:bCs w:val="0"/>
          <w:color w:val="auto"/>
          <w:highlight w:val="none"/>
        </w:rPr>
        <w:t>②不得随意破坏现有农业基础设施，负责租赁期间内相关农业基础设施维护、检修、保养。</w:t>
      </w:r>
    </w:p>
    <w:p w14:paraId="78F3F13C">
      <w:pPr>
        <w:spacing w:line="360" w:lineRule="auto"/>
        <w:ind w:left="0" w:leftChars="0" w:firstLine="420" w:firstLineChars="200"/>
        <w:rPr>
          <w:rFonts w:ascii="宋体" w:hAnsi="宋体" w:cs="宋体"/>
          <w:b w:val="0"/>
          <w:bCs w:val="0"/>
          <w:color w:val="auto"/>
          <w:highlight w:val="none"/>
        </w:rPr>
      </w:pPr>
      <w:r>
        <w:rPr>
          <w:rFonts w:hint="eastAsia" w:ascii="宋体" w:hAnsi="宋体" w:cs="宋体"/>
          <w:b w:val="0"/>
          <w:bCs w:val="0"/>
          <w:color w:val="auto"/>
          <w:highlight w:val="none"/>
        </w:rPr>
        <w:t>③中标人签订合同后至土地交付之日前，需无条件配合招标人做好验收相关工作，并达到相关部门要求。</w:t>
      </w:r>
    </w:p>
    <w:p w14:paraId="5CA13D59">
      <w:pPr>
        <w:spacing w:line="360" w:lineRule="auto"/>
        <w:ind w:firstLine="420" w:firstLineChars="200"/>
        <w:rPr>
          <w:rFonts w:ascii="宋体" w:hAnsi="宋体" w:cs="宋体"/>
          <w:b w:val="0"/>
          <w:bCs w:val="0"/>
          <w:color w:val="auto"/>
          <w:highlight w:val="none"/>
        </w:rPr>
      </w:pPr>
      <w:r>
        <w:rPr>
          <w:rFonts w:hint="eastAsia" w:ascii="宋体" w:hAnsi="宋体" w:cs="宋体"/>
          <w:b w:val="0"/>
          <w:bCs w:val="0"/>
          <w:color w:val="auto"/>
          <w:highlight w:val="none"/>
        </w:rPr>
        <w:t>④禁止任何形式的田间焚烧行为。</w:t>
      </w:r>
    </w:p>
    <w:p w14:paraId="18CDEC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color w:val="auto"/>
          <w:kern w:val="0"/>
          <w:szCs w:val="21"/>
          <w:highlight w:val="none"/>
        </w:rPr>
      </w:pPr>
      <w:r>
        <w:rPr>
          <w:rFonts w:hint="eastAsia" w:ascii="宋体" w:hAnsi="宋体" w:cs="宋体"/>
          <w:b w:val="0"/>
          <w:bCs w:val="0"/>
          <w:color w:val="auto"/>
          <w:highlight w:val="none"/>
        </w:rPr>
        <w:t>⑤禁止任何形式的非农业作物种植及其堆场、种植花木、取土等行为</w:t>
      </w:r>
      <w:r>
        <w:rPr>
          <w:rFonts w:hint="eastAsia" w:ascii="宋体" w:hAnsi="宋体" w:cs="宋体"/>
          <w:b w:val="0"/>
          <w:bCs w:val="0"/>
          <w:color w:val="auto"/>
          <w:kern w:val="0"/>
          <w:szCs w:val="21"/>
          <w:highlight w:val="none"/>
        </w:rPr>
        <w:t>。</w:t>
      </w:r>
    </w:p>
    <w:p w14:paraId="12D55B1B">
      <w:pPr>
        <w:pStyle w:val="23"/>
        <w:spacing w:line="360" w:lineRule="auto"/>
        <w:ind w:firstLine="420" w:firstLineChars="200"/>
        <w:rPr>
          <w:rFonts w:hint="default" w:ascii="宋体" w:hAnsi="宋体" w:cs="宋体"/>
          <w:b w:val="0"/>
          <w:bCs w:val="0"/>
          <w:color w:val="auto"/>
          <w:kern w:val="0"/>
          <w:szCs w:val="21"/>
          <w:highlight w:val="none"/>
          <w:lang w:val="en-US" w:eastAsia="zh-CN"/>
        </w:rPr>
      </w:pPr>
      <w:r>
        <w:rPr>
          <w:rFonts w:hint="eastAsia" w:ascii="宋体" w:hAnsi="宋体" w:eastAsia="宋体" w:cs="宋体"/>
          <w:b w:val="0"/>
          <w:bCs w:val="0"/>
          <w:color w:val="auto"/>
          <w:kern w:val="0"/>
          <w:sz w:val="21"/>
          <w:szCs w:val="21"/>
          <w:highlight w:val="none"/>
        </w:rPr>
        <w:fldChar w:fldCharType="begin"/>
      </w:r>
      <w:r>
        <w:rPr>
          <w:rFonts w:hint="eastAsia" w:ascii="宋体" w:hAnsi="宋体" w:eastAsia="宋体" w:cs="宋体"/>
          <w:b w:val="0"/>
          <w:bCs w:val="0"/>
          <w:color w:val="auto"/>
          <w:kern w:val="0"/>
          <w:sz w:val="21"/>
          <w:szCs w:val="21"/>
          <w:highlight w:val="none"/>
        </w:rPr>
        <w:instrText xml:space="preserve"> = 6 \* GB3 \* MERGEFORMAT </w:instrText>
      </w:r>
      <w:r>
        <w:rPr>
          <w:rFonts w:hint="eastAsia" w:ascii="宋体" w:hAnsi="宋体" w:eastAsia="宋体" w:cs="宋体"/>
          <w:b w:val="0"/>
          <w:bCs w:val="0"/>
          <w:color w:val="auto"/>
          <w:kern w:val="0"/>
          <w:sz w:val="21"/>
          <w:szCs w:val="21"/>
          <w:highlight w:val="none"/>
        </w:rPr>
        <w:fldChar w:fldCharType="separate"/>
      </w:r>
      <w:r>
        <w:rPr>
          <w:rFonts w:hint="eastAsia" w:ascii="宋体" w:hAnsi="宋体" w:eastAsia="宋体" w:cs="宋体"/>
          <w:b w:val="0"/>
          <w:bCs w:val="0"/>
          <w:color w:val="auto"/>
          <w:kern w:val="0"/>
          <w:sz w:val="21"/>
          <w:szCs w:val="21"/>
          <w:highlight w:val="none"/>
        </w:rPr>
        <w:t>⑥</w:t>
      </w:r>
      <w:r>
        <w:rPr>
          <w:rFonts w:hint="eastAsia" w:ascii="宋体" w:hAnsi="宋体" w:eastAsia="宋体" w:cs="宋体"/>
          <w:b w:val="0"/>
          <w:bCs w:val="0"/>
          <w:color w:val="auto"/>
          <w:kern w:val="0"/>
          <w:sz w:val="21"/>
          <w:szCs w:val="21"/>
          <w:highlight w:val="none"/>
        </w:rPr>
        <w:fldChar w:fldCharType="end"/>
      </w:r>
      <w:r>
        <w:rPr>
          <w:rFonts w:hint="eastAsia" w:ascii="宋体" w:hAnsi="宋体" w:eastAsia="宋体" w:cs="宋体"/>
          <w:b w:val="0"/>
          <w:bCs w:val="0"/>
          <w:color w:val="auto"/>
          <w:kern w:val="0"/>
          <w:sz w:val="21"/>
          <w:szCs w:val="21"/>
          <w:highlight w:val="none"/>
          <w:lang w:val="en-US" w:eastAsia="zh-CN"/>
        </w:rPr>
        <w:t>土地租赁范围内如需要土方填筑，由甲方统一安排，乙方不得私自运土方进场，否则按5000元每车的标准向甲方支付违约金。</w:t>
      </w:r>
    </w:p>
    <w:p w14:paraId="24A29E66">
      <w:pPr>
        <w:widowControl/>
        <w:numPr>
          <w:ilvl w:val="0"/>
          <w:numId w:val="2"/>
        </w:numPr>
        <w:spacing w:before="60" w:after="60" w:line="360" w:lineRule="auto"/>
        <w:ind w:right="60"/>
        <w:jc w:val="left"/>
        <w:rPr>
          <w:rFonts w:hint="eastAsia" w:ascii="宋体" w:hAnsi="宋体" w:cs="宋体"/>
          <w:color w:val="auto"/>
          <w:kern w:val="0"/>
          <w:szCs w:val="28"/>
          <w:highlight w:val="none"/>
        </w:rPr>
      </w:pPr>
      <w:r>
        <w:rPr>
          <w:rFonts w:hint="eastAsia" w:ascii="宋体" w:hAnsi="宋体" w:cs="宋体"/>
          <w:b/>
          <w:color w:val="auto"/>
          <w:kern w:val="0"/>
          <w:szCs w:val="28"/>
          <w:highlight w:val="none"/>
        </w:rPr>
        <w:t>投标人资格要求:</w:t>
      </w:r>
      <w:bookmarkEnd w:id="2"/>
      <w:r>
        <w:rPr>
          <w:rFonts w:hint="eastAsia" w:ascii="宋体" w:hAnsi="宋体" w:cs="宋体"/>
          <w:color w:val="auto"/>
          <w:kern w:val="0"/>
          <w:szCs w:val="28"/>
          <w:highlight w:val="none"/>
        </w:rPr>
        <w:t xml:space="preserve"> </w:t>
      </w:r>
    </w:p>
    <w:p w14:paraId="40A3FD54">
      <w:pPr>
        <w:spacing w:line="360" w:lineRule="auto"/>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）具备农作物种植能力的独立法人或</w:t>
      </w:r>
      <w:r>
        <w:rPr>
          <w:rFonts w:hint="eastAsia" w:ascii="宋体" w:hAnsi="宋体" w:cs="宋体"/>
          <w:color w:val="auto"/>
          <w:sz w:val="21"/>
          <w:szCs w:val="21"/>
          <w:highlight w:val="none"/>
          <w:lang w:val="en-US" w:eastAsia="zh-CN"/>
        </w:rPr>
        <w:t>非法人组织</w:t>
      </w:r>
      <w:r>
        <w:rPr>
          <w:rFonts w:hint="eastAsia" w:ascii="宋体" w:hAnsi="宋体" w:eastAsia="宋体" w:cs="宋体"/>
          <w:color w:val="auto"/>
          <w:sz w:val="21"/>
          <w:szCs w:val="21"/>
          <w:highlight w:val="none"/>
        </w:rPr>
        <w:t>（须具备营业执照）。</w:t>
      </w:r>
    </w:p>
    <w:p w14:paraId="0A25E7A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）本项目不接受联合体投标。</w:t>
      </w:r>
    </w:p>
    <w:p w14:paraId="6197D9F3">
      <w:pPr>
        <w:widowControl/>
        <w:spacing w:before="60" w:after="60" w:line="360" w:lineRule="auto"/>
        <w:ind w:right="60"/>
        <w:jc w:val="left"/>
        <w:rPr>
          <w:rFonts w:hint="default" w:ascii="宋体" w:hAnsi="宋体" w:eastAsia="宋体" w:cs="宋体"/>
          <w:b/>
          <w:color w:val="auto"/>
          <w:kern w:val="0"/>
          <w:szCs w:val="28"/>
          <w:highlight w:val="none"/>
          <w:lang w:eastAsia="zh-CN"/>
        </w:rPr>
      </w:pPr>
      <w:r>
        <w:rPr>
          <w:rFonts w:hint="eastAsia" w:ascii="宋体" w:hAnsi="宋体" w:cs="宋体"/>
          <w:b/>
          <w:color w:val="auto"/>
          <w:kern w:val="0"/>
          <w:szCs w:val="28"/>
          <w:highlight w:val="none"/>
          <w:lang w:val="en-US" w:eastAsia="zh-CN"/>
        </w:rPr>
        <w:t>四</w:t>
      </w:r>
      <w:r>
        <w:rPr>
          <w:rFonts w:hint="default" w:ascii="宋体" w:hAnsi="宋体" w:eastAsia="宋体" w:cs="宋体"/>
          <w:b/>
          <w:color w:val="auto"/>
          <w:kern w:val="0"/>
          <w:szCs w:val="28"/>
          <w:highlight w:val="none"/>
          <w:lang w:eastAsia="zh-CN"/>
        </w:rPr>
        <w:t>、投标保证金：</w:t>
      </w:r>
    </w:p>
    <w:p w14:paraId="7B40659B">
      <w:pPr>
        <w:widowControl/>
        <w:spacing w:before="0" w:after="0" w:line="360" w:lineRule="auto"/>
        <w:ind w:right="-103" w:rightChars="-49" w:firstLine="420" w:firstLineChars="200"/>
        <w:jc w:val="left"/>
        <w:rPr>
          <w:rFonts w:hint="eastAsia" w:ascii="宋体" w:hAnsi="宋体" w:eastAsia="宋体" w:cs="宋体"/>
          <w:b w:val="0"/>
          <w:color w:val="auto"/>
          <w:kern w:val="0"/>
          <w:szCs w:val="21"/>
          <w:highlight w:val="none"/>
          <w:lang w:eastAsia="zh-CN"/>
        </w:rPr>
      </w:pPr>
      <w:r>
        <w:rPr>
          <w:rFonts w:hint="eastAsia" w:ascii="宋体" w:hAnsi="宋体" w:eastAsia="宋体" w:cs="宋体"/>
          <w:b w:val="0"/>
          <w:color w:val="auto"/>
          <w:kern w:val="0"/>
          <w:szCs w:val="21"/>
          <w:highlight w:val="none"/>
          <w:lang w:eastAsia="zh-CN"/>
        </w:rPr>
        <w:t>1.投标保证金金额：</w:t>
      </w:r>
      <w:r>
        <w:rPr>
          <w:rFonts w:hint="eastAsia" w:ascii="宋体" w:hAnsi="宋体" w:cs="宋体"/>
          <w:b w:val="0"/>
          <w:color w:val="auto"/>
          <w:kern w:val="0"/>
          <w:szCs w:val="21"/>
          <w:highlight w:val="none"/>
          <w:lang w:val="en-US" w:eastAsia="zh-CN"/>
        </w:rPr>
        <w:t xml:space="preserve"> 12000 </w:t>
      </w:r>
      <w:r>
        <w:rPr>
          <w:rFonts w:hint="eastAsia" w:ascii="宋体" w:hAnsi="宋体" w:eastAsia="宋体" w:cs="宋体"/>
          <w:b w:val="0"/>
          <w:color w:val="auto"/>
          <w:kern w:val="0"/>
          <w:szCs w:val="21"/>
          <w:highlight w:val="none"/>
          <w:lang w:eastAsia="zh-CN"/>
        </w:rPr>
        <w:t>元。</w:t>
      </w:r>
    </w:p>
    <w:p w14:paraId="2C48BD5D">
      <w:pPr>
        <w:widowControl/>
        <w:spacing w:before="0" w:after="0" w:line="360" w:lineRule="auto"/>
        <w:ind w:right="-103" w:rightChars="-49" w:firstLine="420" w:firstLineChars="200"/>
        <w:jc w:val="left"/>
        <w:rPr>
          <w:rFonts w:hint="eastAsia" w:ascii="宋体" w:hAnsi="宋体" w:eastAsia="宋体" w:cs="宋体"/>
          <w:b w:val="0"/>
          <w:color w:val="auto"/>
          <w:kern w:val="0"/>
          <w:szCs w:val="21"/>
          <w:highlight w:val="none"/>
          <w:lang w:eastAsia="zh-CN"/>
        </w:rPr>
      </w:pPr>
      <w:r>
        <w:rPr>
          <w:rFonts w:hint="eastAsia" w:ascii="宋体" w:hAnsi="宋体" w:eastAsia="宋体" w:cs="宋体"/>
          <w:b w:val="0"/>
          <w:color w:val="auto"/>
          <w:kern w:val="0"/>
          <w:szCs w:val="21"/>
          <w:highlight w:val="none"/>
          <w:lang w:eastAsia="zh-CN"/>
        </w:rPr>
        <w:t>2.投标保证金缴纳方式：现金转账、银行保函、保险机构保证保险保单、融资担保公司保函。</w:t>
      </w:r>
    </w:p>
    <w:p w14:paraId="2769A207">
      <w:pPr>
        <w:widowControl/>
        <w:spacing w:before="60" w:after="60" w:line="360" w:lineRule="auto"/>
        <w:ind w:right="60"/>
        <w:jc w:val="left"/>
        <w:rPr>
          <w:rFonts w:hint="eastAsia" w:ascii="宋体" w:hAnsi="宋体" w:eastAsia="宋体" w:cs="宋体"/>
          <w:b/>
          <w:color w:val="auto"/>
          <w:kern w:val="0"/>
          <w:szCs w:val="28"/>
          <w:highlight w:val="none"/>
          <w:lang w:eastAsia="zh-CN"/>
        </w:rPr>
      </w:pPr>
      <w:r>
        <w:rPr>
          <w:rFonts w:hint="eastAsia" w:ascii="宋体" w:hAnsi="宋体" w:cs="宋体"/>
          <w:b/>
          <w:color w:val="auto"/>
          <w:kern w:val="0"/>
          <w:szCs w:val="28"/>
          <w:highlight w:val="none"/>
          <w:lang w:val="en-US" w:eastAsia="zh-CN"/>
        </w:rPr>
        <w:t>五</w:t>
      </w:r>
      <w:r>
        <w:rPr>
          <w:rFonts w:hint="eastAsia" w:ascii="宋体" w:hAnsi="宋体" w:cs="宋体"/>
          <w:b/>
          <w:color w:val="auto"/>
          <w:kern w:val="0"/>
          <w:szCs w:val="28"/>
          <w:highlight w:val="none"/>
        </w:rPr>
        <w:t>、开标</w:t>
      </w:r>
      <w:r>
        <w:rPr>
          <w:rFonts w:hint="eastAsia" w:ascii="宋体" w:hAnsi="宋体" w:cs="宋体"/>
          <w:b/>
          <w:color w:val="auto"/>
          <w:kern w:val="0"/>
          <w:szCs w:val="28"/>
          <w:highlight w:val="none"/>
          <w:lang w:val="en-US" w:eastAsia="zh-CN"/>
        </w:rPr>
        <w:t>/评标</w:t>
      </w:r>
      <w:r>
        <w:rPr>
          <w:rFonts w:hint="eastAsia" w:ascii="宋体" w:hAnsi="宋体" w:cs="宋体"/>
          <w:b/>
          <w:color w:val="auto"/>
          <w:kern w:val="0"/>
          <w:szCs w:val="28"/>
          <w:highlight w:val="none"/>
        </w:rPr>
        <w:t>时间及地点</w:t>
      </w:r>
      <w:r>
        <w:rPr>
          <w:rFonts w:hint="eastAsia" w:ascii="宋体" w:hAnsi="宋体" w:cs="宋体"/>
          <w:b/>
          <w:color w:val="auto"/>
          <w:kern w:val="0"/>
          <w:szCs w:val="28"/>
          <w:highlight w:val="none"/>
          <w:lang w:eastAsia="zh-CN"/>
        </w:rPr>
        <w:t>：</w:t>
      </w:r>
    </w:p>
    <w:p w14:paraId="0DBB9344">
      <w:pPr>
        <w:widowControl/>
        <w:spacing w:line="360" w:lineRule="auto"/>
        <w:ind w:right="-103" w:rightChars="-49"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投标文件递交</w:t>
      </w:r>
      <w:r>
        <w:rPr>
          <w:rFonts w:hint="eastAsia" w:ascii="宋体" w:hAnsi="宋体" w:cs="宋体"/>
          <w:color w:val="auto"/>
          <w:kern w:val="0"/>
          <w:szCs w:val="21"/>
          <w:highlight w:val="none"/>
          <w:lang w:val="en-US" w:eastAsia="zh-CN"/>
        </w:rPr>
        <w:t>截止</w:t>
      </w:r>
      <w:r>
        <w:rPr>
          <w:rFonts w:hint="eastAsia" w:ascii="宋体" w:hAnsi="宋体" w:cs="宋体"/>
          <w:color w:val="auto"/>
          <w:kern w:val="0"/>
          <w:szCs w:val="21"/>
          <w:highlight w:val="none"/>
        </w:rPr>
        <w:t>及开</w:t>
      </w:r>
      <w:r>
        <w:rPr>
          <w:rFonts w:hint="eastAsia" w:ascii="宋体" w:hAnsi="宋体" w:cs="宋体"/>
          <w:color w:val="auto"/>
          <w:kern w:val="0"/>
          <w:szCs w:val="21"/>
          <w:highlight w:val="none"/>
          <w:lang w:val="en-US" w:eastAsia="zh-CN"/>
        </w:rPr>
        <w:t>评</w:t>
      </w:r>
      <w:r>
        <w:rPr>
          <w:rFonts w:hint="eastAsia" w:ascii="宋体" w:hAnsi="宋体" w:cs="宋体"/>
          <w:color w:val="auto"/>
          <w:kern w:val="0"/>
          <w:szCs w:val="21"/>
          <w:highlight w:val="none"/>
        </w:rPr>
        <w:t>标时间：</w:t>
      </w:r>
      <w:r>
        <w:rPr>
          <w:rFonts w:hint="eastAsia" w:ascii="宋体" w:hAnsi="宋体" w:cs="宋体"/>
          <w:color w:val="auto"/>
          <w:kern w:val="0"/>
          <w:szCs w:val="28"/>
          <w:highlight w:val="none"/>
        </w:rPr>
        <w:t>202</w:t>
      </w:r>
      <w:r>
        <w:rPr>
          <w:rFonts w:hint="eastAsia" w:ascii="宋体" w:hAnsi="宋体" w:cs="宋体"/>
          <w:color w:val="auto"/>
          <w:kern w:val="0"/>
          <w:szCs w:val="28"/>
          <w:highlight w:val="none"/>
          <w:lang w:val="en-US" w:eastAsia="zh-CN"/>
        </w:rPr>
        <w:t>4</w:t>
      </w:r>
      <w:r>
        <w:rPr>
          <w:rFonts w:hint="eastAsia" w:ascii="宋体" w:hAnsi="宋体" w:cs="宋体"/>
          <w:color w:val="auto"/>
          <w:kern w:val="0"/>
          <w:szCs w:val="28"/>
          <w:highlight w:val="none"/>
        </w:rPr>
        <w:t>年</w:t>
      </w:r>
      <w:r>
        <w:rPr>
          <w:rFonts w:hint="eastAsia" w:ascii="宋体" w:hAnsi="宋体" w:cs="宋体"/>
          <w:color w:val="auto"/>
          <w:kern w:val="0"/>
          <w:szCs w:val="28"/>
          <w:highlight w:val="none"/>
          <w:lang w:val="en-US" w:eastAsia="zh-CN"/>
        </w:rPr>
        <w:t>11</w:t>
      </w:r>
      <w:r>
        <w:rPr>
          <w:rFonts w:hint="eastAsia" w:ascii="宋体" w:hAnsi="宋体" w:cs="宋体"/>
          <w:color w:val="auto"/>
          <w:kern w:val="0"/>
          <w:szCs w:val="28"/>
          <w:highlight w:val="none"/>
        </w:rPr>
        <w:t>月</w:t>
      </w:r>
      <w:r>
        <w:rPr>
          <w:rFonts w:hint="eastAsia" w:ascii="宋体" w:hAnsi="宋体" w:cs="宋体"/>
          <w:color w:val="auto"/>
          <w:kern w:val="0"/>
          <w:szCs w:val="28"/>
          <w:highlight w:val="none"/>
          <w:lang w:val="en-US" w:eastAsia="zh-CN"/>
        </w:rPr>
        <w:t>01</w:t>
      </w:r>
      <w:r>
        <w:rPr>
          <w:rFonts w:hint="eastAsia" w:ascii="宋体" w:hAnsi="宋体" w:cs="宋体"/>
          <w:color w:val="auto"/>
          <w:kern w:val="0"/>
          <w:szCs w:val="28"/>
          <w:highlight w:val="none"/>
        </w:rPr>
        <w:t>日</w:t>
      </w:r>
      <w:r>
        <w:rPr>
          <w:rFonts w:hint="eastAsia" w:ascii="宋体" w:hAnsi="宋体" w:cs="宋体"/>
          <w:color w:val="auto"/>
          <w:kern w:val="0"/>
          <w:szCs w:val="28"/>
          <w:highlight w:val="none"/>
          <w:lang w:val="en-US" w:eastAsia="zh-CN"/>
        </w:rPr>
        <w:t>上午</w:t>
      </w:r>
      <w:r>
        <w:rPr>
          <w:rFonts w:hint="eastAsia" w:ascii="宋体" w:hAnsi="宋体" w:cs="宋体"/>
          <w:color w:val="auto"/>
          <w:kern w:val="0"/>
          <w:szCs w:val="21"/>
          <w:highlight w:val="none"/>
          <w:lang w:val="en-US" w:eastAsia="zh-CN"/>
        </w:rPr>
        <w:t>09:30</w:t>
      </w:r>
      <w:r>
        <w:rPr>
          <w:rFonts w:hint="eastAsia" w:ascii="宋体" w:hAnsi="宋体" w:cs="宋体"/>
          <w:color w:val="auto"/>
          <w:kern w:val="0"/>
          <w:szCs w:val="21"/>
          <w:highlight w:val="none"/>
        </w:rPr>
        <w:t xml:space="preserve">   </w:t>
      </w:r>
    </w:p>
    <w:p w14:paraId="5E7EABFA">
      <w:pPr>
        <w:widowControl/>
        <w:spacing w:line="360" w:lineRule="auto"/>
        <w:ind w:right="-103" w:rightChars="-49" w:firstLine="420" w:firstLineChars="20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地点：台州市椒江区开发大道东段818号台州湾新区海虹街道</w:t>
      </w:r>
      <w:r>
        <w:rPr>
          <w:rFonts w:hint="eastAsia" w:ascii="宋体" w:hAnsi="宋体" w:cs="宋体"/>
          <w:color w:val="auto"/>
          <w:kern w:val="0"/>
          <w:szCs w:val="21"/>
          <w:highlight w:val="none"/>
          <w:lang w:val="en-US" w:eastAsia="zh-CN"/>
        </w:rPr>
        <w:t>办事处六</w:t>
      </w:r>
      <w:r>
        <w:rPr>
          <w:rFonts w:hint="eastAsia" w:ascii="宋体" w:hAnsi="宋体" w:cs="宋体"/>
          <w:color w:val="auto"/>
          <w:kern w:val="0"/>
          <w:szCs w:val="21"/>
          <w:highlight w:val="none"/>
        </w:rPr>
        <w:t>楼大厅</w:t>
      </w:r>
    </w:p>
    <w:p w14:paraId="3AD01490">
      <w:pPr>
        <w:widowControl/>
        <w:tabs>
          <w:tab w:val="left" w:pos="360"/>
        </w:tabs>
        <w:snapToGrid/>
        <w:spacing w:line="360" w:lineRule="auto"/>
        <w:ind w:left="360" w:hanging="360"/>
        <w:jc w:val="left"/>
        <w:rPr>
          <w:rFonts w:hint="eastAsia" w:ascii="宋体" w:hAnsi="宋体" w:eastAsia="宋体" w:cs="宋体"/>
          <w:b/>
          <w:bCs w:val="0"/>
          <w:color w:val="auto"/>
          <w:kern w:val="0"/>
          <w:sz w:val="21"/>
          <w:szCs w:val="28"/>
          <w:highlight w:val="none"/>
        </w:rPr>
      </w:pPr>
      <w:r>
        <w:rPr>
          <w:rFonts w:hint="eastAsia" w:ascii="宋体" w:hAnsi="宋体" w:cs="宋体"/>
          <w:b/>
          <w:color w:val="auto"/>
          <w:kern w:val="0"/>
          <w:sz w:val="21"/>
          <w:szCs w:val="28"/>
          <w:highlight w:val="none"/>
          <w:lang w:val="en-US" w:eastAsia="zh-CN"/>
        </w:rPr>
        <w:t>六</w:t>
      </w:r>
      <w:r>
        <w:rPr>
          <w:rFonts w:hint="eastAsia" w:ascii="宋体" w:hAnsi="宋体" w:eastAsia="宋体" w:cs="宋体"/>
          <w:b/>
          <w:color w:val="auto"/>
          <w:kern w:val="0"/>
          <w:sz w:val="21"/>
          <w:szCs w:val="28"/>
          <w:highlight w:val="none"/>
        </w:rPr>
        <w:t>、</w:t>
      </w:r>
      <w:r>
        <w:rPr>
          <w:rFonts w:hint="eastAsia" w:ascii="宋体" w:hAnsi="宋体" w:eastAsia="宋体" w:cs="宋体"/>
          <w:b/>
          <w:bCs w:val="0"/>
          <w:color w:val="auto"/>
          <w:kern w:val="0"/>
          <w:sz w:val="21"/>
          <w:szCs w:val="28"/>
          <w:highlight w:val="none"/>
        </w:rPr>
        <w:t>公告、公示媒体：</w:t>
      </w:r>
    </w:p>
    <w:p w14:paraId="290B5BB4">
      <w:pPr>
        <w:widowControl/>
        <w:snapToGrid/>
        <w:spacing w:before="60" w:after="60" w:line="360" w:lineRule="auto"/>
        <w:ind w:left="61" w:leftChars="29" w:right="60"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rPr>
        <w:t>公告网址：台州湾新区小额工程电子交易平台”（http://www.tzwztb.com）</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浙江政府采购网（https://zfcg.czt.zj.gov.cn）。</w:t>
      </w:r>
    </w:p>
    <w:p w14:paraId="6727F6C8">
      <w:pPr>
        <w:widowControl/>
        <w:tabs>
          <w:tab w:val="left" w:pos="360"/>
        </w:tabs>
        <w:spacing w:line="360" w:lineRule="auto"/>
        <w:ind w:left="360" w:hanging="360"/>
        <w:jc w:val="left"/>
        <w:rPr>
          <w:rFonts w:hint="eastAsia" w:ascii="宋体" w:hAnsi="宋体" w:cs="宋体"/>
          <w:color w:val="auto"/>
          <w:kern w:val="0"/>
          <w:szCs w:val="28"/>
          <w:highlight w:val="none"/>
        </w:rPr>
      </w:pPr>
      <w:r>
        <w:rPr>
          <w:rFonts w:hint="eastAsia" w:ascii="宋体" w:hAnsi="宋体" w:cs="宋体"/>
          <w:b/>
          <w:color w:val="auto"/>
          <w:kern w:val="0"/>
          <w:szCs w:val="28"/>
          <w:highlight w:val="none"/>
          <w:lang w:val="en-US" w:eastAsia="zh-CN"/>
        </w:rPr>
        <w:t>七</w:t>
      </w:r>
      <w:r>
        <w:rPr>
          <w:rFonts w:hint="eastAsia" w:ascii="宋体" w:hAnsi="宋体" w:cs="宋体"/>
          <w:b/>
          <w:color w:val="auto"/>
          <w:kern w:val="0"/>
          <w:szCs w:val="28"/>
          <w:highlight w:val="none"/>
        </w:rPr>
        <w:t>、联系方式：</w:t>
      </w:r>
    </w:p>
    <w:p w14:paraId="3468F6DE">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8"/>
          <w:highlight w:val="none"/>
        </w:rPr>
      </w:pPr>
      <w:r>
        <w:rPr>
          <w:rFonts w:hint="eastAsia" w:ascii="宋体" w:hAnsi="宋体" w:cs="宋体"/>
          <w:color w:val="auto"/>
          <w:szCs w:val="28"/>
          <w:highlight w:val="none"/>
          <w:lang w:eastAsia="zh-CN"/>
        </w:rPr>
        <w:t>台州东茂观光农业开发有限公司</w:t>
      </w:r>
      <w:r>
        <w:rPr>
          <w:rFonts w:hint="eastAsia" w:ascii="宋体" w:hAnsi="宋体" w:cs="宋体"/>
          <w:color w:val="auto"/>
          <w:kern w:val="0"/>
          <w:szCs w:val="28"/>
          <w:highlight w:val="none"/>
        </w:rPr>
        <w:t>：颜文琪</w:t>
      </w:r>
      <w:r>
        <w:rPr>
          <w:rFonts w:hint="eastAsia" w:ascii="宋体" w:hAnsi="宋体" w:cs="宋体"/>
          <w:color w:val="auto"/>
          <w:kern w:val="0"/>
          <w:szCs w:val="28"/>
          <w:highlight w:val="none"/>
          <w:lang w:val="en-US" w:eastAsia="zh-CN"/>
        </w:rPr>
        <w:t xml:space="preserve">；           </w:t>
      </w:r>
      <w:r>
        <w:rPr>
          <w:rFonts w:hint="eastAsia" w:ascii="宋体" w:hAnsi="宋体" w:cs="宋体"/>
          <w:color w:val="auto"/>
          <w:kern w:val="0"/>
          <w:szCs w:val="28"/>
          <w:highlight w:val="none"/>
        </w:rPr>
        <w:t>联系电话：18069330767；</w:t>
      </w:r>
    </w:p>
    <w:p w14:paraId="7692177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8"/>
          <w:highlight w:val="none"/>
        </w:rPr>
      </w:pPr>
      <w:r>
        <w:rPr>
          <w:rFonts w:hint="eastAsia" w:ascii="宋体" w:hAnsi="宋体" w:cs="宋体"/>
          <w:color w:val="auto"/>
          <w:kern w:val="0"/>
          <w:szCs w:val="28"/>
          <w:highlight w:val="none"/>
        </w:rPr>
        <w:t>台州市建设咨询有限公司联系人：</w:t>
      </w:r>
      <w:r>
        <w:rPr>
          <w:rFonts w:hint="eastAsia" w:ascii="宋体" w:hAnsi="宋体" w:cs="宋体"/>
          <w:color w:val="auto"/>
          <w:kern w:val="0"/>
          <w:szCs w:val="28"/>
          <w:highlight w:val="none"/>
          <w:lang w:val="en-US" w:eastAsia="zh-CN"/>
        </w:rPr>
        <w:t>章家炀、葛俊</w:t>
      </w:r>
      <w:r>
        <w:rPr>
          <w:rFonts w:hint="eastAsia" w:ascii="宋体" w:hAnsi="宋体" w:cs="宋体"/>
          <w:color w:val="auto"/>
          <w:kern w:val="0"/>
          <w:szCs w:val="28"/>
          <w:highlight w:val="none"/>
        </w:rPr>
        <w:t>；</w:t>
      </w:r>
      <w:r>
        <w:rPr>
          <w:rFonts w:hint="eastAsia" w:ascii="宋体" w:hAnsi="宋体" w:cs="宋体"/>
          <w:color w:val="auto"/>
          <w:kern w:val="0"/>
          <w:szCs w:val="28"/>
          <w:highlight w:val="none"/>
          <w:lang w:val="en-US" w:eastAsia="zh-CN"/>
        </w:rPr>
        <w:t xml:space="preserve"> </w:t>
      </w:r>
      <w:r>
        <w:rPr>
          <w:rFonts w:hint="eastAsia" w:ascii="宋体" w:hAnsi="宋体" w:cs="宋体"/>
          <w:color w:val="auto"/>
          <w:kern w:val="0"/>
          <w:szCs w:val="28"/>
          <w:highlight w:val="none"/>
        </w:rPr>
        <w:t>联系电话：0576-88517782；</w:t>
      </w:r>
    </w:p>
    <w:p w14:paraId="35BD26E9">
      <w:pPr>
        <w:pStyle w:val="2"/>
        <w:spacing w:line="360" w:lineRule="auto"/>
        <w:rPr>
          <w:rFonts w:hint="eastAsia" w:ascii="宋体" w:hAnsi="宋体" w:eastAsia="宋体" w:cs="宋体"/>
          <w:color w:val="auto"/>
          <w:kern w:val="2"/>
          <w:sz w:val="21"/>
          <w:szCs w:val="28"/>
          <w:highlight w:val="none"/>
          <w:lang w:val="en-US" w:eastAsia="zh-CN" w:bidi="ar-SA"/>
        </w:rPr>
      </w:pPr>
      <w:r>
        <w:rPr>
          <w:rFonts w:hint="eastAsia" w:ascii="宋体" w:hAnsi="宋体" w:eastAsia="宋体" w:cs="宋体"/>
          <w:color w:val="auto"/>
          <w:kern w:val="2"/>
          <w:sz w:val="21"/>
          <w:szCs w:val="28"/>
          <w:highlight w:val="none"/>
          <w:lang w:val="en-US" w:eastAsia="zh-CN" w:bidi="ar-SA"/>
        </w:rPr>
        <w:t>台州湾新区行政审批与投资服务局联系人：徐先生； 联系电话：0576-88538849。</w:t>
      </w:r>
    </w:p>
    <w:p w14:paraId="49077CE6">
      <w:pPr>
        <w:pStyle w:val="2"/>
        <w:spacing w:line="360" w:lineRule="auto"/>
        <w:rPr>
          <w:rFonts w:hint="eastAsia"/>
          <w:color w:val="auto"/>
          <w:highlight w:val="none"/>
        </w:rPr>
      </w:pPr>
    </w:p>
    <w:p w14:paraId="56AFF0A5">
      <w:pPr>
        <w:widowControl/>
        <w:spacing w:line="360" w:lineRule="auto"/>
        <w:ind w:left="720"/>
        <w:jc w:val="right"/>
        <w:rPr>
          <w:rFonts w:hint="eastAsia" w:ascii="宋体" w:hAnsi="宋体" w:cs="宋体"/>
          <w:color w:val="auto"/>
          <w:kern w:val="0"/>
          <w:szCs w:val="28"/>
          <w:highlight w:val="none"/>
        </w:rPr>
      </w:pPr>
      <w:r>
        <w:rPr>
          <w:rFonts w:hint="eastAsia" w:ascii="宋体" w:hAnsi="宋体" w:cs="宋体"/>
          <w:color w:val="auto"/>
          <w:kern w:val="0"/>
          <w:szCs w:val="28"/>
          <w:highlight w:val="none"/>
        </w:rPr>
        <w:t xml:space="preserve">                                </w:t>
      </w:r>
    </w:p>
    <w:p w14:paraId="0AE54BA9">
      <w:pPr>
        <w:widowControl/>
        <w:spacing w:line="360" w:lineRule="auto"/>
        <w:ind w:firstLine="3150" w:firstLineChars="1500"/>
        <w:jc w:val="right"/>
        <w:rPr>
          <w:rFonts w:hint="eastAsia" w:ascii="宋体" w:hAnsi="宋体" w:cs="宋体"/>
          <w:color w:val="auto"/>
          <w:kern w:val="0"/>
          <w:szCs w:val="28"/>
          <w:highlight w:val="none"/>
        </w:rPr>
      </w:pPr>
    </w:p>
    <w:p w14:paraId="229C25F0">
      <w:pPr>
        <w:widowControl/>
        <w:spacing w:line="360" w:lineRule="auto"/>
        <w:ind w:firstLine="3150" w:firstLineChars="1500"/>
        <w:jc w:val="right"/>
        <w:rPr>
          <w:rFonts w:hint="eastAsia" w:ascii="宋体" w:hAnsi="宋体" w:cs="宋体"/>
          <w:color w:val="auto"/>
          <w:szCs w:val="28"/>
          <w:highlight w:val="none"/>
        </w:rPr>
      </w:pPr>
      <w:r>
        <w:rPr>
          <w:rFonts w:hint="eastAsia" w:ascii="宋体" w:hAnsi="宋体" w:cs="宋体"/>
          <w:color w:val="auto"/>
          <w:kern w:val="0"/>
          <w:szCs w:val="28"/>
          <w:highlight w:val="none"/>
        </w:rPr>
        <w:t>台州市建设咨询有限公司</w:t>
      </w:r>
      <w:r>
        <w:rPr>
          <w:rFonts w:hint="eastAsia" w:ascii="宋体" w:hAnsi="宋体" w:cs="宋体"/>
          <w:color w:val="auto"/>
          <w:szCs w:val="28"/>
          <w:highlight w:val="none"/>
        </w:rPr>
        <w:t xml:space="preserve">                                  </w:t>
      </w:r>
    </w:p>
    <w:p w14:paraId="42330AE8">
      <w:pPr>
        <w:widowControl/>
        <w:spacing w:before="60" w:after="60" w:line="360" w:lineRule="auto"/>
        <w:ind w:right="60" w:firstLine="210" w:firstLineChars="100"/>
        <w:jc w:val="center"/>
        <w:rPr>
          <w:rFonts w:hint="eastAsia" w:ascii="宋体" w:hAnsi="宋体" w:cs="宋体"/>
          <w:b/>
          <w:color w:val="auto"/>
          <w:szCs w:val="28"/>
          <w:highlight w:val="none"/>
        </w:rPr>
      </w:pPr>
      <w:r>
        <w:rPr>
          <w:rFonts w:hint="eastAsia" w:ascii="宋体" w:hAnsi="宋体" w:cs="宋体"/>
          <w:color w:val="auto"/>
          <w:szCs w:val="28"/>
          <w:highlight w:val="none"/>
          <w:lang w:val="en-US" w:eastAsia="zh-CN"/>
        </w:rPr>
        <w:t xml:space="preserve">                                                        </w:t>
      </w:r>
      <w:r>
        <w:rPr>
          <w:rFonts w:hint="eastAsia" w:ascii="宋体" w:hAnsi="宋体" w:cs="宋体"/>
          <w:color w:val="auto"/>
          <w:kern w:val="0"/>
          <w:szCs w:val="28"/>
          <w:highlight w:val="none"/>
        </w:rPr>
        <w:t>二〇二</w:t>
      </w:r>
      <w:r>
        <w:rPr>
          <w:rFonts w:hint="eastAsia" w:ascii="宋体" w:hAnsi="宋体" w:cs="宋体"/>
          <w:color w:val="auto"/>
          <w:kern w:val="0"/>
          <w:szCs w:val="28"/>
          <w:highlight w:val="none"/>
          <w:lang w:val="en-US" w:eastAsia="zh-CN"/>
        </w:rPr>
        <w:t>四</w:t>
      </w:r>
      <w:r>
        <w:rPr>
          <w:rFonts w:hint="eastAsia" w:ascii="宋体" w:hAnsi="宋体" w:cs="宋体"/>
          <w:color w:val="auto"/>
          <w:kern w:val="0"/>
          <w:szCs w:val="28"/>
          <w:highlight w:val="none"/>
        </w:rPr>
        <w:t>年</w:t>
      </w:r>
      <w:r>
        <w:rPr>
          <w:rFonts w:hint="eastAsia" w:ascii="宋体" w:hAnsi="宋体" w:cs="宋体"/>
          <w:color w:val="auto"/>
          <w:kern w:val="0"/>
          <w:szCs w:val="28"/>
          <w:highlight w:val="none"/>
          <w:lang w:val="en-US" w:eastAsia="zh-CN"/>
        </w:rPr>
        <w:t>十</w:t>
      </w:r>
      <w:r>
        <w:rPr>
          <w:rFonts w:hint="eastAsia" w:ascii="宋体" w:hAnsi="宋体" w:cs="宋体"/>
          <w:color w:val="auto"/>
          <w:kern w:val="0"/>
          <w:szCs w:val="28"/>
          <w:highlight w:val="none"/>
        </w:rPr>
        <w:t>月</w:t>
      </w:r>
    </w:p>
    <w:p w14:paraId="33406326">
      <w:pPr>
        <w:pStyle w:val="3"/>
        <w:tabs>
          <w:tab w:val="left" w:pos="360"/>
        </w:tabs>
        <w:jc w:val="both"/>
        <w:rPr>
          <w:rFonts w:hint="eastAsia"/>
          <w:color w:val="auto"/>
          <w:highlight w:val="none"/>
        </w:rPr>
      </w:pPr>
    </w:p>
    <w:p w14:paraId="05821E68">
      <w:pPr>
        <w:pStyle w:val="3"/>
        <w:tabs>
          <w:tab w:val="left" w:pos="360"/>
        </w:tabs>
        <w:rPr>
          <w:rFonts w:hint="eastAsia"/>
          <w:color w:val="auto"/>
          <w:highlight w:val="none"/>
        </w:rPr>
      </w:pPr>
      <w:r>
        <w:rPr>
          <w:rFonts w:hint="eastAsia"/>
          <w:color w:val="auto"/>
          <w:highlight w:val="none"/>
        </w:rPr>
        <w:br w:type="page"/>
      </w:r>
      <w:r>
        <w:rPr>
          <w:rFonts w:hint="eastAsia"/>
          <w:color w:val="auto"/>
          <w:highlight w:val="none"/>
        </w:rPr>
        <w:t>第</w:t>
      </w:r>
      <w:r>
        <w:rPr>
          <w:rFonts w:hint="eastAsia"/>
          <w:color w:val="auto"/>
          <w:highlight w:val="none"/>
          <w:lang w:val="en-US" w:eastAsia="zh-CN"/>
        </w:rPr>
        <w:t>二</w:t>
      </w:r>
      <w:r>
        <w:rPr>
          <w:rFonts w:hint="eastAsia"/>
          <w:color w:val="auto"/>
          <w:highlight w:val="none"/>
        </w:rPr>
        <w:t>章  招标需求</w:t>
      </w:r>
    </w:p>
    <w:p w14:paraId="7E8E23D3">
      <w:pPr>
        <w:rPr>
          <w:rFonts w:hint="eastAsia" w:ascii="宋体" w:hAnsi="宋体" w:cs="宋体"/>
          <w:color w:val="auto"/>
          <w:kern w:val="0"/>
          <w:sz w:val="24"/>
          <w:highlight w:val="none"/>
        </w:rPr>
      </w:pPr>
    </w:p>
    <w:p w14:paraId="5FE857B7">
      <w:pPr>
        <w:rPr>
          <w:rFonts w:hint="eastAsia" w:ascii="宋体" w:hAnsi="宋体" w:eastAsia="宋体" w:cs="宋体"/>
          <w:color w:val="auto"/>
          <w:kern w:val="0"/>
          <w:sz w:val="24"/>
          <w:highlight w:val="none"/>
          <w:lang w:eastAsia="zh-CN"/>
        </w:rPr>
      </w:pPr>
      <w:r>
        <w:rPr>
          <w:rFonts w:hint="eastAsia" w:ascii="宋体" w:hAnsi="宋体" w:cs="宋体"/>
          <w:b/>
          <w:bCs/>
          <w:color w:val="auto"/>
          <w:kern w:val="0"/>
          <w:sz w:val="24"/>
          <w:highlight w:val="none"/>
        </w:rPr>
        <w:t>招标人</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台州东茂观光农业开发有限公司</w:t>
      </w:r>
    </w:p>
    <w:p w14:paraId="550A2FE8">
      <w:pPr>
        <w:rPr>
          <w:rFonts w:hint="eastAsia" w:ascii="宋体" w:hAnsi="宋体" w:cs="宋体"/>
          <w:color w:val="auto"/>
          <w:kern w:val="0"/>
          <w:szCs w:val="21"/>
          <w:highlight w:val="none"/>
        </w:rPr>
      </w:pPr>
    </w:p>
    <w:p w14:paraId="5BD82919">
      <w:pP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本次招标具体范围:</w:t>
      </w:r>
    </w:p>
    <w:p w14:paraId="48350E1E">
      <w:pPr>
        <w:rPr>
          <w:rFonts w:hint="eastAsia" w:ascii="宋体" w:hAnsi="宋体" w:cs="宋体"/>
          <w:color w:val="auto"/>
          <w:kern w:val="0"/>
          <w:szCs w:val="21"/>
          <w:highlight w:val="none"/>
        </w:rPr>
      </w:pPr>
    </w:p>
    <w:tbl>
      <w:tblPr>
        <w:tblStyle w:val="18"/>
        <w:tblW w:w="8769" w:type="dxa"/>
        <w:tblInd w:w="34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221"/>
      </w:tblGrid>
      <w:tr w14:paraId="00BEE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76811BBF">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标项</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0F04AD6F">
            <w:pPr>
              <w:rPr>
                <w:rFonts w:hint="eastAsia" w:ascii="宋体" w:hAnsi="宋体" w:cs="宋体"/>
                <w:color w:val="auto"/>
                <w:kern w:val="0"/>
                <w:szCs w:val="21"/>
                <w:highlight w:val="none"/>
              </w:rPr>
            </w:pPr>
            <w:r>
              <w:rPr>
                <w:rFonts w:hint="eastAsia" w:ascii="宋体" w:hAnsi="宋体" w:cs="宋体"/>
                <w:color w:val="auto"/>
                <w:kern w:val="0"/>
                <w:szCs w:val="21"/>
                <w:highlight w:val="none"/>
              </w:rPr>
              <w:t>一</w:t>
            </w:r>
          </w:p>
        </w:tc>
      </w:tr>
      <w:tr w14:paraId="5FC0E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66505DE4">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招标内容</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2CFE8508">
            <w:pP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台州市开发大道东段南侧、聚海河以西种植土地出租</w:t>
            </w:r>
          </w:p>
        </w:tc>
      </w:tr>
      <w:tr w14:paraId="47C35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757C4EE2">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单位及数量</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4A02B4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面积约</w:t>
            </w:r>
            <w:r>
              <w:rPr>
                <w:rFonts w:hint="eastAsia" w:ascii="宋体" w:hAnsi="宋体" w:cs="宋体"/>
                <w:color w:val="auto"/>
                <w:kern w:val="0"/>
                <w:szCs w:val="21"/>
                <w:highlight w:val="none"/>
                <w:lang w:val="en-US" w:eastAsia="zh-CN"/>
              </w:rPr>
              <w:t>880亩</w:t>
            </w:r>
            <w:r>
              <w:rPr>
                <w:rFonts w:hint="eastAsia" w:ascii="宋体" w:hAnsi="宋体" w:cs="宋体"/>
                <w:color w:val="auto"/>
                <w:kern w:val="0"/>
                <w:szCs w:val="21"/>
                <w:highlight w:val="none"/>
                <w:lang w:eastAsia="zh-CN"/>
              </w:rPr>
              <w:t>，实际面积以现场测量为准（包括范围内的机耕路</w:t>
            </w:r>
            <w:r>
              <w:rPr>
                <w:rFonts w:hint="eastAsia" w:ascii="宋体" w:hAnsi="宋体" w:cs="宋体"/>
                <w:b/>
                <w:bCs/>
                <w:color w:val="auto"/>
                <w:kern w:val="0"/>
                <w:szCs w:val="21"/>
                <w:highlight w:val="none"/>
                <w:lang w:eastAsia="zh-CN"/>
              </w:rPr>
              <w:t>、过境电线杆</w:t>
            </w:r>
            <w:r>
              <w:rPr>
                <w:rFonts w:hint="eastAsia" w:ascii="宋体" w:hAnsi="宋体" w:cs="宋体"/>
                <w:color w:val="auto"/>
                <w:kern w:val="0"/>
                <w:szCs w:val="21"/>
                <w:highlight w:val="none"/>
                <w:lang w:eastAsia="zh-CN"/>
              </w:rPr>
              <w:t>及沟渠等设施）。</w:t>
            </w:r>
            <w:r>
              <w:rPr>
                <w:rFonts w:hint="eastAsia" w:ascii="宋体" w:hAnsi="宋体" w:cs="宋体"/>
                <w:color w:val="auto"/>
                <w:kern w:val="0"/>
                <w:szCs w:val="21"/>
                <w:highlight w:val="none"/>
              </w:rPr>
              <w:t>(具体面积详见招标人提供的图纸，见附件)</w:t>
            </w:r>
          </w:p>
        </w:tc>
      </w:tr>
      <w:tr w14:paraId="5AB38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6B3876EE">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最低限价</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7E5E1D45">
            <w:pPr>
              <w:rPr>
                <w:rFonts w:hint="eastAsia" w:ascii="宋体" w:hAnsi="宋体" w:eastAsia="宋体" w:cs="宋体"/>
                <w:color w:val="auto"/>
                <w:kern w:val="0"/>
                <w:szCs w:val="21"/>
                <w:highlight w:val="none"/>
                <w:lang w:eastAsia="zh-CN"/>
              </w:rPr>
            </w:pPr>
            <w:r>
              <w:rPr>
                <w:rFonts w:hint="eastAsia" w:ascii="宋体" w:hAnsi="宋体" w:cs="宋体"/>
                <w:b/>
                <w:bCs/>
                <w:color w:val="auto"/>
                <w:kern w:val="0"/>
                <w:szCs w:val="21"/>
                <w:highlight w:val="none"/>
                <w:lang w:val="en-US" w:eastAsia="zh-CN"/>
              </w:rPr>
              <w:t>700元</w:t>
            </w:r>
            <w:r>
              <w:rPr>
                <w:rFonts w:hint="eastAsia" w:ascii="宋体" w:hAnsi="宋体" w:cs="宋体"/>
                <w:b/>
                <w:bCs/>
                <w:color w:val="auto"/>
                <w:kern w:val="0"/>
                <w:szCs w:val="21"/>
                <w:highlight w:val="none"/>
              </w:rPr>
              <w:t>/亩/年</w:t>
            </w:r>
          </w:p>
        </w:tc>
      </w:tr>
      <w:tr w14:paraId="0CC11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3E99C7C9">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地点</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7CB542C1">
            <w:pP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位于一江山大道东段以北、聚海大道以东、开发大道东段以南</w:t>
            </w:r>
          </w:p>
        </w:tc>
      </w:tr>
      <w:tr w14:paraId="1BD56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63A170C1">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要求</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69ACF83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①</w:t>
            </w:r>
            <w:r>
              <w:rPr>
                <w:rFonts w:hint="eastAsia" w:ascii="宋体" w:hAnsi="宋体" w:cs="宋体"/>
                <w:b/>
                <w:bCs/>
                <w:color w:val="auto"/>
                <w:kern w:val="2"/>
                <w:szCs w:val="24"/>
                <w:highlight w:val="none"/>
                <w:lang w:val="en-US" w:eastAsia="zh-CN"/>
              </w:rPr>
              <w:t>每1年必须种植粮食作物一季以上，租赁期满，合同自行终止，交回土地，不予延期，若作物未收割造成的损失由乙方自行承担。</w:t>
            </w:r>
          </w:p>
          <w:p w14:paraId="6F9E902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②不得随意破坏现有农业基础设施，负责租赁期间内相关农业基础设施维护、检修、保养。</w:t>
            </w:r>
          </w:p>
          <w:p w14:paraId="151D556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③中标人签订合同后至土地交付之日前，需无条件配合招标人做好验收相关工作，并达到相关部门要求。</w:t>
            </w:r>
          </w:p>
          <w:p w14:paraId="3FE9F2E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④禁止任何形式的田间焚烧行为。</w:t>
            </w:r>
          </w:p>
          <w:p w14:paraId="0291B32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⑤</w:t>
            </w:r>
            <w:r>
              <w:rPr>
                <w:rFonts w:hint="eastAsia" w:ascii="宋体" w:hAnsi="宋体" w:cs="宋体"/>
                <w:b/>
                <w:bCs/>
                <w:color w:val="auto"/>
                <w:kern w:val="2"/>
                <w:szCs w:val="24"/>
                <w:highlight w:val="none"/>
                <w:lang w:val="en-US" w:eastAsia="zh-CN"/>
              </w:rPr>
              <w:t>禁止任何形式的非农业作物种植及其堆场、种植花木、取土等行为。</w:t>
            </w:r>
          </w:p>
          <w:p w14:paraId="7AD929E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bCs/>
                <w:color w:val="auto"/>
                <w:highlight w:val="none"/>
              </w:rPr>
            </w:pPr>
            <w:r>
              <w:rPr>
                <w:rFonts w:hint="eastAsia" w:ascii="宋体" w:hAnsi="宋体" w:eastAsia="宋体" w:cs="宋体"/>
                <w:b/>
                <w:bCs/>
                <w:color w:val="auto"/>
                <w:kern w:val="2"/>
                <w:szCs w:val="24"/>
                <w:highlight w:val="none"/>
                <w:lang w:val="en-US" w:eastAsia="zh-CN"/>
              </w:rPr>
              <w:fldChar w:fldCharType="begin"/>
            </w:r>
            <w:r>
              <w:rPr>
                <w:rFonts w:hint="eastAsia" w:ascii="宋体" w:hAnsi="宋体" w:eastAsia="宋体" w:cs="宋体"/>
                <w:b/>
                <w:bCs/>
                <w:color w:val="auto"/>
                <w:kern w:val="2"/>
                <w:szCs w:val="24"/>
                <w:highlight w:val="none"/>
                <w:lang w:val="en-US" w:eastAsia="zh-CN"/>
              </w:rPr>
              <w:instrText xml:space="preserve"> = 6 \* GB3 \* MERGEFORMAT </w:instrText>
            </w:r>
            <w:r>
              <w:rPr>
                <w:rFonts w:hint="eastAsia" w:ascii="宋体" w:hAnsi="宋体" w:eastAsia="宋体" w:cs="宋体"/>
                <w:b/>
                <w:bCs/>
                <w:color w:val="auto"/>
                <w:kern w:val="2"/>
                <w:szCs w:val="24"/>
                <w:highlight w:val="none"/>
                <w:lang w:val="en-US" w:eastAsia="zh-CN"/>
              </w:rPr>
              <w:fldChar w:fldCharType="separate"/>
            </w:r>
            <w:r>
              <w:rPr>
                <w:rFonts w:hint="eastAsia" w:ascii="宋体" w:hAnsi="宋体" w:eastAsia="宋体" w:cs="宋体"/>
                <w:b/>
                <w:bCs/>
                <w:color w:val="auto"/>
                <w:kern w:val="2"/>
                <w:szCs w:val="24"/>
                <w:highlight w:val="none"/>
                <w:lang w:val="en-US" w:eastAsia="zh-CN"/>
              </w:rPr>
              <w:t>⑥</w:t>
            </w:r>
            <w:r>
              <w:rPr>
                <w:rFonts w:hint="eastAsia" w:ascii="宋体" w:hAnsi="宋体" w:eastAsia="宋体" w:cs="宋体"/>
                <w:b/>
                <w:bCs/>
                <w:color w:val="auto"/>
                <w:kern w:val="2"/>
                <w:szCs w:val="24"/>
                <w:highlight w:val="none"/>
                <w:lang w:val="en-US" w:eastAsia="zh-CN"/>
              </w:rPr>
              <w:fldChar w:fldCharType="end"/>
            </w:r>
            <w:r>
              <w:rPr>
                <w:rFonts w:hint="eastAsia" w:ascii="宋体" w:hAnsi="宋体" w:eastAsia="宋体" w:cs="宋体"/>
                <w:b/>
                <w:bCs/>
                <w:color w:val="auto"/>
                <w:kern w:val="2"/>
                <w:szCs w:val="24"/>
                <w:highlight w:val="none"/>
                <w:lang w:val="en-US" w:eastAsia="zh-CN"/>
              </w:rPr>
              <w:t>土地租赁范围内如需要土方填筑，由甲方统一安排，乙方不得私自运土方进场，否则按5000元每车的标准向甲方支付违约金。</w:t>
            </w:r>
          </w:p>
        </w:tc>
      </w:tr>
      <w:tr w14:paraId="675AB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286E39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提示</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6CC8BC32">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rPr>
              <w:t>租赁地块按现状出租，</w:t>
            </w:r>
            <w:r>
              <w:rPr>
                <w:rFonts w:hint="eastAsia" w:ascii="宋体" w:hAnsi="宋体" w:eastAsia="宋体" w:cs="宋体"/>
                <w:color w:val="auto"/>
                <w:kern w:val="0"/>
                <w:szCs w:val="21"/>
                <w:highlight w:val="none"/>
              </w:rPr>
              <w:t>现状土壤含有</w:t>
            </w:r>
            <w:r>
              <w:rPr>
                <w:rFonts w:hint="eastAsia" w:ascii="宋体" w:hAnsi="宋体" w:cs="宋体"/>
                <w:color w:val="auto"/>
                <w:kern w:val="0"/>
                <w:szCs w:val="21"/>
                <w:highlight w:val="none"/>
                <w:lang w:val="en-US" w:eastAsia="zh-CN"/>
              </w:rPr>
              <w:t>少量</w:t>
            </w:r>
            <w:r>
              <w:rPr>
                <w:rFonts w:hint="eastAsia" w:ascii="宋体" w:hAnsi="宋体" w:eastAsia="宋体" w:cs="宋体"/>
                <w:color w:val="auto"/>
                <w:kern w:val="0"/>
                <w:szCs w:val="21"/>
                <w:highlight w:val="none"/>
              </w:rPr>
              <w:t>的碎石及其它废弃碎渣，</w:t>
            </w:r>
            <w:r>
              <w:rPr>
                <w:rFonts w:hint="eastAsia" w:ascii="宋体" w:hAnsi="宋体" w:cs="宋体"/>
                <w:color w:val="auto"/>
                <w:kern w:val="0"/>
                <w:szCs w:val="21"/>
                <w:highlight w:val="none"/>
                <w:lang w:val="en-US" w:eastAsia="zh-CN"/>
              </w:rPr>
              <w:t>局部</w:t>
            </w:r>
            <w:r>
              <w:rPr>
                <w:rFonts w:hint="eastAsia" w:ascii="宋体" w:hAnsi="宋体" w:eastAsia="宋体" w:cs="宋体"/>
                <w:color w:val="auto"/>
                <w:kern w:val="0"/>
                <w:szCs w:val="21"/>
                <w:highlight w:val="none"/>
              </w:rPr>
              <w:t>区域土质较软容易沉陷，沟渠路不完善及没有灌溉水电设施</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请注意机械及人员安全。</w:t>
            </w:r>
          </w:p>
          <w:p w14:paraId="21343D2E">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2、相关农业种植补贴由中标人自行申报。</w:t>
            </w:r>
          </w:p>
          <w:p w14:paraId="2C7E03E7">
            <w:pPr>
              <w:widowControl/>
              <w:snapToGrid/>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租赁期区域内的沟渠路、灌溉水电设施及相关费用由中标人负责，产生的水、电及其他费用由中标人负责，租赁期内中标人根据业主要求及相关规定把场内的碎石、废渣等清理干净（相关部门政策变化或不作要求的除外）。</w:t>
            </w:r>
          </w:p>
          <w:p w14:paraId="79DCF6E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highlight w:val="none"/>
                <w:lang w:val="en-US" w:eastAsia="zh-CN"/>
              </w:rPr>
            </w:pPr>
          </w:p>
        </w:tc>
      </w:tr>
    </w:tbl>
    <w:p w14:paraId="76D72518">
      <w:pPr>
        <w:jc w:val="center"/>
        <w:rPr>
          <w:rFonts w:hint="eastAsia" w:ascii="黑体" w:eastAsia="黑体"/>
          <w:color w:val="auto"/>
          <w:kern w:val="21"/>
          <w:szCs w:val="21"/>
          <w:highlight w:val="none"/>
        </w:rPr>
      </w:pPr>
      <w:bookmarkStart w:id="3" w:name="_Toc458127838"/>
      <w:r>
        <w:rPr>
          <w:rFonts w:hint="eastAsia"/>
          <w:color w:val="auto"/>
          <w:highlight w:val="none"/>
        </w:rPr>
        <w:br w:type="page"/>
      </w:r>
      <w:bookmarkEnd w:id="3"/>
    </w:p>
    <w:p w14:paraId="302277A5">
      <w:pPr>
        <w:spacing w:line="420" w:lineRule="exact"/>
        <w:jc w:val="center"/>
        <w:rPr>
          <w:rFonts w:ascii="黑体" w:eastAsia="黑体"/>
          <w:color w:val="auto"/>
          <w:kern w:val="21"/>
          <w:szCs w:val="21"/>
          <w:highlight w:val="none"/>
        </w:rPr>
        <w:sectPr>
          <w:footnotePr>
            <w:numRestart w:val="eachPage"/>
          </w:footnotePr>
          <w:endnotePr>
            <w:numRestart w:val="eachSect"/>
          </w:endnotePr>
          <w:pgSz w:w="11907" w:h="16840"/>
          <w:pgMar w:top="1440" w:right="1800" w:bottom="1440" w:left="1800" w:header="434" w:footer="573" w:gutter="0"/>
          <w:pgNumType w:fmt="decimal"/>
          <w:cols w:space="720" w:num="1"/>
          <w:titlePg/>
          <w:docGrid w:linePitch="435" w:charSpace="-6554"/>
        </w:sectPr>
      </w:pPr>
    </w:p>
    <w:p w14:paraId="3049876B">
      <w:pPr>
        <w:pStyle w:val="3"/>
        <w:tabs>
          <w:tab w:val="left" w:pos="360"/>
        </w:tabs>
        <w:spacing w:line="400" w:lineRule="exact"/>
        <w:rPr>
          <w:rFonts w:hint="eastAsia"/>
          <w:color w:val="auto"/>
          <w:sz w:val="28"/>
          <w:szCs w:val="28"/>
          <w:highlight w:val="none"/>
        </w:rPr>
      </w:pPr>
      <w:bookmarkStart w:id="4" w:name="_Toc458127839"/>
      <w:r>
        <w:rPr>
          <w:rFonts w:hint="eastAsia"/>
          <w:color w:val="auto"/>
          <w:sz w:val="28"/>
          <w:szCs w:val="28"/>
          <w:highlight w:val="none"/>
        </w:rPr>
        <w:t xml:space="preserve">   </w:t>
      </w:r>
      <w:r>
        <w:rPr>
          <w:rFonts w:hint="eastAsia" w:cs="Times New Roman"/>
          <w:color w:val="auto"/>
          <w:sz w:val="32"/>
          <w:szCs w:val="20"/>
          <w:highlight w:val="none"/>
        </w:rPr>
        <w:t>第</w:t>
      </w:r>
      <w:r>
        <w:rPr>
          <w:rFonts w:hint="eastAsia" w:cs="Times New Roman"/>
          <w:color w:val="auto"/>
          <w:sz w:val="32"/>
          <w:szCs w:val="20"/>
          <w:highlight w:val="none"/>
          <w:lang w:val="en-US" w:eastAsia="zh-CN"/>
        </w:rPr>
        <w:t>三</w:t>
      </w:r>
      <w:r>
        <w:rPr>
          <w:rFonts w:hint="eastAsia" w:cs="Times New Roman"/>
          <w:color w:val="auto"/>
          <w:sz w:val="32"/>
          <w:szCs w:val="20"/>
          <w:highlight w:val="none"/>
        </w:rPr>
        <w:t>章  投标须知</w:t>
      </w:r>
      <w:bookmarkEnd w:id="4"/>
    </w:p>
    <w:p w14:paraId="34F75804">
      <w:pPr>
        <w:snapToGrid w:val="0"/>
        <w:spacing w:before="120" w:beforeLines="50" w:after="120" w:afterLines="50"/>
        <w:ind w:left="238"/>
        <w:jc w:val="center"/>
        <w:outlineLvl w:val="1"/>
        <w:rPr>
          <w:rFonts w:hint="eastAsia"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投标须知前附表</w:t>
      </w:r>
    </w:p>
    <w:tbl>
      <w:tblPr>
        <w:tblStyle w:val="18"/>
        <w:tblW w:w="983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24"/>
        <w:gridCol w:w="950"/>
        <w:gridCol w:w="7957"/>
      </w:tblGrid>
      <w:tr w14:paraId="56B12F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6" w:hRule="atLeast"/>
          <w:jc w:val="center"/>
        </w:trPr>
        <w:tc>
          <w:tcPr>
            <w:tcW w:w="924" w:type="dxa"/>
            <w:noWrap w:val="0"/>
            <w:vAlign w:val="center"/>
          </w:tcPr>
          <w:p w14:paraId="65389668">
            <w:pPr>
              <w:ind w:left="-97" w:leftChars="-46" w:firstLine="84" w:firstLineChars="40"/>
              <w:jc w:val="center"/>
              <w:rPr>
                <w:rFonts w:hint="eastAsia"/>
                <w:color w:val="auto"/>
                <w:kern w:val="21"/>
                <w:szCs w:val="21"/>
                <w:highlight w:val="none"/>
              </w:rPr>
            </w:pPr>
            <w:r>
              <w:rPr>
                <w:rFonts w:hint="eastAsia"/>
                <w:color w:val="auto"/>
                <w:kern w:val="21"/>
                <w:szCs w:val="21"/>
                <w:highlight w:val="none"/>
              </w:rPr>
              <w:t>序号</w:t>
            </w:r>
          </w:p>
        </w:tc>
        <w:tc>
          <w:tcPr>
            <w:tcW w:w="8907" w:type="dxa"/>
            <w:gridSpan w:val="2"/>
            <w:noWrap w:val="0"/>
            <w:vAlign w:val="center"/>
          </w:tcPr>
          <w:p w14:paraId="081C4B14">
            <w:pPr>
              <w:jc w:val="center"/>
              <w:rPr>
                <w:rFonts w:hint="eastAsia"/>
                <w:color w:val="auto"/>
                <w:kern w:val="21"/>
                <w:szCs w:val="21"/>
                <w:highlight w:val="none"/>
              </w:rPr>
            </w:pPr>
            <w:r>
              <w:rPr>
                <w:rFonts w:hint="eastAsia"/>
                <w:color w:val="auto"/>
                <w:kern w:val="21"/>
                <w:szCs w:val="21"/>
                <w:highlight w:val="none"/>
              </w:rPr>
              <w:t>内    容    规    定</w:t>
            </w:r>
          </w:p>
        </w:tc>
      </w:tr>
      <w:tr w14:paraId="08F29C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45" w:hRule="atLeast"/>
          <w:jc w:val="center"/>
        </w:trPr>
        <w:tc>
          <w:tcPr>
            <w:tcW w:w="924" w:type="dxa"/>
            <w:noWrap w:val="0"/>
            <w:vAlign w:val="center"/>
          </w:tcPr>
          <w:p w14:paraId="4E96D847">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noWrap w:val="0"/>
            <w:vAlign w:val="center"/>
          </w:tcPr>
          <w:p w14:paraId="79C6FFFF">
            <w:pPr>
              <w:rPr>
                <w:rFonts w:hint="eastAsia" w:ascii="宋体" w:hAnsi="宋体" w:cs="宋体"/>
                <w:color w:val="auto"/>
                <w:kern w:val="0"/>
                <w:szCs w:val="21"/>
                <w:highlight w:val="none"/>
              </w:rPr>
            </w:pPr>
            <w:r>
              <w:rPr>
                <w:rFonts w:hint="eastAsia" w:ascii="宋体" w:hAnsi="宋体" w:cs="宋体"/>
                <w:color w:val="auto"/>
                <w:kern w:val="0"/>
                <w:szCs w:val="21"/>
                <w:highlight w:val="none"/>
              </w:rPr>
              <w:t>项目综合说明</w:t>
            </w:r>
          </w:p>
        </w:tc>
        <w:tc>
          <w:tcPr>
            <w:tcW w:w="7957" w:type="dxa"/>
            <w:noWrap w:val="0"/>
            <w:vAlign w:val="center"/>
          </w:tcPr>
          <w:p w14:paraId="4A3C00D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lang w:eastAsia="zh-CN"/>
              </w:rPr>
              <w:t>台州市开发大道东段南侧、聚海河以西种植土地出租</w:t>
            </w:r>
          </w:p>
          <w:p w14:paraId="1D65F18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项目地点：</w:t>
            </w:r>
            <w:r>
              <w:rPr>
                <w:rFonts w:hint="eastAsia" w:ascii="宋体" w:hAnsi="宋体" w:cs="宋体"/>
                <w:color w:val="auto"/>
                <w:kern w:val="0"/>
                <w:szCs w:val="21"/>
                <w:highlight w:val="none"/>
                <w:lang w:eastAsia="zh-CN"/>
              </w:rPr>
              <w:t>位于一江山大道东段以北、聚海大道以东、开发大道东段以南</w:t>
            </w:r>
          </w:p>
          <w:p w14:paraId="10801E3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招标方式：公开招标</w:t>
            </w:r>
          </w:p>
          <w:p w14:paraId="0EA4261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招标范围：</w:t>
            </w:r>
            <w:r>
              <w:rPr>
                <w:rFonts w:hint="eastAsia" w:ascii="宋体" w:hAnsi="宋体" w:cs="宋体"/>
                <w:color w:val="auto"/>
                <w:kern w:val="0"/>
                <w:szCs w:val="21"/>
                <w:highlight w:val="none"/>
                <w:lang w:eastAsia="zh-CN"/>
              </w:rPr>
              <w:t>台州东茂观光农业开发有限公司指定范围内约</w:t>
            </w:r>
            <w:r>
              <w:rPr>
                <w:rFonts w:hint="eastAsia" w:ascii="宋体" w:hAnsi="宋体" w:cs="宋体"/>
                <w:color w:val="auto"/>
                <w:kern w:val="0"/>
                <w:szCs w:val="21"/>
                <w:highlight w:val="none"/>
                <w:lang w:val="en-US" w:eastAsia="zh-CN"/>
              </w:rPr>
              <w:t>880</w:t>
            </w:r>
            <w:r>
              <w:rPr>
                <w:rFonts w:hint="eastAsia" w:ascii="宋体" w:hAnsi="宋体" w:cs="宋体"/>
                <w:color w:val="auto"/>
                <w:kern w:val="0"/>
                <w:szCs w:val="21"/>
                <w:highlight w:val="none"/>
                <w:lang w:eastAsia="zh-CN"/>
              </w:rPr>
              <w:t>亩土地的租赁所有相关工作内容。</w:t>
            </w:r>
          </w:p>
          <w:p w14:paraId="661F454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租赁期限：</w:t>
            </w:r>
            <w:r>
              <w:rPr>
                <w:rFonts w:hint="eastAsia" w:ascii="宋体" w:hAnsi="宋体" w:cs="宋体"/>
                <w:b/>
                <w:bCs/>
                <w:color w:val="auto"/>
                <w:kern w:val="0"/>
                <w:szCs w:val="21"/>
                <w:highlight w:val="none"/>
                <w:lang w:val="en-US" w:eastAsia="zh-CN"/>
              </w:rPr>
              <w:t>自合同签订之日起1年。</w:t>
            </w:r>
          </w:p>
          <w:p w14:paraId="5219857B">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rPr>
                <w:rFonts w:hint="eastAsia" w:eastAsia="宋体"/>
                <w:color w:val="auto"/>
                <w:kern w:val="21"/>
                <w:szCs w:val="21"/>
                <w:highlight w:val="none"/>
                <w:lang w:eastAsia="zh-CN"/>
              </w:rPr>
            </w:pPr>
            <w:r>
              <w:rPr>
                <w:rFonts w:hint="eastAsia" w:ascii="宋体" w:hAnsi="宋体" w:cs="宋体"/>
                <w:color w:val="auto"/>
                <w:kern w:val="0"/>
                <w:szCs w:val="21"/>
                <w:highlight w:val="none"/>
              </w:rPr>
              <w:t>租赁土地面积：</w:t>
            </w:r>
            <w:r>
              <w:rPr>
                <w:rFonts w:hint="eastAsia" w:ascii="宋体" w:hAnsi="宋体" w:cs="宋体"/>
                <w:color w:val="auto"/>
                <w:kern w:val="0"/>
                <w:szCs w:val="21"/>
                <w:highlight w:val="none"/>
                <w:lang w:eastAsia="zh-CN"/>
              </w:rPr>
              <w:t>面积约</w:t>
            </w:r>
            <w:r>
              <w:rPr>
                <w:rFonts w:hint="eastAsia" w:ascii="宋体" w:hAnsi="宋体" w:cs="宋体"/>
                <w:color w:val="auto"/>
                <w:kern w:val="0"/>
                <w:szCs w:val="21"/>
                <w:highlight w:val="none"/>
                <w:lang w:val="en-US" w:eastAsia="zh-CN"/>
              </w:rPr>
              <w:t>880亩</w:t>
            </w:r>
            <w:r>
              <w:rPr>
                <w:rFonts w:hint="eastAsia" w:ascii="宋体" w:hAnsi="宋体" w:cs="宋体"/>
                <w:color w:val="auto"/>
                <w:kern w:val="0"/>
                <w:szCs w:val="21"/>
                <w:highlight w:val="none"/>
                <w:lang w:eastAsia="zh-CN"/>
              </w:rPr>
              <w:t>，实际面积以现场测量为准（包括范围内的机耕路、</w:t>
            </w:r>
            <w:r>
              <w:rPr>
                <w:rFonts w:hint="eastAsia" w:ascii="宋体" w:hAnsi="宋体" w:cs="宋体"/>
                <w:color w:val="auto"/>
                <w:kern w:val="0"/>
                <w:szCs w:val="21"/>
                <w:highlight w:val="none"/>
                <w:lang w:val="en-US" w:eastAsia="zh-CN"/>
              </w:rPr>
              <w:t>过境电线杆</w:t>
            </w:r>
            <w:r>
              <w:rPr>
                <w:rFonts w:hint="eastAsia" w:ascii="宋体" w:hAnsi="宋体" w:cs="宋体"/>
                <w:color w:val="auto"/>
                <w:kern w:val="0"/>
                <w:szCs w:val="21"/>
                <w:highlight w:val="none"/>
                <w:lang w:eastAsia="zh-CN"/>
              </w:rPr>
              <w:t>及沟渠等设施）。</w:t>
            </w:r>
            <w:r>
              <w:rPr>
                <w:rFonts w:hint="eastAsia" w:ascii="宋体" w:hAnsi="宋体" w:cs="宋体"/>
                <w:color w:val="auto"/>
                <w:kern w:val="0"/>
                <w:szCs w:val="21"/>
                <w:highlight w:val="none"/>
              </w:rPr>
              <w:t>(具体面积详见招标人提供的图纸，见附件)</w:t>
            </w:r>
          </w:p>
        </w:tc>
      </w:tr>
      <w:tr w14:paraId="46604E1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924" w:type="dxa"/>
            <w:noWrap w:val="0"/>
            <w:vAlign w:val="center"/>
          </w:tcPr>
          <w:p w14:paraId="479BBDCD">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8907" w:type="dxa"/>
            <w:gridSpan w:val="2"/>
            <w:noWrap w:val="0"/>
            <w:vAlign w:val="center"/>
          </w:tcPr>
          <w:p w14:paraId="5661D96E">
            <w:pPr>
              <w:rPr>
                <w:rFonts w:hint="default" w:eastAsia="楷体"/>
                <w:color w:val="auto"/>
                <w:highlight w:val="none"/>
                <w:lang w:val="en-US" w:eastAsia="zh-CN"/>
              </w:rPr>
            </w:pPr>
            <w:r>
              <w:rPr>
                <w:rFonts w:hint="eastAsia" w:ascii="宋体" w:hAnsi="宋体" w:cs="宋体"/>
                <w:color w:val="auto"/>
                <w:kern w:val="0"/>
                <w:szCs w:val="21"/>
                <w:highlight w:val="none"/>
              </w:rPr>
              <w:t>投标人须具备的条件：</w:t>
            </w:r>
            <w:r>
              <w:rPr>
                <w:rFonts w:hint="eastAsia" w:ascii="宋体" w:hAnsi="宋体" w:cs="宋体"/>
                <w:color w:val="auto"/>
                <w:sz w:val="21"/>
                <w:szCs w:val="21"/>
                <w:highlight w:val="none"/>
                <w:lang w:eastAsia="zh-CN"/>
              </w:rPr>
              <w:t>具备农作物种植能力的独立法人或非法人组织</w:t>
            </w:r>
            <w:r>
              <w:rPr>
                <w:rFonts w:hint="eastAsia" w:ascii="宋体" w:hAnsi="宋体" w:eastAsia="宋体" w:cs="宋体"/>
                <w:color w:val="auto"/>
                <w:sz w:val="21"/>
                <w:szCs w:val="21"/>
                <w:highlight w:val="none"/>
              </w:rPr>
              <w:t>（须具备营业执照）。</w:t>
            </w:r>
          </w:p>
        </w:tc>
      </w:tr>
      <w:tr w14:paraId="2DDD56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924" w:type="dxa"/>
            <w:noWrap w:val="0"/>
            <w:vAlign w:val="center"/>
          </w:tcPr>
          <w:p w14:paraId="3358E4B0">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8907" w:type="dxa"/>
            <w:gridSpan w:val="2"/>
            <w:noWrap w:val="0"/>
            <w:vAlign w:val="center"/>
          </w:tcPr>
          <w:p w14:paraId="339591AD">
            <w:pPr>
              <w:rPr>
                <w:rFonts w:hint="eastAsia" w:ascii="宋体" w:hAnsi="宋体" w:cs="宋体"/>
                <w:color w:val="auto"/>
                <w:kern w:val="0"/>
                <w:szCs w:val="21"/>
                <w:highlight w:val="none"/>
              </w:rPr>
            </w:pPr>
            <w:r>
              <w:rPr>
                <w:rFonts w:hint="eastAsia" w:ascii="宋体" w:hAnsi="宋体" w:cs="宋体"/>
                <w:color w:val="auto"/>
                <w:kern w:val="0"/>
                <w:szCs w:val="21"/>
                <w:highlight w:val="none"/>
              </w:rPr>
              <w:t>资金来源：自筹</w:t>
            </w:r>
          </w:p>
        </w:tc>
      </w:tr>
      <w:tr w14:paraId="575DC5E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924" w:type="dxa"/>
            <w:noWrap w:val="0"/>
            <w:vAlign w:val="center"/>
          </w:tcPr>
          <w:p w14:paraId="5E557B37">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8907" w:type="dxa"/>
            <w:gridSpan w:val="2"/>
            <w:noWrap w:val="0"/>
            <w:vAlign w:val="center"/>
          </w:tcPr>
          <w:p w14:paraId="247FF22A">
            <w:pPr>
              <w:widowControl/>
              <w:adjustRightInd/>
              <w:snapToGrid/>
              <w:spacing w:line="360" w:lineRule="auto"/>
              <w:jc w:val="left"/>
              <w:rPr>
                <w:rFonts w:hint="eastAsia" w:ascii="宋体" w:hAnsi="宋体" w:eastAsia="宋体" w:cs="宋体"/>
                <w:color w:val="auto"/>
                <w:kern w:val="0"/>
                <w:sz w:val="21"/>
                <w:szCs w:val="21"/>
                <w:highlight w:val="none"/>
                <w:u w:val="single"/>
                <w:lang w:val="en-US" w:eastAsia="zh-CN"/>
              </w:rPr>
            </w:pPr>
            <w:r>
              <w:rPr>
                <w:rFonts w:hint="eastAsia" w:ascii="宋体" w:hAnsi="宋体" w:eastAsia="宋体" w:cs="宋体"/>
                <w:color w:val="auto"/>
                <w:kern w:val="0"/>
                <w:sz w:val="21"/>
                <w:szCs w:val="21"/>
                <w:highlight w:val="none"/>
              </w:rPr>
              <w:t>1、投标保证金：</w:t>
            </w:r>
            <w:r>
              <w:rPr>
                <w:rFonts w:hint="eastAsia" w:ascii="宋体" w:hAnsi="宋体" w:eastAsia="宋体" w:cs="宋体"/>
                <w:b w:val="0"/>
                <w:bCs w:val="0"/>
                <w:color w:val="auto"/>
                <w:kern w:val="0"/>
                <w:sz w:val="21"/>
                <w:szCs w:val="21"/>
                <w:highlight w:val="none"/>
                <w:u w:val="single"/>
              </w:rPr>
              <w:t>人民币</w:t>
            </w:r>
            <w:r>
              <w:rPr>
                <w:rFonts w:hint="eastAsia" w:ascii="宋体" w:hAnsi="宋体" w:cs="宋体"/>
                <w:b w:val="0"/>
                <w:bCs w:val="0"/>
                <w:color w:val="auto"/>
                <w:kern w:val="0"/>
                <w:sz w:val="21"/>
                <w:szCs w:val="21"/>
                <w:highlight w:val="none"/>
                <w:u w:val="single"/>
                <w:lang w:val="en-US" w:eastAsia="zh-CN"/>
              </w:rPr>
              <w:t xml:space="preserve"> 壹万贰仟元整</w:t>
            </w:r>
            <w:r>
              <w:rPr>
                <w:rFonts w:hint="eastAsia" w:ascii="宋体" w:hAnsi="宋体" w:eastAsia="宋体" w:cs="宋体"/>
                <w:b w:val="0"/>
                <w:bCs w:val="0"/>
                <w:color w:val="auto"/>
                <w:kern w:val="0"/>
                <w:sz w:val="21"/>
                <w:szCs w:val="21"/>
                <w:highlight w:val="none"/>
                <w:u w:val="single"/>
              </w:rPr>
              <w:t>（</w:t>
            </w:r>
            <w:r>
              <w:rPr>
                <w:rFonts w:hint="eastAsia" w:ascii="宋体" w:hAnsi="宋体" w:cs="宋体"/>
                <w:b w:val="0"/>
                <w:bCs w:val="0"/>
                <w:color w:val="auto"/>
                <w:kern w:val="0"/>
                <w:sz w:val="21"/>
                <w:szCs w:val="21"/>
                <w:highlight w:val="none"/>
                <w:u w:val="single"/>
                <w:lang w:val="en-US" w:eastAsia="zh-CN"/>
              </w:rPr>
              <w:t>12000</w:t>
            </w:r>
            <w:r>
              <w:rPr>
                <w:rFonts w:hint="eastAsia" w:ascii="宋体" w:hAnsi="宋体" w:eastAsia="宋体" w:cs="宋体"/>
                <w:b w:val="0"/>
                <w:bCs w:val="0"/>
                <w:color w:val="auto"/>
                <w:kern w:val="0"/>
                <w:sz w:val="21"/>
                <w:szCs w:val="21"/>
                <w:highlight w:val="none"/>
                <w:u w:val="single"/>
              </w:rPr>
              <w:t>元）</w:t>
            </w:r>
          </w:p>
          <w:p w14:paraId="14C4736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2、保证金形式：</w:t>
            </w:r>
            <w:r>
              <w:rPr>
                <w:rFonts w:hint="eastAsia" w:ascii="宋体" w:hAnsi="宋体" w:eastAsia="宋体" w:cs="宋体"/>
                <w:b w:val="0"/>
                <w:color w:val="auto"/>
                <w:kern w:val="0"/>
                <w:szCs w:val="21"/>
                <w:highlight w:val="none"/>
                <w:lang w:eastAsia="zh-CN"/>
              </w:rPr>
              <w:t>现金转账</w:t>
            </w:r>
            <w:r>
              <w:rPr>
                <w:rFonts w:hint="eastAsia" w:ascii="宋体" w:hAnsi="宋体" w:eastAsia="宋体" w:cs="宋体"/>
                <w:color w:val="auto"/>
                <w:kern w:val="0"/>
                <w:sz w:val="21"/>
                <w:szCs w:val="21"/>
                <w:highlight w:val="none"/>
              </w:rPr>
              <w:t>、电汇、银行汇票、银行保函、保险机构保证保险保单、融资担保公司保函。</w:t>
            </w:r>
          </w:p>
          <w:p w14:paraId="407CEC9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b w:val="0"/>
                <w:color w:val="auto"/>
                <w:kern w:val="0"/>
                <w:szCs w:val="21"/>
                <w:highlight w:val="none"/>
                <w:lang w:eastAsia="zh-CN"/>
              </w:rPr>
              <w:t>现金转账</w:t>
            </w:r>
            <w:r>
              <w:rPr>
                <w:rFonts w:hint="eastAsia" w:ascii="宋体" w:hAnsi="宋体" w:eastAsia="宋体" w:cs="宋体"/>
                <w:color w:val="auto"/>
                <w:kern w:val="0"/>
                <w:sz w:val="21"/>
                <w:szCs w:val="21"/>
                <w:highlight w:val="none"/>
              </w:rPr>
              <w:t>、电汇、银行汇票：</w:t>
            </w:r>
          </w:p>
          <w:p w14:paraId="644BDD7C">
            <w:pPr>
              <w:widowControl/>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投标保证金应在投标截止时间前以投标人名</w:t>
            </w:r>
            <w:bookmarkStart w:id="213" w:name="_GoBack"/>
            <w:bookmarkEnd w:id="213"/>
            <w:r>
              <w:rPr>
                <w:rFonts w:hint="eastAsia" w:ascii="宋体" w:hAnsi="宋体" w:eastAsia="宋体" w:cs="宋体"/>
                <w:color w:val="auto"/>
                <w:kern w:val="0"/>
                <w:sz w:val="21"/>
                <w:szCs w:val="21"/>
                <w:highlight w:val="none"/>
              </w:rPr>
              <w:t>义转至台州市建设咨询有限公司账户</w:t>
            </w:r>
          </w:p>
          <w:p w14:paraId="5CF6423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开户行：兴业银行台州椒江支行；</w:t>
            </w:r>
          </w:p>
          <w:p w14:paraId="3665A4C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银行行号：309345008126；</w:t>
            </w:r>
          </w:p>
          <w:p w14:paraId="5A60BB3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账号：358120100100196415。</w:t>
            </w:r>
          </w:p>
          <w:p w14:paraId="4F090DA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（2）银行保函、保险机构保证保险保单、融资担保公司保函：</w:t>
            </w:r>
          </w:p>
          <w:p w14:paraId="0FA6F50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①银行保函、保险机构保证保险保单、融资担保公司保函（以下合称“工程保函”）原件须在投标截止时间前提交；</w:t>
            </w:r>
          </w:p>
          <w:p w14:paraId="38BD597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提交方式及地点：</w:t>
            </w:r>
            <w:r>
              <w:rPr>
                <w:rFonts w:hint="eastAsia" w:ascii="宋体" w:hAnsi="宋体" w:cs="宋体"/>
                <w:color w:val="auto"/>
                <w:kern w:val="0"/>
                <w:szCs w:val="21"/>
                <w:highlight w:val="none"/>
              </w:rPr>
              <w:t>台州市椒江区开发大道东段818号台州湾新区海虹街道</w:t>
            </w:r>
            <w:r>
              <w:rPr>
                <w:rFonts w:hint="eastAsia" w:ascii="宋体" w:hAnsi="宋体" w:cs="宋体"/>
                <w:color w:val="auto"/>
                <w:kern w:val="0"/>
                <w:szCs w:val="21"/>
                <w:highlight w:val="none"/>
                <w:lang w:val="en-US" w:eastAsia="zh-CN"/>
              </w:rPr>
              <w:t>办事处六</w:t>
            </w:r>
            <w:r>
              <w:rPr>
                <w:rFonts w:hint="eastAsia" w:ascii="宋体" w:hAnsi="宋体" w:cs="宋体"/>
                <w:color w:val="auto"/>
                <w:kern w:val="0"/>
                <w:szCs w:val="21"/>
                <w:highlight w:val="none"/>
              </w:rPr>
              <w:t>楼大厅</w:t>
            </w:r>
            <w:r>
              <w:rPr>
                <w:rFonts w:hint="eastAsia" w:ascii="宋体" w:hAnsi="宋体" w:eastAsia="宋体" w:cs="宋体"/>
                <w:color w:val="auto"/>
                <w:kern w:val="0"/>
                <w:sz w:val="21"/>
                <w:szCs w:val="21"/>
                <w:highlight w:val="none"/>
              </w:rPr>
              <w:t>；</w:t>
            </w:r>
          </w:p>
          <w:p w14:paraId="0B4E5AC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接收人：台州市建设咨询有限公司（代理机构）；</w:t>
            </w:r>
          </w:p>
          <w:p w14:paraId="33E747B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接收人联系方式：0576-8851778</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 xml:space="preserve"> （代理机构联系方式）；</w:t>
            </w:r>
          </w:p>
          <w:p w14:paraId="0D9E5E68">
            <w:pPr>
              <w:widowControl/>
              <w:spacing w:line="360" w:lineRule="auto"/>
              <w:jc w:val="left"/>
              <w:rPr>
                <w:rFonts w:hint="eastAsia" w:ascii="宋体" w:hAnsi="宋体" w:cs="宋体"/>
                <w:color w:val="auto"/>
                <w:kern w:val="0"/>
                <w:sz w:val="21"/>
                <w:szCs w:val="21"/>
                <w:highlight w:val="none"/>
              </w:rPr>
            </w:pPr>
            <w:r>
              <w:rPr>
                <w:rFonts w:hint="eastAsia" w:ascii="宋体" w:hAnsi="宋体" w:eastAsia="宋体" w:cs="宋体"/>
                <w:color w:val="auto"/>
                <w:kern w:val="0"/>
                <w:sz w:val="21"/>
                <w:szCs w:val="21"/>
                <w:highlight w:val="none"/>
              </w:rPr>
              <w:t>②保函受益人：</w:t>
            </w:r>
            <w:r>
              <w:rPr>
                <w:rFonts w:hint="eastAsia" w:ascii="宋体" w:hAnsi="宋体" w:cs="宋体"/>
                <w:color w:val="auto"/>
                <w:kern w:val="0"/>
                <w:szCs w:val="21"/>
                <w:highlight w:val="none"/>
                <w:u w:val="none"/>
                <w:lang w:eastAsia="zh-CN"/>
              </w:rPr>
              <w:t>台州东茂观光农业开发有限公司</w:t>
            </w:r>
            <w:r>
              <w:rPr>
                <w:rFonts w:hint="eastAsia" w:ascii="宋体" w:hAnsi="宋体" w:cs="宋体"/>
                <w:color w:val="auto"/>
                <w:kern w:val="0"/>
                <w:sz w:val="21"/>
                <w:szCs w:val="21"/>
                <w:highlight w:val="none"/>
                <w:u w:val="none"/>
              </w:rPr>
              <w:t>（</w:t>
            </w:r>
            <w:r>
              <w:rPr>
                <w:rFonts w:hint="eastAsia" w:ascii="宋体" w:hAnsi="宋体" w:cs="宋体"/>
                <w:color w:val="auto"/>
                <w:kern w:val="0"/>
                <w:sz w:val="21"/>
                <w:szCs w:val="21"/>
                <w:highlight w:val="none"/>
                <w:u w:val="none"/>
                <w:lang w:val="en-US" w:eastAsia="zh-CN"/>
              </w:rPr>
              <w:t>招标人</w:t>
            </w:r>
            <w:r>
              <w:rPr>
                <w:rFonts w:hint="eastAsia" w:ascii="宋体" w:hAnsi="宋体" w:cs="宋体"/>
                <w:color w:val="auto"/>
                <w:kern w:val="0"/>
                <w:sz w:val="21"/>
                <w:szCs w:val="21"/>
                <w:highlight w:val="none"/>
                <w:u w:val="none"/>
              </w:rPr>
              <w:t>名称）</w:t>
            </w:r>
            <w:r>
              <w:rPr>
                <w:rFonts w:hint="eastAsia" w:ascii="宋体" w:hAnsi="宋体" w:cs="宋体"/>
                <w:color w:val="auto"/>
                <w:kern w:val="0"/>
                <w:sz w:val="21"/>
                <w:szCs w:val="21"/>
                <w:highlight w:val="none"/>
              </w:rPr>
              <w:t>；</w:t>
            </w:r>
          </w:p>
          <w:p w14:paraId="59C6D431">
            <w:pPr>
              <w:widowControl/>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保函投保人：</w:t>
            </w:r>
            <w:r>
              <w:rPr>
                <w:rFonts w:hint="eastAsia" w:ascii="宋体" w:hAnsi="宋体" w:cs="宋体"/>
                <w:color w:val="auto"/>
                <w:kern w:val="0"/>
                <w:sz w:val="21"/>
                <w:szCs w:val="21"/>
                <w:highlight w:val="none"/>
                <w:u w:val="none"/>
              </w:rPr>
              <w:t xml:space="preserve">                  （</w:t>
            </w:r>
            <w:r>
              <w:rPr>
                <w:rFonts w:hint="eastAsia" w:ascii="宋体" w:hAnsi="宋体" w:cs="宋体"/>
                <w:color w:val="auto"/>
                <w:kern w:val="0"/>
                <w:sz w:val="21"/>
                <w:szCs w:val="21"/>
                <w:highlight w:val="none"/>
                <w:u w:val="none"/>
                <w:lang w:val="en-US" w:eastAsia="zh-CN"/>
              </w:rPr>
              <w:t>投标人</w:t>
            </w:r>
            <w:r>
              <w:rPr>
                <w:rFonts w:hint="eastAsia" w:ascii="宋体" w:hAnsi="宋体" w:cs="宋体"/>
                <w:color w:val="auto"/>
                <w:kern w:val="0"/>
                <w:sz w:val="21"/>
                <w:szCs w:val="21"/>
                <w:highlight w:val="none"/>
                <w:u w:val="none"/>
              </w:rPr>
              <w:t>名称）</w:t>
            </w:r>
            <w:r>
              <w:rPr>
                <w:rFonts w:hint="eastAsia" w:ascii="宋体" w:hAnsi="宋体" w:cs="宋体"/>
                <w:color w:val="auto"/>
                <w:kern w:val="0"/>
                <w:sz w:val="21"/>
                <w:szCs w:val="21"/>
                <w:highlight w:val="none"/>
              </w:rPr>
              <w:t>；</w:t>
            </w:r>
          </w:p>
          <w:p w14:paraId="24B9738A">
            <w:pPr>
              <w:widowControl/>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③保函的有效期应当不短于投标有效期；</w:t>
            </w:r>
          </w:p>
          <w:p w14:paraId="0A9BAC34">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 w:val="21"/>
                <w:szCs w:val="21"/>
                <w:highlight w:val="none"/>
              </w:rPr>
              <w:t>④保函中</w:t>
            </w:r>
            <w:r>
              <w:rPr>
                <w:rFonts w:hint="eastAsia" w:ascii="宋体" w:hAnsi="宋体" w:cs="宋体"/>
                <w:color w:val="auto"/>
                <w:kern w:val="0"/>
                <w:sz w:val="21"/>
                <w:szCs w:val="21"/>
                <w:highlight w:val="none"/>
                <w:lang w:val="en-US" w:eastAsia="zh-CN"/>
              </w:rPr>
              <w:t>招标人</w:t>
            </w:r>
            <w:r>
              <w:rPr>
                <w:rFonts w:hint="eastAsia" w:ascii="宋体" w:hAnsi="宋体" w:cs="宋体"/>
                <w:color w:val="auto"/>
                <w:kern w:val="0"/>
                <w:sz w:val="21"/>
                <w:szCs w:val="21"/>
                <w:highlight w:val="none"/>
              </w:rPr>
              <w:t>可提起索赔的内容必须至少包括“投标人须知（</w:t>
            </w:r>
            <w:r>
              <w:rPr>
                <w:rFonts w:hint="eastAsia" w:ascii="宋体" w:hAnsi="宋体" w:cs="宋体"/>
                <w:color w:val="auto"/>
                <w:kern w:val="0"/>
                <w:sz w:val="21"/>
                <w:szCs w:val="21"/>
                <w:highlight w:val="none"/>
                <w:lang w:val="en-US" w:eastAsia="zh-CN"/>
              </w:rPr>
              <w:t>6.3</w:t>
            </w:r>
            <w:r>
              <w:rPr>
                <w:rFonts w:hint="eastAsia" w:ascii="宋体" w:hAnsi="宋体" w:cs="宋体"/>
                <w:color w:val="auto"/>
                <w:kern w:val="0"/>
                <w:sz w:val="21"/>
                <w:szCs w:val="21"/>
                <w:highlight w:val="none"/>
              </w:rPr>
              <w:t>）投标保证金”中所列条款。</w:t>
            </w:r>
          </w:p>
        </w:tc>
      </w:tr>
      <w:tr w14:paraId="25F556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924" w:type="dxa"/>
            <w:noWrap w:val="0"/>
            <w:vAlign w:val="center"/>
          </w:tcPr>
          <w:p w14:paraId="77FF8C4E">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8907" w:type="dxa"/>
            <w:gridSpan w:val="2"/>
            <w:noWrap w:val="0"/>
            <w:vAlign w:val="center"/>
          </w:tcPr>
          <w:p w14:paraId="14F84B37">
            <w:pPr>
              <w:rPr>
                <w:rFonts w:hint="eastAsia" w:ascii="宋体" w:hAnsi="宋体" w:cs="宋体"/>
                <w:color w:val="auto"/>
                <w:kern w:val="0"/>
                <w:szCs w:val="21"/>
                <w:highlight w:val="none"/>
              </w:rPr>
            </w:pPr>
            <w:r>
              <w:rPr>
                <w:rFonts w:hint="eastAsia" w:ascii="宋体" w:hAnsi="宋体" w:cs="宋体"/>
                <w:color w:val="auto"/>
                <w:kern w:val="0"/>
                <w:szCs w:val="21"/>
                <w:highlight w:val="none"/>
              </w:rPr>
              <w:t>投标人确定方式：资格后审</w:t>
            </w:r>
          </w:p>
        </w:tc>
      </w:tr>
      <w:tr w14:paraId="1DF55F9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0" w:hRule="atLeast"/>
          <w:jc w:val="center"/>
        </w:trPr>
        <w:tc>
          <w:tcPr>
            <w:tcW w:w="924" w:type="dxa"/>
            <w:noWrap w:val="0"/>
            <w:vAlign w:val="center"/>
          </w:tcPr>
          <w:p w14:paraId="60D06D57">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p>
        </w:tc>
        <w:tc>
          <w:tcPr>
            <w:tcW w:w="8907" w:type="dxa"/>
            <w:gridSpan w:val="2"/>
            <w:noWrap w:val="0"/>
            <w:vAlign w:val="center"/>
          </w:tcPr>
          <w:p w14:paraId="07E4A76F">
            <w:pPr>
              <w:rPr>
                <w:rFonts w:hint="eastAsia" w:ascii="宋体" w:hAnsi="宋体" w:eastAsia="宋体" w:cs="宋体"/>
                <w:color w:val="auto"/>
                <w:kern w:val="0"/>
                <w:szCs w:val="21"/>
                <w:highlight w:val="none"/>
                <w:shd w:val="pct10" w:color="auto" w:fill="FFFFFF"/>
                <w:lang w:eastAsia="zh-CN"/>
              </w:rPr>
            </w:pPr>
            <w:r>
              <w:rPr>
                <w:rFonts w:hint="eastAsia" w:ascii="宋体" w:hAnsi="宋体" w:cs="宋体"/>
                <w:color w:val="auto"/>
                <w:kern w:val="0"/>
                <w:szCs w:val="21"/>
                <w:highlight w:val="none"/>
              </w:rPr>
              <w:t>有效投标报价范围：</w:t>
            </w:r>
            <w:r>
              <w:rPr>
                <w:rFonts w:hint="eastAsia" w:ascii="宋体" w:hAnsi="宋体" w:cs="宋体"/>
                <w:b/>
                <w:bCs/>
                <w:color w:val="auto"/>
                <w:highlight w:val="none"/>
                <w:u w:val="single"/>
                <w:lang w:eastAsia="zh-CN"/>
              </w:rPr>
              <w:t>最低限价</w:t>
            </w:r>
            <w:r>
              <w:rPr>
                <w:rFonts w:hint="eastAsia" w:ascii="宋体" w:hAnsi="宋体" w:cs="宋体"/>
                <w:b/>
                <w:bCs/>
                <w:color w:val="auto"/>
                <w:highlight w:val="none"/>
                <w:u w:val="single"/>
                <w:lang w:val="en-US" w:eastAsia="zh-CN"/>
              </w:rPr>
              <w:t>700元</w:t>
            </w:r>
            <w:r>
              <w:rPr>
                <w:rFonts w:hint="eastAsia" w:ascii="宋体" w:hAnsi="宋体" w:cs="宋体"/>
                <w:b/>
                <w:bCs/>
                <w:color w:val="auto"/>
                <w:kern w:val="0"/>
                <w:szCs w:val="21"/>
                <w:highlight w:val="none"/>
                <w:u w:val="single"/>
              </w:rPr>
              <w:t>/亩/年</w:t>
            </w:r>
          </w:p>
        </w:tc>
      </w:tr>
      <w:tr w14:paraId="6523E5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6" w:hRule="atLeast"/>
          <w:jc w:val="center"/>
        </w:trPr>
        <w:tc>
          <w:tcPr>
            <w:tcW w:w="924" w:type="dxa"/>
            <w:noWrap w:val="0"/>
            <w:vAlign w:val="center"/>
          </w:tcPr>
          <w:p w14:paraId="71EE9E69">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p>
        </w:tc>
        <w:tc>
          <w:tcPr>
            <w:tcW w:w="8907" w:type="dxa"/>
            <w:gridSpan w:val="2"/>
            <w:tcBorders>
              <w:bottom w:val="single" w:color="auto" w:sz="8" w:space="0"/>
            </w:tcBorders>
            <w:noWrap w:val="0"/>
            <w:vAlign w:val="center"/>
          </w:tcPr>
          <w:p w14:paraId="425ADB17">
            <w:pPr>
              <w:rPr>
                <w:rFonts w:hint="eastAsia" w:ascii="宋体" w:hAnsi="宋体" w:cs="宋体"/>
                <w:color w:val="auto"/>
                <w:kern w:val="0"/>
                <w:szCs w:val="21"/>
                <w:highlight w:val="none"/>
              </w:rPr>
            </w:pPr>
            <w:r>
              <w:rPr>
                <w:rFonts w:hint="eastAsia" w:ascii="宋体" w:hAnsi="宋体" w:cs="宋体"/>
                <w:color w:val="auto"/>
                <w:kern w:val="0"/>
                <w:szCs w:val="21"/>
                <w:highlight w:val="none"/>
              </w:rPr>
              <w:t>投标有效期为：</w:t>
            </w:r>
            <w:r>
              <w:rPr>
                <w:rFonts w:hint="eastAsia" w:ascii="宋体" w:hAnsi="宋体" w:cs="宋体"/>
                <w:color w:val="auto"/>
                <w:kern w:val="0"/>
                <w:szCs w:val="21"/>
                <w:highlight w:val="none"/>
                <w:u w:val="single"/>
              </w:rPr>
              <w:t>90</w:t>
            </w:r>
            <w:r>
              <w:rPr>
                <w:rFonts w:hint="eastAsia" w:ascii="宋体" w:hAnsi="宋体" w:cs="宋体"/>
                <w:color w:val="auto"/>
                <w:kern w:val="0"/>
                <w:szCs w:val="21"/>
                <w:highlight w:val="none"/>
              </w:rPr>
              <w:t>日历天（从提交投标文件的截止时间算起）</w:t>
            </w:r>
          </w:p>
        </w:tc>
      </w:tr>
      <w:tr w14:paraId="12C51E1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2" w:hRule="atLeast"/>
          <w:jc w:val="center"/>
        </w:trPr>
        <w:tc>
          <w:tcPr>
            <w:tcW w:w="924" w:type="dxa"/>
            <w:tcBorders>
              <w:bottom w:val="single" w:color="auto" w:sz="4" w:space="0"/>
            </w:tcBorders>
            <w:noWrap w:val="0"/>
            <w:vAlign w:val="center"/>
          </w:tcPr>
          <w:p w14:paraId="54AB8E03">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8907" w:type="dxa"/>
            <w:gridSpan w:val="2"/>
            <w:tcBorders>
              <w:top w:val="single" w:color="auto" w:sz="8" w:space="0"/>
              <w:bottom w:val="single" w:color="auto" w:sz="4" w:space="0"/>
            </w:tcBorders>
            <w:noWrap w:val="0"/>
            <w:vAlign w:val="center"/>
          </w:tcPr>
          <w:p w14:paraId="74C49669">
            <w:pPr>
              <w:tabs>
                <w:tab w:val="left" w:pos="360"/>
              </w:tabs>
              <w:rPr>
                <w:rFonts w:hint="eastAsia" w:ascii="宋体" w:hAnsi="宋体" w:cs="宋体"/>
                <w:color w:val="auto"/>
                <w:kern w:val="0"/>
                <w:szCs w:val="21"/>
                <w:highlight w:val="none"/>
              </w:rPr>
            </w:pPr>
            <w:r>
              <w:rPr>
                <w:rFonts w:hint="eastAsia" w:ascii="宋体" w:hAnsi="宋体" w:cs="宋体"/>
                <w:b/>
                <w:color w:val="auto"/>
                <w:kern w:val="0"/>
                <w:szCs w:val="21"/>
                <w:highlight w:val="none"/>
              </w:rPr>
              <w:t>投标文件密封及装订</w:t>
            </w:r>
            <w:r>
              <w:rPr>
                <w:rFonts w:hint="eastAsia" w:ascii="宋体" w:hAnsi="宋体" w:cs="宋体"/>
                <w:color w:val="auto"/>
                <w:kern w:val="0"/>
                <w:szCs w:val="21"/>
                <w:highlight w:val="none"/>
              </w:rPr>
              <w:t>：</w:t>
            </w:r>
            <w:r>
              <w:rPr>
                <w:rFonts w:hint="eastAsia"/>
                <w:color w:val="auto"/>
                <w:szCs w:val="21"/>
                <w:highlight w:val="none"/>
              </w:rPr>
              <w:t>商务标必须密封。</w:t>
            </w:r>
          </w:p>
        </w:tc>
      </w:tr>
      <w:tr w14:paraId="4D451E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58" w:hRule="atLeast"/>
          <w:jc w:val="center"/>
        </w:trPr>
        <w:tc>
          <w:tcPr>
            <w:tcW w:w="924" w:type="dxa"/>
            <w:tcBorders>
              <w:top w:val="single" w:color="auto" w:sz="4" w:space="0"/>
              <w:bottom w:val="single" w:color="auto" w:sz="4" w:space="0"/>
            </w:tcBorders>
            <w:noWrap w:val="0"/>
            <w:vAlign w:val="center"/>
          </w:tcPr>
          <w:p w14:paraId="584B2E50">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8907" w:type="dxa"/>
            <w:gridSpan w:val="2"/>
            <w:tcBorders>
              <w:top w:val="single" w:color="auto" w:sz="4" w:space="0"/>
              <w:bottom w:val="single" w:color="auto" w:sz="4" w:space="0"/>
            </w:tcBorders>
            <w:noWrap w:val="0"/>
            <w:vAlign w:val="center"/>
          </w:tcPr>
          <w:p w14:paraId="6ECC01BB">
            <w:pPr>
              <w:tabs>
                <w:tab w:val="left" w:pos="360"/>
              </w:tabs>
              <w:rPr>
                <w:rFonts w:hint="eastAsia" w:ascii="宋体" w:hAnsi="宋体" w:cs="宋体"/>
                <w:color w:val="auto"/>
                <w:kern w:val="0"/>
                <w:szCs w:val="21"/>
                <w:highlight w:val="none"/>
              </w:rPr>
            </w:pPr>
            <w:r>
              <w:rPr>
                <w:rFonts w:hint="eastAsia" w:ascii="宋体" w:hAnsi="宋体" w:cs="宋体"/>
                <w:b/>
                <w:color w:val="auto"/>
                <w:kern w:val="0"/>
                <w:szCs w:val="21"/>
                <w:highlight w:val="none"/>
              </w:rPr>
              <w:t>投标文件份数</w:t>
            </w:r>
            <w:r>
              <w:rPr>
                <w:rFonts w:hint="eastAsia" w:ascii="宋体" w:hAnsi="宋体" w:cs="宋体"/>
                <w:color w:val="auto"/>
                <w:kern w:val="0"/>
                <w:szCs w:val="21"/>
                <w:highlight w:val="none"/>
              </w:rPr>
              <w:t>：</w:t>
            </w:r>
            <w:r>
              <w:rPr>
                <w:rFonts w:hint="eastAsia"/>
                <w:b/>
                <w:color w:val="auto"/>
                <w:szCs w:val="21"/>
                <w:highlight w:val="none"/>
              </w:rPr>
              <w:t>商务标（正本一份、副本四份）</w:t>
            </w:r>
          </w:p>
        </w:tc>
      </w:tr>
      <w:tr w14:paraId="7ECC0F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24" w:type="dxa"/>
            <w:tcBorders>
              <w:top w:val="single" w:color="auto" w:sz="4" w:space="0"/>
            </w:tcBorders>
            <w:noWrap w:val="0"/>
            <w:vAlign w:val="center"/>
          </w:tcPr>
          <w:p w14:paraId="09BD44DA">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0</w:t>
            </w:r>
          </w:p>
        </w:tc>
        <w:tc>
          <w:tcPr>
            <w:tcW w:w="8907" w:type="dxa"/>
            <w:gridSpan w:val="2"/>
            <w:tcBorders>
              <w:top w:val="single" w:color="auto" w:sz="4" w:space="0"/>
            </w:tcBorders>
            <w:noWrap w:val="0"/>
            <w:vAlign w:val="center"/>
          </w:tcPr>
          <w:p w14:paraId="737C80FA">
            <w:pPr>
              <w:adjustRightInd w:val="0"/>
              <w:snapToGrid w:val="0"/>
              <w:spacing w:after="50" w:line="320" w:lineRule="exact"/>
              <w:rPr>
                <w:rFonts w:hint="eastAsia" w:ascii="宋体"/>
                <w:color w:val="auto"/>
                <w:kern w:val="21"/>
                <w:szCs w:val="21"/>
                <w:highlight w:val="none"/>
              </w:rPr>
            </w:pPr>
            <w:r>
              <w:rPr>
                <w:rFonts w:hint="eastAsia" w:ascii="宋体"/>
                <w:color w:val="auto"/>
                <w:kern w:val="21"/>
                <w:szCs w:val="21"/>
                <w:highlight w:val="none"/>
              </w:rPr>
              <w:t>投标文件仅由商务标组成。</w:t>
            </w:r>
          </w:p>
          <w:p w14:paraId="4E148FF9">
            <w:pPr>
              <w:snapToGrid w:val="0"/>
              <w:spacing w:after="50" w:line="320" w:lineRule="exact"/>
              <w:rPr>
                <w:rFonts w:hint="eastAsia" w:ascii="宋体" w:eastAsia="宋体" w:cs="Times New Roman"/>
                <w:b/>
                <w:bCs/>
                <w:color w:val="auto"/>
                <w:kern w:val="21"/>
                <w:szCs w:val="21"/>
                <w:highlight w:val="none"/>
                <w:lang w:val="en-US" w:eastAsia="zh-CN"/>
              </w:rPr>
            </w:pPr>
            <w:r>
              <w:rPr>
                <w:rFonts w:hint="eastAsia" w:ascii="宋体" w:eastAsia="宋体" w:cs="Times New Roman"/>
                <w:b/>
                <w:bCs/>
                <w:color w:val="auto"/>
                <w:kern w:val="21"/>
                <w:szCs w:val="21"/>
                <w:highlight w:val="none"/>
                <w:lang w:val="en-US" w:eastAsia="zh-CN"/>
              </w:rPr>
              <w:t>一：</w:t>
            </w:r>
            <w:r>
              <w:rPr>
                <w:rFonts w:hint="eastAsia" w:ascii="宋体" w:cs="Times New Roman"/>
                <w:b/>
                <w:bCs/>
                <w:color w:val="auto"/>
                <w:kern w:val="21"/>
                <w:szCs w:val="21"/>
                <w:highlight w:val="none"/>
                <w:lang w:val="en-US" w:eastAsia="zh-CN"/>
              </w:rPr>
              <w:t>商务</w:t>
            </w:r>
            <w:r>
              <w:rPr>
                <w:rFonts w:hint="eastAsia" w:ascii="宋体" w:eastAsia="宋体" w:cs="Times New Roman"/>
                <w:b/>
                <w:bCs/>
                <w:color w:val="auto"/>
                <w:kern w:val="21"/>
                <w:szCs w:val="21"/>
                <w:highlight w:val="none"/>
                <w:lang w:val="en-US" w:eastAsia="zh-CN"/>
              </w:rPr>
              <w:t>标包括：</w:t>
            </w:r>
          </w:p>
          <w:p w14:paraId="201B9002">
            <w:pPr>
              <w:numPr>
                <w:ilvl w:val="0"/>
                <w:numId w:val="3"/>
              </w:numPr>
              <w:adjustRightInd w:val="0"/>
              <w:snapToGrid w:val="0"/>
              <w:spacing w:after="50" w:line="320" w:lineRule="exact"/>
              <w:rPr>
                <w:rFonts w:hint="eastAsia" w:ascii="宋体"/>
                <w:b/>
                <w:bCs/>
                <w:color w:val="auto"/>
                <w:kern w:val="21"/>
                <w:szCs w:val="21"/>
                <w:highlight w:val="none"/>
                <w:lang w:val="en-US" w:eastAsia="zh-CN"/>
              </w:rPr>
            </w:pPr>
            <w:r>
              <w:rPr>
                <w:rFonts w:hint="eastAsia" w:ascii="宋体"/>
                <w:b/>
                <w:bCs/>
                <w:color w:val="auto"/>
                <w:kern w:val="21"/>
                <w:szCs w:val="21"/>
                <w:highlight w:val="none"/>
                <w:lang w:val="en-US" w:eastAsia="zh-CN"/>
              </w:rPr>
              <w:t>营业执照副本复印件。</w:t>
            </w:r>
          </w:p>
          <w:p w14:paraId="21CC2A92">
            <w:pPr>
              <w:numPr>
                <w:ilvl w:val="0"/>
                <w:numId w:val="3"/>
              </w:numPr>
              <w:adjustRightInd w:val="0"/>
              <w:snapToGrid w:val="0"/>
              <w:spacing w:after="50" w:line="320" w:lineRule="exact"/>
              <w:rPr>
                <w:rFonts w:hint="eastAsia" w:ascii="宋体"/>
                <w:b/>
                <w:bCs/>
                <w:color w:val="auto"/>
                <w:kern w:val="21"/>
                <w:szCs w:val="21"/>
                <w:highlight w:val="none"/>
                <w:lang w:val="en-US" w:eastAsia="zh-CN"/>
              </w:rPr>
            </w:pPr>
            <w:r>
              <w:rPr>
                <w:rFonts w:hint="eastAsia" w:ascii="宋体"/>
                <w:b/>
                <w:bCs/>
                <w:color w:val="auto"/>
                <w:kern w:val="21"/>
                <w:szCs w:val="21"/>
                <w:highlight w:val="none"/>
                <w:lang w:val="en-US" w:eastAsia="zh-CN"/>
              </w:rPr>
              <w:t>法定代表人授权委托书（如法定代表人参加投标的无需提供，格式见附件1）；</w:t>
            </w:r>
          </w:p>
          <w:p w14:paraId="073B161A">
            <w:pPr>
              <w:adjustRightInd w:val="0"/>
              <w:snapToGrid w:val="0"/>
              <w:spacing w:after="50" w:line="320" w:lineRule="exact"/>
              <w:rPr>
                <w:rFonts w:hint="eastAsia" w:ascii="宋体" w:eastAsia="宋体"/>
                <w:color w:val="auto"/>
                <w:kern w:val="21"/>
                <w:szCs w:val="21"/>
                <w:highlight w:val="none"/>
                <w:lang w:val="en-US" w:eastAsia="zh-CN"/>
              </w:rPr>
            </w:pPr>
            <w:r>
              <w:rPr>
                <w:rFonts w:hint="eastAsia" w:ascii="宋体"/>
                <w:b/>
                <w:bCs/>
                <w:color w:val="auto"/>
                <w:kern w:val="21"/>
                <w:szCs w:val="21"/>
                <w:highlight w:val="none"/>
              </w:rPr>
              <w:t>（</w:t>
            </w:r>
            <w:r>
              <w:rPr>
                <w:rFonts w:hint="eastAsia" w:ascii="宋体"/>
                <w:b/>
                <w:bCs/>
                <w:color w:val="auto"/>
                <w:kern w:val="21"/>
                <w:szCs w:val="21"/>
                <w:highlight w:val="none"/>
                <w:lang w:val="en-US" w:eastAsia="zh-CN"/>
              </w:rPr>
              <w:t>3</w:t>
            </w:r>
            <w:r>
              <w:rPr>
                <w:rFonts w:hint="eastAsia" w:ascii="宋体"/>
                <w:b/>
                <w:bCs/>
                <w:color w:val="auto"/>
                <w:kern w:val="21"/>
                <w:szCs w:val="21"/>
                <w:highlight w:val="none"/>
              </w:rPr>
              <w:t>）投标承诺书（</w:t>
            </w:r>
            <w:r>
              <w:rPr>
                <w:rFonts w:hint="eastAsia" w:ascii="宋体"/>
                <w:b/>
                <w:bCs/>
                <w:color w:val="auto"/>
                <w:kern w:val="21"/>
                <w:szCs w:val="21"/>
                <w:highlight w:val="none"/>
                <w:lang w:eastAsia="zh-CN"/>
              </w:rPr>
              <w:t>附件</w:t>
            </w:r>
            <w:r>
              <w:rPr>
                <w:rFonts w:hint="eastAsia" w:ascii="宋体"/>
                <w:b/>
                <w:bCs/>
                <w:color w:val="auto"/>
                <w:kern w:val="21"/>
                <w:szCs w:val="21"/>
                <w:highlight w:val="none"/>
                <w:lang w:val="en-US" w:eastAsia="zh-CN"/>
              </w:rPr>
              <w:t>2</w:t>
            </w:r>
            <w:r>
              <w:rPr>
                <w:rFonts w:hint="eastAsia" w:ascii="宋体"/>
                <w:b/>
                <w:bCs/>
                <w:color w:val="auto"/>
                <w:kern w:val="21"/>
                <w:szCs w:val="21"/>
                <w:highlight w:val="none"/>
              </w:rPr>
              <w:t>）</w:t>
            </w:r>
            <w:r>
              <w:rPr>
                <w:rFonts w:hint="eastAsia" w:ascii="宋体"/>
                <w:b/>
                <w:bCs/>
                <w:color w:val="auto"/>
                <w:kern w:val="21"/>
                <w:szCs w:val="21"/>
                <w:highlight w:val="none"/>
                <w:lang w:eastAsia="zh-CN"/>
              </w:rPr>
              <w:t>。</w:t>
            </w:r>
          </w:p>
        </w:tc>
      </w:tr>
      <w:tr w14:paraId="5D2C956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8" w:hRule="atLeast"/>
          <w:jc w:val="center"/>
        </w:trPr>
        <w:tc>
          <w:tcPr>
            <w:tcW w:w="924" w:type="dxa"/>
            <w:noWrap w:val="0"/>
            <w:vAlign w:val="center"/>
          </w:tcPr>
          <w:p w14:paraId="53D804FC">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1</w:t>
            </w:r>
          </w:p>
        </w:tc>
        <w:tc>
          <w:tcPr>
            <w:tcW w:w="8907" w:type="dxa"/>
            <w:gridSpan w:val="2"/>
            <w:noWrap w:val="0"/>
            <w:vAlign w:val="center"/>
          </w:tcPr>
          <w:p w14:paraId="53EC1425">
            <w:pPr>
              <w:rPr>
                <w:rFonts w:hint="eastAsia" w:ascii="宋体" w:hAnsi="宋体" w:eastAsia="宋体" w:cs="宋体"/>
                <w:color w:val="auto"/>
                <w:kern w:val="0"/>
                <w:szCs w:val="21"/>
                <w:highlight w:val="none"/>
                <w:lang w:eastAsia="zh-CN"/>
              </w:rPr>
            </w:pPr>
            <w:r>
              <w:rPr>
                <w:rFonts w:hint="eastAsia" w:ascii="宋体" w:hAnsi="宋体" w:cs="宋体"/>
                <w:b/>
                <w:bCs/>
                <w:color w:val="auto"/>
                <w:kern w:val="0"/>
                <w:szCs w:val="21"/>
                <w:highlight w:val="none"/>
              </w:rPr>
              <w:t>现场踏勘：本项目不组织。投标人</w:t>
            </w:r>
            <w:r>
              <w:rPr>
                <w:rFonts w:hint="eastAsia" w:ascii="宋体" w:hAnsi="宋体" w:cs="宋体"/>
                <w:b/>
                <w:bCs/>
                <w:color w:val="auto"/>
                <w:kern w:val="0"/>
                <w:szCs w:val="21"/>
                <w:highlight w:val="none"/>
                <w:lang w:val="en-US" w:eastAsia="zh-CN"/>
              </w:rPr>
              <w:t>投标前应</w:t>
            </w:r>
            <w:r>
              <w:rPr>
                <w:rFonts w:hint="eastAsia" w:ascii="宋体" w:hAnsi="宋体" w:cs="宋体"/>
                <w:b/>
                <w:bCs/>
                <w:color w:val="auto"/>
                <w:kern w:val="0"/>
                <w:szCs w:val="21"/>
                <w:highlight w:val="none"/>
              </w:rPr>
              <w:t>自行前往</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来参加投标的投标人即视为已熟悉现场全部条件，</w:t>
            </w:r>
            <w:r>
              <w:rPr>
                <w:rFonts w:hint="eastAsia" w:ascii="宋体" w:hAnsi="宋体" w:cs="宋体"/>
                <w:b/>
                <w:bCs/>
                <w:color w:val="auto"/>
                <w:kern w:val="0"/>
                <w:szCs w:val="21"/>
                <w:highlight w:val="none"/>
              </w:rPr>
              <w:t>投标人对土地现场等情况的推论、理解、结论，招标人概不负责</w:t>
            </w:r>
            <w:r>
              <w:rPr>
                <w:rFonts w:hint="eastAsia" w:ascii="宋体" w:hAnsi="宋体" w:cs="宋体"/>
                <w:b/>
                <w:bCs/>
                <w:color w:val="auto"/>
                <w:kern w:val="0"/>
                <w:szCs w:val="21"/>
                <w:highlight w:val="none"/>
                <w:lang w:eastAsia="zh-CN"/>
              </w:rPr>
              <w:t>。</w:t>
            </w:r>
          </w:p>
        </w:tc>
      </w:tr>
      <w:tr w14:paraId="3A057E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8" w:hRule="atLeast"/>
          <w:jc w:val="center"/>
        </w:trPr>
        <w:tc>
          <w:tcPr>
            <w:tcW w:w="924" w:type="dxa"/>
            <w:noWrap w:val="0"/>
            <w:vAlign w:val="center"/>
          </w:tcPr>
          <w:p w14:paraId="733F57A9">
            <w:pPr>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8907" w:type="dxa"/>
            <w:gridSpan w:val="2"/>
            <w:noWrap w:val="0"/>
            <w:vAlign w:val="center"/>
          </w:tcPr>
          <w:p w14:paraId="5EAEF111">
            <w:pPr>
              <w:numPr>
                <w:ilvl w:val="0"/>
                <w:numId w:val="0"/>
              </w:numPr>
              <w:autoSpaceDE w:val="0"/>
              <w:autoSpaceDN w:val="0"/>
              <w:snapToGrid w:val="0"/>
              <w:spacing w:line="360" w:lineRule="auto"/>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投标文件递交要求：</w:t>
            </w:r>
          </w:p>
          <w:p w14:paraId="608C29AB">
            <w:pPr>
              <w:numPr>
                <w:ilvl w:val="-1"/>
                <w:numId w:val="0"/>
              </w:numPr>
              <w:autoSpaceDE w:val="0"/>
              <w:autoSpaceDN w:val="0"/>
              <w:snapToGrid w:val="0"/>
              <w:spacing w:line="360" w:lineRule="auto"/>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投标人下列人员经招标人（招标代理机构）确认身份后再签名报到，以证明其出席开标会议：</w:t>
            </w:r>
          </w:p>
          <w:p w14:paraId="7B2D240C">
            <w:pPr>
              <w:numPr>
                <w:ilvl w:val="-1"/>
                <w:numId w:val="0"/>
              </w:numPr>
              <w:autoSpaceDE w:val="0"/>
              <w:autoSpaceDN w:val="0"/>
              <w:snapToGrid w:val="0"/>
              <w:spacing w:line="360" w:lineRule="auto"/>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①若是投标人委托代理人参加开标会议的，应持本人</w:t>
            </w:r>
            <w:r>
              <w:rPr>
                <w:rFonts w:hint="eastAsia" w:ascii="宋体" w:hAnsi="宋体" w:eastAsia="宋体" w:cs="宋体"/>
                <w:b w:val="0"/>
                <w:bCs w:val="0"/>
                <w:color w:val="auto"/>
                <w:kern w:val="0"/>
                <w:sz w:val="21"/>
                <w:szCs w:val="21"/>
                <w:highlight w:val="none"/>
              </w:rPr>
              <w:t>有效身份证原件</w:t>
            </w:r>
            <w:r>
              <w:rPr>
                <w:rFonts w:hint="eastAsia" w:ascii="宋体" w:hAnsi="宋体" w:eastAsia="宋体" w:cs="宋体"/>
                <w:color w:val="auto"/>
                <w:kern w:val="0"/>
                <w:sz w:val="21"/>
                <w:szCs w:val="21"/>
                <w:highlight w:val="none"/>
              </w:rPr>
              <w:t>（须为第二代身份证或第二代临时身份证）和针对本工程的</w:t>
            </w:r>
            <w:r>
              <w:rPr>
                <w:rFonts w:hint="eastAsia" w:ascii="宋体" w:hAnsi="宋体" w:cs="宋体"/>
                <w:b w:val="0"/>
                <w:bCs w:val="0"/>
                <w:color w:val="auto"/>
                <w:kern w:val="0"/>
                <w:sz w:val="21"/>
                <w:szCs w:val="21"/>
                <w:highlight w:val="none"/>
                <w:lang w:eastAsia="zh-CN"/>
              </w:rPr>
              <w:t>法定代表人授权委托书</w:t>
            </w:r>
            <w:r>
              <w:rPr>
                <w:rFonts w:hint="eastAsia" w:ascii="宋体" w:hAnsi="宋体" w:eastAsia="宋体" w:cs="宋体"/>
                <w:b w:val="0"/>
                <w:bCs w:val="0"/>
                <w:color w:val="auto"/>
                <w:kern w:val="0"/>
                <w:sz w:val="21"/>
                <w:szCs w:val="21"/>
                <w:highlight w:val="none"/>
              </w:rPr>
              <w:t>原件</w:t>
            </w:r>
            <w:r>
              <w:rPr>
                <w:rFonts w:hint="eastAsia" w:ascii="宋体" w:hAnsi="宋体" w:eastAsia="宋体" w:cs="宋体"/>
                <w:color w:val="auto"/>
                <w:kern w:val="0"/>
                <w:sz w:val="21"/>
                <w:szCs w:val="21"/>
                <w:highlight w:val="none"/>
              </w:rPr>
              <w:t>（参考附件）参加开标会议。</w:t>
            </w:r>
          </w:p>
          <w:p w14:paraId="22EA90C3">
            <w:pPr>
              <w:numPr>
                <w:ilvl w:val="-1"/>
                <w:numId w:val="0"/>
              </w:numPr>
              <w:autoSpaceDE w:val="0"/>
              <w:autoSpaceDN w:val="0"/>
              <w:snapToGrid w:val="0"/>
              <w:spacing w:line="360" w:lineRule="auto"/>
              <w:textAlignment w:val="bottom"/>
              <w:rPr>
                <w:rFonts w:hint="eastAsia" w:ascii="宋体" w:hAnsi="宋体" w:cs="宋体"/>
                <w:color w:val="auto"/>
                <w:kern w:val="0"/>
                <w:szCs w:val="21"/>
                <w:highlight w:val="none"/>
              </w:rPr>
            </w:pPr>
            <w:r>
              <w:rPr>
                <w:rFonts w:hint="eastAsia" w:ascii="宋体" w:hAnsi="宋体" w:eastAsia="宋体" w:cs="宋体"/>
                <w:color w:val="auto"/>
                <w:kern w:val="0"/>
                <w:sz w:val="21"/>
                <w:szCs w:val="21"/>
                <w:highlight w:val="none"/>
              </w:rPr>
              <w:t>②若是投标人的法定代表人参加开标会议的，法定代表人应持本人有效身份证原件（须为第二代身份证或第二代临时身份证）参加开标会议，否则投标文件不予签收。</w:t>
            </w:r>
          </w:p>
        </w:tc>
      </w:tr>
      <w:tr w14:paraId="4264C25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8" w:hRule="atLeast"/>
          <w:jc w:val="center"/>
        </w:trPr>
        <w:tc>
          <w:tcPr>
            <w:tcW w:w="924" w:type="dxa"/>
            <w:noWrap w:val="0"/>
            <w:vAlign w:val="center"/>
          </w:tcPr>
          <w:p w14:paraId="6020D39C">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8907" w:type="dxa"/>
            <w:gridSpan w:val="2"/>
            <w:noWrap w:val="0"/>
            <w:vAlign w:val="center"/>
          </w:tcPr>
          <w:p w14:paraId="6C715E08">
            <w:pPr>
              <w:widowControl/>
              <w:spacing w:line="240" w:lineRule="auto"/>
              <w:ind w:right="0" w:rightChars="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投标文件递交</w:t>
            </w:r>
            <w:r>
              <w:rPr>
                <w:rFonts w:hint="eastAsia" w:ascii="宋体" w:hAnsi="宋体" w:cs="宋体"/>
                <w:color w:val="auto"/>
                <w:kern w:val="0"/>
                <w:szCs w:val="21"/>
                <w:highlight w:val="none"/>
                <w:lang w:val="en-US" w:eastAsia="zh-CN"/>
              </w:rPr>
              <w:t>截止</w:t>
            </w:r>
            <w:r>
              <w:rPr>
                <w:rFonts w:hint="eastAsia" w:ascii="宋体" w:hAnsi="宋体" w:eastAsia="宋体" w:cs="宋体"/>
                <w:color w:val="auto"/>
                <w:kern w:val="0"/>
                <w:szCs w:val="21"/>
                <w:highlight w:val="none"/>
              </w:rPr>
              <w:t>及开</w:t>
            </w:r>
            <w:r>
              <w:rPr>
                <w:rFonts w:hint="eastAsia" w:ascii="宋体" w:hAnsi="宋体" w:cs="宋体"/>
                <w:color w:val="auto"/>
                <w:kern w:val="0"/>
                <w:szCs w:val="21"/>
                <w:highlight w:val="none"/>
                <w:lang w:val="en-US" w:eastAsia="zh-CN"/>
              </w:rPr>
              <w:t>评</w:t>
            </w:r>
            <w:r>
              <w:rPr>
                <w:rFonts w:hint="eastAsia" w:ascii="宋体" w:hAnsi="宋体" w:eastAsia="宋体" w:cs="宋体"/>
                <w:color w:val="auto"/>
                <w:kern w:val="0"/>
                <w:szCs w:val="21"/>
                <w:highlight w:val="none"/>
              </w:rPr>
              <w:t>标时间：202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lang w:val="en-US" w:eastAsia="zh-CN"/>
              </w:rPr>
              <w:t>11</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lang w:val="en-US" w:eastAsia="zh-CN"/>
              </w:rPr>
              <w:t>01</w:t>
            </w:r>
            <w:r>
              <w:rPr>
                <w:rFonts w:hint="eastAsia" w:ascii="宋体" w:hAnsi="宋体" w:eastAsia="宋体" w:cs="宋体"/>
                <w:color w:val="auto"/>
                <w:kern w:val="0"/>
                <w:szCs w:val="21"/>
                <w:highlight w:val="none"/>
              </w:rPr>
              <w:t>日</w:t>
            </w:r>
            <w:r>
              <w:rPr>
                <w:rFonts w:hint="eastAsia" w:ascii="宋体" w:hAnsi="宋体" w:cs="宋体"/>
                <w:color w:val="auto"/>
                <w:kern w:val="0"/>
                <w:szCs w:val="21"/>
                <w:highlight w:val="none"/>
                <w:lang w:val="en-US" w:eastAsia="zh-CN"/>
              </w:rPr>
              <w:t>上</w:t>
            </w:r>
            <w:r>
              <w:rPr>
                <w:rFonts w:hint="eastAsia" w:ascii="宋体" w:hAnsi="宋体" w:eastAsia="宋体" w:cs="宋体"/>
                <w:color w:val="auto"/>
                <w:kern w:val="0"/>
                <w:szCs w:val="21"/>
                <w:highlight w:val="none"/>
              </w:rPr>
              <w:t>午</w:t>
            </w:r>
            <w:r>
              <w:rPr>
                <w:rFonts w:hint="eastAsia" w:ascii="宋体" w:hAnsi="宋体" w:cs="宋体"/>
                <w:color w:val="auto"/>
                <w:kern w:val="0"/>
                <w:szCs w:val="21"/>
                <w:highlight w:val="none"/>
                <w:lang w:val="en-US" w:eastAsia="zh-CN"/>
              </w:rPr>
              <w:t>09</w:t>
            </w:r>
            <w:r>
              <w:rPr>
                <w:rFonts w:hint="eastAsia" w:ascii="宋体" w:hAnsi="宋体" w:eastAsia="宋体" w:cs="宋体"/>
                <w:color w:val="auto"/>
                <w:kern w:val="0"/>
                <w:szCs w:val="21"/>
                <w:highlight w:val="none"/>
              </w:rPr>
              <w:t xml:space="preserve">:30   </w:t>
            </w:r>
          </w:p>
          <w:p w14:paraId="189B50CD">
            <w:pPr>
              <w:widowControl/>
              <w:spacing w:line="240" w:lineRule="auto"/>
              <w:ind w:right="0" w:rightChars="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地点：</w:t>
            </w:r>
            <w:r>
              <w:rPr>
                <w:rFonts w:hint="eastAsia" w:ascii="宋体" w:hAnsi="宋体" w:cs="宋体"/>
                <w:color w:val="auto"/>
                <w:kern w:val="0"/>
                <w:szCs w:val="21"/>
                <w:highlight w:val="none"/>
              </w:rPr>
              <w:t>台州市椒江区开发大道东段818号台州湾新区海虹街道</w:t>
            </w:r>
            <w:r>
              <w:rPr>
                <w:rFonts w:hint="eastAsia" w:ascii="宋体" w:hAnsi="宋体" w:cs="宋体"/>
                <w:color w:val="auto"/>
                <w:kern w:val="0"/>
                <w:szCs w:val="21"/>
                <w:highlight w:val="none"/>
                <w:lang w:val="en-US" w:eastAsia="zh-CN"/>
              </w:rPr>
              <w:t>办事处六</w:t>
            </w:r>
            <w:r>
              <w:rPr>
                <w:rFonts w:hint="eastAsia" w:ascii="宋体" w:hAnsi="宋体" w:cs="宋体"/>
                <w:color w:val="auto"/>
                <w:kern w:val="0"/>
                <w:szCs w:val="21"/>
                <w:highlight w:val="none"/>
              </w:rPr>
              <w:t>楼大厅</w:t>
            </w:r>
          </w:p>
        </w:tc>
      </w:tr>
      <w:tr w14:paraId="20EF3E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57" w:hRule="atLeast"/>
          <w:jc w:val="center"/>
        </w:trPr>
        <w:tc>
          <w:tcPr>
            <w:tcW w:w="924" w:type="dxa"/>
            <w:noWrap w:val="0"/>
            <w:vAlign w:val="center"/>
          </w:tcPr>
          <w:p w14:paraId="7F5A509F">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8907" w:type="dxa"/>
            <w:gridSpan w:val="2"/>
            <w:noWrap w:val="0"/>
            <w:vAlign w:val="center"/>
          </w:tcPr>
          <w:p w14:paraId="59325842">
            <w:pPr>
              <w:rPr>
                <w:rFonts w:hint="eastAsia" w:ascii="宋体" w:hAnsi="宋体" w:cs="宋体"/>
                <w:color w:val="auto"/>
                <w:kern w:val="0"/>
                <w:szCs w:val="21"/>
                <w:highlight w:val="none"/>
              </w:rPr>
            </w:pPr>
            <w:r>
              <w:rPr>
                <w:rFonts w:hint="eastAsia" w:ascii="宋体" w:hAnsi="宋体" w:cs="宋体"/>
                <w:color w:val="auto"/>
                <w:kern w:val="0"/>
                <w:szCs w:val="21"/>
                <w:highlight w:val="none"/>
              </w:rPr>
              <w:t>开标程序：</w:t>
            </w:r>
          </w:p>
          <w:p w14:paraId="32AC947D">
            <w:pPr>
              <w:rPr>
                <w:rFonts w:hint="eastAsia" w:ascii="宋体" w:hAnsi="宋体" w:cs="宋体"/>
                <w:color w:val="auto"/>
                <w:kern w:val="0"/>
                <w:szCs w:val="21"/>
                <w:highlight w:val="none"/>
              </w:rPr>
            </w:pPr>
            <w:r>
              <w:rPr>
                <w:rFonts w:hint="eastAsia" w:ascii="宋体" w:hAnsi="宋体" w:cs="宋体"/>
                <w:color w:val="auto"/>
                <w:kern w:val="0"/>
                <w:szCs w:val="21"/>
                <w:highlight w:val="none"/>
              </w:rPr>
              <w:t>（1）投标人下列人员经招标人（招标代理机构）确认身份后再签名报到，以证明其出席开标会议：投标人法定代表人或委托代理人（必须出具本</w:t>
            </w:r>
            <w:r>
              <w:rPr>
                <w:rFonts w:hint="eastAsia" w:ascii="宋体" w:hAnsi="宋体" w:cs="宋体"/>
                <w:color w:val="auto"/>
                <w:kern w:val="0"/>
                <w:szCs w:val="21"/>
                <w:highlight w:val="none"/>
                <w:lang w:val="en-US" w:eastAsia="zh-CN"/>
              </w:rPr>
              <w:t>项目</w:t>
            </w:r>
            <w:r>
              <w:rPr>
                <w:rFonts w:hint="eastAsia" w:ascii="宋体" w:hAnsi="宋体" w:cs="宋体"/>
                <w:color w:val="auto"/>
                <w:kern w:val="0"/>
                <w:szCs w:val="21"/>
                <w:highlight w:val="none"/>
              </w:rPr>
              <w:t>授权委托书原件）应持本人有效身份证原件参加开标会议；</w:t>
            </w:r>
          </w:p>
          <w:p w14:paraId="2B69907D">
            <w:pP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（2）密封情况检查：由投标人法定代表人（或委托代理人）检查并签字确认；</w:t>
            </w:r>
            <w:r>
              <w:rPr>
                <w:rFonts w:hint="eastAsia" w:ascii="宋体" w:hAnsi="宋体" w:cs="宋体"/>
                <w:color w:val="auto"/>
                <w:kern w:val="0"/>
                <w:szCs w:val="21"/>
                <w:highlight w:val="none"/>
                <w:lang w:val="en-US" w:eastAsia="zh-CN"/>
              </w:rPr>
              <w:t xml:space="preserve"> </w:t>
            </w:r>
          </w:p>
          <w:p w14:paraId="5F4A94DE">
            <w:pPr>
              <w:ind w:left="103" w:hanging="102" w:hangingChars="49"/>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开启商务标</w:t>
            </w:r>
            <w:r>
              <w:rPr>
                <w:rFonts w:hint="eastAsia" w:ascii="宋体" w:hAnsi="宋体" w:cs="宋体"/>
                <w:color w:val="auto"/>
                <w:kern w:val="0"/>
                <w:szCs w:val="21"/>
                <w:highlight w:val="none"/>
              </w:rPr>
              <w:t>。</w:t>
            </w:r>
          </w:p>
        </w:tc>
      </w:tr>
      <w:tr w14:paraId="7411C95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924" w:type="dxa"/>
            <w:noWrap w:val="0"/>
            <w:vAlign w:val="center"/>
          </w:tcPr>
          <w:p w14:paraId="699027A8">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8907" w:type="dxa"/>
            <w:gridSpan w:val="2"/>
            <w:noWrap w:val="0"/>
            <w:vAlign w:val="center"/>
          </w:tcPr>
          <w:p w14:paraId="769BD1BA">
            <w:pPr>
              <w:rPr>
                <w:rFonts w:hint="eastAsia" w:ascii="宋体" w:hAnsi="宋体" w:cs="宋体"/>
                <w:color w:val="auto"/>
                <w:kern w:val="0"/>
                <w:szCs w:val="21"/>
                <w:highlight w:val="none"/>
              </w:rPr>
            </w:pPr>
            <w:r>
              <w:rPr>
                <w:rFonts w:hint="eastAsia" w:ascii="宋体" w:hAnsi="宋体" w:cs="宋体"/>
                <w:color w:val="auto"/>
                <w:kern w:val="0"/>
                <w:szCs w:val="21"/>
                <w:highlight w:val="none"/>
              </w:rPr>
              <w:t>评标办法：详见第</w:t>
            </w:r>
            <w:r>
              <w:rPr>
                <w:rFonts w:hint="eastAsia" w:ascii="宋体" w:hAnsi="宋体" w:cs="宋体"/>
                <w:color w:val="auto"/>
                <w:kern w:val="0"/>
                <w:szCs w:val="21"/>
                <w:highlight w:val="none"/>
                <w:lang w:val="en-US" w:eastAsia="zh-CN"/>
              </w:rPr>
              <w:t>四</w:t>
            </w:r>
            <w:r>
              <w:rPr>
                <w:rFonts w:hint="eastAsia" w:ascii="宋体" w:hAnsi="宋体" w:cs="宋体"/>
                <w:color w:val="auto"/>
                <w:kern w:val="0"/>
                <w:szCs w:val="21"/>
                <w:highlight w:val="none"/>
              </w:rPr>
              <w:t>章</w:t>
            </w:r>
          </w:p>
        </w:tc>
      </w:tr>
      <w:tr w14:paraId="2B28D66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24" w:type="dxa"/>
            <w:noWrap w:val="0"/>
            <w:vAlign w:val="center"/>
          </w:tcPr>
          <w:p w14:paraId="46AE0E45">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8907" w:type="dxa"/>
            <w:gridSpan w:val="2"/>
            <w:noWrap w:val="0"/>
            <w:vAlign w:val="center"/>
          </w:tcPr>
          <w:p w14:paraId="22285735">
            <w:pPr>
              <w:rPr>
                <w:rFonts w:hint="eastAsia" w:ascii="宋体" w:hAnsi="宋体" w:cs="宋体"/>
                <w:color w:val="auto"/>
                <w:kern w:val="0"/>
                <w:szCs w:val="21"/>
                <w:highlight w:val="none"/>
              </w:rPr>
            </w:pPr>
            <w:r>
              <w:rPr>
                <w:rFonts w:hint="eastAsia" w:ascii="宋体" w:hAnsi="宋体" w:cs="宋体"/>
                <w:color w:val="auto"/>
                <w:highlight w:val="none"/>
              </w:rPr>
              <w:t>履约保证金的收取及退还:中标人在合同签订前向招标人缴纳</w:t>
            </w:r>
            <w:r>
              <w:rPr>
                <w:rFonts w:hint="eastAsia" w:ascii="宋体" w:hAnsi="宋体" w:cs="宋体"/>
                <w:color w:val="auto"/>
                <w:highlight w:val="none"/>
                <w:lang w:val="en-US" w:eastAsia="zh-CN"/>
              </w:rPr>
              <w:t>合同金额的1%</w:t>
            </w:r>
            <w:r>
              <w:rPr>
                <w:rFonts w:hint="eastAsia" w:ascii="宋体" w:hAnsi="宋体" w:cs="宋体"/>
                <w:color w:val="auto"/>
                <w:highlight w:val="none"/>
              </w:rPr>
              <w:t>履约保证金</w:t>
            </w:r>
            <w:r>
              <w:rPr>
                <w:rFonts w:hint="eastAsia" w:ascii="宋体" w:hAnsi="宋体" w:cs="宋体"/>
                <w:color w:val="auto"/>
                <w:highlight w:val="none"/>
                <w:lang w:eastAsia="zh-CN"/>
              </w:rPr>
              <w:t>，</w:t>
            </w:r>
            <w:r>
              <w:rPr>
                <w:rFonts w:hint="eastAsia" w:ascii="宋体" w:hAnsi="宋体" w:cs="宋体"/>
                <w:color w:val="auto"/>
                <w:highlight w:val="none"/>
              </w:rPr>
              <w:t>采用现金</w:t>
            </w:r>
            <w:r>
              <w:rPr>
                <w:rFonts w:hint="eastAsia" w:ascii="宋体" w:hAnsi="宋体" w:cs="宋体"/>
                <w:color w:val="auto"/>
                <w:highlight w:val="none"/>
                <w:lang w:val="en-US" w:eastAsia="zh-CN"/>
              </w:rPr>
              <w:t>转账</w:t>
            </w:r>
            <w:r>
              <w:rPr>
                <w:rFonts w:hint="eastAsia" w:ascii="宋体" w:hAnsi="宋体" w:cs="宋体"/>
                <w:color w:val="auto"/>
                <w:highlight w:val="none"/>
              </w:rPr>
              <w:t>形式</w:t>
            </w:r>
            <w:r>
              <w:rPr>
                <w:rFonts w:hint="eastAsia" w:ascii="宋体" w:hAnsi="宋体" w:cs="宋体"/>
                <w:color w:val="auto"/>
                <w:highlight w:val="none"/>
                <w:lang w:eastAsia="zh-CN"/>
              </w:rPr>
              <w:t>。</w:t>
            </w:r>
            <w:r>
              <w:rPr>
                <w:rFonts w:hint="eastAsia" w:ascii="宋体" w:hAnsi="宋体" w:cs="宋体"/>
                <w:color w:val="auto"/>
                <w:highlight w:val="none"/>
              </w:rPr>
              <w:t>在合同到期且所有项目内容经验收合格后15日内无息退还。</w:t>
            </w:r>
          </w:p>
        </w:tc>
      </w:tr>
      <w:tr w14:paraId="0A3A782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51" w:hRule="atLeast"/>
          <w:jc w:val="center"/>
        </w:trPr>
        <w:tc>
          <w:tcPr>
            <w:tcW w:w="924" w:type="dxa"/>
            <w:noWrap w:val="0"/>
            <w:vAlign w:val="center"/>
          </w:tcPr>
          <w:p w14:paraId="6D038919">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7</w:t>
            </w:r>
          </w:p>
        </w:tc>
        <w:tc>
          <w:tcPr>
            <w:tcW w:w="8907" w:type="dxa"/>
            <w:gridSpan w:val="2"/>
            <w:noWrap w:val="0"/>
            <w:vAlign w:val="center"/>
          </w:tcPr>
          <w:p w14:paraId="6008BBDF">
            <w:pPr>
              <w:numPr>
                <w:ilvl w:val="0"/>
                <w:numId w:val="0"/>
              </w:numPr>
              <w:autoSpaceDE w:val="0"/>
              <w:autoSpaceDN w:val="0"/>
              <w:snapToGrid w:val="0"/>
              <w:spacing w:line="360" w:lineRule="auto"/>
              <w:textAlignment w:val="bottom"/>
              <w:rPr>
                <w:rFonts w:hint="eastAsia" w:ascii="宋体" w:hAnsi="宋体" w:cs="宋体"/>
                <w:color w:val="auto"/>
                <w:kern w:val="0"/>
                <w:szCs w:val="21"/>
                <w:highlight w:val="none"/>
              </w:rPr>
            </w:pPr>
            <w:r>
              <w:rPr>
                <w:rFonts w:hint="eastAsia" w:ascii="宋体" w:hAnsi="宋体" w:cs="宋体"/>
                <w:color w:val="auto"/>
                <w:kern w:val="0"/>
                <w:szCs w:val="21"/>
                <w:highlight w:val="none"/>
              </w:rPr>
              <w:t>本次招标范围内的土地只可用于农作物种植，不允许作为其它用途。种植成果归</w:t>
            </w:r>
            <w:r>
              <w:rPr>
                <w:rFonts w:hint="eastAsia" w:ascii="宋体" w:hAnsi="宋体" w:eastAsia="宋体" w:cs="宋体"/>
                <w:color w:val="auto"/>
                <w:kern w:val="0"/>
                <w:szCs w:val="21"/>
                <w:highlight w:val="none"/>
              </w:rPr>
              <w:t>中标人</w:t>
            </w:r>
            <w:r>
              <w:rPr>
                <w:rFonts w:hint="eastAsia" w:ascii="宋体" w:hAnsi="宋体" w:cs="宋体"/>
                <w:color w:val="auto"/>
                <w:kern w:val="0"/>
                <w:szCs w:val="21"/>
                <w:highlight w:val="none"/>
              </w:rPr>
              <w:t>所有，</w:t>
            </w:r>
            <w:r>
              <w:rPr>
                <w:rFonts w:hint="eastAsia" w:ascii="宋体" w:hAnsi="宋体" w:eastAsia="宋体" w:cs="宋体"/>
                <w:color w:val="auto"/>
                <w:kern w:val="0"/>
                <w:szCs w:val="21"/>
                <w:highlight w:val="none"/>
              </w:rPr>
              <w:t>中标人</w:t>
            </w:r>
            <w:r>
              <w:rPr>
                <w:rFonts w:hint="eastAsia" w:ascii="宋体" w:hAnsi="宋体" w:cs="宋体"/>
                <w:color w:val="auto"/>
                <w:kern w:val="0"/>
                <w:szCs w:val="21"/>
                <w:highlight w:val="none"/>
                <w:lang w:eastAsia="zh-CN"/>
              </w:rPr>
              <w:t>需</w:t>
            </w:r>
            <w:r>
              <w:rPr>
                <w:rFonts w:hint="eastAsia" w:ascii="宋体" w:hAnsi="宋体" w:cs="宋体"/>
                <w:color w:val="auto"/>
                <w:kern w:val="0"/>
                <w:szCs w:val="21"/>
                <w:highlight w:val="none"/>
              </w:rPr>
              <w:t>支付合同价款</w:t>
            </w:r>
            <w:r>
              <w:rPr>
                <w:rFonts w:hint="eastAsia" w:ascii="宋体" w:hAnsi="宋体" w:cs="宋体"/>
                <w:color w:val="auto"/>
                <w:kern w:val="0"/>
                <w:szCs w:val="21"/>
                <w:highlight w:val="none"/>
                <w:lang w:val="en-US" w:eastAsia="zh-CN"/>
              </w:rPr>
              <w:t>和水电费用</w:t>
            </w:r>
            <w:r>
              <w:rPr>
                <w:rFonts w:hint="eastAsia" w:ascii="宋体" w:hAnsi="宋体" w:cs="宋体"/>
                <w:color w:val="auto"/>
                <w:kern w:val="0"/>
                <w:szCs w:val="21"/>
                <w:highlight w:val="none"/>
              </w:rPr>
              <w:t>（具体支付方式详见合同条款），</w:t>
            </w:r>
            <w:r>
              <w:rPr>
                <w:rFonts w:hint="eastAsia" w:ascii="宋体" w:hAnsi="宋体" w:eastAsia="宋体" w:cs="宋体"/>
                <w:color w:val="auto"/>
                <w:kern w:val="0"/>
                <w:szCs w:val="21"/>
                <w:highlight w:val="none"/>
              </w:rPr>
              <w:t>中标人</w:t>
            </w:r>
            <w:r>
              <w:rPr>
                <w:rFonts w:hint="eastAsia" w:ascii="宋体" w:hAnsi="宋体" w:cs="宋体"/>
                <w:color w:val="auto"/>
                <w:kern w:val="0"/>
                <w:szCs w:val="21"/>
                <w:highlight w:val="none"/>
              </w:rPr>
              <w:t>需综合考虑本次投标可能的风险费用，投标报价单价一次性包死。</w:t>
            </w:r>
            <w:r>
              <w:rPr>
                <w:rFonts w:hint="eastAsia" w:ascii="宋体" w:hAnsi="宋体" w:eastAsia="宋体" w:cs="宋体"/>
                <w:color w:val="auto"/>
                <w:kern w:val="0"/>
                <w:szCs w:val="21"/>
                <w:highlight w:val="none"/>
              </w:rPr>
              <w:t>中标人</w:t>
            </w:r>
            <w:r>
              <w:rPr>
                <w:rFonts w:hint="eastAsia"/>
                <w:color w:val="auto"/>
                <w:highlight w:val="none"/>
              </w:rPr>
              <w:t>需充分考虑</w:t>
            </w:r>
            <w:r>
              <w:rPr>
                <w:rFonts w:hint="eastAsia"/>
                <w:color w:val="auto"/>
                <w:highlight w:val="none"/>
                <w:lang w:val="en-US" w:eastAsia="zh-CN"/>
              </w:rPr>
              <w:t>招标人</w:t>
            </w:r>
            <w:r>
              <w:rPr>
                <w:rFonts w:hint="eastAsia"/>
                <w:color w:val="auto"/>
                <w:highlight w:val="none"/>
              </w:rPr>
              <w:t>到期收回土地的时间因素，合理安排农作物种植的计划，充分</w:t>
            </w:r>
            <w:r>
              <w:rPr>
                <w:rFonts w:hint="eastAsia"/>
                <w:color w:val="auto"/>
                <w:highlight w:val="none"/>
                <w:lang w:eastAsia="zh-CN"/>
              </w:rPr>
              <w:t>考虑</w:t>
            </w:r>
            <w:r>
              <w:rPr>
                <w:rFonts w:hint="eastAsia"/>
                <w:color w:val="auto"/>
                <w:highlight w:val="none"/>
              </w:rPr>
              <w:t>农作物种植的季节性，以实现成本回收的最大化。</w:t>
            </w:r>
          </w:p>
        </w:tc>
      </w:tr>
      <w:tr w14:paraId="7BAF54C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91" w:hRule="atLeast"/>
          <w:jc w:val="center"/>
        </w:trPr>
        <w:tc>
          <w:tcPr>
            <w:tcW w:w="924" w:type="dxa"/>
            <w:noWrap w:val="0"/>
            <w:vAlign w:val="center"/>
          </w:tcPr>
          <w:p w14:paraId="3A67471C">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8</w:t>
            </w:r>
          </w:p>
        </w:tc>
        <w:tc>
          <w:tcPr>
            <w:tcW w:w="8907" w:type="dxa"/>
            <w:gridSpan w:val="2"/>
            <w:noWrap w:val="0"/>
            <w:vAlign w:val="center"/>
          </w:tcPr>
          <w:p w14:paraId="7E0363C9">
            <w:pPr>
              <w:rPr>
                <w:rFonts w:hint="eastAsia"/>
                <w:color w:val="auto"/>
                <w:szCs w:val="21"/>
                <w:highlight w:val="none"/>
              </w:rPr>
            </w:pPr>
            <w:r>
              <w:rPr>
                <w:rFonts w:hint="eastAsia" w:ascii="宋体" w:hAnsi="宋体" w:cs="宋体"/>
                <w:color w:val="auto"/>
                <w:kern w:val="0"/>
                <w:szCs w:val="21"/>
                <w:highlight w:val="none"/>
              </w:rPr>
              <w:t>投标报价的组成：</w:t>
            </w:r>
            <w:r>
              <w:rPr>
                <w:rFonts w:hint="eastAsia" w:ascii="宋体" w:hAnsi="宋体" w:cs="宋体"/>
                <w:color w:val="auto"/>
                <w:kern w:val="0"/>
                <w:szCs w:val="21"/>
                <w:highlight w:val="none"/>
                <w:lang w:val="en-US" w:eastAsia="zh-CN"/>
              </w:rPr>
              <w:t>投标报价为本次招标范围的租金，水电费及其他费用由投标单位自行支付。</w:t>
            </w:r>
            <w:r>
              <w:rPr>
                <w:rFonts w:hint="eastAsia" w:ascii="宋体" w:hAnsi="宋体" w:cs="宋体"/>
                <w:color w:val="auto"/>
                <w:kern w:val="0"/>
                <w:szCs w:val="21"/>
                <w:highlight w:val="none"/>
              </w:rPr>
              <w:t>各投标人应根据招标人提供的相关技术资料及要求，以及本</w:t>
            </w:r>
            <w:r>
              <w:rPr>
                <w:rFonts w:hint="eastAsia" w:ascii="宋体" w:hAnsi="宋体" w:cs="宋体"/>
                <w:color w:val="auto"/>
                <w:kern w:val="0"/>
                <w:szCs w:val="21"/>
                <w:highlight w:val="none"/>
                <w:lang w:eastAsia="zh-CN"/>
              </w:rPr>
              <w:t>项目</w:t>
            </w:r>
            <w:r>
              <w:rPr>
                <w:rFonts w:hint="eastAsia" w:ascii="宋体" w:hAnsi="宋体" w:cs="宋体"/>
                <w:color w:val="auto"/>
                <w:kern w:val="0"/>
                <w:szCs w:val="21"/>
                <w:highlight w:val="none"/>
              </w:rPr>
              <w:t>实际情况和自身的综合实力，竞报投标报价。</w:t>
            </w:r>
          </w:p>
        </w:tc>
      </w:tr>
      <w:tr w14:paraId="1E74D2D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79" w:hRule="atLeast"/>
          <w:jc w:val="center"/>
        </w:trPr>
        <w:tc>
          <w:tcPr>
            <w:tcW w:w="924" w:type="dxa"/>
            <w:noWrap w:val="0"/>
            <w:vAlign w:val="center"/>
          </w:tcPr>
          <w:p w14:paraId="66ADB48D">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9</w:t>
            </w:r>
          </w:p>
        </w:tc>
        <w:tc>
          <w:tcPr>
            <w:tcW w:w="8907" w:type="dxa"/>
            <w:gridSpan w:val="2"/>
            <w:noWrap w:val="0"/>
            <w:vAlign w:val="center"/>
          </w:tcPr>
          <w:p w14:paraId="5700FA3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0"/>
                <w:szCs w:val="21"/>
                <w:highlight w:val="none"/>
                <w:lang w:val="en-US" w:eastAsia="zh-CN"/>
              </w:rPr>
            </w:pPr>
            <w:r>
              <w:rPr>
                <w:rFonts w:hint="eastAsia" w:ascii="宋体" w:hAnsi="宋体" w:cs="宋体"/>
                <w:b/>
                <w:bCs/>
                <w:color w:val="auto"/>
                <w:kern w:val="0"/>
                <w:szCs w:val="21"/>
                <w:highlight w:val="none"/>
                <w:lang w:val="en-US" w:eastAsia="zh-CN"/>
              </w:rPr>
              <w:t>租赁要求</w:t>
            </w:r>
            <w:r>
              <w:rPr>
                <w:rFonts w:hint="eastAsia" w:ascii="宋体" w:hAnsi="宋体" w:cs="宋体"/>
                <w:color w:val="auto"/>
                <w:kern w:val="0"/>
                <w:szCs w:val="21"/>
                <w:highlight w:val="none"/>
                <w:lang w:val="en-US" w:eastAsia="zh-CN"/>
              </w:rPr>
              <w:t>：</w:t>
            </w:r>
          </w:p>
          <w:p w14:paraId="4AA12B4B">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①每1年必须种植粮食作物一季以上，租赁期满，合同自行终止，交回土地，不予延期，若作物未收割造成的损失由乙方自行承担。</w:t>
            </w:r>
          </w:p>
          <w:p w14:paraId="36746966">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②不得随意破坏现有农业基础设施，负责租赁期间内相关农业基础设施维护、检修、保养。</w:t>
            </w:r>
          </w:p>
          <w:p w14:paraId="1908BAB7">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③中标人签订合同后至土地交付之日前，需无条件配合招标人做好验收相关工作，并达到相关部门要求。</w:t>
            </w:r>
          </w:p>
          <w:p w14:paraId="553B4752">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④禁止任何形式的田间焚烧行为。</w:t>
            </w:r>
          </w:p>
          <w:p w14:paraId="158B741E">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⑤禁止任何形式的非农业作物种植及其堆场、种植花木、取土等行为。</w:t>
            </w:r>
          </w:p>
          <w:p w14:paraId="3E761737">
            <w:pPr>
              <w:pStyle w:val="23"/>
              <w:rPr>
                <w:rFonts w:hint="default"/>
                <w:color w:val="auto"/>
                <w:highlight w:val="none"/>
                <w:lang w:val="en-US" w:eastAsia="zh-CN"/>
              </w:rPr>
            </w:pPr>
            <w:r>
              <w:rPr>
                <w:rFonts w:hint="eastAsia" w:ascii="宋体" w:hAnsi="宋体" w:eastAsia="宋体" w:cs="宋体"/>
                <w:b/>
                <w:bCs/>
                <w:color w:val="auto"/>
                <w:kern w:val="0"/>
                <w:sz w:val="21"/>
                <w:szCs w:val="21"/>
                <w:highlight w:val="none"/>
                <w:lang w:val="en-US" w:eastAsia="zh-CN"/>
              </w:rPr>
              <w:fldChar w:fldCharType="begin"/>
            </w:r>
            <w:r>
              <w:rPr>
                <w:rFonts w:hint="eastAsia" w:ascii="宋体" w:hAnsi="宋体" w:eastAsia="宋体" w:cs="宋体"/>
                <w:b/>
                <w:bCs/>
                <w:color w:val="auto"/>
                <w:kern w:val="0"/>
                <w:sz w:val="21"/>
                <w:szCs w:val="21"/>
                <w:highlight w:val="none"/>
                <w:lang w:val="en-US" w:eastAsia="zh-CN"/>
              </w:rPr>
              <w:instrText xml:space="preserve"> = 6 \* GB3 \* MERGEFORMAT </w:instrText>
            </w:r>
            <w:r>
              <w:rPr>
                <w:rFonts w:hint="eastAsia" w:ascii="宋体" w:hAnsi="宋体" w:eastAsia="宋体" w:cs="宋体"/>
                <w:b/>
                <w:bCs/>
                <w:color w:val="auto"/>
                <w:kern w:val="0"/>
                <w:sz w:val="21"/>
                <w:szCs w:val="21"/>
                <w:highlight w:val="none"/>
                <w:lang w:val="en-US" w:eastAsia="zh-CN"/>
              </w:rPr>
              <w:fldChar w:fldCharType="separate"/>
            </w:r>
            <w:r>
              <w:rPr>
                <w:rFonts w:hint="eastAsia" w:ascii="宋体" w:hAnsi="宋体" w:eastAsia="宋体" w:cs="宋体"/>
                <w:b/>
                <w:bCs/>
                <w:color w:val="auto"/>
                <w:kern w:val="0"/>
                <w:sz w:val="21"/>
                <w:szCs w:val="21"/>
                <w:highlight w:val="none"/>
                <w:lang w:val="en-US" w:eastAsia="zh-CN"/>
              </w:rPr>
              <w:t>⑥</w:t>
            </w:r>
            <w:r>
              <w:rPr>
                <w:rFonts w:hint="eastAsia" w:ascii="宋体" w:hAnsi="宋体" w:eastAsia="宋体" w:cs="宋体"/>
                <w:b/>
                <w:bCs/>
                <w:color w:val="auto"/>
                <w:kern w:val="0"/>
                <w:sz w:val="21"/>
                <w:szCs w:val="21"/>
                <w:highlight w:val="none"/>
                <w:lang w:val="en-US" w:eastAsia="zh-CN"/>
              </w:rPr>
              <w:fldChar w:fldCharType="end"/>
            </w:r>
            <w:r>
              <w:rPr>
                <w:rFonts w:hint="eastAsia" w:ascii="宋体" w:hAnsi="宋体" w:eastAsia="宋体" w:cs="宋体"/>
                <w:b/>
                <w:bCs/>
                <w:color w:val="auto"/>
                <w:kern w:val="0"/>
                <w:sz w:val="21"/>
                <w:szCs w:val="21"/>
                <w:highlight w:val="none"/>
                <w:lang w:val="en-US" w:eastAsia="zh-CN"/>
              </w:rPr>
              <w:t>土地租赁范围内如需要土方填筑，由甲方统一安排，乙方不得私自运土方进场，否则按5000元每车的标准向甲方支付违约金。</w:t>
            </w:r>
          </w:p>
        </w:tc>
      </w:tr>
    </w:tbl>
    <w:p w14:paraId="5692DC67">
      <w:pPr>
        <w:rPr>
          <w:rFonts w:hint="eastAsia"/>
          <w:color w:val="auto"/>
          <w:highlight w:val="none"/>
        </w:rPr>
      </w:pPr>
    </w:p>
    <w:p w14:paraId="3F75D189">
      <w:pPr>
        <w:pStyle w:val="23"/>
        <w:rPr>
          <w:rFonts w:hint="eastAsia"/>
          <w:color w:val="auto"/>
          <w:highlight w:val="none"/>
        </w:rPr>
      </w:pPr>
    </w:p>
    <w:p w14:paraId="4F805476">
      <w:pPr>
        <w:pStyle w:val="23"/>
        <w:rPr>
          <w:rFonts w:hint="eastAsia"/>
          <w:color w:val="auto"/>
          <w:highlight w:val="none"/>
        </w:rPr>
      </w:pPr>
    </w:p>
    <w:p w14:paraId="151B7A66">
      <w:pPr>
        <w:pStyle w:val="23"/>
        <w:rPr>
          <w:rFonts w:hint="eastAsia"/>
          <w:color w:val="auto"/>
          <w:highlight w:val="none"/>
        </w:rPr>
      </w:pPr>
    </w:p>
    <w:p w14:paraId="34CFC511">
      <w:pPr>
        <w:pStyle w:val="23"/>
        <w:rPr>
          <w:rFonts w:hint="eastAsia"/>
          <w:color w:val="auto"/>
          <w:highlight w:val="none"/>
        </w:rPr>
      </w:pPr>
    </w:p>
    <w:p w14:paraId="38A80F27">
      <w:pPr>
        <w:pStyle w:val="23"/>
        <w:rPr>
          <w:rFonts w:hint="eastAsia"/>
          <w:color w:val="auto"/>
          <w:highlight w:val="none"/>
        </w:rPr>
      </w:pPr>
    </w:p>
    <w:p w14:paraId="78E59149">
      <w:pPr>
        <w:pStyle w:val="23"/>
        <w:rPr>
          <w:rFonts w:hint="eastAsia"/>
          <w:color w:val="auto"/>
          <w:highlight w:val="none"/>
        </w:rPr>
      </w:pPr>
    </w:p>
    <w:p w14:paraId="1E622A34">
      <w:pPr>
        <w:pStyle w:val="23"/>
        <w:rPr>
          <w:rFonts w:hint="eastAsia"/>
          <w:color w:val="auto"/>
          <w:highlight w:val="none"/>
        </w:rPr>
      </w:pPr>
    </w:p>
    <w:p w14:paraId="44FBF940">
      <w:pPr>
        <w:pStyle w:val="23"/>
        <w:rPr>
          <w:rFonts w:hint="eastAsia"/>
          <w:color w:val="auto"/>
          <w:highlight w:val="none"/>
        </w:rPr>
      </w:pPr>
    </w:p>
    <w:p w14:paraId="1C818065">
      <w:pPr>
        <w:pStyle w:val="23"/>
        <w:rPr>
          <w:rFonts w:hint="eastAsia"/>
          <w:color w:val="auto"/>
          <w:highlight w:val="none"/>
        </w:rPr>
      </w:pPr>
    </w:p>
    <w:p w14:paraId="08A43498">
      <w:pPr>
        <w:pStyle w:val="23"/>
        <w:rPr>
          <w:rFonts w:hint="eastAsia"/>
          <w:color w:val="auto"/>
          <w:highlight w:val="none"/>
        </w:rPr>
      </w:pPr>
    </w:p>
    <w:p w14:paraId="6C066A4C">
      <w:pPr>
        <w:pStyle w:val="3"/>
        <w:tabs>
          <w:tab w:val="left" w:pos="360"/>
        </w:tabs>
        <w:spacing w:line="240" w:lineRule="auto"/>
        <w:rPr>
          <w:rFonts w:hint="eastAsia" w:cs="Times New Roman"/>
          <w:color w:val="auto"/>
          <w:sz w:val="32"/>
          <w:szCs w:val="20"/>
          <w:highlight w:val="none"/>
        </w:rPr>
      </w:pPr>
      <w:bookmarkStart w:id="5" w:name="_Toc500208464"/>
      <w:bookmarkStart w:id="6" w:name="_Toc500209413"/>
      <w:r>
        <w:rPr>
          <w:rFonts w:hint="eastAsia" w:cs="Times New Roman"/>
          <w:color w:val="auto"/>
          <w:sz w:val="32"/>
          <w:szCs w:val="20"/>
          <w:highlight w:val="none"/>
        </w:rPr>
        <w:t xml:space="preserve">   </w:t>
      </w:r>
      <w:bookmarkStart w:id="7" w:name="_Toc458127840"/>
      <w:r>
        <w:rPr>
          <w:rFonts w:hint="eastAsia" w:cs="Times New Roman"/>
          <w:color w:val="auto"/>
          <w:sz w:val="32"/>
          <w:szCs w:val="20"/>
          <w:highlight w:val="none"/>
        </w:rPr>
        <w:t>第一节  总  则</w:t>
      </w:r>
      <w:bookmarkEnd w:id="5"/>
      <w:bookmarkEnd w:id="6"/>
      <w:bookmarkEnd w:id="7"/>
    </w:p>
    <w:p w14:paraId="33E01346">
      <w:pPr>
        <w:pStyle w:val="5"/>
        <w:tabs>
          <w:tab w:val="left" w:pos="360"/>
        </w:tabs>
        <w:ind w:left="0"/>
        <w:rPr>
          <w:rFonts w:hint="eastAsia"/>
          <w:color w:val="auto"/>
          <w:highlight w:val="none"/>
        </w:rPr>
      </w:pPr>
      <w:bookmarkStart w:id="8" w:name="_Toc458127841"/>
      <w:bookmarkStart w:id="9" w:name="_Toc188339045"/>
      <w:bookmarkStart w:id="10" w:name="_Toc188333752"/>
      <w:bookmarkStart w:id="11" w:name="_Toc155342528"/>
      <w:bookmarkStart w:id="12" w:name="_Toc169487776"/>
      <w:bookmarkStart w:id="13" w:name="_Toc500208465"/>
      <w:r>
        <w:rPr>
          <w:rFonts w:hint="eastAsia"/>
          <w:color w:val="auto"/>
          <w:highlight w:val="none"/>
        </w:rPr>
        <w:t>项目说明</w:t>
      </w:r>
      <w:bookmarkEnd w:id="8"/>
      <w:bookmarkEnd w:id="9"/>
      <w:bookmarkEnd w:id="10"/>
      <w:bookmarkEnd w:id="11"/>
      <w:bookmarkEnd w:id="12"/>
    </w:p>
    <w:p w14:paraId="0083E82A">
      <w:pPr>
        <w:pStyle w:val="2"/>
        <w:tabs>
          <w:tab w:val="left" w:pos="360"/>
        </w:tabs>
        <w:ind w:left="0" w:leftChars="0" w:firstLine="420" w:firstLineChars="200"/>
        <w:rPr>
          <w:rFonts w:hint="eastAsia" w:ascii="Arial" w:hAnsi="Arial" w:eastAsia="宋体"/>
          <w:color w:val="auto"/>
          <w:sz w:val="21"/>
          <w:highlight w:val="none"/>
        </w:rPr>
      </w:pPr>
      <w:r>
        <w:rPr>
          <w:rFonts w:hint="eastAsia" w:ascii="Arial" w:hAnsi="Arial" w:eastAsia="宋体"/>
          <w:color w:val="auto"/>
          <w:sz w:val="21"/>
          <w:highlight w:val="none"/>
        </w:rPr>
        <w:t>1.1</w:t>
      </w:r>
      <w:r>
        <w:rPr>
          <w:rFonts w:hint="eastAsia" w:ascii="Arial" w:hAnsi="宋体" w:eastAsia="宋体"/>
          <w:color w:val="auto"/>
          <w:sz w:val="21"/>
          <w:highlight w:val="none"/>
        </w:rPr>
        <w:t>本招标项目说明详见本须知前附表。</w:t>
      </w:r>
    </w:p>
    <w:p w14:paraId="5B41969E">
      <w:pPr>
        <w:pStyle w:val="5"/>
        <w:tabs>
          <w:tab w:val="left" w:pos="360"/>
        </w:tabs>
        <w:ind w:left="0"/>
        <w:rPr>
          <w:rFonts w:hint="eastAsia"/>
          <w:color w:val="auto"/>
          <w:highlight w:val="none"/>
        </w:rPr>
      </w:pPr>
      <w:bookmarkStart w:id="14" w:name="_Toc458127842"/>
      <w:bookmarkStart w:id="15" w:name="_Toc188333753"/>
      <w:bookmarkStart w:id="16" w:name="_Toc188339046"/>
      <w:bookmarkStart w:id="17" w:name="_Toc155342529"/>
      <w:bookmarkStart w:id="18" w:name="_Toc169487777"/>
      <w:r>
        <w:rPr>
          <w:rFonts w:hint="eastAsia"/>
          <w:color w:val="auto"/>
          <w:highlight w:val="none"/>
        </w:rPr>
        <w:t>招标范围</w:t>
      </w:r>
      <w:bookmarkEnd w:id="13"/>
      <w:bookmarkEnd w:id="14"/>
      <w:bookmarkEnd w:id="15"/>
      <w:bookmarkEnd w:id="16"/>
      <w:bookmarkEnd w:id="17"/>
      <w:bookmarkEnd w:id="18"/>
    </w:p>
    <w:p w14:paraId="2213A44D">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bookmarkStart w:id="19" w:name="_Toc500208466"/>
      <w:r>
        <w:rPr>
          <w:rFonts w:hint="eastAsia" w:ascii="Arial"/>
          <w:color w:val="auto"/>
          <w:highlight w:val="none"/>
        </w:rPr>
        <w:t>本招标项目的招标范围详见本须知前附表。</w:t>
      </w:r>
    </w:p>
    <w:p w14:paraId="589AAAFD">
      <w:pPr>
        <w:pStyle w:val="5"/>
        <w:tabs>
          <w:tab w:val="left" w:pos="360"/>
        </w:tabs>
        <w:ind w:left="0"/>
        <w:rPr>
          <w:rFonts w:hint="eastAsia"/>
          <w:color w:val="auto"/>
          <w:highlight w:val="none"/>
        </w:rPr>
      </w:pPr>
      <w:bookmarkStart w:id="20" w:name="_Toc188333754"/>
      <w:bookmarkStart w:id="21" w:name="_Toc188339047"/>
      <w:bookmarkStart w:id="22" w:name="_Toc458127843"/>
      <w:bookmarkStart w:id="23" w:name="_Toc169487778"/>
      <w:bookmarkStart w:id="24" w:name="_Toc155342530"/>
      <w:r>
        <w:rPr>
          <w:rFonts w:hint="eastAsia"/>
          <w:color w:val="auto"/>
          <w:highlight w:val="none"/>
        </w:rPr>
        <w:t>资金来源</w:t>
      </w:r>
      <w:bookmarkEnd w:id="19"/>
      <w:bookmarkEnd w:id="20"/>
      <w:bookmarkEnd w:id="21"/>
      <w:bookmarkEnd w:id="22"/>
      <w:bookmarkEnd w:id="23"/>
      <w:bookmarkEnd w:id="24"/>
    </w:p>
    <w:p w14:paraId="60E3E892">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本招标项目资金来源详见本须知前附表。</w:t>
      </w:r>
    </w:p>
    <w:p w14:paraId="272BB878">
      <w:pPr>
        <w:pStyle w:val="5"/>
        <w:tabs>
          <w:tab w:val="left" w:pos="360"/>
        </w:tabs>
        <w:ind w:left="0"/>
        <w:rPr>
          <w:rFonts w:hint="eastAsia"/>
          <w:color w:val="auto"/>
          <w:highlight w:val="none"/>
        </w:rPr>
      </w:pPr>
      <w:bookmarkStart w:id="25" w:name="_Toc169487779"/>
      <w:bookmarkStart w:id="26" w:name="_Toc458127844"/>
      <w:bookmarkStart w:id="27" w:name="_Toc155342531"/>
      <w:bookmarkStart w:id="28" w:name="_Toc188333755"/>
      <w:bookmarkStart w:id="29" w:name="_Toc188339048"/>
      <w:r>
        <w:rPr>
          <w:rFonts w:hint="eastAsia"/>
          <w:color w:val="auto"/>
          <w:highlight w:val="none"/>
        </w:rPr>
        <w:t>投标资格</w:t>
      </w:r>
      <w:bookmarkEnd w:id="25"/>
      <w:bookmarkEnd w:id="26"/>
      <w:bookmarkEnd w:id="27"/>
      <w:bookmarkEnd w:id="28"/>
      <w:bookmarkEnd w:id="29"/>
    </w:p>
    <w:p w14:paraId="55969CE5">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投标人资格要求详见本须知前附表。</w:t>
      </w:r>
    </w:p>
    <w:p w14:paraId="6A9FDF03">
      <w:pPr>
        <w:pStyle w:val="5"/>
        <w:tabs>
          <w:tab w:val="left" w:pos="360"/>
        </w:tabs>
        <w:ind w:left="0"/>
        <w:rPr>
          <w:rFonts w:hint="eastAsia"/>
          <w:color w:val="auto"/>
          <w:highlight w:val="none"/>
        </w:rPr>
      </w:pPr>
      <w:bookmarkStart w:id="30" w:name="_Toc188339049"/>
      <w:bookmarkStart w:id="31" w:name="_Toc188333756"/>
      <w:bookmarkStart w:id="32" w:name="_Toc458127845"/>
      <w:bookmarkStart w:id="33" w:name="_Toc155342532"/>
      <w:bookmarkStart w:id="34" w:name="_Toc169487780"/>
      <w:r>
        <w:rPr>
          <w:rFonts w:hint="eastAsia"/>
          <w:color w:val="auto"/>
          <w:highlight w:val="none"/>
        </w:rPr>
        <w:t>投标费用</w:t>
      </w:r>
      <w:bookmarkEnd w:id="30"/>
      <w:bookmarkEnd w:id="31"/>
      <w:bookmarkEnd w:id="32"/>
      <w:bookmarkEnd w:id="33"/>
      <w:bookmarkEnd w:id="34"/>
    </w:p>
    <w:p w14:paraId="49D8FD2E">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投标人应自行承担其参加投标活动自身发生的费用。</w:t>
      </w:r>
    </w:p>
    <w:p w14:paraId="1C532402">
      <w:pPr>
        <w:pStyle w:val="5"/>
        <w:tabs>
          <w:tab w:val="left" w:pos="360"/>
        </w:tabs>
        <w:ind w:left="0"/>
        <w:rPr>
          <w:rFonts w:hint="eastAsia" w:ascii="Arial" w:hAnsi="Arial" w:cs="Times New Roman"/>
          <w:b/>
          <w:color w:val="auto"/>
          <w:highlight w:val="none"/>
        </w:rPr>
      </w:pPr>
      <w:r>
        <w:rPr>
          <w:rFonts w:hint="eastAsia" w:ascii="Arial" w:hAnsi="Arial" w:cs="Times New Roman"/>
          <w:b/>
          <w:color w:val="auto"/>
          <w:highlight w:val="none"/>
        </w:rPr>
        <w:t>投标保证金</w:t>
      </w:r>
      <w:r>
        <w:rPr>
          <w:rFonts w:hint="eastAsia" w:ascii="Arial" w:hAnsi="Arial" w:cs="Times New Roman"/>
          <w:b/>
          <w:color w:val="auto"/>
          <w:highlight w:val="none"/>
          <w:lang w:eastAsia="zh-CN"/>
        </w:rPr>
        <w:t>：</w:t>
      </w:r>
    </w:p>
    <w:p w14:paraId="1FD1687C">
      <w:pPr>
        <w:pStyle w:val="8"/>
        <w:numPr>
          <w:ilvl w:val="1"/>
          <w:numId w:val="1"/>
        </w:numPr>
        <w:tabs>
          <w:tab w:val="left" w:pos="360"/>
          <w:tab w:val="left" w:pos="574"/>
        </w:tabs>
        <w:spacing w:after="0" w:line="288" w:lineRule="auto"/>
        <w:ind w:left="0" w:firstLine="420" w:firstLineChars="200"/>
        <w:rPr>
          <w:rFonts w:hint="eastAsia" w:ascii="Arial" w:hAnsi="Calibri" w:eastAsia="宋体" w:cs="Times New Roman"/>
          <w:color w:val="auto"/>
          <w:highlight w:val="none"/>
        </w:rPr>
      </w:pPr>
      <w:r>
        <w:rPr>
          <w:rFonts w:hint="eastAsia" w:ascii="Arial" w:hAnsi="Calibri" w:eastAsia="宋体" w:cs="Times New Roman"/>
          <w:color w:val="auto"/>
          <w:highlight w:val="none"/>
        </w:rPr>
        <w:t>投标人须按规定提交投标保证金。否则，其投标将被拒绝</w:t>
      </w:r>
      <w:r>
        <w:rPr>
          <w:rFonts w:hint="eastAsia" w:ascii="Arial" w:cs="Times New Roman"/>
          <w:color w:val="auto"/>
          <w:highlight w:val="none"/>
          <w:lang w:eastAsia="zh-CN"/>
        </w:rPr>
        <w:t>。</w:t>
      </w:r>
    </w:p>
    <w:p w14:paraId="432783F2">
      <w:pPr>
        <w:pStyle w:val="8"/>
        <w:numPr>
          <w:ilvl w:val="1"/>
          <w:numId w:val="1"/>
        </w:numPr>
        <w:tabs>
          <w:tab w:val="left" w:pos="360"/>
          <w:tab w:val="left" w:pos="574"/>
        </w:tabs>
        <w:spacing w:after="0" w:line="288" w:lineRule="auto"/>
        <w:ind w:left="0" w:firstLine="420" w:firstLineChars="200"/>
        <w:rPr>
          <w:rFonts w:hint="eastAsia" w:ascii="Arial" w:hAnsi="Calibri" w:eastAsia="宋体" w:cs="Times New Roman"/>
          <w:color w:val="auto"/>
          <w:highlight w:val="none"/>
        </w:rPr>
      </w:pPr>
      <w:r>
        <w:rPr>
          <w:rFonts w:hint="eastAsia" w:ascii="Arial" w:hAnsi="Calibri" w:eastAsia="宋体" w:cs="Times New Roman"/>
          <w:color w:val="auto"/>
          <w:highlight w:val="none"/>
        </w:rPr>
        <w:t>保证金形式</w:t>
      </w:r>
      <w:r>
        <w:rPr>
          <w:rFonts w:hint="eastAsia" w:ascii="Arial" w:cs="Times New Roman"/>
          <w:color w:val="auto"/>
          <w:highlight w:val="none"/>
          <w:lang w:eastAsia="zh-CN"/>
        </w:rPr>
        <w:t>：</w:t>
      </w:r>
      <w:r>
        <w:rPr>
          <w:rFonts w:hint="eastAsia" w:ascii="Arial" w:hAnsi="Calibri" w:eastAsia="宋体" w:cs="Times New Roman"/>
          <w:color w:val="auto"/>
          <w:highlight w:val="none"/>
        </w:rPr>
        <w:t>转账、电汇、银行汇票、银行保函、保险机构保证保险保单、融资担保公司保函。</w:t>
      </w:r>
    </w:p>
    <w:p w14:paraId="208324FF">
      <w:pPr>
        <w:pStyle w:val="8"/>
        <w:numPr>
          <w:ilvl w:val="1"/>
          <w:numId w:val="1"/>
        </w:numPr>
        <w:tabs>
          <w:tab w:val="left" w:pos="360"/>
          <w:tab w:val="left" w:pos="574"/>
        </w:tabs>
        <w:spacing w:after="0" w:line="288" w:lineRule="auto"/>
        <w:ind w:left="0" w:firstLine="420" w:firstLineChars="200"/>
        <w:rPr>
          <w:rFonts w:hint="eastAsia" w:ascii="Arial" w:hAnsi="Calibri" w:eastAsia="宋体" w:cs="Times New Roman"/>
          <w:color w:val="auto"/>
          <w:highlight w:val="none"/>
        </w:rPr>
      </w:pPr>
      <w:r>
        <w:rPr>
          <w:rFonts w:hint="eastAsia" w:ascii="Arial" w:hAnsi="Calibri" w:eastAsia="宋体" w:cs="Times New Roman"/>
          <w:color w:val="auto"/>
          <w:highlight w:val="none"/>
        </w:rPr>
        <w:t>投标人有下列情形之一的，投标保证金将不予退还</w:t>
      </w:r>
      <w:r>
        <w:rPr>
          <w:rFonts w:hint="eastAsia" w:ascii="Arial" w:hAnsi="Calibri" w:eastAsia="宋体" w:cs="Times New Roman"/>
          <w:color w:val="auto"/>
          <w:highlight w:val="none"/>
          <w:lang w:eastAsia="zh-CN"/>
        </w:rPr>
        <w:t>：</w:t>
      </w:r>
    </w:p>
    <w:p w14:paraId="7334328B">
      <w:pPr>
        <w:pStyle w:val="8"/>
        <w:numPr>
          <w:ilvl w:val="0"/>
          <w:numId w:val="0"/>
        </w:numPr>
        <w:tabs>
          <w:tab w:val="left" w:pos="360"/>
          <w:tab w:val="left" w:pos="574"/>
        </w:tabs>
        <w:spacing w:after="0" w:line="288" w:lineRule="auto"/>
        <w:ind w:leftChars="200"/>
        <w:rPr>
          <w:rFonts w:hint="eastAsia" w:ascii="Arial" w:hAnsi="Calibri" w:eastAsia="宋体" w:cs="Times New Roman"/>
          <w:color w:val="auto"/>
          <w:highlight w:val="none"/>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1</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投标人在投标有效期内撤回投标文件的</w:t>
      </w:r>
      <w:r>
        <w:rPr>
          <w:rFonts w:hint="eastAsia" w:ascii="Arial" w:hAnsi="Calibri" w:eastAsia="宋体" w:cs="Times New Roman"/>
          <w:color w:val="auto"/>
          <w:highlight w:val="none"/>
          <w:lang w:eastAsia="zh-CN"/>
        </w:rPr>
        <w:t>；</w:t>
      </w:r>
    </w:p>
    <w:p w14:paraId="4D28B1B7">
      <w:pPr>
        <w:pStyle w:val="8"/>
        <w:numPr>
          <w:ilvl w:val="0"/>
          <w:numId w:val="0"/>
        </w:numPr>
        <w:tabs>
          <w:tab w:val="left" w:pos="360"/>
          <w:tab w:val="left" w:pos="574"/>
        </w:tabs>
        <w:spacing w:after="0" w:line="288" w:lineRule="auto"/>
        <w:ind w:firstLine="420" w:firstLine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2</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未按规定提交</w:t>
      </w:r>
      <w:r>
        <w:rPr>
          <w:rFonts w:hint="eastAsia" w:ascii="Arial" w:cs="Times New Roman"/>
          <w:color w:val="auto"/>
          <w:highlight w:val="none"/>
          <w:lang w:val="en-US" w:eastAsia="zh-CN"/>
        </w:rPr>
        <w:t>履</w:t>
      </w:r>
      <w:r>
        <w:rPr>
          <w:rFonts w:hint="eastAsia" w:ascii="Arial" w:hAnsi="Calibri" w:eastAsia="宋体" w:cs="Times New Roman"/>
          <w:color w:val="auto"/>
          <w:highlight w:val="none"/>
        </w:rPr>
        <w:t>约保证金的</w:t>
      </w:r>
      <w:r>
        <w:rPr>
          <w:rFonts w:hint="eastAsia" w:ascii="Arial" w:hAnsi="Calibri" w:eastAsia="宋体" w:cs="Times New Roman"/>
          <w:color w:val="auto"/>
          <w:highlight w:val="none"/>
          <w:lang w:eastAsia="zh-CN"/>
        </w:rPr>
        <w:t>；</w:t>
      </w:r>
    </w:p>
    <w:p w14:paraId="2A0BFCB3">
      <w:pPr>
        <w:pStyle w:val="8"/>
        <w:numPr>
          <w:ilvl w:val="0"/>
          <w:numId w:val="0"/>
        </w:numPr>
        <w:tabs>
          <w:tab w:val="left" w:pos="360"/>
          <w:tab w:val="left" w:pos="574"/>
        </w:tabs>
        <w:spacing w:after="0" w:line="288" w:lineRule="auto"/>
        <w:ind w:firstLine="420" w:firstLine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3</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投标人在投标过程中弄虚作假，提供虚假材料的</w:t>
      </w:r>
      <w:r>
        <w:rPr>
          <w:rFonts w:hint="eastAsia" w:ascii="Arial" w:hAnsi="Calibri" w:eastAsia="宋体" w:cs="Times New Roman"/>
          <w:color w:val="auto"/>
          <w:highlight w:val="none"/>
          <w:lang w:eastAsia="zh-CN"/>
        </w:rPr>
        <w:t>；</w:t>
      </w:r>
    </w:p>
    <w:p w14:paraId="135FE21E">
      <w:pPr>
        <w:pStyle w:val="8"/>
        <w:numPr>
          <w:ilvl w:val="0"/>
          <w:numId w:val="0"/>
        </w:numPr>
        <w:tabs>
          <w:tab w:val="left" w:pos="360"/>
          <w:tab w:val="left" w:pos="574"/>
        </w:tabs>
        <w:spacing w:after="0" w:line="288" w:lineRule="auto"/>
        <w:ind w:left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4</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中标人无正当理由不与</w:t>
      </w:r>
      <w:r>
        <w:rPr>
          <w:rFonts w:hint="eastAsia" w:ascii="Arial" w:cs="Times New Roman"/>
          <w:color w:val="auto"/>
          <w:highlight w:val="none"/>
          <w:lang w:eastAsia="zh-CN"/>
        </w:rPr>
        <w:t>招标人</w:t>
      </w:r>
      <w:r>
        <w:rPr>
          <w:rFonts w:hint="eastAsia" w:ascii="Arial" w:hAnsi="Calibri" w:eastAsia="宋体" w:cs="Times New Roman"/>
          <w:color w:val="auto"/>
          <w:highlight w:val="none"/>
        </w:rPr>
        <w:t>签订合同的</w:t>
      </w:r>
      <w:r>
        <w:rPr>
          <w:rFonts w:hint="eastAsia" w:ascii="Arial" w:hAnsi="Calibri" w:eastAsia="宋体" w:cs="Times New Roman"/>
          <w:color w:val="auto"/>
          <w:highlight w:val="none"/>
          <w:lang w:eastAsia="zh-CN"/>
        </w:rPr>
        <w:t>；</w:t>
      </w:r>
    </w:p>
    <w:p w14:paraId="07D97FF7">
      <w:pPr>
        <w:pStyle w:val="8"/>
        <w:numPr>
          <w:ilvl w:val="0"/>
          <w:numId w:val="0"/>
        </w:numPr>
        <w:tabs>
          <w:tab w:val="left" w:pos="360"/>
          <w:tab w:val="left" w:pos="574"/>
        </w:tabs>
        <w:spacing w:after="0" w:line="288" w:lineRule="auto"/>
        <w:ind w:left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5</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将中标项目转让给他人</w:t>
      </w:r>
      <w:r>
        <w:rPr>
          <w:rFonts w:hint="eastAsia" w:ascii="Arial" w:cs="Times New Roman"/>
          <w:color w:val="auto"/>
          <w:highlight w:val="none"/>
          <w:lang w:eastAsia="zh-CN"/>
        </w:rPr>
        <w:t>，</w:t>
      </w:r>
      <w:r>
        <w:rPr>
          <w:rFonts w:hint="eastAsia" w:ascii="Arial" w:hAnsi="Calibri" w:eastAsia="宋体" w:cs="Times New Roman"/>
          <w:color w:val="auto"/>
          <w:highlight w:val="none"/>
        </w:rPr>
        <w:t>或者在投标文件中未说明且未经招标</w:t>
      </w:r>
      <w:r>
        <w:rPr>
          <w:rFonts w:hint="eastAsia" w:ascii="Arial" w:cs="Times New Roman"/>
          <w:color w:val="auto"/>
          <w:highlight w:val="none"/>
          <w:lang w:val="en-US" w:eastAsia="zh-CN"/>
        </w:rPr>
        <w:t>人</w:t>
      </w:r>
      <w:r>
        <w:rPr>
          <w:rFonts w:hint="eastAsia" w:ascii="Arial" w:hAnsi="Calibri" w:eastAsia="宋体" w:cs="Times New Roman"/>
          <w:color w:val="auto"/>
          <w:highlight w:val="none"/>
        </w:rPr>
        <w:t>同意将中标项目分包给他人的</w:t>
      </w:r>
      <w:r>
        <w:rPr>
          <w:rFonts w:hint="eastAsia" w:ascii="Arial" w:hAnsi="Calibri" w:eastAsia="宋体" w:cs="Times New Roman"/>
          <w:color w:val="auto"/>
          <w:highlight w:val="none"/>
          <w:lang w:eastAsia="zh-CN"/>
        </w:rPr>
        <w:t>；</w:t>
      </w:r>
    </w:p>
    <w:p w14:paraId="759BCB2E">
      <w:pPr>
        <w:pStyle w:val="8"/>
        <w:numPr>
          <w:ilvl w:val="0"/>
          <w:numId w:val="0"/>
        </w:numPr>
        <w:tabs>
          <w:tab w:val="left" w:pos="360"/>
          <w:tab w:val="left" w:pos="574"/>
        </w:tabs>
        <w:spacing w:after="0" w:line="288" w:lineRule="auto"/>
        <w:ind w:leftChars="200"/>
        <w:rPr>
          <w:rFonts w:hint="eastAsia" w:ascii="Arial" w:hAnsi="Arial" w:eastAsia="宋体"/>
          <w:color w:val="auto"/>
          <w:highlight w:val="none"/>
          <w:lang w:eastAsia="zh-CN"/>
        </w:rPr>
      </w:pPr>
      <w:r>
        <w:rPr>
          <w:rFonts w:hint="eastAsia" w:ascii="Arial" w:hAnsi="Calibri" w:eastAsia="宋体" w:cs="Times New Roman"/>
          <w:color w:val="auto"/>
          <w:highlight w:val="none"/>
          <w:lang w:eastAsia="zh-CN"/>
        </w:rPr>
        <w:t>（</w:t>
      </w:r>
      <w:r>
        <w:rPr>
          <w:rFonts w:hint="eastAsia" w:ascii="Arial" w:cs="Times New Roman"/>
          <w:color w:val="auto"/>
          <w:highlight w:val="none"/>
          <w:lang w:val="en-US" w:eastAsia="zh-CN"/>
        </w:rPr>
        <w:t>6</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其他严重扰乱招投标程序的</w:t>
      </w:r>
      <w:r>
        <w:rPr>
          <w:rFonts w:hint="eastAsia" w:ascii="Arial" w:hAnsi="Calibri" w:eastAsia="宋体" w:cs="Times New Roman"/>
          <w:color w:val="auto"/>
          <w:highlight w:val="none"/>
          <w:lang w:eastAsia="zh-CN"/>
        </w:rPr>
        <w:t>。</w:t>
      </w:r>
    </w:p>
    <w:p w14:paraId="55D53D10">
      <w:pPr>
        <w:pStyle w:val="5"/>
        <w:tabs>
          <w:tab w:val="left" w:pos="360"/>
        </w:tabs>
        <w:ind w:left="0"/>
        <w:rPr>
          <w:rFonts w:hint="eastAsia"/>
          <w:color w:val="auto"/>
          <w:highlight w:val="none"/>
        </w:rPr>
      </w:pPr>
      <w:bookmarkStart w:id="35" w:name="_Toc169487782"/>
      <w:bookmarkStart w:id="36" w:name="_Toc188339051"/>
      <w:bookmarkStart w:id="37" w:name="_Toc188333758"/>
      <w:bookmarkStart w:id="38" w:name="_Toc458127846"/>
      <w:bookmarkStart w:id="39" w:name="_Toc155342534"/>
      <w:r>
        <w:rPr>
          <w:rFonts w:hint="eastAsia"/>
          <w:color w:val="auto"/>
          <w:highlight w:val="none"/>
        </w:rPr>
        <w:t>踏勘现场</w:t>
      </w:r>
      <w:bookmarkEnd w:id="35"/>
      <w:bookmarkEnd w:id="36"/>
      <w:bookmarkEnd w:id="37"/>
      <w:bookmarkEnd w:id="38"/>
      <w:bookmarkEnd w:id="39"/>
    </w:p>
    <w:p w14:paraId="497225C1">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本项目招标人不统一组织现场踏勘。投标人可自行对工程施工现场和周围环境进行踏勘，以获取编制投标文件和签署合同所需的资料</w:t>
      </w:r>
      <w:r>
        <w:rPr>
          <w:rFonts w:hint="eastAsia" w:ascii="Arial"/>
          <w:color w:val="auto"/>
          <w:highlight w:val="none"/>
          <w:lang w:eastAsia="zh-CN"/>
        </w:rPr>
        <w:t>。</w:t>
      </w:r>
      <w:r>
        <w:rPr>
          <w:rFonts w:hint="eastAsia" w:ascii="Arial"/>
          <w:color w:val="auto"/>
          <w:highlight w:val="none"/>
        </w:rPr>
        <w:t>踏勘现场所发生的费用由投标人自己承担。</w:t>
      </w:r>
    </w:p>
    <w:p w14:paraId="0C878181">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招标人向投标人提供的有关施工现场的资料和数据，是招标人现有的能使投标人利用的资料。招标人对投标人由此而作出的推论、理解、结论概不负责。</w:t>
      </w:r>
    </w:p>
    <w:p w14:paraId="2A996E1A">
      <w:pPr>
        <w:pStyle w:val="8"/>
        <w:numPr>
          <w:ilvl w:val="-1"/>
          <w:numId w:val="0"/>
        </w:numPr>
        <w:tabs>
          <w:tab w:val="left" w:pos="360"/>
          <w:tab w:val="left" w:pos="574"/>
        </w:tabs>
        <w:spacing w:after="0" w:line="288" w:lineRule="auto"/>
        <w:ind w:left="0" w:leftChars="0" w:firstLine="420" w:firstLineChars="200"/>
        <w:jc w:val="left"/>
        <w:rPr>
          <w:rFonts w:hint="eastAsia" w:ascii="Arial" w:hAnsi="Calibri" w:eastAsia="宋体" w:cs="Times New Roman"/>
          <w:b w:val="0"/>
          <w:color w:val="auto"/>
          <w:kern w:val="2"/>
          <w:sz w:val="21"/>
          <w:highlight w:val="none"/>
        </w:rPr>
      </w:pPr>
      <w:r>
        <w:rPr>
          <w:rFonts w:hint="eastAsia" w:ascii="Arial" w:cs="Times New Roman"/>
          <w:color w:val="auto"/>
          <w:highlight w:val="none"/>
          <w:lang w:val="en-US" w:eastAsia="zh-CN"/>
        </w:rPr>
        <w:t>7.3</w:t>
      </w:r>
      <w:r>
        <w:rPr>
          <w:rFonts w:hint="eastAsia" w:ascii="Arial" w:eastAsia="宋体" w:cs="Times New Roman"/>
          <w:color w:val="auto"/>
          <w:highlight w:val="none"/>
        </w:rPr>
        <w:t>除招标人向投标人提供本工程有关的情况外，投标人应通过自行调查取得与承包本项目可</w:t>
      </w:r>
      <w:bookmarkStart w:id="40" w:name="_Toc500208467"/>
      <w:bookmarkStart w:id="41" w:name="_Toc500209414"/>
      <w:r>
        <w:rPr>
          <w:rFonts w:hint="eastAsia" w:ascii="Arial" w:eastAsia="宋体" w:cs="Times New Roman"/>
          <w:color w:val="auto"/>
          <w:highlight w:val="none"/>
        </w:rPr>
        <w:t>能发</w:t>
      </w:r>
      <w:r>
        <w:rPr>
          <w:rFonts w:hint="eastAsia" w:ascii="Arial" w:eastAsia="宋体" w:cs="Times New Roman"/>
          <w:color w:val="auto"/>
          <w:highlight w:val="none"/>
          <w:lang w:val="en-US" w:eastAsia="zh-CN"/>
        </w:rPr>
        <w:t>生</w:t>
      </w:r>
      <w:r>
        <w:rPr>
          <w:rFonts w:hint="eastAsia" w:ascii="Arial" w:eastAsia="宋体" w:cs="Times New Roman"/>
          <w:color w:val="auto"/>
          <w:highlight w:val="none"/>
        </w:rPr>
        <w:t>的费用等有关的全部情况，包括交通、环保、治安等规定和要求；其费用投标人自理。</w:t>
      </w:r>
    </w:p>
    <w:p w14:paraId="0E934B1B">
      <w:pPr>
        <w:pStyle w:val="3"/>
        <w:tabs>
          <w:tab w:val="left" w:pos="360"/>
        </w:tabs>
        <w:rPr>
          <w:rFonts w:hint="eastAsia"/>
          <w:color w:val="auto"/>
          <w:highlight w:val="none"/>
        </w:rPr>
      </w:pPr>
      <w:bookmarkStart w:id="42" w:name="_Toc458127847"/>
      <w:r>
        <w:rPr>
          <w:rFonts w:hint="eastAsia"/>
          <w:color w:val="auto"/>
          <w:highlight w:val="none"/>
        </w:rPr>
        <w:t>第二节  招标文件</w:t>
      </w:r>
      <w:bookmarkEnd w:id="40"/>
      <w:bookmarkEnd w:id="41"/>
      <w:bookmarkEnd w:id="42"/>
    </w:p>
    <w:p w14:paraId="23C89D83">
      <w:pPr>
        <w:pStyle w:val="5"/>
        <w:tabs>
          <w:tab w:val="left" w:pos="360"/>
        </w:tabs>
        <w:ind w:left="0"/>
        <w:rPr>
          <w:rFonts w:hint="eastAsia"/>
          <w:color w:val="auto"/>
          <w:highlight w:val="none"/>
        </w:rPr>
      </w:pPr>
      <w:bookmarkStart w:id="43" w:name="_Toc169487784"/>
      <w:bookmarkStart w:id="44" w:name="_Toc155342536"/>
      <w:bookmarkStart w:id="45" w:name="_Toc188333760"/>
      <w:bookmarkStart w:id="46" w:name="_Toc500208468"/>
      <w:bookmarkStart w:id="47" w:name="_Toc458127848"/>
      <w:bookmarkStart w:id="48" w:name="_Toc188339053"/>
      <w:r>
        <w:rPr>
          <w:rFonts w:hint="eastAsia"/>
          <w:color w:val="auto"/>
          <w:highlight w:val="none"/>
        </w:rPr>
        <w:t>招标文件的组成</w:t>
      </w:r>
      <w:bookmarkEnd w:id="43"/>
      <w:bookmarkEnd w:id="44"/>
      <w:bookmarkEnd w:id="45"/>
      <w:bookmarkEnd w:id="46"/>
      <w:bookmarkEnd w:id="47"/>
      <w:bookmarkEnd w:id="48"/>
    </w:p>
    <w:p w14:paraId="622BC8F5">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招标文件包括下列内容：</w:t>
      </w:r>
    </w:p>
    <w:p w14:paraId="00AB0A97">
      <w:pPr>
        <w:pStyle w:val="8"/>
        <w:tabs>
          <w:tab w:val="left" w:pos="360"/>
        </w:tabs>
        <w:ind w:firstLine="420" w:firstLineChars="200"/>
        <w:rPr>
          <w:rFonts w:hint="eastAsia" w:ascii="Arial"/>
          <w:color w:val="auto"/>
          <w:highlight w:val="none"/>
          <w:lang w:val="en-US" w:eastAsia="zh-CN"/>
        </w:rPr>
      </w:pPr>
      <w:r>
        <w:rPr>
          <w:rFonts w:hint="eastAsia" w:ascii="Arial"/>
          <w:color w:val="auto"/>
          <w:highlight w:val="none"/>
          <w:lang w:val="en-US" w:eastAsia="zh-CN"/>
        </w:rPr>
        <w:t>招标公告；</w:t>
      </w:r>
    </w:p>
    <w:p w14:paraId="012E24D1">
      <w:pPr>
        <w:pStyle w:val="8"/>
        <w:tabs>
          <w:tab w:val="left" w:pos="360"/>
        </w:tabs>
        <w:ind w:firstLine="420" w:firstLineChars="200"/>
        <w:rPr>
          <w:rFonts w:hint="eastAsia" w:ascii="Arial" w:hAnsi="Arial"/>
          <w:color w:val="auto"/>
          <w:highlight w:val="none"/>
        </w:rPr>
      </w:pPr>
      <w:r>
        <w:rPr>
          <w:rFonts w:hint="eastAsia" w:ascii="Arial"/>
          <w:color w:val="auto"/>
          <w:highlight w:val="none"/>
          <w:lang w:val="en-US" w:eastAsia="zh-CN"/>
        </w:rPr>
        <w:t>招标需求</w:t>
      </w:r>
      <w:r>
        <w:rPr>
          <w:rFonts w:hint="eastAsia" w:ascii="Arial"/>
          <w:color w:val="auto"/>
          <w:highlight w:val="none"/>
        </w:rPr>
        <w:t>；</w:t>
      </w:r>
    </w:p>
    <w:p w14:paraId="10F308FF">
      <w:pPr>
        <w:pStyle w:val="8"/>
        <w:tabs>
          <w:tab w:val="left" w:pos="360"/>
        </w:tabs>
        <w:ind w:firstLine="420" w:firstLineChars="200"/>
        <w:rPr>
          <w:rFonts w:hint="eastAsia" w:ascii="Arial" w:hAnsi="Arial"/>
          <w:color w:val="auto"/>
          <w:highlight w:val="none"/>
        </w:rPr>
      </w:pPr>
      <w:r>
        <w:rPr>
          <w:rFonts w:hint="eastAsia" w:ascii="Arial"/>
          <w:color w:val="auto"/>
          <w:highlight w:val="none"/>
          <w:lang w:val="en-US" w:eastAsia="zh-CN"/>
        </w:rPr>
        <w:t>投标须知</w:t>
      </w:r>
      <w:r>
        <w:rPr>
          <w:rFonts w:hint="eastAsia" w:ascii="Arial"/>
          <w:color w:val="auto"/>
          <w:highlight w:val="none"/>
        </w:rPr>
        <w:t>；</w:t>
      </w:r>
    </w:p>
    <w:p w14:paraId="497BAF5E">
      <w:pPr>
        <w:pStyle w:val="8"/>
        <w:tabs>
          <w:tab w:val="left" w:pos="360"/>
        </w:tabs>
        <w:ind w:firstLine="420" w:firstLineChars="200"/>
        <w:rPr>
          <w:rFonts w:hint="eastAsia" w:ascii="Arial" w:hAnsi="Arial"/>
          <w:color w:val="auto"/>
          <w:highlight w:val="none"/>
        </w:rPr>
      </w:pPr>
      <w:r>
        <w:rPr>
          <w:rFonts w:hint="eastAsia" w:ascii="Arial"/>
          <w:color w:val="auto"/>
          <w:highlight w:val="none"/>
        </w:rPr>
        <w:t>评标办法；</w:t>
      </w:r>
    </w:p>
    <w:p w14:paraId="45EF1CB4">
      <w:pPr>
        <w:pStyle w:val="8"/>
        <w:tabs>
          <w:tab w:val="left" w:pos="360"/>
        </w:tabs>
        <w:ind w:firstLine="420" w:firstLineChars="200"/>
        <w:rPr>
          <w:rFonts w:hint="eastAsia" w:ascii="Arial" w:hAnsi="Arial"/>
          <w:color w:val="auto"/>
          <w:highlight w:val="none"/>
        </w:rPr>
      </w:pPr>
      <w:r>
        <w:rPr>
          <w:rFonts w:hint="eastAsia" w:ascii="Arial"/>
          <w:color w:val="auto"/>
          <w:highlight w:val="none"/>
          <w:lang w:val="en-US" w:eastAsia="zh-CN"/>
        </w:rPr>
        <w:t>承租合同</w:t>
      </w:r>
      <w:r>
        <w:rPr>
          <w:rFonts w:hint="eastAsia" w:ascii="Arial"/>
          <w:color w:val="auto"/>
          <w:highlight w:val="none"/>
        </w:rPr>
        <w:t>；</w:t>
      </w:r>
    </w:p>
    <w:p w14:paraId="275CCBF2">
      <w:pPr>
        <w:pStyle w:val="8"/>
        <w:tabs>
          <w:tab w:val="left" w:pos="360"/>
        </w:tabs>
        <w:ind w:firstLine="420" w:firstLineChars="200"/>
        <w:rPr>
          <w:rFonts w:hint="eastAsia" w:ascii="Arial" w:eastAsia="宋体"/>
          <w:color w:val="auto"/>
          <w:highlight w:val="none"/>
          <w:lang w:eastAsia="zh-CN"/>
        </w:rPr>
      </w:pPr>
      <w:r>
        <w:rPr>
          <w:rFonts w:hint="eastAsia" w:ascii="Arial"/>
          <w:color w:val="auto"/>
          <w:highlight w:val="none"/>
        </w:rPr>
        <w:t>投标文件格式</w:t>
      </w:r>
      <w:r>
        <w:rPr>
          <w:rFonts w:hint="eastAsia" w:ascii="Arial"/>
          <w:color w:val="auto"/>
          <w:highlight w:val="none"/>
          <w:lang w:eastAsia="zh-CN"/>
        </w:rPr>
        <w:t>。</w:t>
      </w:r>
    </w:p>
    <w:p w14:paraId="4FC7E9D7">
      <w:pPr>
        <w:pStyle w:val="8"/>
        <w:numPr>
          <w:ilvl w:val="1"/>
          <w:numId w:val="1"/>
        </w:numPr>
        <w:tabs>
          <w:tab w:val="left" w:pos="360"/>
          <w:tab w:val="left" w:pos="574"/>
        </w:tabs>
        <w:spacing w:after="0" w:line="288" w:lineRule="auto"/>
        <w:ind w:left="0" w:firstLine="422" w:firstLineChars="200"/>
        <w:rPr>
          <w:rFonts w:hint="eastAsia" w:ascii="Arial" w:hAnsi="Arial"/>
          <w:color w:val="auto"/>
          <w:highlight w:val="none"/>
        </w:rPr>
      </w:pPr>
      <w:r>
        <w:rPr>
          <w:rFonts w:hint="eastAsia" w:ascii="黑体" w:eastAsia="黑体"/>
          <w:b/>
          <w:color w:val="auto"/>
          <w:highlight w:val="none"/>
        </w:rPr>
        <w:t>除上款内容外，招标人在提交投标文件截止时间前，发布在网上（发布招标公告的媒体上）对招标文件的澄清或修改内容，均为招标文件的组成部分，对招标人和投标人起约束作用，投标人应经常浏览发布招标公告的媒体。</w:t>
      </w:r>
    </w:p>
    <w:p w14:paraId="1BCDA836">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color w:val="auto"/>
          <w:highlight w:val="none"/>
        </w:rPr>
        <w:t>投标人</w:t>
      </w:r>
      <w:r>
        <w:rPr>
          <w:rFonts w:hint="eastAsia"/>
          <w:color w:val="auto"/>
          <w:highlight w:val="none"/>
        </w:rPr>
        <w:t>通过</w:t>
      </w:r>
      <w:r>
        <w:rPr>
          <w:rFonts w:hint="eastAsia"/>
          <w:color w:val="auto"/>
          <w:highlight w:val="none"/>
          <w:lang w:val="en-US" w:eastAsia="zh-CN"/>
        </w:rPr>
        <w:t>现场报名</w:t>
      </w:r>
      <w:r>
        <w:rPr>
          <w:rFonts w:hint="eastAsia"/>
          <w:color w:val="auto"/>
          <w:highlight w:val="none"/>
        </w:rPr>
        <w:t>的方式获取招标文件及相关附件。投标人在</w:t>
      </w:r>
      <w:r>
        <w:rPr>
          <w:color w:val="auto"/>
          <w:highlight w:val="none"/>
        </w:rPr>
        <w:t>获取招标文件后，应仔细检查招标文件的所有内容，如有残缺等问题</w:t>
      </w:r>
      <w:r>
        <w:rPr>
          <w:rFonts w:hint="eastAsia"/>
          <w:color w:val="auto"/>
          <w:highlight w:val="none"/>
        </w:rPr>
        <w:t>建议自</w:t>
      </w:r>
      <w:r>
        <w:rPr>
          <w:rFonts w:hint="eastAsia"/>
          <w:color w:val="auto"/>
          <w:highlight w:val="none"/>
          <w:lang w:val="en-US" w:eastAsia="zh-CN"/>
        </w:rPr>
        <w:t>获取</w:t>
      </w:r>
      <w:r>
        <w:rPr>
          <w:rFonts w:hint="eastAsia"/>
          <w:color w:val="auto"/>
          <w:highlight w:val="none"/>
        </w:rPr>
        <w:t>招标文件3日内</w:t>
      </w:r>
      <w:r>
        <w:rPr>
          <w:color w:val="auto"/>
          <w:highlight w:val="none"/>
        </w:rPr>
        <w:t>向招标人提出，否则，由此引起的损失由投标人自己承担。投标人应同时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14:paraId="552EDAF4">
      <w:pPr>
        <w:pStyle w:val="5"/>
        <w:tabs>
          <w:tab w:val="left" w:pos="360"/>
        </w:tabs>
        <w:ind w:left="0"/>
        <w:rPr>
          <w:rFonts w:hint="eastAsia"/>
          <w:color w:val="auto"/>
          <w:highlight w:val="none"/>
        </w:rPr>
      </w:pPr>
      <w:bookmarkStart w:id="49" w:name="_Toc500208469"/>
      <w:bookmarkStart w:id="50" w:name="_Toc188333761"/>
      <w:bookmarkStart w:id="51" w:name="_Toc458127849"/>
      <w:bookmarkStart w:id="52" w:name="_Toc188339054"/>
      <w:bookmarkStart w:id="53" w:name="_Toc155342537"/>
      <w:bookmarkStart w:id="54" w:name="_Toc169487785"/>
      <w:r>
        <w:rPr>
          <w:rFonts w:hint="eastAsia"/>
          <w:color w:val="auto"/>
          <w:highlight w:val="none"/>
        </w:rPr>
        <w:t>招标文件的</w:t>
      </w:r>
      <w:bookmarkEnd w:id="49"/>
      <w:r>
        <w:rPr>
          <w:rFonts w:hint="eastAsia"/>
          <w:color w:val="auto"/>
          <w:highlight w:val="none"/>
        </w:rPr>
        <w:t>澄清</w:t>
      </w:r>
      <w:bookmarkEnd w:id="50"/>
      <w:bookmarkEnd w:id="51"/>
      <w:bookmarkEnd w:id="52"/>
      <w:bookmarkEnd w:id="53"/>
      <w:bookmarkEnd w:id="54"/>
    </w:p>
    <w:p w14:paraId="3DE2CB3B">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color w:val="auto"/>
          <w:highlight w:val="none"/>
        </w:rPr>
        <w:t>投标人获取招标文件后，若有问题需要澄清，建议自招标文件</w:t>
      </w:r>
      <w:r>
        <w:rPr>
          <w:rFonts w:hint="eastAsia"/>
          <w:color w:val="auto"/>
          <w:highlight w:val="none"/>
          <w:lang w:val="en-US" w:eastAsia="zh-CN"/>
        </w:rPr>
        <w:t>获取</w:t>
      </w:r>
      <w:r>
        <w:rPr>
          <w:rFonts w:hint="eastAsia"/>
          <w:color w:val="auto"/>
          <w:highlight w:val="none"/>
        </w:rPr>
        <w:t>3日内，以书面形式向招标人提出。招标人及招标代理机构的任何工作人员对投标人所作的任何口头解释、介绍、答复，只能供投标人参考，对招标人无任何约束力。</w:t>
      </w:r>
    </w:p>
    <w:p w14:paraId="72F4E6A1">
      <w:pPr>
        <w:pStyle w:val="5"/>
        <w:tabs>
          <w:tab w:val="left" w:pos="360"/>
        </w:tabs>
        <w:ind w:left="0"/>
        <w:rPr>
          <w:rFonts w:hint="eastAsia"/>
          <w:color w:val="auto"/>
          <w:highlight w:val="none"/>
        </w:rPr>
      </w:pPr>
      <w:bookmarkStart w:id="55" w:name="_Toc155342538"/>
      <w:bookmarkStart w:id="56" w:name="_Toc169487786"/>
      <w:bookmarkStart w:id="57" w:name="_Toc458127850"/>
      <w:bookmarkStart w:id="58" w:name="_Toc188333762"/>
      <w:bookmarkStart w:id="59" w:name="_Toc500208470"/>
      <w:bookmarkStart w:id="60" w:name="_Toc188339055"/>
      <w:r>
        <w:rPr>
          <w:rFonts w:hint="eastAsia"/>
          <w:color w:val="auto"/>
          <w:highlight w:val="none"/>
        </w:rPr>
        <w:t>招标文件的修改</w:t>
      </w:r>
      <w:bookmarkEnd w:id="55"/>
      <w:bookmarkEnd w:id="56"/>
      <w:bookmarkEnd w:id="57"/>
      <w:bookmarkEnd w:id="58"/>
      <w:bookmarkEnd w:id="59"/>
      <w:bookmarkEnd w:id="60"/>
    </w:p>
    <w:p w14:paraId="31AC64FD">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bookmarkStart w:id="61" w:name="_Toc188333763"/>
      <w:bookmarkStart w:id="62" w:name="_Toc155342539"/>
      <w:bookmarkStart w:id="63" w:name="_Toc169487787"/>
      <w:bookmarkStart w:id="64" w:name="_Toc188339056"/>
      <w:r>
        <w:rPr>
          <w:rFonts w:hint="eastAsia" w:ascii="Arial"/>
          <w:color w:val="auto"/>
          <w:highlight w:val="none"/>
        </w:rPr>
        <w:t>在投标截止日期前，招标人可能以补充通知的方式修改招标文件。</w:t>
      </w:r>
    </w:p>
    <w:p w14:paraId="098C53FE">
      <w:pPr>
        <w:spacing w:line="360" w:lineRule="auto"/>
        <w:ind w:firstLine="420" w:firstLineChars="200"/>
        <w:rPr>
          <w:rFonts w:hint="eastAsia" w:ascii="Arial" w:hAnsi="宋体"/>
          <w:color w:val="auto"/>
          <w:highlight w:val="none"/>
        </w:rPr>
      </w:pPr>
      <w:r>
        <w:rPr>
          <w:rFonts w:hint="eastAsia" w:ascii="Arial" w:hAnsi="宋体"/>
          <w:color w:val="auto"/>
          <w:highlight w:val="none"/>
          <w:lang w:val="en-US" w:eastAsia="zh-CN"/>
        </w:rPr>
        <w:t>10.2</w:t>
      </w:r>
      <w:r>
        <w:rPr>
          <w:rFonts w:hint="eastAsia" w:ascii="Arial" w:hAnsi="宋体"/>
          <w:color w:val="auto"/>
          <w:highlight w:val="none"/>
        </w:rPr>
        <w:t>招标文件的澄清、修改、补充等内容均以发布（发布招标公告的媒体上）的内容为准。当招标文件、招标文件的澄清、修改、补充等在同一内容的表述上不一致时，以最后发出的文件为准。</w:t>
      </w:r>
    </w:p>
    <w:p w14:paraId="23ED2274">
      <w:pPr>
        <w:spacing w:line="360" w:lineRule="auto"/>
        <w:ind w:firstLine="420" w:firstLineChars="200"/>
        <w:rPr>
          <w:rFonts w:hint="eastAsia" w:ascii="Arial" w:hAnsi="宋体"/>
          <w:color w:val="auto"/>
          <w:highlight w:val="none"/>
        </w:rPr>
      </w:pPr>
      <w:r>
        <w:rPr>
          <w:rFonts w:hint="eastAsia" w:ascii="Arial" w:hAnsi="宋体"/>
          <w:color w:val="auto"/>
          <w:highlight w:val="none"/>
          <w:lang w:val="en-US" w:eastAsia="zh-CN"/>
        </w:rPr>
        <w:t>10.3</w:t>
      </w:r>
      <w:r>
        <w:rPr>
          <w:rFonts w:hint="eastAsia" w:ascii="Arial" w:hAnsi="宋体"/>
          <w:color w:val="auto"/>
          <w:highlight w:val="none"/>
        </w:rPr>
        <w:t>招标文件的澄清、修改、补充等内容将发布在网上（发布招标公告的媒体上），这些内容作为招标文件的组成部分，对投标人起约束作用。</w:t>
      </w:r>
    </w:p>
    <w:bookmarkEnd w:id="61"/>
    <w:bookmarkEnd w:id="62"/>
    <w:bookmarkEnd w:id="63"/>
    <w:bookmarkEnd w:id="64"/>
    <w:p w14:paraId="3C283A6F">
      <w:pPr>
        <w:pStyle w:val="5"/>
        <w:tabs>
          <w:tab w:val="left" w:pos="360"/>
        </w:tabs>
        <w:ind w:left="0"/>
        <w:rPr>
          <w:rFonts w:hint="eastAsia"/>
          <w:color w:val="auto"/>
          <w:highlight w:val="none"/>
        </w:rPr>
      </w:pPr>
      <w:bookmarkStart w:id="65" w:name="_Toc458127851"/>
      <w:bookmarkStart w:id="66" w:name="_Toc188339057"/>
      <w:bookmarkStart w:id="67" w:name="_Toc169487788"/>
      <w:bookmarkStart w:id="68" w:name="_Toc155342540"/>
      <w:bookmarkStart w:id="69" w:name="_Toc188333764"/>
      <w:r>
        <w:rPr>
          <w:rFonts w:hint="eastAsia"/>
          <w:color w:val="auto"/>
          <w:highlight w:val="none"/>
        </w:rPr>
        <w:t>招标文件的解释权</w:t>
      </w:r>
      <w:bookmarkEnd w:id="65"/>
      <w:bookmarkEnd w:id="66"/>
      <w:bookmarkEnd w:id="67"/>
      <w:bookmarkEnd w:id="68"/>
      <w:bookmarkEnd w:id="69"/>
    </w:p>
    <w:p w14:paraId="1D782F15">
      <w:pPr>
        <w:pStyle w:val="8"/>
        <w:numPr>
          <w:ilvl w:val="-1"/>
          <w:numId w:val="0"/>
        </w:numPr>
        <w:tabs>
          <w:tab w:val="left" w:pos="360"/>
          <w:tab w:val="left" w:pos="574"/>
        </w:tabs>
        <w:spacing w:after="0" w:line="288" w:lineRule="auto"/>
        <w:ind w:left="420" w:leftChars="200" w:firstLine="0" w:firstLineChars="0"/>
        <w:rPr>
          <w:rFonts w:hint="eastAsia"/>
          <w:color w:val="auto"/>
          <w:highlight w:val="none"/>
        </w:rPr>
      </w:pPr>
      <w:r>
        <w:rPr>
          <w:rFonts w:hint="eastAsia" w:ascii="Arial" w:hAnsi="宋体"/>
          <w:color w:val="auto"/>
          <w:highlight w:val="none"/>
          <w:lang w:val="en-US" w:eastAsia="zh-CN"/>
        </w:rPr>
        <w:t>11.1</w:t>
      </w:r>
      <w:r>
        <w:rPr>
          <w:rFonts w:hint="eastAsia" w:ascii="Arial"/>
          <w:color w:val="auto"/>
          <w:highlight w:val="none"/>
        </w:rPr>
        <w:t>本招标文件（包括澄清、修改、补充文件、书面答复等）的解释权属招标</w:t>
      </w:r>
      <w:r>
        <w:rPr>
          <w:rFonts w:hint="eastAsia" w:ascii="Arial" w:cs="宋体"/>
          <w:color w:val="auto"/>
          <w:highlight w:val="none"/>
        </w:rPr>
        <w:t>人</w:t>
      </w:r>
      <w:r>
        <w:rPr>
          <w:rFonts w:hint="eastAsia" w:ascii="Arial"/>
          <w:color w:val="auto"/>
          <w:highlight w:val="none"/>
        </w:rPr>
        <w:t>。</w:t>
      </w:r>
      <w:bookmarkStart w:id="70" w:name="_Toc500208475"/>
      <w:bookmarkStart w:id="71" w:name="_Toc500209416"/>
    </w:p>
    <w:p w14:paraId="570F91B1">
      <w:pPr>
        <w:pStyle w:val="3"/>
        <w:tabs>
          <w:tab w:val="left" w:pos="360"/>
        </w:tabs>
        <w:rPr>
          <w:color w:val="auto"/>
          <w:highlight w:val="none"/>
        </w:rPr>
      </w:pPr>
      <w:bookmarkStart w:id="72" w:name="_Toc458127852"/>
      <w:r>
        <w:rPr>
          <w:rFonts w:hint="eastAsia"/>
          <w:color w:val="auto"/>
          <w:highlight w:val="none"/>
        </w:rPr>
        <w:t>第三节  投标文件的编制</w:t>
      </w:r>
      <w:bookmarkEnd w:id="70"/>
      <w:bookmarkEnd w:id="71"/>
      <w:bookmarkEnd w:id="72"/>
    </w:p>
    <w:p w14:paraId="1A99CEF9">
      <w:pPr>
        <w:pStyle w:val="5"/>
        <w:tabs>
          <w:tab w:val="left" w:pos="360"/>
        </w:tabs>
        <w:ind w:left="0"/>
        <w:rPr>
          <w:rFonts w:hint="eastAsia"/>
          <w:color w:val="auto"/>
          <w:highlight w:val="none"/>
        </w:rPr>
      </w:pPr>
      <w:bookmarkStart w:id="73" w:name="_Toc188339059"/>
      <w:bookmarkStart w:id="74" w:name="_Toc155342542"/>
      <w:bookmarkStart w:id="75" w:name="_Toc500208476"/>
      <w:bookmarkStart w:id="76" w:name="_Toc169487790"/>
      <w:bookmarkStart w:id="77" w:name="_Toc458127853"/>
      <w:bookmarkStart w:id="78" w:name="_Toc69095786"/>
      <w:bookmarkStart w:id="79" w:name="_Toc188333766"/>
      <w:bookmarkStart w:id="80" w:name="_Toc500208477"/>
      <w:r>
        <w:rPr>
          <w:rFonts w:hint="eastAsia"/>
          <w:color w:val="auto"/>
          <w:highlight w:val="none"/>
        </w:rPr>
        <w:t>投标文件的组成</w:t>
      </w:r>
      <w:bookmarkEnd w:id="73"/>
      <w:bookmarkEnd w:id="74"/>
      <w:bookmarkEnd w:id="75"/>
      <w:bookmarkEnd w:id="76"/>
      <w:bookmarkEnd w:id="77"/>
      <w:bookmarkEnd w:id="78"/>
      <w:bookmarkEnd w:id="79"/>
    </w:p>
    <w:p w14:paraId="098A8C3B">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本招标工程项目的投标文件组成详见本须知前附表。</w:t>
      </w:r>
    </w:p>
    <w:p w14:paraId="2FD5FA9B">
      <w:pPr>
        <w:pStyle w:val="5"/>
        <w:tabs>
          <w:tab w:val="left" w:pos="360"/>
        </w:tabs>
        <w:ind w:left="0"/>
        <w:rPr>
          <w:rFonts w:hint="eastAsia"/>
          <w:color w:val="auto"/>
          <w:highlight w:val="none"/>
        </w:rPr>
      </w:pPr>
      <w:bookmarkStart w:id="81" w:name="_Toc188333767"/>
      <w:bookmarkStart w:id="82" w:name="_Toc188339060"/>
      <w:bookmarkStart w:id="83" w:name="_Toc458127854"/>
      <w:bookmarkStart w:id="84" w:name="_Toc155342544"/>
      <w:bookmarkStart w:id="85" w:name="_Toc169487791"/>
      <w:r>
        <w:rPr>
          <w:rFonts w:hint="eastAsia"/>
          <w:color w:val="auto"/>
          <w:highlight w:val="none"/>
        </w:rPr>
        <w:t>投标文件的格式</w:t>
      </w:r>
      <w:bookmarkEnd w:id="81"/>
      <w:bookmarkEnd w:id="82"/>
      <w:bookmarkEnd w:id="83"/>
      <w:bookmarkEnd w:id="84"/>
      <w:bookmarkEnd w:id="85"/>
    </w:p>
    <w:p w14:paraId="014A707C">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本招标项目的投标文件格式要求详见本须知前附表。</w:t>
      </w:r>
    </w:p>
    <w:p w14:paraId="1E9D8B49">
      <w:pPr>
        <w:pStyle w:val="5"/>
        <w:tabs>
          <w:tab w:val="left" w:pos="360"/>
        </w:tabs>
        <w:ind w:left="0"/>
        <w:rPr>
          <w:rFonts w:hint="eastAsia"/>
          <w:color w:val="auto"/>
          <w:highlight w:val="none"/>
        </w:rPr>
      </w:pPr>
      <w:bookmarkStart w:id="86" w:name="_Toc169487792"/>
      <w:bookmarkStart w:id="87" w:name="_Toc188339061"/>
      <w:bookmarkStart w:id="88" w:name="_Toc188333768"/>
      <w:bookmarkStart w:id="89" w:name="_Toc155342545"/>
      <w:bookmarkStart w:id="90" w:name="_Toc458127855"/>
      <w:r>
        <w:rPr>
          <w:rFonts w:hint="eastAsia"/>
          <w:color w:val="auto"/>
          <w:highlight w:val="none"/>
        </w:rPr>
        <w:t>投标报价组成</w:t>
      </w:r>
      <w:bookmarkEnd w:id="86"/>
      <w:bookmarkEnd w:id="87"/>
      <w:bookmarkEnd w:id="88"/>
      <w:bookmarkEnd w:id="89"/>
      <w:bookmarkEnd w:id="90"/>
    </w:p>
    <w:p w14:paraId="1FAF38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olor w:val="auto"/>
          <w:szCs w:val="21"/>
          <w:highlight w:val="none"/>
        </w:rPr>
      </w:pPr>
      <w:r>
        <w:rPr>
          <w:rFonts w:hint="eastAsia" w:ascii="Arial" w:hAnsi="宋体" w:eastAsia="宋体" w:cs="Times New Roman"/>
          <w:color w:val="auto"/>
          <w:highlight w:val="none"/>
        </w:rPr>
        <w:t>1</w:t>
      </w:r>
      <w:r>
        <w:rPr>
          <w:rFonts w:hint="eastAsia" w:ascii="Arial" w:hAnsi="宋体" w:eastAsia="宋体" w:cs="Times New Roman"/>
          <w:color w:val="auto"/>
          <w:highlight w:val="none"/>
          <w:lang w:val="en-US" w:eastAsia="zh-CN"/>
        </w:rPr>
        <w:t>4</w:t>
      </w:r>
      <w:r>
        <w:rPr>
          <w:rFonts w:hint="eastAsia" w:ascii="Arial" w:hAnsi="宋体" w:eastAsia="宋体" w:cs="Times New Roman"/>
          <w:color w:val="auto"/>
          <w:highlight w:val="none"/>
        </w:rPr>
        <w:t>.1</w:t>
      </w:r>
      <w:r>
        <w:rPr>
          <w:rFonts w:hint="eastAsia"/>
          <w:color w:val="auto"/>
          <w:highlight w:val="none"/>
        </w:rPr>
        <w:t>报价方式：</w:t>
      </w:r>
      <w:bookmarkStart w:id="91" w:name="_Toc458127856"/>
      <w:bookmarkStart w:id="92" w:name="_Toc169487793"/>
      <w:bookmarkStart w:id="93" w:name="_Toc188333769"/>
      <w:bookmarkStart w:id="94" w:name="_Toc188339062"/>
      <w:bookmarkStart w:id="95" w:name="_Toc155342546"/>
      <w:bookmarkStart w:id="96" w:name="_Toc500208474"/>
      <w:r>
        <w:rPr>
          <w:rFonts w:hint="eastAsia"/>
          <w:color w:val="auto"/>
          <w:highlight w:val="none"/>
        </w:rPr>
        <w:t>固定单价。</w:t>
      </w:r>
    </w:p>
    <w:p w14:paraId="7CDE93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ascii="Arial" w:hAnsi="宋体" w:eastAsia="宋体" w:cs="Times New Roman"/>
          <w:color w:val="auto"/>
          <w:highlight w:val="none"/>
        </w:rPr>
        <w:t>1</w:t>
      </w:r>
      <w:r>
        <w:rPr>
          <w:rFonts w:hint="eastAsia" w:ascii="Arial" w:hAnsi="宋体" w:eastAsia="宋体" w:cs="Times New Roman"/>
          <w:color w:val="auto"/>
          <w:highlight w:val="none"/>
          <w:lang w:val="en-US" w:eastAsia="zh-CN"/>
        </w:rPr>
        <w:t>4</w:t>
      </w:r>
      <w:r>
        <w:rPr>
          <w:rFonts w:hint="eastAsia" w:ascii="Arial" w:hAnsi="宋体" w:eastAsia="宋体" w:cs="Times New Roman"/>
          <w:color w:val="auto"/>
          <w:highlight w:val="none"/>
        </w:rPr>
        <w:t>.2</w:t>
      </w:r>
      <w:r>
        <w:rPr>
          <w:rFonts w:hint="eastAsia"/>
          <w:color w:val="auto"/>
          <w:highlight w:val="none"/>
        </w:rPr>
        <w:t>投标报价要求</w:t>
      </w:r>
      <w:bookmarkEnd w:id="91"/>
      <w:bookmarkEnd w:id="92"/>
      <w:bookmarkEnd w:id="93"/>
      <w:bookmarkEnd w:id="94"/>
      <w:bookmarkEnd w:id="95"/>
      <w:r>
        <w:rPr>
          <w:rFonts w:hint="eastAsia"/>
          <w:color w:val="auto"/>
          <w:highlight w:val="none"/>
        </w:rPr>
        <w:t>：</w:t>
      </w:r>
      <w:r>
        <w:rPr>
          <w:rFonts w:hint="eastAsia" w:ascii="宋体" w:hAnsi="宋体" w:cs="宋体"/>
          <w:color w:val="auto"/>
          <w:kern w:val="0"/>
          <w:szCs w:val="21"/>
          <w:highlight w:val="none"/>
          <w:lang w:val="en-US" w:eastAsia="zh-CN"/>
        </w:rPr>
        <w:t>投标报价为本次招标范围的租金，水电费及其他费用由投标单位自行支付。</w:t>
      </w:r>
      <w:r>
        <w:rPr>
          <w:rFonts w:hint="eastAsia" w:ascii="宋体" w:hAnsi="宋体" w:cs="宋体"/>
          <w:color w:val="auto"/>
          <w:kern w:val="0"/>
          <w:szCs w:val="21"/>
          <w:highlight w:val="none"/>
        </w:rPr>
        <w:t>各投标人应根据招标人提供的相关资料及要求，以及本</w:t>
      </w:r>
      <w:r>
        <w:rPr>
          <w:rFonts w:hint="eastAsia" w:ascii="宋体" w:hAnsi="宋体" w:cs="宋体"/>
          <w:color w:val="auto"/>
          <w:kern w:val="0"/>
          <w:szCs w:val="21"/>
          <w:highlight w:val="none"/>
          <w:lang w:val="en-US" w:eastAsia="zh-CN"/>
        </w:rPr>
        <w:t>项目</w:t>
      </w:r>
      <w:r>
        <w:rPr>
          <w:rFonts w:hint="eastAsia" w:ascii="宋体" w:hAnsi="宋体" w:cs="宋体"/>
          <w:color w:val="auto"/>
          <w:kern w:val="0"/>
          <w:szCs w:val="21"/>
          <w:highlight w:val="none"/>
        </w:rPr>
        <w:t>实际情况和自身的综合实力，竞报投标报价。</w:t>
      </w:r>
    </w:p>
    <w:bookmarkEnd w:id="96"/>
    <w:p w14:paraId="394C3330">
      <w:pPr>
        <w:pStyle w:val="8"/>
        <w:keepNext w:val="0"/>
        <w:keepLines w:val="0"/>
        <w:pageBreakBefore w:val="0"/>
        <w:widowControl w:val="0"/>
        <w:tabs>
          <w:tab w:val="left" w:pos="574"/>
        </w:tabs>
        <w:kinsoku/>
        <w:wordWrap/>
        <w:overflowPunct/>
        <w:topLinePunct w:val="0"/>
        <w:autoSpaceDE/>
        <w:autoSpaceDN/>
        <w:bidi w:val="0"/>
        <w:adjustRightInd/>
        <w:snapToGrid/>
        <w:spacing w:after="0" w:line="300" w:lineRule="auto"/>
        <w:ind w:firstLine="420" w:firstLineChars="200"/>
        <w:textAlignment w:val="auto"/>
        <w:rPr>
          <w:rFonts w:hint="eastAsia"/>
          <w:color w:val="auto"/>
          <w:highlight w:val="none"/>
        </w:rPr>
      </w:pPr>
      <w:bookmarkStart w:id="97" w:name="_Toc155342547"/>
      <w:bookmarkStart w:id="98" w:name="_Toc169487794"/>
      <w:bookmarkStart w:id="99" w:name="_Toc188339063"/>
      <w:bookmarkStart w:id="100" w:name="_Toc188333770"/>
      <w:r>
        <w:rPr>
          <w:rFonts w:hint="eastAsia" w:ascii="Arial" w:hAnsi="宋体" w:eastAsia="宋体" w:cs="Times New Roman"/>
          <w:color w:val="auto"/>
          <w:highlight w:val="none"/>
        </w:rPr>
        <w:t>1</w:t>
      </w:r>
      <w:r>
        <w:rPr>
          <w:rFonts w:hint="eastAsia" w:ascii="Arial" w:hAnsi="宋体" w:eastAsia="宋体" w:cs="Times New Roman"/>
          <w:color w:val="auto"/>
          <w:highlight w:val="none"/>
          <w:lang w:val="en-US" w:eastAsia="zh-CN"/>
        </w:rPr>
        <w:t>4</w:t>
      </w:r>
      <w:r>
        <w:rPr>
          <w:rFonts w:hint="eastAsia" w:ascii="Arial" w:hAnsi="宋体" w:eastAsia="宋体" w:cs="Times New Roman"/>
          <w:color w:val="auto"/>
          <w:highlight w:val="none"/>
        </w:rPr>
        <w:t>.3</w:t>
      </w:r>
      <w:r>
        <w:rPr>
          <w:rFonts w:hint="eastAsia"/>
          <w:color w:val="auto"/>
          <w:highlight w:val="none"/>
        </w:rPr>
        <w:t>招标文件规定应由投标人自行确定的费用，投标人应根据招标文件附件格式和报价要求，结合</w:t>
      </w:r>
      <w:r>
        <w:rPr>
          <w:rFonts w:hint="eastAsia"/>
          <w:color w:val="auto"/>
          <w:highlight w:val="none"/>
          <w:lang w:val="en-US" w:eastAsia="zh-CN"/>
        </w:rPr>
        <w:t>项目</w:t>
      </w:r>
      <w:r>
        <w:rPr>
          <w:rFonts w:hint="eastAsia"/>
          <w:color w:val="auto"/>
          <w:highlight w:val="none"/>
        </w:rPr>
        <w:t>的实际情况、市场行情、技术方案和企业的管理水平，综合分析后自主确定报价。</w:t>
      </w:r>
    </w:p>
    <w:p w14:paraId="2E7DD794">
      <w:pPr>
        <w:pStyle w:val="5"/>
        <w:tabs>
          <w:tab w:val="left" w:pos="360"/>
        </w:tabs>
        <w:spacing w:line="300" w:lineRule="auto"/>
        <w:ind w:left="0"/>
        <w:rPr>
          <w:rFonts w:hint="eastAsia"/>
          <w:color w:val="auto"/>
          <w:highlight w:val="none"/>
        </w:rPr>
      </w:pPr>
      <w:bookmarkStart w:id="101" w:name="_Toc458127857"/>
      <w:r>
        <w:rPr>
          <w:rFonts w:hint="eastAsia"/>
          <w:color w:val="auto"/>
          <w:highlight w:val="none"/>
        </w:rPr>
        <w:t>投标</w:t>
      </w:r>
      <w:bookmarkEnd w:id="80"/>
      <w:r>
        <w:rPr>
          <w:rFonts w:hint="eastAsia"/>
          <w:color w:val="auto"/>
          <w:highlight w:val="none"/>
        </w:rPr>
        <w:t>担保</w:t>
      </w:r>
      <w:bookmarkEnd w:id="97"/>
      <w:bookmarkEnd w:id="98"/>
      <w:bookmarkEnd w:id="99"/>
      <w:bookmarkEnd w:id="100"/>
      <w:bookmarkEnd w:id="101"/>
    </w:p>
    <w:p w14:paraId="10F2FAE2">
      <w:pPr>
        <w:spacing w:line="400" w:lineRule="exact"/>
        <w:ind w:firstLine="420" w:firstLineChars="200"/>
        <w:rPr>
          <w:rFonts w:hint="default" w:ascii="Arial" w:hAnsi="宋体" w:eastAsia="宋体"/>
          <w:color w:val="auto"/>
          <w:highlight w:val="none"/>
          <w:lang w:val="en-US" w:eastAsia="zh-CN"/>
        </w:rPr>
      </w:pPr>
      <w:bookmarkStart w:id="102" w:name="_Toc188339064"/>
      <w:bookmarkStart w:id="103" w:name="_Toc155342548"/>
      <w:bookmarkStart w:id="104" w:name="_Toc188333771"/>
      <w:bookmarkStart w:id="105" w:name="_Toc169487795"/>
      <w:bookmarkStart w:id="106" w:name="_Toc500208478"/>
      <w:r>
        <w:rPr>
          <w:rFonts w:hint="eastAsia" w:ascii="Arial" w:hAnsi="宋体"/>
          <w:color w:val="auto"/>
          <w:highlight w:val="none"/>
          <w:lang w:val="en-US" w:eastAsia="zh-CN"/>
        </w:rPr>
        <w:t>15.1本项目设置投标担保，要求详见</w:t>
      </w:r>
      <w:r>
        <w:rPr>
          <w:rFonts w:hint="eastAsia" w:ascii="Arial"/>
          <w:color w:val="auto"/>
          <w:highlight w:val="none"/>
        </w:rPr>
        <w:t>本须知前附表</w:t>
      </w:r>
      <w:r>
        <w:rPr>
          <w:rFonts w:hint="eastAsia" w:ascii="Arial" w:hAnsi="宋体"/>
          <w:color w:val="auto"/>
          <w:highlight w:val="none"/>
          <w:lang w:val="en-US" w:eastAsia="zh-CN"/>
        </w:rPr>
        <w:t>。</w:t>
      </w:r>
    </w:p>
    <w:p w14:paraId="75625CBE">
      <w:pPr>
        <w:pStyle w:val="5"/>
        <w:tabs>
          <w:tab w:val="left" w:pos="360"/>
        </w:tabs>
        <w:spacing w:line="300" w:lineRule="auto"/>
        <w:ind w:left="0"/>
        <w:rPr>
          <w:rFonts w:hint="eastAsia"/>
          <w:color w:val="auto"/>
          <w:highlight w:val="none"/>
        </w:rPr>
      </w:pPr>
      <w:bookmarkStart w:id="107" w:name="_Toc458127858"/>
      <w:r>
        <w:rPr>
          <w:rFonts w:hint="eastAsia"/>
          <w:color w:val="auto"/>
          <w:highlight w:val="none"/>
        </w:rPr>
        <w:t>投标有效期</w:t>
      </w:r>
      <w:bookmarkEnd w:id="102"/>
      <w:bookmarkEnd w:id="103"/>
      <w:bookmarkEnd w:id="104"/>
      <w:bookmarkEnd w:id="105"/>
      <w:bookmarkEnd w:id="107"/>
    </w:p>
    <w:p w14:paraId="78C0826C">
      <w:pPr>
        <w:pStyle w:val="8"/>
        <w:numPr>
          <w:ilvl w:val="1"/>
          <w:numId w:val="1"/>
        </w:numPr>
        <w:tabs>
          <w:tab w:val="left" w:pos="360"/>
          <w:tab w:val="left" w:pos="574"/>
        </w:tabs>
        <w:spacing w:after="0" w:line="300" w:lineRule="auto"/>
        <w:ind w:left="0" w:firstLine="420" w:firstLineChars="200"/>
        <w:rPr>
          <w:rFonts w:hint="eastAsia" w:ascii="Arial" w:hAnsi="Arial"/>
          <w:color w:val="auto"/>
          <w:highlight w:val="none"/>
        </w:rPr>
      </w:pPr>
      <w:r>
        <w:rPr>
          <w:rFonts w:ascii="Arial"/>
          <w:color w:val="auto"/>
          <w:highlight w:val="none"/>
        </w:rPr>
        <w:t>投标有效期</w:t>
      </w:r>
      <w:r>
        <w:rPr>
          <w:rFonts w:hint="eastAsia" w:ascii="Arial"/>
          <w:color w:val="auto"/>
          <w:highlight w:val="none"/>
        </w:rPr>
        <w:t>详</w:t>
      </w:r>
      <w:r>
        <w:rPr>
          <w:rFonts w:ascii="Arial"/>
          <w:color w:val="auto"/>
          <w:highlight w:val="none"/>
        </w:rPr>
        <w:t>见本须知前附表，在此期限内，凡符合本招标文件要求的投标文件均保持有效。</w:t>
      </w:r>
    </w:p>
    <w:p w14:paraId="23156880">
      <w:pPr>
        <w:pStyle w:val="8"/>
        <w:numPr>
          <w:ilvl w:val="1"/>
          <w:numId w:val="1"/>
        </w:numPr>
        <w:tabs>
          <w:tab w:val="left" w:pos="360"/>
          <w:tab w:val="left" w:pos="574"/>
        </w:tabs>
        <w:spacing w:after="0" w:line="300" w:lineRule="auto"/>
        <w:ind w:left="0" w:firstLine="420" w:firstLineChars="200"/>
        <w:rPr>
          <w:rFonts w:hint="eastAsia" w:ascii="Arial" w:hAnsi="Arial"/>
          <w:color w:val="auto"/>
          <w:highlight w:val="none"/>
        </w:rPr>
      </w:pPr>
      <w:r>
        <w:rPr>
          <w:rFonts w:hint="eastAsia" w:ascii="Arial"/>
          <w:color w:val="auto"/>
          <w:highlight w:val="none"/>
        </w:rPr>
        <w:t>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关于投标担保的退还与没收的规定仍然适用。</w:t>
      </w:r>
    </w:p>
    <w:bookmarkEnd w:id="106"/>
    <w:p w14:paraId="3F9C0B48">
      <w:pPr>
        <w:pStyle w:val="5"/>
        <w:tabs>
          <w:tab w:val="left" w:pos="360"/>
        </w:tabs>
        <w:spacing w:line="300" w:lineRule="auto"/>
        <w:ind w:left="0"/>
        <w:rPr>
          <w:rFonts w:hint="eastAsia"/>
          <w:color w:val="auto"/>
          <w:highlight w:val="none"/>
        </w:rPr>
      </w:pPr>
      <w:bookmarkStart w:id="108" w:name="_Toc458127859"/>
      <w:bookmarkStart w:id="109" w:name="_Toc169487796"/>
      <w:bookmarkStart w:id="110" w:name="_Toc188333772"/>
      <w:bookmarkStart w:id="111" w:name="_Toc188339065"/>
      <w:bookmarkStart w:id="112" w:name="_Toc155342549"/>
      <w:bookmarkStart w:id="113" w:name="_Toc500208479"/>
      <w:r>
        <w:rPr>
          <w:rFonts w:hint="eastAsia"/>
          <w:color w:val="auto"/>
          <w:highlight w:val="none"/>
        </w:rPr>
        <w:t>投标文件的份数和签署</w:t>
      </w:r>
      <w:bookmarkEnd w:id="108"/>
      <w:bookmarkEnd w:id="109"/>
      <w:bookmarkEnd w:id="110"/>
      <w:bookmarkEnd w:id="111"/>
      <w:bookmarkEnd w:id="112"/>
      <w:bookmarkEnd w:id="113"/>
    </w:p>
    <w:p w14:paraId="6FEC9BAE">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投标人按本须知前附表规定的份数递交投标文件。</w:t>
      </w:r>
    </w:p>
    <w:p w14:paraId="5AB3243A">
      <w:pPr>
        <w:pStyle w:val="8"/>
        <w:numPr>
          <w:ilvl w:val="1"/>
          <w:numId w:val="1"/>
        </w:numPr>
        <w:tabs>
          <w:tab w:val="left" w:pos="360"/>
          <w:tab w:val="left" w:pos="574"/>
        </w:tabs>
        <w:spacing w:after="0" w:line="288" w:lineRule="auto"/>
        <w:ind w:left="0" w:firstLine="422" w:firstLineChars="200"/>
        <w:rPr>
          <w:rFonts w:hint="eastAsia" w:ascii="Arial" w:hAnsi="Arial"/>
          <w:color w:val="auto"/>
          <w:highlight w:val="none"/>
        </w:rPr>
      </w:pPr>
      <w:r>
        <w:rPr>
          <w:rFonts w:hint="eastAsia" w:eastAsia="黑体"/>
          <w:b/>
          <w:bCs/>
          <w:color w:val="auto"/>
          <w:highlight w:val="none"/>
        </w:rPr>
        <w:t>招标文件附件注明签署或盖章的，投标人均按要求签署或盖章。</w:t>
      </w:r>
    </w:p>
    <w:p w14:paraId="51916EE5">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当正本与副本不一致时，以正本为准。如未注明正副本的，由评标委员会或工作人员随机抽签确定一本作为正本。</w:t>
      </w:r>
    </w:p>
    <w:p w14:paraId="4C433FA3">
      <w:pPr>
        <w:pStyle w:val="3"/>
        <w:tabs>
          <w:tab w:val="left" w:pos="360"/>
        </w:tabs>
        <w:rPr>
          <w:rFonts w:hint="eastAsia"/>
          <w:color w:val="auto"/>
          <w:highlight w:val="none"/>
        </w:rPr>
      </w:pPr>
      <w:bookmarkStart w:id="114" w:name="_Toc500209417"/>
      <w:bookmarkStart w:id="115" w:name="_Toc458127860"/>
      <w:bookmarkStart w:id="116" w:name="_Toc500208480"/>
      <w:r>
        <w:rPr>
          <w:rFonts w:hint="eastAsia"/>
          <w:color w:val="auto"/>
          <w:highlight w:val="none"/>
        </w:rPr>
        <w:t>第四节  投标文件的递交</w:t>
      </w:r>
      <w:bookmarkEnd w:id="114"/>
      <w:bookmarkEnd w:id="115"/>
      <w:bookmarkEnd w:id="116"/>
    </w:p>
    <w:p w14:paraId="386C50E2">
      <w:pPr>
        <w:pStyle w:val="5"/>
        <w:tabs>
          <w:tab w:val="left" w:pos="360"/>
        </w:tabs>
        <w:ind w:left="0"/>
        <w:rPr>
          <w:rFonts w:hint="eastAsia"/>
          <w:color w:val="auto"/>
          <w:highlight w:val="none"/>
        </w:rPr>
      </w:pPr>
      <w:bookmarkStart w:id="117" w:name="_Toc500208481"/>
      <w:bookmarkStart w:id="118" w:name="_Toc188339067"/>
      <w:bookmarkStart w:id="119" w:name="_Toc458127861"/>
      <w:bookmarkStart w:id="120" w:name="_Toc155342551"/>
      <w:bookmarkStart w:id="121" w:name="_Toc169487798"/>
      <w:bookmarkStart w:id="122" w:name="_Toc188333774"/>
      <w:r>
        <w:rPr>
          <w:rFonts w:hint="eastAsia"/>
          <w:color w:val="auto"/>
          <w:highlight w:val="none"/>
        </w:rPr>
        <w:t>投标文件的装订、密封与标志</w:t>
      </w:r>
      <w:bookmarkEnd w:id="117"/>
      <w:bookmarkEnd w:id="118"/>
      <w:bookmarkEnd w:id="119"/>
      <w:bookmarkEnd w:id="120"/>
      <w:bookmarkEnd w:id="121"/>
      <w:bookmarkEnd w:id="122"/>
    </w:p>
    <w:p w14:paraId="48B2F40E">
      <w:pPr>
        <w:pStyle w:val="8"/>
        <w:numPr>
          <w:ilvl w:val="1"/>
          <w:numId w:val="1"/>
        </w:numPr>
        <w:tabs>
          <w:tab w:val="left" w:pos="360"/>
          <w:tab w:val="left" w:pos="574"/>
        </w:tabs>
        <w:spacing w:after="0" w:line="288" w:lineRule="auto"/>
        <w:ind w:left="0" w:firstLine="420" w:firstLineChars="200"/>
        <w:rPr>
          <w:rFonts w:hint="eastAsia" w:ascii="黑体" w:hAnsi="Arial" w:eastAsia="黑体"/>
          <w:color w:val="auto"/>
          <w:highlight w:val="none"/>
        </w:rPr>
      </w:pPr>
      <w:r>
        <w:rPr>
          <w:rFonts w:hint="eastAsia" w:ascii="Arial"/>
          <w:color w:val="auto"/>
          <w:highlight w:val="none"/>
        </w:rPr>
        <w:t>投标人应将投标文件按规定密封，并注明项目名称、投标人名称。</w:t>
      </w:r>
    </w:p>
    <w:p w14:paraId="2B4D7DDB">
      <w:pPr>
        <w:pStyle w:val="8"/>
        <w:numPr>
          <w:ilvl w:val="1"/>
          <w:numId w:val="1"/>
        </w:numPr>
        <w:tabs>
          <w:tab w:val="left" w:pos="360"/>
          <w:tab w:val="left" w:pos="574"/>
        </w:tabs>
        <w:spacing w:after="0" w:line="288" w:lineRule="auto"/>
        <w:ind w:left="0" w:firstLine="422" w:firstLineChars="200"/>
        <w:rPr>
          <w:rFonts w:hint="eastAsia" w:ascii="黑体" w:hAnsi="Arial" w:eastAsia="黑体"/>
          <w:b/>
          <w:color w:val="auto"/>
          <w:highlight w:val="none"/>
        </w:rPr>
      </w:pPr>
      <w:r>
        <w:rPr>
          <w:rFonts w:hint="eastAsia" w:ascii="黑体" w:eastAsia="黑体"/>
          <w:b/>
          <w:color w:val="auto"/>
          <w:highlight w:val="none"/>
        </w:rPr>
        <w:t>密封袋封口处加盖单位公章或法人代表或委托代理人印章或签字</w:t>
      </w:r>
      <w:r>
        <w:rPr>
          <w:rFonts w:hint="eastAsia" w:ascii="黑体" w:hAnsi="Arial" w:eastAsia="黑体"/>
          <w:b/>
          <w:color w:val="auto"/>
          <w:highlight w:val="none"/>
        </w:rPr>
        <w:t>。</w:t>
      </w:r>
    </w:p>
    <w:p w14:paraId="3C70B2E7">
      <w:pPr>
        <w:pStyle w:val="8"/>
        <w:numPr>
          <w:ilvl w:val="1"/>
          <w:numId w:val="1"/>
        </w:numPr>
        <w:tabs>
          <w:tab w:val="left" w:pos="360"/>
          <w:tab w:val="left" w:pos="574"/>
        </w:tabs>
        <w:spacing w:after="0" w:line="288" w:lineRule="auto"/>
        <w:ind w:left="0" w:firstLine="420" w:firstLineChars="200"/>
        <w:rPr>
          <w:rFonts w:hint="eastAsia" w:ascii="Arial" w:hAnsi="Arial"/>
          <w:bCs/>
          <w:color w:val="auto"/>
          <w:highlight w:val="none"/>
        </w:rPr>
      </w:pPr>
      <w:r>
        <w:rPr>
          <w:rFonts w:hint="eastAsia" w:ascii="Arial"/>
          <w:bCs/>
          <w:color w:val="auto"/>
          <w:highlight w:val="none"/>
        </w:rPr>
        <w:t>投标文件的密封及装订要求详见本须知前附表。</w:t>
      </w:r>
    </w:p>
    <w:p w14:paraId="2A45C24A">
      <w:pPr>
        <w:pStyle w:val="5"/>
        <w:tabs>
          <w:tab w:val="left" w:pos="360"/>
        </w:tabs>
        <w:ind w:left="0"/>
        <w:rPr>
          <w:rFonts w:hint="eastAsia"/>
          <w:color w:val="auto"/>
          <w:highlight w:val="none"/>
        </w:rPr>
      </w:pPr>
      <w:bookmarkStart w:id="123" w:name="_Toc188339068"/>
      <w:bookmarkStart w:id="124" w:name="_Toc155342552"/>
      <w:bookmarkStart w:id="125" w:name="_Toc188333775"/>
      <w:bookmarkStart w:id="126" w:name="_Toc169487799"/>
      <w:bookmarkStart w:id="127" w:name="_Toc458127862"/>
      <w:bookmarkStart w:id="128" w:name="_Toc500208482"/>
      <w:r>
        <w:rPr>
          <w:rFonts w:hint="eastAsia"/>
          <w:color w:val="auto"/>
          <w:highlight w:val="none"/>
        </w:rPr>
        <w:t>投标文件的递交</w:t>
      </w:r>
      <w:bookmarkEnd w:id="123"/>
      <w:bookmarkEnd w:id="124"/>
      <w:bookmarkEnd w:id="125"/>
      <w:bookmarkEnd w:id="126"/>
      <w:bookmarkEnd w:id="127"/>
    </w:p>
    <w:p w14:paraId="46A52F23">
      <w:pPr>
        <w:pStyle w:val="8"/>
        <w:tabs>
          <w:tab w:val="left" w:pos="720"/>
        </w:tabs>
        <w:ind w:firstLine="420" w:firstLineChars="200"/>
        <w:rPr>
          <w:rFonts w:hint="eastAsia"/>
          <w:color w:val="auto"/>
          <w:highlight w:val="none"/>
        </w:rPr>
      </w:pPr>
      <w:r>
        <w:rPr>
          <w:rFonts w:hint="eastAsia" w:ascii="Arial" w:hAnsi="宋体"/>
          <w:color w:val="auto"/>
          <w:highlight w:val="none"/>
          <w:lang w:val="en-US" w:eastAsia="zh-CN"/>
        </w:rPr>
        <w:t>19</w:t>
      </w:r>
      <w:r>
        <w:rPr>
          <w:rFonts w:hint="eastAsia" w:ascii="Arial" w:hAnsi="宋体"/>
          <w:color w:val="auto"/>
          <w:highlight w:val="none"/>
        </w:rPr>
        <w:t>.1投标人应按本须知前附表规定的地点，在本须知前附表规定的截止时间前提交投标文件。</w:t>
      </w:r>
    </w:p>
    <w:p w14:paraId="1AED69A9">
      <w:pPr>
        <w:pStyle w:val="8"/>
        <w:tabs>
          <w:tab w:val="left" w:pos="720"/>
        </w:tabs>
        <w:ind w:firstLine="422" w:firstLineChars="200"/>
        <w:rPr>
          <w:rFonts w:hint="eastAsia" w:ascii="Arial" w:hAnsi="宋体" w:eastAsia="宋体"/>
          <w:b/>
          <w:bCs/>
          <w:color w:val="auto"/>
          <w:highlight w:val="none"/>
        </w:rPr>
      </w:pPr>
      <w:bookmarkStart w:id="129" w:name="_Toc188333776"/>
      <w:bookmarkStart w:id="130" w:name="_Toc169487800"/>
      <w:bookmarkStart w:id="131" w:name="_Toc188339069"/>
      <w:bookmarkStart w:id="132" w:name="_Toc155342553"/>
      <w:r>
        <w:rPr>
          <w:rFonts w:hint="eastAsia" w:ascii="Arial" w:hAnsi="宋体" w:eastAsia="宋体"/>
          <w:b/>
          <w:bCs/>
          <w:color w:val="auto"/>
          <w:highlight w:val="none"/>
          <w:lang w:val="en-US" w:eastAsia="zh-CN"/>
        </w:rPr>
        <w:t>19</w:t>
      </w:r>
      <w:r>
        <w:rPr>
          <w:rFonts w:hint="eastAsia" w:ascii="Arial" w:hAnsi="宋体" w:eastAsia="宋体"/>
          <w:b/>
          <w:bCs/>
          <w:color w:val="auto"/>
          <w:highlight w:val="none"/>
        </w:rPr>
        <w:t>.2投标人提交投标文件时需同时满足本须知前附表要求，否则该投标文件予以拒收。</w:t>
      </w:r>
    </w:p>
    <w:p w14:paraId="73EFBB6C">
      <w:pPr>
        <w:pStyle w:val="5"/>
        <w:tabs>
          <w:tab w:val="left" w:pos="360"/>
        </w:tabs>
        <w:ind w:left="0"/>
        <w:rPr>
          <w:rFonts w:hint="eastAsia"/>
          <w:color w:val="auto"/>
          <w:highlight w:val="none"/>
        </w:rPr>
      </w:pPr>
      <w:bookmarkStart w:id="133" w:name="_Toc458127863"/>
      <w:r>
        <w:rPr>
          <w:rFonts w:hint="eastAsia"/>
          <w:color w:val="auto"/>
          <w:highlight w:val="none"/>
        </w:rPr>
        <w:t>投标截止期</w:t>
      </w:r>
      <w:bookmarkEnd w:id="128"/>
      <w:bookmarkEnd w:id="129"/>
      <w:bookmarkEnd w:id="130"/>
      <w:bookmarkEnd w:id="131"/>
      <w:bookmarkEnd w:id="132"/>
      <w:bookmarkEnd w:id="133"/>
    </w:p>
    <w:p w14:paraId="317E422B">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投标文件的截止时间</w:t>
      </w:r>
      <w:r>
        <w:rPr>
          <w:rFonts w:hint="eastAsia" w:ascii="Arial"/>
          <w:color w:val="auto"/>
          <w:highlight w:val="none"/>
        </w:rPr>
        <w:t>详见</w:t>
      </w:r>
      <w:r>
        <w:rPr>
          <w:rFonts w:ascii="Arial"/>
          <w:color w:val="auto"/>
          <w:highlight w:val="none"/>
        </w:rPr>
        <w:t>本须知前附表。</w:t>
      </w:r>
    </w:p>
    <w:p w14:paraId="5F08758F">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招标人可以补充通知的方式，酌情延长提交投标文件的截止时间。在此情况下，投标人的所有权利和义务以及投标人受制约的截止时间，均以延长后新的投标截止时间为准。</w:t>
      </w:r>
    </w:p>
    <w:p w14:paraId="4F0D1BF9">
      <w:pPr>
        <w:pStyle w:val="5"/>
        <w:tabs>
          <w:tab w:val="left" w:pos="360"/>
        </w:tabs>
        <w:ind w:left="0"/>
        <w:rPr>
          <w:rFonts w:hint="eastAsia"/>
          <w:color w:val="auto"/>
          <w:highlight w:val="none"/>
        </w:rPr>
      </w:pPr>
      <w:bookmarkStart w:id="134" w:name="_Toc500208483"/>
      <w:bookmarkStart w:id="135" w:name="_Toc155342554"/>
      <w:bookmarkStart w:id="136" w:name="_Toc169487801"/>
      <w:bookmarkStart w:id="137" w:name="_Toc188333777"/>
      <w:bookmarkStart w:id="138" w:name="_Toc188339070"/>
      <w:bookmarkStart w:id="139" w:name="_Toc458127864"/>
      <w:r>
        <w:rPr>
          <w:rFonts w:hint="eastAsia"/>
          <w:color w:val="auto"/>
          <w:highlight w:val="none"/>
        </w:rPr>
        <w:t>投标文件的补充、修改与撤回</w:t>
      </w:r>
      <w:bookmarkEnd w:id="134"/>
      <w:bookmarkEnd w:id="135"/>
      <w:bookmarkEnd w:id="136"/>
      <w:bookmarkEnd w:id="137"/>
      <w:bookmarkEnd w:id="138"/>
      <w:bookmarkEnd w:id="139"/>
    </w:p>
    <w:p w14:paraId="4DCB7146">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投标人在提交投标文件以后，在规定的投标截止时间之前，可以书面形式补充修改或撤回已提交的投标文件，并以书面形式通知招标人。补充、修改的内容为投标文件的组成部分。</w:t>
      </w:r>
    </w:p>
    <w:p w14:paraId="4A19D038">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投标人对投标文件的补充、修改，应按本</w:t>
      </w:r>
      <w:r>
        <w:rPr>
          <w:rFonts w:hint="eastAsia" w:ascii="Arial"/>
          <w:color w:val="auto"/>
          <w:highlight w:val="none"/>
        </w:rPr>
        <w:t>节</w:t>
      </w:r>
      <w:r>
        <w:rPr>
          <w:rFonts w:ascii="Arial"/>
          <w:color w:val="auto"/>
          <w:highlight w:val="none"/>
        </w:rPr>
        <w:t>有关</w:t>
      </w:r>
      <w:r>
        <w:rPr>
          <w:rFonts w:hint="eastAsia" w:ascii="Arial"/>
          <w:color w:val="auto"/>
          <w:highlight w:val="none"/>
        </w:rPr>
        <w:t>投标文件</w:t>
      </w:r>
      <w:r>
        <w:rPr>
          <w:rFonts w:ascii="Arial"/>
          <w:color w:val="auto"/>
          <w:highlight w:val="none"/>
        </w:rPr>
        <w:t>规定密封、标记和提交，并在投标文件密封袋上清楚标明</w:t>
      </w:r>
      <w:r>
        <w:rPr>
          <w:rFonts w:ascii="Arial" w:hAnsi="Arial"/>
          <w:color w:val="auto"/>
          <w:highlight w:val="none"/>
        </w:rPr>
        <w:t>“</w:t>
      </w:r>
      <w:r>
        <w:rPr>
          <w:rFonts w:ascii="Arial"/>
          <w:color w:val="auto"/>
          <w:highlight w:val="none"/>
        </w:rPr>
        <w:t>补充、修改</w:t>
      </w:r>
      <w:r>
        <w:rPr>
          <w:rFonts w:ascii="Arial" w:hAnsi="Arial"/>
          <w:color w:val="auto"/>
          <w:highlight w:val="none"/>
        </w:rPr>
        <w:t>”</w:t>
      </w:r>
      <w:r>
        <w:rPr>
          <w:rFonts w:ascii="Arial"/>
          <w:color w:val="auto"/>
          <w:highlight w:val="none"/>
        </w:rPr>
        <w:t>或</w:t>
      </w:r>
      <w:r>
        <w:rPr>
          <w:rFonts w:ascii="Arial" w:hAnsi="Arial"/>
          <w:color w:val="auto"/>
          <w:highlight w:val="none"/>
        </w:rPr>
        <w:t>“</w:t>
      </w:r>
      <w:r>
        <w:rPr>
          <w:rFonts w:ascii="Arial"/>
          <w:color w:val="auto"/>
          <w:highlight w:val="none"/>
        </w:rPr>
        <w:t>撤回</w:t>
      </w:r>
      <w:r>
        <w:rPr>
          <w:rFonts w:ascii="Arial" w:hAnsi="Arial"/>
          <w:color w:val="auto"/>
          <w:highlight w:val="none"/>
        </w:rPr>
        <w:t>”</w:t>
      </w:r>
      <w:r>
        <w:rPr>
          <w:rFonts w:ascii="Arial"/>
          <w:color w:val="auto"/>
          <w:highlight w:val="none"/>
        </w:rPr>
        <w:t>字样。</w:t>
      </w:r>
    </w:p>
    <w:p w14:paraId="7BFC3FAF">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在投标截止时间之后，投标人不得补充、修改投标文件。</w:t>
      </w:r>
    </w:p>
    <w:p w14:paraId="10051E4B">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在投标截止时间至投标有效期满之前，投标人不得撤回其投标文件，否则其投标担保将被没收。</w:t>
      </w:r>
    </w:p>
    <w:p w14:paraId="7FDCE715">
      <w:pPr>
        <w:pStyle w:val="3"/>
        <w:tabs>
          <w:tab w:val="left" w:pos="360"/>
        </w:tabs>
        <w:rPr>
          <w:rFonts w:hint="eastAsia"/>
          <w:color w:val="auto"/>
          <w:highlight w:val="none"/>
        </w:rPr>
      </w:pPr>
      <w:bookmarkStart w:id="140" w:name="_Toc458127865"/>
      <w:bookmarkStart w:id="141" w:name="_Toc500209418"/>
      <w:bookmarkStart w:id="142" w:name="_Toc500208484"/>
      <w:r>
        <w:rPr>
          <w:rFonts w:hint="eastAsia"/>
          <w:color w:val="auto"/>
          <w:highlight w:val="none"/>
        </w:rPr>
        <w:t>第五节 开标</w:t>
      </w:r>
      <w:bookmarkEnd w:id="140"/>
      <w:bookmarkEnd w:id="141"/>
      <w:bookmarkEnd w:id="142"/>
    </w:p>
    <w:p w14:paraId="1D1AEADD">
      <w:pPr>
        <w:pStyle w:val="5"/>
        <w:tabs>
          <w:tab w:val="left" w:pos="360"/>
        </w:tabs>
        <w:ind w:left="0"/>
        <w:rPr>
          <w:rFonts w:hint="eastAsia"/>
          <w:color w:val="auto"/>
          <w:highlight w:val="none"/>
        </w:rPr>
      </w:pPr>
      <w:bookmarkStart w:id="143" w:name="_Toc500208485"/>
      <w:bookmarkStart w:id="144" w:name="_Toc169487803"/>
      <w:bookmarkStart w:id="145" w:name="_Toc188339072"/>
      <w:bookmarkStart w:id="146" w:name="_Toc188333779"/>
      <w:bookmarkStart w:id="147" w:name="_Toc155342556"/>
      <w:bookmarkStart w:id="148" w:name="_Toc458127866"/>
      <w:r>
        <w:rPr>
          <w:rFonts w:hint="eastAsia"/>
          <w:color w:val="auto"/>
          <w:highlight w:val="none"/>
        </w:rPr>
        <w:t>开标</w:t>
      </w:r>
      <w:bookmarkEnd w:id="143"/>
      <w:bookmarkEnd w:id="144"/>
      <w:bookmarkEnd w:id="145"/>
      <w:bookmarkEnd w:id="146"/>
      <w:bookmarkEnd w:id="147"/>
      <w:bookmarkEnd w:id="148"/>
    </w:p>
    <w:p w14:paraId="4E4754F6">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hint="eastAsia" w:ascii="Arial"/>
          <w:color w:val="auto"/>
          <w:highlight w:val="none"/>
        </w:rPr>
        <w:t>招标人将于投标截止时间的同一时间按本须知前附表规定的地点公开举行开标会议。</w:t>
      </w:r>
    </w:p>
    <w:p w14:paraId="7358B1ED">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开标会议由招标人或招标代理机构组织并主持。</w:t>
      </w:r>
    </w:p>
    <w:p w14:paraId="6C3ECDF6">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开标顺序</w:t>
      </w:r>
      <w:r>
        <w:rPr>
          <w:rFonts w:hint="eastAsia" w:ascii="Arial"/>
          <w:bCs/>
          <w:color w:val="auto"/>
          <w:highlight w:val="none"/>
        </w:rPr>
        <w:t>详见本须知前附表。</w:t>
      </w:r>
      <w:r>
        <w:rPr>
          <w:rFonts w:hint="eastAsia" w:ascii="Arial" w:hAnsi="Arial"/>
          <w:color w:val="auto"/>
          <w:highlight w:val="none"/>
        </w:rPr>
        <w:t xml:space="preserve"> </w:t>
      </w:r>
    </w:p>
    <w:p w14:paraId="122C73F6">
      <w:pPr>
        <w:pStyle w:val="5"/>
        <w:tabs>
          <w:tab w:val="left" w:pos="360"/>
        </w:tabs>
        <w:ind w:left="0"/>
        <w:rPr>
          <w:rFonts w:hint="eastAsia"/>
          <w:color w:val="auto"/>
          <w:highlight w:val="none"/>
        </w:rPr>
      </w:pPr>
      <w:bookmarkStart w:id="149" w:name="_Toc188339073"/>
      <w:bookmarkStart w:id="150" w:name="_Toc188333780"/>
      <w:bookmarkStart w:id="151" w:name="_Toc155342557"/>
      <w:bookmarkStart w:id="152" w:name="_Toc458127867"/>
      <w:bookmarkStart w:id="153" w:name="_Toc169487804"/>
      <w:r>
        <w:rPr>
          <w:rFonts w:hint="eastAsia"/>
          <w:color w:val="auto"/>
          <w:highlight w:val="none"/>
        </w:rPr>
        <w:t>投标文件公布</w:t>
      </w:r>
      <w:bookmarkEnd w:id="149"/>
      <w:bookmarkEnd w:id="150"/>
      <w:bookmarkEnd w:id="151"/>
      <w:bookmarkEnd w:id="152"/>
      <w:bookmarkEnd w:id="153"/>
    </w:p>
    <w:p w14:paraId="63E51551">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由投标人或其推选的代表检查投标文件的密封情况</w:t>
      </w:r>
      <w:r>
        <w:rPr>
          <w:rFonts w:hint="eastAsia" w:ascii="Arial"/>
          <w:color w:val="auto"/>
          <w:highlight w:val="none"/>
        </w:rPr>
        <w:t>，未按本招标文件要求密封的投标文件则退还投标人，经确认无误后，由有关工作人员当众拆封，宣读投标承诺的主要内容。</w:t>
      </w:r>
    </w:p>
    <w:p w14:paraId="3FC6828F">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招标</w:t>
      </w:r>
      <w:r>
        <w:rPr>
          <w:rFonts w:hint="eastAsia" w:ascii="Arial"/>
          <w:color w:val="auto"/>
          <w:highlight w:val="none"/>
          <w:lang w:eastAsia="zh-CN"/>
        </w:rPr>
        <w:t>代理</w:t>
      </w:r>
      <w:r>
        <w:rPr>
          <w:rFonts w:hint="eastAsia" w:ascii="Arial"/>
          <w:color w:val="auto"/>
          <w:highlight w:val="none"/>
        </w:rPr>
        <w:t>将对开标过程进行记录，以存档备查</w:t>
      </w:r>
      <w:r>
        <w:rPr>
          <w:rFonts w:ascii="Arial"/>
          <w:color w:val="auto"/>
          <w:highlight w:val="none"/>
        </w:rPr>
        <w:t>。</w:t>
      </w:r>
    </w:p>
    <w:p w14:paraId="1501C743">
      <w:pPr>
        <w:pStyle w:val="3"/>
        <w:tabs>
          <w:tab w:val="left" w:pos="360"/>
        </w:tabs>
        <w:rPr>
          <w:rFonts w:hint="eastAsia"/>
          <w:color w:val="auto"/>
          <w:highlight w:val="none"/>
        </w:rPr>
      </w:pPr>
      <w:bookmarkStart w:id="154" w:name="_Toc500208488"/>
      <w:bookmarkStart w:id="155" w:name="_Toc500209419"/>
      <w:bookmarkStart w:id="156" w:name="_Toc458127868"/>
      <w:bookmarkStart w:id="157" w:name="_Toc500209420"/>
      <w:bookmarkStart w:id="158" w:name="_Toc500208495"/>
      <w:r>
        <w:rPr>
          <w:rFonts w:hint="eastAsia"/>
          <w:color w:val="auto"/>
          <w:highlight w:val="none"/>
        </w:rPr>
        <w:t>第六节  评标</w:t>
      </w:r>
      <w:bookmarkEnd w:id="154"/>
      <w:bookmarkEnd w:id="155"/>
      <w:bookmarkEnd w:id="156"/>
    </w:p>
    <w:p w14:paraId="23056200">
      <w:pPr>
        <w:pStyle w:val="5"/>
        <w:tabs>
          <w:tab w:val="left" w:pos="360"/>
        </w:tabs>
        <w:ind w:left="0"/>
        <w:rPr>
          <w:rFonts w:hint="eastAsia"/>
          <w:color w:val="auto"/>
          <w:highlight w:val="none"/>
        </w:rPr>
      </w:pPr>
      <w:bookmarkStart w:id="159" w:name="_Toc458127869"/>
      <w:bookmarkStart w:id="160" w:name="_Toc188333782"/>
      <w:bookmarkStart w:id="161" w:name="_Toc500208489"/>
      <w:bookmarkStart w:id="162" w:name="_Toc188339075"/>
      <w:bookmarkStart w:id="163" w:name="_Toc169487806"/>
      <w:bookmarkStart w:id="164" w:name="_Toc155342559"/>
      <w:r>
        <w:rPr>
          <w:rFonts w:hint="eastAsia"/>
          <w:color w:val="auto"/>
          <w:highlight w:val="none"/>
        </w:rPr>
        <w:t>评标会议</w:t>
      </w:r>
      <w:bookmarkEnd w:id="159"/>
      <w:bookmarkEnd w:id="160"/>
      <w:bookmarkEnd w:id="161"/>
      <w:bookmarkEnd w:id="162"/>
      <w:bookmarkEnd w:id="163"/>
      <w:bookmarkEnd w:id="164"/>
    </w:p>
    <w:p w14:paraId="4D430A35">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评标委员会由招标</w:t>
      </w:r>
      <w:r>
        <w:rPr>
          <w:rFonts w:hint="eastAsia" w:ascii="Arial"/>
          <w:color w:val="auto"/>
          <w:highlight w:val="none"/>
          <w:lang w:eastAsia="zh-CN"/>
        </w:rPr>
        <w:t>代理</w:t>
      </w:r>
      <w:r>
        <w:rPr>
          <w:rFonts w:ascii="Arial"/>
          <w:color w:val="auto"/>
          <w:highlight w:val="none"/>
        </w:rPr>
        <w:t>依法组建，负责评标活动。</w:t>
      </w:r>
    </w:p>
    <w:p w14:paraId="6A497DAE">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开标结束后，开始评标，评标采用保密方式进行。</w:t>
      </w:r>
    </w:p>
    <w:p w14:paraId="7084794D">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hint="eastAsia" w:ascii="Arial"/>
          <w:color w:val="auto"/>
          <w:highlight w:val="none"/>
        </w:rPr>
        <w:t>评标委员会在评标前须签订《公正评标承诺书》。</w:t>
      </w:r>
    </w:p>
    <w:p w14:paraId="23C86B99">
      <w:pPr>
        <w:pStyle w:val="5"/>
        <w:tabs>
          <w:tab w:val="left" w:pos="360"/>
        </w:tabs>
        <w:ind w:left="0"/>
        <w:rPr>
          <w:color w:val="auto"/>
          <w:highlight w:val="none"/>
        </w:rPr>
      </w:pPr>
      <w:bookmarkStart w:id="165" w:name="_Toc458127870"/>
      <w:bookmarkStart w:id="166" w:name="_Toc169487807"/>
      <w:bookmarkStart w:id="167" w:name="_Toc188333783"/>
      <w:bookmarkStart w:id="168" w:name="_Toc188339076"/>
      <w:bookmarkStart w:id="169" w:name="_Toc155342560"/>
      <w:r>
        <w:rPr>
          <w:rFonts w:hint="eastAsia"/>
          <w:color w:val="auto"/>
          <w:highlight w:val="none"/>
        </w:rPr>
        <w:t>评标过程的保密</w:t>
      </w:r>
      <w:bookmarkEnd w:id="165"/>
      <w:bookmarkEnd w:id="166"/>
      <w:bookmarkEnd w:id="167"/>
      <w:bookmarkEnd w:id="168"/>
      <w:bookmarkEnd w:id="169"/>
    </w:p>
    <w:p w14:paraId="57EF7B6D">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开标后，直至授予中标人合同为止，凡属于对投标文件的审查、澄清、评价和比较的有关资料以及中标候选人的推荐情况，与评标有关的其他任何情况均严格保密。</w:t>
      </w:r>
    </w:p>
    <w:p w14:paraId="10D3C4C5">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在投标文件的评审和比较、中标候选人推荐以及授予合同的过程中，投标人向招标人和评标委员会施加影响的任何行为，都将会导致其投标被拒绝。</w:t>
      </w:r>
    </w:p>
    <w:p w14:paraId="5B250B44">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中标人确定后，招标人不对未中标人就评标过程以及未能中标原因作出任何解释。未中标人不得向评标委员会组成人员或其他有关人员索问评标过程的情况和材料。</w:t>
      </w:r>
    </w:p>
    <w:p w14:paraId="237A07A1">
      <w:pPr>
        <w:pStyle w:val="5"/>
        <w:tabs>
          <w:tab w:val="left" w:pos="360"/>
        </w:tabs>
        <w:ind w:left="0"/>
        <w:rPr>
          <w:rFonts w:hint="eastAsia"/>
          <w:color w:val="auto"/>
          <w:highlight w:val="none"/>
        </w:rPr>
      </w:pPr>
      <w:bookmarkStart w:id="170" w:name="_Toc188339077"/>
      <w:bookmarkStart w:id="171" w:name="_Toc458127871"/>
      <w:bookmarkStart w:id="172" w:name="_Toc188333784"/>
      <w:bookmarkStart w:id="173" w:name="_Toc155342561"/>
      <w:bookmarkStart w:id="174" w:name="_Toc169487808"/>
      <w:r>
        <w:rPr>
          <w:rFonts w:hint="eastAsia"/>
          <w:color w:val="auto"/>
          <w:highlight w:val="none"/>
        </w:rPr>
        <w:t>投标文件符合性鉴定</w:t>
      </w:r>
      <w:bookmarkEnd w:id="170"/>
      <w:bookmarkEnd w:id="171"/>
      <w:bookmarkEnd w:id="172"/>
      <w:bookmarkEnd w:id="173"/>
      <w:bookmarkEnd w:id="174"/>
    </w:p>
    <w:p w14:paraId="48BAEBB3">
      <w:pPr>
        <w:pStyle w:val="8"/>
        <w:tabs>
          <w:tab w:val="left" w:pos="360"/>
        </w:tabs>
        <w:ind w:left="-189" w:leftChars="-90" w:firstLine="630" w:firstLineChars="300"/>
        <w:rPr>
          <w:rFonts w:hint="eastAsia" w:ascii="Arial" w:hAnsi="Arial"/>
          <w:color w:val="auto"/>
          <w:highlight w:val="none"/>
        </w:rPr>
      </w:pPr>
      <w:r>
        <w:rPr>
          <w:rFonts w:hint="eastAsia" w:ascii="Arial"/>
          <w:color w:val="auto"/>
          <w:highlight w:val="none"/>
        </w:rPr>
        <w:t>2</w:t>
      </w:r>
      <w:r>
        <w:rPr>
          <w:rFonts w:hint="eastAsia" w:ascii="Arial"/>
          <w:color w:val="auto"/>
          <w:highlight w:val="none"/>
          <w:lang w:val="en-US" w:eastAsia="zh-CN"/>
        </w:rPr>
        <w:t>6</w:t>
      </w:r>
      <w:r>
        <w:rPr>
          <w:rFonts w:hint="eastAsia" w:ascii="Arial"/>
          <w:color w:val="auto"/>
          <w:highlight w:val="none"/>
        </w:rPr>
        <w:t>.1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w:t>
      </w:r>
      <w:r>
        <w:rPr>
          <w:rFonts w:hint="eastAsia" w:ascii="Arial"/>
          <w:b/>
          <w:color w:val="auto"/>
          <w:highlight w:val="none"/>
          <w:u w:val="single"/>
        </w:rPr>
        <w:t>报价、租期实质内容</w:t>
      </w:r>
      <w:r>
        <w:rPr>
          <w:rFonts w:hint="eastAsia" w:ascii="Arial"/>
          <w:color w:val="auto"/>
          <w:highlight w:val="none"/>
        </w:rPr>
        <w:t>的承诺是否响应招标文件要求等。投标文件是否响应招标文件实质性内容由评标委员会界定。</w:t>
      </w:r>
      <w:r>
        <w:rPr>
          <w:rFonts w:hint="eastAsia" w:ascii="Arial" w:hAnsi="Arial"/>
          <w:color w:val="auto"/>
          <w:highlight w:val="none"/>
        </w:rPr>
        <w:t xml:space="preserve"> </w:t>
      </w:r>
    </w:p>
    <w:p w14:paraId="70F9A073">
      <w:pPr>
        <w:pStyle w:val="8"/>
        <w:tabs>
          <w:tab w:val="left" w:pos="360"/>
        </w:tabs>
        <w:ind w:left="-189" w:leftChars="-90" w:firstLine="630" w:firstLineChars="300"/>
        <w:rPr>
          <w:rFonts w:hint="eastAsia" w:ascii="Arial" w:hAnsi="Arial"/>
          <w:color w:val="auto"/>
          <w:highlight w:val="none"/>
        </w:rPr>
      </w:pPr>
      <w:r>
        <w:rPr>
          <w:rFonts w:hint="eastAsia" w:ascii="Arial" w:hAnsi="Arial"/>
          <w:color w:val="auto"/>
          <w:highlight w:val="none"/>
        </w:rPr>
        <w:t>2</w:t>
      </w:r>
      <w:r>
        <w:rPr>
          <w:rFonts w:hint="eastAsia" w:ascii="Arial" w:hAnsi="Arial"/>
          <w:color w:val="auto"/>
          <w:highlight w:val="none"/>
          <w:lang w:val="en-US" w:eastAsia="zh-CN"/>
        </w:rPr>
        <w:t>6</w:t>
      </w:r>
      <w:r>
        <w:rPr>
          <w:rFonts w:hint="eastAsia" w:ascii="Arial" w:hAnsi="Arial"/>
          <w:color w:val="auto"/>
          <w:highlight w:val="none"/>
        </w:rPr>
        <w:t>.2</w:t>
      </w:r>
      <w:r>
        <w:rPr>
          <w:rFonts w:hint="eastAsia" w:ascii="Arial"/>
          <w:color w:val="auto"/>
          <w:highlight w:val="none"/>
        </w:rPr>
        <w:t>如果投标文件实质上不响应招标文件各项要求，评标委员会将予以拒绝，并且不允许投标人通过修改或撤消其不符合要求的差异或保留，使之成为具有响应性的投标</w:t>
      </w:r>
      <w:r>
        <w:rPr>
          <w:rFonts w:ascii="Arial"/>
          <w:color w:val="auto"/>
          <w:highlight w:val="none"/>
        </w:rPr>
        <w:t>。</w:t>
      </w:r>
    </w:p>
    <w:p w14:paraId="22F5AC9F">
      <w:pPr>
        <w:pStyle w:val="5"/>
        <w:tabs>
          <w:tab w:val="left" w:pos="360"/>
        </w:tabs>
        <w:ind w:left="0"/>
        <w:rPr>
          <w:color w:val="auto"/>
          <w:highlight w:val="none"/>
        </w:rPr>
      </w:pPr>
      <w:bookmarkStart w:id="175" w:name="_Toc169487809"/>
      <w:bookmarkStart w:id="176" w:name="_Toc458127872"/>
      <w:bookmarkStart w:id="177" w:name="_Toc188333785"/>
      <w:bookmarkStart w:id="178" w:name="_Toc155342562"/>
      <w:bookmarkStart w:id="179" w:name="_Toc188339078"/>
      <w:r>
        <w:rPr>
          <w:rFonts w:hint="eastAsia"/>
          <w:color w:val="auto"/>
          <w:highlight w:val="none"/>
        </w:rPr>
        <w:t>投标文件的澄清</w:t>
      </w:r>
      <w:bookmarkEnd w:id="175"/>
      <w:bookmarkEnd w:id="176"/>
      <w:bookmarkEnd w:id="177"/>
      <w:bookmarkEnd w:id="178"/>
      <w:bookmarkEnd w:id="179"/>
    </w:p>
    <w:p w14:paraId="1B369909">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14:paraId="00B496FC">
      <w:pPr>
        <w:pStyle w:val="8"/>
        <w:numPr>
          <w:ilvl w:val="1"/>
          <w:numId w:val="1"/>
        </w:numPr>
        <w:tabs>
          <w:tab w:val="left" w:pos="360"/>
          <w:tab w:val="left" w:pos="574"/>
        </w:tabs>
        <w:spacing w:after="0" w:line="288" w:lineRule="auto"/>
        <w:ind w:left="0" w:firstLine="420" w:firstLineChars="200"/>
        <w:rPr>
          <w:rFonts w:hint="eastAsia" w:ascii="Arial" w:hAnsi="Arial"/>
          <w:color w:val="auto"/>
          <w:szCs w:val="21"/>
          <w:highlight w:val="none"/>
        </w:rPr>
      </w:pPr>
      <w:r>
        <w:rPr>
          <w:rFonts w:hint="eastAsia" w:ascii="Arial"/>
          <w:color w:val="auto"/>
          <w:highlight w:val="none"/>
        </w:rPr>
        <w:t>评审过程中，评标委员会可能以书面形式通知投标人要求投标人就投标文件中的内容进行澄清</w:t>
      </w:r>
      <w:r>
        <w:rPr>
          <w:rFonts w:ascii="Arial"/>
          <w:color w:val="auto"/>
          <w:highlight w:val="none"/>
        </w:rPr>
        <w:t>，</w:t>
      </w:r>
      <w:r>
        <w:rPr>
          <w:rFonts w:hint="eastAsia" w:ascii="Arial"/>
          <w:color w:val="auto"/>
          <w:highlight w:val="none"/>
        </w:rPr>
        <w:t>投标人应按要求进行书面答复。</w:t>
      </w:r>
      <w:r>
        <w:rPr>
          <w:rFonts w:hint="eastAsia" w:ascii="Arial"/>
          <w:color w:val="auto"/>
          <w:szCs w:val="21"/>
          <w:highlight w:val="none"/>
        </w:rPr>
        <w:t>书面答复须有投标全权代表签字并作为投标文件的一部分。</w:t>
      </w:r>
    </w:p>
    <w:p w14:paraId="1414791E">
      <w:pPr>
        <w:pStyle w:val="5"/>
        <w:tabs>
          <w:tab w:val="left" w:pos="360"/>
        </w:tabs>
        <w:ind w:left="0"/>
        <w:rPr>
          <w:rFonts w:hint="eastAsia"/>
          <w:color w:val="auto"/>
          <w:highlight w:val="none"/>
        </w:rPr>
      </w:pPr>
      <w:bookmarkStart w:id="180" w:name="_Toc169487810"/>
      <w:bookmarkStart w:id="181" w:name="_Toc458127873"/>
      <w:bookmarkStart w:id="182" w:name="_Toc188339079"/>
      <w:bookmarkStart w:id="183" w:name="_Toc155342563"/>
      <w:bookmarkStart w:id="184" w:name="_Toc188333786"/>
      <w:r>
        <w:rPr>
          <w:rFonts w:hint="eastAsia"/>
          <w:color w:val="auto"/>
          <w:highlight w:val="none"/>
        </w:rPr>
        <w:t>投标文件的评审</w:t>
      </w:r>
      <w:bookmarkEnd w:id="180"/>
      <w:bookmarkEnd w:id="181"/>
      <w:bookmarkEnd w:id="182"/>
      <w:bookmarkEnd w:id="183"/>
      <w:bookmarkEnd w:id="184"/>
    </w:p>
    <w:p w14:paraId="646FFF62">
      <w:pPr>
        <w:pStyle w:val="8"/>
        <w:numPr>
          <w:ilvl w:val="1"/>
          <w:numId w:val="1"/>
        </w:numPr>
        <w:tabs>
          <w:tab w:val="left" w:pos="360"/>
          <w:tab w:val="left" w:pos="574"/>
        </w:tabs>
        <w:spacing w:after="0" w:line="288" w:lineRule="auto"/>
        <w:ind w:left="0" w:firstLine="422" w:firstLineChars="200"/>
        <w:rPr>
          <w:rFonts w:hint="eastAsia" w:ascii="黑体" w:eastAsia="黑体"/>
          <w:b/>
          <w:color w:val="auto"/>
          <w:highlight w:val="none"/>
          <w:u w:val="single"/>
        </w:rPr>
      </w:pPr>
      <w:r>
        <w:rPr>
          <w:rFonts w:hint="eastAsia" w:ascii="黑体" w:eastAsia="黑体"/>
          <w:b/>
          <w:color w:val="auto"/>
          <w:highlight w:val="none"/>
          <w:u w:val="single"/>
        </w:rPr>
        <w:t>评标委员会在评标过程中发现投标人的投标文件存在以下情形之一的，应当向投标人质询，如投标人拒绝说明或不能合理说明理由的，则评标委员会可以认定该投标人有串通投标的嫌疑，其投标文件按无效标处理：</w:t>
      </w:r>
    </w:p>
    <w:p w14:paraId="1019646A">
      <w:pPr>
        <w:pStyle w:val="2"/>
        <w:tabs>
          <w:tab w:val="left" w:pos="360"/>
        </w:tabs>
        <w:adjustRightInd w:val="0"/>
        <w:snapToGrid w:val="0"/>
        <w:spacing w:line="288" w:lineRule="auto"/>
        <w:ind w:firstLine="420" w:firstLineChars="200"/>
        <w:rPr>
          <w:rFonts w:hint="eastAsia" w:ascii="Arial" w:hAnsi="Arial" w:eastAsia="宋体"/>
          <w:color w:val="auto"/>
          <w:sz w:val="21"/>
          <w:highlight w:val="none"/>
        </w:rPr>
      </w:pPr>
      <w:r>
        <w:rPr>
          <w:rFonts w:hint="eastAsia" w:ascii="Arial" w:hAnsi="宋体" w:eastAsia="宋体"/>
          <w:color w:val="auto"/>
          <w:sz w:val="21"/>
          <w:highlight w:val="none"/>
        </w:rPr>
        <w:t>（</w:t>
      </w:r>
      <w:r>
        <w:rPr>
          <w:rFonts w:hint="eastAsia" w:ascii="Arial" w:hAnsi="Arial" w:eastAsia="宋体"/>
          <w:color w:val="auto"/>
          <w:sz w:val="21"/>
          <w:highlight w:val="none"/>
        </w:rPr>
        <w:t>1</w:t>
      </w:r>
      <w:r>
        <w:rPr>
          <w:rFonts w:hint="eastAsia" w:ascii="Arial" w:hAnsi="宋体" w:eastAsia="宋体"/>
          <w:color w:val="auto"/>
          <w:sz w:val="21"/>
          <w:highlight w:val="none"/>
        </w:rPr>
        <w:t>）投标文件内容存在错漏之处一致或异常雷同现象；</w:t>
      </w:r>
    </w:p>
    <w:p w14:paraId="34C63FCA">
      <w:pPr>
        <w:pStyle w:val="2"/>
        <w:tabs>
          <w:tab w:val="left" w:pos="360"/>
        </w:tabs>
        <w:adjustRightInd w:val="0"/>
        <w:snapToGrid w:val="0"/>
        <w:spacing w:line="288" w:lineRule="auto"/>
        <w:ind w:firstLine="420" w:firstLineChars="200"/>
        <w:rPr>
          <w:rFonts w:hint="eastAsia" w:ascii="Arial" w:hAnsi="Arial" w:eastAsia="宋体"/>
          <w:color w:val="auto"/>
          <w:sz w:val="21"/>
          <w:highlight w:val="none"/>
        </w:rPr>
      </w:pPr>
      <w:r>
        <w:rPr>
          <w:rFonts w:hint="eastAsia" w:ascii="Arial" w:hAnsi="宋体" w:eastAsia="宋体"/>
          <w:color w:val="auto"/>
          <w:sz w:val="21"/>
          <w:highlight w:val="none"/>
        </w:rPr>
        <w:t>（</w:t>
      </w:r>
      <w:r>
        <w:rPr>
          <w:rFonts w:hint="eastAsia" w:ascii="Arial" w:hAnsi="Arial" w:eastAsia="宋体"/>
          <w:color w:val="auto"/>
          <w:sz w:val="21"/>
          <w:highlight w:val="none"/>
        </w:rPr>
        <w:t>2</w:t>
      </w:r>
      <w:r>
        <w:rPr>
          <w:rFonts w:hint="eastAsia" w:ascii="Arial" w:hAnsi="宋体" w:eastAsia="宋体"/>
          <w:color w:val="auto"/>
          <w:sz w:val="21"/>
          <w:highlight w:val="none"/>
        </w:rPr>
        <w:t>）投标文件由同一单位或同一人编制；</w:t>
      </w:r>
    </w:p>
    <w:p w14:paraId="114F16D6">
      <w:pPr>
        <w:pStyle w:val="2"/>
        <w:tabs>
          <w:tab w:val="left" w:pos="360"/>
        </w:tabs>
        <w:spacing w:line="288" w:lineRule="auto"/>
        <w:rPr>
          <w:rFonts w:hint="eastAsia" w:ascii="Arial" w:hAnsi="Arial" w:eastAsia="宋体"/>
          <w:color w:val="auto"/>
          <w:sz w:val="21"/>
          <w:szCs w:val="21"/>
          <w:highlight w:val="none"/>
        </w:rPr>
      </w:pPr>
      <w:r>
        <w:rPr>
          <w:rFonts w:hint="eastAsia" w:ascii="Arial" w:hAnsi="宋体" w:eastAsia="宋体"/>
          <w:color w:val="auto"/>
          <w:sz w:val="21"/>
          <w:highlight w:val="none"/>
          <w:lang w:val="en-US" w:eastAsia="zh-CN"/>
        </w:rPr>
        <w:t>（</w:t>
      </w:r>
      <w:r>
        <w:rPr>
          <w:rFonts w:hint="eastAsia" w:ascii="Arial" w:hAnsi="宋体" w:eastAsia="宋体"/>
          <w:color w:val="auto"/>
          <w:sz w:val="21"/>
          <w:highlight w:val="none"/>
        </w:rPr>
        <w:t>3）涉嫌故意拉高或压低投标报价。</w:t>
      </w:r>
    </w:p>
    <w:p w14:paraId="7006ABA0">
      <w:pPr>
        <w:pStyle w:val="8"/>
        <w:numPr>
          <w:ilvl w:val="1"/>
          <w:numId w:val="1"/>
        </w:numPr>
        <w:tabs>
          <w:tab w:val="left" w:pos="360"/>
          <w:tab w:val="left" w:pos="574"/>
        </w:tabs>
        <w:spacing w:after="0" w:line="288" w:lineRule="auto"/>
        <w:ind w:left="0" w:firstLine="422" w:firstLineChars="200"/>
        <w:rPr>
          <w:rFonts w:hint="eastAsia" w:ascii="黑体" w:eastAsia="黑体"/>
          <w:b/>
          <w:color w:val="auto"/>
          <w:highlight w:val="none"/>
          <w:u w:val="single"/>
        </w:rPr>
      </w:pPr>
      <w:r>
        <w:rPr>
          <w:rFonts w:hint="eastAsia" w:ascii="黑体" w:eastAsia="黑体"/>
          <w:b/>
          <w:color w:val="auto"/>
          <w:highlight w:val="none"/>
          <w:u w:val="single"/>
        </w:rPr>
        <w:t>投标文件有下列情形之一的，由评标委员会初审初审并经询标后按无效标处理：</w:t>
      </w:r>
    </w:p>
    <w:p w14:paraId="25031C0E">
      <w:pPr>
        <w:pStyle w:val="8"/>
        <w:tabs>
          <w:tab w:val="left" w:pos="360"/>
        </w:tabs>
        <w:ind w:firstLine="420" w:firstLineChars="200"/>
        <w:rPr>
          <w:rFonts w:hint="eastAsia" w:ascii="Arial"/>
          <w:color w:val="auto"/>
          <w:highlight w:val="none"/>
        </w:rPr>
      </w:pPr>
      <w:r>
        <w:rPr>
          <w:rFonts w:hint="eastAsia" w:ascii="Arial"/>
          <w:color w:val="auto"/>
          <w:highlight w:val="none"/>
        </w:rPr>
        <w:t>（1）投标人递交两份或多份内容不同的投标文件，或在一份投标文件中对同一招标项目报有两个或多个报价，且未声明哪一个有效，按招标文件规定提交备选投标方案的除外；</w:t>
      </w:r>
    </w:p>
    <w:p w14:paraId="3E39803D">
      <w:pPr>
        <w:pStyle w:val="8"/>
        <w:tabs>
          <w:tab w:val="left" w:pos="360"/>
        </w:tabs>
        <w:ind w:firstLine="420" w:firstLineChars="200"/>
        <w:rPr>
          <w:rFonts w:hint="eastAsia" w:ascii="Arial"/>
          <w:color w:val="auto"/>
          <w:highlight w:val="none"/>
        </w:rPr>
      </w:pPr>
      <w:r>
        <w:rPr>
          <w:rFonts w:hint="eastAsia" w:ascii="Arial"/>
          <w:color w:val="auto"/>
          <w:highlight w:val="none"/>
        </w:rPr>
        <w:t>（2）投标文件未按招标文件签署条款要求签章的；</w:t>
      </w:r>
    </w:p>
    <w:p w14:paraId="0E42E59B">
      <w:pPr>
        <w:pStyle w:val="8"/>
        <w:tabs>
          <w:tab w:val="left" w:pos="360"/>
        </w:tabs>
        <w:ind w:firstLine="420" w:firstLineChars="200"/>
        <w:rPr>
          <w:rFonts w:hint="eastAsia" w:ascii="Arial"/>
          <w:color w:val="auto"/>
          <w:highlight w:val="none"/>
        </w:rPr>
      </w:pPr>
      <w:r>
        <w:rPr>
          <w:rFonts w:hint="eastAsia" w:ascii="Arial"/>
          <w:color w:val="auto"/>
          <w:highlight w:val="none"/>
        </w:rPr>
        <w:t>（3）投标文件份数不符合</w:t>
      </w:r>
      <w:r>
        <w:rPr>
          <w:rFonts w:ascii="Arial"/>
          <w:color w:val="auto"/>
          <w:highlight w:val="none"/>
        </w:rPr>
        <w:t>招标文件</w:t>
      </w:r>
      <w:r>
        <w:rPr>
          <w:rFonts w:hint="eastAsia" w:ascii="Arial"/>
          <w:color w:val="auto"/>
          <w:highlight w:val="none"/>
        </w:rPr>
        <w:t>前附表</w:t>
      </w:r>
      <w:r>
        <w:rPr>
          <w:rFonts w:ascii="Arial"/>
          <w:color w:val="auto"/>
          <w:highlight w:val="none"/>
        </w:rPr>
        <w:t>要求</w:t>
      </w:r>
      <w:r>
        <w:rPr>
          <w:rFonts w:hint="eastAsia" w:ascii="Arial"/>
          <w:color w:val="auto"/>
          <w:highlight w:val="none"/>
        </w:rPr>
        <w:t>；</w:t>
      </w:r>
    </w:p>
    <w:p w14:paraId="69F73E07">
      <w:pPr>
        <w:pStyle w:val="8"/>
        <w:tabs>
          <w:tab w:val="left" w:pos="360"/>
        </w:tabs>
        <w:ind w:firstLine="420" w:firstLineChars="200"/>
        <w:rPr>
          <w:rFonts w:hint="eastAsia" w:ascii="Arial"/>
          <w:color w:val="auto"/>
          <w:highlight w:val="none"/>
        </w:rPr>
      </w:pPr>
      <w:r>
        <w:rPr>
          <w:rFonts w:hint="eastAsia" w:ascii="Arial"/>
          <w:color w:val="auto"/>
          <w:highlight w:val="none"/>
        </w:rPr>
        <w:t>（4）投标文件组成不符合招标文件要求的；</w:t>
      </w:r>
    </w:p>
    <w:p w14:paraId="47BA2826">
      <w:pPr>
        <w:pStyle w:val="8"/>
        <w:tabs>
          <w:tab w:val="left" w:pos="360"/>
        </w:tabs>
        <w:ind w:firstLine="420" w:firstLineChars="200"/>
        <w:rPr>
          <w:rFonts w:hint="eastAsia" w:ascii="Arial"/>
          <w:color w:val="auto"/>
          <w:highlight w:val="none"/>
        </w:rPr>
      </w:pPr>
      <w:r>
        <w:rPr>
          <w:rFonts w:hint="eastAsia" w:ascii="Arial"/>
          <w:color w:val="auto"/>
          <w:highlight w:val="none"/>
        </w:rPr>
        <w:t>（5）投标人资格要求不满足要求的；</w:t>
      </w:r>
    </w:p>
    <w:p w14:paraId="02719E82">
      <w:pPr>
        <w:pStyle w:val="8"/>
        <w:tabs>
          <w:tab w:val="left" w:pos="360"/>
        </w:tabs>
        <w:ind w:firstLine="420" w:firstLineChars="200"/>
        <w:rPr>
          <w:rFonts w:hint="eastAsia" w:ascii="Arial"/>
          <w:color w:val="auto"/>
          <w:highlight w:val="none"/>
        </w:rPr>
      </w:pPr>
      <w:r>
        <w:rPr>
          <w:rFonts w:hint="eastAsia" w:ascii="Arial"/>
          <w:color w:val="auto"/>
          <w:highlight w:val="none"/>
        </w:rPr>
        <w:t>（6）法律法规规定无效标的</w:t>
      </w:r>
      <w:r>
        <w:rPr>
          <w:rFonts w:hint="eastAsia" w:ascii="Arial"/>
          <w:color w:val="auto"/>
          <w:highlight w:val="none"/>
          <w:lang w:eastAsia="zh-CN"/>
        </w:rPr>
        <w:t>；</w:t>
      </w:r>
    </w:p>
    <w:p w14:paraId="3D7B1EEB">
      <w:pPr>
        <w:pStyle w:val="8"/>
        <w:tabs>
          <w:tab w:val="left" w:pos="360"/>
        </w:tabs>
        <w:ind w:firstLine="420" w:firstLineChars="200"/>
        <w:rPr>
          <w:rFonts w:hint="default" w:ascii="Arial" w:eastAsia="宋体"/>
          <w:color w:val="auto"/>
          <w:highlight w:val="none"/>
          <w:lang w:val="en-US" w:eastAsia="zh-CN"/>
        </w:rPr>
      </w:pPr>
      <w:r>
        <w:rPr>
          <w:rFonts w:hint="eastAsia" w:ascii="Arial"/>
          <w:color w:val="auto"/>
          <w:highlight w:val="none"/>
          <w:lang w:eastAsia="zh-CN"/>
        </w:rPr>
        <w:t>（</w:t>
      </w:r>
      <w:r>
        <w:rPr>
          <w:rFonts w:hint="eastAsia" w:ascii="Arial"/>
          <w:color w:val="auto"/>
          <w:highlight w:val="none"/>
          <w:lang w:val="en-US" w:eastAsia="zh-CN"/>
        </w:rPr>
        <w:t>7）招标文件规定其他无效标情形。</w:t>
      </w:r>
    </w:p>
    <w:p w14:paraId="4F10E00C">
      <w:pPr>
        <w:pStyle w:val="8"/>
        <w:numPr>
          <w:ilvl w:val="-1"/>
          <w:numId w:val="0"/>
        </w:numPr>
        <w:tabs>
          <w:tab w:val="left" w:pos="720"/>
        </w:tabs>
        <w:spacing w:after="0" w:line="240" w:lineRule="auto"/>
        <w:ind w:left="0" w:firstLine="422" w:firstLineChars="200"/>
        <w:rPr>
          <w:rFonts w:hint="eastAsia" w:ascii="Arial" w:hAnsi="宋体" w:eastAsia="宋体"/>
          <w:b w:val="0"/>
          <w:color w:val="auto"/>
          <w:highlight w:val="none"/>
          <w:u w:val="none"/>
        </w:rPr>
      </w:pPr>
      <w:r>
        <w:rPr>
          <w:rFonts w:hint="eastAsia" w:ascii="Arial" w:hAnsi="宋体" w:eastAsia="宋体"/>
          <w:b/>
          <w:bCs/>
          <w:color w:val="auto"/>
          <w:highlight w:val="none"/>
          <w:u w:val="none"/>
          <w:lang w:val="en-US" w:eastAsia="zh-CN"/>
        </w:rPr>
        <w:t>28.3</w:t>
      </w:r>
      <w:r>
        <w:rPr>
          <w:rFonts w:hint="eastAsia" w:ascii="Arial" w:hAnsi="宋体" w:eastAsia="宋体"/>
          <w:b/>
          <w:bCs/>
          <w:color w:val="auto"/>
          <w:highlight w:val="none"/>
          <w:u w:val="none"/>
        </w:rPr>
        <w:t>投标文件有下列情形之一的，由评标委员会进行实质性评审并经询标后按无效标处理：</w:t>
      </w:r>
    </w:p>
    <w:p w14:paraId="383055F2">
      <w:pPr>
        <w:pStyle w:val="2"/>
        <w:tabs>
          <w:tab w:val="left" w:pos="360"/>
        </w:tabs>
        <w:spacing w:line="336" w:lineRule="auto"/>
        <w:ind w:firstLine="420" w:firstLineChars="200"/>
        <w:rPr>
          <w:rFonts w:hint="eastAsia" w:ascii="Arial" w:hAnsi="宋体" w:eastAsia="宋体"/>
          <w:bCs/>
          <w:color w:val="auto"/>
          <w:sz w:val="21"/>
          <w:highlight w:val="none"/>
        </w:rPr>
      </w:pPr>
      <w:r>
        <w:rPr>
          <w:rFonts w:hint="eastAsia" w:ascii="Arial" w:hAnsi="宋体" w:eastAsia="宋体"/>
          <w:bCs/>
          <w:color w:val="auto"/>
          <w:sz w:val="21"/>
          <w:highlight w:val="none"/>
        </w:rPr>
        <w:t>（1）投标承诺的报价、租期等不符合招标文件要求的；</w:t>
      </w:r>
    </w:p>
    <w:p w14:paraId="1E1144BB">
      <w:pPr>
        <w:pStyle w:val="2"/>
        <w:tabs>
          <w:tab w:val="left" w:pos="360"/>
        </w:tabs>
        <w:spacing w:line="336" w:lineRule="auto"/>
        <w:ind w:firstLine="420" w:firstLineChars="200"/>
        <w:rPr>
          <w:rFonts w:hint="eastAsia" w:ascii="Arial" w:hAnsi="宋体" w:eastAsia="宋体"/>
          <w:bCs/>
          <w:color w:val="auto"/>
          <w:sz w:val="21"/>
          <w:highlight w:val="none"/>
        </w:rPr>
      </w:pPr>
      <w:r>
        <w:rPr>
          <w:rFonts w:hint="eastAsia" w:ascii="Arial" w:hAnsi="宋体" w:eastAsia="宋体"/>
          <w:bCs/>
          <w:color w:val="auto"/>
          <w:sz w:val="21"/>
          <w:highlight w:val="none"/>
        </w:rPr>
        <w:t>（2）未按招标文件要求进行报价的；</w:t>
      </w:r>
    </w:p>
    <w:p w14:paraId="07EBEA83">
      <w:pPr>
        <w:pStyle w:val="2"/>
        <w:tabs>
          <w:tab w:val="left" w:pos="360"/>
        </w:tabs>
        <w:spacing w:line="336" w:lineRule="auto"/>
        <w:ind w:firstLine="420" w:firstLineChars="200"/>
        <w:rPr>
          <w:rFonts w:hint="eastAsia" w:ascii="Arial" w:hAnsi="宋体" w:eastAsia="宋体"/>
          <w:bCs/>
          <w:color w:val="auto"/>
          <w:sz w:val="21"/>
          <w:highlight w:val="none"/>
        </w:rPr>
      </w:pPr>
      <w:r>
        <w:rPr>
          <w:rFonts w:hint="eastAsia" w:ascii="Arial" w:hAnsi="宋体" w:eastAsia="宋体"/>
          <w:bCs/>
          <w:color w:val="auto"/>
          <w:sz w:val="21"/>
          <w:highlight w:val="none"/>
        </w:rPr>
        <w:t>（3）违反招标文件其他实质性条款规定的。</w:t>
      </w:r>
    </w:p>
    <w:p w14:paraId="0CDAB55A">
      <w:pPr>
        <w:pStyle w:val="8"/>
        <w:numPr>
          <w:ilvl w:val="-1"/>
          <w:numId w:val="0"/>
        </w:numPr>
        <w:tabs>
          <w:tab w:val="left" w:pos="720"/>
        </w:tabs>
        <w:spacing w:after="0" w:line="240" w:lineRule="auto"/>
        <w:ind w:left="0" w:firstLine="420" w:firstLineChars="200"/>
        <w:rPr>
          <w:rFonts w:hint="eastAsia" w:ascii="Arial" w:hAnsi="宋体"/>
          <w:color w:val="auto"/>
          <w:highlight w:val="none"/>
        </w:rPr>
      </w:pPr>
      <w:r>
        <w:rPr>
          <w:rFonts w:hint="eastAsia" w:ascii="Arial" w:hAnsi="宋体"/>
          <w:color w:val="auto"/>
          <w:highlight w:val="none"/>
          <w:lang w:val="en-US" w:eastAsia="zh-CN"/>
        </w:rPr>
        <w:t>28.4</w:t>
      </w:r>
      <w:r>
        <w:rPr>
          <w:rFonts w:hint="eastAsia" w:ascii="Arial" w:hAnsi="宋体"/>
          <w:color w:val="auto"/>
          <w:highlight w:val="none"/>
        </w:rPr>
        <w:t>如有效标不足三家使得投标明显缺乏竞争的，评标委员会可以否决全部投标。所有投标被否决的，则本次招标失败，重新组织招标。</w:t>
      </w:r>
    </w:p>
    <w:p w14:paraId="41158A42">
      <w:pPr>
        <w:pStyle w:val="5"/>
        <w:tabs>
          <w:tab w:val="left" w:pos="360"/>
        </w:tabs>
        <w:ind w:left="0"/>
        <w:rPr>
          <w:rFonts w:hint="eastAsia"/>
          <w:color w:val="auto"/>
          <w:highlight w:val="none"/>
        </w:rPr>
      </w:pPr>
      <w:bookmarkStart w:id="185" w:name="_Toc188339080"/>
      <w:bookmarkStart w:id="186" w:name="_Toc169487811"/>
      <w:bookmarkStart w:id="187" w:name="_Toc458127874"/>
      <w:bookmarkStart w:id="188" w:name="_Toc155342564"/>
      <w:bookmarkStart w:id="189" w:name="_Toc188333787"/>
      <w:r>
        <w:rPr>
          <w:rFonts w:hint="eastAsia"/>
          <w:color w:val="auto"/>
          <w:highlight w:val="none"/>
        </w:rPr>
        <w:t>商务标的修正</w:t>
      </w:r>
      <w:bookmarkEnd w:id="185"/>
      <w:bookmarkEnd w:id="186"/>
      <w:bookmarkEnd w:id="187"/>
      <w:bookmarkEnd w:id="188"/>
      <w:bookmarkEnd w:id="189"/>
    </w:p>
    <w:p w14:paraId="01C917D4">
      <w:pPr>
        <w:pStyle w:val="8"/>
        <w:numPr>
          <w:ilvl w:val="0"/>
          <w:numId w:val="0"/>
        </w:numPr>
        <w:tabs>
          <w:tab w:val="left" w:pos="720"/>
        </w:tabs>
        <w:spacing w:after="0" w:line="240" w:lineRule="auto"/>
        <w:ind w:firstLine="420" w:firstLineChars="200"/>
        <w:rPr>
          <w:rFonts w:hint="eastAsia" w:ascii="Arial" w:hAnsi="宋体"/>
          <w:color w:val="auto"/>
          <w:highlight w:val="none"/>
        </w:rPr>
      </w:pPr>
      <w:bookmarkStart w:id="190" w:name="OLE_LINK5"/>
      <w:r>
        <w:rPr>
          <w:rFonts w:hint="eastAsia" w:ascii="Arial" w:hAnsi="宋体"/>
          <w:color w:val="auto"/>
          <w:highlight w:val="none"/>
          <w:lang w:val="en-US" w:eastAsia="zh-CN"/>
        </w:rPr>
        <w:t>29.1</w:t>
      </w:r>
      <w:r>
        <w:rPr>
          <w:rFonts w:hint="eastAsia" w:ascii="Arial" w:hAnsi="宋体"/>
          <w:color w:val="auto"/>
          <w:highlight w:val="none"/>
        </w:rPr>
        <w:t>评标委员会将对确定为实质上响应招标文件要求的投标文件进行校核，投标函中的文字表示的量和以数字表示的量不一致时，以文字表示的量为准。</w:t>
      </w:r>
      <w:bookmarkEnd w:id="190"/>
      <w:bookmarkStart w:id="191" w:name="_Toc155342565"/>
      <w:bookmarkStart w:id="192" w:name="_Toc188339081"/>
      <w:bookmarkStart w:id="193" w:name="_Toc188333788"/>
      <w:bookmarkStart w:id="194" w:name="_Toc169487812"/>
    </w:p>
    <w:p w14:paraId="2FDD47C6">
      <w:pPr>
        <w:pStyle w:val="8"/>
        <w:numPr>
          <w:ilvl w:val="0"/>
          <w:numId w:val="0"/>
        </w:numPr>
        <w:tabs>
          <w:tab w:val="left" w:pos="720"/>
        </w:tabs>
        <w:spacing w:line="240" w:lineRule="auto"/>
        <w:ind w:firstLine="420"/>
        <w:rPr>
          <w:rFonts w:hint="eastAsia" w:ascii="Arial" w:hAnsi="宋体"/>
          <w:color w:val="auto"/>
          <w:highlight w:val="none"/>
        </w:rPr>
      </w:pPr>
      <w:r>
        <w:rPr>
          <w:rFonts w:hint="eastAsia" w:ascii="Arial" w:hAnsi="宋体" w:eastAsia="宋体" w:cs="Times New Roman"/>
          <w:color w:val="auto"/>
          <w:spacing w:val="0"/>
          <w:sz w:val="21"/>
          <w:szCs w:val="24"/>
          <w:highlight w:val="none"/>
          <w:lang w:val="en-US" w:eastAsia="zh-CN"/>
        </w:rPr>
        <w:t>29.2大写金额和小写金额不一致的，以大写金额为准。</w:t>
      </w:r>
    </w:p>
    <w:p w14:paraId="74B88C07">
      <w:pPr>
        <w:pStyle w:val="12"/>
        <w:tabs>
          <w:tab w:val="left" w:pos="360"/>
        </w:tabs>
        <w:spacing w:before="156" w:beforeLines="50" w:line="360" w:lineRule="atLeast"/>
        <w:ind w:left="0" w:leftChars="0" w:firstLine="0" w:firstLineChars="0"/>
        <w:rPr>
          <w:rFonts w:hint="eastAsia" w:ascii="Arial" w:hAnsi="Arial" w:eastAsia="黑体"/>
          <w:b/>
          <w:color w:val="auto"/>
          <w:highlight w:val="none"/>
        </w:rPr>
      </w:pPr>
      <w:r>
        <w:rPr>
          <w:rFonts w:hint="eastAsia" w:ascii="Arial" w:hAnsi="Arial" w:eastAsia="黑体"/>
          <w:b/>
          <w:color w:val="auto"/>
          <w:highlight w:val="none"/>
        </w:rPr>
        <w:t>3</w:t>
      </w:r>
      <w:r>
        <w:rPr>
          <w:rFonts w:hint="eastAsia" w:ascii="Arial" w:hAnsi="Arial" w:eastAsia="黑体"/>
          <w:b/>
          <w:color w:val="auto"/>
          <w:highlight w:val="none"/>
          <w:lang w:val="en-US" w:eastAsia="zh-CN"/>
        </w:rPr>
        <w:t>0</w:t>
      </w:r>
      <w:r>
        <w:rPr>
          <w:rFonts w:hint="eastAsia" w:ascii="Arial" w:hAnsi="Arial" w:eastAsia="黑体"/>
          <w:b/>
          <w:color w:val="auto"/>
          <w:highlight w:val="none"/>
        </w:rPr>
        <w:t>.评标办法</w:t>
      </w:r>
      <w:bookmarkEnd w:id="191"/>
      <w:bookmarkEnd w:id="192"/>
      <w:bookmarkEnd w:id="193"/>
      <w:bookmarkEnd w:id="194"/>
    </w:p>
    <w:p w14:paraId="24ADC970">
      <w:pPr>
        <w:pStyle w:val="2"/>
        <w:tabs>
          <w:tab w:val="left" w:pos="360"/>
        </w:tabs>
        <w:spacing w:line="324" w:lineRule="auto"/>
        <w:rPr>
          <w:rFonts w:hint="eastAsia" w:ascii="Arial" w:hAnsi="Arial" w:eastAsia="宋体"/>
          <w:bCs/>
          <w:color w:val="auto"/>
          <w:sz w:val="21"/>
          <w:highlight w:val="none"/>
        </w:rPr>
      </w:pPr>
      <w:r>
        <w:rPr>
          <w:rFonts w:hint="eastAsia" w:ascii="Arial" w:hAnsi="宋体" w:eastAsia="宋体"/>
          <w:bCs/>
          <w:color w:val="auto"/>
          <w:sz w:val="21"/>
          <w:highlight w:val="none"/>
        </w:rPr>
        <w:t>3</w:t>
      </w:r>
      <w:r>
        <w:rPr>
          <w:rFonts w:hint="eastAsia" w:ascii="Arial" w:hAnsi="宋体" w:eastAsia="宋体"/>
          <w:bCs/>
          <w:color w:val="auto"/>
          <w:sz w:val="21"/>
          <w:highlight w:val="none"/>
          <w:lang w:val="en-US" w:eastAsia="zh-CN"/>
        </w:rPr>
        <w:t>0</w:t>
      </w:r>
      <w:r>
        <w:rPr>
          <w:rFonts w:hint="eastAsia" w:ascii="Arial" w:hAnsi="宋体" w:eastAsia="宋体"/>
          <w:bCs/>
          <w:color w:val="auto"/>
          <w:sz w:val="21"/>
          <w:highlight w:val="none"/>
        </w:rPr>
        <w:t>.1本项目采用的评标办法见本须知前附表，具体内容详见本招标文件第</w:t>
      </w:r>
      <w:r>
        <w:rPr>
          <w:rFonts w:hint="eastAsia" w:ascii="Arial" w:hAnsi="宋体" w:eastAsia="宋体"/>
          <w:bCs/>
          <w:color w:val="auto"/>
          <w:sz w:val="21"/>
          <w:highlight w:val="none"/>
          <w:lang w:val="en-US" w:eastAsia="zh-CN"/>
        </w:rPr>
        <w:t>四</w:t>
      </w:r>
      <w:r>
        <w:rPr>
          <w:rFonts w:hint="eastAsia" w:ascii="Arial" w:hAnsi="宋体" w:eastAsia="宋体"/>
          <w:bCs/>
          <w:color w:val="auto"/>
          <w:sz w:val="21"/>
          <w:highlight w:val="none"/>
        </w:rPr>
        <w:t>章。</w:t>
      </w:r>
    </w:p>
    <w:p w14:paraId="47700843">
      <w:pPr>
        <w:pStyle w:val="3"/>
        <w:tabs>
          <w:tab w:val="left" w:pos="360"/>
        </w:tabs>
        <w:spacing w:line="360" w:lineRule="auto"/>
        <w:rPr>
          <w:rFonts w:hint="eastAsia"/>
          <w:color w:val="auto"/>
          <w:highlight w:val="none"/>
        </w:rPr>
      </w:pPr>
      <w:bookmarkStart w:id="195" w:name="_Toc458127875"/>
      <w:r>
        <w:rPr>
          <w:rFonts w:hint="eastAsia"/>
          <w:color w:val="auto"/>
          <w:highlight w:val="none"/>
        </w:rPr>
        <w:t>第七节  授予合同</w:t>
      </w:r>
      <w:bookmarkEnd w:id="157"/>
      <w:bookmarkEnd w:id="158"/>
      <w:bookmarkEnd w:id="195"/>
    </w:p>
    <w:p w14:paraId="28B4BAF8">
      <w:pPr>
        <w:pStyle w:val="5"/>
        <w:numPr>
          <w:ilvl w:val="0"/>
          <w:numId w:val="0"/>
        </w:numPr>
        <w:tabs>
          <w:tab w:val="left" w:pos="360"/>
        </w:tabs>
        <w:spacing w:line="360" w:lineRule="auto"/>
        <w:rPr>
          <w:rFonts w:hint="eastAsia"/>
          <w:color w:val="auto"/>
          <w:highlight w:val="none"/>
        </w:rPr>
      </w:pPr>
      <w:bookmarkStart w:id="196" w:name="_Toc458127876"/>
      <w:bookmarkStart w:id="197" w:name="_Toc155342567"/>
      <w:bookmarkStart w:id="198" w:name="_Toc188339083"/>
      <w:bookmarkStart w:id="199" w:name="_Toc188333790"/>
      <w:bookmarkStart w:id="200" w:name="_Toc169487814"/>
      <w:bookmarkStart w:id="201" w:name="_Toc500208496"/>
      <w:r>
        <w:rPr>
          <w:rFonts w:hint="eastAsia"/>
          <w:color w:val="auto"/>
          <w:highlight w:val="none"/>
        </w:rPr>
        <w:t>3</w:t>
      </w:r>
      <w:r>
        <w:rPr>
          <w:rFonts w:hint="eastAsia"/>
          <w:color w:val="auto"/>
          <w:highlight w:val="none"/>
          <w:lang w:val="en-US" w:eastAsia="zh-CN"/>
        </w:rPr>
        <w:t>1</w:t>
      </w:r>
      <w:r>
        <w:rPr>
          <w:rFonts w:hint="eastAsia"/>
          <w:color w:val="auto"/>
          <w:highlight w:val="none"/>
        </w:rPr>
        <w:t>.中标候选人公示</w:t>
      </w:r>
      <w:bookmarkEnd w:id="196"/>
      <w:bookmarkEnd w:id="197"/>
      <w:bookmarkEnd w:id="198"/>
      <w:bookmarkEnd w:id="199"/>
      <w:bookmarkEnd w:id="200"/>
    </w:p>
    <w:p w14:paraId="3B7101FA">
      <w:pPr>
        <w:widowControl w:val="0"/>
        <w:spacing w:line="360" w:lineRule="auto"/>
        <w:ind w:firstLine="420" w:firstLineChars="200"/>
        <w:rPr>
          <w:rFonts w:hint="eastAsia" w:ascii="Arial" w:hAnsi="宋体"/>
          <w:color w:val="auto"/>
          <w:highlight w:val="none"/>
        </w:rPr>
      </w:pPr>
      <w:bookmarkStart w:id="202" w:name="_Toc155342568"/>
      <w:bookmarkStart w:id="203" w:name="_Toc169487815"/>
      <w:r>
        <w:rPr>
          <w:rFonts w:hint="eastAsia" w:ascii="Arial" w:hAnsi="宋体" w:eastAsia="宋体" w:cs="Times New Roman"/>
          <w:color w:val="auto"/>
          <w:highlight w:val="none"/>
        </w:rPr>
        <w:t>3</w:t>
      </w:r>
      <w:r>
        <w:rPr>
          <w:rFonts w:hint="eastAsia" w:ascii="Arial" w:hAnsi="宋体" w:cs="Times New Roman"/>
          <w:color w:val="auto"/>
          <w:highlight w:val="none"/>
          <w:lang w:val="en-US" w:eastAsia="zh-CN"/>
        </w:rPr>
        <w:t>1</w:t>
      </w:r>
      <w:r>
        <w:rPr>
          <w:rFonts w:hint="eastAsia" w:ascii="Arial" w:hAnsi="宋体" w:eastAsia="宋体" w:cs="Times New Roman"/>
          <w:color w:val="auto"/>
          <w:highlight w:val="none"/>
        </w:rPr>
        <w:t>.1</w:t>
      </w:r>
      <w:r>
        <w:rPr>
          <w:rFonts w:hint="eastAsia" w:ascii="Arial" w:hAnsi="宋体"/>
          <w:color w:val="auto"/>
          <w:highlight w:val="none"/>
        </w:rPr>
        <w:t>招标人应当将评标委员会推荐的中标候选人进行公示，公示期不得少于3日。</w:t>
      </w:r>
    </w:p>
    <w:p w14:paraId="0B787009">
      <w:pPr>
        <w:spacing w:line="360" w:lineRule="auto"/>
        <w:ind w:firstLine="420" w:firstLineChars="200"/>
        <w:rPr>
          <w:rFonts w:hint="eastAsia" w:ascii="Arial" w:hAnsi="宋体" w:eastAsia="宋体"/>
          <w:color w:val="auto"/>
          <w:sz w:val="21"/>
          <w:highlight w:val="none"/>
        </w:rPr>
      </w:pPr>
      <w:r>
        <w:rPr>
          <w:rFonts w:hint="eastAsia" w:ascii="Arial" w:hAnsi="宋体" w:eastAsia="宋体"/>
          <w:color w:val="auto"/>
          <w:sz w:val="21"/>
          <w:highlight w:val="none"/>
        </w:rPr>
        <w:t>3</w:t>
      </w:r>
      <w:r>
        <w:rPr>
          <w:rFonts w:hint="eastAsia" w:ascii="Arial" w:hAnsi="宋体" w:eastAsia="宋体"/>
          <w:color w:val="auto"/>
          <w:sz w:val="21"/>
          <w:highlight w:val="none"/>
          <w:lang w:val="en-US" w:eastAsia="zh-CN"/>
        </w:rPr>
        <w:t>1.</w:t>
      </w:r>
      <w:r>
        <w:rPr>
          <w:rFonts w:hint="eastAsia" w:ascii="Arial" w:hAnsi="宋体" w:eastAsia="宋体"/>
          <w:color w:val="auto"/>
          <w:sz w:val="21"/>
          <w:highlight w:val="none"/>
        </w:rPr>
        <w:t>2公示期间，对中标候选人资格有异议的，可向招标人（招标代理机构）提出（附相关有效证明材料），招标人（招标代理机构）应给予答复。投标人对答复不服或认为招标人（招标代理机构）有违反有关规定及其他弄虚作假情形的，可在接到答复之日起3日内向主管部门书面申请核查，并提交相关材料。</w:t>
      </w:r>
    </w:p>
    <w:p w14:paraId="66DB0465">
      <w:pPr>
        <w:widowControl w:val="0"/>
        <w:spacing w:line="360" w:lineRule="auto"/>
        <w:ind w:firstLine="420" w:firstLineChars="200"/>
        <w:rPr>
          <w:rFonts w:hint="eastAsia" w:ascii="Arial" w:hAnsi="宋体"/>
          <w:color w:val="auto"/>
          <w:highlight w:val="none"/>
        </w:rPr>
      </w:pPr>
      <w:r>
        <w:rPr>
          <w:rFonts w:hint="eastAsia" w:ascii="Arial" w:hAnsi="宋体" w:eastAsia="宋体" w:cs="Times New Roman"/>
          <w:color w:val="auto"/>
          <w:highlight w:val="none"/>
        </w:rPr>
        <w:t>3</w:t>
      </w:r>
      <w:r>
        <w:rPr>
          <w:rFonts w:hint="eastAsia" w:ascii="Arial" w:hAnsi="宋体" w:cs="Times New Roman"/>
          <w:color w:val="auto"/>
          <w:highlight w:val="none"/>
          <w:lang w:val="en-US" w:eastAsia="zh-CN"/>
        </w:rPr>
        <w:t>1</w:t>
      </w:r>
      <w:r>
        <w:rPr>
          <w:rFonts w:hint="eastAsia" w:ascii="Arial" w:hAnsi="宋体" w:eastAsia="宋体" w:cs="Times New Roman"/>
          <w:color w:val="auto"/>
          <w:highlight w:val="none"/>
        </w:rPr>
        <w:t>.3</w:t>
      </w:r>
      <w:r>
        <w:rPr>
          <w:rFonts w:hint="eastAsia" w:ascii="Arial" w:hAnsi="宋体"/>
          <w:color w:val="auto"/>
          <w:highlight w:val="none"/>
        </w:rPr>
        <w:t>涉及中标候选人投标资格等情形的，招标人（招标代理机构）可以书面形式要求其进行澄清或说明。中标候选人应自收到书面通知之日起3日内进行澄清或说明。</w:t>
      </w:r>
    </w:p>
    <w:bookmarkEnd w:id="201"/>
    <w:bookmarkEnd w:id="202"/>
    <w:bookmarkEnd w:id="203"/>
    <w:p w14:paraId="29D23F24">
      <w:pPr>
        <w:pStyle w:val="5"/>
        <w:numPr>
          <w:ilvl w:val="0"/>
          <w:numId w:val="0"/>
        </w:numPr>
        <w:tabs>
          <w:tab w:val="left" w:pos="360"/>
        </w:tabs>
        <w:rPr>
          <w:rFonts w:hint="eastAsia"/>
          <w:color w:val="auto"/>
          <w:highlight w:val="none"/>
        </w:rPr>
      </w:pPr>
      <w:bookmarkStart w:id="204" w:name="_Toc169487816"/>
      <w:bookmarkStart w:id="205" w:name="_Toc188339085"/>
      <w:bookmarkStart w:id="206" w:name="_Toc188333792"/>
      <w:bookmarkStart w:id="207" w:name="_Toc458127877"/>
      <w:r>
        <w:rPr>
          <w:rFonts w:hint="eastAsia"/>
          <w:color w:val="auto"/>
          <w:highlight w:val="none"/>
        </w:rPr>
        <w:t>3</w:t>
      </w:r>
      <w:r>
        <w:rPr>
          <w:rFonts w:hint="eastAsia"/>
          <w:color w:val="auto"/>
          <w:highlight w:val="none"/>
          <w:lang w:val="en-US" w:eastAsia="zh-CN"/>
        </w:rPr>
        <w:t>2</w:t>
      </w:r>
      <w:r>
        <w:rPr>
          <w:rFonts w:hint="eastAsia"/>
          <w:color w:val="auto"/>
          <w:highlight w:val="none"/>
        </w:rPr>
        <w:t>.中标通知书</w:t>
      </w:r>
      <w:bookmarkEnd w:id="204"/>
      <w:bookmarkEnd w:id="205"/>
      <w:bookmarkEnd w:id="206"/>
      <w:bookmarkEnd w:id="207"/>
    </w:p>
    <w:p w14:paraId="446B0AA6">
      <w:pPr>
        <w:spacing w:line="360" w:lineRule="auto"/>
        <w:ind w:firstLine="420" w:firstLineChars="200"/>
        <w:rPr>
          <w:rFonts w:hint="eastAsia" w:ascii="Arial" w:hAnsi="宋体"/>
          <w:color w:val="auto"/>
          <w:highlight w:val="none"/>
        </w:rPr>
      </w:pPr>
      <w:bookmarkStart w:id="208" w:name="_Toc188333793"/>
      <w:bookmarkStart w:id="209" w:name="_Toc188339086"/>
      <w:bookmarkStart w:id="210" w:name="_Toc155342569"/>
      <w:bookmarkStart w:id="211" w:name="_Toc169487817"/>
      <w:r>
        <w:rPr>
          <w:rFonts w:hint="eastAsia" w:ascii="Arial" w:hAnsi="宋体"/>
          <w:color w:val="auto"/>
          <w:highlight w:val="none"/>
        </w:rPr>
        <w:t>3</w:t>
      </w:r>
      <w:r>
        <w:rPr>
          <w:rFonts w:hint="eastAsia" w:ascii="Arial" w:hAnsi="宋体"/>
          <w:color w:val="auto"/>
          <w:highlight w:val="none"/>
          <w:lang w:val="en-US" w:eastAsia="zh-CN"/>
        </w:rPr>
        <w:t>2</w:t>
      </w:r>
      <w:r>
        <w:rPr>
          <w:rFonts w:hint="eastAsia" w:ascii="Arial" w:hAnsi="宋体"/>
          <w:color w:val="auto"/>
          <w:highlight w:val="none"/>
        </w:rPr>
        <w:t>.1招标人应确定中标候选人为中标人，中标候选人放弃中标，或者因不可抗力提出不能履行合同，或者招标文件规定应当提交履约担保而在规定的期限内未能提交的，本次招标失败，重新组织招标。</w:t>
      </w:r>
    </w:p>
    <w:p w14:paraId="4F9D700C">
      <w:pPr>
        <w:spacing w:line="360" w:lineRule="auto"/>
        <w:ind w:firstLine="420" w:firstLineChars="200"/>
        <w:rPr>
          <w:rFonts w:hint="eastAsia" w:ascii="Arial" w:hAnsi="宋体"/>
          <w:color w:val="auto"/>
          <w:highlight w:val="none"/>
        </w:rPr>
      </w:pPr>
      <w:r>
        <w:rPr>
          <w:rFonts w:hint="eastAsia" w:ascii="Arial" w:hAnsi="宋体"/>
          <w:color w:val="auto"/>
          <w:highlight w:val="none"/>
        </w:rPr>
        <w:t>3</w:t>
      </w:r>
      <w:r>
        <w:rPr>
          <w:rFonts w:hint="eastAsia" w:ascii="Arial" w:hAnsi="宋体"/>
          <w:color w:val="auto"/>
          <w:highlight w:val="none"/>
          <w:lang w:val="en-US" w:eastAsia="zh-CN"/>
        </w:rPr>
        <w:t>2</w:t>
      </w:r>
      <w:r>
        <w:rPr>
          <w:rFonts w:hint="eastAsia" w:ascii="Arial" w:hAnsi="宋体"/>
          <w:color w:val="auto"/>
          <w:highlight w:val="none"/>
        </w:rPr>
        <w:t>.2中标人确定后，招标人应当向中标人发出《中标通知书》。</w:t>
      </w:r>
    </w:p>
    <w:p w14:paraId="3995F8E6">
      <w:pPr>
        <w:spacing w:line="360" w:lineRule="auto"/>
        <w:ind w:firstLine="420" w:firstLineChars="200"/>
        <w:rPr>
          <w:rFonts w:hint="eastAsia" w:ascii="宋体" w:hAnsi="宋体"/>
          <w:color w:val="auto"/>
          <w:highlight w:val="none"/>
        </w:rPr>
      </w:pPr>
      <w:r>
        <w:rPr>
          <w:rFonts w:hint="eastAsia" w:ascii="Arial" w:hAnsi="宋体"/>
          <w:color w:val="auto"/>
          <w:highlight w:val="none"/>
        </w:rPr>
        <w:t>3</w:t>
      </w:r>
      <w:r>
        <w:rPr>
          <w:rFonts w:hint="eastAsia" w:ascii="Arial" w:hAnsi="宋体"/>
          <w:color w:val="auto"/>
          <w:highlight w:val="none"/>
          <w:lang w:val="en-US" w:eastAsia="zh-CN"/>
        </w:rPr>
        <w:t>2</w:t>
      </w:r>
      <w:r>
        <w:rPr>
          <w:rFonts w:hint="eastAsia" w:ascii="Arial" w:hAnsi="宋体"/>
          <w:color w:val="auto"/>
          <w:highlight w:val="none"/>
        </w:rPr>
        <w:t>.3《中标通知书》对招标人和中标人具有法律约束力。《中标通知书》发出后，如中标人违反法律法规规定而中标无效的，应承担相应的法律责任，本次招标失败。</w:t>
      </w:r>
    </w:p>
    <w:p w14:paraId="5C8A51CC">
      <w:pPr>
        <w:pStyle w:val="5"/>
        <w:numPr>
          <w:ilvl w:val="0"/>
          <w:numId w:val="0"/>
        </w:numPr>
        <w:tabs>
          <w:tab w:val="left" w:pos="360"/>
        </w:tabs>
        <w:rPr>
          <w:rFonts w:hint="eastAsia"/>
          <w:color w:val="auto"/>
          <w:highlight w:val="none"/>
        </w:rPr>
      </w:pPr>
      <w:bookmarkStart w:id="212" w:name="_Toc458127878"/>
      <w:r>
        <w:rPr>
          <w:rFonts w:hint="eastAsia"/>
          <w:color w:val="auto"/>
          <w:highlight w:val="none"/>
        </w:rPr>
        <w:t>3</w:t>
      </w:r>
      <w:r>
        <w:rPr>
          <w:rFonts w:hint="eastAsia"/>
          <w:color w:val="auto"/>
          <w:highlight w:val="none"/>
          <w:lang w:val="en-US" w:eastAsia="zh-CN"/>
        </w:rPr>
        <w:t>3</w:t>
      </w:r>
      <w:r>
        <w:rPr>
          <w:rFonts w:hint="eastAsia"/>
          <w:color w:val="auto"/>
          <w:highlight w:val="none"/>
        </w:rPr>
        <w:t>.合同签订</w:t>
      </w:r>
      <w:bookmarkEnd w:id="208"/>
      <w:bookmarkEnd w:id="209"/>
      <w:bookmarkEnd w:id="210"/>
      <w:bookmarkEnd w:id="211"/>
      <w:bookmarkEnd w:id="212"/>
    </w:p>
    <w:p w14:paraId="78ADF8EF">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color w:val="auto"/>
          <w:szCs w:val="24"/>
          <w:highlight w:val="none"/>
        </w:rPr>
        <w:t>3</w:t>
      </w:r>
      <w:r>
        <w:rPr>
          <w:rFonts w:hint="eastAsia" w:ascii="Arial" w:hAnsi="宋体"/>
          <w:color w:val="auto"/>
          <w:szCs w:val="24"/>
          <w:highlight w:val="none"/>
          <w:lang w:val="en-US" w:eastAsia="zh-CN"/>
        </w:rPr>
        <w:t>3</w:t>
      </w:r>
      <w:r>
        <w:rPr>
          <w:rFonts w:hint="eastAsia" w:ascii="Arial" w:hAnsi="宋体"/>
          <w:color w:val="auto"/>
          <w:szCs w:val="24"/>
          <w:highlight w:val="none"/>
        </w:rPr>
        <w:t>.1</w:t>
      </w:r>
      <w:r>
        <w:rPr>
          <w:rFonts w:hint="eastAsia" w:ascii="Arial" w:hAnsi="宋体"/>
          <w:color w:val="auto"/>
          <w:szCs w:val="24"/>
          <w:highlight w:val="none"/>
          <w:lang w:val="en-US" w:eastAsia="zh-CN"/>
        </w:rPr>
        <w:t>招标人</w:t>
      </w:r>
      <w:r>
        <w:rPr>
          <w:rFonts w:hint="eastAsia" w:ascii="Arial" w:hAnsi="宋体"/>
          <w:color w:val="auto"/>
          <w:szCs w:val="24"/>
          <w:highlight w:val="none"/>
        </w:rPr>
        <w:t>自《中标通知书》发出之日起</w:t>
      </w:r>
      <w:r>
        <w:rPr>
          <w:rFonts w:hint="eastAsia" w:ascii="Arial" w:hAnsi="宋体" w:eastAsia="宋体" w:cs="Times New Roman"/>
          <w:color w:val="auto"/>
          <w:szCs w:val="24"/>
          <w:highlight w:val="none"/>
          <w:lang w:val="en-US" w:eastAsia="zh-CN"/>
        </w:rPr>
        <w:t>10</w:t>
      </w:r>
      <w:r>
        <w:rPr>
          <w:rFonts w:hint="eastAsia" w:ascii="Arial" w:hAnsi="宋体"/>
          <w:color w:val="auto"/>
          <w:szCs w:val="24"/>
          <w:highlight w:val="none"/>
        </w:rPr>
        <w:t>日内</w:t>
      </w:r>
      <w:r>
        <w:rPr>
          <w:rFonts w:hint="eastAsia" w:ascii="Arial" w:hAnsi="宋体" w:eastAsia="宋体" w:cs="Times New Roman"/>
          <w:color w:val="auto"/>
          <w:kern w:val="2"/>
          <w:sz w:val="21"/>
          <w:szCs w:val="24"/>
          <w:highlight w:val="none"/>
          <w:lang w:val="en-US" w:eastAsia="zh-CN" w:bidi="ar-SA"/>
        </w:rPr>
        <w:t>，按照招标文件和中标人投标文件内容要求，与中标人签订合同。所签订的合同不得对招标文件确定的事项和中标人投标文件作实质性修改。</w:t>
      </w:r>
    </w:p>
    <w:p w14:paraId="7877C1F7">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.2</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不得向中标人提出任何不合理的要求作为签订合同的条件。</w:t>
      </w:r>
    </w:p>
    <w:p w14:paraId="37031926">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.3中标人无故拖延、拒签合同的，将取消中标资格。</w:t>
      </w:r>
    </w:p>
    <w:p w14:paraId="03609ED2">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.4中标人拒绝与</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签订合同的，</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可以重新开展</w:t>
      </w:r>
      <w:r>
        <w:rPr>
          <w:rFonts w:hint="eastAsia" w:ascii="Arial" w:hAnsi="宋体" w:cs="Times New Roman"/>
          <w:color w:val="auto"/>
          <w:kern w:val="2"/>
          <w:sz w:val="21"/>
          <w:szCs w:val="24"/>
          <w:highlight w:val="none"/>
          <w:lang w:val="en-US" w:eastAsia="zh-CN" w:bidi="ar-SA"/>
        </w:rPr>
        <w:t>招标</w:t>
      </w:r>
      <w:r>
        <w:rPr>
          <w:rFonts w:hint="eastAsia" w:ascii="Arial" w:hAnsi="宋体" w:eastAsia="宋体" w:cs="Times New Roman"/>
          <w:color w:val="auto"/>
          <w:kern w:val="2"/>
          <w:sz w:val="21"/>
          <w:szCs w:val="24"/>
          <w:highlight w:val="none"/>
          <w:lang w:val="en-US" w:eastAsia="zh-CN" w:bidi="ar-SA"/>
        </w:rPr>
        <w:t>活动。同时，拒绝与</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签订合同的中标人，</w:t>
      </w:r>
      <w:r>
        <w:rPr>
          <w:rFonts w:hint="eastAsia" w:ascii="Arial" w:hAnsi="宋体" w:cs="Times New Roman"/>
          <w:color w:val="auto"/>
          <w:kern w:val="2"/>
          <w:sz w:val="21"/>
          <w:szCs w:val="24"/>
          <w:highlight w:val="none"/>
          <w:lang w:val="en-US" w:eastAsia="zh-CN" w:bidi="ar-SA"/>
        </w:rPr>
        <w:t>没收投标保证金</w:t>
      </w:r>
      <w:r>
        <w:rPr>
          <w:rFonts w:hint="eastAsia" w:ascii="Arial" w:hAnsi="宋体" w:eastAsia="宋体" w:cs="Times New Roman"/>
          <w:color w:val="auto"/>
          <w:kern w:val="2"/>
          <w:sz w:val="21"/>
          <w:szCs w:val="24"/>
          <w:highlight w:val="none"/>
          <w:lang w:val="en-US" w:eastAsia="zh-CN" w:bidi="ar-SA"/>
        </w:rPr>
        <w:t>。</w:t>
      </w:r>
    </w:p>
    <w:p w14:paraId="02BD5C54">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.5询问或者质疑事项可能影响中标结果的，</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应当暂停签订合同，已经签订合同的，应当中止履行合同。</w:t>
      </w:r>
    </w:p>
    <w:p w14:paraId="5E4FFDF8">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w:t>
      </w:r>
      <w:r>
        <w:rPr>
          <w:rFonts w:hint="eastAsia" w:ascii="Arial" w:hAnsi="宋体" w:cs="Times New Roman"/>
          <w:color w:val="auto"/>
          <w:kern w:val="2"/>
          <w:sz w:val="21"/>
          <w:szCs w:val="24"/>
          <w:highlight w:val="none"/>
          <w:lang w:val="en-US" w:eastAsia="zh-CN" w:bidi="ar-SA"/>
        </w:rPr>
        <w:t>6</w:t>
      </w:r>
      <w:r>
        <w:rPr>
          <w:rFonts w:hint="eastAsia" w:ascii="Arial" w:hAnsi="宋体" w:eastAsia="宋体" w:cs="Times New Roman"/>
          <w:color w:val="auto"/>
          <w:kern w:val="2"/>
          <w:sz w:val="21"/>
          <w:szCs w:val="24"/>
          <w:highlight w:val="none"/>
          <w:lang w:val="en-US" w:eastAsia="zh-CN" w:bidi="ar-SA"/>
        </w:rPr>
        <w:t>中标人应在签订合同前向招标人提交履约保证金，未提交履约保证金的，不授予合同。履约保证金的收取及退还详见投标人须知前附表。</w:t>
      </w:r>
    </w:p>
    <w:p w14:paraId="6238717B">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w:t>
      </w:r>
      <w:r>
        <w:rPr>
          <w:rFonts w:hint="eastAsia" w:ascii="Arial" w:hAnsi="宋体" w:cs="Times New Roman"/>
          <w:color w:val="auto"/>
          <w:kern w:val="2"/>
          <w:sz w:val="21"/>
          <w:szCs w:val="24"/>
          <w:highlight w:val="none"/>
          <w:lang w:val="en-US" w:eastAsia="zh-CN" w:bidi="ar-SA"/>
        </w:rPr>
        <w:t>7</w:t>
      </w:r>
      <w:r>
        <w:rPr>
          <w:rFonts w:hint="eastAsia" w:ascii="Arial" w:hAnsi="宋体" w:eastAsia="宋体" w:cs="Times New Roman"/>
          <w:color w:val="auto"/>
          <w:kern w:val="2"/>
          <w:sz w:val="21"/>
          <w:szCs w:val="24"/>
          <w:highlight w:val="none"/>
          <w:lang w:val="en-US" w:eastAsia="zh-CN" w:bidi="ar-SA"/>
        </w:rPr>
        <w:t>签订合同后，如中标人不按双方合同约定履约，则没收其全部履约保证金，履约保证金不足以赔偿损失的，按实际损失赔偿。</w:t>
      </w:r>
    </w:p>
    <w:p w14:paraId="6238B560">
      <w:pPr>
        <w:pStyle w:val="8"/>
        <w:tabs>
          <w:tab w:val="left" w:pos="720"/>
        </w:tabs>
        <w:spacing w:line="276" w:lineRule="auto"/>
        <w:ind w:firstLine="420" w:firstLineChars="200"/>
        <w:rPr>
          <w:rFonts w:hint="eastAsia"/>
          <w:color w:val="auto"/>
          <w:highlight w:val="none"/>
        </w:rPr>
      </w:pPr>
    </w:p>
    <w:p w14:paraId="24313678">
      <w:pPr>
        <w:spacing w:line="420" w:lineRule="exact"/>
        <w:jc w:val="center"/>
        <w:rPr>
          <w:rFonts w:ascii="黑体" w:eastAsia="黑体"/>
          <w:color w:val="auto"/>
          <w:kern w:val="21"/>
          <w:sz w:val="28"/>
          <w:szCs w:val="28"/>
          <w:highlight w:val="none"/>
        </w:rPr>
        <w:sectPr>
          <w:pgSz w:w="11906" w:h="16838"/>
          <w:pgMar w:top="1418" w:right="1134" w:bottom="1361" w:left="1134" w:header="851" w:footer="992" w:gutter="0"/>
          <w:pgNumType w:fmt="decimal"/>
          <w:cols w:space="720" w:num="1"/>
          <w:titlePg/>
          <w:docGrid w:type="lines" w:linePitch="312" w:charSpace="0"/>
        </w:sectPr>
      </w:pPr>
    </w:p>
    <w:p w14:paraId="4355970B">
      <w:pPr>
        <w:spacing w:line="420" w:lineRule="exact"/>
        <w:jc w:val="center"/>
        <w:rPr>
          <w:rFonts w:hint="eastAsia" w:ascii="黑体" w:eastAsia="黑体"/>
          <w:color w:val="auto"/>
          <w:kern w:val="21"/>
          <w:sz w:val="28"/>
          <w:szCs w:val="28"/>
          <w:highlight w:val="none"/>
        </w:rPr>
      </w:pPr>
      <w:r>
        <w:rPr>
          <w:rFonts w:hint="eastAsia" w:ascii="黑体" w:eastAsia="黑体"/>
          <w:color w:val="auto"/>
          <w:kern w:val="21"/>
          <w:sz w:val="28"/>
          <w:szCs w:val="28"/>
          <w:highlight w:val="none"/>
        </w:rPr>
        <w:t>第</w:t>
      </w:r>
      <w:r>
        <w:rPr>
          <w:rFonts w:hint="eastAsia" w:ascii="黑体" w:eastAsia="黑体"/>
          <w:color w:val="auto"/>
          <w:kern w:val="21"/>
          <w:sz w:val="28"/>
          <w:szCs w:val="28"/>
          <w:highlight w:val="none"/>
          <w:lang w:val="en-US" w:eastAsia="zh-CN"/>
        </w:rPr>
        <w:t>四</w:t>
      </w:r>
      <w:r>
        <w:rPr>
          <w:rFonts w:hint="eastAsia" w:ascii="黑体" w:eastAsia="黑体"/>
          <w:color w:val="auto"/>
          <w:kern w:val="21"/>
          <w:sz w:val="28"/>
          <w:szCs w:val="28"/>
          <w:highlight w:val="none"/>
        </w:rPr>
        <w:t>章  评标办法</w:t>
      </w:r>
    </w:p>
    <w:p w14:paraId="4C189EE4">
      <w:pPr>
        <w:spacing w:line="420" w:lineRule="exact"/>
        <w:jc w:val="center"/>
        <w:rPr>
          <w:rFonts w:hint="eastAsia" w:ascii="黑体" w:eastAsia="黑体"/>
          <w:color w:val="auto"/>
          <w:kern w:val="21"/>
          <w:szCs w:val="21"/>
          <w:highlight w:val="none"/>
        </w:rPr>
      </w:pPr>
    </w:p>
    <w:p w14:paraId="5BF3E321">
      <w:pPr>
        <w:spacing w:line="480" w:lineRule="exact"/>
        <w:rPr>
          <w:rFonts w:ascii="黑体" w:eastAsia="黑体"/>
          <w:color w:val="auto"/>
          <w:kern w:val="21"/>
          <w:szCs w:val="21"/>
          <w:highlight w:val="none"/>
        </w:rPr>
      </w:pPr>
      <w:r>
        <w:rPr>
          <w:rFonts w:ascii="黑体" w:eastAsia="黑体"/>
          <w:color w:val="auto"/>
          <w:kern w:val="21"/>
          <w:szCs w:val="21"/>
          <w:highlight w:val="none"/>
        </w:rPr>
        <w:t>（一）评标组织</w:t>
      </w:r>
    </w:p>
    <w:p w14:paraId="3B4E6612">
      <w:pPr>
        <w:snapToGrid w:val="0"/>
        <w:spacing w:line="480" w:lineRule="exact"/>
        <w:ind w:firstLine="567"/>
        <w:rPr>
          <w:rFonts w:hint="eastAsia" w:ascii="宋体" w:hAnsi="宋体"/>
          <w:color w:val="auto"/>
          <w:szCs w:val="21"/>
          <w:highlight w:val="none"/>
        </w:rPr>
      </w:pPr>
      <w:r>
        <w:rPr>
          <w:rFonts w:ascii="宋体" w:hAnsi="宋体"/>
          <w:color w:val="auto"/>
          <w:szCs w:val="21"/>
          <w:highlight w:val="none"/>
        </w:rPr>
        <w:t>招标</w:t>
      </w:r>
      <w:r>
        <w:rPr>
          <w:rFonts w:hint="eastAsia" w:ascii="宋体" w:hAnsi="宋体"/>
          <w:color w:val="auto"/>
          <w:szCs w:val="21"/>
          <w:highlight w:val="none"/>
        </w:rPr>
        <w:t>单位</w:t>
      </w:r>
      <w:r>
        <w:rPr>
          <w:rFonts w:hint="eastAsia" w:ascii="宋体" w:hAnsi="宋体"/>
          <w:color w:val="auto"/>
          <w:szCs w:val="21"/>
          <w:highlight w:val="none"/>
          <w:lang w:val="en-US" w:eastAsia="zh-CN"/>
        </w:rPr>
        <w:t>或招标代理机构</w:t>
      </w:r>
      <w:r>
        <w:rPr>
          <w:rFonts w:hint="eastAsia" w:ascii="宋体" w:hAnsi="宋体"/>
          <w:color w:val="auto"/>
          <w:szCs w:val="21"/>
          <w:highlight w:val="none"/>
        </w:rPr>
        <w:t>根据实际情况</w:t>
      </w:r>
      <w:r>
        <w:rPr>
          <w:rFonts w:ascii="宋体" w:hAnsi="宋体"/>
          <w:color w:val="auto"/>
          <w:szCs w:val="21"/>
          <w:highlight w:val="none"/>
        </w:rPr>
        <w:t>组成评标小组。</w:t>
      </w:r>
    </w:p>
    <w:p w14:paraId="0806EB3F">
      <w:pPr>
        <w:spacing w:line="480" w:lineRule="exact"/>
        <w:rPr>
          <w:rFonts w:ascii="黑体" w:eastAsia="黑体"/>
          <w:color w:val="auto"/>
          <w:kern w:val="21"/>
          <w:szCs w:val="21"/>
          <w:highlight w:val="none"/>
        </w:rPr>
      </w:pPr>
      <w:r>
        <w:rPr>
          <w:rFonts w:ascii="黑体" w:eastAsia="黑体"/>
          <w:color w:val="auto"/>
          <w:kern w:val="21"/>
          <w:szCs w:val="21"/>
          <w:highlight w:val="none"/>
        </w:rPr>
        <w:t>（</w:t>
      </w:r>
      <w:r>
        <w:rPr>
          <w:rFonts w:hint="eastAsia" w:ascii="黑体" w:eastAsia="黑体"/>
          <w:color w:val="auto"/>
          <w:kern w:val="21"/>
          <w:szCs w:val="21"/>
          <w:highlight w:val="none"/>
        </w:rPr>
        <w:t>二</w:t>
      </w:r>
      <w:r>
        <w:rPr>
          <w:rFonts w:ascii="黑体" w:eastAsia="黑体"/>
          <w:color w:val="auto"/>
          <w:kern w:val="21"/>
          <w:szCs w:val="21"/>
          <w:highlight w:val="none"/>
        </w:rPr>
        <w:t>）评标原则</w:t>
      </w:r>
    </w:p>
    <w:p w14:paraId="18D7FD1F">
      <w:pPr>
        <w:snapToGrid w:val="0"/>
        <w:spacing w:line="480" w:lineRule="exact"/>
        <w:ind w:firstLine="567"/>
        <w:rPr>
          <w:rFonts w:ascii="宋体" w:hAnsi="宋体"/>
          <w:color w:val="auto"/>
          <w:szCs w:val="21"/>
          <w:highlight w:val="none"/>
        </w:rPr>
      </w:pPr>
      <w:r>
        <w:rPr>
          <w:rFonts w:ascii="宋体" w:hAnsi="宋体"/>
          <w:color w:val="auto"/>
          <w:szCs w:val="21"/>
          <w:highlight w:val="none"/>
        </w:rPr>
        <w:t>遵循公开、公平、公正、诚实、信用</w:t>
      </w:r>
      <w:r>
        <w:rPr>
          <w:rFonts w:hint="eastAsia" w:ascii="宋体" w:hAnsi="宋体"/>
          <w:color w:val="auto"/>
          <w:szCs w:val="21"/>
          <w:highlight w:val="none"/>
        </w:rPr>
        <w:t>、科学、合法</w:t>
      </w:r>
      <w:r>
        <w:rPr>
          <w:rFonts w:ascii="宋体" w:hAnsi="宋体"/>
          <w:color w:val="auto"/>
          <w:szCs w:val="21"/>
          <w:highlight w:val="none"/>
        </w:rPr>
        <w:t>的原则。</w:t>
      </w:r>
    </w:p>
    <w:p w14:paraId="2FE51265">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（三）符合性审查</w:t>
      </w:r>
    </w:p>
    <w:p w14:paraId="533E0DDA">
      <w:pPr>
        <w:snapToGrid w:val="0"/>
        <w:spacing w:line="480" w:lineRule="exact"/>
        <w:ind w:firstLine="567"/>
        <w:rPr>
          <w:rFonts w:hint="eastAsia" w:ascii="宋体" w:hAnsi="宋体"/>
          <w:color w:val="auto"/>
          <w:szCs w:val="21"/>
          <w:highlight w:val="none"/>
        </w:rPr>
      </w:pPr>
      <w:r>
        <w:rPr>
          <w:rFonts w:hint="eastAsia" w:ascii="宋体" w:hAnsi="宋体"/>
          <w:color w:val="auto"/>
          <w:szCs w:val="21"/>
          <w:highlight w:val="none"/>
        </w:rPr>
        <w:t>投标文件必须符合招标文件第</w:t>
      </w:r>
      <w:r>
        <w:rPr>
          <w:rFonts w:hint="eastAsia" w:ascii="宋体" w:hAnsi="宋体"/>
          <w:color w:val="auto"/>
          <w:szCs w:val="21"/>
          <w:highlight w:val="none"/>
          <w:lang w:val="en-US" w:eastAsia="zh-CN"/>
        </w:rPr>
        <w:t>三</w:t>
      </w:r>
      <w:r>
        <w:rPr>
          <w:rFonts w:hint="eastAsia" w:ascii="宋体" w:hAnsi="宋体"/>
          <w:color w:val="auto"/>
          <w:szCs w:val="21"/>
          <w:highlight w:val="none"/>
        </w:rPr>
        <w:t>章投标须知的要求，否则招标人将视情况给予废标处理。</w:t>
      </w:r>
    </w:p>
    <w:p w14:paraId="026547A9">
      <w:pPr>
        <w:snapToGrid w:val="0"/>
        <w:spacing w:line="480" w:lineRule="exact"/>
        <w:ind w:firstLine="517" w:firstLineChars="245"/>
        <w:rPr>
          <w:rFonts w:ascii="宋体" w:hAnsi="宋体"/>
          <w:color w:val="auto"/>
          <w:szCs w:val="21"/>
          <w:highlight w:val="none"/>
        </w:rPr>
      </w:pPr>
      <w:r>
        <w:rPr>
          <w:rFonts w:ascii="宋体" w:hAnsi="宋体"/>
          <w:b/>
          <w:color w:val="auto"/>
          <w:szCs w:val="21"/>
          <w:highlight w:val="none"/>
        </w:rPr>
        <w:t>投标文件有下列情况之一者视为无效：</w:t>
      </w:r>
    </w:p>
    <w:p w14:paraId="1F59524F">
      <w:pPr>
        <w:keepNext w:val="0"/>
        <w:keepLines w:val="0"/>
        <w:pageBreakBefore w:val="0"/>
        <w:widowControl w:val="0"/>
        <w:kinsoku/>
        <w:wordWrap/>
        <w:overflowPunct/>
        <w:topLinePunct w:val="0"/>
        <w:autoSpaceDE/>
        <w:autoSpaceDN/>
        <w:bidi w:val="0"/>
        <w:adjustRightInd/>
        <w:spacing w:line="480" w:lineRule="exact"/>
        <w:ind w:firstLine="420" w:firstLineChars="200"/>
        <w:jc w:val="left"/>
        <w:textAlignment w:val="auto"/>
        <w:rPr>
          <w:rFonts w:hint="eastAsia" w:ascii="宋体" w:hAnsi="宋体"/>
          <w:color w:val="auto"/>
          <w:spacing w:val="-6"/>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、投标人未按本招标文件的要求编制的；</w:t>
      </w:r>
    </w:p>
    <w:p w14:paraId="335B55AD">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、投标人的报价超出投标报价有效范围的或未承诺的</w:t>
      </w:r>
      <w:r>
        <w:rPr>
          <w:rFonts w:ascii="宋体" w:hAnsi="宋体"/>
          <w:color w:val="auto"/>
          <w:szCs w:val="21"/>
          <w:highlight w:val="none"/>
        </w:rPr>
        <w:t>；</w:t>
      </w:r>
    </w:p>
    <w:p w14:paraId="73CC76D5">
      <w:pPr>
        <w:keepNext w:val="0"/>
        <w:keepLines w:val="0"/>
        <w:pageBreakBefore w:val="0"/>
        <w:widowControl w:val="0"/>
        <w:kinsoku/>
        <w:wordWrap/>
        <w:overflowPunct/>
        <w:topLinePunct w:val="0"/>
        <w:autoSpaceDE/>
        <w:autoSpaceDN/>
        <w:bidi w:val="0"/>
        <w:adjustRightInd/>
        <w:spacing w:line="480" w:lineRule="exact"/>
        <w:ind w:firstLine="396" w:firstLineChars="200"/>
        <w:jc w:val="left"/>
        <w:textAlignment w:val="auto"/>
        <w:rPr>
          <w:rFonts w:hint="eastAsia" w:ascii="宋体" w:hAnsi="宋体"/>
          <w:color w:val="auto"/>
          <w:szCs w:val="21"/>
          <w:highlight w:val="none"/>
        </w:rPr>
      </w:pPr>
      <w:r>
        <w:rPr>
          <w:rFonts w:hint="eastAsia" w:ascii="宋体" w:hAnsi="宋体"/>
          <w:color w:val="auto"/>
          <w:spacing w:val="-6"/>
          <w:szCs w:val="21"/>
          <w:highlight w:val="none"/>
          <w:lang w:val="en-US" w:eastAsia="zh-CN"/>
        </w:rPr>
        <w:t>3</w:t>
      </w:r>
      <w:r>
        <w:rPr>
          <w:rFonts w:hint="eastAsia" w:ascii="宋体" w:hAnsi="宋体"/>
          <w:color w:val="auto"/>
          <w:spacing w:val="-6"/>
          <w:szCs w:val="21"/>
          <w:highlight w:val="none"/>
        </w:rPr>
        <w:t>、</w:t>
      </w:r>
      <w:r>
        <w:rPr>
          <w:rFonts w:hint="eastAsia" w:ascii="宋体" w:hAnsi="宋体"/>
          <w:color w:val="auto"/>
          <w:szCs w:val="21"/>
          <w:highlight w:val="none"/>
        </w:rPr>
        <w:t>投标文件其他实质上未响应招标文件要求的。</w:t>
      </w:r>
    </w:p>
    <w:p w14:paraId="592972D6">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（四）评标办法：</w:t>
      </w:r>
    </w:p>
    <w:p w14:paraId="5E5DE9BF">
      <w:pPr>
        <w:tabs>
          <w:tab w:val="left" w:pos="540"/>
          <w:tab w:val="left" w:pos="882"/>
        </w:tabs>
        <w:spacing w:line="500" w:lineRule="exact"/>
        <w:ind w:firstLine="444" w:firstLineChars="200"/>
        <w:rPr>
          <w:rFonts w:hint="eastAsia" w:ascii="新宋体" w:hAnsi="新宋体" w:eastAsia="新宋体" w:cs="Arial"/>
          <w:color w:val="auto"/>
          <w:spacing w:val="6"/>
          <w:szCs w:val="21"/>
          <w:highlight w:val="none"/>
          <w:lang w:eastAsia="zh-CN"/>
        </w:rPr>
      </w:pPr>
      <w:r>
        <w:rPr>
          <w:rFonts w:hint="eastAsia" w:ascii="新宋体" w:hAnsi="新宋体" w:eastAsia="新宋体" w:cs="Arial"/>
          <w:color w:val="auto"/>
          <w:spacing w:val="6"/>
          <w:szCs w:val="21"/>
          <w:highlight w:val="none"/>
        </w:rPr>
        <w:t>1、评标委员会先对投标人的资格进行评审，不符合要求的，作无效标处理，不再进入下一阶段评审</w:t>
      </w:r>
      <w:r>
        <w:rPr>
          <w:rFonts w:hint="eastAsia" w:ascii="新宋体" w:hAnsi="新宋体" w:eastAsia="新宋体" w:cs="Arial"/>
          <w:color w:val="auto"/>
          <w:spacing w:val="6"/>
          <w:szCs w:val="21"/>
          <w:highlight w:val="none"/>
          <w:lang w:eastAsia="zh-CN"/>
        </w:rPr>
        <w:t>。</w:t>
      </w:r>
    </w:p>
    <w:p w14:paraId="4EC51C05">
      <w:pPr>
        <w:tabs>
          <w:tab w:val="left" w:pos="540"/>
          <w:tab w:val="left" w:pos="882"/>
        </w:tabs>
        <w:spacing w:line="500" w:lineRule="exact"/>
        <w:ind w:firstLine="444" w:firstLineChars="200"/>
        <w:rPr>
          <w:rFonts w:hint="eastAsia" w:ascii="新宋体" w:hAnsi="新宋体" w:eastAsia="新宋体" w:cs="Arial"/>
          <w:b/>
          <w:bCs/>
          <w:color w:val="auto"/>
          <w:spacing w:val="6"/>
          <w:szCs w:val="21"/>
          <w:highlight w:val="none"/>
          <w:lang w:eastAsia="zh-CN"/>
        </w:rPr>
      </w:pPr>
      <w:r>
        <w:rPr>
          <w:rFonts w:hint="eastAsia" w:ascii="新宋体" w:hAnsi="新宋体" w:eastAsia="新宋体" w:cs="Arial"/>
          <w:color w:val="auto"/>
          <w:spacing w:val="6"/>
          <w:szCs w:val="21"/>
          <w:highlight w:val="none"/>
          <w:lang w:val="en-US" w:eastAsia="zh-CN"/>
        </w:rPr>
        <w:t>2</w:t>
      </w:r>
      <w:r>
        <w:rPr>
          <w:rFonts w:hint="eastAsia" w:ascii="新宋体" w:hAnsi="新宋体" w:eastAsia="新宋体" w:cs="Arial"/>
          <w:color w:val="auto"/>
          <w:spacing w:val="6"/>
          <w:szCs w:val="21"/>
          <w:highlight w:val="none"/>
        </w:rPr>
        <w:t>、</w:t>
      </w:r>
      <w:r>
        <w:rPr>
          <w:rFonts w:hint="eastAsia" w:ascii="新宋体" w:hAnsi="新宋体" w:eastAsia="新宋体" w:cs="Arial"/>
          <w:b/>
          <w:bCs/>
          <w:color w:val="auto"/>
          <w:spacing w:val="6"/>
          <w:szCs w:val="21"/>
          <w:highlight w:val="none"/>
        </w:rPr>
        <w:t>本次评审由评标委员会推荐报价从高到低排名第一的推荐为中标候选人，如出现多家报价相同的，由招标人随机抽签确定排名顺序</w:t>
      </w:r>
      <w:r>
        <w:rPr>
          <w:rFonts w:hint="eastAsia" w:ascii="新宋体" w:hAnsi="新宋体" w:eastAsia="新宋体" w:cs="Arial"/>
          <w:b/>
          <w:bCs/>
          <w:color w:val="auto"/>
          <w:spacing w:val="6"/>
          <w:szCs w:val="21"/>
          <w:highlight w:val="none"/>
          <w:lang w:eastAsia="zh-CN"/>
        </w:rPr>
        <w:t>。</w:t>
      </w:r>
    </w:p>
    <w:p w14:paraId="4C3545C9">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（五）确定中标人</w:t>
      </w:r>
    </w:p>
    <w:p w14:paraId="28A7D4E1">
      <w:pPr>
        <w:spacing w:line="480" w:lineRule="exact"/>
        <w:ind w:firstLine="444" w:firstLineChars="200"/>
        <w:rPr>
          <w:rFonts w:hint="eastAsia" w:ascii="黑体" w:eastAsia="黑体"/>
          <w:color w:val="auto"/>
          <w:kern w:val="21"/>
          <w:szCs w:val="21"/>
          <w:highlight w:val="none"/>
        </w:rPr>
      </w:pPr>
      <w:r>
        <w:rPr>
          <w:rFonts w:hint="eastAsia" w:ascii="新宋体" w:hAnsi="新宋体" w:eastAsia="新宋体" w:cs="Arial"/>
          <w:color w:val="auto"/>
          <w:spacing w:val="6"/>
          <w:szCs w:val="21"/>
          <w:highlight w:val="none"/>
        </w:rPr>
        <w:t>招标人应确定中标候选人为中标人，中标候选人放弃中标，或者因不可抗力提出不能履行合同，或者招标文件规定应当提交履约担保而在规定的期限内未能提交的，本次招标失败，重新组织招标。</w:t>
      </w:r>
    </w:p>
    <w:p w14:paraId="68453CFB">
      <w:pPr>
        <w:spacing w:line="480" w:lineRule="exact"/>
        <w:rPr>
          <w:rFonts w:ascii="黑体" w:eastAsia="黑体"/>
          <w:color w:val="auto"/>
          <w:kern w:val="21"/>
          <w:szCs w:val="21"/>
          <w:highlight w:val="none"/>
        </w:rPr>
      </w:pPr>
      <w:r>
        <w:rPr>
          <w:rFonts w:hint="eastAsia" w:ascii="黑体" w:eastAsia="黑体"/>
          <w:color w:val="auto"/>
          <w:kern w:val="21"/>
          <w:szCs w:val="21"/>
          <w:highlight w:val="none"/>
        </w:rPr>
        <w:t>（六）</w:t>
      </w:r>
      <w:r>
        <w:rPr>
          <w:rFonts w:ascii="黑体" w:eastAsia="黑体"/>
          <w:color w:val="auto"/>
          <w:kern w:val="21"/>
          <w:szCs w:val="21"/>
          <w:highlight w:val="none"/>
        </w:rPr>
        <w:t>投标文件的澄清</w:t>
      </w:r>
    </w:p>
    <w:p w14:paraId="15695EC9">
      <w:pPr>
        <w:snapToGrid w:val="0"/>
        <w:spacing w:line="480" w:lineRule="exact"/>
        <w:ind w:firstLine="420" w:firstLineChars="200"/>
        <w:rPr>
          <w:rFonts w:ascii="宋体" w:hAnsi="宋体"/>
          <w:color w:val="auto"/>
          <w:szCs w:val="21"/>
          <w:highlight w:val="none"/>
        </w:rPr>
      </w:pPr>
      <w:r>
        <w:rPr>
          <w:rFonts w:ascii="宋体" w:hAnsi="宋体"/>
          <w:color w:val="auto"/>
          <w:szCs w:val="21"/>
          <w:highlight w:val="none"/>
        </w:rPr>
        <w:t>为了有助于投标文件的审查、评价和比较，评标小组可以个别地要求投标</w:t>
      </w:r>
      <w:r>
        <w:rPr>
          <w:rFonts w:hint="eastAsia" w:ascii="宋体" w:hAnsi="宋体"/>
          <w:color w:val="auto"/>
          <w:szCs w:val="21"/>
          <w:highlight w:val="none"/>
        </w:rPr>
        <w:t>人</w:t>
      </w:r>
      <w:r>
        <w:rPr>
          <w:rFonts w:ascii="宋体" w:hAnsi="宋体"/>
          <w:color w:val="auto"/>
          <w:szCs w:val="21"/>
          <w:highlight w:val="none"/>
        </w:rPr>
        <w:t>澄清其投标文件。有关澄清的要求和签复，应以书面形式进行，但不允许更改投标报价或投标的实质性内容。</w:t>
      </w:r>
    </w:p>
    <w:p w14:paraId="4D4B1528">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（七）</w:t>
      </w:r>
      <w:r>
        <w:rPr>
          <w:rFonts w:ascii="黑体" w:eastAsia="黑体"/>
          <w:color w:val="auto"/>
          <w:kern w:val="21"/>
          <w:szCs w:val="21"/>
          <w:highlight w:val="none"/>
        </w:rPr>
        <w:t>评标内容的保密</w:t>
      </w:r>
      <w:r>
        <w:rPr>
          <w:rFonts w:hint="eastAsia" w:ascii="黑体" w:eastAsia="黑体"/>
          <w:color w:val="auto"/>
          <w:kern w:val="21"/>
          <w:szCs w:val="21"/>
          <w:highlight w:val="none"/>
        </w:rPr>
        <w:t xml:space="preserve">   </w:t>
      </w:r>
    </w:p>
    <w:p w14:paraId="7F70E054">
      <w:pPr>
        <w:snapToGrid w:val="0"/>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开标后，直到宣布授予中标</w:t>
      </w:r>
      <w:r>
        <w:rPr>
          <w:rFonts w:hint="eastAsia" w:ascii="宋体" w:hAnsi="宋体"/>
          <w:color w:val="auto"/>
          <w:szCs w:val="21"/>
          <w:highlight w:val="none"/>
        </w:rPr>
        <w:t>人</w:t>
      </w:r>
      <w:r>
        <w:rPr>
          <w:rFonts w:ascii="宋体" w:hAnsi="宋体"/>
          <w:color w:val="auto"/>
          <w:szCs w:val="21"/>
          <w:highlight w:val="none"/>
        </w:rPr>
        <w:t>合同为止，凡属于审查、澄清、评价和比较投标的所有资料、有关授予合同的信息，都不应向投标</w:t>
      </w:r>
      <w:r>
        <w:rPr>
          <w:rFonts w:hint="eastAsia" w:ascii="宋体" w:hAnsi="宋体"/>
          <w:color w:val="auto"/>
          <w:szCs w:val="21"/>
          <w:highlight w:val="none"/>
        </w:rPr>
        <w:t>人</w:t>
      </w:r>
      <w:r>
        <w:rPr>
          <w:rFonts w:ascii="宋体" w:hAnsi="宋体"/>
          <w:color w:val="auto"/>
          <w:szCs w:val="21"/>
          <w:highlight w:val="none"/>
        </w:rPr>
        <w:t>或与评标无关的其他人泄露。在评标过程中，投标</w:t>
      </w:r>
      <w:r>
        <w:rPr>
          <w:rFonts w:hint="eastAsia" w:ascii="宋体" w:hAnsi="宋体"/>
          <w:color w:val="auto"/>
          <w:szCs w:val="21"/>
          <w:highlight w:val="none"/>
        </w:rPr>
        <w:t>人</w:t>
      </w:r>
      <w:r>
        <w:rPr>
          <w:rFonts w:ascii="宋体" w:hAnsi="宋体"/>
          <w:color w:val="auto"/>
          <w:szCs w:val="21"/>
          <w:highlight w:val="none"/>
        </w:rPr>
        <w:t>对招标</w:t>
      </w:r>
      <w:r>
        <w:rPr>
          <w:rFonts w:hint="eastAsia" w:ascii="宋体" w:hAnsi="宋体"/>
          <w:color w:val="auto"/>
          <w:szCs w:val="21"/>
          <w:highlight w:val="none"/>
        </w:rPr>
        <w:t>人或</w:t>
      </w:r>
      <w:r>
        <w:rPr>
          <w:rFonts w:ascii="宋体" w:hAnsi="宋体"/>
          <w:color w:val="auto"/>
          <w:szCs w:val="21"/>
          <w:highlight w:val="none"/>
        </w:rPr>
        <w:t>评标</w:t>
      </w:r>
      <w:r>
        <w:rPr>
          <w:rFonts w:hint="eastAsia" w:ascii="宋体" w:hAnsi="宋体"/>
          <w:color w:val="auto"/>
          <w:szCs w:val="21"/>
          <w:highlight w:val="none"/>
        </w:rPr>
        <w:t>小组</w:t>
      </w:r>
      <w:r>
        <w:rPr>
          <w:rFonts w:ascii="宋体" w:hAnsi="宋体"/>
          <w:color w:val="auto"/>
          <w:szCs w:val="21"/>
          <w:highlight w:val="none"/>
        </w:rPr>
        <w:t>施加影响的任何行为，都将导致取消投标资格。</w:t>
      </w:r>
    </w:p>
    <w:p w14:paraId="3F295CDF">
      <w:pPr>
        <w:snapToGrid w:val="0"/>
        <w:spacing w:line="480" w:lineRule="exact"/>
        <w:ind w:firstLine="493" w:firstLineChars="235"/>
        <w:jc w:val="center"/>
        <w:rPr>
          <w:rFonts w:hint="eastAsia" w:ascii="黑体" w:eastAsia="黑体"/>
          <w:color w:val="auto"/>
          <w:kern w:val="21"/>
          <w:sz w:val="30"/>
          <w:szCs w:val="30"/>
          <w:highlight w:val="none"/>
        </w:rPr>
      </w:pPr>
      <w:r>
        <w:rPr>
          <w:rFonts w:ascii="黑体" w:eastAsia="黑体"/>
          <w:color w:val="auto"/>
          <w:kern w:val="21"/>
          <w:szCs w:val="21"/>
          <w:highlight w:val="none"/>
        </w:rPr>
        <w:br w:type="page"/>
      </w:r>
      <w:r>
        <w:rPr>
          <w:rFonts w:hint="eastAsia" w:ascii="黑体" w:eastAsia="黑体"/>
          <w:color w:val="auto"/>
          <w:kern w:val="21"/>
          <w:sz w:val="30"/>
          <w:szCs w:val="30"/>
          <w:highlight w:val="none"/>
        </w:rPr>
        <w:t>第</w:t>
      </w:r>
      <w:r>
        <w:rPr>
          <w:rFonts w:hint="eastAsia" w:ascii="黑体" w:eastAsia="黑体"/>
          <w:color w:val="auto"/>
          <w:kern w:val="21"/>
          <w:sz w:val="30"/>
          <w:szCs w:val="30"/>
          <w:highlight w:val="none"/>
          <w:lang w:val="en-US" w:eastAsia="zh-CN"/>
        </w:rPr>
        <w:t>五</w:t>
      </w:r>
      <w:r>
        <w:rPr>
          <w:rFonts w:hint="eastAsia" w:ascii="黑体" w:eastAsia="黑体"/>
          <w:color w:val="auto"/>
          <w:kern w:val="21"/>
          <w:sz w:val="30"/>
          <w:szCs w:val="30"/>
          <w:highlight w:val="none"/>
        </w:rPr>
        <w:t>章</w:t>
      </w:r>
      <w:r>
        <w:rPr>
          <w:rFonts w:hint="eastAsia" w:ascii="黑体" w:eastAsia="黑体"/>
          <w:color w:val="auto"/>
          <w:kern w:val="21"/>
          <w:sz w:val="30"/>
          <w:szCs w:val="30"/>
          <w:highlight w:val="none"/>
        </w:rPr>
        <w:tab/>
      </w:r>
      <w:r>
        <w:rPr>
          <w:rFonts w:hint="eastAsia" w:ascii="黑体" w:eastAsia="黑体"/>
          <w:color w:val="auto"/>
          <w:kern w:val="21"/>
          <w:sz w:val="30"/>
          <w:szCs w:val="30"/>
          <w:highlight w:val="none"/>
        </w:rPr>
        <w:tab/>
      </w:r>
      <w:r>
        <w:rPr>
          <w:rFonts w:hint="eastAsia" w:ascii="黑体" w:eastAsia="黑体"/>
          <w:color w:val="auto"/>
          <w:kern w:val="21"/>
          <w:sz w:val="30"/>
          <w:szCs w:val="30"/>
          <w:highlight w:val="none"/>
        </w:rPr>
        <w:t>承租合同</w:t>
      </w:r>
    </w:p>
    <w:p w14:paraId="01A0B713">
      <w:pPr>
        <w:widowControl/>
        <w:snapToGrid w:val="0"/>
        <w:spacing w:line="360" w:lineRule="auto"/>
        <w:jc w:val="center"/>
        <w:rPr>
          <w:rFonts w:ascii="宋体" w:hAnsi="宋体" w:cs="宋体"/>
          <w:b/>
          <w:color w:val="auto"/>
          <w:kern w:val="0"/>
          <w:szCs w:val="21"/>
          <w:highlight w:val="none"/>
        </w:rPr>
      </w:pPr>
    </w:p>
    <w:p w14:paraId="28EF85A6">
      <w:pPr>
        <w:snapToGrid w:val="0"/>
        <w:spacing w:line="480" w:lineRule="exact"/>
        <w:rPr>
          <w:rFonts w:ascii="宋体" w:hAnsi="宋体"/>
          <w:color w:val="auto"/>
          <w:szCs w:val="21"/>
          <w:highlight w:val="none"/>
        </w:rPr>
      </w:pPr>
      <w:r>
        <w:rPr>
          <w:rFonts w:hint="eastAsia" w:ascii="宋体" w:hAnsi="宋体"/>
          <w:color w:val="auto"/>
          <w:szCs w:val="21"/>
          <w:highlight w:val="none"/>
        </w:rPr>
        <w:t>委托方</w:t>
      </w:r>
      <w:r>
        <w:rPr>
          <w:rFonts w:ascii="宋体" w:hAnsi="宋体"/>
          <w:color w:val="auto"/>
          <w:szCs w:val="21"/>
          <w:highlight w:val="none"/>
        </w:rPr>
        <w:t>：</w:t>
      </w:r>
      <w:r>
        <w:rPr>
          <w:rFonts w:ascii="宋体" w:hAnsi="宋体"/>
          <w:color w:val="auto"/>
          <w:szCs w:val="21"/>
          <w:highlight w:val="none"/>
          <w:u w:val="single"/>
        </w:rPr>
        <w:t> </w:t>
      </w:r>
      <w:r>
        <w:rPr>
          <w:rFonts w:hint="eastAsia" w:ascii="宋体" w:hAnsi="宋体"/>
          <w:color w:val="auto"/>
          <w:szCs w:val="21"/>
          <w:highlight w:val="none"/>
          <w:u w:val="single"/>
          <w:lang w:eastAsia="zh-CN"/>
        </w:rPr>
        <w:t>台州东茂观光农业开发有限公司</w:t>
      </w:r>
      <w:r>
        <w:rPr>
          <w:rFonts w:ascii="宋体" w:hAnsi="宋体"/>
          <w:color w:val="auto"/>
          <w:szCs w:val="21"/>
          <w:highlight w:val="none"/>
          <w:u w:val="single"/>
        </w:rPr>
        <w:t xml:space="preserve">  </w:t>
      </w:r>
      <w:r>
        <w:rPr>
          <w:rFonts w:ascii="宋体" w:hAnsi="宋体"/>
          <w:color w:val="auto"/>
          <w:szCs w:val="21"/>
          <w:highlight w:val="none"/>
        </w:rPr>
        <w:t>（以下简称甲方）</w:t>
      </w:r>
    </w:p>
    <w:p w14:paraId="5DC9DE89">
      <w:pPr>
        <w:snapToGrid w:val="0"/>
        <w:spacing w:line="480" w:lineRule="exact"/>
        <w:rPr>
          <w:rFonts w:ascii="宋体" w:hAnsi="宋体"/>
          <w:color w:val="auto"/>
          <w:szCs w:val="21"/>
          <w:highlight w:val="none"/>
        </w:rPr>
      </w:pPr>
      <w:r>
        <w:rPr>
          <w:rFonts w:hint="eastAsia" w:ascii="宋体" w:hAnsi="宋体"/>
          <w:color w:val="auto"/>
          <w:szCs w:val="21"/>
          <w:highlight w:val="none"/>
        </w:rPr>
        <w:t>受托</w:t>
      </w:r>
      <w:r>
        <w:rPr>
          <w:rFonts w:ascii="宋体" w:hAnsi="宋体"/>
          <w:color w:val="auto"/>
          <w:szCs w:val="21"/>
          <w:highlight w:val="none"/>
        </w:rPr>
        <w:t>方：</w:t>
      </w:r>
      <w:r>
        <w:rPr>
          <w:rFonts w:ascii="宋体" w:hAnsi="宋体"/>
          <w:color w:val="auto"/>
          <w:szCs w:val="21"/>
          <w:highlight w:val="none"/>
          <w:u w:val="single"/>
        </w:rPr>
        <w:t xml:space="preserve">                 </w:t>
      </w:r>
      <w:r>
        <w:rPr>
          <w:rFonts w:ascii="宋体" w:hAnsi="宋体"/>
          <w:color w:val="auto"/>
          <w:szCs w:val="21"/>
          <w:highlight w:val="none"/>
        </w:rPr>
        <w:t>（以下简称乙方）</w:t>
      </w:r>
    </w:p>
    <w:p w14:paraId="6B730DBA">
      <w:pPr>
        <w:snapToGrid w:val="0"/>
        <w:spacing w:line="480" w:lineRule="exact"/>
        <w:ind w:firstLine="567"/>
        <w:rPr>
          <w:rFonts w:ascii="宋体" w:hAnsi="宋体"/>
          <w:color w:val="auto"/>
          <w:szCs w:val="21"/>
          <w:highlight w:val="none"/>
        </w:rPr>
      </w:pPr>
      <w:r>
        <w:rPr>
          <w:rFonts w:ascii="宋体" w:hAnsi="宋体"/>
          <w:color w:val="auto"/>
          <w:szCs w:val="21"/>
          <w:highlight w:val="none"/>
        </w:rPr>
        <w:t>根据《中华人民共和国民法典》及相关法律规定，为了明确甲、乙双方的权利、义务，经双方平等协商，签订本合同。</w:t>
      </w:r>
    </w:p>
    <w:p w14:paraId="195F574E">
      <w:pPr>
        <w:numPr>
          <w:ilvl w:val="-1"/>
          <w:numId w:val="0"/>
        </w:numPr>
        <w:snapToGrid w:val="0"/>
        <w:spacing w:line="480" w:lineRule="exact"/>
        <w:ind w:firstLine="420" w:firstLineChars="200"/>
        <w:rPr>
          <w:rFonts w:hint="eastAsia" w:ascii="宋体" w:hAnsi="宋体"/>
          <w:color w:val="auto"/>
          <w:szCs w:val="21"/>
          <w:highlight w:val="none"/>
          <w:lang w:eastAsia="zh-CN"/>
        </w:rPr>
      </w:pPr>
      <w:r>
        <w:rPr>
          <w:rFonts w:hint="default" w:ascii="宋体" w:hAnsi="宋体" w:eastAsia="宋体" w:cs="Times New Roman"/>
          <w:color w:val="auto"/>
          <w:szCs w:val="21"/>
          <w:highlight w:val="none"/>
          <w:lang w:val="en-US" w:eastAsia="zh-CN"/>
        </w:rPr>
        <w:t>一、</w:t>
      </w:r>
      <w:r>
        <w:rPr>
          <w:rFonts w:ascii="宋体" w:hAnsi="宋体" w:eastAsia="宋体" w:cs="Times New Roman"/>
          <w:color w:val="auto"/>
          <w:szCs w:val="21"/>
          <w:highlight w:val="none"/>
        </w:rPr>
        <w:t>甲方将</w:t>
      </w:r>
      <w:r>
        <w:rPr>
          <w:rFonts w:hint="eastAsia" w:ascii="宋体" w:hAnsi="宋体" w:cs="Times New Roman"/>
          <w:color w:val="auto"/>
          <w:kern w:val="2"/>
          <w:szCs w:val="21"/>
          <w:highlight w:val="none"/>
          <w:lang w:eastAsia="zh-CN"/>
        </w:rPr>
        <w:t>位于一江山大道东段以北、聚海大道以东、开发大道东段以南</w:t>
      </w:r>
      <w:r>
        <w:rPr>
          <w:rFonts w:hint="default" w:ascii="宋体" w:hAnsi="宋体" w:eastAsia="宋体" w:cs="Times New Roman"/>
          <w:color w:val="auto"/>
          <w:szCs w:val="21"/>
          <w:highlight w:val="none"/>
        </w:rPr>
        <w:t>约</w:t>
      </w:r>
      <w:r>
        <w:rPr>
          <w:rFonts w:hint="eastAsia" w:ascii="宋体" w:hAnsi="宋体" w:cs="Times New Roman"/>
          <w:color w:val="auto"/>
          <w:szCs w:val="21"/>
          <w:highlight w:val="none"/>
          <w:lang w:val="en-US" w:eastAsia="zh-CN"/>
        </w:rPr>
        <w:t>880亩</w:t>
      </w:r>
      <w:r>
        <w:rPr>
          <w:rFonts w:ascii="宋体" w:hAnsi="宋体" w:eastAsia="宋体" w:cs="Times New Roman"/>
          <w:color w:val="auto"/>
          <w:szCs w:val="21"/>
          <w:highlight w:val="none"/>
        </w:rPr>
        <w:t>土地</w:t>
      </w:r>
      <w:r>
        <w:rPr>
          <w:rFonts w:hint="default" w:ascii="宋体" w:hAnsi="宋体" w:eastAsia="宋体" w:cs="Times New Roman"/>
          <w:color w:val="auto"/>
          <w:szCs w:val="21"/>
          <w:highlight w:val="none"/>
          <w:lang w:eastAsia="zh-CN"/>
        </w:rPr>
        <w:t>（</w:t>
      </w:r>
      <w:r>
        <w:rPr>
          <w:rFonts w:hint="default" w:ascii="宋体" w:hAnsi="宋体" w:eastAsia="宋体" w:cs="Times New Roman"/>
          <w:color w:val="auto"/>
          <w:szCs w:val="21"/>
          <w:highlight w:val="none"/>
          <w:lang w:val="en-US" w:eastAsia="zh-CN"/>
        </w:rPr>
        <w:t>详细地址见附件图纸</w:t>
      </w:r>
      <w:r>
        <w:rPr>
          <w:rFonts w:hint="default" w:ascii="宋体" w:hAnsi="宋体" w:eastAsia="宋体" w:cs="Times New Roman"/>
          <w:color w:val="auto"/>
          <w:szCs w:val="21"/>
          <w:highlight w:val="none"/>
          <w:lang w:eastAsia="zh-CN"/>
        </w:rPr>
        <w:t>）</w:t>
      </w:r>
      <w:r>
        <w:rPr>
          <w:rFonts w:hint="eastAsia" w:ascii="宋体" w:hAnsi="宋体" w:cs="Times New Roman"/>
          <w:color w:val="auto"/>
          <w:szCs w:val="21"/>
          <w:highlight w:val="none"/>
          <w:lang w:val="en-US" w:eastAsia="zh-CN"/>
        </w:rPr>
        <w:t>出</w:t>
      </w:r>
      <w:r>
        <w:rPr>
          <w:rFonts w:hint="default" w:ascii="宋体" w:hAnsi="宋体" w:eastAsia="宋体" w:cs="Times New Roman"/>
          <w:color w:val="auto"/>
          <w:szCs w:val="21"/>
          <w:highlight w:val="none"/>
        </w:rPr>
        <w:t>租给乙方，用于农业种植</w:t>
      </w:r>
      <w:r>
        <w:rPr>
          <w:rFonts w:ascii="宋体" w:hAnsi="宋体" w:eastAsia="宋体" w:cs="Times New Roman"/>
          <w:color w:val="auto"/>
          <w:szCs w:val="21"/>
          <w:highlight w:val="none"/>
        </w:rPr>
        <w:t>使用，实际面积</w:t>
      </w:r>
      <w:r>
        <w:rPr>
          <w:rFonts w:hint="default" w:ascii="宋体" w:hAnsi="宋体" w:eastAsia="宋体" w:cs="Times New Roman"/>
          <w:color w:val="auto"/>
          <w:szCs w:val="21"/>
          <w:highlight w:val="none"/>
        </w:rPr>
        <w:t>以实</w:t>
      </w:r>
      <w:r>
        <w:rPr>
          <w:rFonts w:hint="eastAsia" w:ascii="宋体" w:hAnsi="宋体" w:cs="Times New Roman"/>
          <w:color w:val="auto"/>
          <w:szCs w:val="21"/>
          <w:highlight w:val="none"/>
          <w:lang w:val="en-US" w:eastAsia="zh-CN"/>
        </w:rPr>
        <w:t>际</w:t>
      </w:r>
      <w:r>
        <w:rPr>
          <w:rFonts w:hint="default" w:ascii="宋体" w:hAnsi="宋体" w:eastAsia="宋体" w:cs="Times New Roman"/>
          <w:color w:val="auto"/>
          <w:szCs w:val="21"/>
          <w:highlight w:val="none"/>
        </w:rPr>
        <w:t>测量为准，包括范围内的机耕路、</w:t>
      </w:r>
      <w:r>
        <w:rPr>
          <w:rFonts w:hint="default" w:ascii="宋体" w:hAnsi="宋体" w:eastAsia="宋体" w:cs="Times New Roman"/>
          <w:b w:val="0"/>
          <w:bCs w:val="0"/>
          <w:color w:val="auto"/>
          <w:kern w:val="2"/>
          <w:szCs w:val="21"/>
          <w:highlight w:val="none"/>
          <w:lang w:eastAsia="zh-CN"/>
        </w:rPr>
        <w:t>过境电线杆</w:t>
      </w:r>
      <w:r>
        <w:rPr>
          <w:rFonts w:hint="default" w:ascii="宋体" w:hAnsi="宋体" w:eastAsia="宋体" w:cs="Times New Roman"/>
          <w:b w:val="0"/>
          <w:bCs w:val="0"/>
          <w:color w:val="auto"/>
          <w:kern w:val="2"/>
          <w:szCs w:val="21"/>
          <w:highlight w:val="none"/>
          <w:lang w:val="en-US" w:eastAsia="zh-CN"/>
        </w:rPr>
        <w:t>及</w:t>
      </w:r>
      <w:r>
        <w:rPr>
          <w:rFonts w:hint="default" w:ascii="宋体" w:hAnsi="宋体" w:eastAsia="宋体" w:cs="Times New Roman"/>
          <w:color w:val="auto"/>
          <w:szCs w:val="21"/>
          <w:highlight w:val="none"/>
        </w:rPr>
        <w:t>沟渠等设施</w:t>
      </w:r>
      <w:r>
        <w:rPr>
          <w:rFonts w:hint="default" w:ascii="宋体" w:hAnsi="宋体" w:eastAsia="宋体" w:cs="Times New Roman"/>
          <w:color w:val="auto"/>
          <w:szCs w:val="21"/>
          <w:highlight w:val="none"/>
          <w:lang w:eastAsia="zh-CN"/>
        </w:rPr>
        <w:t>。</w:t>
      </w:r>
    </w:p>
    <w:p w14:paraId="61699838">
      <w:pPr>
        <w:snapToGrid w:val="0"/>
        <w:spacing w:line="480" w:lineRule="exact"/>
        <w:ind w:firstLine="420" w:firstLineChars="200"/>
        <w:rPr>
          <w:rFonts w:hint="eastAsia"/>
          <w:color w:val="auto"/>
          <w:highlight w:val="none"/>
        </w:rPr>
      </w:pPr>
      <w:r>
        <w:rPr>
          <w:rFonts w:hint="eastAsia" w:ascii="宋体" w:hAnsi="宋体"/>
          <w:color w:val="auto"/>
          <w:szCs w:val="21"/>
          <w:highlight w:val="none"/>
          <w:lang w:val="en-US" w:eastAsia="zh-CN"/>
        </w:rPr>
        <w:t>二</w:t>
      </w:r>
      <w:r>
        <w:rPr>
          <w:rFonts w:ascii="宋体" w:hAnsi="宋体"/>
          <w:color w:val="auto"/>
          <w:szCs w:val="21"/>
          <w:highlight w:val="none"/>
        </w:rPr>
        <w:t>、</w:t>
      </w:r>
      <w:r>
        <w:rPr>
          <w:rFonts w:hint="eastAsia" w:ascii="宋体" w:hAnsi="宋体"/>
          <w:color w:val="auto"/>
          <w:szCs w:val="21"/>
          <w:highlight w:val="none"/>
        </w:rPr>
        <w:t>合同金额：本合同暂估金额（大写）人民币</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元（</w:t>
      </w:r>
      <w:r>
        <w:rPr>
          <w:rFonts w:hint="eastAsia"/>
          <w:color w:val="auto"/>
          <w:highlight w:val="none"/>
        </w:rPr>
        <w:t>￥</w:t>
      </w:r>
      <w:r>
        <w:rPr>
          <w:rFonts w:hint="eastAsia"/>
          <w:color w:val="auto"/>
          <w:highlight w:val="none"/>
          <w:u w:val="single"/>
        </w:rPr>
        <w:t xml:space="preserve">          </w:t>
      </w:r>
      <w:r>
        <w:rPr>
          <w:rFonts w:hint="eastAsia"/>
          <w:color w:val="auto"/>
          <w:highlight w:val="none"/>
        </w:rPr>
        <w:t>元</w:t>
      </w:r>
      <w:r>
        <w:rPr>
          <w:rFonts w:hint="eastAsia" w:ascii="宋体" w:hAnsi="宋体"/>
          <w:color w:val="auto"/>
          <w:szCs w:val="21"/>
          <w:highlight w:val="none"/>
        </w:rPr>
        <w:t>）（暂估金额=中标租金</w:t>
      </w:r>
      <w:r>
        <w:rPr>
          <w:rFonts w:ascii="宋体" w:hAnsi="宋体"/>
          <w:color w:val="auto"/>
          <w:szCs w:val="21"/>
          <w:highlight w:val="none"/>
        </w:rPr>
        <w:t>×</w:t>
      </w:r>
      <w:r>
        <w:rPr>
          <w:rFonts w:hint="eastAsia" w:ascii="宋体" w:hAnsi="宋体"/>
          <w:color w:val="auto"/>
          <w:szCs w:val="21"/>
          <w:highlight w:val="none"/>
          <w:lang w:eastAsia="zh-CN"/>
        </w:rPr>
        <w:t>实际</w:t>
      </w:r>
      <w:r>
        <w:rPr>
          <w:rFonts w:hint="eastAsia" w:ascii="宋体" w:hAnsi="宋体"/>
          <w:color w:val="auto"/>
          <w:szCs w:val="21"/>
          <w:highlight w:val="none"/>
        </w:rPr>
        <w:t>年</w:t>
      </w:r>
      <w:r>
        <w:rPr>
          <w:rFonts w:hint="eastAsia" w:ascii="宋体" w:hAnsi="宋体"/>
          <w:color w:val="auto"/>
          <w:szCs w:val="21"/>
          <w:highlight w:val="none"/>
          <w:lang w:eastAsia="zh-CN"/>
        </w:rPr>
        <w:t>数</w:t>
      </w:r>
      <w:r>
        <w:rPr>
          <w:rFonts w:ascii="宋体" w:hAnsi="宋体"/>
          <w:color w:val="auto"/>
          <w:szCs w:val="21"/>
          <w:highlight w:val="none"/>
        </w:rPr>
        <w:t>×</w:t>
      </w:r>
      <w:r>
        <w:rPr>
          <w:rFonts w:hint="eastAsia" w:ascii="宋体" w:hAnsi="宋体"/>
          <w:color w:val="auto"/>
          <w:szCs w:val="21"/>
          <w:highlight w:val="none"/>
        </w:rPr>
        <w:t>暂估</w:t>
      </w:r>
      <w:r>
        <w:rPr>
          <w:rFonts w:hint="eastAsia" w:ascii="宋体" w:hAnsi="宋体"/>
          <w:color w:val="auto"/>
          <w:szCs w:val="21"/>
          <w:highlight w:val="none"/>
          <w:lang w:val="en-US" w:eastAsia="zh-CN"/>
        </w:rPr>
        <w:t>880亩</w:t>
      </w:r>
      <w:r>
        <w:rPr>
          <w:rFonts w:hint="eastAsia" w:ascii="宋体" w:hAnsi="宋体"/>
          <w:color w:val="auto"/>
          <w:szCs w:val="21"/>
          <w:highlight w:val="none"/>
          <w:lang w:eastAsia="zh-CN"/>
        </w:rPr>
        <w:t>）。</w:t>
      </w:r>
      <w:r>
        <w:rPr>
          <w:rFonts w:hint="eastAsia" w:ascii="宋体" w:hAnsi="宋体"/>
          <w:color w:val="auto"/>
          <w:szCs w:val="21"/>
          <w:highlight w:val="none"/>
        </w:rPr>
        <w:t>中标租</w:t>
      </w:r>
      <w:r>
        <w:rPr>
          <w:rFonts w:hint="eastAsia"/>
          <w:color w:val="auto"/>
          <w:highlight w:val="none"/>
        </w:rPr>
        <w:t>金</w:t>
      </w:r>
      <w:r>
        <w:rPr>
          <w:rFonts w:hint="eastAsia"/>
          <w:color w:val="auto"/>
          <w:highlight w:val="none"/>
          <w:lang w:val="en-US" w:eastAsia="zh-CN"/>
        </w:rPr>
        <w:t>单价</w:t>
      </w:r>
      <w:r>
        <w:rPr>
          <w:rFonts w:hint="eastAsia"/>
          <w:color w:val="auto"/>
          <w:highlight w:val="none"/>
        </w:rPr>
        <w:t>（大写）人民币</w:t>
      </w:r>
      <w:r>
        <w:rPr>
          <w:rFonts w:hint="eastAsia"/>
          <w:color w:val="auto"/>
          <w:highlight w:val="none"/>
          <w:u w:val="single"/>
        </w:rPr>
        <w:t xml:space="preserve">           </w:t>
      </w:r>
      <w:r>
        <w:rPr>
          <w:rFonts w:hint="eastAsia" w:ascii="宋体" w:hAnsi="宋体"/>
          <w:color w:val="auto"/>
          <w:szCs w:val="21"/>
          <w:highlight w:val="none"/>
        </w:rPr>
        <w:t>元/亩/年</w:t>
      </w:r>
      <w:r>
        <w:rPr>
          <w:rFonts w:hint="eastAsia"/>
          <w:color w:val="auto"/>
          <w:highlight w:val="none"/>
        </w:rPr>
        <w:t>（￥</w:t>
      </w:r>
      <w:r>
        <w:rPr>
          <w:rFonts w:hint="eastAsia"/>
          <w:color w:val="auto"/>
          <w:highlight w:val="none"/>
          <w:u w:val="single"/>
        </w:rPr>
        <w:t xml:space="preserve">          </w:t>
      </w:r>
      <w:r>
        <w:rPr>
          <w:rFonts w:hint="eastAsia" w:ascii="宋体" w:hAnsi="宋体"/>
          <w:color w:val="auto"/>
          <w:szCs w:val="21"/>
          <w:highlight w:val="none"/>
        </w:rPr>
        <w:t>元/亩/年</w:t>
      </w:r>
      <w:r>
        <w:rPr>
          <w:rFonts w:hint="eastAsia"/>
          <w:color w:val="auto"/>
          <w:highlight w:val="none"/>
        </w:rPr>
        <w:t>）</w:t>
      </w:r>
      <w:r>
        <w:rPr>
          <w:rFonts w:hint="eastAsia"/>
          <w:color w:val="auto"/>
          <w:highlight w:val="none"/>
          <w:lang w:eastAsia="zh-CN"/>
        </w:rPr>
        <w:t>。</w:t>
      </w:r>
      <w:r>
        <w:rPr>
          <w:rFonts w:hint="eastAsia"/>
          <w:color w:val="auto"/>
          <w:highlight w:val="none"/>
        </w:rPr>
        <w:t>本次合同范围内的土地</w:t>
      </w:r>
      <w:r>
        <w:rPr>
          <w:rFonts w:hint="eastAsia"/>
          <w:color w:val="auto"/>
          <w:highlight w:val="none"/>
          <w:lang w:val="en-US" w:eastAsia="zh-CN"/>
        </w:rPr>
        <w:t>每1年必须种植粮食作物一季以上</w:t>
      </w:r>
      <w:r>
        <w:rPr>
          <w:rFonts w:hint="eastAsia"/>
          <w:color w:val="auto"/>
          <w:highlight w:val="none"/>
          <w:lang w:eastAsia="zh-CN"/>
        </w:rPr>
        <w:t>，</w:t>
      </w:r>
      <w:r>
        <w:rPr>
          <w:rFonts w:hint="eastAsia"/>
          <w:color w:val="auto"/>
          <w:highlight w:val="none"/>
        </w:rPr>
        <w:t>种植成果归乙方所有</w:t>
      </w:r>
      <w:r>
        <w:rPr>
          <w:rFonts w:hint="eastAsia"/>
          <w:color w:val="auto"/>
          <w:highlight w:val="none"/>
          <w:lang w:eastAsia="zh-CN"/>
        </w:rPr>
        <w:t>。</w:t>
      </w:r>
      <w:r>
        <w:rPr>
          <w:rFonts w:hint="eastAsia"/>
          <w:color w:val="auto"/>
          <w:highlight w:val="none"/>
        </w:rPr>
        <w:t>乙方</w:t>
      </w:r>
      <w:r>
        <w:rPr>
          <w:rFonts w:hint="eastAsia"/>
          <w:color w:val="auto"/>
          <w:highlight w:val="none"/>
          <w:lang w:eastAsia="zh-CN"/>
        </w:rPr>
        <w:t>需</w:t>
      </w:r>
      <w:r>
        <w:rPr>
          <w:rFonts w:hint="eastAsia"/>
          <w:color w:val="auto"/>
          <w:highlight w:val="none"/>
        </w:rPr>
        <w:t>支付合同价款</w:t>
      </w:r>
      <w:r>
        <w:rPr>
          <w:rFonts w:hint="eastAsia"/>
          <w:color w:val="auto"/>
          <w:highlight w:val="none"/>
          <w:lang w:val="en-US" w:eastAsia="zh-CN"/>
        </w:rPr>
        <w:t>和</w:t>
      </w:r>
      <w:r>
        <w:rPr>
          <w:rFonts w:hint="eastAsia"/>
          <w:color w:val="auto"/>
          <w:highlight w:val="none"/>
        </w:rPr>
        <w:t>水电费用</w:t>
      </w:r>
      <w:r>
        <w:rPr>
          <w:rFonts w:hint="eastAsia"/>
          <w:color w:val="auto"/>
          <w:highlight w:val="none"/>
          <w:lang w:eastAsia="zh-CN"/>
        </w:rPr>
        <w:t>等</w:t>
      </w:r>
      <w:r>
        <w:rPr>
          <w:rFonts w:hint="eastAsia"/>
          <w:color w:val="auto"/>
          <w:highlight w:val="none"/>
        </w:rPr>
        <w:t>，中标租金单价一次性包死。</w:t>
      </w:r>
    </w:p>
    <w:p w14:paraId="3766BEB2">
      <w:pPr>
        <w:pStyle w:val="24"/>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履约保证金</w:t>
      </w:r>
      <w:r>
        <w:rPr>
          <w:rFonts w:hint="eastAsia" w:hAnsi="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乙方交纳人民币</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元（</w:t>
      </w:r>
      <w:r>
        <w:rPr>
          <w:rFonts w:hint="eastAsia" w:hAnsi="宋体" w:cs="Times New Roman"/>
          <w:color w:val="auto"/>
          <w:kern w:val="2"/>
          <w:sz w:val="21"/>
          <w:szCs w:val="21"/>
          <w:highlight w:val="none"/>
          <w:lang w:val="en-US" w:eastAsia="zh-CN" w:bidi="ar-SA"/>
        </w:rPr>
        <w:t>合同金额</w:t>
      </w:r>
      <w:r>
        <w:rPr>
          <w:rFonts w:hint="eastAsia" w:ascii="宋体" w:hAnsi="宋体" w:eastAsia="宋体" w:cs="Times New Roman"/>
          <w:color w:val="auto"/>
          <w:kern w:val="2"/>
          <w:sz w:val="21"/>
          <w:szCs w:val="21"/>
          <w:highlight w:val="none"/>
          <w:lang w:val="en-US" w:eastAsia="zh-CN" w:bidi="ar-SA"/>
        </w:rPr>
        <w:t>的1%）作为本合同的履约保证金，在中标通知书发出7日内以现金转账的形式缴纳至甲方指定账户。合同履行完毕（验收合格）后</w:t>
      </w:r>
      <w:r>
        <w:rPr>
          <w:rFonts w:hint="eastAsia" w:hAnsi="宋体" w:cs="Times New Roman"/>
          <w:color w:val="auto"/>
          <w:kern w:val="2"/>
          <w:sz w:val="21"/>
          <w:szCs w:val="21"/>
          <w:highlight w:val="none"/>
          <w:lang w:val="en-US" w:eastAsia="zh-CN" w:bidi="ar-SA"/>
        </w:rPr>
        <w:t>15</w:t>
      </w:r>
      <w:r>
        <w:rPr>
          <w:rFonts w:hint="eastAsia" w:ascii="宋体" w:hAnsi="宋体" w:eastAsia="宋体" w:cs="Times New Roman"/>
          <w:color w:val="auto"/>
          <w:kern w:val="2"/>
          <w:sz w:val="21"/>
          <w:szCs w:val="21"/>
          <w:highlight w:val="none"/>
          <w:lang w:val="en-US" w:eastAsia="zh-CN" w:bidi="ar-SA"/>
        </w:rPr>
        <w:t>日内无息退还。</w:t>
      </w:r>
    </w:p>
    <w:p w14:paraId="4E68D58B">
      <w:pPr>
        <w:pStyle w:val="24"/>
        <w:keepNext w:val="0"/>
        <w:keepLines w:val="0"/>
        <w:pageBreakBefore w:val="0"/>
        <w:widowControl w:val="0"/>
        <w:kinsoku/>
        <w:wordWrap/>
        <w:overflowPunct/>
        <w:topLinePunct w:val="0"/>
        <w:autoSpaceDE w:val="0"/>
        <w:autoSpaceDN w:val="0"/>
        <w:bidi w:val="0"/>
        <w:adjustRightInd w:val="0"/>
        <w:snapToGrid/>
        <w:spacing w:line="480" w:lineRule="exact"/>
        <w:ind w:firstLine="630" w:firstLineChars="300"/>
        <w:textAlignment w:val="auto"/>
        <w:rPr>
          <w:rFonts w:hint="eastAsia" w:ascii="宋体" w:hAnsi="宋体" w:eastAsia="宋体" w:cs="Times New Roman"/>
          <w:color w:val="auto"/>
          <w:kern w:val="2"/>
          <w:sz w:val="21"/>
          <w:szCs w:val="21"/>
          <w:highlight w:val="none"/>
          <w:lang w:val="en-US" w:eastAsia="zh-CN" w:bidi="ar-SA"/>
        </w:rPr>
      </w:pPr>
      <w:r>
        <w:rPr>
          <w:rFonts w:hint="eastAsia" w:hAnsi="宋体" w:cs="Times New Roman"/>
          <w:color w:val="auto"/>
          <w:kern w:val="2"/>
          <w:sz w:val="21"/>
          <w:szCs w:val="21"/>
          <w:highlight w:val="none"/>
          <w:lang w:val="en-US" w:eastAsia="zh-CN" w:bidi="ar-SA"/>
        </w:rPr>
        <w:t>三</w:t>
      </w:r>
      <w:r>
        <w:rPr>
          <w:rFonts w:hint="eastAsia" w:ascii="宋体" w:hAnsi="宋体" w:eastAsia="宋体" w:cs="Times New Roman"/>
          <w:color w:val="auto"/>
          <w:kern w:val="2"/>
          <w:sz w:val="21"/>
          <w:szCs w:val="21"/>
          <w:highlight w:val="none"/>
          <w:lang w:val="en-US" w:eastAsia="zh-CN" w:bidi="ar-SA"/>
        </w:rPr>
        <w:t>、</w:t>
      </w:r>
      <w:r>
        <w:rPr>
          <w:rFonts w:hint="eastAsia" w:hAnsi="宋体" w:cs="Times New Roman"/>
          <w:color w:val="auto"/>
          <w:kern w:val="2"/>
          <w:sz w:val="21"/>
          <w:szCs w:val="21"/>
          <w:highlight w:val="none"/>
          <w:lang w:val="en-US" w:eastAsia="zh-CN" w:bidi="ar-SA"/>
        </w:rPr>
        <w:t>租期：自合同签订之日起至1年</w:t>
      </w:r>
      <w:r>
        <w:rPr>
          <w:rFonts w:hint="eastAsia" w:ascii="宋体" w:hAnsi="宋体" w:eastAsia="宋体" w:cs="Times New Roman"/>
          <w:color w:val="auto"/>
          <w:kern w:val="2"/>
          <w:sz w:val="21"/>
          <w:szCs w:val="21"/>
          <w:highlight w:val="none"/>
          <w:lang w:val="en-US" w:eastAsia="zh-CN" w:bidi="ar-SA"/>
        </w:rPr>
        <w:t>。</w:t>
      </w:r>
    </w:p>
    <w:p w14:paraId="3D6B62DE">
      <w:pPr>
        <w:pStyle w:val="24"/>
        <w:keepNext w:val="0"/>
        <w:keepLines w:val="0"/>
        <w:pageBreakBefore w:val="0"/>
        <w:widowControl w:val="0"/>
        <w:kinsoku/>
        <w:wordWrap/>
        <w:overflowPunct/>
        <w:topLinePunct w:val="0"/>
        <w:autoSpaceDE w:val="0"/>
        <w:autoSpaceDN w:val="0"/>
        <w:bidi w:val="0"/>
        <w:adjustRightInd w:val="0"/>
        <w:snapToGrid/>
        <w:spacing w:line="480" w:lineRule="exact"/>
        <w:ind w:firstLine="630" w:firstLineChars="300"/>
        <w:textAlignment w:val="auto"/>
        <w:rPr>
          <w:rFonts w:hint="eastAsia" w:ascii="宋体" w:hAnsi="宋体" w:eastAsia="宋体" w:cs="Times New Roman"/>
          <w:color w:val="auto"/>
          <w:kern w:val="2"/>
          <w:sz w:val="21"/>
          <w:szCs w:val="21"/>
          <w:highlight w:val="none"/>
          <w:lang w:val="en-US" w:eastAsia="zh-CN" w:bidi="ar-SA"/>
        </w:rPr>
      </w:pPr>
      <w:r>
        <w:rPr>
          <w:rFonts w:hint="eastAsia" w:hAnsi="宋体" w:cs="Times New Roman"/>
          <w:color w:val="auto"/>
          <w:kern w:val="2"/>
          <w:sz w:val="21"/>
          <w:szCs w:val="21"/>
          <w:highlight w:val="none"/>
          <w:lang w:val="en-US" w:eastAsia="zh-CN" w:bidi="ar-SA"/>
        </w:rPr>
        <w:t>四</w:t>
      </w:r>
      <w:r>
        <w:rPr>
          <w:rFonts w:hint="eastAsia" w:ascii="宋体" w:hAnsi="宋体" w:eastAsia="宋体" w:cs="Times New Roman"/>
          <w:color w:val="auto"/>
          <w:kern w:val="2"/>
          <w:sz w:val="21"/>
          <w:szCs w:val="21"/>
          <w:highlight w:val="none"/>
          <w:lang w:val="en-US" w:eastAsia="zh-CN" w:bidi="ar-SA"/>
        </w:rPr>
        <w:t>、经甲乙双方商定，合同款支付方式如下：租金按年支付，第一年租金在合同签订后</w:t>
      </w:r>
      <w:r>
        <w:rPr>
          <w:rFonts w:hint="eastAsia" w:hAnsi="宋体" w:cs="Times New Roman"/>
          <w:color w:val="auto"/>
          <w:kern w:val="2"/>
          <w:sz w:val="21"/>
          <w:szCs w:val="21"/>
          <w:highlight w:val="none"/>
          <w:lang w:val="en-US" w:eastAsia="zh-CN" w:bidi="ar-SA"/>
        </w:rPr>
        <w:t>10</w:t>
      </w:r>
      <w:r>
        <w:rPr>
          <w:rFonts w:hint="eastAsia" w:ascii="宋体" w:hAnsi="宋体" w:eastAsia="宋体" w:cs="Times New Roman"/>
          <w:color w:val="auto"/>
          <w:kern w:val="2"/>
          <w:sz w:val="21"/>
          <w:szCs w:val="21"/>
          <w:highlight w:val="none"/>
          <w:lang w:val="en-US" w:eastAsia="zh-CN" w:bidi="ar-SA"/>
        </w:rPr>
        <w:t>个工作日内支付，乙方按中标</w:t>
      </w:r>
      <w:r>
        <w:rPr>
          <w:rFonts w:hint="eastAsia" w:hAnsi="宋体" w:cs="Times New Roman"/>
          <w:color w:val="auto"/>
          <w:kern w:val="2"/>
          <w:sz w:val="21"/>
          <w:szCs w:val="21"/>
          <w:highlight w:val="none"/>
          <w:lang w:val="en-US" w:eastAsia="zh-CN" w:bidi="ar-SA"/>
        </w:rPr>
        <w:t>单价</w:t>
      </w:r>
      <w:r>
        <w:rPr>
          <w:rFonts w:hint="eastAsia" w:ascii="宋体" w:hAnsi="宋体" w:eastAsia="宋体" w:cs="Times New Roman"/>
          <w:color w:val="auto"/>
          <w:kern w:val="2"/>
          <w:sz w:val="21"/>
          <w:szCs w:val="21"/>
          <w:highlight w:val="none"/>
          <w:lang w:val="en-US" w:eastAsia="zh-CN" w:bidi="ar-SA"/>
        </w:rPr>
        <w:t>×承包面积（详见附件图纸）×1年支付给甲方。</w:t>
      </w:r>
    </w:p>
    <w:p w14:paraId="3402B4A0">
      <w:pPr>
        <w:spacing w:line="360" w:lineRule="auto"/>
        <w:ind w:firstLine="630" w:firstLineChars="300"/>
        <w:rPr>
          <w:rFonts w:hint="eastAsia"/>
          <w:color w:val="auto"/>
          <w:highlight w:val="none"/>
        </w:rPr>
      </w:pPr>
      <w:r>
        <w:rPr>
          <w:rFonts w:hint="eastAsia" w:ascii="宋体" w:hAnsi="宋体"/>
          <w:color w:val="auto"/>
          <w:szCs w:val="21"/>
          <w:highlight w:val="none"/>
          <w:lang w:val="en-US" w:eastAsia="zh-CN"/>
        </w:rPr>
        <w:t>五</w:t>
      </w:r>
      <w:r>
        <w:rPr>
          <w:rFonts w:hint="eastAsia" w:ascii="宋体" w:hAnsi="宋体"/>
          <w:color w:val="auto"/>
          <w:szCs w:val="21"/>
          <w:highlight w:val="none"/>
        </w:rPr>
        <w:t>、承租期内，</w:t>
      </w:r>
      <w:r>
        <w:rPr>
          <w:rFonts w:hint="eastAsia"/>
          <w:color w:val="auto"/>
          <w:highlight w:val="none"/>
        </w:rPr>
        <w:t>相关农业种植补贴由乙方自行申报，并归乙方所有。</w:t>
      </w:r>
    </w:p>
    <w:p w14:paraId="531B1F3D">
      <w:pPr>
        <w:numPr>
          <w:ilvl w:val="-1"/>
          <w:numId w:val="0"/>
        </w:numPr>
        <w:snapToGrid w:val="0"/>
        <w:spacing w:line="480" w:lineRule="exact"/>
        <w:ind w:firstLine="630" w:firstLineChars="3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六</w:t>
      </w:r>
      <w:r>
        <w:rPr>
          <w:rFonts w:hint="default" w:ascii="宋体" w:hAnsi="宋体" w:eastAsia="宋体" w:cs="Times New Roman"/>
          <w:color w:val="auto"/>
          <w:szCs w:val="21"/>
          <w:highlight w:val="none"/>
          <w:lang w:val="en-US" w:eastAsia="zh-CN"/>
        </w:rPr>
        <w:t>、租赁</w:t>
      </w:r>
      <w:r>
        <w:rPr>
          <w:rFonts w:hint="default" w:ascii="宋体" w:hAnsi="宋体" w:eastAsia="宋体" w:cs="Times New Roman"/>
          <w:color w:val="auto"/>
          <w:szCs w:val="21"/>
          <w:highlight w:val="none"/>
        </w:rPr>
        <w:t>要求：</w:t>
      </w:r>
    </w:p>
    <w:p w14:paraId="19A9370F">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①每1年必须种植粮食作物一季以上，租赁期满，合同自行终止，交回土地，不予延期，若作物未收割造成的损失由乙方自行承担。</w:t>
      </w:r>
    </w:p>
    <w:p w14:paraId="63E512AD">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②不得随意破坏现有农业基础设施，负责租赁期间内相关农业基础设施维护、检修、保养。</w:t>
      </w:r>
    </w:p>
    <w:p w14:paraId="39F3AC01">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③中标人签订合同后至土地交付之日前，需无条件配合招标人做好验收相关工作，并达到相关部门要求。</w:t>
      </w:r>
    </w:p>
    <w:p w14:paraId="315F5080">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④禁止任何形式的田间焚烧行为。</w:t>
      </w:r>
    </w:p>
    <w:p w14:paraId="03011467">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⑤禁止任何形式的非农业作物种植及其堆场、种植花木、取土等行为。</w:t>
      </w:r>
    </w:p>
    <w:p w14:paraId="4AAA540B">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fldChar w:fldCharType="begin"/>
      </w:r>
      <w:r>
        <w:rPr>
          <w:rFonts w:hint="eastAsia" w:ascii="宋体" w:hAnsi="宋体"/>
          <w:color w:val="auto"/>
          <w:szCs w:val="21"/>
          <w:highlight w:val="none"/>
          <w:lang w:val="en-US" w:eastAsia="zh-CN"/>
        </w:rPr>
        <w:instrText xml:space="preserve"> = 6 \* GB3 \* MERGEFORMAT </w:instrText>
      </w:r>
      <w:r>
        <w:rPr>
          <w:rFonts w:hint="eastAsia" w:ascii="宋体" w:hAnsi="宋体"/>
          <w:color w:val="auto"/>
          <w:szCs w:val="21"/>
          <w:highlight w:val="none"/>
          <w:lang w:val="en-US" w:eastAsia="zh-CN"/>
        </w:rPr>
        <w:fldChar w:fldCharType="separate"/>
      </w:r>
      <w:r>
        <w:rPr>
          <w:rFonts w:hint="eastAsia" w:ascii="宋体" w:hAnsi="宋体"/>
          <w:color w:val="auto"/>
          <w:szCs w:val="21"/>
          <w:highlight w:val="none"/>
          <w:lang w:val="en-US" w:eastAsia="zh-CN"/>
        </w:rPr>
        <w:t>⑥</w:t>
      </w:r>
      <w:r>
        <w:rPr>
          <w:rFonts w:hint="eastAsia" w:ascii="宋体" w:hAnsi="宋体"/>
          <w:color w:val="auto"/>
          <w:szCs w:val="21"/>
          <w:highlight w:val="none"/>
          <w:lang w:val="en-US" w:eastAsia="zh-CN"/>
        </w:rPr>
        <w:fldChar w:fldCharType="end"/>
      </w:r>
      <w:r>
        <w:rPr>
          <w:rFonts w:hint="eastAsia" w:ascii="宋体" w:hAnsi="宋体"/>
          <w:color w:val="auto"/>
          <w:szCs w:val="21"/>
          <w:highlight w:val="none"/>
          <w:lang w:val="en-US" w:eastAsia="zh-CN"/>
        </w:rPr>
        <w:t>土地租赁范围内如需要土方填筑，由甲方统一安排，乙方不得私自运土方进场，否则按5000元每车的标准向甲方支付违约金。</w:t>
      </w:r>
    </w:p>
    <w:p w14:paraId="5F70F1B3">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lang w:val="en-US" w:eastAsia="zh-CN"/>
        </w:rPr>
        <w:t>七</w:t>
      </w:r>
      <w:r>
        <w:rPr>
          <w:rFonts w:hint="eastAsia" w:ascii="宋体" w:hAnsi="宋体"/>
          <w:color w:val="auto"/>
          <w:szCs w:val="21"/>
          <w:highlight w:val="none"/>
        </w:rPr>
        <w:t>、乙方必须进行合法农作物类种植</w:t>
      </w:r>
      <w:r>
        <w:rPr>
          <w:rFonts w:hint="eastAsia" w:ascii="宋体" w:hAnsi="宋体"/>
          <w:color w:val="auto"/>
          <w:szCs w:val="21"/>
          <w:highlight w:val="none"/>
          <w:lang w:eastAsia="zh-CN"/>
        </w:rPr>
        <w:t>。</w:t>
      </w:r>
      <w:r>
        <w:rPr>
          <w:rFonts w:hint="eastAsia" w:ascii="宋体" w:hAnsi="宋体"/>
          <w:color w:val="auto"/>
          <w:szCs w:val="21"/>
          <w:highlight w:val="none"/>
        </w:rPr>
        <w:t>合同期内，乙方必须确保投入必要的日常养护费用，做好沟、渠、田埂路的维护工作，确保农作物长势良好。否则甲方有权收回土地使用权，终止合同，并没收履约保证金，相关责任及损失由乙方自行承担</w:t>
      </w:r>
      <w:r>
        <w:rPr>
          <w:rFonts w:ascii="宋体" w:hAnsi="宋体"/>
          <w:color w:val="auto"/>
          <w:szCs w:val="21"/>
          <w:highlight w:val="none"/>
        </w:rPr>
        <w:t>。</w:t>
      </w:r>
    </w:p>
    <w:p w14:paraId="713CD04C">
      <w:pPr>
        <w:snapToGrid w:val="0"/>
        <w:spacing w:line="48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租赁地块按现状出租，土地土壤含有少量碎石及其它建筑废弃碎渣</w:t>
      </w:r>
      <w:r>
        <w:rPr>
          <w:rFonts w:hint="eastAsia" w:ascii="宋体" w:hAnsi="宋体"/>
          <w:color w:val="auto"/>
          <w:szCs w:val="21"/>
          <w:highlight w:val="none"/>
          <w:lang w:val="en-US" w:eastAsia="zh-CN"/>
        </w:rPr>
        <w:t>由乙方自行清理</w:t>
      </w:r>
      <w:r>
        <w:rPr>
          <w:rFonts w:hint="eastAsia" w:ascii="宋体" w:hAnsi="宋体"/>
          <w:color w:val="auto"/>
          <w:szCs w:val="21"/>
          <w:highlight w:val="none"/>
        </w:rPr>
        <w:t>，</w:t>
      </w:r>
      <w:r>
        <w:rPr>
          <w:rFonts w:hint="eastAsia" w:ascii="宋体" w:hAnsi="宋体"/>
          <w:color w:val="auto"/>
          <w:szCs w:val="21"/>
          <w:highlight w:val="none"/>
          <w:lang w:val="en-US" w:eastAsia="zh-CN"/>
        </w:rPr>
        <w:t>局部</w:t>
      </w:r>
      <w:r>
        <w:rPr>
          <w:rFonts w:hint="eastAsia" w:ascii="宋体" w:hAnsi="宋体"/>
          <w:color w:val="auto"/>
          <w:szCs w:val="21"/>
          <w:highlight w:val="none"/>
        </w:rPr>
        <w:t>区域土质较软容易沉陷，</w:t>
      </w:r>
      <w:r>
        <w:rPr>
          <w:rFonts w:hint="eastAsia" w:ascii="宋体" w:hAnsi="宋体"/>
          <w:color w:val="auto"/>
          <w:szCs w:val="21"/>
          <w:highlight w:val="none"/>
          <w:lang w:val="en-US" w:eastAsia="zh-CN"/>
        </w:rPr>
        <w:t>需</w:t>
      </w:r>
      <w:r>
        <w:rPr>
          <w:rFonts w:hint="eastAsia" w:ascii="宋体" w:hAnsi="宋体"/>
          <w:color w:val="auto"/>
          <w:szCs w:val="21"/>
          <w:highlight w:val="none"/>
        </w:rPr>
        <w:t>注意机械及人员安全；沟渠路不完善</w:t>
      </w:r>
      <w:r>
        <w:rPr>
          <w:rFonts w:hint="eastAsia" w:ascii="宋体" w:hAnsi="宋体"/>
          <w:color w:val="auto"/>
          <w:szCs w:val="21"/>
          <w:highlight w:val="none"/>
          <w:lang w:val="en-US" w:eastAsia="zh-CN"/>
        </w:rPr>
        <w:t>并且</w:t>
      </w:r>
      <w:r>
        <w:rPr>
          <w:rFonts w:hint="eastAsia" w:ascii="宋体" w:hAnsi="宋体"/>
          <w:color w:val="auto"/>
          <w:szCs w:val="21"/>
          <w:highlight w:val="none"/>
        </w:rPr>
        <w:t>没有灌溉水电等设施，交付时甲方不负责地块设施建造、瑕疵修复及拆除工作</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如有修缮，须经甲方同意</w:t>
      </w:r>
      <w:r>
        <w:rPr>
          <w:rFonts w:hint="eastAsia" w:ascii="宋体" w:hAnsi="宋体"/>
          <w:color w:val="auto"/>
          <w:szCs w:val="21"/>
          <w:highlight w:val="none"/>
          <w:lang w:eastAsia="zh-CN"/>
        </w:rPr>
        <w:t>）。</w:t>
      </w:r>
    </w:p>
    <w:p w14:paraId="42C4C779">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年度</w:t>
      </w:r>
      <w:r>
        <w:rPr>
          <w:rFonts w:hint="eastAsia" w:ascii="宋体" w:hAnsi="宋体"/>
          <w:color w:val="auto"/>
          <w:szCs w:val="21"/>
          <w:highlight w:val="none"/>
        </w:rPr>
        <w:t>种植计划或方案必须</w:t>
      </w:r>
      <w:r>
        <w:rPr>
          <w:rFonts w:hint="eastAsia" w:ascii="宋体" w:hAnsi="宋体"/>
          <w:color w:val="auto"/>
          <w:szCs w:val="21"/>
          <w:highlight w:val="none"/>
          <w:lang w:val="en-US" w:eastAsia="zh-CN"/>
        </w:rPr>
        <w:t>在每年四月前告知</w:t>
      </w:r>
      <w:r>
        <w:rPr>
          <w:rFonts w:hint="eastAsia" w:ascii="宋体" w:hAnsi="宋体"/>
          <w:color w:val="auto"/>
          <w:szCs w:val="21"/>
          <w:highlight w:val="none"/>
        </w:rPr>
        <w:t>甲方，否则一切损失及责任由乙方承担。</w:t>
      </w:r>
    </w:p>
    <w:p w14:paraId="35EC22C3">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lang w:val="en-US" w:eastAsia="zh-CN"/>
        </w:rPr>
        <w:t>八</w:t>
      </w:r>
      <w:r>
        <w:rPr>
          <w:rFonts w:ascii="宋体" w:hAnsi="宋体"/>
          <w:color w:val="auto"/>
          <w:szCs w:val="21"/>
          <w:highlight w:val="none"/>
        </w:rPr>
        <w:t>、</w:t>
      </w:r>
      <w:r>
        <w:rPr>
          <w:rFonts w:hint="eastAsia" w:ascii="宋体" w:hAnsi="宋体"/>
          <w:color w:val="auto"/>
          <w:szCs w:val="21"/>
          <w:highlight w:val="none"/>
        </w:rPr>
        <w:t>乙方不得用于非本合同约定或非法的目的以及擅自将本宗土地转包、分割出租，否则甲方有权收回土地使用权，并没收履约保证金，终止合同。</w:t>
      </w:r>
    </w:p>
    <w:p w14:paraId="6C577B07">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未在约定时间内交付租金，及违反本合同第</w:t>
      </w:r>
      <w:r>
        <w:rPr>
          <w:rFonts w:hint="eastAsia" w:ascii="宋体" w:hAnsi="宋体"/>
          <w:color w:val="auto"/>
          <w:szCs w:val="21"/>
          <w:highlight w:val="none"/>
          <w:lang w:val="en-US" w:eastAsia="zh-CN"/>
        </w:rPr>
        <w:t>六</w:t>
      </w:r>
      <w:r>
        <w:rPr>
          <w:rFonts w:hint="eastAsia" w:ascii="宋体" w:hAnsi="宋体"/>
          <w:color w:val="auto"/>
          <w:szCs w:val="21"/>
          <w:highlight w:val="none"/>
        </w:rPr>
        <w:t>条款相关内容的，甲方有权终止合同，并没收履约保证金，相关损失及责任由乙方承担。</w:t>
      </w:r>
    </w:p>
    <w:p w14:paraId="2EFD5177">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乙方不得以经营不善、种植</w:t>
      </w:r>
      <w:r>
        <w:rPr>
          <w:rFonts w:hint="eastAsia" w:ascii="宋体" w:hAnsi="宋体"/>
          <w:color w:val="auto"/>
          <w:szCs w:val="21"/>
          <w:highlight w:val="none"/>
          <w:lang w:val="en-US" w:eastAsia="zh-CN"/>
        </w:rPr>
        <w:t>水稻等农</w:t>
      </w:r>
      <w:r>
        <w:rPr>
          <w:rFonts w:hint="eastAsia" w:ascii="宋体" w:hAnsi="宋体"/>
          <w:color w:val="auto"/>
          <w:szCs w:val="21"/>
          <w:highlight w:val="none"/>
        </w:rPr>
        <w:t>作物不能成活等原因退出本合同，否则甲方有权终止合同，并没收履约保证金，相关损失及责任由乙方承担。</w:t>
      </w:r>
    </w:p>
    <w:p w14:paraId="18976003">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在合同期执行过程中因乙方违约造成超出履约保证金部分的损失要予以及时补偿，否则甲方有权在下一年度租金中追加，合同终止退还的履约保证金为扣除后剩余的金额。</w:t>
      </w:r>
    </w:p>
    <w:p w14:paraId="7DB276E4">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lang w:val="en-US" w:eastAsia="zh-CN"/>
        </w:rPr>
        <w:t>九</w:t>
      </w:r>
      <w:r>
        <w:rPr>
          <w:rFonts w:ascii="宋体" w:hAnsi="宋体"/>
          <w:color w:val="auto"/>
          <w:szCs w:val="21"/>
          <w:highlight w:val="none"/>
        </w:rPr>
        <w:t>、乙方在</w:t>
      </w:r>
      <w:r>
        <w:rPr>
          <w:rFonts w:hint="eastAsia" w:ascii="宋体" w:hAnsi="宋体"/>
          <w:color w:val="auto"/>
          <w:szCs w:val="21"/>
          <w:highlight w:val="none"/>
        </w:rPr>
        <w:t>合同</w:t>
      </w:r>
      <w:r>
        <w:rPr>
          <w:rFonts w:ascii="宋体" w:hAnsi="宋体"/>
          <w:color w:val="auto"/>
          <w:szCs w:val="21"/>
          <w:highlight w:val="none"/>
        </w:rPr>
        <w:t>期间，不得随意改变本宗土地状况和地上的建筑物、构筑物、</w:t>
      </w:r>
      <w:r>
        <w:rPr>
          <w:rFonts w:hint="eastAsia" w:ascii="宋体" w:hAnsi="宋体"/>
          <w:color w:val="auto"/>
          <w:szCs w:val="21"/>
          <w:highlight w:val="none"/>
          <w:lang w:eastAsia="zh-CN"/>
        </w:rPr>
        <w:t>电线杆及其基础、</w:t>
      </w:r>
      <w:r>
        <w:rPr>
          <w:rFonts w:ascii="宋体" w:hAnsi="宋体"/>
          <w:color w:val="auto"/>
          <w:szCs w:val="21"/>
          <w:highlight w:val="none"/>
        </w:rPr>
        <w:t>附着物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沟渠路、田埂路</w:t>
      </w:r>
      <w:r>
        <w:rPr>
          <w:rFonts w:ascii="宋体" w:hAnsi="宋体"/>
          <w:color w:val="auto"/>
          <w:szCs w:val="21"/>
          <w:highlight w:val="none"/>
        </w:rPr>
        <w:t>及</w:t>
      </w:r>
      <w:r>
        <w:rPr>
          <w:rFonts w:hint="eastAsia" w:ascii="宋体" w:hAnsi="宋体"/>
          <w:color w:val="auto"/>
          <w:szCs w:val="21"/>
          <w:highlight w:val="none"/>
        </w:rPr>
        <w:t>已有</w:t>
      </w:r>
      <w:r>
        <w:rPr>
          <w:rFonts w:ascii="宋体" w:hAnsi="宋体"/>
          <w:color w:val="auto"/>
          <w:szCs w:val="21"/>
          <w:highlight w:val="none"/>
        </w:rPr>
        <w:t>水、电、管网等设施，如确需改动或扩增设备应事先征得甲方同意后方可实施，对有关设施进行改动或扩增设备时如需办理相关手续，由乙方办理，甲方根据实际情况给予协助，所需费用</w:t>
      </w:r>
      <w:r>
        <w:rPr>
          <w:rFonts w:hint="eastAsia" w:ascii="宋体" w:hAnsi="宋体"/>
          <w:color w:val="auto"/>
          <w:szCs w:val="21"/>
          <w:highlight w:val="none"/>
        </w:rPr>
        <w:t>由</w:t>
      </w:r>
      <w:r>
        <w:rPr>
          <w:rFonts w:ascii="宋体" w:hAnsi="宋体"/>
          <w:color w:val="auto"/>
          <w:szCs w:val="21"/>
          <w:highlight w:val="none"/>
        </w:rPr>
        <w:t>乙方承担，否则，乙方应恢复原状，并赔偿由此给甲方造成的损失。</w:t>
      </w:r>
    </w:p>
    <w:p w14:paraId="59DB242B">
      <w:pPr>
        <w:snapToGrid w:val="0"/>
        <w:spacing w:line="480" w:lineRule="exact"/>
        <w:ind w:firstLine="567"/>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十</w:t>
      </w:r>
      <w:r>
        <w:rPr>
          <w:rFonts w:hint="eastAsia" w:ascii="宋体" w:hAnsi="宋体"/>
          <w:color w:val="auto"/>
          <w:szCs w:val="21"/>
          <w:highlight w:val="none"/>
        </w:rPr>
        <w:t>、租赁期区域内的灌溉水电设施及相关</w:t>
      </w:r>
      <w:r>
        <w:rPr>
          <w:rFonts w:hint="eastAsia" w:ascii="宋体" w:hAnsi="宋体"/>
          <w:color w:val="auto"/>
          <w:szCs w:val="21"/>
          <w:highlight w:val="none"/>
          <w:lang w:val="en-US" w:eastAsia="zh-CN"/>
        </w:rPr>
        <w:t>所有</w:t>
      </w:r>
      <w:r>
        <w:rPr>
          <w:rFonts w:hint="eastAsia" w:ascii="宋体" w:hAnsi="宋体"/>
          <w:color w:val="auto"/>
          <w:szCs w:val="21"/>
          <w:highlight w:val="none"/>
        </w:rPr>
        <w:t>费用</w:t>
      </w:r>
      <w:r>
        <w:rPr>
          <w:rFonts w:hint="eastAsia" w:ascii="宋体" w:hAnsi="宋体"/>
          <w:color w:val="auto"/>
          <w:szCs w:val="21"/>
          <w:highlight w:val="none"/>
          <w:lang w:eastAsia="zh-CN"/>
        </w:rPr>
        <w:t>（包括但不限于市容环境卫生、门前三包等费用）</w:t>
      </w:r>
      <w:r>
        <w:rPr>
          <w:rFonts w:hint="eastAsia" w:ascii="宋体" w:hAnsi="宋体"/>
          <w:color w:val="auto"/>
          <w:szCs w:val="21"/>
          <w:highlight w:val="none"/>
        </w:rPr>
        <w:t>由乙方负责，乙方要做到科学浇灌，节电节能，产生的水、电及其他费用由乙方负责。</w:t>
      </w:r>
    </w:p>
    <w:p w14:paraId="4171435E">
      <w:pPr>
        <w:snapToGrid w:val="0"/>
        <w:spacing w:line="480" w:lineRule="exact"/>
        <w:ind w:firstLine="567"/>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十一</w:t>
      </w:r>
      <w:r>
        <w:rPr>
          <w:rFonts w:ascii="宋体" w:hAnsi="宋体"/>
          <w:color w:val="auto"/>
          <w:szCs w:val="21"/>
          <w:highlight w:val="none"/>
        </w:rPr>
        <w:t>、乙方在</w:t>
      </w:r>
      <w:r>
        <w:rPr>
          <w:rFonts w:hint="eastAsia" w:ascii="宋体" w:hAnsi="宋体"/>
          <w:color w:val="auto"/>
          <w:szCs w:val="21"/>
          <w:highlight w:val="none"/>
        </w:rPr>
        <w:t>承租</w:t>
      </w:r>
      <w:r>
        <w:rPr>
          <w:rFonts w:ascii="宋体" w:hAnsi="宋体"/>
          <w:color w:val="auto"/>
          <w:szCs w:val="21"/>
          <w:highlight w:val="none"/>
        </w:rPr>
        <w:t>期间</w:t>
      </w:r>
      <w:r>
        <w:rPr>
          <w:rFonts w:hint="eastAsia" w:ascii="宋体" w:hAnsi="宋体"/>
          <w:color w:val="auto"/>
          <w:szCs w:val="21"/>
          <w:highlight w:val="none"/>
        </w:rPr>
        <w:t>，需自身做好安全生产防护工作，涉及到水电、泵房等操作的，需由专人负责，按规定做到持证上岗。乙方</w:t>
      </w:r>
      <w:r>
        <w:rPr>
          <w:rFonts w:hint="eastAsia" w:ascii="宋体" w:hAnsi="宋体"/>
          <w:color w:val="auto"/>
          <w:szCs w:val="21"/>
          <w:highlight w:val="none"/>
          <w:lang w:val="en-US" w:eastAsia="zh-CN"/>
        </w:rPr>
        <w:t>应</w:t>
      </w:r>
      <w:r>
        <w:rPr>
          <w:rFonts w:hint="eastAsia" w:ascii="宋体" w:hAnsi="宋体"/>
          <w:color w:val="auto"/>
          <w:szCs w:val="21"/>
          <w:highlight w:val="none"/>
        </w:rPr>
        <w:t>做好本单位员工的安全教育及保护工作，</w:t>
      </w:r>
      <w:r>
        <w:rPr>
          <w:rFonts w:hint="eastAsia" w:ascii="宋体" w:hAnsi="宋体"/>
          <w:color w:val="auto"/>
          <w:szCs w:val="21"/>
          <w:highlight w:val="none"/>
          <w:lang w:val="en-US" w:eastAsia="zh-CN"/>
        </w:rPr>
        <w:t>必须为员工</w:t>
      </w:r>
      <w:r>
        <w:rPr>
          <w:rFonts w:hint="eastAsia" w:ascii="宋体" w:hAnsi="宋体"/>
          <w:color w:val="auto"/>
          <w:szCs w:val="21"/>
          <w:highlight w:val="none"/>
        </w:rPr>
        <w:t>参加人身伤害意外险投保</w:t>
      </w:r>
      <w:r>
        <w:rPr>
          <w:rFonts w:hint="eastAsia" w:ascii="宋体" w:hAnsi="宋体"/>
          <w:color w:val="auto"/>
          <w:szCs w:val="21"/>
          <w:highlight w:val="none"/>
          <w:lang w:val="en-US" w:eastAsia="zh-CN"/>
        </w:rPr>
        <w:t>。遭受台风等不可抗力影响时，乙方需根据台州湾新区防台防汛应急响应等级服从甲方指挥。</w:t>
      </w:r>
      <w:r>
        <w:rPr>
          <w:rFonts w:ascii="宋体" w:hAnsi="宋体"/>
          <w:color w:val="auto"/>
          <w:szCs w:val="21"/>
          <w:highlight w:val="none"/>
        </w:rPr>
        <w:t>因生产经营所发生的所有事故及造成</w:t>
      </w:r>
      <w:r>
        <w:rPr>
          <w:rFonts w:hint="eastAsia" w:ascii="宋体" w:hAnsi="宋体"/>
          <w:color w:val="auto"/>
          <w:szCs w:val="21"/>
          <w:highlight w:val="none"/>
        </w:rPr>
        <w:t>第三方</w:t>
      </w:r>
      <w:r>
        <w:rPr>
          <w:rFonts w:ascii="宋体" w:hAnsi="宋体"/>
          <w:color w:val="auto"/>
          <w:szCs w:val="21"/>
          <w:highlight w:val="none"/>
        </w:rPr>
        <w:t>损害的，由乙方</w:t>
      </w:r>
      <w:r>
        <w:rPr>
          <w:rFonts w:hint="eastAsia" w:ascii="宋体" w:hAnsi="宋体"/>
          <w:color w:val="auto"/>
          <w:szCs w:val="21"/>
          <w:highlight w:val="none"/>
        </w:rPr>
        <w:t>自行</w:t>
      </w:r>
      <w:r>
        <w:rPr>
          <w:rFonts w:ascii="宋体" w:hAnsi="宋体"/>
          <w:color w:val="auto"/>
          <w:szCs w:val="21"/>
          <w:highlight w:val="none"/>
        </w:rPr>
        <w:t>承担,与甲方无关。</w:t>
      </w:r>
    </w:p>
    <w:p w14:paraId="17C88BB3">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lang w:val="en-US" w:eastAsia="zh-CN"/>
        </w:rPr>
        <w:t>十二</w:t>
      </w:r>
      <w:r>
        <w:rPr>
          <w:rFonts w:ascii="宋体" w:hAnsi="宋体"/>
          <w:color w:val="auto"/>
          <w:szCs w:val="21"/>
          <w:highlight w:val="none"/>
        </w:rPr>
        <w:t>、合同约定的</w:t>
      </w:r>
      <w:r>
        <w:rPr>
          <w:rFonts w:hint="eastAsia" w:ascii="宋体" w:hAnsi="宋体"/>
          <w:color w:val="auto"/>
          <w:szCs w:val="21"/>
          <w:highlight w:val="none"/>
        </w:rPr>
        <w:t>合同</w:t>
      </w:r>
      <w:r>
        <w:rPr>
          <w:rFonts w:ascii="宋体" w:hAnsi="宋体"/>
          <w:color w:val="auto"/>
          <w:szCs w:val="21"/>
          <w:highlight w:val="none"/>
        </w:rPr>
        <w:t>期限界满</w:t>
      </w:r>
      <w:r>
        <w:rPr>
          <w:rFonts w:hint="eastAsia" w:ascii="宋体" w:hAnsi="宋体"/>
          <w:color w:val="auto"/>
          <w:szCs w:val="21"/>
          <w:highlight w:val="none"/>
          <w:lang w:eastAsia="zh-CN"/>
        </w:rPr>
        <w:t>前</w:t>
      </w:r>
      <w:r>
        <w:rPr>
          <w:rFonts w:ascii="宋体" w:hAnsi="宋体"/>
          <w:color w:val="auto"/>
          <w:szCs w:val="21"/>
          <w:highlight w:val="none"/>
        </w:rPr>
        <w:t>或双方协商一致解除合同后10日内，乙方应向甲方办理交接手续，交接时乙方应保证工作人员撤离、将属于自己的设备腾清，并将</w:t>
      </w:r>
      <w:r>
        <w:rPr>
          <w:rFonts w:hint="eastAsia" w:ascii="宋体" w:hAnsi="宋体"/>
          <w:color w:val="auto"/>
          <w:szCs w:val="21"/>
          <w:highlight w:val="none"/>
        </w:rPr>
        <w:t>承包的种植</w:t>
      </w:r>
      <w:r>
        <w:rPr>
          <w:rFonts w:ascii="宋体" w:hAnsi="宋体"/>
          <w:color w:val="auto"/>
          <w:szCs w:val="21"/>
          <w:highlight w:val="none"/>
        </w:rPr>
        <w:t>范围内</w:t>
      </w:r>
      <w:r>
        <w:rPr>
          <w:rFonts w:hint="eastAsia" w:ascii="宋体" w:hAnsi="宋体"/>
          <w:color w:val="auto"/>
          <w:szCs w:val="21"/>
          <w:highlight w:val="none"/>
        </w:rPr>
        <w:t>损坏的设施予以修复，乙方必须保证达到甲方后续出租农田的基本要求，</w:t>
      </w:r>
      <w:r>
        <w:rPr>
          <w:rFonts w:ascii="宋体" w:hAnsi="宋体"/>
          <w:color w:val="auto"/>
          <w:szCs w:val="21"/>
          <w:highlight w:val="none"/>
        </w:rPr>
        <w:t>农作物及垃圾</w:t>
      </w:r>
      <w:r>
        <w:rPr>
          <w:rFonts w:hint="eastAsia" w:ascii="宋体" w:hAnsi="宋体"/>
          <w:color w:val="auto"/>
          <w:szCs w:val="21"/>
          <w:highlight w:val="none"/>
        </w:rPr>
        <w:t>、碎石、废渣</w:t>
      </w:r>
      <w:r>
        <w:rPr>
          <w:rFonts w:ascii="宋体" w:hAnsi="宋体"/>
          <w:color w:val="auto"/>
          <w:szCs w:val="21"/>
          <w:highlight w:val="none"/>
        </w:rPr>
        <w:t>等杂物清理干净，</w:t>
      </w:r>
      <w:r>
        <w:rPr>
          <w:rFonts w:hint="eastAsia" w:ascii="宋体" w:hAnsi="宋体"/>
          <w:color w:val="auto"/>
          <w:szCs w:val="21"/>
          <w:highlight w:val="none"/>
        </w:rPr>
        <w:t>具体要求根据甲方及相关规定确定（相关部门政策变化或不作要求的除外），</w:t>
      </w:r>
      <w:r>
        <w:rPr>
          <w:rFonts w:ascii="宋体" w:hAnsi="宋体"/>
          <w:color w:val="auto"/>
          <w:szCs w:val="21"/>
          <w:highlight w:val="none"/>
        </w:rPr>
        <w:t>未</w:t>
      </w:r>
      <w:r>
        <w:rPr>
          <w:rFonts w:hint="eastAsia" w:ascii="宋体" w:hAnsi="宋体"/>
          <w:color w:val="auto"/>
          <w:szCs w:val="21"/>
          <w:highlight w:val="none"/>
        </w:rPr>
        <w:t>采取相关措施</w:t>
      </w:r>
      <w:r>
        <w:rPr>
          <w:rFonts w:ascii="宋体" w:hAnsi="宋体"/>
          <w:color w:val="auto"/>
          <w:szCs w:val="21"/>
          <w:highlight w:val="none"/>
        </w:rPr>
        <w:t>，</w:t>
      </w:r>
      <w:r>
        <w:rPr>
          <w:rFonts w:hint="eastAsia" w:ascii="宋体" w:hAnsi="宋体"/>
          <w:color w:val="auto"/>
          <w:szCs w:val="21"/>
          <w:highlight w:val="none"/>
        </w:rPr>
        <w:t>履约保证金不予以退还，甲方有权进行处置，相关</w:t>
      </w:r>
      <w:r>
        <w:rPr>
          <w:rFonts w:ascii="宋体" w:hAnsi="宋体"/>
          <w:color w:val="auto"/>
          <w:szCs w:val="21"/>
          <w:highlight w:val="none"/>
        </w:rPr>
        <w:t>损失由乙方自己承担。</w:t>
      </w:r>
    </w:p>
    <w:p w14:paraId="6AE6FB80">
      <w:pPr>
        <w:snapToGrid w:val="0"/>
        <w:spacing w:line="480" w:lineRule="exact"/>
        <w:ind w:firstLine="567"/>
        <w:rPr>
          <w:rFonts w:hint="default" w:ascii="宋体" w:hAnsi="宋体"/>
          <w:color w:val="auto"/>
          <w:szCs w:val="21"/>
          <w:highlight w:val="none"/>
          <w:lang w:val="en-US"/>
        </w:rPr>
      </w:pPr>
      <w:r>
        <w:rPr>
          <w:rFonts w:ascii="宋体" w:hAnsi="宋体"/>
          <w:color w:val="auto"/>
          <w:szCs w:val="21"/>
          <w:highlight w:val="none"/>
        </w:rPr>
        <w:t>十</w:t>
      </w:r>
      <w:r>
        <w:rPr>
          <w:rFonts w:hint="eastAsia" w:ascii="宋体" w:hAnsi="宋体"/>
          <w:color w:val="auto"/>
          <w:szCs w:val="21"/>
          <w:highlight w:val="none"/>
          <w:lang w:val="en-US" w:eastAsia="zh-CN"/>
        </w:rPr>
        <w:t>三</w:t>
      </w:r>
      <w:r>
        <w:rPr>
          <w:rFonts w:ascii="宋体" w:hAnsi="宋体"/>
          <w:color w:val="auto"/>
          <w:szCs w:val="21"/>
          <w:highlight w:val="none"/>
        </w:rPr>
        <w:t>、在</w:t>
      </w:r>
      <w:r>
        <w:rPr>
          <w:rFonts w:hint="eastAsia" w:ascii="宋体" w:hAnsi="宋体"/>
          <w:color w:val="auto"/>
          <w:szCs w:val="21"/>
          <w:highlight w:val="none"/>
        </w:rPr>
        <w:t>合同</w:t>
      </w:r>
      <w:r>
        <w:rPr>
          <w:rFonts w:ascii="宋体" w:hAnsi="宋体"/>
          <w:color w:val="auto"/>
          <w:szCs w:val="21"/>
          <w:highlight w:val="none"/>
        </w:rPr>
        <w:t>期限内，</w:t>
      </w:r>
      <w:r>
        <w:rPr>
          <w:rFonts w:hint="eastAsia" w:ascii="宋体" w:hAnsi="宋体"/>
          <w:color w:val="auto"/>
          <w:szCs w:val="21"/>
          <w:highlight w:val="none"/>
        </w:rPr>
        <w:t>若遇国家政策</w:t>
      </w:r>
      <w:r>
        <w:rPr>
          <w:rFonts w:hint="eastAsia" w:ascii="宋体" w:hAnsi="宋体"/>
          <w:color w:val="auto"/>
          <w:szCs w:val="21"/>
          <w:highlight w:val="none"/>
          <w:lang w:eastAsia="zh-CN"/>
        </w:rPr>
        <w:t>、电网工程、</w:t>
      </w:r>
      <w:r>
        <w:rPr>
          <w:rFonts w:hint="eastAsia" w:ascii="宋体" w:hAnsi="宋体" w:cs="宋体"/>
          <w:color w:val="auto"/>
          <w:kern w:val="0"/>
          <w:szCs w:val="21"/>
          <w:highlight w:val="none"/>
        </w:rPr>
        <w:t>土地开发</w:t>
      </w:r>
      <w:r>
        <w:rPr>
          <w:rFonts w:hint="eastAsia" w:ascii="宋体" w:hAnsi="宋体" w:cs="宋体"/>
          <w:color w:val="auto"/>
          <w:kern w:val="0"/>
          <w:szCs w:val="21"/>
          <w:highlight w:val="none"/>
          <w:lang w:eastAsia="zh-CN"/>
        </w:rPr>
        <w:t>等原因</w:t>
      </w:r>
      <w:r>
        <w:rPr>
          <w:rFonts w:hint="eastAsia" w:ascii="宋体" w:hAnsi="宋体" w:cs="宋体"/>
          <w:color w:val="auto"/>
          <w:kern w:val="0"/>
          <w:szCs w:val="21"/>
          <w:highlight w:val="none"/>
        </w:rPr>
        <w:t>需要提前收回土地的，</w:t>
      </w:r>
      <w:r>
        <w:rPr>
          <w:rFonts w:hint="eastAsia" w:ascii="宋体" w:hAnsi="宋体" w:cs="宋体"/>
          <w:color w:val="auto"/>
          <w:kern w:val="0"/>
          <w:szCs w:val="21"/>
          <w:highlight w:val="none"/>
          <w:lang w:val="en-US" w:eastAsia="zh-CN"/>
        </w:rPr>
        <w:t>乙方因予以配合，</w:t>
      </w:r>
      <w:r>
        <w:rPr>
          <w:rFonts w:hint="eastAsia" w:ascii="宋体" w:hAnsi="宋体" w:cs="宋体"/>
          <w:color w:val="auto"/>
          <w:kern w:val="0"/>
          <w:szCs w:val="21"/>
          <w:highlight w:val="none"/>
        </w:rPr>
        <w:t>甲方按</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实际收回土地面积乘</w:t>
      </w:r>
      <w:r>
        <w:rPr>
          <w:rFonts w:hint="eastAsia" w:ascii="宋体" w:hAnsi="宋体"/>
          <w:color w:val="auto"/>
          <w:szCs w:val="21"/>
          <w:highlight w:val="none"/>
          <w:u w:val="single"/>
        </w:rPr>
        <w:t>中标单价</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/365×剩余的天数</w:t>
      </w:r>
      <w:r>
        <w:rPr>
          <w:rFonts w:hint="eastAsia" w:ascii="宋体" w:hAnsi="宋体" w:cs="宋体"/>
          <w:color w:val="auto"/>
          <w:kern w:val="0"/>
          <w:szCs w:val="21"/>
          <w:highlight w:val="none"/>
        </w:rPr>
        <w:t>退还已支付金额，其他费用不予赔偿。</w:t>
      </w:r>
      <w:r>
        <w:rPr>
          <w:rFonts w:hint="eastAsia" w:ascii="宋体" w:hAnsi="宋体" w:cs="宋体"/>
          <w:color w:val="auto"/>
          <w:kern w:val="0"/>
          <w:szCs w:val="21"/>
          <w:highlight w:val="none"/>
          <w:lang w:val="en-US" w:eastAsia="zh-CN"/>
        </w:rPr>
        <w:t>如有相关国家政策要求需要赔偿时，甲方予以配合。</w:t>
      </w:r>
      <w:r>
        <w:rPr>
          <w:rFonts w:hint="eastAsia" w:ascii="宋体" w:hAnsi="宋体"/>
          <w:color w:val="auto"/>
          <w:szCs w:val="21"/>
          <w:highlight w:val="none"/>
        </w:rPr>
        <w:t>若乙方</w:t>
      </w:r>
      <w:r>
        <w:rPr>
          <w:rFonts w:hint="eastAsia" w:ascii="宋体" w:hAnsi="宋体"/>
          <w:color w:val="auto"/>
          <w:szCs w:val="21"/>
          <w:highlight w:val="none"/>
          <w:lang w:val="en-US" w:eastAsia="zh-CN"/>
        </w:rPr>
        <w:t>拒绝配合，甲方有权单方面解除合同，并在一个月内收回土地，其损失由乙方自负，如因乙方违约造成甲方损失的，甲方有权追加责任。</w:t>
      </w:r>
    </w:p>
    <w:p w14:paraId="06584D33">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如遇不可抗力造成的使合同无法继续执行，双方可协商终止合同，按照法律规定甲乙双方各自承担，甲方退还乙方履约保证金及剩余月份租金。本合同所述之不可抗力是指其发生和后果均无法预防且不可避免、不可预见、不可克服的事件。</w:t>
      </w:r>
    </w:p>
    <w:p w14:paraId="70E9F501">
      <w:pPr>
        <w:spacing w:line="480" w:lineRule="exact"/>
        <w:ind w:firstLine="570"/>
        <w:rPr>
          <w:rFonts w:ascii="宋体" w:hAnsi="宋体"/>
          <w:color w:val="auto"/>
          <w:szCs w:val="21"/>
          <w:highlight w:val="none"/>
        </w:rPr>
      </w:pPr>
      <w:r>
        <w:rPr>
          <w:rFonts w:hint="eastAsia"/>
          <w:color w:val="auto"/>
          <w:highlight w:val="none"/>
        </w:rPr>
        <w:t xml:space="preserve"> </w:t>
      </w:r>
      <w:r>
        <w:rPr>
          <w:rFonts w:hint="eastAsia" w:ascii="宋体" w:hAnsi="宋体"/>
          <w:color w:val="auto"/>
          <w:szCs w:val="21"/>
          <w:highlight w:val="none"/>
        </w:rPr>
        <w:t>十</w:t>
      </w:r>
      <w:r>
        <w:rPr>
          <w:rFonts w:hint="eastAsia" w:ascii="宋体" w:hAnsi="宋体"/>
          <w:color w:val="auto"/>
          <w:szCs w:val="21"/>
          <w:highlight w:val="none"/>
          <w:lang w:val="en-US" w:eastAsia="zh-CN"/>
        </w:rPr>
        <w:t>四</w:t>
      </w:r>
      <w:r>
        <w:rPr>
          <w:rFonts w:hint="eastAsia" w:ascii="宋体" w:hAnsi="宋体"/>
          <w:color w:val="auto"/>
          <w:szCs w:val="21"/>
          <w:highlight w:val="none"/>
        </w:rPr>
        <w:t>、</w:t>
      </w:r>
      <w:r>
        <w:rPr>
          <w:rFonts w:ascii="宋体" w:hAnsi="宋体"/>
          <w:color w:val="auto"/>
          <w:szCs w:val="21"/>
          <w:highlight w:val="none"/>
        </w:rPr>
        <w:t>争议解决方式：</w:t>
      </w:r>
    </w:p>
    <w:p w14:paraId="09F05820">
      <w:pPr>
        <w:spacing w:line="480" w:lineRule="exact"/>
        <w:ind w:firstLine="570"/>
        <w:rPr>
          <w:rFonts w:ascii="宋体" w:hAnsi="宋体"/>
          <w:color w:val="auto"/>
          <w:szCs w:val="21"/>
          <w:highlight w:val="none"/>
        </w:rPr>
      </w:pPr>
      <w:r>
        <w:rPr>
          <w:rFonts w:hint="eastAsia" w:ascii="宋体" w:hAnsi="宋体"/>
          <w:color w:val="auto"/>
          <w:szCs w:val="21"/>
          <w:highlight w:val="none"/>
        </w:rPr>
        <w:t>本协议在履行过程中发生争议，双方应友好协商解决，协商不成的，可依法向项目所在地人民法院提起诉讼。</w:t>
      </w:r>
    </w:p>
    <w:p w14:paraId="277CB84A">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十</w:t>
      </w:r>
      <w:r>
        <w:rPr>
          <w:rFonts w:hint="eastAsia" w:ascii="宋体" w:hAnsi="宋体"/>
          <w:color w:val="auto"/>
          <w:szCs w:val="21"/>
          <w:highlight w:val="none"/>
          <w:lang w:val="en-US" w:eastAsia="zh-CN"/>
        </w:rPr>
        <w:t>五</w:t>
      </w:r>
      <w:r>
        <w:rPr>
          <w:rFonts w:ascii="宋体" w:hAnsi="宋体"/>
          <w:color w:val="auto"/>
          <w:szCs w:val="21"/>
          <w:highlight w:val="none"/>
        </w:rPr>
        <w:t>、本合同自双方签字盖章后生效。</w:t>
      </w:r>
    </w:p>
    <w:p w14:paraId="01008170">
      <w:pPr>
        <w:snapToGrid w:val="0"/>
        <w:spacing w:line="480" w:lineRule="exact"/>
        <w:ind w:firstLine="567"/>
        <w:rPr>
          <w:rFonts w:ascii="宋体" w:hAnsi="宋体"/>
          <w:color w:val="auto"/>
          <w:szCs w:val="21"/>
          <w:highlight w:val="none"/>
        </w:rPr>
      </w:pPr>
      <w:r>
        <w:rPr>
          <w:rFonts w:ascii="宋体" w:hAnsi="宋体"/>
          <w:color w:val="auto"/>
          <w:szCs w:val="21"/>
          <w:highlight w:val="none"/>
        </w:rPr>
        <w:t>十</w:t>
      </w:r>
      <w:r>
        <w:rPr>
          <w:rFonts w:hint="eastAsia" w:ascii="宋体" w:hAnsi="宋体"/>
          <w:color w:val="auto"/>
          <w:szCs w:val="21"/>
          <w:highlight w:val="none"/>
          <w:lang w:val="en-US" w:eastAsia="zh-CN"/>
        </w:rPr>
        <w:t>六</w:t>
      </w:r>
      <w:r>
        <w:rPr>
          <w:rFonts w:ascii="宋体" w:hAnsi="宋体"/>
          <w:color w:val="auto"/>
          <w:szCs w:val="21"/>
          <w:highlight w:val="none"/>
        </w:rPr>
        <w:t>、本合同一式</w:t>
      </w:r>
      <w:r>
        <w:rPr>
          <w:rFonts w:hint="eastAsia" w:ascii="宋体" w:hAnsi="宋体"/>
          <w:color w:val="auto"/>
          <w:szCs w:val="21"/>
          <w:highlight w:val="none"/>
        </w:rPr>
        <w:t>六</w:t>
      </w:r>
      <w:r>
        <w:rPr>
          <w:rFonts w:ascii="宋体" w:hAnsi="宋体"/>
          <w:color w:val="auto"/>
          <w:szCs w:val="21"/>
          <w:highlight w:val="none"/>
        </w:rPr>
        <w:t>份，双方各执</w:t>
      </w:r>
      <w:r>
        <w:rPr>
          <w:rFonts w:hint="eastAsia" w:ascii="宋体" w:hAnsi="宋体"/>
          <w:color w:val="auto"/>
          <w:szCs w:val="21"/>
          <w:highlight w:val="none"/>
        </w:rPr>
        <w:t>三</w:t>
      </w:r>
      <w:r>
        <w:rPr>
          <w:rFonts w:ascii="宋体" w:hAnsi="宋体"/>
          <w:color w:val="auto"/>
          <w:szCs w:val="21"/>
          <w:highlight w:val="none"/>
        </w:rPr>
        <w:t>份，具有同等法律效力。</w:t>
      </w:r>
    </w:p>
    <w:p w14:paraId="7B7F010C">
      <w:pPr>
        <w:snapToGrid w:val="0"/>
        <w:spacing w:line="480" w:lineRule="exact"/>
        <w:ind w:firstLine="0" w:firstLineChars="0"/>
        <w:rPr>
          <w:rFonts w:ascii="宋体" w:hAnsi="宋体"/>
          <w:color w:val="auto"/>
          <w:szCs w:val="21"/>
          <w:highlight w:val="none"/>
        </w:rPr>
      </w:pPr>
    </w:p>
    <w:p w14:paraId="6C1CAE6D">
      <w:pPr>
        <w:snapToGrid w:val="0"/>
        <w:spacing w:line="480" w:lineRule="exact"/>
        <w:ind w:firstLine="0" w:firstLineChars="0"/>
        <w:rPr>
          <w:rFonts w:ascii="宋体" w:hAnsi="宋体"/>
          <w:color w:val="auto"/>
          <w:szCs w:val="21"/>
          <w:highlight w:val="none"/>
        </w:rPr>
      </w:pPr>
      <w:r>
        <w:rPr>
          <w:rFonts w:ascii="宋体" w:hAnsi="宋体"/>
          <w:color w:val="auto"/>
          <w:szCs w:val="21"/>
          <w:highlight w:val="none"/>
        </w:rPr>
        <w:t>甲方（盖章）</w:t>
      </w:r>
      <w:r>
        <w:rPr>
          <w:rFonts w:hint="eastAsia" w:ascii="宋体" w:hAnsi="宋体"/>
          <w:color w:val="auto"/>
          <w:szCs w:val="21"/>
          <w:highlight w:val="none"/>
        </w:rPr>
        <w:t>：</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ascii="宋体" w:hAnsi="宋体"/>
          <w:color w:val="auto"/>
          <w:szCs w:val="21"/>
          <w:highlight w:val="none"/>
        </w:rPr>
        <w:t>乙方（盖章）</w:t>
      </w:r>
      <w:r>
        <w:rPr>
          <w:rFonts w:hint="eastAsia" w:ascii="宋体" w:hAnsi="宋体"/>
          <w:color w:val="auto"/>
          <w:szCs w:val="21"/>
          <w:highlight w:val="none"/>
        </w:rPr>
        <w:t>:</w:t>
      </w:r>
    </w:p>
    <w:p w14:paraId="7D3D1D64">
      <w:pPr>
        <w:snapToGrid w:val="0"/>
        <w:spacing w:line="480" w:lineRule="exact"/>
        <w:rPr>
          <w:rFonts w:ascii="宋体" w:hAnsi="宋体"/>
          <w:color w:val="auto"/>
          <w:szCs w:val="21"/>
          <w:highlight w:val="none"/>
        </w:rPr>
      </w:pPr>
    </w:p>
    <w:p w14:paraId="2E5EA6F5">
      <w:pPr>
        <w:snapToGrid w:val="0"/>
        <w:spacing w:line="480" w:lineRule="exact"/>
        <w:ind w:firstLine="0" w:firstLineChars="0"/>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lang w:val="en-US" w:eastAsia="zh-CN"/>
        </w:rPr>
        <w:t>/授权委托人</w:t>
      </w:r>
      <w:r>
        <w:rPr>
          <w:rFonts w:hint="eastAsia" w:ascii="宋体" w:hAnsi="宋体"/>
          <w:color w:val="auto"/>
          <w:szCs w:val="21"/>
          <w:highlight w:val="none"/>
        </w:rPr>
        <w:t xml:space="preserve">（签字或盖章）：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法定代表人</w:t>
      </w:r>
      <w:r>
        <w:rPr>
          <w:rFonts w:hint="eastAsia" w:ascii="宋体" w:hAnsi="宋体"/>
          <w:color w:val="auto"/>
          <w:szCs w:val="21"/>
          <w:highlight w:val="none"/>
          <w:lang w:val="en-US" w:eastAsia="zh-CN"/>
        </w:rPr>
        <w:t>/授权委托人</w:t>
      </w:r>
      <w:r>
        <w:rPr>
          <w:rFonts w:hint="eastAsia" w:ascii="宋体" w:hAnsi="宋体"/>
          <w:color w:val="auto"/>
          <w:szCs w:val="21"/>
          <w:highlight w:val="none"/>
        </w:rPr>
        <w:t>（签字或盖章）：</w:t>
      </w:r>
    </w:p>
    <w:p w14:paraId="58293485">
      <w:pPr>
        <w:snapToGrid w:val="0"/>
        <w:spacing w:line="480" w:lineRule="exact"/>
        <w:rPr>
          <w:rFonts w:ascii="宋体" w:hAnsi="宋体"/>
          <w:color w:val="auto"/>
          <w:szCs w:val="21"/>
          <w:highlight w:val="none"/>
        </w:rPr>
      </w:pPr>
    </w:p>
    <w:p w14:paraId="0B3CD1AA">
      <w:pPr>
        <w:snapToGrid w:val="0"/>
        <w:spacing w:line="480" w:lineRule="exact"/>
        <w:ind w:firstLine="0" w:firstLineChars="0"/>
        <w:rPr>
          <w:rFonts w:ascii="宋体" w:hAnsi="宋体"/>
          <w:color w:val="auto"/>
          <w:szCs w:val="21"/>
          <w:highlight w:val="none"/>
        </w:rPr>
      </w:pPr>
      <w:r>
        <w:rPr>
          <w:rFonts w:hint="eastAsia" w:ascii="宋体" w:hAnsi="宋体"/>
          <w:color w:val="auto"/>
          <w:szCs w:val="21"/>
          <w:highlight w:val="none"/>
          <w:u w:val="single"/>
          <w:lang w:val="en-US" w:eastAsia="zh-CN"/>
        </w:rPr>
        <w:t>2024</w:t>
      </w:r>
      <w:r>
        <w:rPr>
          <w:rFonts w:ascii="宋体" w:hAnsi="宋体"/>
          <w:color w:val="auto"/>
          <w:szCs w:val="21"/>
          <w:highlight w:val="none"/>
        </w:rPr>
        <w:t>年</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月</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日</w:t>
      </w:r>
      <w:r>
        <w:rPr>
          <w:rFonts w:hint="eastAsia" w:ascii="宋体" w:hAnsi="宋体"/>
          <w:color w:val="auto"/>
          <w:szCs w:val="21"/>
          <w:highlight w:val="none"/>
        </w:rPr>
        <w:t xml:space="preserve">                             </w:t>
      </w: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2024</w:t>
      </w:r>
      <w:r>
        <w:rPr>
          <w:rFonts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日</w:t>
      </w:r>
    </w:p>
    <w:p w14:paraId="7C481BF6">
      <w:pPr>
        <w:snapToGrid w:val="0"/>
        <w:spacing w:line="480" w:lineRule="exact"/>
        <w:ind w:firstLine="567"/>
        <w:rPr>
          <w:rFonts w:hint="eastAsia" w:ascii="宋体" w:hAnsi="宋体"/>
          <w:color w:val="auto"/>
          <w:szCs w:val="21"/>
          <w:highlight w:val="none"/>
        </w:rPr>
      </w:pPr>
    </w:p>
    <w:p w14:paraId="128D7D99">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第</w:t>
      </w:r>
      <w:r>
        <w:rPr>
          <w:rFonts w:hint="eastAsia" w:ascii="宋体" w:hAnsi="宋体"/>
          <w:b/>
          <w:color w:val="auto"/>
          <w:sz w:val="36"/>
          <w:szCs w:val="36"/>
          <w:highlight w:val="none"/>
          <w:lang w:val="en-US" w:eastAsia="zh-CN"/>
        </w:rPr>
        <w:t>六</w:t>
      </w:r>
      <w:r>
        <w:rPr>
          <w:rFonts w:hint="eastAsia" w:ascii="宋体" w:hAnsi="宋体"/>
          <w:b/>
          <w:color w:val="auto"/>
          <w:sz w:val="36"/>
          <w:szCs w:val="36"/>
          <w:highlight w:val="none"/>
        </w:rPr>
        <w:t>章 投标文件格式</w:t>
      </w:r>
    </w:p>
    <w:p w14:paraId="45D83232">
      <w:pPr>
        <w:spacing w:line="360" w:lineRule="auto"/>
        <w:jc w:val="center"/>
        <w:rPr>
          <w:rFonts w:hint="eastAsia" w:ascii="宋体" w:hAnsi="宋体"/>
          <w:color w:val="auto"/>
          <w:sz w:val="36"/>
          <w:szCs w:val="36"/>
          <w:highlight w:val="none"/>
          <w:u w:val="single"/>
          <w:lang w:val="en-US" w:eastAsia="zh-CN"/>
        </w:rPr>
      </w:pPr>
    </w:p>
    <w:p w14:paraId="7F79FF46">
      <w:pPr>
        <w:spacing w:line="360" w:lineRule="auto"/>
        <w:jc w:val="center"/>
        <w:rPr>
          <w:b/>
          <w:bCs/>
          <w:color w:val="auto"/>
          <w:sz w:val="36"/>
          <w:szCs w:val="36"/>
          <w:highlight w:val="none"/>
        </w:rPr>
      </w:pPr>
      <w:r>
        <w:rPr>
          <w:rFonts w:hint="eastAsia"/>
          <w:b/>
          <w:bCs/>
          <w:color w:val="auto"/>
          <w:sz w:val="36"/>
          <w:szCs w:val="36"/>
          <w:highlight w:val="none"/>
          <w:lang w:val="en-US" w:eastAsia="zh-CN"/>
        </w:rPr>
        <w:t>商务</w:t>
      </w:r>
      <w:r>
        <w:rPr>
          <w:rFonts w:hint="eastAsia"/>
          <w:b/>
          <w:bCs/>
          <w:color w:val="auto"/>
          <w:sz w:val="36"/>
          <w:szCs w:val="36"/>
          <w:highlight w:val="none"/>
        </w:rPr>
        <w:t>标目录</w:t>
      </w:r>
    </w:p>
    <w:p w14:paraId="6E4E6EF9">
      <w:pPr>
        <w:spacing w:line="360" w:lineRule="auto"/>
        <w:ind w:firstLine="560" w:firstLineChars="200"/>
        <w:rPr>
          <w:color w:val="auto"/>
          <w:sz w:val="28"/>
          <w:szCs w:val="36"/>
          <w:highlight w:val="none"/>
        </w:rPr>
      </w:pPr>
    </w:p>
    <w:p w14:paraId="21FA0B9D">
      <w:pPr>
        <w:numPr>
          <w:ilvl w:val="0"/>
          <w:numId w:val="4"/>
        </w:numPr>
        <w:autoSpaceDE w:val="0"/>
        <w:autoSpaceDN w:val="0"/>
        <w:adjustRightInd w:val="0"/>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营业执照副本复印件。</w:t>
      </w:r>
    </w:p>
    <w:p w14:paraId="06A62078">
      <w:pPr>
        <w:numPr>
          <w:ilvl w:val="0"/>
          <w:numId w:val="4"/>
        </w:numPr>
        <w:autoSpaceDE w:val="0"/>
        <w:autoSpaceDN w:val="0"/>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法定代表人授权委托书</w:t>
      </w: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如法定代表人参加投标的无需提供，</w:t>
      </w:r>
      <w:r>
        <w:rPr>
          <w:rFonts w:hint="eastAsia" w:ascii="宋体" w:hAnsi="宋体"/>
          <w:color w:val="auto"/>
          <w:kern w:val="0"/>
          <w:sz w:val="24"/>
          <w:highlight w:val="none"/>
        </w:rPr>
        <w:t>格式见附件</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w:t>
      </w:r>
    </w:p>
    <w:p w14:paraId="51CF3FAC">
      <w:pPr>
        <w:spacing w:line="360" w:lineRule="auto"/>
        <w:rPr>
          <w:rFonts w:hint="default" w:ascii="宋体" w:hAnsi="宋体" w:eastAsia="宋体"/>
          <w:b/>
          <w:color w:val="auto"/>
          <w:sz w:val="28"/>
          <w:highlight w:val="none"/>
          <w:lang w:val="en-US" w:eastAsia="zh-CN"/>
        </w:rPr>
      </w:pPr>
      <w:r>
        <w:rPr>
          <w:rFonts w:hint="eastAsia" w:hAnsi="宋体"/>
          <w:color w:val="auto"/>
          <w:sz w:val="24"/>
          <w:highlight w:val="none"/>
          <w:lang w:val="en-US" w:eastAsia="zh-CN"/>
        </w:rPr>
        <w:t xml:space="preserve">    </w:t>
      </w:r>
      <w:r>
        <w:rPr>
          <w:rFonts w:hint="eastAsia" w:ascii="宋体" w:hAnsi="宋体" w:eastAsia="宋体" w:cs="Times New Roman"/>
          <w:color w:val="auto"/>
          <w:kern w:val="2"/>
          <w:sz w:val="24"/>
          <w:szCs w:val="24"/>
          <w:highlight w:val="none"/>
          <w:lang w:val="en-US" w:eastAsia="zh-CN" w:bidi="ar-SA"/>
        </w:rPr>
        <w:t>（</w:t>
      </w:r>
      <w:r>
        <w:rPr>
          <w:rFonts w:hint="eastAsia" w:ascii="宋体" w:hAnsi="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）投标承诺书（附件</w:t>
      </w:r>
      <w:r>
        <w:rPr>
          <w:rFonts w:hint="eastAsia" w:ascii="宋体" w:hAnsi="宋体" w:cs="Times New Roman"/>
          <w:color w:val="auto"/>
          <w:kern w:val="2"/>
          <w:sz w:val="24"/>
          <w:szCs w:val="24"/>
          <w:highlight w:val="none"/>
          <w:lang w:val="en-US" w:eastAsia="zh-CN" w:bidi="ar-SA"/>
        </w:rPr>
        <w:t>2</w:t>
      </w:r>
      <w:r>
        <w:rPr>
          <w:rFonts w:hint="eastAsia" w:ascii="宋体" w:hAnsi="宋体" w:eastAsia="宋体" w:cs="Times New Roman"/>
          <w:color w:val="auto"/>
          <w:kern w:val="2"/>
          <w:sz w:val="24"/>
          <w:szCs w:val="24"/>
          <w:highlight w:val="none"/>
          <w:lang w:val="en-US" w:eastAsia="zh-CN" w:bidi="ar-SA"/>
        </w:rPr>
        <w:t>）。</w:t>
      </w:r>
    </w:p>
    <w:p w14:paraId="73E2B786">
      <w:pPr>
        <w:spacing w:line="360" w:lineRule="auto"/>
        <w:ind w:left="420"/>
        <w:rPr>
          <w:rFonts w:ascii="宋体" w:hAnsi="宋体"/>
          <w:b/>
          <w:color w:val="auto"/>
          <w:sz w:val="28"/>
          <w:highlight w:val="none"/>
        </w:rPr>
      </w:pPr>
    </w:p>
    <w:p w14:paraId="445CB5C7">
      <w:pPr>
        <w:pStyle w:val="29"/>
        <w:rPr>
          <w:rFonts w:ascii="宋体" w:hAnsi="宋体"/>
          <w:b/>
          <w:color w:val="auto"/>
          <w:sz w:val="28"/>
          <w:highlight w:val="none"/>
        </w:rPr>
      </w:pPr>
    </w:p>
    <w:p w14:paraId="10BCB54C">
      <w:pPr>
        <w:pStyle w:val="29"/>
        <w:rPr>
          <w:rFonts w:ascii="宋体" w:hAnsi="宋体"/>
          <w:b/>
          <w:color w:val="auto"/>
          <w:sz w:val="28"/>
          <w:highlight w:val="none"/>
        </w:rPr>
      </w:pPr>
    </w:p>
    <w:p w14:paraId="1FDB159E">
      <w:pPr>
        <w:spacing w:line="360" w:lineRule="auto"/>
        <w:ind w:left="420"/>
        <w:rPr>
          <w:rFonts w:ascii="宋体" w:hAnsi="宋体"/>
          <w:b/>
          <w:color w:val="auto"/>
          <w:sz w:val="28"/>
          <w:highlight w:val="none"/>
        </w:rPr>
      </w:pPr>
    </w:p>
    <w:p w14:paraId="595C2C6E">
      <w:pPr>
        <w:spacing w:line="360" w:lineRule="auto"/>
        <w:ind w:left="420"/>
        <w:rPr>
          <w:rFonts w:ascii="宋体" w:hAnsi="宋体"/>
          <w:b/>
          <w:color w:val="auto"/>
          <w:sz w:val="28"/>
          <w:highlight w:val="none"/>
        </w:rPr>
      </w:pPr>
    </w:p>
    <w:p w14:paraId="4422BFA0">
      <w:pPr>
        <w:rPr>
          <w:rFonts w:ascii="宋体" w:hAnsi="宋体"/>
          <w:b/>
          <w:color w:val="auto"/>
          <w:sz w:val="28"/>
          <w:highlight w:val="none"/>
        </w:rPr>
      </w:pPr>
      <w:r>
        <w:rPr>
          <w:rFonts w:hint="eastAsia" w:ascii="宋体" w:hAnsi="宋体"/>
          <w:b/>
          <w:color w:val="auto"/>
          <w:sz w:val="28"/>
          <w:highlight w:val="none"/>
        </w:rPr>
        <w:br w:type="page"/>
      </w:r>
    </w:p>
    <w:p w14:paraId="06F750DE">
      <w:pPr>
        <w:spacing w:line="312"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 xml:space="preserve">1 </w:t>
      </w:r>
    </w:p>
    <w:p w14:paraId="732E6F32">
      <w:pPr>
        <w:adjustRightInd w:val="0"/>
        <w:snapToGrid w:val="0"/>
        <w:spacing w:beforeLines="50" w:line="360" w:lineRule="auto"/>
        <w:jc w:val="center"/>
        <w:rPr>
          <w:rFonts w:eastAsia="黑体"/>
          <w:color w:val="auto"/>
          <w:sz w:val="44"/>
          <w:szCs w:val="20"/>
          <w:highlight w:val="none"/>
        </w:rPr>
      </w:pPr>
      <w:r>
        <w:rPr>
          <w:rFonts w:hint="eastAsia" w:eastAsia="黑体"/>
          <w:color w:val="auto"/>
          <w:sz w:val="44"/>
          <w:szCs w:val="20"/>
          <w:highlight w:val="none"/>
        </w:rPr>
        <w:t>法定代表人授权委托书</w:t>
      </w:r>
    </w:p>
    <w:p w14:paraId="5CA0385B">
      <w:pPr>
        <w:adjustRightInd w:val="0"/>
        <w:snapToGrid w:val="0"/>
        <w:spacing w:beforeLines="50" w:line="360" w:lineRule="auto"/>
        <w:ind w:left="1644" w:hanging="1643" w:hangingChars="587"/>
        <w:jc w:val="center"/>
        <w:rPr>
          <w:color w:val="auto"/>
          <w:sz w:val="28"/>
          <w:szCs w:val="28"/>
          <w:highlight w:val="none"/>
        </w:rPr>
      </w:pPr>
      <w:r>
        <w:rPr>
          <w:rFonts w:hint="eastAsia"/>
          <w:color w:val="auto"/>
          <w:sz w:val="28"/>
          <w:szCs w:val="28"/>
          <w:highlight w:val="none"/>
        </w:rPr>
        <w:t>（参考格式）</w:t>
      </w:r>
    </w:p>
    <w:p w14:paraId="648FCDFC">
      <w:pPr>
        <w:adjustRightInd w:val="0"/>
        <w:snapToGrid w:val="0"/>
        <w:spacing w:beforeLines="50" w:line="360" w:lineRule="auto"/>
        <w:ind w:firstLine="600"/>
        <w:rPr>
          <w:color w:val="auto"/>
          <w:sz w:val="28"/>
          <w:szCs w:val="28"/>
          <w:highlight w:val="none"/>
        </w:rPr>
      </w:pPr>
      <w:r>
        <w:rPr>
          <w:rFonts w:hint="eastAsia" w:ascii="宋体" w:hAnsi="宋体" w:eastAsia="宋体" w:cs="宋体"/>
          <w:color w:val="auto"/>
          <w:spacing w:val="-8"/>
          <w:sz w:val="24"/>
          <w:highlight w:val="none"/>
          <w:lang w:val="en-US" w:eastAsia="zh-CN"/>
        </w:rPr>
        <w:t>本授权委托书声明：我</w:t>
      </w:r>
      <w:r>
        <w:rPr>
          <w:rFonts w:hint="eastAsia" w:ascii="宋体" w:hAnsi="宋体" w:eastAsia="宋体" w:cs="宋体"/>
          <w:color w:val="auto"/>
          <w:spacing w:val="-8"/>
          <w:sz w:val="24"/>
          <w:highlight w:val="none"/>
          <w:u w:val="single"/>
          <w:lang w:val="en-US" w:eastAsia="zh-CN"/>
        </w:rPr>
        <w:t xml:space="preserve">        （姓名）</w:t>
      </w:r>
      <w:r>
        <w:rPr>
          <w:rFonts w:hint="eastAsia" w:ascii="宋体" w:hAnsi="宋体" w:eastAsia="宋体" w:cs="宋体"/>
          <w:color w:val="auto"/>
          <w:spacing w:val="-8"/>
          <w:sz w:val="24"/>
          <w:highlight w:val="none"/>
          <w:lang w:val="en-US" w:eastAsia="zh-CN"/>
        </w:rPr>
        <w:t>系</w:t>
      </w:r>
      <w:r>
        <w:rPr>
          <w:rFonts w:hint="eastAsia" w:ascii="宋体" w:hAnsi="宋体" w:eastAsia="宋体" w:cs="宋体"/>
          <w:color w:val="auto"/>
          <w:spacing w:val="-8"/>
          <w:sz w:val="24"/>
          <w:highlight w:val="none"/>
          <w:u w:val="single"/>
          <w:lang w:val="en-US" w:eastAsia="zh-CN"/>
        </w:rPr>
        <w:t xml:space="preserve">      </w:t>
      </w:r>
      <w:r>
        <w:rPr>
          <w:rFonts w:hint="eastAsia" w:ascii="宋体" w:hAnsi="宋体" w:cs="宋体"/>
          <w:color w:val="auto"/>
          <w:spacing w:val="-8"/>
          <w:sz w:val="24"/>
          <w:highlight w:val="none"/>
          <w:u w:val="single"/>
          <w:lang w:val="en-US" w:eastAsia="zh-CN"/>
        </w:rPr>
        <w:t xml:space="preserve">        </w:t>
      </w:r>
      <w:r>
        <w:rPr>
          <w:rFonts w:hint="eastAsia" w:ascii="宋体" w:hAnsi="宋体" w:eastAsia="宋体" w:cs="宋体"/>
          <w:color w:val="auto"/>
          <w:spacing w:val="-8"/>
          <w:sz w:val="24"/>
          <w:highlight w:val="none"/>
          <w:u w:val="single"/>
          <w:lang w:val="en-US" w:eastAsia="zh-CN"/>
        </w:rPr>
        <w:t xml:space="preserve">     （投标人）</w:t>
      </w:r>
      <w:r>
        <w:rPr>
          <w:rFonts w:hint="eastAsia" w:ascii="宋体" w:hAnsi="宋体" w:eastAsia="宋体" w:cs="宋体"/>
          <w:color w:val="auto"/>
          <w:spacing w:val="-8"/>
          <w:sz w:val="24"/>
          <w:highlight w:val="none"/>
          <w:lang w:val="en-US" w:eastAsia="zh-CN"/>
        </w:rPr>
        <w:t>的法定代表人，现授权委托我单位</w:t>
      </w:r>
      <w:r>
        <w:rPr>
          <w:rFonts w:hint="eastAsia" w:ascii="宋体" w:hAnsi="宋体" w:eastAsia="宋体" w:cs="宋体"/>
          <w:color w:val="auto"/>
          <w:spacing w:val="-8"/>
          <w:sz w:val="24"/>
          <w:highlight w:val="none"/>
          <w:u w:val="single"/>
          <w:lang w:val="en-US" w:eastAsia="zh-CN"/>
        </w:rPr>
        <w:t xml:space="preserve">       （姓名）</w:t>
      </w:r>
      <w:r>
        <w:rPr>
          <w:rFonts w:hint="eastAsia" w:ascii="宋体" w:hAnsi="宋体" w:eastAsia="宋体" w:cs="宋体"/>
          <w:color w:val="auto"/>
          <w:spacing w:val="-8"/>
          <w:sz w:val="24"/>
          <w:highlight w:val="none"/>
          <w:lang w:val="en-US" w:eastAsia="zh-CN"/>
        </w:rPr>
        <w:t>（以下称“授权代表” ），以本单位的名义参加</w:t>
      </w:r>
      <w:r>
        <w:rPr>
          <w:rFonts w:hint="eastAsia" w:ascii="宋体" w:hAnsi="宋体" w:cs="宋体"/>
          <w:color w:val="auto"/>
          <w:spacing w:val="-8"/>
          <w:sz w:val="24"/>
          <w:highlight w:val="none"/>
          <w:lang w:val="en-US" w:eastAsia="zh-CN"/>
        </w:rPr>
        <w:t>台州东茂观光农业开发有限公司</w:t>
      </w:r>
      <w:r>
        <w:rPr>
          <w:rFonts w:hint="eastAsia" w:ascii="宋体" w:hAnsi="宋体" w:eastAsia="宋体" w:cs="宋体"/>
          <w:color w:val="auto"/>
          <w:spacing w:val="-8"/>
          <w:sz w:val="24"/>
          <w:highlight w:val="none"/>
          <w:lang w:val="en-US" w:eastAsia="zh-CN"/>
        </w:rPr>
        <w:t>（招标人）的</w:t>
      </w:r>
      <w:r>
        <w:rPr>
          <w:rFonts w:hint="eastAsia" w:ascii="宋体" w:hAnsi="宋体" w:cs="宋体"/>
          <w:color w:val="auto"/>
          <w:spacing w:val="-8"/>
          <w:sz w:val="24"/>
          <w:highlight w:val="none"/>
          <w:lang w:val="en-US" w:eastAsia="zh-CN"/>
        </w:rPr>
        <w:t>台州市开发大道东段南侧、聚海河以西种植土地出租</w:t>
      </w:r>
      <w:r>
        <w:rPr>
          <w:rFonts w:hint="eastAsia" w:ascii="宋体" w:hAnsi="宋体" w:eastAsia="宋体" w:cs="宋体"/>
          <w:color w:val="auto"/>
          <w:spacing w:val="-8"/>
          <w:sz w:val="24"/>
          <w:highlight w:val="none"/>
          <w:lang w:val="en-US" w:eastAsia="zh-CN"/>
        </w:rPr>
        <w:t>（项目名称）的投标。授权代表在该项目招投标活动中的一切事务，我均予以承认。</w:t>
      </w:r>
    </w:p>
    <w:p w14:paraId="597FD9E0">
      <w:pPr>
        <w:adjustRightInd w:val="0"/>
        <w:snapToGrid w:val="0"/>
        <w:spacing w:beforeLines="50" w:line="360" w:lineRule="auto"/>
        <w:ind w:firstLine="600"/>
        <w:rPr>
          <w:rFonts w:hint="eastAsia"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代理人无转委权，特此委托。</w:t>
      </w:r>
    </w:p>
    <w:p w14:paraId="07F93F21">
      <w:pPr>
        <w:adjustRightInd w:val="0"/>
        <w:snapToGrid w:val="0"/>
        <w:spacing w:beforeLines="50" w:line="360" w:lineRule="auto"/>
        <w:ind w:firstLine="600"/>
        <w:rPr>
          <w:rFonts w:hint="default" w:ascii="宋体" w:hAnsi="宋体" w:eastAsia="宋体" w:cs="宋体"/>
          <w:color w:val="auto"/>
          <w:spacing w:val="-8"/>
          <w:sz w:val="24"/>
          <w:highlight w:val="none"/>
          <w:u w:val="single"/>
          <w:lang w:val="en-US" w:eastAsia="zh-CN"/>
        </w:rPr>
      </w:pPr>
      <w:r>
        <w:rPr>
          <w:rFonts w:hint="eastAsia" w:ascii="宋体" w:hAnsi="宋体" w:eastAsia="宋体" w:cs="宋体"/>
          <w:color w:val="auto"/>
          <w:spacing w:val="-8"/>
          <w:sz w:val="24"/>
          <w:highlight w:val="none"/>
          <w:lang w:val="en-US" w:eastAsia="zh-CN"/>
        </w:rPr>
        <w:t>授权代表身份证号：</w:t>
      </w:r>
      <w:r>
        <w:rPr>
          <w:rFonts w:hint="eastAsia" w:ascii="宋体" w:hAnsi="宋体" w:eastAsia="宋体" w:cs="宋体"/>
          <w:color w:val="auto"/>
          <w:spacing w:val="-8"/>
          <w:sz w:val="24"/>
          <w:highlight w:val="none"/>
          <w:u w:val="none"/>
          <w:lang w:val="en-US" w:eastAsia="zh-CN"/>
        </w:rPr>
        <w:t xml:space="preserve">             </w:t>
      </w:r>
    </w:p>
    <w:p w14:paraId="44E8BD64">
      <w:pPr>
        <w:adjustRightInd w:val="0"/>
        <w:snapToGrid w:val="0"/>
        <w:spacing w:beforeLines="50" w:line="360" w:lineRule="auto"/>
        <w:ind w:firstLine="600"/>
        <w:rPr>
          <w:rFonts w:hint="default"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授权代表联系电话：</w:t>
      </w:r>
      <w:r>
        <w:rPr>
          <w:rFonts w:hint="eastAsia" w:ascii="宋体" w:hAnsi="宋体" w:eastAsia="宋体" w:cs="宋体"/>
          <w:color w:val="auto"/>
          <w:spacing w:val="-8"/>
          <w:sz w:val="24"/>
          <w:highlight w:val="none"/>
          <w:u w:val="none"/>
          <w:lang w:val="en-US" w:eastAsia="zh-CN"/>
        </w:rPr>
        <w:t xml:space="preserve">             </w:t>
      </w:r>
    </w:p>
    <w:p w14:paraId="0A44ACB0">
      <w:pPr>
        <w:adjustRightInd w:val="0"/>
        <w:snapToGrid w:val="0"/>
        <w:spacing w:beforeLines="50" w:line="360" w:lineRule="auto"/>
        <w:ind w:firstLine="600"/>
        <w:rPr>
          <w:rFonts w:hint="default"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 xml:space="preserve">授权代表电子邮箱：             </w:t>
      </w:r>
    </w:p>
    <w:p w14:paraId="1456EE07">
      <w:pPr>
        <w:rPr>
          <w:rFonts w:eastAsia="仿宋_GB2312"/>
          <w:color w:val="auto"/>
          <w:sz w:val="28"/>
          <w:szCs w:val="28"/>
          <w:highlight w:val="none"/>
        </w:rPr>
      </w:pPr>
    </w:p>
    <w:p w14:paraId="4122857F">
      <w:pPr>
        <w:widowControl/>
        <w:snapToGrid w:val="0"/>
        <w:spacing w:line="360" w:lineRule="auto"/>
        <w:rPr>
          <w:rFonts w:eastAsia="仿宋_GB2312"/>
          <w:color w:val="auto"/>
          <w:sz w:val="28"/>
          <w:szCs w:val="28"/>
          <w:highlight w:val="none"/>
        </w:rPr>
      </w:pPr>
    </w:p>
    <w:p w14:paraId="5CCD1B41">
      <w:pPr>
        <w:widowControl/>
        <w:snapToGrid w:val="0"/>
        <w:spacing w:line="360" w:lineRule="auto"/>
        <w:rPr>
          <w:rFonts w:eastAsia="仿宋_GB2312"/>
          <w:color w:val="auto"/>
          <w:sz w:val="28"/>
          <w:szCs w:val="28"/>
          <w:highlight w:val="none"/>
        </w:rPr>
      </w:pPr>
    </w:p>
    <w:p w14:paraId="07837758">
      <w:pPr>
        <w:widowControl/>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法定代表人（签字或</w:t>
      </w:r>
      <w:r>
        <w:rPr>
          <w:rFonts w:hint="eastAsia" w:ascii="宋体" w:hAnsi="宋体" w:cs="宋体"/>
          <w:color w:val="auto"/>
          <w:sz w:val="28"/>
          <w:szCs w:val="28"/>
          <w:highlight w:val="none"/>
          <w:lang w:eastAsia="zh-CN"/>
        </w:rPr>
        <w:t>盖章</w:t>
      </w:r>
      <w:r>
        <w:rPr>
          <w:rFonts w:hint="eastAsia" w:ascii="宋体" w:hAnsi="宋体" w:cs="宋体"/>
          <w:color w:val="auto"/>
          <w:sz w:val="28"/>
          <w:szCs w:val="28"/>
          <w:highlight w:val="none"/>
        </w:rPr>
        <w:t>）：     授权代表 (签字或</w:t>
      </w:r>
      <w:r>
        <w:rPr>
          <w:rFonts w:hint="eastAsia" w:ascii="宋体" w:hAnsi="宋体" w:cs="宋体"/>
          <w:color w:val="auto"/>
          <w:sz w:val="28"/>
          <w:szCs w:val="28"/>
          <w:highlight w:val="none"/>
          <w:lang w:eastAsia="zh-CN"/>
        </w:rPr>
        <w:t>盖章</w:t>
      </w:r>
      <w:r>
        <w:rPr>
          <w:rFonts w:hint="eastAsia" w:ascii="宋体" w:hAnsi="宋体" w:cs="宋体"/>
          <w:color w:val="auto"/>
          <w:sz w:val="28"/>
          <w:szCs w:val="28"/>
          <w:highlight w:val="none"/>
        </w:rPr>
        <w:t>) :</w:t>
      </w:r>
    </w:p>
    <w:p w14:paraId="5A5558F6">
      <w:pPr>
        <w:widowControl/>
        <w:snapToGrid w:val="0"/>
        <w:spacing w:line="360" w:lineRule="auto"/>
        <w:ind w:left="280" w:hanging="280" w:hangingChars="100"/>
        <w:rPr>
          <w:rFonts w:ascii="宋体" w:hAnsi="宋体" w:cs="宋体"/>
          <w:color w:val="auto"/>
          <w:sz w:val="28"/>
          <w:szCs w:val="28"/>
          <w:highlight w:val="none"/>
        </w:rPr>
      </w:pPr>
      <w:r>
        <w:rPr>
          <w:rFonts w:hint="eastAsia" w:ascii="宋体" w:hAnsi="宋体" w:cs="宋体"/>
          <w:color w:val="auto"/>
          <w:sz w:val="28"/>
          <w:szCs w:val="28"/>
          <w:highlight w:val="none"/>
        </w:rPr>
        <w:t>投标人（盖单位</w:t>
      </w:r>
      <w:r>
        <w:rPr>
          <w:rFonts w:hint="eastAsia" w:ascii="宋体" w:hAnsi="宋体" w:cs="宋体"/>
          <w:color w:val="auto"/>
          <w:sz w:val="28"/>
          <w:szCs w:val="28"/>
          <w:highlight w:val="none"/>
          <w:lang w:eastAsia="zh-CN"/>
        </w:rPr>
        <w:t>公章</w:t>
      </w:r>
      <w:r>
        <w:rPr>
          <w:rFonts w:hint="eastAsia" w:ascii="宋体" w:hAnsi="宋体" w:cs="宋体"/>
          <w:color w:val="auto"/>
          <w:sz w:val="28"/>
          <w:szCs w:val="28"/>
          <w:highlight w:val="none"/>
        </w:rPr>
        <w:t>）：</w:t>
      </w:r>
    </w:p>
    <w:p w14:paraId="51DEF1BE">
      <w:pPr>
        <w:widowControl/>
        <w:snapToGrid w:val="0"/>
        <w:spacing w:line="360" w:lineRule="auto"/>
        <w:ind w:left="280" w:hanging="280" w:hangingChars="100"/>
        <w:rPr>
          <w:rFonts w:ascii="宋体" w:hAnsi="宋体" w:cs="宋体"/>
          <w:color w:val="auto"/>
          <w:sz w:val="28"/>
          <w:szCs w:val="28"/>
          <w:highlight w:val="none"/>
        </w:rPr>
      </w:pPr>
    </w:p>
    <w:p w14:paraId="6023CB24">
      <w:pPr>
        <w:adjustRightInd w:val="0"/>
        <w:snapToGrid w:val="0"/>
        <w:spacing w:beforeLines="50" w:line="360" w:lineRule="auto"/>
        <w:jc w:val="right"/>
        <w:rPr>
          <w:color w:val="auto"/>
          <w:sz w:val="28"/>
          <w:szCs w:val="28"/>
          <w:highlight w:val="none"/>
        </w:rPr>
      </w:pPr>
      <w:r>
        <w:rPr>
          <w:rFonts w:hint="eastAsia" w:ascii="宋体" w:hAnsi="宋体" w:cs="宋体"/>
          <w:color w:val="auto"/>
          <w:sz w:val="28"/>
          <w:szCs w:val="28"/>
          <w:highlight w:val="none"/>
        </w:rPr>
        <w:t xml:space="preserve">                                 日期: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5E1FA45D">
      <w:pPr>
        <w:rPr>
          <w:color w:val="auto"/>
          <w:highlight w:val="none"/>
        </w:rPr>
      </w:pPr>
      <w:r>
        <w:rPr>
          <w:rFonts w:hint="eastAsia" w:ascii="宋体" w:hAnsi="宋体"/>
          <w:b/>
          <w:color w:val="auto"/>
          <w:sz w:val="28"/>
          <w:highlight w:val="none"/>
        </w:rPr>
        <w:br w:type="page"/>
      </w:r>
    </w:p>
    <w:p w14:paraId="49DBCFF6">
      <w:pPr>
        <w:adjustRightInd w:val="0"/>
        <w:snapToGrid w:val="0"/>
        <w:spacing w:line="360" w:lineRule="auto"/>
        <w:ind w:right="480"/>
        <w:rPr>
          <w:rFonts w:ascii="宋体" w:hAnsi="宋体"/>
          <w:b/>
          <w:color w:val="auto"/>
          <w:sz w:val="28"/>
          <w:highlight w:val="none"/>
        </w:rPr>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pPr>
    </w:p>
    <w:p w14:paraId="10806242">
      <w:pPr>
        <w:spacing w:line="360"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2</w:t>
      </w:r>
    </w:p>
    <w:p w14:paraId="4373600A">
      <w:pPr>
        <w:snapToGrid w:val="0"/>
        <w:spacing w:line="480" w:lineRule="exact"/>
        <w:ind w:firstLine="723" w:firstLineChars="200"/>
        <w:jc w:val="center"/>
        <w:rPr>
          <w:rFonts w:ascii="宋体" w:hAnsi="宋体"/>
          <w:b/>
          <w:bCs/>
          <w:color w:val="auto"/>
          <w:sz w:val="30"/>
          <w:szCs w:val="30"/>
          <w:highlight w:val="none"/>
        </w:rPr>
      </w:pPr>
      <w:r>
        <w:rPr>
          <w:rFonts w:hint="eastAsia" w:ascii="宋体" w:hAnsi="宋体"/>
          <w:b/>
          <w:bCs/>
          <w:color w:val="auto"/>
          <w:sz w:val="36"/>
          <w:szCs w:val="36"/>
          <w:highlight w:val="none"/>
        </w:rPr>
        <w:t>投 标 承 诺 书</w:t>
      </w:r>
    </w:p>
    <w:p w14:paraId="08FD6A5B">
      <w:pPr>
        <w:snapToGrid w:val="0"/>
        <w:spacing w:line="480" w:lineRule="exact"/>
        <w:rPr>
          <w:rFonts w:hint="eastAsia" w:ascii="宋体" w:hAnsi="宋体" w:cs="宋体"/>
          <w:bCs/>
          <w:color w:val="auto"/>
          <w:sz w:val="24"/>
          <w:highlight w:val="none"/>
        </w:rPr>
      </w:pPr>
    </w:p>
    <w:p w14:paraId="5422A0F9">
      <w:pPr>
        <w:snapToGrid w:val="0"/>
        <w:spacing w:line="480" w:lineRule="exact"/>
        <w:rPr>
          <w:rFonts w:hint="eastAsia" w:ascii="宋体" w:hAnsi="宋体" w:eastAsia="宋体" w:cs="宋体"/>
          <w:color w:val="auto"/>
          <w:sz w:val="24"/>
          <w:highlight w:val="none"/>
          <w:lang w:eastAsia="zh-CN"/>
        </w:rPr>
      </w:pPr>
      <w:r>
        <w:rPr>
          <w:rFonts w:hint="eastAsia" w:ascii="宋体" w:hAnsi="宋体" w:cs="宋体"/>
          <w:bCs/>
          <w:color w:val="auto"/>
          <w:sz w:val="24"/>
          <w:highlight w:val="none"/>
        </w:rPr>
        <w:t>致：</w:t>
      </w:r>
      <w:r>
        <w:rPr>
          <w:rFonts w:hint="eastAsia" w:ascii="宋体" w:hAnsi="宋体" w:cs="宋体"/>
          <w:bCs/>
          <w:color w:val="auto"/>
          <w:sz w:val="24"/>
          <w:highlight w:val="none"/>
          <w:lang w:eastAsia="zh-CN"/>
        </w:rPr>
        <w:t>台州东茂观光农业开发有限公司</w:t>
      </w:r>
    </w:p>
    <w:p w14:paraId="165C8BEF">
      <w:pPr>
        <w:spacing w:line="480" w:lineRule="exact"/>
        <w:rPr>
          <w:rFonts w:ascii="宋体" w:hAnsi="宋体" w:cs="宋体"/>
          <w:color w:val="auto"/>
          <w:spacing w:val="-8"/>
          <w:sz w:val="24"/>
          <w:highlight w:val="none"/>
        </w:rPr>
      </w:pPr>
      <w:r>
        <w:rPr>
          <w:rFonts w:hint="eastAsia" w:ascii="宋体" w:hAnsi="宋体" w:cs="宋体"/>
          <w:color w:val="auto"/>
          <w:spacing w:val="-8"/>
          <w:sz w:val="24"/>
          <w:highlight w:val="none"/>
        </w:rPr>
        <w:t xml:space="preserve"> </w:t>
      </w:r>
      <w:r>
        <w:rPr>
          <w:rFonts w:hint="eastAsia" w:ascii="宋体" w:hAnsi="宋体" w:cs="宋体"/>
          <w:color w:val="auto"/>
          <w:spacing w:val="-8"/>
          <w:sz w:val="24"/>
          <w:highlight w:val="none"/>
          <w:lang w:val="en-US" w:eastAsia="zh-CN"/>
        </w:rPr>
        <w:t xml:space="preserve">    一、根据已收到的招标文件，按照有关的规定，经考察现场和研究本次招标文件后, 我方在全部同意招标文件的各项规定和要求的基础上，经慎重考虑，并愿意接受</w:t>
      </w:r>
      <w:r>
        <w:rPr>
          <w:rFonts w:hint="eastAsia" w:ascii="宋体" w:hAnsi="宋体" w:cs="宋体"/>
          <w:color w:val="auto"/>
          <w:spacing w:val="-8"/>
          <w:sz w:val="24"/>
          <w:highlight w:val="none"/>
          <w:u w:val="single"/>
          <w:lang w:val="en-US" w:eastAsia="zh-CN"/>
        </w:rPr>
        <w:t xml:space="preserve">          </w:t>
      </w:r>
      <w:r>
        <w:rPr>
          <w:rFonts w:hint="eastAsia" w:ascii="宋体" w:hAnsi="宋体" w:cs="宋体"/>
          <w:color w:val="auto"/>
          <w:spacing w:val="-8"/>
          <w:sz w:val="24"/>
          <w:highlight w:val="none"/>
          <w:lang w:val="en-US" w:eastAsia="zh-CN"/>
        </w:rPr>
        <w:t>元/亩/年(不得低于700元/亩/年，最多保留二位小数，否则作无效标处理)的投标报价承包</w:t>
      </w:r>
      <w:r>
        <w:rPr>
          <w:rFonts w:hint="eastAsia" w:ascii="宋体" w:hAnsi="宋体" w:cs="宋体"/>
          <w:color w:val="auto"/>
          <w:spacing w:val="-8"/>
          <w:sz w:val="24"/>
          <w:highlight w:val="none"/>
          <w:u w:val="single"/>
          <w:lang w:val="en-US" w:eastAsia="zh-CN"/>
        </w:rPr>
        <w:t>台州市开发大道东段南侧、聚海河以西种植土地出租（包含范围内的机耕路、过境电线杆及沟渠等设施）</w:t>
      </w:r>
      <w:r>
        <w:rPr>
          <w:rFonts w:hint="eastAsia" w:ascii="宋体" w:hAnsi="宋体" w:cs="宋体"/>
          <w:color w:val="auto"/>
          <w:spacing w:val="-8"/>
          <w:sz w:val="24"/>
          <w:highlight w:val="none"/>
          <w:lang w:val="en-US" w:eastAsia="zh-CN"/>
        </w:rPr>
        <w:t>（标段名称）。</w:t>
      </w:r>
      <w:r>
        <w:rPr>
          <w:rFonts w:hint="eastAsia" w:ascii="宋体" w:hAnsi="宋体" w:cs="宋体"/>
          <w:color w:val="auto"/>
          <w:sz w:val="24"/>
          <w:highlight w:val="none"/>
        </w:rPr>
        <w:t xml:space="preserve"> </w:t>
      </w:r>
    </w:p>
    <w:p w14:paraId="2072565B">
      <w:pPr>
        <w:snapToGrid w:val="0"/>
        <w:spacing w:line="480" w:lineRule="exact"/>
        <w:ind w:firstLine="487"/>
        <w:rPr>
          <w:rFonts w:ascii="宋体" w:hAnsi="宋体" w:cs="宋体"/>
          <w:color w:val="auto"/>
          <w:sz w:val="24"/>
          <w:highlight w:val="none"/>
        </w:rPr>
      </w:pPr>
      <w:r>
        <w:rPr>
          <w:rFonts w:hint="eastAsia" w:ascii="宋体" w:hAnsi="宋体" w:cs="宋体"/>
          <w:color w:val="auto"/>
          <w:sz w:val="24"/>
          <w:highlight w:val="none"/>
        </w:rPr>
        <w:t>二、一旦我方中标，在全部同意招标文件内容前提下，我方保证：</w:t>
      </w:r>
    </w:p>
    <w:p w14:paraId="57E408DD">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1、严格遵守招标文件和承包合同中的各项条款。</w:t>
      </w:r>
    </w:p>
    <w:p w14:paraId="62258081">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2、严格遵守招标过程中的各项规定，不搞破坏招标的各项活动。</w:t>
      </w:r>
    </w:p>
    <w:p w14:paraId="5AFB3DEC">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3、我方在经营活动中自觉接受卫生、环保、安全等各项检查。</w:t>
      </w:r>
    </w:p>
    <w:p w14:paraId="30D5D9B1">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4、本次招投标中无论是否中标，</w:t>
      </w:r>
      <w:r>
        <w:rPr>
          <w:rFonts w:hint="eastAsia" w:ascii="宋体" w:hAnsi="宋体" w:cs="宋体"/>
          <w:color w:val="auto"/>
          <w:sz w:val="24"/>
          <w:highlight w:val="none"/>
          <w:lang w:eastAsia="zh-CN"/>
        </w:rPr>
        <w:t>我方</w:t>
      </w:r>
      <w:r>
        <w:rPr>
          <w:rFonts w:hint="eastAsia" w:ascii="宋体" w:hAnsi="宋体" w:cs="宋体"/>
          <w:color w:val="auto"/>
          <w:sz w:val="24"/>
          <w:highlight w:val="none"/>
        </w:rPr>
        <w:t>的各项投标费用全部自行承担。</w:t>
      </w:r>
    </w:p>
    <w:p w14:paraId="0B7F75EA">
      <w:pPr>
        <w:snapToGrid w:val="0"/>
        <w:spacing w:line="480" w:lineRule="exact"/>
        <w:ind w:firstLine="453"/>
        <w:rPr>
          <w:rFonts w:ascii="宋体" w:hAnsi="宋体" w:cs="宋体"/>
          <w:color w:val="auto"/>
          <w:sz w:val="24"/>
          <w:highlight w:val="none"/>
        </w:rPr>
      </w:pPr>
      <w:r>
        <w:rPr>
          <w:rFonts w:hint="eastAsia" w:ascii="宋体" w:hAnsi="宋体" w:cs="宋体"/>
          <w:color w:val="auto"/>
          <w:sz w:val="24"/>
          <w:highlight w:val="none"/>
        </w:rPr>
        <w:t>三、如果我</w:t>
      </w:r>
      <w:r>
        <w:rPr>
          <w:rFonts w:hint="eastAsia" w:ascii="宋体" w:hAnsi="宋体" w:cs="宋体"/>
          <w:color w:val="auto"/>
          <w:sz w:val="24"/>
          <w:highlight w:val="none"/>
          <w:lang w:eastAsia="zh-CN"/>
        </w:rPr>
        <w:t>方</w:t>
      </w:r>
      <w:r>
        <w:rPr>
          <w:rFonts w:hint="eastAsia" w:ascii="宋体" w:hAnsi="宋体" w:cs="宋体"/>
          <w:color w:val="auto"/>
          <w:sz w:val="24"/>
          <w:highlight w:val="none"/>
        </w:rPr>
        <w:t>中标，我方将按照招标文件规定提交履约保证金，并根据招标文件要求承担相应责任。</w:t>
      </w:r>
    </w:p>
    <w:p w14:paraId="34E5685A">
      <w:pPr>
        <w:snapToGrid w:val="0"/>
        <w:spacing w:line="480" w:lineRule="exact"/>
        <w:ind w:firstLine="453"/>
        <w:rPr>
          <w:rFonts w:ascii="宋体" w:hAnsi="宋体" w:cs="宋体"/>
          <w:color w:val="auto"/>
          <w:sz w:val="24"/>
          <w:highlight w:val="none"/>
        </w:rPr>
      </w:pPr>
      <w:r>
        <w:rPr>
          <w:rFonts w:hint="eastAsia" w:ascii="宋体" w:hAnsi="宋体" w:cs="宋体"/>
          <w:color w:val="auto"/>
          <w:sz w:val="24"/>
          <w:highlight w:val="none"/>
        </w:rPr>
        <w:t>四、除非另外达成协议并生效，本投标文件将构成约束我们双方的合同。</w:t>
      </w:r>
    </w:p>
    <w:p w14:paraId="2C82A37F">
      <w:pPr>
        <w:snapToGrid w:val="0"/>
        <w:spacing w:line="480" w:lineRule="exact"/>
        <w:ind w:firstLine="720" w:firstLineChars="300"/>
        <w:jc w:val="left"/>
        <w:rPr>
          <w:rFonts w:ascii="宋体" w:hAnsi="宋体" w:cs="宋体"/>
          <w:color w:val="auto"/>
          <w:sz w:val="24"/>
          <w:highlight w:val="none"/>
        </w:rPr>
      </w:pPr>
    </w:p>
    <w:p w14:paraId="7ABB5A41">
      <w:pPr>
        <w:snapToGrid w:val="0"/>
        <w:spacing w:line="480" w:lineRule="exact"/>
        <w:ind w:firstLine="720" w:firstLineChars="300"/>
        <w:jc w:val="left"/>
        <w:rPr>
          <w:rFonts w:ascii="宋体" w:hAnsi="宋体" w:cs="宋体"/>
          <w:color w:val="auto"/>
          <w:sz w:val="24"/>
          <w:highlight w:val="none"/>
        </w:rPr>
      </w:pPr>
    </w:p>
    <w:p w14:paraId="1D5E928A">
      <w:pPr>
        <w:pStyle w:val="17"/>
        <w:jc w:val="center"/>
        <w:rPr>
          <w:rFonts w:hint="eastAsia"/>
          <w:color w:val="auto"/>
          <w:sz w:val="24"/>
          <w:highlight w:val="none"/>
        </w:rPr>
      </w:pPr>
      <w:r>
        <w:rPr>
          <w:rFonts w:hint="eastAsia"/>
          <w:color w:val="auto"/>
          <w:sz w:val="24"/>
          <w:highlight w:val="none"/>
          <w:lang w:val="en-US" w:eastAsia="zh-CN"/>
        </w:rPr>
        <w:t xml:space="preserve">                </w:t>
      </w:r>
      <w:r>
        <w:rPr>
          <w:rFonts w:hint="eastAsia"/>
          <w:color w:val="auto"/>
          <w:sz w:val="24"/>
          <w:highlight w:val="none"/>
        </w:rPr>
        <w:t>法定代表人（签字或盖章）：</w:t>
      </w:r>
    </w:p>
    <w:p w14:paraId="2E1A454B">
      <w:pPr>
        <w:pStyle w:val="17"/>
        <w:jc w:val="right"/>
        <w:rPr>
          <w:rFonts w:hint="eastAsia"/>
          <w:color w:val="auto"/>
          <w:sz w:val="24"/>
          <w:highlight w:val="none"/>
        </w:rPr>
      </w:pPr>
    </w:p>
    <w:p w14:paraId="0B3B9A41">
      <w:pPr>
        <w:pStyle w:val="17"/>
        <w:jc w:val="center"/>
        <w:rPr>
          <w:rFonts w:hint="eastAsia"/>
          <w:color w:val="auto"/>
          <w:sz w:val="24"/>
          <w:highlight w:val="none"/>
        </w:rPr>
      </w:pPr>
      <w:r>
        <w:rPr>
          <w:rFonts w:hint="eastAsia"/>
          <w:color w:val="auto"/>
          <w:sz w:val="24"/>
          <w:highlight w:val="none"/>
          <w:lang w:val="en-US" w:eastAsia="zh-CN"/>
        </w:rPr>
        <w:t xml:space="preserve">            </w:t>
      </w:r>
      <w:r>
        <w:rPr>
          <w:rFonts w:hint="eastAsia"/>
          <w:color w:val="auto"/>
          <w:sz w:val="24"/>
          <w:highlight w:val="none"/>
        </w:rPr>
        <w:t>投标人（盖单位公章）：</w:t>
      </w:r>
    </w:p>
    <w:p w14:paraId="528FA3E7">
      <w:pPr>
        <w:pStyle w:val="17"/>
        <w:jc w:val="right"/>
        <w:rPr>
          <w:rFonts w:hint="eastAsia"/>
          <w:color w:val="auto"/>
          <w:sz w:val="24"/>
          <w:highlight w:val="none"/>
        </w:rPr>
      </w:pPr>
    </w:p>
    <w:p w14:paraId="4918066B">
      <w:pPr>
        <w:pStyle w:val="17"/>
        <w:ind w:firstLine="4080" w:firstLineChars="1700"/>
        <w:jc w:val="both"/>
        <w:rPr>
          <w:color w:val="auto"/>
          <w:sz w:val="24"/>
          <w:highlight w:val="none"/>
        </w:rPr>
      </w:pPr>
      <w:r>
        <w:rPr>
          <w:rFonts w:hint="eastAsia"/>
          <w:color w:val="auto"/>
          <w:sz w:val="24"/>
          <w:highlight w:val="none"/>
        </w:rPr>
        <w:t>日期：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14:paraId="5AA4B261">
      <w:pPr>
        <w:pStyle w:val="24"/>
        <w:rPr>
          <w:rFonts w:hint="default"/>
          <w:color w:val="auto"/>
          <w:highlight w:val="none"/>
          <w:lang w:val="en-US" w:eastAsia="zh-CN"/>
        </w:rPr>
        <w:sectPr>
          <w:footerReference r:id="rId10" w:type="first"/>
          <w:footerReference r:id="rId9" w:type="default"/>
          <w:pgSz w:w="11906" w:h="16838"/>
          <w:pgMar w:top="1418" w:right="1474" w:bottom="1361" w:left="1474" w:header="851" w:footer="992" w:gutter="0"/>
          <w:pgNumType w:fmt="decimal" w:start="25"/>
          <w:cols w:space="720" w:num="1"/>
          <w:titlePg/>
          <w:docGrid w:type="lines" w:linePitch="312" w:charSpace="0"/>
        </w:sectPr>
      </w:pPr>
    </w:p>
    <w:p w14:paraId="75E5B73F">
      <w:pPr>
        <w:spacing w:line="360" w:lineRule="auto"/>
        <w:jc w:val="left"/>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eastAsia="zh-CN"/>
        </w:rPr>
        <w:t>、</w:t>
      </w:r>
      <w:r>
        <w:rPr>
          <w:rFonts w:hint="eastAsia" w:ascii="宋体" w:hAnsi="宋体"/>
          <w:b/>
          <w:color w:val="auto"/>
          <w:sz w:val="28"/>
          <w:highlight w:val="none"/>
          <w:lang w:val="en-US" w:eastAsia="zh-CN"/>
        </w:rPr>
        <w:t>图纸</w:t>
      </w:r>
    </w:p>
    <w:p w14:paraId="12E62490">
      <w:pPr>
        <w:pStyle w:val="24"/>
        <w:jc w:val="center"/>
        <w:rPr>
          <w:rFonts w:hint="eastAsia"/>
          <w:color w:val="auto"/>
          <w:highlight w:val="none"/>
          <w:lang w:val="en-US" w:eastAsia="zh-CN"/>
        </w:rPr>
      </w:pPr>
      <w:r>
        <w:rPr>
          <w:rFonts w:hint="eastAsia"/>
          <w:color w:val="auto"/>
          <w:highlight w:val="none"/>
          <w:lang w:val="en-US" w:eastAsia="zh-CN"/>
        </w:rPr>
        <w:drawing>
          <wp:inline distT="0" distB="0" distL="114300" distR="114300">
            <wp:extent cx="5906770" cy="4177030"/>
            <wp:effectExtent l="0" t="0" r="17780" b="13970"/>
            <wp:docPr id="5" name="图片 5" descr="一江山大道东段以北、聚海大道以东、开发大道东段以南地块880亩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一江山大道东段以北、聚海大道以东、开发大道东段以南地块880亩_00"/>
                    <pic:cNvPicPr>
                      <a:picLocks noChangeAspect="1"/>
                    </pic:cNvPicPr>
                  </pic:nvPicPr>
                  <pic:blipFill>
                    <a:blip r:embed="rId14"/>
                    <a:stretch>
                      <a:fillRect/>
                    </a:stretch>
                  </pic:blipFill>
                  <pic:spPr>
                    <a:xfrm>
                      <a:off x="0" y="0"/>
                      <a:ext cx="5906770" cy="4177030"/>
                    </a:xfrm>
                    <a:prstGeom prst="rect">
                      <a:avLst/>
                    </a:prstGeom>
                  </pic:spPr>
                </pic:pic>
              </a:graphicData>
            </a:graphic>
          </wp:inline>
        </w:drawing>
      </w:r>
    </w:p>
    <w:p w14:paraId="26458D95">
      <w:pPr>
        <w:pStyle w:val="24"/>
        <w:spacing w:line="480" w:lineRule="auto"/>
        <w:jc w:val="center"/>
        <w:rPr>
          <w:rFonts w:hint="default"/>
          <w:color w:val="auto"/>
          <w:highlight w:val="none"/>
          <w:lang w:val="en-US" w:eastAsia="zh-CN"/>
        </w:rPr>
      </w:pPr>
    </w:p>
    <w:sectPr>
      <w:footerReference r:id="rId12" w:type="first"/>
      <w:footerReference r:id="rId11" w:type="default"/>
      <w:pgSz w:w="11906" w:h="16838"/>
      <w:pgMar w:top="1418" w:right="1474" w:bottom="1361" w:left="1474" w:header="851" w:footer="992" w:gutter="0"/>
      <w:pgNumType w:fmt="decimal" w:start="29"/>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Helvetica">
    <w:panose1 w:val="020B0604020202020204"/>
    <w:charset w:val="00"/>
    <w:family w:val="swiss"/>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6666F">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0D1D91">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2F0D1D91">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A88DF">
    <w:pPr>
      <w:pStyle w:val="13"/>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14:paraId="3D8D3E94">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95F0A">
    <w:pPr>
      <w:pStyle w:val="13"/>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A0610F">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14:paraId="3BA0610F">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5231D">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256565CA">
                          <w:pPr>
                            <w:pStyle w:val="13"/>
                          </w:pPr>
                          <w:r>
                            <w:fldChar w:fldCharType="begin"/>
                          </w:r>
                          <w:r>
                            <w:instrText xml:space="preserve"> PAGE  \* MERGEFORMAT </w:instrText>
                          </w:r>
                          <w:r>
                            <w:fldChar w:fldCharType="separate"/>
                          </w:r>
                          <w:r>
                            <w:t>22</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qbtRfRAQAAqwMAAA4AAABkcnMvZTJvRG9jLnhtbK1TzY7TMBC+I/EO&#10;lu80bYVQFDVdIVWLkBCstPAAruM0lvynGbdJeQB4A05cuPNcfQ7GTtJdlsseuCQz4/E3830z3twM&#10;1rCTAtTe1Xy1WHKmnPSNdoeaf/l8+6rkDKNwjTDeqZqfFfKb7csXmz5Uau07bxoFjEAcVn2oeRdj&#10;qIoCZaeswIUPytFh68GKSC4cigZET+jWFOvl8k3Re2gCeKkQKbobD/mECM8B9G2rpdp5ebTKxREV&#10;lBGRKGGnA/Jt7rZtlYyf2hZVZKbmxDTmLxUhe5++xXYjqgOI0Gk5tSCe08ITTlZoR0WvUDsRBTuC&#10;/gfKagkefRsX0ttiJJIVIRar5RNt7jsRVOZCUmO4io7/D1Z+PN0B003NX6+WJIoTlmZ++fH98vP3&#10;5dc3ViaF+oAVJd6HO5g8JDPRHVqw6U9E2JBVPV9VVUNkkoKrcl2WCVvS2ewQTvFwPQDGd8pbloya&#10;A40tqylOHzCOqXNKqub8rTaG4qIy7q8AYY4RlWc/3U79jx0nKw77YaKx982Z6NNroKqdh6+c9bQL&#10;NXe0+pyZ946kTmszGzAb+9kQTtLFmo8NY3h7jNRdbjoVGysQ2eTQDDPtad/Skjz2c9bDG9v+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Cam7UX0QEAAKsDAAAOAAAAAAAAAAEAIAAAAB8BAABk&#10;cnMvZTJvRG9jLnhtbFBLBQYAAAAABgAGAFkBAABiBQAAAAA=&#10;">
              <v:fill on="f" focussize="0,0"/>
              <v:stroke on="f"/>
              <v:imagedata o:title=""/>
              <o:lock v:ext="edit" aspectratio="f"/>
              <v:textbox inset="0mm,0mm,0mm,0mm" style="mso-fit-shape-to-text:t;">
                <w:txbxContent>
                  <w:p w14:paraId="256565CA">
                    <w:pPr>
                      <w:pStyle w:val="13"/>
                    </w:pPr>
                    <w:r>
                      <w:fldChar w:fldCharType="begin"/>
                    </w:r>
                    <w:r>
                      <w:instrText xml:space="preserve"> PAGE  \* MERGEFORMAT </w:instrText>
                    </w:r>
                    <w:r>
                      <w:fldChar w:fldCharType="separate"/>
                    </w:r>
                    <w:r>
                      <w:t>22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48F59">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F4FD6">
                          <w:pPr>
                            <w:pStyle w:val="1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5FF4FD6">
                    <w:pPr>
                      <w:pStyle w:val="1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987CF">
    <w:pPr>
      <w:pStyle w:val="13"/>
      <w:tabs>
        <w:tab w:val="center" w:pos="4479"/>
        <w:tab w:val="clear" w:pos="4153"/>
      </w:tabs>
      <w:rPr>
        <w:rFonts w:hint="eastAsia"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5A1F91">
                          <w:pPr>
                            <w:pStyle w:val="13"/>
                            <w:rPr>
                              <w:rFonts w:hint="default" w:eastAsia="宋体"/>
                              <w:lang w:val="en-US" w:eastAsia="zh-CN"/>
                            </w:rPr>
                          </w:pPr>
                          <w:r>
                            <w:rPr>
                              <w:rFonts w:hint="eastAsia"/>
                              <w:lang w:val="en-US" w:eastAsia="zh-CN"/>
                            </w:rPr>
                            <w:t>23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55A1F91">
                    <w:pPr>
                      <w:pStyle w:val="13"/>
                      <w:rPr>
                        <w:rFonts w:hint="default" w:eastAsia="宋体"/>
                        <w:lang w:val="en-US" w:eastAsia="zh-CN"/>
                      </w:rPr>
                    </w:pPr>
                    <w:r>
                      <w:rPr>
                        <w:rFonts w:hint="eastAsia"/>
                        <w:lang w:val="en-US" w:eastAsia="zh-CN"/>
                      </w:rPr>
                      <w:t>23</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74391">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71F74">
                          <w:pPr>
                            <w:pStyle w:val="1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D071F74">
                    <w:pPr>
                      <w:pStyle w:val="1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6A9C4">
    <w:pPr>
      <w:pStyle w:val="13"/>
      <w:tabs>
        <w:tab w:val="center" w:pos="4479"/>
        <w:tab w:val="clear" w:pos="4153"/>
      </w:tabs>
      <w:rPr>
        <w:rFonts w:hint="eastAsia" w:eastAsia="宋体"/>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0CE08">
                          <w:pPr>
                            <w:pStyle w:val="13"/>
                            <w:rPr>
                              <w:rFonts w:hint="default" w:eastAsia="宋体"/>
                              <w:lang w:val="en-US" w:eastAsia="zh-CN"/>
                            </w:rPr>
                          </w:pPr>
                          <w:r>
                            <w:rPr>
                              <w:rFonts w:hint="eastAsia"/>
                              <w:lang w:val="en-US" w:eastAsia="zh-CN"/>
                            </w:rPr>
                            <w:t>24</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B50CE08">
                    <w:pPr>
                      <w:pStyle w:val="13"/>
                      <w:rPr>
                        <w:rFonts w:hint="default" w:eastAsia="宋体"/>
                        <w:lang w:val="en-US" w:eastAsia="zh-CN"/>
                      </w:rPr>
                    </w:pPr>
                    <w:r>
                      <w:rPr>
                        <w:rFonts w:hint="eastAsia"/>
                        <w:lang w:val="en-US" w:eastAsia="zh-CN"/>
                      </w:rPr>
                      <w:t>24</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751C5">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16EBB">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0F745E"/>
    <w:multiLevelType w:val="singleLevel"/>
    <w:tmpl w:val="C40F745E"/>
    <w:lvl w:ilvl="0" w:tentative="0">
      <w:start w:val="1"/>
      <w:numFmt w:val="decimal"/>
      <w:suff w:val="nothing"/>
      <w:lvlText w:val="（%1）"/>
      <w:lvlJc w:val="left"/>
    </w:lvl>
  </w:abstractNum>
  <w:abstractNum w:abstractNumId="1">
    <w:nsid w:val="00000006"/>
    <w:multiLevelType w:val="multilevel"/>
    <w:tmpl w:val="00000006"/>
    <w:lvl w:ilvl="0" w:tentative="0">
      <w:start w:val="1"/>
      <w:numFmt w:val="decimal"/>
      <w:pStyle w:val="5"/>
      <w:suff w:val="nothing"/>
      <w:lvlText w:val="%1."/>
      <w:lvlJc w:val="left"/>
      <w:pPr>
        <w:ind w:left="720" w:firstLine="0"/>
      </w:pPr>
      <w:rPr>
        <w:rFonts w:hint="eastAsia"/>
      </w:rPr>
    </w:lvl>
    <w:lvl w:ilvl="1" w:tentative="0">
      <w:start w:val="1"/>
      <w:numFmt w:val="decimal"/>
      <w:suff w:val="space"/>
      <w:lvlText w:val="%1.%2"/>
      <w:lvlJc w:val="left"/>
      <w:pPr>
        <w:ind w:left="142" w:firstLine="425"/>
      </w:pPr>
      <w:rPr>
        <w:rFonts w:hint="eastAsia"/>
        <w:b w:val="0"/>
        <w:i w:val="0"/>
      </w:rPr>
    </w:lvl>
    <w:lvl w:ilvl="2" w:tentative="0">
      <w:start w:val="1"/>
      <w:numFmt w:val="decimal"/>
      <w:lvlText w:val="%1.%2.%3."/>
      <w:lvlJc w:val="left"/>
      <w:pPr>
        <w:tabs>
          <w:tab w:val="left" w:pos="422"/>
        </w:tabs>
        <w:ind w:left="422" w:hanging="709"/>
      </w:pPr>
      <w:rPr>
        <w:rFonts w:hint="eastAsia"/>
      </w:rPr>
    </w:lvl>
    <w:lvl w:ilvl="3" w:tentative="0">
      <w:start w:val="1"/>
      <w:numFmt w:val="decimal"/>
      <w:lvlText w:val="%1.%2.%3.%4."/>
      <w:lvlJc w:val="left"/>
      <w:pPr>
        <w:tabs>
          <w:tab w:val="left" w:pos="564"/>
        </w:tabs>
        <w:ind w:left="564" w:hanging="851"/>
      </w:pPr>
      <w:rPr>
        <w:rFonts w:hint="eastAsia"/>
      </w:rPr>
    </w:lvl>
    <w:lvl w:ilvl="4" w:tentative="0">
      <w:start w:val="1"/>
      <w:numFmt w:val="decimal"/>
      <w:lvlText w:val="%1.%2.%3.%4.%5."/>
      <w:lvlJc w:val="left"/>
      <w:pPr>
        <w:tabs>
          <w:tab w:val="left" w:pos="705"/>
        </w:tabs>
        <w:ind w:left="705" w:hanging="992"/>
      </w:pPr>
      <w:rPr>
        <w:rFonts w:hint="eastAsia"/>
      </w:rPr>
    </w:lvl>
    <w:lvl w:ilvl="5" w:tentative="0">
      <w:start w:val="1"/>
      <w:numFmt w:val="decimal"/>
      <w:lvlText w:val="%1.%2.%3.%4.%5.%6."/>
      <w:lvlJc w:val="left"/>
      <w:pPr>
        <w:tabs>
          <w:tab w:val="left" w:pos="847"/>
        </w:tabs>
        <w:ind w:left="847" w:hanging="1134"/>
      </w:pPr>
      <w:rPr>
        <w:rFonts w:hint="eastAsia"/>
      </w:rPr>
    </w:lvl>
    <w:lvl w:ilvl="6" w:tentative="0">
      <w:start w:val="1"/>
      <w:numFmt w:val="decimal"/>
      <w:lvlText w:val="%1.%2.%3.%4.%5.%6.%7."/>
      <w:lvlJc w:val="left"/>
      <w:pPr>
        <w:tabs>
          <w:tab w:val="left" w:pos="989"/>
        </w:tabs>
        <w:ind w:left="989" w:hanging="1276"/>
      </w:pPr>
      <w:rPr>
        <w:rFonts w:hint="eastAsia"/>
      </w:rPr>
    </w:lvl>
    <w:lvl w:ilvl="7" w:tentative="0">
      <w:start w:val="1"/>
      <w:numFmt w:val="decimal"/>
      <w:lvlText w:val="%1.%2.%3.%4.%5.%6.%7.%8."/>
      <w:lvlJc w:val="left"/>
      <w:pPr>
        <w:tabs>
          <w:tab w:val="left" w:pos="1131"/>
        </w:tabs>
        <w:ind w:left="1131" w:hanging="1418"/>
      </w:pPr>
      <w:rPr>
        <w:rFonts w:hint="eastAsia"/>
      </w:rPr>
    </w:lvl>
    <w:lvl w:ilvl="8" w:tentative="0">
      <w:start w:val="1"/>
      <w:numFmt w:val="decimal"/>
      <w:lvlText w:val="%1.%2.%3.%4.%5.%6.%7.%8.%9."/>
      <w:lvlJc w:val="left"/>
      <w:pPr>
        <w:tabs>
          <w:tab w:val="left" w:pos="1272"/>
        </w:tabs>
        <w:ind w:left="1272" w:hanging="1559"/>
      </w:pPr>
      <w:rPr>
        <w:rFonts w:hint="eastAsia"/>
      </w:rPr>
    </w:lvl>
  </w:abstractNum>
  <w:abstractNum w:abstractNumId="2">
    <w:nsid w:val="36E9B8AA"/>
    <w:multiLevelType w:val="singleLevel"/>
    <w:tmpl w:val="36E9B8AA"/>
    <w:lvl w:ilvl="0" w:tentative="0">
      <w:start w:val="1"/>
      <w:numFmt w:val="decimal"/>
      <w:suff w:val="nothing"/>
      <w:lvlText w:val="（%1）"/>
      <w:lvlJc w:val="left"/>
    </w:lvl>
  </w:abstractNum>
  <w:abstractNum w:abstractNumId="3">
    <w:nsid w:val="42C4FB1F"/>
    <w:multiLevelType w:val="singleLevel"/>
    <w:tmpl w:val="42C4FB1F"/>
    <w:lvl w:ilvl="0" w:tentative="0">
      <w:start w:val="3"/>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numRestart w:val="eachPage"/>
  </w:footnotePr>
  <w:endnotePr>
    <w:numRestart w:val="eachSect"/>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OTRlNDQwN2RiMGI2ODUyYWJjZmU0NTlmYTYzZWEifQ=="/>
    <w:docVar w:name="KSO_WPS_MARK_KEY" w:val="3727ce13-0b62-4787-a722-dce356e38fbc"/>
  </w:docVars>
  <w:rsids>
    <w:rsidRoot w:val="008953AC"/>
    <w:rsid w:val="0000161D"/>
    <w:rsid w:val="000040F5"/>
    <w:rsid w:val="00022E0F"/>
    <w:rsid w:val="00024C85"/>
    <w:rsid w:val="00046699"/>
    <w:rsid w:val="00053D8A"/>
    <w:rsid w:val="000673F8"/>
    <w:rsid w:val="00097C99"/>
    <w:rsid w:val="000A6348"/>
    <w:rsid w:val="000B573C"/>
    <w:rsid w:val="000B5CDC"/>
    <w:rsid w:val="000E6660"/>
    <w:rsid w:val="000F6C82"/>
    <w:rsid w:val="001113B3"/>
    <w:rsid w:val="001223EA"/>
    <w:rsid w:val="001243B8"/>
    <w:rsid w:val="00132B29"/>
    <w:rsid w:val="001451E6"/>
    <w:rsid w:val="00162B8E"/>
    <w:rsid w:val="00187F55"/>
    <w:rsid w:val="001E0B90"/>
    <w:rsid w:val="002024F0"/>
    <w:rsid w:val="00206FC4"/>
    <w:rsid w:val="00221315"/>
    <w:rsid w:val="00234103"/>
    <w:rsid w:val="00263C0F"/>
    <w:rsid w:val="002917FA"/>
    <w:rsid w:val="00291AFA"/>
    <w:rsid w:val="002A1344"/>
    <w:rsid w:val="0035727F"/>
    <w:rsid w:val="00384C34"/>
    <w:rsid w:val="00386D20"/>
    <w:rsid w:val="003B343A"/>
    <w:rsid w:val="003D0021"/>
    <w:rsid w:val="004056D7"/>
    <w:rsid w:val="00443541"/>
    <w:rsid w:val="004A0B64"/>
    <w:rsid w:val="004A2904"/>
    <w:rsid w:val="004B790C"/>
    <w:rsid w:val="004C5189"/>
    <w:rsid w:val="004F08DD"/>
    <w:rsid w:val="005042B0"/>
    <w:rsid w:val="00571720"/>
    <w:rsid w:val="005A0231"/>
    <w:rsid w:val="005E3015"/>
    <w:rsid w:val="00614F01"/>
    <w:rsid w:val="006323E6"/>
    <w:rsid w:val="00633FF0"/>
    <w:rsid w:val="006551B8"/>
    <w:rsid w:val="00661F64"/>
    <w:rsid w:val="00675FA8"/>
    <w:rsid w:val="00684D77"/>
    <w:rsid w:val="006A29DC"/>
    <w:rsid w:val="006A3C6F"/>
    <w:rsid w:val="006B4838"/>
    <w:rsid w:val="006E47A1"/>
    <w:rsid w:val="00705714"/>
    <w:rsid w:val="007202E6"/>
    <w:rsid w:val="007A122B"/>
    <w:rsid w:val="007B6001"/>
    <w:rsid w:val="007D2D44"/>
    <w:rsid w:val="00824B3C"/>
    <w:rsid w:val="00874687"/>
    <w:rsid w:val="008773A2"/>
    <w:rsid w:val="008953AC"/>
    <w:rsid w:val="008D76E0"/>
    <w:rsid w:val="008F20DB"/>
    <w:rsid w:val="0091331C"/>
    <w:rsid w:val="009249F2"/>
    <w:rsid w:val="00925C5C"/>
    <w:rsid w:val="00932816"/>
    <w:rsid w:val="00977B14"/>
    <w:rsid w:val="009929D2"/>
    <w:rsid w:val="009D4DFE"/>
    <w:rsid w:val="00A201BD"/>
    <w:rsid w:val="00A63A5A"/>
    <w:rsid w:val="00B326CB"/>
    <w:rsid w:val="00B44B3D"/>
    <w:rsid w:val="00B50A1F"/>
    <w:rsid w:val="00B70951"/>
    <w:rsid w:val="00BB14B3"/>
    <w:rsid w:val="00BB2AEB"/>
    <w:rsid w:val="00C0529B"/>
    <w:rsid w:val="00C76A50"/>
    <w:rsid w:val="00C91DC2"/>
    <w:rsid w:val="00C96023"/>
    <w:rsid w:val="00C97AD2"/>
    <w:rsid w:val="00CC5C4D"/>
    <w:rsid w:val="00CE4580"/>
    <w:rsid w:val="00CE51E4"/>
    <w:rsid w:val="00CF2FE2"/>
    <w:rsid w:val="00D042A4"/>
    <w:rsid w:val="00D16CE1"/>
    <w:rsid w:val="00D225CB"/>
    <w:rsid w:val="00D3750B"/>
    <w:rsid w:val="00D67B2D"/>
    <w:rsid w:val="00DF57BE"/>
    <w:rsid w:val="00E41C68"/>
    <w:rsid w:val="00EB4711"/>
    <w:rsid w:val="00EC4EAC"/>
    <w:rsid w:val="00EF4AE4"/>
    <w:rsid w:val="00F01150"/>
    <w:rsid w:val="00F24B0C"/>
    <w:rsid w:val="00F31467"/>
    <w:rsid w:val="00F52B3E"/>
    <w:rsid w:val="00F93A20"/>
    <w:rsid w:val="00FA3A0B"/>
    <w:rsid w:val="00FB48BF"/>
    <w:rsid w:val="00FC0EC6"/>
    <w:rsid w:val="00FE015D"/>
    <w:rsid w:val="00FE3B9A"/>
    <w:rsid w:val="01453E77"/>
    <w:rsid w:val="015A1084"/>
    <w:rsid w:val="022D115B"/>
    <w:rsid w:val="024E4B4B"/>
    <w:rsid w:val="030B6598"/>
    <w:rsid w:val="038E2770"/>
    <w:rsid w:val="03E1775F"/>
    <w:rsid w:val="04253689"/>
    <w:rsid w:val="045B09ED"/>
    <w:rsid w:val="04610993"/>
    <w:rsid w:val="04633D09"/>
    <w:rsid w:val="04C370F3"/>
    <w:rsid w:val="05445D91"/>
    <w:rsid w:val="054A6B59"/>
    <w:rsid w:val="059D7E63"/>
    <w:rsid w:val="059F40D0"/>
    <w:rsid w:val="05B57E60"/>
    <w:rsid w:val="05DE0F19"/>
    <w:rsid w:val="06361B7E"/>
    <w:rsid w:val="0639166E"/>
    <w:rsid w:val="06430990"/>
    <w:rsid w:val="06884022"/>
    <w:rsid w:val="06BA1A15"/>
    <w:rsid w:val="06F41D73"/>
    <w:rsid w:val="074774D9"/>
    <w:rsid w:val="077A2867"/>
    <w:rsid w:val="07C02047"/>
    <w:rsid w:val="08145EEF"/>
    <w:rsid w:val="08FF26FB"/>
    <w:rsid w:val="090C5F64"/>
    <w:rsid w:val="09B5725D"/>
    <w:rsid w:val="09D05E45"/>
    <w:rsid w:val="0A084F9A"/>
    <w:rsid w:val="0A4F76B2"/>
    <w:rsid w:val="0A7113D6"/>
    <w:rsid w:val="0A7B07B6"/>
    <w:rsid w:val="0AAB0D8C"/>
    <w:rsid w:val="0B1D50BA"/>
    <w:rsid w:val="0B2E00F7"/>
    <w:rsid w:val="0B662F05"/>
    <w:rsid w:val="0BF73B5D"/>
    <w:rsid w:val="0BFC73C5"/>
    <w:rsid w:val="0C183FF9"/>
    <w:rsid w:val="0C3E0D43"/>
    <w:rsid w:val="0C5F0057"/>
    <w:rsid w:val="0C8F24D0"/>
    <w:rsid w:val="0CF67BE1"/>
    <w:rsid w:val="0D1644B7"/>
    <w:rsid w:val="0E6D45AA"/>
    <w:rsid w:val="0E7538C7"/>
    <w:rsid w:val="0F5512C6"/>
    <w:rsid w:val="0F5B7254"/>
    <w:rsid w:val="0F8218EB"/>
    <w:rsid w:val="0F931DEF"/>
    <w:rsid w:val="0F947E99"/>
    <w:rsid w:val="0FBD6E6C"/>
    <w:rsid w:val="101E410D"/>
    <w:rsid w:val="10AD5132"/>
    <w:rsid w:val="11CB5870"/>
    <w:rsid w:val="12001794"/>
    <w:rsid w:val="129E3D0A"/>
    <w:rsid w:val="12E374CE"/>
    <w:rsid w:val="1323348A"/>
    <w:rsid w:val="13243D49"/>
    <w:rsid w:val="13370CE3"/>
    <w:rsid w:val="13A45249"/>
    <w:rsid w:val="141C6825"/>
    <w:rsid w:val="142C048D"/>
    <w:rsid w:val="148443FC"/>
    <w:rsid w:val="149C34F4"/>
    <w:rsid w:val="14AF011D"/>
    <w:rsid w:val="14AF256D"/>
    <w:rsid w:val="14B615D3"/>
    <w:rsid w:val="14C55B20"/>
    <w:rsid w:val="14E54E9B"/>
    <w:rsid w:val="15C251DC"/>
    <w:rsid w:val="15C80C85"/>
    <w:rsid w:val="15ED22D8"/>
    <w:rsid w:val="15F12D3F"/>
    <w:rsid w:val="164E6A70"/>
    <w:rsid w:val="16781D3E"/>
    <w:rsid w:val="167A7865"/>
    <w:rsid w:val="16965497"/>
    <w:rsid w:val="16A448E1"/>
    <w:rsid w:val="16C44F84"/>
    <w:rsid w:val="16F2179D"/>
    <w:rsid w:val="175E7D00"/>
    <w:rsid w:val="176127D3"/>
    <w:rsid w:val="17DB4BA4"/>
    <w:rsid w:val="17EC04BB"/>
    <w:rsid w:val="18B661E9"/>
    <w:rsid w:val="18DB573C"/>
    <w:rsid w:val="18E218AC"/>
    <w:rsid w:val="196F7429"/>
    <w:rsid w:val="199C5F2A"/>
    <w:rsid w:val="19A0570A"/>
    <w:rsid w:val="1A491A28"/>
    <w:rsid w:val="1AA650CC"/>
    <w:rsid w:val="1AAE6FFB"/>
    <w:rsid w:val="1AE300CE"/>
    <w:rsid w:val="1B441415"/>
    <w:rsid w:val="1B5763C6"/>
    <w:rsid w:val="1BE063BC"/>
    <w:rsid w:val="1BEC4D61"/>
    <w:rsid w:val="1BF911B1"/>
    <w:rsid w:val="1C1E465D"/>
    <w:rsid w:val="1C4526C3"/>
    <w:rsid w:val="1C481262"/>
    <w:rsid w:val="1CAE2016"/>
    <w:rsid w:val="1D05392E"/>
    <w:rsid w:val="1D1316E8"/>
    <w:rsid w:val="1D320E99"/>
    <w:rsid w:val="1D372FAB"/>
    <w:rsid w:val="1D634765"/>
    <w:rsid w:val="1DAC006F"/>
    <w:rsid w:val="1E35503E"/>
    <w:rsid w:val="1E7159F1"/>
    <w:rsid w:val="1F585672"/>
    <w:rsid w:val="1F731AF6"/>
    <w:rsid w:val="1FA57A00"/>
    <w:rsid w:val="1FCF0C21"/>
    <w:rsid w:val="1FD61D13"/>
    <w:rsid w:val="1FEC3AE3"/>
    <w:rsid w:val="1FF70178"/>
    <w:rsid w:val="20044EB3"/>
    <w:rsid w:val="20845E0F"/>
    <w:rsid w:val="20B322F1"/>
    <w:rsid w:val="20E320BE"/>
    <w:rsid w:val="21BE7580"/>
    <w:rsid w:val="220C58AE"/>
    <w:rsid w:val="22346735"/>
    <w:rsid w:val="225E5CFB"/>
    <w:rsid w:val="2296329D"/>
    <w:rsid w:val="229879F0"/>
    <w:rsid w:val="234D5F08"/>
    <w:rsid w:val="23534605"/>
    <w:rsid w:val="23C5439D"/>
    <w:rsid w:val="23FA369A"/>
    <w:rsid w:val="23FF0E69"/>
    <w:rsid w:val="24057CE2"/>
    <w:rsid w:val="240B2444"/>
    <w:rsid w:val="242258D5"/>
    <w:rsid w:val="2441524A"/>
    <w:rsid w:val="245707FE"/>
    <w:rsid w:val="248C5333"/>
    <w:rsid w:val="24B34DD1"/>
    <w:rsid w:val="24F63393"/>
    <w:rsid w:val="25227A45"/>
    <w:rsid w:val="25C1725E"/>
    <w:rsid w:val="265C0D35"/>
    <w:rsid w:val="26865DB2"/>
    <w:rsid w:val="2707408F"/>
    <w:rsid w:val="27282B77"/>
    <w:rsid w:val="273B64DF"/>
    <w:rsid w:val="278A3680"/>
    <w:rsid w:val="27BE467A"/>
    <w:rsid w:val="27DC212D"/>
    <w:rsid w:val="27E73A2B"/>
    <w:rsid w:val="27F531EF"/>
    <w:rsid w:val="284D4DD9"/>
    <w:rsid w:val="28D9083E"/>
    <w:rsid w:val="29235B3A"/>
    <w:rsid w:val="293F0B3B"/>
    <w:rsid w:val="295B3526"/>
    <w:rsid w:val="29AB614E"/>
    <w:rsid w:val="29BF1010"/>
    <w:rsid w:val="2A4E0A0E"/>
    <w:rsid w:val="2A685C4B"/>
    <w:rsid w:val="2A8D4D24"/>
    <w:rsid w:val="2A9943B2"/>
    <w:rsid w:val="2AAF3B29"/>
    <w:rsid w:val="2AE915F9"/>
    <w:rsid w:val="2B3E6C5B"/>
    <w:rsid w:val="2B836D64"/>
    <w:rsid w:val="2B8E1683"/>
    <w:rsid w:val="2BB91563"/>
    <w:rsid w:val="2BE315B0"/>
    <w:rsid w:val="2BF0264B"/>
    <w:rsid w:val="2C325EBD"/>
    <w:rsid w:val="2C371465"/>
    <w:rsid w:val="2C484235"/>
    <w:rsid w:val="2C542B8F"/>
    <w:rsid w:val="2C932FD6"/>
    <w:rsid w:val="2CD3467D"/>
    <w:rsid w:val="2D105609"/>
    <w:rsid w:val="2D300825"/>
    <w:rsid w:val="2D433BC6"/>
    <w:rsid w:val="2D595FCE"/>
    <w:rsid w:val="2DA72AFE"/>
    <w:rsid w:val="2DFB01CE"/>
    <w:rsid w:val="2E8157DC"/>
    <w:rsid w:val="2E913546"/>
    <w:rsid w:val="2ECF253A"/>
    <w:rsid w:val="2EF048BB"/>
    <w:rsid w:val="2F1B3392"/>
    <w:rsid w:val="2F3B6E03"/>
    <w:rsid w:val="2F5561B7"/>
    <w:rsid w:val="2F9A02B6"/>
    <w:rsid w:val="2FE04785"/>
    <w:rsid w:val="301B57BD"/>
    <w:rsid w:val="30A97F30"/>
    <w:rsid w:val="30C47C02"/>
    <w:rsid w:val="30D04F5E"/>
    <w:rsid w:val="30EE7533"/>
    <w:rsid w:val="324C4353"/>
    <w:rsid w:val="324E3C27"/>
    <w:rsid w:val="33812EF9"/>
    <w:rsid w:val="33C33478"/>
    <w:rsid w:val="33CE0F67"/>
    <w:rsid w:val="33DD7A09"/>
    <w:rsid w:val="34152897"/>
    <w:rsid w:val="343368DA"/>
    <w:rsid w:val="34514978"/>
    <w:rsid w:val="34675474"/>
    <w:rsid w:val="35335357"/>
    <w:rsid w:val="354A0CB8"/>
    <w:rsid w:val="35A70B72"/>
    <w:rsid w:val="3619291F"/>
    <w:rsid w:val="36536BFD"/>
    <w:rsid w:val="3653763E"/>
    <w:rsid w:val="36965B9D"/>
    <w:rsid w:val="36B349A1"/>
    <w:rsid w:val="371A00B9"/>
    <w:rsid w:val="373A6E70"/>
    <w:rsid w:val="37667C65"/>
    <w:rsid w:val="37F37E84"/>
    <w:rsid w:val="38127C22"/>
    <w:rsid w:val="38163E6F"/>
    <w:rsid w:val="3845787B"/>
    <w:rsid w:val="389961F3"/>
    <w:rsid w:val="38F123E6"/>
    <w:rsid w:val="390A1E92"/>
    <w:rsid w:val="39331E17"/>
    <w:rsid w:val="3A8B353F"/>
    <w:rsid w:val="3A946897"/>
    <w:rsid w:val="3ACA3128"/>
    <w:rsid w:val="3AEF1D20"/>
    <w:rsid w:val="3B6614D3"/>
    <w:rsid w:val="3B6723B6"/>
    <w:rsid w:val="3B8164DB"/>
    <w:rsid w:val="3BCA2BA0"/>
    <w:rsid w:val="3BDF83AF"/>
    <w:rsid w:val="3BF9056D"/>
    <w:rsid w:val="3C061DAC"/>
    <w:rsid w:val="3C7B6C5E"/>
    <w:rsid w:val="3C97039D"/>
    <w:rsid w:val="3CEC3B0E"/>
    <w:rsid w:val="3D4520CB"/>
    <w:rsid w:val="3D695DB9"/>
    <w:rsid w:val="3D7F0CC5"/>
    <w:rsid w:val="3D8466AB"/>
    <w:rsid w:val="3DBD17B8"/>
    <w:rsid w:val="3F487C50"/>
    <w:rsid w:val="3F7D31EC"/>
    <w:rsid w:val="3F9F48BC"/>
    <w:rsid w:val="3FAE3F57"/>
    <w:rsid w:val="3FC47117"/>
    <w:rsid w:val="401A309F"/>
    <w:rsid w:val="40206285"/>
    <w:rsid w:val="40F53FEC"/>
    <w:rsid w:val="41195D48"/>
    <w:rsid w:val="412669CE"/>
    <w:rsid w:val="41447C62"/>
    <w:rsid w:val="416C231C"/>
    <w:rsid w:val="419021E9"/>
    <w:rsid w:val="41FC2203"/>
    <w:rsid w:val="420056A6"/>
    <w:rsid w:val="42246753"/>
    <w:rsid w:val="42293D69"/>
    <w:rsid w:val="423F358D"/>
    <w:rsid w:val="425151CA"/>
    <w:rsid w:val="42BD58F1"/>
    <w:rsid w:val="42C8712B"/>
    <w:rsid w:val="42CF2B62"/>
    <w:rsid w:val="430B16C1"/>
    <w:rsid w:val="43247306"/>
    <w:rsid w:val="43AA54E6"/>
    <w:rsid w:val="43DD6D2E"/>
    <w:rsid w:val="43EC32A0"/>
    <w:rsid w:val="43F46BD1"/>
    <w:rsid w:val="44AE0556"/>
    <w:rsid w:val="44FA25EC"/>
    <w:rsid w:val="45050ADD"/>
    <w:rsid w:val="456574BD"/>
    <w:rsid w:val="45943291"/>
    <w:rsid w:val="45C22AE7"/>
    <w:rsid w:val="46024FFD"/>
    <w:rsid w:val="46456C98"/>
    <w:rsid w:val="464C0026"/>
    <w:rsid w:val="46C65C0E"/>
    <w:rsid w:val="46DF0E9A"/>
    <w:rsid w:val="46F247F2"/>
    <w:rsid w:val="470B0E9D"/>
    <w:rsid w:val="473A4323"/>
    <w:rsid w:val="47881FFA"/>
    <w:rsid w:val="47941F36"/>
    <w:rsid w:val="47A3011A"/>
    <w:rsid w:val="47EF335F"/>
    <w:rsid w:val="48734BE0"/>
    <w:rsid w:val="487C044E"/>
    <w:rsid w:val="48822DA1"/>
    <w:rsid w:val="489A0A33"/>
    <w:rsid w:val="48BF4D6C"/>
    <w:rsid w:val="48CB76C5"/>
    <w:rsid w:val="491954EF"/>
    <w:rsid w:val="49205637"/>
    <w:rsid w:val="49482071"/>
    <w:rsid w:val="497A68DE"/>
    <w:rsid w:val="4A2D4613"/>
    <w:rsid w:val="4A9B61B7"/>
    <w:rsid w:val="4AD45146"/>
    <w:rsid w:val="4B0C4FD6"/>
    <w:rsid w:val="4B3A0D95"/>
    <w:rsid w:val="4BEB6533"/>
    <w:rsid w:val="4C2C2DD4"/>
    <w:rsid w:val="4C2D4456"/>
    <w:rsid w:val="4C3457E4"/>
    <w:rsid w:val="4C8C73CE"/>
    <w:rsid w:val="4C92075D"/>
    <w:rsid w:val="4CA55CA6"/>
    <w:rsid w:val="4CB6723F"/>
    <w:rsid w:val="4CC02769"/>
    <w:rsid w:val="4CF877ED"/>
    <w:rsid w:val="4D0C6761"/>
    <w:rsid w:val="4D467EC5"/>
    <w:rsid w:val="4D66040A"/>
    <w:rsid w:val="4DC33854"/>
    <w:rsid w:val="4DCB03CA"/>
    <w:rsid w:val="4DD7220E"/>
    <w:rsid w:val="4DED0D83"/>
    <w:rsid w:val="4E925A93"/>
    <w:rsid w:val="4F351F9F"/>
    <w:rsid w:val="50270AD6"/>
    <w:rsid w:val="504B4D95"/>
    <w:rsid w:val="5066408E"/>
    <w:rsid w:val="509A4F5E"/>
    <w:rsid w:val="50C51101"/>
    <w:rsid w:val="50F46C84"/>
    <w:rsid w:val="510C32BB"/>
    <w:rsid w:val="512F6441"/>
    <w:rsid w:val="51A30CAF"/>
    <w:rsid w:val="51F94933"/>
    <w:rsid w:val="52AA6800"/>
    <w:rsid w:val="535F0ED5"/>
    <w:rsid w:val="536A2433"/>
    <w:rsid w:val="53807561"/>
    <w:rsid w:val="53D77AC9"/>
    <w:rsid w:val="53EF5B15"/>
    <w:rsid w:val="53F536DE"/>
    <w:rsid w:val="544242E9"/>
    <w:rsid w:val="54764C3B"/>
    <w:rsid w:val="54B66B4D"/>
    <w:rsid w:val="54C1399D"/>
    <w:rsid w:val="556B1E1E"/>
    <w:rsid w:val="559D089E"/>
    <w:rsid w:val="55EF4F8E"/>
    <w:rsid w:val="56417E01"/>
    <w:rsid w:val="56653CED"/>
    <w:rsid w:val="566E2784"/>
    <w:rsid w:val="56DA09B7"/>
    <w:rsid w:val="56DC53F6"/>
    <w:rsid w:val="56F42740"/>
    <w:rsid w:val="580F591E"/>
    <w:rsid w:val="584D36BF"/>
    <w:rsid w:val="58DC16DE"/>
    <w:rsid w:val="591141A9"/>
    <w:rsid w:val="596478EA"/>
    <w:rsid w:val="59D625D1"/>
    <w:rsid w:val="5A0C5FF2"/>
    <w:rsid w:val="5A1B3CDE"/>
    <w:rsid w:val="5A7C4F26"/>
    <w:rsid w:val="5A9A35FE"/>
    <w:rsid w:val="5AD84127"/>
    <w:rsid w:val="5B863B83"/>
    <w:rsid w:val="5B8F50C8"/>
    <w:rsid w:val="5BBB4F10"/>
    <w:rsid w:val="5BC5679E"/>
    <w:rsid w:val="5BD97B0B"/>
    <w:rsid w:val="5BE72873"/>
    <w:rsid w:val="5C0F3B78"/>
    <w:rsid w:val="5C25339C"/>
    <w:rsid w:val="5C55316E"/>
    <w:rsid w:val="5C853E3A"/>
    <w:rsid w:val="5D0E3E30"/>
    <w:rsid w:val="5D7057B5"/>
    <w:rsid w:val="5DF96DDF"/>
    <w:rsid w:val="5E0A1E55"/>
    <w:rsid w:val="5E16381E"/>
    <w:rsid w:val="5E2F405E"/>
    <w:rsid w:val="5E7631F1"/>
    <w:rsid w:val="5E7D1C5B"/>
    <w:rsid w:val="5E892FE8"/>
    <w:rsid w:val="5E9B3931"/>
    <w:rsid w:val="5EB6258D"/>
    <w:rsid w:val="5EEF48CF"/>
    <w:rsid w:val="5F02208A"/>
    <w:rsid w:val="5F6A7B95"/>
    <w:rsid w:val="5F6E5059"/>
    <w:rsid w:val="5F7F7711"/>
    <w:rsid w:val="5F99004C"/>
    <w:rsid w:val="6005151A"/>
    <w:rsid w:val="60233A43"/>
    <w:rsid w:val="60646F2C"/>
    <w:rsid w:val="607A3298"/>
    <w:rsid w:val="60B62814"/>
    <w:rsid w:val="60BB607C"/>
    <w:rsid w:val="60E303C2"/>
    <w:rsid w:val="60F31CBA"/>
    <w:rsid w:val="611834CF"/>
    <w:rsid w:val="61722BDF"/>
    <w:rsid w:val="61860524"/>
    <w:rsid w:val="61AF5F59"/>
    <w:rsid w:val="61C91A08"/>
    <w:rsid w:val="621C0E48"/>
    <w:rsid w:val="630F26B0"/>
    <w:rsid w:val="633F2F95"/>
    <w:rsid w:val="6353032A"/>
    <w:rsid w:val="63732C3E"/>
    <w:rsid w:val="63E1229E"/>
    <w:rsid w:val="64646589"/>
    <w:rsid w:val="648D7D30"/>
    <w:rsid w:val="64EC388A"/>
    <w:rsid w:val="656476AA"/>
    <w:rsid w:val="656960A7"/>
    <w:rsid w:val="65E7034F"/>
    <w:rsid w:val="661E47AC"/>
    <w:rsid w:val="66425A00"/>
    <w:rsid w:val="666E0DD8"/>
    <w:rsid w:val="66797174"/>
    <w:rsid w:val="66874857"/>
    <w:rsid w:val="672A5D0A"/>
    <w:rsid w:val="679D028A"/>
    <w:rsid w:val="67B043F0"/>
    <w:rsid w:val="67DF4D46"/>
    <w:rsid w:val="68236FAB"/>
    <w:rsid w:val="6840337A"/>
    <w:rsid w:val="684572FE"/>
    <w:rsid w:val="68B82FC8"/>
    <w:rsid w:val="68FB0A46"/>
    <w:rsid w:val="69194288"/>
    <w:rsid w:val="692D1EC0"/>
    <w:rsid w:val="69877F2D"/>
    <w:rsid w:val="69B61AD7"/>
    <w:rsid w:val="6A324E2A"/>
    <w:rsid w:val="6ACF2E50"/>
    <w:rsid w:val="6B0B7C00"/>
    <w:rsid w:val="6B1765A5"/>
    <w:rsid w:val="6C3C4515"/>
    <w:rsid w:val="6C692E30"/>
    <w:rsid w:val="6CB43AA9"/>
    <w:rsid w:val="6DC522E8"/>
    <w:rsid w:val="6E2411A6"/>
    <w:rsid w:val="6E26667B"/>
    <w:rsid w:val="6F64080A"/>
    <w:rsid w:val="700E56C2"/>
    <w:rsid w:val="70470111"/>
    <w:rsid w:val="7093029F"/>
    <w:rsid w:val="70A94143"/>
    <w:rsid w:val="70BE1511"/>
    <w:rsid w:val="70DA2C20"/>
    <w:rsid w:val="70DF5DB7"/>
    <w:rsid w:val="70EC5417"/>
    <w:rsid w:val="71292381"/>
    <w:rsid w:val="714B51FB"/>
    <w:rsid w:val="71892FC6"/>
    <w:rsid w:val="72583BFF"/>
    <w:rsid w:val="73335F46"/>
    <w:rsid w:val="73373C88"/>
    <w:rsid w:val="73944FA0"/>
    <w:rsid w:val="73A87AF6"/>
    <w:rsid w:val="73EA2E2E"/>
    <w:rsid w:val="745D310E"/>
    <w:rsid w:val="748A75A5"/>
    <w:rsid w:val="74C2200A"/>
    <w:rsid w:val="74F811F5"/>
    <w:rsid w:val="751122B7"/>
    <w:rsid w:val="75554DE9"/>
    <w:rsid w:val="75962213"/>
    <w:rsid w:val="75AB248B"/>
    <w:rsid w:val="75C96409"/>
    <w:rsid w:val="75DFC63D"/>
    <w:rsid w:val="76465ACA"/>
    <w:rsid w:val="7654775F"/>
    <w:rsid w:val="7655416D"/>
    <w:rsid w:val="767D7C04"/>
    <w:rsid w:val="769A4C9C"/>
    <w:rsid w:val="76A2283E"/>
    <w:rsid w:val="76C7795F"/>
    <w:rsid w:val="76D62887"/>
    <w:rsid w:val="76DD68F5"/>
    <w:rsid w:val="76F6450C"/>
    <w:rsid w:val="77C67389"/>
    <w:rsid w:val="78026D64"/>
    <w:rsid w:val="78047EB1"/>
    <w:rsid w:val="780F7720"/>
    <w:rsid w:val="78D802CB"/>
    <w:rsid w:val="78E35D19"/>
    <w:rsid w:val="79F25F85"/>
    <w:rsid w:val="79FF775B"/>
    <w:rsid w:val="7A2D36EF"/>
    <w:rsid w:val="7AB31033"/>
    <w:rsid w:val="7AD65B35"/>
    <w:rsid w:val="7B16648C"/>
    <w:rsid w:val="7B8B4B71"/>
    <w:rsid w:val="7B933A26"/>
    <w:rsid w:val="7BDC1A94"/>
    <w:rsid w:val="7C263D76"/>
    <w:rsid w:val="7C3A19F0"/>
    <w:rsid w:val="7C547659"/>
    <w:rsid w:val="7CAD2DE1"/>
    <w:rsid w:val="7CEC6B1F"/>
    <w:rsid w:val="7D074D66"/>
    <w:rsid w:val="7D480840"/>
    <w:rsid w:val="7D5B0573"/>
    <w:rsid w:val="7D5D7D7B"/>
    <w:rsid w:val="7D9251FD"/>
    <w:rsid w:val="7DB36601"/>
    <w:rsid w:val="7DBC1FBF"/>
    <w:rsid w:val="7DBF07E9"/>
    <w:rsid w:val="7ECE44E7"/>
    <w:rsid w:val="7FBB179D"/>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120" w:after="120"/>
      <w:jc w:val="center"/>
      <w:outlineLvl w:val="0"/>
    </w:pPr>
    <w:rPr>
      <w:rFonts w:ascii="Arial" w:hAnsi="Arial" w:eastAsia="黑体"/>
      <w:b/>
      <w:kern w:val="44"/>
      <w:sz w:val="32"/>
      <w:szCs w:val="20"/>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2"/>
    <w:autoRedefine/>
    <w:qFormat/>
    <w:uiPriority w:val="0"/>
    <w:pPr>
      <w:keepNext/>
      <w:keepLines/>
      <w:numPr>
        <w:ilvl w:val="0"/>
        <w:numId w:val="1"/>
      </w:numPr>
      <w:tabs>
        <w:tab w:val="left" w:pos="287"/>
      </w:tabs>
      <w:spacing w:before="360" w:line="288" w:lineRule="auto"/>
      <w:jc w:val="left"/>
      <w:outlineLvl w:val="2"/>
    </w:pPr>
    <w:rPr>
      <w:rFonts w:ascii="Arial" w:hAnsi="Arial" w:eastAsia="黑体"/>
      <w:b/>
      <w:szCs w:val="20"/>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link w:val="25"/>
    <w:autoRedefine/>
    <w:qFormat/>
    <w:uiPriority w:val="0"/>
    <w:pPr>
      <w:ind w:firstLine="420"/>
    </w:pPr>
    <w:rPr>
      <w:rFonts w:eastAsia="仿宋_GB2312"/>
      <w:sz w:val="32"/>
      <w:szCs w:val="20"/>
    </w:rPr>
  </w:style>
  <w:style w:type="paragraph" w:styleId="6">
    <w:name w:val="annotation text"/>
    <w:basedOn w:val="1"/>
    <w:autoRedefine/>
    <w:qFormat/>
    <w:uiPriority w:val="0"/>
    <w:pPr>
      <w:jc w:val="left"/>
    </w:pPr>
  </w:style>
  <w:style w:type="paragraph" w:styleId="7">
    <w:name w:val="Body Text 3"/>
    <w:basedOn w:val="1"/>
    <w:link w:val="26"/>
    <w:autoRedefine/>
    <w:qFormat/>
    <w:uiPriority w:val="0"/>
    <w:pPr>
      <w:spacing w:after="120"/>
    </w:pPr>
    <w:rPr>
      <w:sz w:val="16"/>
      <w:szCs w:val="16"/>
    </w:rPr>
  </w:style>
  <w:style w:type="paragraph" w:styleId="8">
    <w:name w:val="Body Text"/>
    <w:basedOn w:val="1"/>
    <w:autoRedefine/>
    <w:qFormat/>
    <w:uiPriority w:val="0"/>
    <w:pPr>
      <w:spacing w:after="120"/>
    </w:pPr>
  </w:style>
  <w:style w:type="paragraph" w:styleId="9">
    <w:name w:val="Body Text Indent"/>
    <w:basedOn w:val="1"/>
    <w:next w:val="1"/>
    <w:autoRedefine/>
    <w:qFormat/>
    <w:uiPriority w:val="0"/>
    <w:pPr>
      <w:spacing w:after="120"/>
      <w:ind w:left="420" w:leftChars="200"/>
    </w:pPr>
  </w:style>
  <w:style w:type="paragraph" w:styleId="10">
    <w:name w:val="Plain Text"/>
    <w:basedOn w:val="1"/>
    <w:autoRedefine/>
    <w:qFormat/>
    <w:uiPriority w:val="0"/>
    <w:pPr>
      <w:spacing w:beforeLines="50" w:afterLines="50" w:line="400" w:lineRule="atLeast"/>
    </w:pPr>
    <w:rPr>
      <w:rFonts w:ascii="宋体" w:hAnsi="Courier New"/>
      <w:sz w:val="24"/>
    </w:rPr>
  </w:style>
  <w:style w:type="paragraph" w:styleId="11">
    <w:name w:val="Date"/>
    <w:basedOn w:val="1"/>
    <w:next w:val="1"/>
    <w:autoRedefine/>
    <w:qFormat/>
    <w:uiPriority w:val="0"/>
    <w:pPr>
      <w:ind w:left="2500" w:leftChars="2500"/>
    </w:pPr>
    <w:rPr>
      <w:rFonts w:ascii="Calibri" w:hAnsi="Calibri" w:eastAsia="楷体_GB2312" w:cs="宋体"/>
      <w:sz w:val="32"/>
      <w:szCs w:val="22"/>
    </w:rPr>
  </w:style>
  <w:style w:type="paragraph" w:styleId="12">
    <w:name w:val="Body Text Indent 2"/>
    <w:basedOn w:val="1"/>
    <w:autoRedefine/>
    <w:qFormat/>
    <w:uiPriority w:val="0"/>
    <w:pPr>
      <w:spacing w:after="120" w:line="480" w:lineRule="auto"/>
      <w:ind w:left="420" w:leftChars="200"/>
    </w:pPr>
  </w:style>
  <w:style w:type="paragraph" w:styleId="13">
    <w:name w:val="footer"/>
    <w:basedOn w:val="1"/>
    <w:link w:val="27"/>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16">
    <w:name w:val="Title"/>
    <w:basedOn w:val="1"/>
    <w:next w:val="1"/>
    <w:autoRedefine/>
    <w:qFormat/>
    <w:uiPriority w:val="0"/>
    <w:pPr>
      <w:spacing w:before="240" w:beforeLines="0" w:after="60" w:afterLines="0"/>
      <w:jc w:val="center"/>
      <w:outlineLvl w:val="0"/>
    </w:pPr>
    <w:rPr>
      <w:rFonts w:ascii="Cambria" w:hAnsi="Cambria" w:eastAsia="Cambria"/>
      <w:b/>
      <w:sz w:val="32"/>
      <w:szCs w:val="32"/>
    </w:rPr>
  </w:style>
  <w:style w:type="paragraph" w:styleId="17">
    <w:name w:val="Body Text First Indent 2"/>
    <w:basedOn w:val="9"/>
    <w:next w:val="1"/>
    <w:autoRedefine/>
    <w:qFormat/>
    <w:uiPriority w:val="0"/>
    <w:pPr>
      <w:ind w:firstLine="420"/>
    </w:pPr>
  </w:style>
  <w:style w:type="character" w:styleId="20">
    <w:name w:val="Strong"/>
    <w:basedOn w:val="19"/>
    <w:autoRedefine/>
    <w:qFormat/>
    <w:uiPriority w:val="0"/>
    <w:rPr>
      <w:b/>
    </w:rPr>
  </w:style>
  <w:style w:type="character" w:styleId="21">
    <w:name w:val="page number"/>
    <w:basedOn w:val="19"/>
    <w:autoRedefine/>
    <w:qFormat/>
    <w:uiPriority w:val="0"/>
  </w:style>
  <w:style w:type="character" w:styleId="22">
    <w:name w:val="Hyperlink"/>
    <w:basedOn w:val="19"/>
    <w:autoRedefine/>
    <w:qFormat/>
    <w:uiPriority w:val="0"/>
    <w:rPr>
      <w:color w:val="0000FF"/>
      <w:u w:val="single"/>
    </w:rPr>
  </w:style>
  <w:style w:type="paragraph" w:customStyle="1" w:styleId="23">
    <w:name w:val="签发人"/>
    <w:basedOn w:val="1"/>
    <w:autoRedefine/>
    <w:qFormat/>
    <w:uiPriority w:val="0"/>
    <w:rPr>
      <w:rFonts w:eastAsia="楷体"/>
      <w:sz w:val="32"/>
    </w:rPr>
  </w:style>
  <w:style w:type="paragraph" w:customStyle="1" w:styleId="2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5">
    <w:name w:val="正文缩进 Char"/>
    <w:link w:val="2"/>
    <w:autoRedefine/>
    <w:qFormat/>
    <w:uiPriority w:val="0"/>
    <w:rPr>
      <w:rFonts w:eastAsia="仿宋_GB2312"/>
      <w:kern w:val="2"/>
      <w:sz w:val="32"/>
      <w:lang w:val="en-US" w:eastAsia="zh-CN" w:bidi="ar-SA"/>
    </w:rPr>
  </w:style>
  <w:style w:type="character" w:customStyle="1" w:styleId="26">
    <w:name w:val="正文文本 3 Char"/>
    <w:link w:val="7"/>
    <w:autoRedefine/>
    <w:qFormat/>
    <w:uiPriority w:val="0"/>
    <w:rPr>
      <w:kern w:val="2"/>
      <w:sz w:val="16"/>
      <w:szCs w:val="16"/>
      <w:lang w:bidi="ar-SA"/>
    </w:rPr>
  </w:style>
  <w:style w:type="character" w:customStyle="1" w:styleId="27">
    <w:name w:val="页脚 Char"/>
    <w:link w:val="13"/>
    <w:autoRedefine/>
    <w:qFormat/>
    <w:uiPriority w:val="0"/>
    <w:rPr>
      <w:rFonts w:eastAsia="宋体"/>
      <w:kern w:val="2"/>
      <w:sz w:val="18"/>
      <w:szCs w:val="18"/>
      <w:lang w:val="en-US" w:eastAsia="zh-CN" w:bidi="ar-SA"/>
    </w:rPr>
  </w:style>
  <w:style w:type="paragraph" w:customStyle="1" w:styleId="28">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paragraph" w:customStyle="1" w:styleId="29">
    <w:name w:val="无间隔1"/>
    <w:autoRedefine/>
    <w:qFormat/>
    <w:uiPriority w:val="99"/>
    <w:pPr>
      <w:adjustRightInd w:val="0"/>
      <w:snapToGrid w:val="0"/>
    </w:pPr>
    <w:rPr>
      <w:rFonts w:ascii="Tahoma" w:hAnsi="Tahoma" w:eastAsia="微软雅黑" w:cs="宋体"/>
      <w:sz w:val="22"/>
      <w:szCs w:val="22"/>
      <w:lang w:val="en-US" w:eastAsia="zh-CN" w:bidi="ar-SA"/>
    </w:rPr>
  </w:style>
  <w:style w:type="paragraph" w:customStyle="1" w:styleId="30">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章正文"/>
    <w:basedOn w:val="1"/>
    <w:autoRedefine/>
    <w:qFormat/>
    <w:uiPriority w:val="0"/>
    <w:pPr>
      <w:spacing w:beforeLines="50" w:after="120" w:line="300" w:lineRule="auto"/>
      <w:ind w:firstLine="480"/>
    </w:pPr>
    <w:rPr>
      <w:rFonts w:ascii="Helvetica" w:hAnsi="Helvetica"/>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12258</Words>
  <Characters>12602</Characters>
  <Lines>79</Lines>
  <Paragraphs>22</Paragraphs>
  <TotalTime>63</TotalTime>
  <ScaleCrop>false</ScaleCrop>
  <LinksUpToDate>false</LinksUpToDate>
  <CharactersWithSpaces>13171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2023-04-14T11:28:00Z</dcterms:created>
  <dc:creator>Ken</dc:creator>
  <cp:lastModifiedBy>葛俊</cp:lastModifiedBy>
  <cp:lastPrinted>2024-10-16T06:39:00Z</cp:lastPrinted>
  <dcterms:modified xsi:type="dcterms:W3CDTF">2024-10-25T00:51:21Z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F77EC828CEBF4865859F5B7B27E725B3_13</vt:lpwstr>
  </property>
</Properties>
</file>