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DB2CC">
      <w:pPr>
        <w:widowControl/>
        <w:tabs>
          <w:tab w:val="left" w:pos="7653"/>
        </w:tabs>
        <w:snapToGrid w:val="0"/>
        <w:spacing w:line="360" w:lineRule="auto"/>
        <w:rPr>
          <w:rFonts w:hint="default" w:hAnsi="宋体" w:eastAsia="宋体" w:cs="宋体"/>
          <w:color w:val="auto"/>
          <w:kern w:val="0"/>
          <w:szCs w:val="21"/>
          <w:highlight w:val="none"/>
          <w:lang w:val="en-US" w:eastAsia="zh-CN"/>
        </w:rPr>
      </w:pPr>
    </w:p>
    <w:p w14:paraId="7D9805FF">
      <w:pPr>
        <w:pStyle w:val="3"/>
        <w:rPr>
          <w:rFonts w:hint="default"/>
          <w:color w:val="auto"/>
          <w:highlight w:val="none"/>
          <w:lang w:val="en-US" w:eastAsia="zh-CN"/>
        </w:rPr>
      </w:pPr>
    </w:p>
    <w:p w14:paraId="4D6E581E">
      <w:pPr>
        <w:widowControl/>
        <w:snapToGrid w:val="0"/>
        <w:spacing w:line="360" w:lineRule="auto"/>
        <w:jc w:val="center"/>
        <w:rPr>
          <w:rFonts w:hint="eastAsia" w:hAnsi="宋体" w:cs="宋体"/>
          <w:color w:val="auto"/>
          <w:kern w:val="0"/>
          <w:szCs w:val="21"/>
          <w:highlight w:val="none"/>
        </w:rPr>
      </w:pPr>
    </w:p>
    <w:p w14:paraId="2DC34354">
      <w:pPr>
        <w:widowControl/>
        <w:snapToGrid w:val="0"/>
        <w:spacing w:line="360" w:lineRule="auto"/>
        <w:jc w:val="center"/>
        <w:rPr>
          <w:rFonts w:hint="eastAsia" w:hAnsi="宋体" w:eastAsia="宋体" w:cs="宋体"/>
          <w:b/>
          <w:bCs/>
          <w:color w:val="auto"/>
          <w:kern w:val="0"/>
          <w:sz w:val="32"/>
          <w:szCs w:val="32"/>
          <w:highlight w:val="none"/>
          <w:lang w:eastAsia="zh-CN"/>
        </w:rPr>
      </w:pPr>
      <w:r>
        <w:rPr>
          <w:rFonts w:hint="eastAsia"/>
          <w:b/>
          <w:bCs/>
          <w:color w:val="auto"/>
          <w:sz w:val="36"/>
          <w:szCs w:val="40"/>
          <w:highlight w:val="none"/>
          <w:lang w:eastAsia="zh-CN"/>
        </w:rPr>
        <w:t>台州东茂观光农业开发有限公司2025年水稻秧苗采购（重新招标）</w:t>
      </w:r>
    </w:p>
    <w:p w14:paraId="4C6ECC78">
      <w:pPr>
        <w:widowControl/>
        <w:snapToGrid w:val="0"/>
        <w:spacing w:line="360" w:lineRule="auto"/>
        <w:jc w:val="center"/>
        <w:rPr>
          <w:rFonts w:hint="eastAsia"/>
          <w:b/>
          <w:bCs/>
          <w:color w:val="auto"/>
          <w:sz w:val="36"/>
          <w:szCs w:val="40"/>
          <w:highlight w:val="none"/>
          <w:lang w:eastAsia="zh-CN"/>
        </w:rPr>
      </w:pPr>
    </w:p>
    <w:p w14:paraId="64205D8C">
      <w:pPr>
        <w:widowControl/>
        <w:snapToGrid w:val="0"/>
        <w:spacing w:line="360" w:lineRule="auto"/>
        <w:jc w:val="center"/>
        <w:rPr>
          <w:rFonts w:hint="eastAsia"/>
          <w:b/>
          <w:bCs/>
          <w:color w:val="auto"/>
          <w:sz w:val="36"/>
          <w:szCs w:val="40"/>
          <w:highlight w:val="none"/>
          <w:lang w:eastAsia="zh-CN"/>
        </w:rPr>
      </w:pPr>
      <w:r>
        <w:rPr>
          <w:rFonts w:hint="eastAsia"/>
          <w:b/>
          <w:bCs/>
          <w:color w:val="auto"/>
          <w:sz w:val="36"/>
          <w:szCs w:val="40"/>
          <w:highlight w:val="none"/>
          <w:lang w:eastAsia="zh-CN"/>
        </w:rPr>
        <w:t>项目编号：QBJ2024251</w:t>
      </w:r>
    </w:p>
    <w:p w14:paraId="182AA6D0">
      <w:pPr>
        <w:widowControl/>
        <w:snapToGrid w:val="0"/>
        <w:spacing w:line="360" w:lineRule="auto"/>
        <w:jc w:val="center"/>
        <w:rPr>
          <w:rFonts w:hint="eastAsia" w:hAnsi="宋体" w:cs="宋体"/>
          <w:b/>
          <w:bCs/>
          <w:color w:val="auto"/>
          <w:kern w:val="0"/>
          <w:sz w:val="32"/>
          <w:szCs w:val="32"/>
          <w:highlight w:val="none"/>
        </w:rPr>
      </w:pPr>
    </w:p>
    <w:p w14:paraId="50E412B5">
      <w:pPr>
        <w:widowControl/>
        <w:snapToGrid w:val="0"/>
        <w:spacing w:line="360" w:lineRule="auto"/>
        <w:jc w:val="center"/>
        <w:rPr>
          <w:rFonts w:hint="eastAsia" w:hAnsi="宋体" w:cs="宋体"/>
          <w:b/>
          <w:bCs/>
          <w:color w:val="auto"/>
          <w:kern w:val="0"/>
          <w:sz w:val="72"/>
          <w:szCs w:val="72"/>
          <w:highlight w:val="none"/>
        </w:rPr>
      </w:pPr>
      <w:r>
        <w:rPr>
          <w:rFonts w:hint="eastAsia" w:hAnsi="宋体" w:cs="宋体"/>
          <w:b/>
          <w:bCs/>
          <w:color w:val="auto"/>
          <w:kern w:val="0"/>
          <w:sz w:val="72"/>
          <w:szCs w:val="72"/>
          <w:highlight w:val="none"/>
        </w:rPr>
        <w:t>招 标 文 件</w:t>
      </w:r>
    </w:p>
    <w:p w14:paraId="10D5D0A4">
      <w:pPr>
        <w:widowControl/>
        <w:snapToGrid w:val="0"/>
        <w:spacing w:line="360" w:lineRule="auto"/>
        <w:rPr>
          <w:rFonts w:hint="eastAsia" w:hAnsi="宋体" w:cs="宋体"/>
          <w:color w:val="auto"/>
          <w:kern w:val="0"/>
          <w:sz w:val="32"/>
          <w:szCs w:val="32"/>
          <w:highlight w:val="none"/>
        </w:rPr>
      </w:pPr>
    </w:p>
    <w:p w14:paraId="5414B05B">
      <w:pPr>
        <w:widowControl/>
        <w:snapToGrid w:val="0"/>
        <w:spacing w:line="360" w:lineRule="auto"/>
        <w:rPr>
          <w:rFonts w:hint="eastAsia" w:hAnsi="宋体" w:cs="宋体"/>
          <w:color w:val="auto"/>
          <w:kern w:val="0"/>
          <w:sz w:val="32"/>
          <w:szCs w:val="32"/>
          <w:highlight w:val="none"/>
        </w:rPr>
      </w:pPr>
    </w:p>
    <w:p w14:paraId="013DB8D6">
      <w:pPr>
        <w:widowControl/>
        <w:snapToGrid w:val="0"/>
        <w:spacing w:line="360" w:lineRule="auto"/>
        <w:ind w:left="718" w:leftChars="342" w:firstLine="640" w:firstLineChars="200"/>
        <w:rPr>
          <w:rFonts w:hint="eastAsia" w:hAnsi="宋体" w:cs="宋体"/>
          <w:color w:val="auto"/>
          <w:kern w:val="0"/>
          <w:sz w:val="32"/>
          <w:szCs w:val="32"/>
          <w:highlight w:val="none"/>
        </w:rPr>
      </w:pPr>
    </w:p>
    <w:p w14:paraId="4A7A3F55">
      <w:pPr>
        <w:widowControl/>
        <w:snapToGrid w:val="0"/>
        <w:spacing w:line="360" w:lineRule="auto"/>
        <w:ind w:left="718" w:leftChars="342" w:firstLine="640" w:firstLineChars="200"/>
        <w:rPr>
          <w:rFonts w:hint="eastAsia" w:hAnsi="宋体" w:cs="宋体"/>
          <w:color w:val="auto"/>
          <w:kern w:val="0"/>
          <w:sz w:val="32"/>
          <w:szCs w:val="32"/>
          <w:highlight w:val="none"/>
        </w:rPr>
      </w:pPr>
    </w:p>
    <w:p w14:paraId="19B25725">
      <w:pPr>
        <w:widowControl/>
        <w:snapToGrid w:val="0"/>
        <w:spacing w:line="360" w:lineRule="auto"/>
        <w:ind w:left="718" w:leftChars="342" w:firstLine="640" w:firstLineChars="200"/>
        <w:rPr>
          <w:rFonts w:hint="eastAsia" w:hAnsi="宋体" w:cs="宋体"/>
          <w:color w:val="auto"/>
          <w:kern w:val="0"/>
          <w:sz w:val="32"/>
          <w:szCs w:val="32"/>
          <w:highlight w:val="none"/>
        </w:rPr>
      </w:pPr>
    </w:p>
    <w:p w14:paraId="0CE16A13">
      <w:pPr>
        <w:widowControl/>
        <w:snapToGrid w:val="0"/>
        <w:spacing w:line="360" w:lineRule="auto"/>
        <w:ind w:left="718" w:leftChars="342" w:firstLine="640" w:firstLineChars="200"/>
        <w:rPr>
          <w:rFonts w:hint="eastAsia" w:hAnsi="宋体" w:cs="宋体"/>
          <w:color w:val="auto"/>
          <w:kern w:val="0"/>
          <w:sz w:val="32"/>
          <w:szCs w:val="32"/>
          <w:highlight w:val="none"/>
        </w:rPr>
      </w:pPr>
    </w:p>
    <w:p w14:paraId="696474B6">
      <w:pPr>
        <w:widowControl/>
        <w:snapToGrid w:val="0"/>
        <w:spacing w:line="360" w:lineRule="auto"/>
        <w:ind w:firstLine="1280" w:firstLineChars="400"/>
        <w:rPr>
          <w:rFonts w:hint="eastAsia" w:hAnsi="宋体" w:eastAsia="宋体" w:cs="宋体"/>
          <w:color w:val="auto"/>
          <w:kern w:val="0"/>
          <w:sz w:val="32"/>
          <w:szCs w:val="32"/>
          <w:highlight w:val="none"/>
          <w:lang w:eastAsia="zh-CN"/>
        </w:rPr>
      </w:pPr>
      <w:r>
        <w:rPr>
          <w:rFonts w:hint="eastAsia" w:hAnsi="宋体" w:cs="宋体"/>
          <w:color w:val="auto"/>
          <w:kern w:val="0"/>
          <w:sz w:val="32"/>
          <w:szCs w:val="32"/>
          <w:highlight w:val="none"/>
        </w:rPr>
        <w:t>招 标 人：</w:t>
      </w:r>
      <w:r>
        <w:rPr>
          <w:rFonts w:hint="eastAsia" w:hAnsi="宋体" w:cs="宋体"/>
          <w:color w:val="auto"/>
          <w:kern w:val="0"/>
          <w:sz w:val="32"/>
          <w:szCs w:val="32"/>
          <w:highlight w:val="none"/>
          <w:lang w:eastAsia="zh-CN"/>
        </w:rPr>
        <w:t>台州东茂观光农业开发有限公司</w:t>
      </w:r>
    </w:p>
    <w:p w14:paraId="416F9677">
      <w:pPr>
        <w:widowControl/>
        <w:snapToGrid w:val="0"/>
        <w:spacing w:line="360" w:lineRule="auto"/>
        <w:ind w:firstLine="1280" w:firstLineChars="400"/>
        <w:rPr>
          <w:rFonts w:hint="eastAsia" w:hAnsi="宋体" w:eastAsia="宋体" w:cs="宋体"/>
          <w:color w:val="auto"/>
          <w:kern w:val="0"/>
          <w:sz w:val="32"/>
          <w:szCs w:val="32"/>
          <w:highlight w:val="none"/>
          <w:lang w:val="en-US" w:eastAsia="zh-CN"/>
        </w:rPr>
      </w:pPr>
      <w:r>
        <w:rPr>
          <w:rFonts w:hint="eastAsia" w:hAnsi="宋体" w:cs="宋体"/>
          <w:color w:val="auto"/>
          <w:kern w:val="0"/>
          <w:sz w:val="32"/>
          <w:szCs w:val="32"/>
          <w:highlight w:val="none"/>
        </w:rPr>
        <w:t>联 系 人：</w:t>
      </w:r>
      <w:r>
        <w:rPr>
          <w:rFonts w:hint="eastAsia" w:hAnsi="宋体" w:cs="宋体"/>
          <w:color w:val="auto"/>
          <w:kern w:val="0"/>
          <w:sz w:val="32"/>
          <w:szCs w:val="32"/>
          <w:highlight w:val="none"/>
          <w:lang w:eastAsia="zh-CN"/>
        </w:rPr>
        <w:t>李先生</w:t>
      </w:r>
      <w:r>
        <w:rPr>
          <w:rFonts w:hint="eastAsia" w:hAnsi="宋体" w:cs="宋体"/>
          <w:color w:val="auto"/>
          <w:kern w:val="0"/>
          <w:sz w:val="32"/>
          <w:szCs w:val="32"/>
          <w:highlight w:val="none"/>
        </w:rPr>
        <w:t xml:space="preserve">   联系电话：</w:t>
      </w:r>
      <w:r>
        <w:rPr>
          <w:rFonts w:hint="eastAsia" w:hAnsi="宋体" w:cs="宋体"/>
          <w:color w:val="auto"/>
          <w:kern w:val="0"/>
          <w:sz w:val="32"/>
          <w:szCs w:val="32"/>
          <w:highlight w:val="none"/>
          <w:lang w:eastAsia="zh-CN"/>
        </w:rPr>
        <w:t>0576-88909826</w:t>
      </w:r>
    </w:p>
    <w:p w14:paraId="3AA6BD0B">
      <w:pPr>
        <w:widowControl/>
        <w:snapToGrid w:val="0"/>
        <w:spacing w:line="360" w:lineRule="auto"/>
        <w:ind w:firstLine="1280" w:firstLineChars="400"/>
        <w:rPr>
          <w:rFonts w:hint="eastAsia" w:hAnsi="宋体" w:cs="宋体"/>
          <w:color w:val="auto"/>
          <w:kern w:val="0"/>
          <w:sz w:val="32"/>
          <w:szCs w:val="32"/>
          <w:highlight w:val="none"/>
        </w:rPr>
      </w:pPr>
      <w:r>
        <w:rPr>
          <w:rFonts w:hint="eastAsia" w:hAnsi="宋体" w:cs="宋体"/>
          <w:color w:val="auto"/>
          <w:kern w:val="0"/>
          <w:sz w:val="32"/>
          <w:szCs w:val="32"/>
          <w:highlight w:val="none"/>
        </w:rPr>
        <w:t>招标代理：台州市建设咨询有限公司</w:t>
      </w:r>
    </w:p>
    <w:p w14:paraId="3A7E47F0">
      <w:pPr>
        <w:widowControl/>
        <w:snapToGrid w:val="0"/>
        <w:spacing w:line="360" w:lineRule="auto"/>
        <w:ind w:firstLine="1280" w:firstLineChars="400"/>
        <w:rPr>
          <w:rFonts w:hint="eastAsia" w:hAnsi="宋体" w:eastAsia="宋体" w:cs="宋体"/>
          <w:color w:val="auto"/>
          <w:kern w:val="0"/>
          <w:sz w:val="32"/>
          <w:szCs w:val="32"/>
          <w:highlight w:val="none"/>
          <w:lang w:eastAsia="zh-CN"/>
        </w:rPr>
      </w:pPr>
      <w:r>
        <w:rPr>
          <w:rFonts w:hint="eastAsia" w:hAnsi="宋体" w:cs="宋体"/>
          <w:color w:val="auto"/>
          <w:kern w:val="0"/>
          <w:sz w:val="32"/>
          <w:szCs w:val="32"/>
          <w:highlight w:val="none"/>
        </w:rPr>
        <w:t>联 系 人：</w:t>
      </w:r>
      <w:r>
        <w:rPr>
          <w:rFonts w:hint="eastAsia" w:hAnsi="宋体" w:cs="宋体"/>
          <w:color w:val="auto"/>
          <w:kern w:val="0"/>
          <w:sz w:val="32"/>
          <w:szCs w:val="32"/>
          <w:highlight w:val="none"/>
          <w:lang w:val="en-US" w:eastAsia="zh-CN"/>
        </w:rPr>
        <w:t>李灵芝</w:t>
      </w:r>
      <w:r>
        <w:rPr>
          <w:rFonts w:hint="eastAsia" w:hAnsi="宋体" w:cs="宋体"/>
          <w:color w:val="auto"/>
          <w:kern w:val="0"/>
          <w:sz w:val="32"/>
          <w:szCs w:val="32"/>
          <w:highlight w:val="none"/>
        </w:rPr>
        <w:t xml:space="preserve">  联系电话：</w:t>
      </w:r>
      <w:r>
        <w:rPr>
          <w:rFonts w:hint="eastAsia" w:hAnsi="宋体" w:cs="宋体"/>
          <w:color w:val="auto"/>
          <w:kern w:val="0"/>
          <w:sz w:val="32"/>
          <w:szCs w:val="32"/>
          <w:highlight w:val="none"/>
          <w:lang w:eastAsia="zh-CN"/>
        </w:rPr>
        <w:t>0576-88517783</w:t>
      </w:r>
    </w:p>
    <w:p w14:paraId="02BC37BC">
      <w:pPr>
        <w:widowControl/>
        <w:snapToGrid w:val="0"/>
        <w:spacing w:line="360" w:lineRule="auto"/>
        <w:ind w:firstLine="1280" w:firstLineChars="400"/>
        <w:rPr>
          <w:rFonts w:hAnsi="宋体" w:cs="宋体"/>
          <w:color w:val="auto"/>
          <w:kern w:val="0"/>
          <w:sz w:val="32"/>
          <w:szCs w:val="32"/>
          <w:highlight w:val="none"/>
        </w:rPr>
      </w:pPr>
      <w:r>
        <w:rPr>
          <w:rFonts w:hint="eastAsia" w:hAnsi="宋体" w:cs="宋体"/>
          <w:color w:val="auto"/>
          <w:kern w:val="0"/>
          <w:sz w:val="32"/>
          <w:szCs w:val="32"/>
          <w:highlight w:val="none"/>
        </w:rPr>
        <w:t>日    期：</w:t>
      </w:r>
      <w:r>
        <w:rPr>
          <w:rFonts w:hint="eastAsia" w:hAnsi="宋体" w:cs="宋体"/>
          <w:color w:val="auto"/>
          <w:kern w:val="0"/>
          <w:sz w:val="32"/>
          <w:szCs w:val="32"/>
          <w:highlight w:val="none"/>
          <w:lang w:val="en-US" w:eastAsia="zh-CN"/>
        </w:rPr>
        <w:t>二零二四</w:t>
      </w:r>
      <w:r>
        <w:rPr>
          <w:rFonts w:hint="eastAsia" w:hAnsi="宋体" w:cs="宋体"/>
          <w:color w:val="auto"/>
          <w:kern w:val="0"/>
          <w:sz w:val="32"/>
          <w:szCs w:val="32"/>
          <w:highlight w:val="none"/>
        </w:rPr>
        <w:t>年</w:t>
      </w:r>
      <w:r>
        <w:rPr>
          <w:rFonts w:hint="eastAsia" w:hAnsi="宋体" w:cs="宋体"/>
          <w:color w:val="auto"/>
          <w:kern w:val="0"/>
          <w:sz w:val="32"/>
          <w:szCs w:val="32"/>
          <w:highlight w:val="none"/>
          <w:lang w:val="en-US" w:eastAsia="zh-CN"/>
        </w:rPr>
        <w:t>十一</w:t>
      </w:r>
      <w:bookmarkStart w:id="213" w:name="_GoBack"/>
      <w:bookmarkEnd w:id="213"/>
      <w:r>
        <w:rPr>
          <w:rFonts w:hint="eastAsia" w:hAnsi="宋体" w:cs="宋体"/>
          <w:color w:val="auto"/>
          <w:kern w:val="0"/>
          <w:sz w:val="32"/>
          <w:szCs w:val="32"/>
          <w:highlight w:val="none"/>
        </w:rPr>
        <w:t>月</w:t>
      </w:r>
    </w:p>
    <w:p w14:paraId="58C251A6">
      <w:pPr>
        <w:widowControl/>
        <w:snapToGrid w:val="0"/>
        <w:spacing w:line="360" w:lineRule="auto"/>
        <w:ind w:left="718" w:leftChars="342" w:firstLine="2240" w:firstLineChars="700"/>
        <w:rPr>
          <w:rFonts w:hint="eastAsia" w:hAnsi="宋体" w:cs="宋体"/>
          <w:color w:val="auto"/>
          <w:kern w:val="0"/>
          <w:sz w:val="32"/>
          <w:szCs w:val="32"/>
          <w:highlight w:val="none"/>
        </w:rPr>
      </w:pPr>
    </w:p>
    <w:p w14:paraId="72821AC3">
      <w:pPr>
        <w:widowControl/>
        <w:snapToGrid w:val="0"/>
        <w:spacing w:line="360" w:lineRule="auto"/>
        <w:ind w:left="718" w:leftChars="342" w:firstLine="2240" w:firstLineChars="700"/>
        <w:rPr>
          <w:rFonts w:hint="eastAsia" w:hAnsi="宋体" w:cs="宋体"/>
          <w:color w:val="auto"/>
          <w:kern w:val="0"/>
          <w:sz w:val="32"/>
          <w:szCs w:val="32"/>
          <w:highlight w:val="none"/>
        </w:rPr>
      </w:pPr>
    </w:p>
    <w:p w14:paraId="4B5F10F2">
      <w:pPr>
        <w:widowControl/>
        <w:snapToGrid w:val="0"/>
        <w:spacing w:line="360" w:lineRule="auto"/>
        <w:rPr>
          <w:rFonts w:hAnsi="宋体" w:cs="宋体"/>
          <w:color w:val="auto"/>
          <w:kern w:val="0"/>
          <w:szCs w:val="21"/>
          <w:highlight w:val="none"/>
        </w:rPr>
        <w:sectPr>
          <w:footerReference r:id="rId6" w:type="first"/>
          <w:headerReference r:id="rId3" w:type="default"/>
          <w:footerReference r:id="rId4" w:type="default"/>
          <w:footerReference r:id="rId5" w:type="even"/>
          <w:footnotePr>
            <w:numRestart w:val="eachPage"/>
          </w:footnotePr>
          <w:endnotePr>
            <w:numRestart w:val="eachSect"/>
          </w:endnotePr>
          <w:pgSz w:w="11907" w:h="16840"/>
          <w:pgMar w:top="767" w:right="1247" w:bottom="851" w:left="1304" w:header="434" w:footer="573" w:gutter="0"/>
          <w:pgNumType w:fmt="decimal"/>
          <w:cols w:space="720" w:num="1"/>
          <w:titlePg/>
          <w:docGrid w:linePitch="435" w:charSpace="-6554"/>
        </w:sectPr>
      </w:pPr>
    </w:p>
    <w:p w14:paraId="219B0887">
      <w:pPr>
        <w:pStyle w:val="2"/>
        <w:tabs>
          <w:tab w:val="left" w:pos="360"/>
        </w:tabs>
        <w:spacing w:line="360" w:lineRule="auto"/>
        <w:rPr>
          <w:rFonts w:hint="eastAsia"/>
          <w:color w:val="auto"/>
          <w:highlight w:val="none"/>
        </w:rPr>
      </w:pPr>
      <w:r>
        <w:rPr>
          <w:rFonts w:hint="eastAsia"/>
          <w:color w:val="auto"/>
          <w:highlight w:val="none"/>
          <w:lang w:val="en-US" w:eastAsia="zh-CN"/>
        </w:rPr>
        <w:t xml:space="preserve">第一章  </w:t>
      </w:r>
      <w:r>
        <w:rPr>
          <w:rFonts w:hint="eastAsia"/>
          <w:color w:val="auto"/>
          <w:highlight w:val="none"/>
        </w:rPr>
        <w:t>招标公告</w:t>
      </w:r>
    </w:p>
    <w:p w14:paraId="5031A133">
      <w:pPr>
        <w:widowControl/>
        <w:spacing w:line="360" w:lineRule="auto"/>
        <w:ind w:firstLine="420" w:firstLineChars="200"/>
        <w:jc w:val="left"/>
        <w:textAlignment w:val="bottom"/>
        <w:rPr>
          <w:rFonts w:hint="eastAsia" w:ascii="宋体" w:hAnsi="宋体" w:cs="宋体"/>
          <w:color w:val="auto"/>
          <w:kern w:val="0"/>
          <w:szCs w:val="28"/>
          <w:highlight w:val="none"/>
        </w:rPr>
      </w:pPr>
      <w:r>
        <w:rPr>
          <w:rFonts w:hint="eastAsia" w:ascii="宋体" w:hAnsi="宋体" w:cs="宋体"/>
          <w:color w:val="auto"/>
          <w:kern w:val="0"/>
          <w:szCs w:val="28"/>
          <w:highlight w:val="none"/>
        </w:rPr>
        <w:t>根据《中华人民共和国招标投标法》及相关法律、法规规定，台州市建设咨询有限公司受</w:t>
      </w:r>
      <w:r>
        <w:rPr>
          <w:rFonts w:hint="eastAsia" w:ascii="宋体" w:hAnsi="宋体" w:cs="宋体"/>
          <w:color w:val="auto"/>
          <w:kern w:val="0"/>
          <w:szCs w:val="28"/>
          <w:highlight w:val="none"/>
          <w:lang w:eastAsia="zh-CN"/>
        </w:rPr>
        <w:t>台州东茂观光农业开发有限公司</w:t>
      </w:r>
      <w:r>
        <w:rPr>
          <w:rFonts w:hint="eastAsia" w:ascii="宋体" w:hAnsi="宋体" w:cs="宋体"/>
          <w:color w:val="auto"/>
          <w:kern w:val="0"/>
          <w:szCs w:val="28"/>
          <w:highlight w:val="none"/>
        </w:rPr>
        <w:t>委托，</w:t>
      </w:r>
      <w:r>
        <w:rPr>
          <w:rFonts w:hint="eastAsia" w:ascii="宋体" w:hAnsi="宋体" w:cs="宋体"/>
          <w:color w:val="auto"/>
          <w:szCs w:val="28"/>
          <w:highlight w:val="none"/>
        </w:rPr>
        <w:t>对其</w:t>
      </w:r>
      <w:r>
        <w:rPr>
          <w:rFonts w:hint="eastAsia" w:ascii="宋体" w:hAnsi="宋体" w:cs="宋体"/>
          <w:b/>
          <w:bCs/>
          <w:color w:val="auto"/>
          <w:szCs w:val="28"/>
          <w:highlight w:val="none"/>
          <w:lang w:eastAsia="zh-CN"/>
        </w:rPr>
        <w:t>台州东茂观光农业开发有限公司2025年水稻秧苗采购（重新招标）</w:t>
      </w:r>
      <w:r>
        <w:rPr>
          <w:rFonts w:hint="eastAsia" w:ascii="宋体" w:hAnsi="宋体" w:cs="宋体"/>
          <w:color w:val="auto"/>
          <w:szCs w:val="28"/>
          <w:highlight w:val="none"/>
        </w:rPr>
        <w:t>进行公</w:t>
      </w:r>
      <w:r>
        <w:rPr>
          <w:rFonts w:hint="eastAsia" w:ascii="宋体" w:hAnsi="宋体" w:cs="宋体"/>
          <w:color w:val="auto"/>
          <w:kern w:val="0"/>
          <w:szCs w:val="28"/>
          <w:highlight w:val="none"/>
        </w:rPr>
        <w:t>开招标，欢迎合格的</w:t>
      </w:r>
      <w:r>
        <w:rPr>
          <w:rFonts w:hint="eastAsia" w:ascii="宋体" w:hAnsi="宋体" w:cs="宋体"/>
          <w:color w:val="auto"/>
          <w:kern w:val="0"/>
          <w:szCs w:val="28"/>
          <w:highlight w:val="none"/>
          <w:lang w:val="en-US" w:eastAsia="zh-CN"/>
        </w:rPr>
        <w:t>投标人</w:t>
      </w:r>
      <w:r>
        <w:rPr>
          <w:rFonts w:hint="eastAsia" w:ascii="宋体" w:hAnsi="宋体" w:cs="宋体"/>
          <w:color w:val="auto"/>
          <w:kern w:val="0"/>
          <w:szCs w:val="28"/>
          <w:highlight w:val="none"/>
        </w:rPr>
        <w:t>参加投标。</w:t>
      </w:r>
    </w:p>
    <w:p w14:paraId="02C7F54C">
      <w:pPr>
        <w:widowControl/>
        <w:spacing w:before="60" w:after="60" w:line="360" w:lineRule="auto"/>
        <w:ind w:left="60" w:right="60"/>
        <w:jc w:val="left"/>
        <w:rPr>
          <w:rFonts w:hint="eastAsia" w:ascii="宋体" w:hAnsi="宋体" w:eastAsia="宋体" w:cs="宋体"/>
          <w:color w:val="auto"/>
          <w:kern w:val="0"/>
          <w:szCs w:val="28"/>
          <w:highlight w:val="none"/>
          <w:lang w:eastAsia="zh-CN"/>
        </w:rPr>
      </w:pPr>
      <w:bookmarkStart w:id="0" w:name="_Toc251227776"/>
      <w:r>
        <w:rPr>
          <w:rFonts w:hint="eastAsia" w:ascii="宋体" w:hAnsi="宋体" w:cs="宋体"/>
          <w:b/>
          <w:color w:val="auto"/>
          <w:kern w:val="0"/>
          <w:szCs w:val="28"/>
          <w:highlight w:val="none"/>
        </w:rPr>
        <w:t>一、招标项目编号：</w:t>
      </w:r>
      <w:bookmarkEnd w:id="0"/>
      <w:r>
        <w:rPr>
          <w:rFonts w:hint="eastAsia" w:ascii="宋体" w:hAnsi="宋体" w:cs="宋体"/>
          <w:b/>
          <w:color w:val="auto"/>
          <w:kern w:val="0"/>
          <w:szCs w:val="28"/>
          <w:highlight w:val="none"/>
          <w:lang w:eastAsia="zh-CN"/>
        </w:rPr>
        <w:t>QBJ2024251</w:t>
      </w:r>
    </w:p>
    <w:p w14:paraId="3322E4F2">
      <w:pPr>
        <w:widowControl/>
        <w:spacing w:before="60" w:after="60" w:line="360" w:lineRule="auto"/>
        <w:ind w:left="60" w:right="60"/>
        <w:jc w:val="left"/>
        <w:rPr>
          <w:rFonts w:hint="eastAsia" w:ascii="宋体" w:hAnsi="宋体" w:cs="宋体"/>
          <w:b/>
          <w:color w:val="auto"/>
          <w:kern w:val="0"/>
          <w:szCs w:val="28"/>
          <w:highlight w:val="none"/>
        </w:rPr>
      </w:pPr>
      <w:bookmarkStart w:id="1" w:name="_Toc251227777"/>
      <w:r>
        <w:rPr>
          <w:rFonts w:hint="eastAsia" w:ascii="宋体" w:hAnsi="宋体" w:cs="宋体"/>
          <w:b/>
          <w:color w:val="auto"/>
          <w:kern w:val="0"/>
          <w:szCs w:val="28"/>
          <w:highlight w:val="none"/>
        </w:rPr>
        <w:t>二、招标项目概况:</w:t>
      </w:r>
      <w:bookmarkEnd w:id="1"/>
      <w:r>
        <w:rPr>
          <w:rFonts w:hint="eastAsia" w:ascii="宋体" w:hAnsi="宋体" w:cs="宋体"/>
          <w:b/>
          <w:color w:val="auto"/>
          <w:kern w:val="0"/>
          <w:szCs w:val="28"/>
          <w:highlight w:val="none"/>
        </w:rPr>
        <w:t xml:space="preserve"> </w:t>
      </w:r>
    </w:p>
    <w:p w14:paraId="359D5FB4">
      <w:pPr>
        <w:spacing w:line="360" w:lineRule="auto"/>
        <w:ind w:firstLine="420" w:firstLineChars="2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（1）项目名称：</w:t>
      </w:r>
      <w:r>
        <w:rPr>
          <w:rFonts w:hint="eastAsia" w:ascii="宋体" w:hAnsi="宋体" w:cs="宋体"/>
          <w:color w:val="auto"/>
          <w:kern w:val="0"/>
          <w:szCs w:val="21"/>
          <w:highlight w:val="none"/>
          <w:lang w:eastAsia="zh-CN"/>
        </w:rPr>
        <w:t>台州东茂观光农业开发有限公司2025年水稻秧苗采购（重新招标）</w:t>
      </w:r>
    </w:p>
    <w:p w14:paraId="0339D5F2">
      <w:pPr>
        <w:spacing w:line="360" w:lineRule="auto"/>
        <w:ind w:firstLine="420" w:firstLineChars="2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（2）供货地点：招标人指定地点</w:t>
      </w:r>
    </w:p>
    <w:p w14:paraId="6A01B8BD">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（3）招标方式：公开招标</w:t>
      </w:r>
    </w:p>
    <w:p w14:paraId="06E59DD2">
      <w:pPr>
        <w:spacing w:line="360" w:lineRule="auto"/>
        <w:ind w:left="0" w:leftChars="0"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（4）项目概况</w:t>
      </w:r>
      <w:r>
        <w:rPr>
          <w:rFonts w:hint="eastAsia" w:ascii="宋体" w:hAnsi="宋体" w:cs="宋体"/>
          <w:color w:val="auto"/>
          <w:kern w:val="0"/>
          <w:szCs w:val="21"/>
          <w:highlight w:val="none"/>
          <w:lang w:val="en-US" w:eastAsia="zh-CN"/>
        </w:rPr>
        <w:t>：</w:t>
      </w:r>
      <w:r>
        <w:rPr>
          <w:rFonts w:hint="eastAsia" w:asciiTheme="majorEastAsia" w:hAnsiTheme="majorEastAsia" w:eastAsiaTheme="majorEastAsia" w:cstheme="majorEastAsia"/>
          <w:sz w:val="21"/>
          <w:szCs w:val="21"/>
          <w:highlight w:val="none"/>
          <w:lang w:val="en-US" w:eastAsia="zh-CN"/>
        </w:rPr>
        <w:t>采购水稻秧苗，用于公司农业生产。秧苗品种为杂交水稻甬优1540，共需采购约65000盘，每盘448钵秧苗，每钵2-3苗，秧苗附带基质球，交付苗高至少达到15公分，秧龄18-20天，纯度96%以上，净度98%以上，</w:t>
      </w:r>
      <w:r>
        <w:rPr>
          <w:rFonts w:hint="eastAsia" w:asciiTheme="majorEastAsia" w:hAnsiTheme="majorEastAsia" w:eastAsiaTheme="majorEastAsia" w:cstheme="majorEastAsia"/>
          <w:i w:val="0"/>
          <w:color w:val="000000"/>
          <w:sz w:val="21"/>
          <w:szCs w:val="21"/>
          <w:highlight w:val="none"/>
          <w:u w:val="none"/>
          <w:lang w:val="en-US" w:eastAsia="zh-CN"/>
        </w:rPr>
        <w:t>发芽率80%以上，无恶苗病。</w:t>
      </w:r>
    </w:p>
    <w:p w14:paraId="24A29E66">
      <w:pPr>
        <w:widowControl/>
        <w:numPr>
          <w:ilvl w:val="0"/>
          <w:numId w:val="2"/>
        </w:numPr>
        <w:spacing w:before="60" w:after="60" w:line="360" w:lineRule="auto"/>
        <w:ind w:right="60"/>
        <w:jc w:val="left"/>
        <w:rPr>
          <w:rFonts w:hint="eastAsia" w:ascii="宋体" w:hAnsi="宋体" w:cs="宋体"/>
          <w:color w:val="auto"/>
          <w:kern w:val="0"/>
          <w:szCs w:val="28"/>
          <w:highlight w:val="none"/>
        </w:rPr>
      </w:pPr>
      <w:bookmarkStart w:id="2" w:name="_Toc251227778"/>
      <w:r>
        <w:rPr>
          <w:rFonts w:hint="eastAsia" w:ascii="宋体" w:hAnsi="宋体" w:cs="宋体"/>
          <w:b/>
          <w:color w:val="auto"/>
          <w:kern w:val="0"/>
          <w:szCs w:val="28"/>
          <w:highlight w:val="none"/>
        </w:rPr>
        <w:t>投标人资格要求:</w:t>
      </w:r>
      <w:bookmarkEnd w:id="2"/>
      <w:r>
        <w:rPr>
          <w:rFonts w:hint="eastAsia" w:ascii="宋体" w:hAnsi="宋体" w:cs="宋体"/>
          <w:color w:val="auto"/>
          <w:kern w:val="0"/>
          <w:szCs w:val="28"/>
          <w:highlight w:val="none"/>
        </w:rPr>
        <w:t xml:space="preserve"> </w:t>
      </w:r>
    </w:p>
    <w:p w14:paraId="40A3FD54">
      <w:pPr>
        <w:spacing w:line="360" w:lineRule="auto"/>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）具备水稻秧苗</w:t>
      </w:r>
      <w:r>
        <w:rPr>
          <w:rFonts w:hint="eastAsia" w:ascii="宋体" w:hAnsi="宋体" w:cs="宋体"/>
          <w:color w:val="auto"/>
          <w:sz w:val="21"/>
          <w:szCs w:val="21"/>
          <w:highlight w:val="none"/>
          <w:lang w:val="en-US" w:eastAsia="zh-CN"/>
        </w:rPr>
        <w:t>供应</w:t>
      </w:r>
      <w:r>
        <w:rPr>
          <w:rFonts w:hint="eastAsia" w:ascii="宋体" w:hAnsi="宋体" w:eastAsia="宋体" w:cs="宋体"/>
          <w:color w:val="auto"/>
          <w:sz w:val="21"/>
          <w:szCs w:val="21"/>
          <w:highlight w:val="none"/>
        </w:rPr>
        <w:t>能力的独立法人或个体工商户</w:t>
      </w:r>
      <w:r>
        <w:rPr>
          <w:rFonts w:hint="eastAsia" w:ascii="宋体" w:hAnsi="宋体" w:cs="宋体"/>
          <w:color w:val="auto"/>
          <w:sz w:val="21"/>
          <w:szCs w:val="21"/>
          <w:highlight w:val="none"/>
          <w:lang w:val="en-US" w:eastAsia="zh-CN"/>
        </w:rPr>
        <w:t>或合作社</w:t>
      </w:r>
      <w:r>
        <w:rPr>
          <w:rFonts w:hint="eastAsia" w:ascii="宋体" w:hAnsi="宋体" w:eastAsia="宋体" w:cs="宋体"/>
          <w:color w:val="auto"/>
          <w:sz w:val="21"/>
          <w:szCs w:val="21"/>
          <w:highlight w:val="none"/>
        </w:rPr>
        <w:t>（须具备营业执照）。</w:t>
      </w:r>
    </w:p>
    <w:p w14:paraId="0A25E7A3">
      <w:pPr>
        <w:spacing w:line="360" w:lineRule="auto"/>
        <w:ind w:firstLine="420" w:firstLineChars="200"/>
        <w:rPr>
          <w:rFonts w:hint="eastAsia" w:ascii="宋体" w:hAnsi="宋体" w:cs="宋体"/>
          <w:color w:val="auto"/>
          <w:kern w:val="0"/>
          <w:szCs w:val="28"/>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）本项目不接受联合体投标。</w:t>
      </w:r>
    </w:p>
    <w:p w14:paraId="6197D9F3">
      <w:pPr>
        <w:widowControl/>
        <w:spacing w:before="60" w:after="60" w:line="360" w:lineRule="auto"/>
        <w:ind w:right="60"/>
        <w:jc w:val="left"/>
        <w:rPr>
          <w:rFonts w:hint="default" w:ascii="宋体" w:hAnsi="宋体" w:eastAsia="宋体" w:cs="宋体"/>
          <w:b/>
          <w:color w:val="auto"/>
          <w:kern w:val="0"/>
          <w:szCs w:val="28"/>
          <w:highlight w:val="none"/>
          <w:lang w:eastAsia="zh-CN"/>
        </w:rPr>
      </w:pPr>
      <w:r>
        <w:rPr>
          <w:rFonts w:hint="eastAsia" w:ascii="宋体" w:hAnsi="宋体" w:cs="宋体"/>
          <w:b/>
          <w:color w:val="auto"/>
          <w:kern w:val="0"/>
          <w:szCs w:val="28"/>
          <w:highlight w:val="none"/>
          <w:lang w:val="en-US" w:eastAsia="zh-CN"/>
        </w:rPr>
        <w:t>四</w:t>
      </w:r>
      <w:r>
        <w:rPr>
          <w:rFonts w:hint="default" w:ascii="宋体" w:hAnsi="宋体" w:eastAsia="宋体" w:cs="宋体"/>
          <w:b/>
          <w:color w:val="auto"/>
          <w:kern w:val="0"/>
          <w:szCs w:val="28"/>
          <w:highlight w:val="none"/>
          <w:lang w:eastAsia="zh-CN"/>
        </w:rPr>
        <w:t>、投标保证金：</w:t>
      </w:r>
    </w:p>
    <w:p w14:paraId="7B40659B">
      <w:pPr>
        <w:widowControl/>
        <w:spacing w:before="0" w:after="0" w:line="360" w:lineRule="auto"/>
        <w:ind w:right="-103" w:rightChars="-49" w:firstLine="420" w:firstLineChars="200"/>
        <w:jc w:val="left"/>
        <w:rPr>
          <w:rFonts w:hint="eastAsia" w:ascii="宋体" w:hAnsi="宋体" w:eastAsia="宋体" w:cs="宋体"/>
          <w:b w:val="0"/>
          <w:color w:val="auto"/>
          <w:kern w:val="0"/>
          <w:szCs w:val="21"/>
          <w:highlight w:val="none"/>
          <w:lang w:eastAsia="zh-CN"/>
        </w:rPr>
      </w:pPr>
      <w:r>
        <w:rPr>
          <w:rFonts w:hint="eastAsia" w:ascii="宋体" w:hAnsi="宋体" w:eastAsia="宋体" w:cs="宋体"/>
          <w:b w:val="0"/>
          <w:color w:val="auto"/>
          <w:kern w:val="0"/>
          <w:szCs w:val="21"/>
          <w:highlight w:val="none"/>
          <w:lang w:eastAsia="zh-CN"/>
        </w:rPr>
        <w:t>1.投标保证金金额：</w:t>
      </w:r>
      <w:r>
        <w:rPr>
          <w:rFonts w:hint="eastAsia" w:ascii="宋体" w:hAnsi="宋体" w:cs="宋体"/>
          <w:b w:val="0"/>
          <w:bCs w:val="0"/>
          <w:color w:val="auto"/>
          <w:kern w:val="0"/>
          <w:sz w:val="21"/>
          <w:szCs w:val="21"/>
          <w:highlight w:val="none"/>
          <w:u w:val="single"/>
          <w:lang w:val="en-US" w:eastAsia="zh-CN"/>
        </w:rPr>
        <w:t xml:space="preserve"> 壹万叁仟元整</w:t>
      </w:r>
      <w:r>
        <w:rPr>
          <w:rFonts w:hint="eastAsia" w:ascii="宋体" w:hAnsi="宋体" w:eastAsia="宋体" w:cs="宋体"/>
          <w:b w:val="0"/>
          <w:bCs w:val="0"/>
          <w:color w:val="auto"/>
          <w:kern w:val="0"/>
          <w:sz w:val="21"/>
          <w:szCs w:val="21"/>
          <w:highlight w:val="none"/>
          <w:u w:val="single"/>
        </w:rPr>
        <w:t>（</w:t>
      </w:r>
      <w:r>
        <w:rPr>
          <w:rFonts w:hint="eastAsia" w:ascii="宋体" w:hAnsi="宋体" w:cs="宋体"/>
          <w:b w:val="0"/>
          <w:bCs w:val="0"/>
          <w:color w:val="auto"/>
          <w:kern w:val="0"/>
          <w:sz w:val="21"/>
          <w:szCs w:val="21"/>
          <w:highlight w:val="none"/>
          <w:u w:val="single"/>
          <w:lang w:eastAsia="zh-CN"/>
        </w:rPr>
        <w:t>13000</w:t>
      </w:r>
      <w:r>
        <w:rPr>
          <w:rFonts w:hint="eastAsia" w:ascii="宋体" w:hAnsi="宋体" w:eastAsia="宋体" w:cs="宋体"/>
          <w:b w:val="0"/>
          <w:bCs w:val="0"/>
          <w:color w:val="auto"/>
          <w:kern w:val="0"/>
          <w:sz w:val="21"/>
          <w:szCs w:val="21"/>
          <w:highlight w:val="none"/>
          <w:u w:val="single"/>
        </w:rPr>
        <w:t>元</w:t>
      </w:r>
      <w:r>
        <w:rPr>
          <w:rFonts w:hint="eastAsia" w:ascii="宋体" w:hAnsi="宋体" w:cs="宋体"/>
          <w:b w:val="0"/>
          <w:bCs w:val="0"/>
          <w:color w:val="auto"/>
          <w:kern w:val="0"/>
          <w:sz w:val="21"/>
          <w:szCs w:val="21"/>
          <w:highlight w:val="none"/>
          <w:u w:val="single"/>
          <w:lang w:eastAsia="zh-CN"/>
        </w:rPr>
        <w:t>）</w:t>
      </w:r>
      <w:r>
        <w:rPr>
          <w:rFonts w:hint="eastAsia" w:ascii="宋体" w:hAnsi="宋体" w:eastAsia="宋体" w:cs="宋体"/>
          <w:b w:val="0"/>
          <w:color w:val="auto"/>
          <w:kern w:val="0"/>
          <w:szCs w:val="21"/>
          <w:highlight w:val="none"/>
          <w:lang w:eastAsia="zh-CN"/>
        </w:rPr>
        <w:t>。</w:t>
      </w:r>
    </w:p>
    <w:p w14:paraId="2C48BD5D">
      <w:pPr>
        <w:widowControl/>
        <w:spacing w:before="0" w:after="0" w:line="360" w:lineRule="auto"/>
        <w:ind w:right="-103" w:rightChars="-49" w:firstLine="420" w:firstLineChars="200"/>
        <w:jc w:val="left"/>
        <w:rPr>
          <w:rFonts w:hint="eastAsia" w:ascii="宋体" w:hAnsi="宋体" w:eastAsia="宋体" w:cs="宋体"/>
          <w:b w:val="0"/>
          <w:color w:val="auto"/>
          <w:kern w:val="0"/>
          <w:szCs w:val="21"/>
          <w:highlight w:val="none"/>
          <w:lang w:eastAsia="zh-CN"/>
        </w:rPr>
      </w:pPr>
      <w:r>
        <w:rPr>
          <w:rFonts w:hint="eastAsia" w:ascii="宋体" w:hAnsi="宋体" w:eastAsia="宋体" w:cs="宋体"/>
          <w:b w:val="0"/>
          <w:color w:val="auto"/>
          <w:kern w:val="0"/>
          <w:szCs w:val="21"/>
          <w:highlight w:val="none"/>
          <w:lang w:eastAsia="zh-CN"/>
        </w:rPr>
        <w:t>2.投标保证金缴纳方式：现金转账、银行保函、保险机构保证保险保单、融资担保公司保函。</w:t>
      </w:r>
    </w:p>
    <w:p w14:paraId="2769A207">
      <w:pPr>
        <w:widowControl/>
        <w:spacing w:before="60" w:after="60" w:line="360" w:lineRule="auto"/>
        <w:ind w:right="60"/>
        <w:jc w:val="left"/>
        <w:rPr>
          <w:rFonts w:hint="eastAsia" w:ascii="宋体" w:hAnsi="宋体" w:eastAsia="宋体" w:cs="宋体"/>
          <w:b/>
          <w:color w:val="auto"/>
          <w:kern w:val="0"/>
          <w:szCs w:val="28"/>
          <w:highlight w:val="none"/>
          <w:lang w:eastAsia="zh-CN"/>
        </w:rPr>
      </w:pPr>
      <w:r>
        <w:rPr>
          <w:rFonts w:hint="eastAsia" w:ascii="宋体" w:hAnsi="宋体" w:cs="宋体"/>
          <w:b/>
          <w:color w:val="auto"/>
          <w:kern w:val="0"/>
          <w:szCs w:val="28"/>
          <w:highlight w:val="none"/>
          <w:lang w:val="en-US" w:eastAsia="zh-CN"/>
        </w:rPr>
        <w:t>五</w:t>
      </w:r>
      <w:r>
        <w:rPr>
          <w:rFonts w:hint="eastAsia" w:ascii="宋体" w:hAnsi="宋体" w:cs="宋体"/>
          <w:b/>
          <w:color w:val="auto"/>
          <w:kern w:val="0"/>
          <w:szCs w:val="28"/>
          <w:highlight w:val="none"/>
        </w:rPr>
        <w:t>、开标</w:t>
      </w:r>
      <w:r>
        <w:rPr>
          <w:rFonts w:hint="eastAsia" w:ascii="宋体" w:hAnsi="宋体" w:cs="宋体"/>
          <w:b/>
          <w:color w:val="auto"/>
          <w:kern w:val="0"/>
          <w:szCs w:val="28"/>
          <w:highlight w:val="none"/>
          <w:lang w:val="en-US" w:eastAsia="zh-CN"/>
        </w:rPr>
        <w:t>/评标</w:t>
      </w:r>
      <w:r>
        <w:rPr>
          <w:rFonts w:hint="eastAsia" w:ascii="宋体" w:hAnsi="宋体" w:cs="宋体"/>
          <w:b/>
          <w:color w:val="auto"/>
          <w:kern w:val="0"/>
          <w:szCs w:val="28"/>
          <w:highlight w:val="none"/>
        </w:rPr>
        <w:t>时间及地点</w:t>
      </w:r>
      <w:r>
        <w:rPr>
          <w:rFonts w:hint="eastAsia" w:ascii="宋体" w:hAnsi="宋体" w:cs="宋体"/>
          <w:b/>
          <w:color w:val="auto"/>
          <w:kern w:val="0"/>
          <w:szCs w:val="28"/>
          <w:highlight w:val="none"/>
          <w:lang w:eastAsia="zh-CN"/>
        </w:rPr>
        <w:t>：</w:t>
      </w:r>
    </w:p>
    <w:p w14:paraId="0DBB9344">
      <w:pPr>
        <w:widowControl/>
        <w:spacing w:line="360" w:lineRule="auto"/>
        <w:ind w:right="-103" w:rightChars="-49"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投标文件递交</w:t>
      </w:r>
      <w:r>
        <w:rPr>
          <w:rFonts w:hint="eastAsia" w:ascii="宋体" w:hAnsi="宋体" w:cs="宋体"/>
          <w:color w:val="auto"/>
          <w:kern w:val="0"/>
          <w:szCs w:val="21"/>
          <w:highlight w:val="none"/>
          <w:lang w:val="en-US" w:eastAsia="zh-CN"/>
        </w:rPr>
        <w:t>截止</w:t>
      </w:r>
      <w:r>
        <w:rPr>
          <w:rFonts w:hint="eastAsia" w:ascii="宋体" w:hAnsi="宋体" w:cs="宋体"/>
          <w:color w:val="auto"/>
          <w:kern w:val="0"/>
          <w:szCs w:val="21"/>
          <w:highlight w:val="none"/>
        </w:rPr>
        <w:t>及开</w:t>
      </w:r>
      <w:r>
        <w:rPr>
          <w:rFonts w:hint="eastAsia" w:ascii="宋体" w:hAnsi="宋体" w:cs="宋体"/>
          <w:color w:val="auto"/>
          <w:kern w:val="0"/>
          <w:szCs w:val="21"/>
          <w:highlight w:val="none"/>
          <w:lang w:val="en-US" w:eastAsia="zh-CN"/>
        </w:rPr>
        <w:t>评</w:t>
      </w:r>
      <w:r>
        <w:rPr>
          <w:rFonts w:hint="eastAsia" w:ascii="宋体" w:hAnsi="宋体" w:cs="宋体"/>
          <w:color w:val="auto"/>
          <w:kern w:val="0"/>
          <w:szCs w:val="21"/>
          <w:highlight w:val="none"/>
        </w:rPr>
        <w:t>标时间：</w:t>
      </w:r>
      <w:r>
        <w:rPr>
          <w:rFonts w:hint="eastAsia" w:ascii="宋体" w:hAnsi="宋体" w:cs="宋体"/>
          <w:color w:val="auto"/>
          <w:kern w:val="0"/>
          <w:szCs w:val="28"/>
          <w:highlight w:val="none"/>
        </w:rPr>
        <w:t>202</w:t>
      </w:r>
      <w:r>
        <w:rPr>
          <w:rFonts w:hint="eastAsia" w:ascii="宋体" w:hAnsi="宋体" w:cs="宋体"/>
          <w:color w:val="auto"/>
          <w:kern w:val="0"/>
          <w:szCs w:val="28"/>
          <w:highlight w:val="none"/>
          <w:lang w:val="en-US" w:eastAsia="zh-CN"/>
        </w:rPr>
        <w:t>4</w:t>
      </w:r>
      <w:r>
        <w:rPr>
          <w:rFonts w:hint="eastAsia" w:ascii="宋体" w:hAnsi="宋体" w:cs="宋体"/>
          <w:color w:val="auto"/>
          <w:kern w:val="0"/>
          <w:szCs w:val="28"/>
          <w:highlight w:val="none"/>
        </w:rPr>
        <w:t>年</w:t>
      </w:r>
      <w:r>
        <w:rPr>
          <w:rFonts w:hint="eastAsia" w:ascii="宋体" w:hAnsi="宋体" w:cs="宋体"/>
          <w:color w:val="auto"/>
          <w:kern w:val="0"/>
          <w:szCs w:val="28"/>
          <w:highlight w:val="none"/>
          <w:lang w:val="en-US" w:eastAsia="zh-CN"/>
        </w:rPr>
        <w:t>11</w:t>
      </w:r>
      <w:r>
        <w:rPr>
          <w:rFonts w:hint="eastAsia" w:ascii="宋体" w:hAnsi="宋体" w:cs="宋体"/>
          <w:color w:val="auto"/>
          <w:kern w:val="0"/>
          <w:szCs w:val="28"/>
          <w:highlight w:val="none"/>
        </w:rPr>
        <w:t>月</w:t>
      </w:r>
      <w:r>
        <w:rPr>
          <w:rFonts w:hint="eastAsia" w:ascii="宋体" w:hAnsi="宋体" w:cs="宋体"/>
          <w:color w:val="auto"/>
          <w:kern w:val="0"/>
          <w:szCs w:val="28"/>
          <w:highlight w:val="none"/>
          <w:lang w:val="en-US" w:eastAsia="zh-CN"/>
        </w:rPr>
        <w:t>26</w:t>
      </w:r>
      <w:r>
        <w:rPr>
          <w:rFonts w:hint="eastAsia" w:ascii="宋体" w:hAnsi="宋体" w:cs="宋体"/>
          <w:color w:val="auto"/>
          <w:kern w:val="0"/>
          <w:szCs w:val="28"/>
          <w:highlight w:val="none"/>
        </w:rPr>
        <w:t>日</w:t>
      </w:r>
      <w:r>
        <w:rPr>
          <w:rFonts w:hint="eastAsia" w:ascii="宋体" w:hAnsi="宋体" w:cs="宋体"/>
          <w:color w:val="auto"/>
          <w:kern w:val="0"/>
          <w:szCs w:val="28"/>
          <w:highlight w:val="none"/>
          <w:lang w:val="en-US" w:eastAsia="zh-CN"/>
        </w:rPr>
        <w:t>上</w:t>
      </w:r>
      <w:r>
        <w:rPr>
          <w:rFonts w:hint="eastAsia" w:ascii="宋体" w:hAnsi="宋体" w:cs="宋体"/>
          <w:color w:val="auto"/>
          <w:kern w:val="0"/>
          <w:szCs w:val="21"/>
          <w:highlight w:val="none"/>
        </w:rPr>
        <w:t>午</w:t>
      </w:r>
      <w:r>
        <w:rPr>
          <w:rFonts w:hint="eastAsia" w:ascii="宋体" w:hAnsi="宋体" w:cs="宋体"/>
          <w:color w:val="auto"/>
          <w:kern w:val="0"/>
          <w:szCs w:val="21"/>
          <w:highlight w:val="none"/>
          <w:lang w:val="en-US" w:eastAsia="zh-CN"/>
        </w:rPr>
        <w:t>09:30分</w:t>
      </w:r>
      <w:r>
        <w:rPr>
          <w:rFonts w:hint="eastAsia" w:ascii="宋体" w:hAnsi="宋体" w:cs="宋体"/>
          <w:color w:val="auto"/>
          <w:kern w:val="0"/>
          <w:szCs w:val="21"/>
          <w:highlight w:val="none"/>
        </w:rPr>
        <w:t xml:space="preserve">   </w:t>
      </w:r>
    </w:p>
    <w:p w14:paraId="5E7EABFA">
      <w:pPr>
        <w:widowControl/>
        <w:spacing w:line="360" w:lineRule="auto"/>
        <w:ind w:right="-103" w:rightChars="-49" w:firstLine="420" w:firstLineChars="20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地点：台州市椒江区开发大道东段818号台州湾新区海虹街道</w:t>
      </w:r>
      <w:r>
        <w:rPr>
          <w:rFonts w:hint="eastAsia" w:ascii="宋体" w:hAnsi="宋体" w:cs="宋体"/>
          <w:color w:val="auto"/>
          <w:kern w:val="0"/>
          <w:szCs w:val="21"/>
          <w:highlight w:val="none"/>
          <w:lang w:val="en-US" w:eastAsia="zh-CN"/>
        </w:rPr>
        <w:t>办事处六</w:t>
      </w:r>
      <w:r>
        <w:rPr>
          <w:rFonts w:hint="eastAsia" w:ascii="宋体" w:hAnsi="宋体" w:cs="宋体"/>
          <w:color w:val="auto"/>
          <w:kern w:val="0"/>
          <w:szCs w:val="21"/>
          <w:highlight w:val="none"/>
        </w:rPr>
        <w:t>楼大厅</w:t>
      </w:r>
    </w:p>
    <w:p w14:paraId="3AD01490">
      <w:pPr>
        <w:widowControl/>
        <w:tabs>
          <w:tab w:val="left" w:pos="360"/>
        </w:tabs>
        <w:snapToGrid/>
        <w:spacing w:line="360" w:lineRule="auto"/>
        <w:ind w:left="360" w:hanging="360"/>
        <w:jc w:val="left"/>
        <w:rPr>
          <w:rFonts w:hint="eastAsia" w:ascii="宋体" w:hAnsi="宋体" w:eastAsia="宋体" w:cs="宋体"/>
          <w:b/>
          <w:bCs w:val="0"/>
          <w:color w:val="auto"/>
          <w:kern w:val="0"/>
          <w:sz w:val="21"/>
          <w:szCs w:val="28"/>
          <w:highlight w:val="none"/>
        </w:rPr>
      </w:pPr>
      <w:r>
        <w:rPr>
          <w:rFonts w:hint="eastAsia" w:ascii="宋体" w:hAnsi="宋体" w:cs="宋体"/>
          <w:b/>
          <w:color w:val="auto"/>
          <w:kern w:val="0"/>
          <w:sz w:val="21"/>
          <w:szCs w:val="28"/>
          <w:highlight w:val="none"/>
          <w:lang w:val="en-US" w:eastAsia="zh-CN"/>
        </w:rPr>
        <w:t>六</w:t>
      </w:r>
      <w:r>
        <w:rPr>
          <w:rFonts w:hint="eastAsia" w:ascii="宋体" w:hAnsi="宋体" w:eastAsia="宋体" w:cs="宋体"/>
          <w:b/>
          <w:color w:val="auto"/>
          <w:kern w:val="0"/>
          <w:sz w:val="21"/>
          <w:szCs w:val="28"/>
          <w:highlight w:val="none"/>
        </w:rPr>
        <w:t>、</w:t>
      </w:r>
      <w:r>
        <w:rPr>
          <w:rFonts w:hint="eastAsia" w:ascii="宋体" w:hAnsi="宋体" w:eastAsia="宋体" w:cs="宋体"/>
          <w:b/>
          <w:bCs w:val="0"/>
          <w:color w:val="auto"/>
          <w:kern w:val="0"/>
          <w:sz w:val="21"/>
          <w:szCs w:val="28"/>
          <w:highlight w:val="none"/>
        </w:rPr>
        <w:t>公告、公示媒体：</w:t>
      </w:r>
    </w:p>
    <w:p w14:paraId="290B5BB4">
      <w:pPr>
        <w:widowControl/>
        <w:snapToGrid/>
        <w:spacing w:before="60" w:after="60" w:line="360" w:lineRule="auto"/>
        <w:ind w:left="61" w:leftChars="29" w:right="60"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rPr>
        <w:t>公告网址：台州湾新区小额工程电子交易平台”（http://www.tzwztb.com）</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浙江政府采购网（https://zfcg.czt.zj.gov.cn）。</w:t>
      </w:r>
    </w:p>
    <w:p w14:paraId="6727F6C8">
      <w:pPr>
        <w:widowControl/>
        <w:tabs>
          <w:tab w:val="left" w:pos="360"/>
        </w:tabs>
        <w:spacing w:line="360" w:lineRule="auto"/>
        <w:ind w:left="360" w:hanging="360"/>
        <w:jc w:val="left"/>
        <w:rPr>
          <w:rFonts w:hint="eastAsia" w:ascii="宋体" w:hAnsi="宋体" w:cs="宋体"/>
          <w:color w:val="auto"/>
          <w:kern w:val="0"/>
          <w:szCs w:val="28"/>
          <w:highlight w:val="none"/>
        </w:rPr>
      </w:pPr>
      <w:r>
        <w:rPr>
          <w:rFonts w:hint="eastAsia" w:ascii="宋体" w:hAnsi="宋体" w:cs="宋体"/>
          <w:b/>
          <w:color w:val="auto"/>
          <w:kern w:val="0"/>
          <w:szCs w:val="28"/>
          <w:highlight w:val="none"/>
          <w:lang w:val="en-US" w:eastAsia="zh-CN"/>
        </w:rPr>
        <w:t>七</w:t>
      </w:r>
      <w:r>
        <w:rPr>
          <w:rFonts w:hint="eastAsia" w:ascii="宋体" w:hAnsi="宋体" w:cs="宋体"/>
          <w:b/>
          <w:color w:val="auto"/>
          <w:kern w:val="0"/>
          <w:szCs w:val="28"/>
          <w:highlight w:val="none"/>
        </w:rPr>
        <w:t>、联系方式：</w:t>
      </w:r>
    </w:p>
    <w:p w14:paraId="3468F6DE">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8"/>
          <w:highlight w:val="none"/>
        </w:rPr>
      </w:pPr>
      <w:r>
        <w:rPr>
          <w:rFonts w:hint="eastAsia" w:ascii="宋体" w:hAnsi="宋体" w:cs="宋体"/>
          <w:color w:val="auto"/>
          <w:szCs w:val="28"/>
          <w:highlight w:val="none"/>
          <w:lang w:eastAsia="zh-CN"/>
        </w:rPr>
        <w:t>台州东茂观光农业开发有限公司</w:t>
      </w:r>
      <w:r>
        <w:rPr>
          <w:rFonts w:hint="eastAsia" w:ascii="宋体" w:hAnsi="宋体" w:cs="宋体"/>
          <w:color w:val="auto"/>
          <w:kern w:val="0"/>
          <w:szCs w:val="28"/>
          <w:highlight w:val="none"/>
        </w:rPr>
        <w:t>：</w:t>
      </w:r>
      <w:r>
        <w:rPr>
          <w:rFonts w:hint="eastAsia" w:ascii="宋体" w:hAnsi="宋体" w:cs="宋体"/>
          <w:color w:val="auto"/>
          <w:kern w:val="0"/>
          <w:szCs w:val="28"/>
          <w:highlight w:val="none"/>
          <w:lang w:eastAsia="zh-CN"/>
        </w:rPr>
        <w:t>李先生</w:t>
      </w:r>
      <w:r>
        <w:rPr>
          <w:rFonts w:hint="eastAsia" w:ascii="宋体" w:hAnsi="宋体" w:cs="宋体"/>
          <w:color w:val="auto"/>
          <w:kern w:val="0"/>
          <w:szCs w:val="28"/>
          <w:highlight w:val="none"/>
          <w:lang w:val="en-US" w:eastAsia="zh-CN"/>
        </w:rPr>
        <w:t xml:space="preserve">；           </w:t>
      </w:r>
      <w:r>
        <w:rPr>
          <w:rFonts w:hint="eastAsia" w:ascii="宋体" w:hAnsi="宋体" w:cs="宋体"/>
          <w:color w:val="auto"/>
          <w:kern w:val="0"/>
          <w:szCs w:val="28"/>
          <w:highlight w:val="none"/>
        </w:rPr>
        <w:t>联系电话：</w:t>
      </w:r>
      <w:r>
        <w:rPr>
          <w:rFonts w:hint="eastAsia" w:ascii="宋体" w:hAnsi="宋体" w:cs="宋体"/>
          <w:color w:val="auto"/>
          <w:kern w:val="0"/>
          <w:szCs w:val="28"/>
          <w:highlight w:val="none"/>
          <w:lang w:eastAsia="zh-CN"/>
        </w:rPr>
        <w:t>0576-88909826</w:t>
      </w:r>
      <w:r>
        <w:rPr>
          <w:rFonts w:hint="eastAsia" w:ascii="宋体" w:hAnsi="宋体" w:cs="宋体"/>
          <w:color w:val="auto"/>
          <w:kern w:val="0"/>
          <w:szCs w:val="28"/>
          <w:highlight w:val="none"/>
        </w:rPr>
        <w:t>；</w:t>
      </w:r>
    </w:p>
    <w:p w14:paraId="7692177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8"/>
          <w:highlight w:val="none"/>
        </w:rPr>
      </w:pPr>
      <w:r>
        <w:rPr>
          <w:rFonts w:hint="eastAsia" w:ascii="宋体" w:hAnsi="宋体" w:cs="宋体"/>
          <w:color w:val="auto"/>
          <w:kern w:val="0"/>
          <w:szCs w:val="28"/>
          <w:highlight w:val="none"/>
        </w:rPr>
        <w:t>台州市建设咨询有限公司联系人：</w:t>
      </w:r>
      <w:r>
        <w:rPr>
          <w:rFonts w:hint="eastAsia" w:ascii="宋体" w:hAnsi="宋体" w:cs="宋体"/>
          <w:color w:val="auto"/>
          <w:kern w:val="0"/>
          <w:szCs w:val="28"/>
          <w:highlight w:val="none"/>
          <w:lang w:val="en-US" w:eastAsia="zh-CN"/>
        </w:rPr>
        <w:t>李灵芝</w:t>
      </w:r>
      <w:r>
        <w:rPr>
          <w:rFonts w:hint="eastAsia" w:ascii="宋体" w:hAnsi="宋体" w:cs="宋体"/>
          <w:color w:val="auto"/>
          <w:kern w:val="0"/>
          <w:szCs w:val="28"/>
          <w:highlight w:val="none"/>
        </w:rPr>
        <w:t>；</w:t>
      </w:r>
      <w:r>
        <w:rPr>
          <w:rFonts w:hint="eastAsia" w:ascii="宋体" w:hAnsi="宋体" w:cs="宋体"/>
          <w:color w:val="auto"/>
          <w:kern w:val="0"/>
          <w:szCs w:val="28"/>
          <w:highlight w:val="none"/>
          <w:lang w:val="en-US" w:eastAsia="zh-CN"/>
        </w:rPr>
        <w:t xml:space="preserve">           </w:t>
      </w:r>
      <w:r>
        <w:rPr>
          <w:rFonts w:hint="eastAsia" w:ascii="宋体" w:hAnsi="宋体" w:cs="宋体"/>
          <w:color w:val="auto"/>
          <w:kern w:val="0"/>
          <w:szCs w:val="28"/>
          <w:highlight w:val="none"/>
        </w:rPr>
        <w:t>联系电话：</w:t>
      </w:r>
      <w:r>
        <w:rPr>
          <w:rFonts w:hint="eastAsia" w:ascii="宋体" w:hAnsi="宋体" w:cs="宋体"/>
          <w:color w:val="auto"/>
          <w:kern w:val="0"/>
          <w:szCs w:val="28"/>
          <w:highlight w:val="none"/>
          <w:lang w:eastAsia="zh-CN"/>
        </w:rPr>
        <w:t>0576-88517783</w:t>
      </w:r>
      <w:r>
        <w:rPr>
          <w:rFonts w:hint="eastAsia" w:ascii="宋体" w:hAnsi="宋体" w:cs="宋体"/>
          <w:color w:val="auto"/>
          <w:kern w:val="0"/>
          <w:szCs w:val="28"/>
          <w:highlight w:val="none"/>
        </w:rPr>
        <w:t>；</w:t>
      </w:r>
    </w:p>
    <w:p w14:paraId="35BD26E9">
      <w:pPr>
        <w:pStyle w:val="5"/>
        <w:spacing w:line="360" w:lineRule="auto"/>
        <w:rPr>
          <w:rFonts w:hint="eastAsia" w:ascii="宋体" w:hAnsi="宋体" w:eastAsia="宋体" w:cs="宋体"/>
          <w:color w:val="auto"/>
          <w:kern w:val="2"/>
          <w:sz w:val="21"/>
          <w:szCs w:val="28"/>
          <w:highlight w:val="none"/>
          <w:lang w:val="en-US" w:eastAsia="zh-CN" w:bidi="ar-SA"/>
        </w:rPr>
      </w:pPr>
      <w:r>
        <w:rPr>
          <w:rFonts w:hint="eastAsia" w:ascii="宋体" w:hAnsi="宋体" w:eastAsia="宋体" w:cs="宋体"/>
          <w:color w:val="auto"/>
          <w:kern w:val="2"/>
          <w:sz w:val="21"/>
          <w:szCs w:val="28"/>
          <w:highlight w:val="none"/>
          <w:lang w:val="en-US" w:eastAsia="zh-CN" w:bidi="ar-SA"/>
        </w:rPr>
        <w:t>台州湾新区行政审批与投资服务局联系人：徐先生；   联系电话：0576-88538849。</w:t>
      </w:r>
    </w:p>
    <w:p w14:paraId="229C25F0">
      <w:pPr>
        <w:widowControl/>
        <w:spacing w:line="360" w:lineRule="auto"/>
        <w:ind w:firstLine="3150" w:firstLineChars="1500"/>
        <w:jc w:val="right"/>
        <w:rPr>
          <w:rFonts w:hint="eastAsia" w:ascii="宋体" w:hAnsi="宋体" w:cs="宋体"/>
          <w:color w:val="auto"/>
          <w:szCs w:val="28"/>
          <w:highlight w:val="none"/>
        </w:rPr>
      </w:pPr>
      <w:r>
        <w:rPr>
          <w:rFonts w:hint="eastAsia" w:ascii="宋体" w:hAnsi="宋体" w:cs="宋体"/>
          <w:color w:val="auto"/>
          <w:kern w:val="0"/>
          <w:szCs w:val="28"/>
          <w:highlight w:val="none"/>
        </w:rPr>
        <w:t>台州市建设咨询有限公司</w:t>
      </w:r>
      <w:r>
        <w:rPr>
          <w:rFonts w:hint="eastAsia" w:ascii="宋体" w:hAnsi="宋体" w:cs="宋体"/>
          <w:color w:val="auto"/>
          <w:szCs w:val="28"/>
          <w:highlight w:val="none"/>
        </w:rPr>
        <w:t xml:space="preserve">                                  </w:t>
      </w:r>
    </w:p>
    <w:p w14:paraId="42330AE8">
      <w:pPr>
        <w:widowControl/>
        <w:spacing w:before="60" w:after="60" w:line="360" w:lineRule="auto"/>
        <w:ind w:right="60" w:firstLine="210" w:firstLineChars="100"/>
        <w:jc w:val="center"/>
        <w:rPr>
          <w:rFonts w:hint="eastAsia" w:ascii="宋体" w:hAnsi="宋体" w:cs="宋体"/>
          <w:b/>
          <w:color w:val="auto"/>
          <w:szCs w:val="28"/>
          <w:highlight w:val="none"/>
        </w:rPr>
      </w:pPr>
      <w:r>
        <w:rPr>
          <w:rFonts w:hint="eastAsia" w:ascii="宋体" w:hAnsi="宋体" w:cs="宋体"/>
          <w:color w:val="auto"/>
          <w:szCs w:val="28"/>
          <w:highlight w:val="none"/>
          <w:lang w:val="en-US" w:eastAsia="zh-CN"/>
        </w:rPr>
        <w:t xml:space="preserve">                                                        </w:t>
      </w:r>
      <w:r>
        <w:rPr>
          <w:rFonts w:hint="eastAsia" w:ascii="宋体" w:hAnsi="宋体" w:cs="宋体"/>
          <w:color w:val="auto"/>
          <w:kern w:val="0"/>
          <w:szCs w:val="28"/>
          <w:highlight w:val="none"/>
        </w:rPr>
        <w:t>二〇二</w:t>
      </w:r>
      <w:r>
        <w:rPr>
          <w:rFonts w:hint="eastAsia" w:ascii="宋体" w:hAnsi="宋体" w:cs="宋体"/>
          <w:color w:val="auto"/>
          <w:kern w:val="0"/>
          <w:szCs w:val="28"/>
          <w:highlight w:val="none"/>
          <w:lang w:val="en-US" w:eastAsia="zh-CN"/>
        </w:rPr>
        <w:t>四</w:t>
      </w:r>
      <w:r>
        <w:rPr>
          <w:rFonts w:hint="eastAsia" w:ascii="宋体" w:hAnsi="宋体" w:cs="宋体"/>
          <w:color w:val="auto"/>
          <w:kern w:val="0"/>
          <w:szCs w:val="28"/>
          <w:highlight w:val="none"/>
        </w:rPr>
        <w:t>年</w:t>
      </w:r>
      <w:r>
        <w:rPr>
          <w:rFonts w:hint="eastAsia" w:ascii="宋体" w:hAnsi="宋体" w:cs="宋体"/>
          <w:color w:val="auto"/>
          <w:kern w:val="0"/>
          <w:szCs w:val="28"/>
          <w:highlight w:val="none"/>
          <w:lang w:val="en-US" w:eastAsia="zh-CN"/>
        </w:rPr>
        <w:t>十一</w:t>
      </w:r>
      <w:r>
        <w:rPr>
          <w:rFonts w:hint="eastAsia" w:ascii="宋体" w:hAnsi="宋体" w:cs="宋体"/>
          <w:color w:val="auto"/>
          <w:kern w:val="0"/>
          <w:szCs w:val="28"/>
          <w:highlight w:val="none"/>
        </w:rPr>
        <w:t>月</w:t>
      </w:r>
    </w:p>
    <w:p w14:paraId="05821E68">
      <w:pPr>
        <w:pStyle w:val="2"/>
        <w:tabs>
          <w:tab w:val="left" w:pos="360"/>
        </w:tabs>
        <w:jc w:val="center"/>
        <w:rPr>
          <w:rFonts w:hint="eastAsia"/>
          <w:color w:val="auto"/>
          <w:highlight w:val="none"/>
        </w:rPr>
      </w:pPr>
      <w:r>
        <w:rPr>
          <w:rFonts w:hint="eastAsia"/>
          <w:color w:val="auto"/>
          <w:highlight w:val="none"/>
        </w:rPr>
        <w:t>第</w:t>
      </w:r>
      <w:r>
        <w:rPr>
          <w:rFonts w:hint="eastAsia"/>
          <w:color w:val="auto"/>
          <w:highlight w:val="none"/>
          <w:lang w:val="en-US" w:eastAsia="zh-CN"/>
        </w:rPr>
        <w:t>二</w:t>
      </w:r>
      <w:r>
        <w:rPr>
          <w:rFonts w:hint="eastAsia"/>
          <w:color w:val="auto"/>
          <w:highlight w:val="none"/>
        </w:rPr>
        <w:t>章  招标需求</w:t>
      </w:r>
    </w:p>
    <w:p w14:paraId="7E8E23D3">
      <w:pPr>
        <w:rPr>
          <w:rFonts w:hint="eastAsia" w:ascii="宋体" w:hAnsi="宋体" w:cs="宋体"/>
          <w:color w:val="auto"/>
          <w:kern w:val="0"/>
          <w:sz w:val="24"/>
          <w:highlight w:val="none"/>
        </w:rPr>
      </w:pPr>
    </w:p>
    <w:p w14:paraId="5FE857B7">
      <w:pPr>
        <w:rPr>
          <w:rFonts w:hint="eastAsia" w:ascii="宋体" w:hAnsi="宋体" w:eastAsia="宋体" w:cs="宋体"/>
          <w:color w:val="auto"/>
          <w:kern w:val="0"/>
          <w:sz w:val="24"/>
          <w:highlight w:val="none"/>
          <w:lang w:eastAsia="zh-CN"/>
        </w:rPr>
      </w:pPr>
      <w:r>
        <w:rPr>
          <w:rFonts w:hint="eastAsia" w:ascii="宋体" w:hAnsi="宋体" w:cs="宋体"/>
          <w:b/>
          <w:bCs/>
          <w:color w:val="auto"/>
          <w:kern w:val="0"/>
          <w:sz w:val="24"/>
          <w:highlight w:val="none"/>
        </w:rPr>
        <w:t>招标人</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台州东茂观光农业开发有限公司</w:t>
      </w:r>
    </w:p>
    <w:p w14:paraId="550A2FE8">
      <w:pPr>
        <w:rPr>
          <w:rFonts w:hint="eastAsia" w:ascii="宋体" w:hAnsi="宋体" w:cs="宋体"/>
          <w:color w:val="auto"/>
          <w:kern w:val="0"/>
          <w:szCs w:val="21"/>
          <w:highlight w:val="none"/>
        </w:rPr>
      </w:pPr>
    </w:p>
    <w:p w14:paraId="5BD82919">
      <w:pP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本次招标具体范围:</w:t>
      </w:r>
    </w:p>
    <w:p w14:paraId="48350E1E">
      <w:pPr>
        <w:rPr>
          <w:rFonts w:hint="eastAsia" w:ascii="宋体" w:hAnsi="宋体" w:cs="宋体"/>
          <w:color w:val="auto"/>
          <w:kern w:val="0"/>
          <w:szCs w:val="21"/>
          <w:highlight w:val="none"/>
        </w:rPr>
      </w:pPr>
    </w:p>
    <w:tbl>
      <w:tblPr>
        <w:tblStyle w:val="18"/>
        <w:tblW w:w="8769" w:type="dxa"/>
        <w:tblInd w:w="34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221"/>
      </w:tblGrid>
      <w:tr w14:paraId="00BEE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76811BBF">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标项</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0F04AD6F">
            <w:pPr>
              <w:rPr>
                <w:rFonts w:hint="eastAsia" w:ascii="宋体" w:hAnsi="宋体" w:cs="宋体"/>
                <w:color w:val="auto"/>
                <w:kern w:val="0"/>
                <w:szCs w:val="21"/>
                <w:highlight w:val="none"/>
              </w:rPr>
            </w:pPr>
            <w:r>
              <w:rPr>
                <w:rFonts w:hint="eastAsia" w:ascii="宋体" w:hAnsi="宋体" w:cs="宋体"/>
                <w:color w:val="auto"/>
                <w:kern w:val="0"/>
                <w:szCs w:val="21"/>
                <w:highlight w:val="none"/>
              </w:rPr>
              <w:t>一</w:t>
            </w:r>
          </w:p>
        </w:tc>
      </w:tr>
      <w:tr w14:paraId="5FC0E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66505DE4">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招标内容</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2CFE8508">
            <w:pP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台州东茂观光农业开发有限公司2025年水稻秧苗采购（重新招标）</w:t>
            </w:r>
          </w:p>
        </w:tc>
      </w:tr>
      <w:tr w14:paraId="47C35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757C4EE2">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单位及数量</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533C69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杂交水稻甬优1540的水稻秧苗</w:t>
            </w:r>
            <w:r>
              <w:rPr>
                <w:rFonts w:hint="eastAsia" w:ascii="宋体" w:hAnsi="宋体" w:cs="宋体"/>
                <w:color w:val="auto"/>
                <w:kern w:val="0"/>
                <w:szCs w:val="21"/>
                <w:highlight w:val="none"/>
                <w:lang w:eastAsia="zh-CN"/>
              </w:rPr>
              <w:t>，约65000盘</w:t>
            </w:r>
            <w:r>
              <w:rPr>
                <w:rFonts w:hint="eastAsia" w:ascii="宋体" w:hAnsi="宋体" w:cs="宋体"/>
                <w:color w:val="auto"/>
                <w:kern w:val="0"/>
                <w:szCs w:val="21"/>
                <w:highlight w:val="none"/>
              </w:rPr>
              <w:t>，每盘448钵秧苗，每钵需出2-3苗，秧苗附带基质球，交付苗高至少达到15公分，秧龄18-20天</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纯度96%以上，净度98%以上，发芽率80%以上，无恶苗病。</w:t>
            </w:r>
          </w:p>
        </w:tc>
      </w:tr>
      <w:tr w14:paraId="5AB38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6B3876EE">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最高投标</w:t>
            </w:r>
            <w:r>
              <w:rPr>
                <w:rFonts w:hint="eastAsia" w:ascii="宋体" w:hAnsi="宋体" w:cs="宋体"/>
                <w:color w:val="auto"/>
                <w:kern w:val="0"/>
                <w:szCs w:val="21"/>
                <w:highlight w:val="none"/>
              </w:rPr>
              <w:t>限价</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7E5E1D45">
            <w:pP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13元/盘</w:t>
            </w:r>
          </w:p>
        </w:tc>
      </w:tr>
      <w:tr w14:paraId="0CC11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3E99C7C9">
            <w:pPr>
              <w:jc w:val="center"/>
              <w:rPr>
                <w:rFonts w:hint="eastAsia" w:ascii="宋体" w:hAnsi="宋体" w:cs="宋体"/>
                <w:color w:val="auto"/>
                <w:kern w:val="0"/>
                <w:szCs w:val="21"/>
                <w:highlight w:val="none"/>
              </w:rPr>
            </w:pPr>
            <w:r>
              <w:rPr>
                <w:rFonts w:hint="eastAsia" w:ascii="宋体" w:hAnsi="宋体" w:eastAsia="宋体" w:cs="宋体"/>
                <w:color w:val="auto"/>
                <w:kern w:val="0"/>
                <w:szCs w:val="21"/>
                <w:highlight w:val="none"/>
                <w:lang w:eastAsia="zh-CN"/>
              </w:rPr>
              <w:t>供货地点</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7CB542C1">
            <w:pP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招标人指定地点</w:t>
            </w:r>
          </w:p>
        </w:tc>
      </w:tr>
      <w:tr w14:paraId="1BD56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63A170C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eastAsia="宋体"/>
                <w:b/>
                <w:bCs/>
                <w:color w:val="auto"/>
                <w:highlight w:val="none"/>
              </w:rPr>
            </w:pPr>
            <w:r>
              <w:rPr>
                <w:rFonts w:hint="eastAsia" w:eastAsia="宋体"/>
                <w:b/>
                <w:bCs/>
                <w:color w:val="auto"/>
                <w:highlight w:val="none"/>
                <w:lang w:val="en-US" w:eastAsia="zh-CN"/>
              </w:rPr>
              <w:t>项目概况</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597DAB7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eastAsia="宋体"/>
                <w:b/>
                <w:bCs/>
                <w:color w:val="auto"/>
                <w:highlight w:val="none"/>
              </w:rPr>
            </w:pPr>
            <w:r>
              <w:rPr>
                <w:rFonts w:hint="eastAsia" w:asciiTheme="majorEastAsia" w:hAnsiTheme="majorEastAsia" w:eastAsiaTheme="majorEastAsia" w:cstheme="majorEastAsia"/>
                <w:sz w:val="21"/>
                <w:szCs w:val="21"/>
                <w:highlight w:val="none"/>
                <w:lang w:val="en-US" w:eastAsia="zh-CN"/>
              </w:rPr>
              <w:t>采购水稻秧苗，用于公司农业生产。秧苗品种为杂交水稻甬优1540，共需采购约65000盘，每盘448钵秧苗，每钵2-3苗，秧苗附带基质球，交付苗高至少达到15公分，秧龄18-20天，纯度96%以上，净度98%以上，</w:t>
            </w:r>
            <w:r>
              <w:rPr>
                <w:rFonts w:hint="eastAsia" w:asciiTheme="majorEastAsia" w:hAnsiTheme="majorEastAsia" w:eastAsiaTheme="majorEastAsia" w:cstheme="majorEastAsia"/>
                <w:i w:val="0"/>
                <w:color w:val="000000"/>
                <w:sz w:val="21"/>
                <w:szCs w:val="21"/>
                <w:highlight w:val="none"/>
                <w:u w:val="none"/>
                <w:lang w:val="en-US" w:eastAsia="zh-CN"/>
              </w:rPr>
              <w:t>发芽率80%以上，无恶苗病。</w:t>
            </w:r>
          </w:p>
        </w:tc>
      </w:tr>
      <w:tr w14:paraId="675AB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286E39FA">
            <w:pPr>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投标报价</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579F50B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投标报价应是招标文件所确定的招标范围内全部工作内容的价格表现。其应包括稻种育秧（种子采购、育秧至运输到甲方指定地点当中的所有相关费用）、劳保用品、管理人员费用、税金、运输（货物运到采购人指定地点）、保险、装卸、损耗、验收（含第三方验收）、售后服务、材料、风险、利润、等全部费用。各投标人应根据招标人提供的技术资料，以及本项目实际情况和自身的综合实力，竞报投标报价。</w:t>
            </w:r>
          </w:p>
        </w:tc>
      </w:tr>
    </w:tbl>
    <w:p w14:paraId="76D72518">
      <w:pPr>
        <w:jc w:val="center"/>
        <w:rPr>
          <w:rFonts w:hint="eastAsia" w:ascii="黑体" w:eastAsia="黑体"/>
          <w:color w:val="auto"/>
          <w:kern w:val="21"/>
          <w:szCs w:val="21"/>
          <w:highlight w:val="none"/>
        </w:rPr>
      </w:pPr>
      <w:bookmarkStart w:id="3" w:name="_Toc458127838"/>
      <w:r>
        <w:rPr>
          <w:rFonts w:hint="eastAsia"/>
          <w:color w:val="auto"/>
          <w:highlight w:val="none"/>
        </w:rPr>
        <w:br w:type="page"/>
      </w:r>
      <w:bookmarkEnd w:id="3"/>
    </w:p>
    <w:p w14:paraId="7730B049">
      <w:pPr>
        <w:spacing w:line="420" w:lineRule="exact"/>
        <w:jc w:val="center"/>
        <w:rPr>
          <w:rFonts w:ascii="黑体" w:eastAsia="黑体"/>
          <w:color w:val="auto"/>
          <w:kern w:val="21"/>
          <w:szCs w:val="21"/>
          <w:highlight w:val="none"/>
        </w:rPr>
        <w:sectPr>
          <w:footnotePr>
            <w:numRestart w:val="eachPage"/>
          </w:footnotePr>
          <w:endnotePr>
            <w:numRestart w:val="eachSect"/>
          </w:endnotePr>
          <w:pgSz w:w="11907" w:h="16840"/>
          <w:pgMar w:top="1440" w:right="1800" w:bottom="1440" w:left="1800" w:header="434" w:footer="573" w:gutter="0"/>
          <w:pgNumType w:fmt="decimal"/>
          <w:cols w:space="720" w:num="1"/>
          <w:titlePg/>
          <w:docGrid w:linePitch="435" w:charSpace="-6554"/>
        </w:sectPr>
      </w:pPr>
    </w:p>
    <w:p w14:paraId="3049876B">
      <w:pPr>
        <w:pStyle w:val="2"/>
        <w:tabs>
          <w:tab w:val="left" w:pos="360"/>
        </w:tabs>
        <w:spacing w:line="400" w:lineRule="exact"/>
        <w:rPr>
          <w:rFonts w:hint="eastAsia"/>
          <w:color w:val="auto"/>
          <w:sz w:val="28"/>
          <w:szCs w:val="28"/>
          <w:highlight w:val="none"/>
        </w:rPr>
      </w:pPr>
      <w:bookmarkStart w:id="4" w:name="_Toc458127839"/>
      <w:r>
        <w:rPr>
          <w:rFonts w:hint="eastAsia"/>
          <w:color w:val="auto"/>
          <w:sz w:val="28"/>
          <w:szCs w:val="28"/>
          <w:highlight w:val="none"/>
        </w:rPr>
        <w:t xml:space="preserve">   </w:t>
      </w:r>
      <w:r>
        <w:rPr>
          <w:rFonts w:hint="eastAsia" w:cs="Times New Roman"/>
          <w:color w:val="auto"/>
          <w:sz w:val="32"/>
          <w:szCs w:val="20"/>
          <w:highlight w:val="none"/>
        </w:rPr>
        <w:t>第</w:t>
      </w:r>
      <w:r>
        <w:rPr>
          <w:rFonts w:hint="eastAsia" w:cs="Times New Roman"/>
          <w:color w:val="auto"/>
          <w:sz w:val="32"/>
          <w:szCs w:val="20"/>
          <w:highlight w:val="none"/>
          <w:lang w:val="en-US" w:eastAsia="zh-CN"/>
        </w:rPr>
        <w:t>三</w:t>
      </w:r>
      <w:r>
        <w:rPr>
          <w:rFonts w:hint="eastAsia" w:cs="Times New Roman"/>
          <w:color w:val="auto"/>
          <w:sz w:val="32"/>
          <w:szCs w:val="20"/>
          <w:highlight w:val="none"/>
        </w:rPr>
        <w:t>章  投标须知</w:t>
      </w:r>
      <w:bookmarkEnd w:id="4"/>
    </w:p>
    <w:p w14:paraId="34F75804">
      <w:pPr>
        <w:snapToGrid w:val="0"/>
        <w:spacing w:before="120" w:beforeLines="50" w:after="120" w:afterLines="50"/>
        <w:ind w:left="238"/>
        <w:jc w:val="center"/>
        <w:outlineLvl w:val="1"/>
        <w:rPr>
          <w:rFonts w:hint="eastAsia"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投标须知前附表</w:t>
      </w:r>
    </w:p>
    <w:tbl>
      <w:tblPr>
        <w:tblStyle w:val="18"/>
        <w:tblW w:w="983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24"/>
        <w:gridCol w:w="1126"/>
        <w:gridCol w:w="7781"/>
      </w:tblGrid>
      <w:tr w14:paraId="56B12F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6" w:hRule="atLeast"/>
          <w:jc w:val="center"/>
        </w:trPr>
        <w:tc>
          <w:tcPr>
            <w:tcW w:w="924" w:type="dxa"/>
            <w:noWrap w:val="0"/>
            <w:vAlign w:val="center"/>
          </w:tcPr>
          <w:p w14:paraId="65389668">
            <w:pPr>
              <w:ind w:left="-97" w:leftChars="-46" w:firstLine="84" w:firstLineChars="40"/>
              <w:jc w:val="center"/>
              <w:rPr>
                <w:rFonts w:hint="eastAsia"/>
                <w:color w:val="auto"/>
                <w:kern w:val="21"/>
                <w:szCs w:val="21"/>
                <w:highlight w:val="none"/>
              </w:rPr>
            </w:pPr>
            <w:r>
              <w:rPr>
                <w:rFonts w:hint="eastAsia"/>
                <w:color w:val="auto"/>
                <w:kern w:val="21"/>
                <w:szCs w:val="21"/>
                <w:highlight w:val="none"/>
              </w:rPr>
              <w:t>序号</w:t>
            </w:r>
          </w:p>
        </w:tc>
        <w:tc>
          <w:tcPr>
            <w:tcW w:w="8907" w:type="dxa"/>
            <w:gridSpan w:val="2"/>
            <w:noWrap w:val="0"/>
            <w:vAlign w:val="center"/>
          </w:tcPr>
          <w:p w14:paraId="081C4B14">
            <w:pPr>
              <w:jc w:val="center"/>
              <w:rPr>
                <w:rFonts w:hint="eastAsia"/>
                <w:color w:val="auto"/>
                <w:kern w:val="21"/>
                <w:szCs w:val="21"/>
                <w:highlight w:val="none"/>
              </w:rPr>
            </w:pPr>
            <w:r>
              <w:rPr>
                <w:rFonts w:hint="eastAsia"/>
                <w:color w:val="auto"/>
                <w:kern w:val="21"/>
                <w:szCs w:val="21"/>
                <w:highlight w:val="none"/>
              </w:rPr>
              <w:t>内    容    规    定</w:t>
            </w:r>
          </w:p>
        </w:tc>
      </w:tr>
      <w:tr w14:paraId="08F29C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75" w:hRule="atLeast"/>
          <w:jc w:val="center"/>
        </w:trPr>
        <w:tc>
          <w:tcPr>
            <w:tcW w:w="924" w:type="dxa"/>
            <w:noWrap w:val="0"/>
            <w:vAlign w:val="center"/>
          </w:tcPr>
          <w:p w14:paraId="4E96D847">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126" w:type="dxa"/>
            <w:noWrap w:val="0"/>
            <w:vAlign w:val="center"/>
          </w:tcPr>
          <w:p w14:paraId="79C6FFFF">
            <w:pPr>
              <w:rPr>
                <w:rFonts w:hint="eastAsia" w:ascii="宋体" w:hAnsi="宋体" w:cs="宋体"/>
                <w:color w:val="auto"/>
                <w:kern w:val="0"/>
                <w:szCs w:val="21"/>
                <w:highlight w:val="none"/>
              </w:rPr>
            </w:pPr>
            <w:r>
              <w:rPr>
                <w:rFonts w:hint="eastAsia" w:ascii="宋体" w:hAnsi="宋体" w:cs="宋体"/>
                <w:color w:val="auto"/>
                <w:kern w:val="0"/>
                <w:szCs w:val="21"/>
                <w:highlight w:val="none"/>
              </w:rPr>
              <w:t>项目说明</w:t>
            </w:r>
          </w:p>
        </w:tc>
        <w:tc>
          <w:tcPr>
            <w:tcW w:w="7781" w:type="dxa"/>
            <w:noWrap w:val="0"/>
            <w:vAlign w:val="center"/>
          </w:tcPr>
          <w:p w14:paraId="4A3C00D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项目名称：</w:t>
            </w:r>
            <w:r>
              <w:rPr>
                <w:rFonts w:hint="eastAsia" w:ascii="宋体" w:hAnsi="宋体" w:cs="宋体"/>
                <w:color w:val="auto"/>
                <w:kern w:val="0"/>
                <w:szCs w:val="21"/>
                <w:highlight w:val="none"/>
                <w:lang w:eastAsia="zh-CN"/>
              </w:rPr>
              <w:t>台州东茂观光农业开发有限公司2025年水稻秧苗采购（重新招标）</w:t>
            </w:r>
          </w:p>
          <w:p w14:paraId="63FE758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供货地点：招标人指定地点</w:t>
            </w:r>
          </w:p>
          <w:p w14:paraId="5219857B">
            <w:pPr>
              <w:keepNext w:val="0"/>
              <w:keepLines w:val="0"/>
              <w:pageBreakBefore w:val="0"/>
              <w:kinsoku/>
              <w:wordWrap/>
              <w:overflowPunct/>
              <w:topLinePunct w:val="0"/>
              <w:autoSpaceDE/>
              <w:autoSpaceDN/>
              <w:bidi w:val="0"/>
              <w:adjustRightInd/>
              <w:snapToGrid/>
              <w:spacing w:line="360" w:lineRule="auto"/>
              <w:textAlignment w:val="auto"/>
              <w:rPr>
                <w:rFonts w:hint="eastAsia" w:eastAsia="宋体"/>
                <w:color w:val="auto"/>
                <w:kern w:val="21"/>
                <w:szCs w:val="21"/>
                <w:highlight w:val="none"/>
                <w:lang w:eastAsia="zh-CN"/>
              </w:rPr>
            </w:pPr>
            <w:r>
              <w:rPr>
                <w:rFonts w:hint="eastAsia" w:ascii="宋体" w:hAnsi="宋体" w:cs="宋体"/>
                <w:color w:val="auto"/>
                <w:kern w:val="0"/>
                <w:szCs w:val="21"/>
                <w:highlight w:val="none"/>
              </w:rPr>
              <w:t>招标方式：公开招标</w:t>
            </w:r>
          </w:p>
        </w:tc>
      </w:tr>
      <w:tr w14:paraId="46604E1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924" w:type="dxa"/>
            <w:noWrap w:val="0"/>
            <w:vAlign w:val="center"/>
          </w:tcPr>
          <w:p w14:paraId="479BBDCD">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8907" w:type="dxa"/>
            <w:gridSpan w:val="2"/>
            <w:noWrap w:val="0"/>
            <w:vAlign w:val="center"/>
          </w:tcPr>
          <w:p w14:paraId="569A5886">
            <w:pPr>
              <w:rPr>
                <w:rFonts w:hint="eastAsia" w:ascii="宋体" w:hAnsi="宋体" w:cs="宋体"/>
                <w:color w:val="auto"/>
                <w:kern w:val="0"/>
                <w:szCs w:val="21"/>
                <w:highlight w:val="none"/>
              </w:rPr>
            </w:pPr>
            <w:r>
              <w:rPr>
                <w:rFonts w:hint="eastAsia" w:ascii="宋体" w:hAnsi="宋体" w:cs="宋体"/>
                <w:color w:val="auto"/>
                <w:kern w:val="0"/>
                <w:szCs w:val="21"/>
                <w:highlight w:val="none"/>
              </w:rPr>
              <w:t>投标人须具备的条件：</w:t>
            </w:r>
          </w:p>
          <w:p w14:paraId="5306C0EC">
            <w:pPr>
              <w:rPr>
                <w:rFonts w:hint="eastAsia" w:ascii="宋体" w:hAnsi="宋体" w:cs="宋体"/>
                <w:color w:val="auto"/>
                <w:kern w:val="0"/>
                <w:szCs w:val="21"/>
                <w:highlight w:val="none"/>
              </w:rPr>
            </w:pPr>
            <w:r>
              <w:rPr>
                <w:rFonts w:hint="eastAsia" w:ascii="宋体" w:hAnsi="宋体" w:cs="宋体"/>
                <w:color w:val="auto"/>
                <w:kern w:val="0"/>
                <w:szCs w:val="21"/>
                <w:highlight w:val="none"/>
              </w:rPr>
              <w:t>（一）具备水稻秧苗供应能力的独立法人或个体工商户或合作社（须具备营业执照）。</w:t>
            </w:r>
          </w:p>
          <w:p w14:paraId="536C93DE">
            <w:pPr>
              <w:rPr>
                <w:rFonts w:hint="default" w:eastAsia="楷体"/>
                <w:color w:val="auto"/>
                <w:highlight w:val="none"/>
                <w:lang w:val="en-US" w:eastAsia="zh-CN"/>
              </w:rPr>
            </w:pPr>
            <w:r>
              <w:rPr>
                <w:rFonts w:hint="eastAsia" w:ascii="宋体" w:hAnsi="宋体" w:cs="宋体"/>
                <w:color w:val="auto"/>
                <w:kern w:val="0"/>
                <w:szCs w:val="21"/>
                <w:highlight w:val="none"/>
              </w:rPr>
              <w:t>（二）本项目不接受联合体投标。</w:t>
            </w:r>
          </w:p>
        </w:tc>
      </w:tr>
      <w:tr w14:paraId="2DDD56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924" w:type="dxa"/>
            <w:noWrap w:val="0"/>
            <w:vAlign w:val="center"/>
          </w:tcPr>
          <w:p w14:paraId="3358E4B0">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8907" w:type="dxa"/>
            <w:gridSpan w:val="2"/>
            <w:noWrap w:val="0"/>
            <w:vAlign w:val="center"/>
          </w:tcPr>
          <w:p w14:paraId="339591AD">
            <w:pPr>
              <w:rPr>
                <w:rFonts w:hint="eastAsia" w:ascii="宋体" w:hAnsi="宋体" w:cs="宋体"/>
                <w:color w:val="auto"/>
                <w:kern w:val="0"/>
                <w:szCs w:val="21"/>
                <w:highlight w:val="none"/>
              </w:rPr>
            </w:pPr>
            <w:r>
              <w:rPr>
                <w:rFonts w:hint="eastAsia" w:ascii="宋体" w:hAnsi="宋体" w:cs="宋体"/>
                <w:color w:val="auto"/>
                <w:kern w:val="0"/>
                <w:szCs w:val="21"/>
                <w:highlight w:val="none"/>
              </w:rPr>
              <w:t>资金来源：自筹</w:t>
            </w:r>
          </w:p>
        </w:tc>
      </w:tr>
      <w:tr w14:paraId="575DC5E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924" w:type="dxa"/>
            <w:noWrap w:val="0"/>
            <w:vAlign w:val="center"/>
          </w:tcPr>
          <w:p w14:paraId="5E557B37">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8907" w:type="dxa"/>
            <w:gridSpan w:val="2"/>
            <w:noWrap w:val="0"/>
            <w:vAlign w:val="center"/>
          </w:tcPr>
          <w:p w14:paraId="247FF22A">
            <w:pPr>
              <w:widowControl/>
              <w:adjustRightInd/>
              <w:snapToGrid/>
              <w:spacing w:line="360" w:lineRule="auto"/>
              <w:jc w:val="left"/>
              <w:rPr>
                <w:rFonts w:hint="eastAsia" w:ascii="宋体" w:hAnsi="宋体" w:eastAsia="宋体" w:cs="宋体"/>
                <w:color w:val="auto"/>
                <w:kern w:val="0"/>
                <w:sz w:val="21"/>
                <w:szCs w:val="21"/>
                <w:highlight w:val="none"/>
                <w:u w:val="single"/>
                <w:lang w:val="en-US" w:eastAsia="zh-CN"/>
              </w:rPr>
            </w:pPr>
            <w:r>
              <w:rPr>
                <w:rFonts w:hint="eastAsia" w:ascii="宋体" w:hAnsi="宋体" w:eastAsia="宋体" w:cs="宋体"/>
                <w:color w:val="auto"/>
                <w:kern w:val="0"/>
                <w:sz w:val="21"/>
                <w:szCs w:val="21"/>
                <w:highlight w:val="none"/>
              </w:rPr>
              <w:t>1、投标保证金：</w:t>
            </w:r>
            <w:r>
              <w:rPr>
                <w:rFonts w:hint="eastAsia" w:ascii="宋体" w:hAnsi="宋体" w:cs="宋体"/>
                <w:b w:val="0"/>
                <w:bCs w:val="0"/>
                <w:color w:val="auto"/>
                <w:kern w:val="0"/>
                <w:sz w:val="21"/>
                <w:szCs w:val="21"/>
                <w:highlight w:val="none"/>
                <w:u w:val="single"/>
                <w:lang w:val="en-US" w:eastAsia="zh-CN"/>
              </w:rPr>
              <w:t>壹万叁仟元整</w:t>
            </w:r>
            <w:r>
              <w:rPr>
                <w:rFonts w:hint="eastAsia" w:ascii="宋体" w:hAnsi="宋体" w:eastAsia="宋体" w:cs="宋体"/>
                <w:b w:val="0"/>
                <w:bCs w:val="0"/>
                <w:color w:val="auto"/>
                <w:kern w:val="0"/>
                <w:sz w:val="21"/>
                <w:szCs w:val="21"/>
                <w:highlight w:val="none"/>
                <w:u w:val="single"/>
              </w:rPr>
              <w:t>（</w:t>
            </w:r>
            <w:r>
              <w:rPr>
                <w:rFonts w:hint="eastAsia" w:ascii="宋体" w:hAnsi="宋体" w:cs="宋体"/>
                <w:b w:val="0"/>
                <w:bCs w:val="0"/>
                <w:color w:val="auto"/>
                <w:kern w:val="0"/>
                <w:sz w:val="21"/>
                <w:szCs w:val="21"/>
                <w:highlight w:val="none"/>
                <w:u w:val="single"/>
                <w:lang w:eastAsia="zh-CN"/>
              </w:rPr>
              <w:t>13000</w:t>
            </w:r>
            <w:r>
              <w:rPr>
                <w:rFonts w:hint="eastAsia" w:ascii="宋体" w:hAnsi="宋体" w:eastAsia="宋体" w:cs="宋体"/>
                <w:b w:val="0"/>
                <w:bCs w:val="0"/>
                <w:color w:val="auto"/>
                <w:kern w:val="0"/>
                <w:sz w:val="21"/>
                <w:szCs w:val="21"/>
                <w:highlight w:val="none"/>
                <w:u w:val="single"/>
              </w:rPr>
              <w:t>元</w:t>
            </w:r>
            <w:r>
              <w:rPr>
                <w:rFonts w:hint="eastAsia" w:ascii="宋体" w:hAnsi="宋体" w:cs="宋体"/>
                <w:b w:val="0"/>
                <w:bCs w:val="0"/>
                <w:color w:val="auto"/>
                <w:kern w:val="0"/>
                <w:sz w:val="21"/>
                <w:szCs w:val="21"/>
                <w:highlight w:val="none"/>
                <w:u w:val="single"/>
                <w:lang w:eastAsia="zh-CN"/>
              </w:rPr>
              <w:t>）</w:t>
            </w:r>
          </w:p>
          <w:p w14:paraId="14C4736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2、保证金形式：</w:t>
            </w:r>
            <w:r>
              <w:rPr>
                <w:rFonts w:hint="eastAsia" w:ascii="宋体" w:hAnsi="宋体" w:cs="宋体"/>
                <w:b w:val="0"/>
                <w:color w:val="auto"/>
                <w:kern w:val="0"/>
                <w:szCs w:val="21"/>
                <w:highlight w:val="none"/>
                <w:lang w:eastAsia="zh-CN"/>
              </w:rPr>
              <w:t>现金转账、电汇、银行汇票、银行保函、保险机构保证保险保单、融资担保公司保函</w:t>
            </w:r>
            <w:r>
              <w:rPr>
                <w:rFonts w:hint="eastAsia" w:ascii="宋体" w:hAnsi="宋体" w:eastAsia="宋体" w:cs="宋体"/>
                <w:color w:val="auto"/>
                <w:kern w:val="0"/>
                <w:sz w:val="21"/>
                <w:szCs w:val="21"/>
                <w:highlight w:val="none"/>
              </w:rPr>
              <w:t>。</w:t>
            </w:r>
          </w:p>
          <w:p w14:paraId="407CEC9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b w:val="0"/>
                <w:color w:val="auto"/>
                <w:kern w:val="0"/>
                <w:szCs w:val="21"/>
                <w:highlight w:val="none"/>
                <w:lang w:eastAsia="zh-CN"/>
              </w:rPr>
              <w:t>现金转账</w:t>
            </w:r>
            <w:r>
              <w:rPr>
                <w:rFonts w:hint="eastAsia" w:ascii="宋体" w:hAnsi="宋体" w:eastAsia="宋体" w:cs="宋体"/>
                <w:color w:val="auto"/>
                <w:kern w:val="0"/>
                <w:sz w:val="21"/>
                <w:szCs w:val="21"/>
                <w:highlight w:val="none"/>
              </w:rPr>
              <w:t>、电汇、银行汇票：</w:t>
            </w:r>
          </w:p>
          <w:p w14:paraId="644BDD7C">
            <w:pPr>
              <w:widowControl/>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投标保证金应在投标截止时间前以投标人名义转至台州市建设咨询有限公司账户</w:t>
            </w:r>
          </w:p>
          <w:p w14:paraId="5CF6423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开户行：中信银行台州分行营业部；</w:t>
            </w:r>
          </w:p>
          <w:p w14:paraId="3665A4C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银行行号：302345033952；</w:t>
            </w:r>
          </w:p>
          <w:p w14:paraId="5A60BB3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账号：8110801011702993473。</w:t>
            </w:r>
          </w:p>
          <w:p w14:paraId="4F090DA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（2）银行保函、保险机构保证保险保单、融资担保公司保函：</w:t>
            </w:r>
          </w:p>
          <w:p w14:paraId="0FA6F50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①银行保函、保险机构保证保险保单、融资担保公司保函（以下合称“工程保函”）原件须在投标截止时间前提交；</w:t>
            </w:r>
          </w:p>
          <w:p w14:paraId="38BD597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提交方式及地点：</w:t>
            </w:r>
            <w:r>
              <w:rPr>
                <w:rFonts w:hint="eastAsia" w:ascii="宋体" w:hAnsi="宋体" w:cs="宋体"/>
                <w:color w:val="auto"/>
                <w:kern w:val="0"/>
                <w:szCs w:val="21"/>
                <w:highlight w:val="none"/>
              </w:rPr>
              <w:t>台州市椒江区开发大道东段818号台州湾新区海虹街道</w:t>
            </w:r>
            <w:r>
              <w:rPr>
                <w:rFonts w:hint="eastAsia" w:ascii="宋体" w:hAnsi="宋体" w:cs="宋体"/>
                <w:color w:val="auto"/>
                <w:kern w:val="0"/>
                <w:szCs w:val="21"/>
                <w:highlight w:val="none"/>
                <w:lang w:val="en-US" w:eastAsia="zh-CN"/>
              </w:rPr>
              <w:t>办事处六</w:t>
            </w:r>
            <w:r>
              <w:rPr>
                <w:rFonts w:hint="eastAsia" w:ascii="宋体" w:hAnsi="宋体" w:cs="宋体"/>
                <w:color w:val="auto"/>
                <w:kern w:val="0"/>
                <w:szCs w:val="21"/>
                <w:highlight w:val="none"/>
              </w:rPr>
              <w:t>楼大厅</w:t>
            </w:r>
            <w:r>
              <w:rPr>
                <w:rFonts w:hint="eastAsia" w:ascii="宋体" w:hAnsi="宋体" w:eastAsia="宋体" w:cs="宋体"/>
                <w:color w:val="auto"/>
                <w:kern w:val="0"/>
                <w:sz w:val="21"/>
                <w:szCs w:val="21"/>
                <w:highlight w:val="none"/>
              </w:rPr>
              <w:t>；</w:t>
            </w:r>
          </w:p>
          <w:p w14:paraId="0B4E5AC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接收人：台州市建设咨询有限公司（代理机构）；</w:t>
            </w:r>
          </w:p>
          <w:p w14:paraId="33E747B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接收人联系方式：</w:t>
            </w:r>
            <w:r>
              <w:rPr>
                <w:rFonts w:hint="eastAsia" w:ascii="宋体" w:hAnsi="宋体" w:cs="宋体"/>
                <w:color w:val="auto"/>
                <w:kern w:val="0"/>
                <w:sz w:val="21"/>
                <w:szCs w:val="21"/>
                <w:highlight w:val="none"/>
                <w:lang w:eastAsia="zh-CN"/>
              </w:rPr>
              <w:t>0576-88517783</w:t>
            </w:r>
            <w:r>
              <w:rPr>
                <w:rFonts w:hint="eastAsia" w:ascii="宋体" w:hAnsi="宋体" w:eastAsia="宋体" w:cs="宋体"/>
                <w:color w:val="auto"/>
                <w:kern w:val="0"/>
                <w:sz w:val="21"/>
                <w:szCs w:val="21"/>
                <w:highlight w:val="none"/>
              </w:rPr>
              <w:t xml:space="preserve"> （代理机构联系方式）；</w:t>
            </w:r>
          </w:p>
          <w:p w14:paraId="0D9E5E68">
            <w:pPr>
              <w:widowControl/>
              <w:spacing w:line="360" w:lineRule="auto"/>
              <w:jc w:val="left"/>
              <w:rPr>
                <w:rFonts w:hint="eastAsia" w:ascii="宋体" w:hAnsi="宋体" w:cs="宋体"/>
                <w:color w:val="auto"/>
                <w:kern w:val="0"/>
                <w:sz w:val="21"/>
                <w:szCs w:val="21"/>
                <w:highlight w:val="none"/>
              </w:rPr>
            </w:pPr>
            <w:r>
              <w:rPr>
                <w:rFonts w:hint="eastAsia" w:ascii="宋体" w:hAnsi="宋体" w:eastAsia="宋体" w:cs="宋体"/>
                <w:color w:val="auto"/>
                <w:kern w:val="0"/>
                <w:sz w:val="21"/>
                <w:szCs w:val="21"/>
                <w:highlight w:val="none"/>
              </w:rPr>
              <w:t>②保函受益人：</w:t>
            </w:r>
            <w:r>
              <w:rPr>
                <w:rFonts w:hint="eastAsia" w:ascii="宋体" w:hAnsi="宋体" w:cs="宋体"/>
                <w:color w:val="auto"/>
                <w:kern w:val="0"/>
                <w:szCs w:val="21"/>
                <w:highlight w:val="none"/>
                <w:u w:val="none"/>
                <w:lang w:eastAsia="zh-CN"/>
              </w:rPr>
              <w:t>台州东茂观光农业开发有限公司</w:t>
            </w:r>
            <w:r>
              <w:rPr>
                <w:rFonts w:hint="eastAsia" w:ascii="宋体" w:hAnsi="宋体" w:cs="宋体"/>
                <w:color w:val="auto"/>
                <w:kern w:val="0"/>
                <w:sz w:val="21"/>
                <w:szCs w:val="21"/>
                <w:highlight w:val="none"/>
                <w:u w:val="none"/>
              </w:rPr>
              <w:t>（</w:t>
            </w:r>
            <w:r>
              <w:rPr>
                <w:rFonts w:hint="eastAsia" w:ascii="宋体" w:hAnsi="宋体" w:cs="宋体"/>
                <w:color w:val="auto"/>
                <w:kern w:val="0"/>
                <w:sz w:val="21"/>
                <w:szCs w:val="21"/>
                <w:highlight w:val="none"/>
                <w:u w:val="none"/>
                <w:lang w:val="en-US" w:eastAsia="zh-CN"/>
              </w:rPr>
              <w:t>招标人</w:t>
            </w:r>
            <w:r>
              <w:rPr>
                <w:rFonts w:hint="eastAsia" w:ascii="宋体" w:hAnsi="宋体" w:cs="宋体"/>
                <w:color w:val="auto"/>
                <w:kern w:val="0"/>
                <w:sz w:val="21"/>
                <w:szCs w:val="21"/>
                <w:highlight w:val="none"/>
                <w:u w:val="none"/>
              </w:rPr>
              <w:t>名称）</w:t>
            </w:r>
            <w:r>
              <w:rPr>
                <w:rFonts w:hint="eastAsia" w:ascii="宋体" w:hAnsi="宋体" w:cs="宋体"/>
                <w:color w:val="auto"/>
                <w:kern w:val="0"/>
                <w:sz w:val="21"/>
                <w:szCs w:val="21"/>
                <w:highlight w:val="none"/>
              </w:rPr>
              <w:t>；</w:t>
            </w:r>
          </w:p>
          <w:p w14:paraId="59C6D431">
            <w:pPr>
              <w:widowControl/>
              <w:spacing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保函投保人：</w:t>
            </w:r>
            <w:r>
              <w:rPr>
                <w:rFonts w:hint="eastAsia" w:ascii="宋体" w:hAnsi="宋体" w:cs="宋体"/>
                <w:color w:val="auto"/>
                <w:kern w:val="0"/>
                <w:sz w:val="21"/>
                <w:szCs w:val="21"/>
                <w:highlight w:val="none"/>
                <w:u w:val="none"/>
              </w:rPr>
              <w:t xml:space="preserve">                  （</w:t>
            </w:r>
            <w:r>
              <w:rPr>
                <w:rFonts w:hint="eastAsia" w:ascii="宋体" w:hAnsi="宋体" w:cs="宋体"/>
                <w:color w:val="auto"/>
                <w:kern w:val="0"/>
                <w:sz w:val="21"/>
                <w:szCs w:val="21"/>
                <w:highlight w:val="none"/>
                <w:u w:val="none"/>
                <w:lang w:val="en-US" w:eastAsia="zh-CN"/>
              </w:rPr>
              <w:t>投标人</w:t>
            </w:r>
            <w:r>
              <w:rPr>
                <w:rFonts w:hint="eastAsia" w:ascii="宋体" w:hAnsi="宋体" w:cs="宋体"/>
                <w:color w:val="auto"/>
                <w:kern w:val="0"/>
                <w:sz w:val="21"/>
                <w:szCs w:val="21"/>
                <w:highlight w:val="none"/>
                <w:u w:val="none"/>
              </w:rPr>
              <w:t>名称）</w:t>
            </w:r>
            <w:r>
              <w:rPr>
                <w:rFonts w:hint="eastAsia" w:ascii="宋体" w:hAnsi="宋体" w:cs="宋体"/>
                <w:color w:val="auto"/>
                <w:kern w:val="0"/>
                <w:sz w:val="21"/>
                <w:szCs w:val="21"/>
                <w:highlight w:val="none"/>
              </w:rPr>
              <w:t>；</w:t>
            </w:r>
          </w:p>
          <w:p w14:paraId="24B9738A">
            <w:pPr>
              <w:widowControl/>
              <w:spacing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③保函的有效期应当不短于投标有效期；</w:t>
            </w:r>
          </w:p>
          <w:p w14:paraId="0A9BAC34">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 w:val="21"/>
                <w:szCs w:val="21"/>
                <w:highlight w:val="none"/>
              </w:rPr>
              <w:t>④保函中</w:t>
            </w:r>
            <w:r>
              <w:rPr>
                <w:rFonts w:hint="eastAsia" w:ascii="宋体" w:hAnsi="宋体" w:cs="宋体"/>
                <w:color w:val="auto"/>
                <w:kern w:val="0"/>
                <w:sz w:val="21"/>
                <w:szCs w:val="21"/>
                <w:highlight w:val="none"/>
                <w:lang w:val="en-US" w:eastAsia="zh-CN"/>
              </w:rPr>
              <w:t>招标人</w:t>
            </w:r>
            <w:r>
              <w:rPr>
                <w:rFonts w:hint="eastAsia" w:ascii="宋体" w:hAnsi="宋体" w:cs="宋体"/>
                <w:color w:val="auto"/>
                <w:kern w:val="0"/>
                <w:sz w:val="21"/>
                <w:szCs w:val="21"/>
                <w:highlight w:val="none"/>
              </w:rPr>
              <w:t>可提起索赔的内容必须至少包括“投标人须知（</w:t>
            </w:r>
            <w:r>
              <w:rPr>
                <w:rFonts w:hint="eastAsia" w:ascii="宋体" w:hAnsi="宋体" w:cs="宋体"/>
                <w:color w:val="auto"/>
                <w:kern w:val="0"/>
                <w:sz w:val="21"/>
                <w:szCs w:val="21"/>
                <w:highlight w:val="none"/>
                <w:lang w:val="en-US" w:eastAsia="zh-CN"/>
              </w:rPr>
              <w:t>6.3</w:t>
            </w:r>
            <w:r>
              <w:rPr>
                <w:rFonts w:hint="eastAsia" w:ascii="宋体" w:hAnsi="宋体" w:cs="宋体"/>
                <w:color w:val="auto"/>
                <w:kern w:val="0"/>
                <w:sz w:val="21"/>
                <w:szCs w:val="21"/>
                <w:highlight w:val="none"/>
              </w:rPr>
              <w:t>）投标保证金”中所列条款。</w:t>
            </w:r>
          </w:p>
        </w:tc>
      </w:tr>
      <w:tr w14:paraId="25F556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924" w:type="dxa"/>
            <w:noWrap w:val="0"/>
            <w:vAlign w:val="center"/>
          </w:tcPr>
          <w:p w14:paraId="77FF8C4E">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8907" w:type="dxa"/>
            <w:gridSpan w:val="2"/>
            <w:noWrap w:val="0"/>
            <w:vAlign w:val="center"/>
          </w:tcPr>
          <w:p w14:paraId="14F84B37">
            <w:pPr>
              <w:rPr>
                <w:rFonts w:hint="eastAsia" w:ascii="宋体" w:hAnsi="宋体" w:cs="宋体"/>
                <w:color w:val="auto"/>
                <w:kern w:val="0"/>
                <w:szCs w:val="21"/>
                <w:highlight w:val="none"/>
              </w:rPr>
            </w:pPr>
            <w:r>
              <w:rPr>
                <w:rFonts w:hint="eastAsia" w:ascii="宋体" w:hAnsi="宋体" w:cs="宋体"/>
                <w:color w:val="auto"/>
                <w:kern w:val="0"/>
                <w:szCs w:val="21"/>
                <w:highlight w:val="none"/>
              </w:rPr>
              <w:t>投标人确定方式：资格后审</w:t>
            </w:r>
          </w:p>
        </w:tc>
      </w:tr>
      <w:tr w14:paraId="1DF55F9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0" w:hRule="atLeast"/>
          <w:jc w:val="center"/>
        </w:trPr>
        <w:tc>
          <w:tcPr>
            <w:tcW w:w="924" w:type="dxa"/>
            <w:noWrap w:val="0"/>
            <w:vAlign w:val="center"/>
          </w:tcPr>
          <w:p w14:paraId="60D06D57">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p>
        </w:tc>
        <w:tc>
          <w:tcPr>
            <w:tcW w:w="8907" w:type="dxa"/>
            <w:gridSpan w:val="2"/>
            <w:noWrap w:val="0"/>
            <w:vAlign w:val="center"/>
          </w:tcPr>
          <w:p w14:paraId="07E4A76F">
            <w:pPr>
              <w:rPr>
                <w:rFonts w:hint="default" w:ascii="宋体" w:hAnsi="宋体" w:eastAsia="宋体" w:cs="宋体"/>
                <w:color w:val="auto"/>
                <w:kern w:val="0"/>
                <w:szCs w:val="21"/>
                <w:highlight w:val="none"/>
                <w:shd w:val="pct10" w:color="auto" w:fill="FFFFFF"/>
                <w:lang w:val="en-US" w:eastAsia="zh-CN"/>
              </w:rPr>
            </w:pPr>
            <w:r>
              <w:rPr>
                <w:rFonts w:hint="eastAsia" w:ascii="宋体" w:hAnsi="宋体" w:cs="宋体"/>
                <w:color w:val="auto"/>
                <w:kern w:val="0"/>
                <w:szCs w:val="21"/>
                <w:highlight w:val="none"/>
              </w:rPr>
              <w:t>最高投标限价：</w:t>
            </w:r>
            <w:r>
              <w:rPr>
                <w:rFonts w:hint="eastAsia" w:ascii="宋体" w:hAnsi="宋体" w:cs="宋体"/>
                <w:color w:val="auto"/>
                <w:kern w:val="0"/>
                <w:szCs w:val="21"/>
                <w:highlight w:val="none"/>
                <w:lang w:eastAsia="zh-CN"/>
              </w:rPr>
              <w:t>13</w:t>
            </w:r>
            <w:r>
              <w:rPr>
                <w:rFonts w:hint="eastAsia" w:ascii="宋体" w:hAnsi="宋体" w:cs="宋体"/>
                <w:color w:val="auto"/>
                <w:kern w:val="0"/>
                <w:szCs w:val="21"/>
                <w:highlight w:val="none"/>
              </w:rPr>
              <w:t>元/盘</w:t>
            </w:r>
          </w:p>
        </w:tc>
      </w:tr>
      <w:tr w14:paraId="6523E5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6" w:hRule="atLeast"/>
          <w:jc w:val="center"/>
        </w:trPr>
        <w:tc>
          <w:tcPr>
            <w:tcW w:w="924" w:type="dxa"/>
            <w:noWrap w:val="0"/>
            <w:vAlign w:val="center"/>
          </w:tcPr>
          <w:p w14:paraId="71EE9E69">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p>
        </w:tc>
        <w:tc>
          <w:tcPr>
            <w:tcW w:w="8907" w:type="dxa"/>
            <w:gridSpan w:val="2"/>
            <w:tcBorders>
              <w:bottom w:val="single" w:color="auto" w:sz="8" w:space="0"/>
            </w:tcBorders>
            <w:noWrap w:val="0"/>
            <w:vAlign w:val="center"/>
          </w:tcPr>
          <w:p w14:paraId="425ADB17">
            <w:pPr>
              <w:rPr>
                <w:rFonts w:hint="eastAsia" w:ascii="宋体" w:hAnsi="宋体" w:cs="宋体"/>
                <w:color w:val="auto"/>
                <w:kern w:val="0"/>
                <w:szCs w:val="21"/>
                <w:highlight w:val="none"/>
              </w:rPr>
            </w:pPr>
            <w:r>
              <w:rPr>
                <w:rFonts w:hint="eastAsia" w:ascii="宋体" w:hAnsi="宋体" w:cs="宋体"/>
                <w:color w:val="auto"/>
                <w:kern w:val="0"/>
                <w:szCs w:val="21"/>
                <w:highlight w:val="none"/>
              </w:rPr>
              <w:t>投标有效期为：</w:t>
            </w:r>
            <w:r>
              <w:rPr>
                <w:rFonts w:hint="eastAsia" w:ascii="宋体" w:hAnsi="宋体" w:cs="宋体"/>
                <w:color w:val="auto"/>
                <w:kern w:val="0"/>
                <w:szCs w:val="21"/>
                <w:highlight w:val="none"/>
                <w:u w:val="single"/>
              </w:rPr>
              <w:t>90</w:t>
            </w:r>
            <w:r>
              <w:rPr>
                <w:rFonts w:hint="eastAsia" w:ascii="宋体" w:hAnsi="宋体" w:cs="宋体"/>
                <w:color w:val="auto"/>
                <w:kern w:val="0"/>
                <w:szCs w:val="21"/>
                <w:highlight w:val="none"/>
              </w:rPr>
              <w:t>日历天（从提交投标文件的截止时间算起）</w:t>
            </w:r>
          </w:p>
        </w:tc>
      </w:tr>
      <w:tr w14:paraId="12C51E1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2" w:hRule="atLeast"/>
          <w:jc w:val="center"/>
        </w:trPr>
        <w:tc>
          <w:tcPr>
            <w:tcW w:w="924" w:type="dxa"/>
            <w:tcBorders>
              <w:bottom w:val="single" w:color="auto" w:sz="4" w:space="0"/>
            </w:tcBorders>
            <w:noWrap w:val="0"/>
            <w:vAlign w:val="center"/>
          </w:tcPr>
          <w:p w14:paraId="54AB8E03">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8907" w:type="dxa"/>
            <w:gridSpan w:val="2"/>
            <w:tcBorders>
              <w:top w:val="single" w:color="auto" w:sz="8" w:space="0"/>
              <w:bottom w:val="single" w:color="auto" w:sz="4" w:space="0"/>
            </w:tcBorders>
            <w:noWrap w:val="0"/>
            <w:vAlign w:val="center"/>
          </w:tcPr>
          <w:p w14:paraId="74C49669">
            <w:pPr>
              <w:tabs>
                <w:tab w:val="left" w:pos="360"/>
              </w:tabs>
              <w:rPr>
                <w:rFonts w:hint="eastAsia" w:ascii="宋体" w:hAnsi="宋体" w:cs="宋体"/>
                <w:color w:val="auto"/>
                <w:kern w:val="0"/>
                <w:szCs w:val="21"/>
                <w:highlight w:val="none"/>
              </w:rPr>
            </w:pPr>
            <w:r>
              <w:rPr>
                <w:rFonts w:hint="eastAsia" w:ascii="宋体" w:hAnsi="宋体" w:cs="宋体"/>
                <w:b/>
                <w:color w:val="auto"/>
                <w:kern w:val="0"/>
                <w:szCs w:val="21"/>
                <w:highlight w:val="none"/>
              </w:rPr>
              <w:t>投标文件密封及装订</w:t>
            </w:r>
            <w:r>
              <w:rPr>
                <w:rFonts w:hint="eastAsia" w:ascii="宋体" w:hAnsi="宋体" w:cs="宋体"/>
                <w:color w:val="auto"/>
                <w:kern w:val="0"/>
                <w:szCs w:val="21"/>
                <w:highlight w:val="none"/>
              </w:rPr>
              <w:t>：</w:t>
            </w:r>
            <w:r>
              <w:rPr>
                <w:rFonts w:hint="eastAsia"/>
                <w:color w:val="auto"/>
                <w:szCs w:val="21"/>
                <w:highlight w:val="none"/>
              </w:rPr>
              <w:t>商务标必须密封。</w:t>
            </w:r>
          </w:p>
        </w:tc>
      </w:tr>
      <w:tr w14:paraId="4D451E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58" w:hRule="atLeast"/>
          <w:jc w:val="center"/>
        </w:trPr>
        <w:tc>
          <w:tcPr>
            <w:tcW w:w="924" w:type="dxa"/>
            <w:tcBorders>
              <w:top w:val="single" w:color="auto" w:sz="4" w:space="0"/>
              <w:bottom w:val="single" w:color="auto" w:sz="4" w:space="0"/>
            </w:tcBorders>
            <w:noWrap w:val="0"/>
            <w:vAlign w:val="center"/>
          </w:tcPr>
          <w:p w14:paraId="584B2E50">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8907" w:type="dxa"/>
            <w:gridSpan w:val="2"/>
            <w:tcBorders>
              <w:top w:val="single" w:color="auto" w:sz="4" w:space="0"/>
              <w:bottom w:val="single" w:color="auto" w:sz="4" w:space="0"/>
            </w:tcBorders>
            <w:noWrap w:val="0"/>
            <w:vAlign w:val="center"/>
          </w:tcPr>
          <w:p w14:paraId="6ECC01BB">
            <w:pPr>
              <w:tabs>
                <w:tab w:val="left" w:pos="360"/>
              </w:tabs>
              <w:rPr>
                <w:rFonts w:hint="eastAsia" w:ascii="宋体" w:hAnsi="宋体" w:cs="宋体"/>
                <w:color w:val="auto"/>
                <w:kern w:val="0"/>
                <w:szCs w:val="21"/>
                <w:highlight w:val="none"/>
              </w:rPr>
            </w:pPr>
            <w:r>
              <w:rPr>
                <w:rFonts w:hint="eastAsia" w:ascii="宋体" w:hAnsi="宋体" w:cs="宋体"/>
                <w:b/>
                <w:color w:val="auto"/>
                <w:kern w:val="0"/>
                <w:szCs w:val="21"/>
                <w:highlight w:val="none"/>
              </w:rPr>
              <w:t>投标文件份数</w:t>
            </w:r>
            <w:r>
              <w:rPr>
                <w:rFonts w:hint="eastAsia" w:ascii="宋体" w:hAnsi="宋体" w:cs="宋体"/>
                <w:color w:val="auto"/>
                <w:kern w:val="0"/>
                <w:szCs w:val="21"/>
                <w:highlight w:val="none"/>
              </w:rPr>
              <w:t>：</w:t>
            </w:r>
            <w:r>
              <w:rPr>
                <w:rFonts w:hint="eastAsia"/>
                <w:b/>
                <w:color w:val="auto"/>
                <w:szCs w:val="21"/>
                <w:highlight w:val="none"/>
              </w:rPr>
              <w:t>商务标（正本一份、副本四份）</w:t>
            </w:r>
          </w:p>
        </w:tc>
      </w:tr>
      <w:tr w14:paraId="7ECC0F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24" w:type="dxa"/>
            <w:tcBorders>
              <w:top w:val="single" w:color="auto" w:sz="4" w:space="0"/>
            </w:tcBorders>
            <w:noWrap w:val="0"/>
            <w:vAlign w:val="center"/>
          </w:tcPr>
          <w:p w14:paraId="09BD44DA">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0</w:t>
            </w:r>
          </w:p>
        </w:tc>
        <w:tc>
          <w:tcPr>
            <w:tcW w:w="8907" w:type="dxa"/>
            <w:gridSpan w:val="2"/>
            <w:tcBorders>
              <w:top w:val="single" w:color="auto" w:sz="4" w:space="0"/>
            </w:tcBorders>
            <w:noWrap w:val="0"/>
            <w:vAlign w:val="center"/>
          </w:tcPr>
          <w:p w14:paraId="737C80FA">
            <w:pPr>
              <w:adjustRightInd w:val="0"/>
              <w:snapToGrid w:val="0"/>
              <w:spacing w:after="50" w:line="320" w:lineRule="exact"/>
              <w:rPr>
                <w:rFonts w:hint="eastAsia" w:ascii="宋体"/>
                <w:color w:val="auto"/>
                <w:kern w:val="21"/>
                <w:szCs w:val="21"/>
                <w:highlight w:val="none"/>
              </w:rPr>
            </w:pPr>
            <w:r>
              <w:rPr>
                <w:rFonts w:hint="eastAsia" w:ascii="宋体"/>
                <w:color w:val="auto"/>
                <w:kern w:val="21"/>
                <w:szCs w:val="21"/>
                <w:highlight w:val="none"/>
              </w:rPr>
              <w:t>投标文件仅由商务标组成。</w:t>
            </w:r>
          </w:p>
          <w:p w14:paraId="4E148FF9">
            <w:pPr>
              <w:snapToGrid w:val="0"/>
              <w:spacing w:after="50" w:line="320" w:lineRule="exact"/>
              <w:rPr>
                <w:rFonts w:hint="eastAsia" w:ascii="宋体" w:eastAsia="宋体" w:cs="Times New Roman"/>
                <w:b/>
                <w:bCs/>
                <w:color w:val="auto"/>
                <w:kern w:val="21"/>
                <w:szCs w:val="21"/>
                <w:highlight w:val="none"/>
                <w:lang w:val="en-US" w:eastAsia="zh-CN"/>
              </w:rPr>
            </w:pPr>
            <w:r>
              <w:rPr>
                <w:rFonts w:hint="eastAsia" w:ascii="宋体" w:eastAsia="宋体" w:cs="Times New Roman"/>
                <w:b/>
                <w:bCs/>
                <w:color w:val="auto"/>
                <w:kern w:val="21"/>
                <w:szCs w:val="21"/>
                <w:highlight w:val="none"/>
                <w:lang w:val="en-US" w:eastAsia="zh-CN"/>
              </w:rPr>
              <w:t>一：</w:t>
            </w:r>
            <w:r>
              <w:rPr>
                <w:rFonts w:hint="eastAsia" w:ascii="宋体" w:cs="Times New Roman"/>
                <w:b/>
                <w:bCs/>
                <w:color w:val="auto"/>
                <w:kern w:val="21"/>
                <w:szCs w:val="21"/>
                <w:highlight w:val="none"/>
                <w:lang w:val="en-US" w:eastAsia="zh-CN"/>
              </w:rPr>
              <w:t>商务</w:t>
            </w:r>
            <w:r>
              <w:rPr>
                <w:rFonts w:hint="eastAsia" w:ascii="宋体" w:eastAsia="宋体" w:cs="Times New Roman"/>
                <w:b/>
                <w:bCs/>
                <w:color w:val="auto"/>
                <w:kern w:val="21"/>
                <w:szCs w:val="21"/>
                <w:highlight w:val="none"/>
                <w:lang w:val="en-US" w:eastAsia="zh-CN"/>
              </w:rPr>
              <w:t>标包括：</w:t>
            </w:r>
          </w:p>
          <w:p w14:paraId="201B9002">
            <w:pPr>
              <w:numPr>
                <w:ilvl w:val="0"/>
                <w:numId w:val="3"/>
              </w:numPr>
              <w:adjustRightInd w:val="0"/>
              <w:snapToGrid w:val="0"/>
              <w:spacing w:after="50" w:line="320" w:lineRule="exact"/>
              <w:rPr>
                <w:rFonts w:hint="eastAsia" w:ascii="宋体"/>
                <w:b/>
                <w:bCs/>
                <w:color w:val="auto"/>
                <w:kern w:val="21"/>
                <w:szCs w:val="21"/>
                <w:highlight w:val="none"/>
                <w:lang w:val="en-US" w:eastAsia="zh-CN"/>
              </w:rPr>
            </w:pPr>
            <w:r>
              <w:rPr>
                <w:rFonts w:hint="eastAsia" w:ascii="宋体"/>
                <w:b/>
                <w:bCs/>
                <w:color w:val="auto"/>
                <w:kern w:val="21"/>
                <w:szCs w:val="21"/>
                <w:highlight w:val="none"/>
                <w:lang w:val="en-US" w:eastAsia="zh-CN"/>
              </w:rPr>
              <w:t>营业执照副本复印件。</w:t>
            </w:r>
          </w:p>
          <w:p w14:paraId="21CC2A92">
            <w:pPr>
              <w:numPr>
                <w:ilvl w:val="0"/>
                <w:numId w:val="3"/>
              </w:numPr>
              <w:adjustRightInd w:val="0"/>
              <w:snapToGrid w:val="0"/>
              <w:spacing w:after="50" w:line="320" w:lineRule="exact"/>
              <w:rPr>
                <w:rFonts w:hint="eastAsia" w:ascii="宋体"/>
                <w:b/>
                <w:bCs/>
                <w:color w:val="auto"/>
                <w:kern w:val="21"/>
                <w:szCs w:val="21"/>
                <w:highlight w:val="none"/>
                <w:lang w:val="en-US" w:eastAsia="zh-CN"/>
              </w:rPr>
            </w:pPr>
            <w:r>
              <w:rPr>
                <w:rFonts w:hint="eastAsia" w:ascii="宋体"/>
                <w:b/>
                <w:bCs/>
                <w:color w:val="auto"/>
                <w:kern w:val="21"/>
                <w:szCs w:val="21"/>
                <w:highlight w:val="none"/>
                <w:lang w:val="en-US" w:eastAsia="zh-CN"/>
              </w:rPr>
              <w:t>法定代表人授权委托书（如法定代表人参加投标的无需提供，格式见附件1）；</w:t>
            </w:r>
          </w:p>
          <w:p w14:paraId="373DD722">
            <w:pPr>
              <w:numPr>
                <w:ilvl w:val="0"/>
                <w:numId w:val="3"/>
              </w:numPr>
              <w:adjustRightInd w:val="0"/>
              <w:snapToGrid w:val="0"/>
              <w:spacing w:after="50" w:line="320" w:lineRule="exact"/>
              <w:ind w:left="0" w:leftChars="0" w:firstLine="0" w:firstLineChars="0"/>
              <w:rPr>
                <w:rFonts w:hint="eastAsia" w:ascii="宋体"/>
                <w:b/>
                <w:bCs/>
                <w:color w:val="auto"/>
                <w:kern w:val="21"/>
                <w:szCs w:val="21"/>
                <w:highlight w:val="none"/>
                <w:lang w:val="en-US" w:eastAsia="zh-CN"/>
              </w:rPr>
            </w:pPr>
            <w:r>
              <w:rPr>
                <w:rFonts w:hint="eastAsia" w:ascii="宋体"/>
                <w:b/>
                <w:bCs/>
                <w:color w:val="auto"/>
                <w:kern w:val="21"/>
                <w:szCs w:val="21"/>
                <w:highlight w:val="none"/>
              </w:rPr>
              <w:t>投标承诺书（</w:t>
            </w:r>
            <w:r>
              <w:rPr>
                <w:rFonts w:hint="eastAsia" w:ascii="宋体"/>
                <w:b/>
                <w:bCs/>
                <w:color w:val="auto"/>
                <w:kern w:val="21"/>
                <w:szCs w:val="21"/>
                <w:highlight w:val="none"/>
                <w:lang w:eastAsia="zh-CN"/>
              </w:rPr>
              <w:t>附件</w:t>
            </w:r>
            <w:r>
              <w:rPr>
                <w:rFonts w:hint="eastAsia" w:ascii="宋体"/>
                <w:b/>
                <w:bCs/>
                <w:color w:val="auto"/>
                <w:kern w:val="21"/>
                <w:szCs w:val="21"/>
                <w:highlight w:val="none"/>
                <w:lang w:val="en-US" w:eastAsia="zh-CN"/>
              </w:rPr>
              <w:t>2</w:t>
            </w:r>
            <w:r>
              <w:rPr>
                <w:rFonts w:hint="eastAsia" w:ascii="宋体"/>
                <w:b/>
                <w:bCs/>
                <w:color w:val="auto"/>
                <w:kern w:val="21"/>
                <w:szCs w:val="21"/>
                <w:highlight w:val="none"/>
              </w:rPr>
              <w:t>）</w:t>
            </w:r>
            <w:r>
              <w:rPr>
                <w:rFonts w:hint="eastAsia" w:ascii="宋体"/>
                <w:b/>
                <w:bCs/>
                <w:color w:val="auto"/>
                <w:kern w:val="21"/>
                <w:szCs w:val="21"/>
                <w:highlight w:val="none"/>
                <w:lang w:eastAsia="zh-CN"/>
              </w:rPr>
              <w:t>。</w:t>
            </w:r>
          </w:p>
          <w:p w14:paraId="4BF5BA21">
            <w:pPr>
              <w:numPr>
                <w:ilvl w:val="0"/>
                <w:numId w:val="3"/>
              </w:numPr>
              <w:adjustRightInd w:val="0"/>
              <w:snapToGrid w:val="0"/>
              <w:spacing w:after="50" w:line="320" w:lineRule="exact"/>
              <w:ind w:left="0" w:leftChars="0" w:firstLine="0" w:firstLineChars="0"/>
              <w:rPr>
                <w:rFonts w:hint="eastAsia" w:ascii="宋体"/>
                <w:b/>
                <w:bCs/>
                <w:color w:val="auto"/>
                <w:kern w:val="21"/>
                <w:szCs w:val="21"/>
                <w:highlight w:val="none"/>
                <w:lang w:val="en-US" w:eastAsia="zh-CN"/>
              </w:rPr>
            </w:pPr>
            <w:r>
              <w:rPr>
                <w:rFonts w:hint="eastAsia" w:ascii="宋体"/>
                <w:b/>
                <w:bCs/>
                <w:color w:val="auto"/>
                <w:kern w:val="21"/>
                <w:szCs w:val="21"/>
                <w:highlight w:val="none"/>
                <w:lang w:eastAsia="zh-CN"/>
              </w:rPr>
              <w:t>投标报价明细清单</w:t>
            </w:r>
            <w:r>
              <w:rPr>
                <w:rFonts w:hint="eastAsia" w:ascii="宋体"/>
                <w:b/>
                <w:bCs/>
                <w:color w:val="auto"/>
                <w:kern w:val="21"/>
                <w:szCs w:val="21"/>
                <w:highlight w:val="none"/>
              </w:rPr>
              <w:t>（</w:t>
            </w:r>
            <w:r>
              <w:rPr>
                <w:rFonts w:hint="eastAsia" w:ascii="宋体"/>
                <w:b/>
                <w:bCs/>
                <w:color w:val="auto"/>
                <w:kern w:val="21"/>
                <w:szCs w:val="21"/>
                <w:highlight w:val="none"/>
                <w:lang w:eastAsia="zh-CN"/>
              </w:rPr>
              <w:t>附件</w:t>
            </w:r>
            <w:r>
              <w:rPr>
                <w:rFonts w:hint="eastAsia" w:ascii="宋体"/>
                <w:b/>
                <w:bCs/>
                <w:color w:val="auto"/>
                <w:kern w:val="21"/>
                <w:szCs w:val="21"/>
                <w:highlight w:val="none"/>
                <w:lang w:val="en-US" w:eastAsia="zh-CN"/>
              </w:rPr>
              <w:t>3</w:t>
            </w:r>
            <w:r>
              <w:rPr>
                <w:rFonts w:hint="eastAsia" w:ascii="宋体"/>
                <w:b/>
                <w:bCs/>
                <w:color w:val="auto"/>
                <w:kern w:val="21"/>
                <w:szCs w:val="21"/>
                <w:highlight w:val="none"/>
              </w:rPr>
              <w:t>）</w:t>
            </w:r>
            <w:r>
              <w:rPr>
                <w:rFonts w:hint="eastAsia" w:ascii="宋体"/>
                <w:b/>
                <w:bCs/>
                <w:color w:val="auto"/>
                <w:kern w:val="21"/>
                <w:szCs w:val="21"/>
                <w:highlight w:val="none"/>
                <w:lang w:eastAsia="zh-CN"/>
              </w:rPr>
              <w:t>。</w:t>
            </w:r>
          </w:p>
        </w:tc>
      </w:tr>
      <w:tr w14:paraId="5D2C956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8" w:hRule="atLeast"/>
          <w:jc w:val="center"/>
        </w:trPr>
        <w:tc>
          <w:tcPr>
            <w:tcW w:w="924" w:type="dxa"/>
            <w:noWrap w:val="0"/>
            <w:vAlign w:val="center"/>
          </w:tcPr>
          <w:p w14:paraId="53D804FC">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1</w:t>
            </w:r>
          </w:p>
        </w:tc>
        <w:tc>
          <w:tcPr>
            <w:tcW w:w="8907" w:type="dxa"/>
            <w:gridSpan w:val="2"/>
            <w:noWrap w:val="0"/>
            <w:vAlign w:val="center"/>
          </w:tcPr>
          <w:p w14:paraId="53EC1425">
            <w:pPr>
              <w:rPr>
                <w:rFonts w:hint="eastAsia" w:ascii="宋体" w:hAnsi="宋体" w:eastAsia="宋体" w:cs="宋体"/>
                <w:color w:val="auto"/>
                <w:kern w:val="0"/>
                <w:szCs w:val="21"/>
                <w:highlight w:val="none"/>
                <w:lang w:eastAsia="zh-CN"/>
              </w:rPr>
            </w:pPr>
            <w:r>
              <w:rPr>
                <w:rFonts w:hint="eastAsia" w:ascii="宋体" w:hAnsi="宋体" w:cs="宋体"/>
                <w:b/>
                <w:bCs/>
                <w:color w:val="auto"/>
                <w:kern w:val="0"/>
                <w:szCs w:val="21"/>
                <w:highlight w:val="none"/>
              </w:rPr>
              <w:t>现场踏勘：本项目不组织。投标人</w:t>
            </w:r>
            <w:r>
              <w:rPr>
                <w:rFonts w:hint="eastAsia" w:ascii="宋体" w:hAnsi="宋体" w:cs="宋体"/>
                <w:b/>
                <w:bCs/>
                <w:color w:val="auto"/>
                <w:kern w:val="0"/>
                <w:szCs w:val="21"/>
                <w:highlight w:val="none"/>
                <w:lang w:val="en-US" w:eastAsia="zh-CN"/>
              </w:rPr>
              <w:t>投标前应</w:t>
            </w:r>
            <w:r>
              <w:rPr>
                <w:rFonts w:hint="eastAsia" w:ascii="宋体" w:hAnsi="宋体" w:cs="宋体"/>
                <w:b/>
                <w:bCs/>
                <w:color w:val="auto"/>
                <w:kern w:val="0"/>
                <w:szCs w:val="21"/>
                <w:highlight w:val="none"/>
              </w:rPr>
              <w:t>自行前往</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来参加投标的投标人即视为已熟悉现场全部条件，</w:t>
            </w:r>
            <w:r>
              <w:rPr>
                <w:rFonts w:hint="eastAsia" w:ascii="宋体" w:hAnsi="宋体" w:cs="宋体"/>
                <w:b/>
                <w:bCs/>
                <w:color w:val="auto"/>
                <w:kern w:val="0"/>
                <w:szCs w:val="21"/>
                <w:highlight w:val="none"/>
              </w:rPr>
              <w:t>投标人对土地现场等情况的推论、理解、结论，招标人概不负责</w:t>
            </w:r>
            <w:r>
              <w:rPr>
                <w:rFonts w:hint="eastAsia" w:ascii="宋体" w:hAnsi="宋体" w:cs="宋体"/>
                <w:b/>
                <w:bCs/>
                <w:color w:val="auto"/>
                <w:kern w:val="0"/>
                <w:szCs w:val="21"/>
                <w:highlight w:val="none"/>
                <w:lang w:eastAsia="zh-CN"/>
              </w:rPr>
              <w:t>。</w:t>
            </w:r>
          </w:p>
        </w:tc>
      </w:tr>
      <w:tr w14:paraId="3A057E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8" w:hRule="atLeast"/>
          <w:jc w:val="center"/>
        </w:trPr>
        <w:tc>
          <w:tcPr>
            <w:tcW w:w="924" w:type="dxa"/>
            <w:noWrap w:val="0"/>
            <w:vAlign w:val="center"/>
          </w:tcPr>
          <w:p w14:paraId="733F57A9">
            <w:pPr>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8907" w:type="dxa"/>
            <w:gridSpan w:val="2"/>
            <w:noWrap w:val="0"/>
            <w:vAlign w:val="center"/>
          </w:tcPr>
          <w:p w14:paraId="5EAEF111">
            <w:pPr>
              <w:numPr>
                <w:ilvl w:val="0"/>
                <w:numId w:val="0"/>
              </w:numPr>
              <w:autoSpaceDE w:val="0"/>
              <w:autoSpaceDN w:val="0"/>
              <w:snapToGrid w:val="0"/>
              <w:spacing w:line="360" w:lineRule="auto"/>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投标文件递交要求：</w:t>
            </w:r>
          </w:p>
          <w:p w14:paraId="608C29AB">
            <w:pPr>
              <w:numPr>
                <w:ilvl w:val="-1"/>
                <w:numId w:val="0"/>
              </w:numPr>
              <w:autoSpaceDE w:val="0"/>
              <w:autoSpaceDN w:val="0"/>
              <w:snapToGrid w:val="0"/>
              <w:spacing w:line="360" w:lineRule="auto"/>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投标人下列人员经招标人（招标代理机构）确认身份后再签名报到，以证明其出席开标会议：</w:t>
            </w:r>
          </w:p>
          <w:p w14:paraId="7B2D240C">
            <w:pPr>
              <w:numPr>
                <w:ilvl w:val="-1"/>
                <w:numId w:val="0"/>
              </w:numPr>
              <w:autoSpaceDE w:val="0"/>
              <w:autoSpaceDN w:val="0"/>
              <w:snapToGrid w:val="0"/>
              <w:spacing w:line="360" w:lineRule="auto"/>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①若是投标人委托代理人参加开标会议的，应持本人</w:t>
            </w:r>
            <w:r>
              <w:rPr>
                <w:rFonts w:hint="eastAsia" w:ascii="宋体" w:hAnsi="宋体" w:eastAsia="宋体" w:cs="宋体"/>
                <w:b w:val="0"/>
                <w:bCs w:val="0"/>
                <w:color w:val="auto"/>
                <w:kern w:val="0"/>
                <w:sz w:val="21"/>
                <w:szCs w:val="21"/>
                <w:highlight w:val="none"/>
              </w:rPr>
              <w:t>有效身份证原件</w:t>
            </w:r>
            <w:r>
              <w:rPr>
                <w:rFonts w:hint="eastAsia" w:ascii="宋体" w:hAnsi="宋体" w:eastAsia="宋体" w:cs="宋体"/>
                <w:color w:val="auto"/>
                <w:kern w:val="0"/>
                <w:sz w:val="21"/>
                <w:szCs w:val="21"/>
                <w:highlight w:val="none"/>
              </w:rPr>
              <w:t>（须为第二代身份证或第二代临时身份证）和针对本工程的</w:t>
            </w:r>
            <w:r>
              <w:rPr>
                <w:rFonts w:hint="eastAsia" w:ascii="宋体" w:hAnsi="宋体" w:cs="宋体"/>
                <w:b w:val="0"/>
                <w:bCs w:val="0"/>
                <w:color w:val="auto"/>
                <w:kern w:val="0"/>
                <w:sz w:val="21"/>
                <w:szCs w:val="21"/>
                <w:highlight w:val="none"/>
                <w:lang w:eastAsia="zh-CN"/>
              </w:rPr>
              <w:t>法定代表人授权委托书</w:t>
            </w:r>
            <w:r>
              <w:rPr>
                <w:rFonts w:hint="eastAsia" w:ascii="宋体" w:hAnsi="宋体" w:eastAsia="宋体" w:cs="宋体"/>
                <w:b w:val="0"/>
                <w:bCs w:val="0"/>
                <w:color w:val="auto"/>
                <w:kern w:val="0"/>
                <w:sz w:val="21"/>
                <w:szCs w:val="21"/>
                <w:highlight w:val="none"/>
              </w:rPr>
              <w:t>原件</w:t>
            </w:r>
            <w:r>
              <w:rPr>
                <w:rFonts w:hint="eastAsia" w:ascii="宋体" w:hAnsi="宋体" w:eastAsia="宋体" w:cs="宋体"/>
                <w:color w:val="auto"/>
                <w:kern w:val="0"/>
                <w:sz w:val="21"/>
                <w:szCs w:val="21"/>
                <w:highlight w:val="none"/>
              </w:rPr>
              <w:t>（参考附件）参加开标会议。</w:t>
            </w:r>
          </w:p>
          <w:p w14:paraId="22EA90C3">
            <w:pPr>
              <w:numPr>
                <w:ilvl w:val="-1"/>
                <w:numId w:val="0"/>
              </w:numPr>
              <w:autoSpaceDE w:val="0"/>
              <w:autoSpaceDN w:val="0"/>
              <w:snapToGrid w:val="0"/>
              <w:spacing w:line="360" w:lineRule="auto"/>
              <w:textAlignment w:val="bottom"/>
              <w:rPr>
                <w:rFonts w:hint="eastAsia" w:ascii="宋体" w:hAnsi="宋体" w:cs="宋体"/>
                <w:color w:val="auto"/>
                <w:kern w:val="0"/>
                <w:szCs w:val="21"/>
                <w:highlight w:val="none"/>
              </w:rPr>
            </w:pPr>
            <w:r>
              <w:rPr>
                <w:rFonts w:hint="eastAsia" w:ascii="宋体" w:hAnsi="宋体" w:eastAsia="宋体" w:cs="宋体"/>
                <w:color w:val="auto"/>
                <w:kern w:val="0"/>
                <w:sz w:val="21"/>
                <w:szCs w:val="21"/>
                <w:highlight w:val="none"/>
              </w:rPr>
              <w:t>②若是投标人的法定代表人参加开标会议的，法定代表人应持本人有效身份证原件（须为第二代身份证或第二代临时身份证）参加开标会议，否则投标文件不予签收。</w:t>
            </w:r>
          </w:p>
        </w:tc>
      </w:tr>
      <w:tr w14:paraId="4264C25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8" w:hRule="atLeast"/>
          <w:jc w:val="center"/>
        </w:trPr>
        <w:tc>
          <w:tcPr>
            <w:tcW w:w="924" w:type="dxa"/>
            <w:noWrap w:val="0"/>
            <w:vAlign w:val="center"/>
          </w:tcPr>
          <w:p w14:paraId="6020D39C">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8907" w:type="dxa"/>
            <w:gridSpan w:val="2"/>
            <w:noWrap w:val="0"/>
            <w:vAlign w:val="center"/>
          </w:tcPr>
          <w:p w14:paraId="6C715E08">
            <w:pPr>
              <w:widowControl/>
              <w:spacing w:line="240" w:lineRule="auto"/>
              <w:ind w:right="0" w:rightChars="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投标文件递交</w:t>
            </w:r>
            <w:r>
              <w:rPr>
                <w:rFonts w:hint="eastAsia" w:ascii="宋体" w:hAnsi="宋体" w:cs="宋体"/>
                <w:color w:val="auto"/>
                <w:kern w:val="0"/>
                <w:szCs w:val="21"/>
                <w:highlight w:val="none"/>
                <w:lang w:val="en-US" w:eastAsia="zh-CN"/>
              </w:rPr>
              <w:t>截止</w:t>
            </w:r>
            <w:r>
              <w:rPr>
                <w:rFonts w:hint="eastAsia" w:ascii="宋体" w:hAnsi="宋体" w:eastAsia="宋体" w:cs="宋体"/>
                <w:color w:val="auto"/>
                <w:kern w:val="0"/>
                <w:szCs w:val="21"/>
                <w:highlight w:val="none"/>
              </w:rPr>
              <w:t>及开</w:t>
            </w:r>
            <w:r>
              <w:rPr>
                <w:rFonts w:hint="eastAsia" w:ascii="宋体" w:hAnsi="宋体" w:cs="宋体"/>
                <w:color w:val="auto"/>
                <w:kern w:val="0"/>
                <w:szCs w:val="21"/>
                <w:highlight w:val="none"/>
                <w:lang w:val="en-US" w:eastAsia="zh-CN"/>
              </w:rPr>
              <w:t>评</w:t>
            </w:r>
            <w:r>
              <w:rPr>
                <w:rFonts w:hint="eastAsia" w:ascii="宋体" w:hAnsi="宋体" w:eastAsia="宋体" w:cs="宋体"/>
                <w:color w:val="auto"/>
                <w:kern w:val="0"/>
                <w:szCs w:val="21"/>
                <w:highlight w:val="none"/>
              </w:rPr>
              <w:t>标时间：</w:t>
            </w:r>
            <w:r>
              <w:rPr>
                <w:rFonts w:hint="eastAsia" w:ascii="宋体" w:hAnsi="宋体" w:cs="宋体"/>
                <w:color w:val="auto"/>
                <w:kern w:val="0"/>
                <w:szCs w:val="28"/>
                <w:highlight w:val="none"/>
              </w:rPr>
              <w:t>202</w:t>
            </w:r>
            <w:r>
              <w:rPr>
                <w:rFonts w:hint="eastAsia" w:ascii="宋体" w:hAnsi="宋体" w:cs="宋体"/>
                <w:color w:val="auto"/>
                <w:kern w:val="0"/>
                <w:szCs w:val="28"/>
                <w:highlight w:val="none"/>
                <w:lang w:val="en-US" w:eastAsia="zh-CN"/>
              </w:rPr>
              <w:t>4</w:t>
            </w:r>
            <w:r>
              <w:rPr>
                <w:rFonts w:hint="eastAsia" w:ascii="宋体" w:hAnsi="宋体" w:cs="宋体"/>
                <w:color w:val="auto"/>
                <w:kern w:val="0"/>
                <w:szCs w:val="28"/>
                <w:highlight w:val="none"/>
              </w:rPr>
              <w:t>年</w:t>
            </w:r>
            <w:r>
              <w:rPr>
                <w:rFonts w:hint="eastAsia" w:ascii="宋体" w:hAnsi="宋体" w:cs="宋体"/>
                <w:color w:val="auto"/>
                <w:kern w:val="0"/>
                <w:szCs w:val="28"/>
                <w:highlight w:val="none"/>
                <w:lang w:val="en-US" w:eastAsia="zh-CN"/>
              </w:rPr>
              <w:t>11</w:t>
            </w:r>
            <w:r>
              <w:rPr>
                <w:rFonts w:hint="eastAsia" w:ascii="宋体" w:hAnsi="宋体" w:cs="宋体"/>
                <w:color w:val="auto"/>
                <w:kern w:val="0"/>
                <w:szCs w:val="28"/>
                <w:highlight w:val="none"/>
              </w:rPr>
              <w:t>月</w:t>
            </w:r>
            <w:r>
              <w:rPr>
                <w:rFonts w:hint="eastAsia" w:ascii="宋体" w:hAnsi="宋体" w:cs="宋体"/>
                <w:color w:val="auto"/>
                <w:kern w:val="0"/>
                <w:szCs w:val="28"/>
                <w:highlight w:val="none"/>
                <w:lang w:val="en-US" w:eastAsia="zh-CN"/>
              </w:rPr>
              <w:t>26</w:t>
            </w:r>
            <w:r>
              <w:rPr>
                <w:rFonts w:hint="eastAsia" w:ascii="宋体" w:hAnsi="宋体" w:cs="宋体"/>
                <w:color w:val="auto"/>
                <w:kern w:val="0"/>
                <w:szCs w:val="28"/>
                <w:highlight w:val="none"/>
              </w:rPr>
              <w:t>日</w:t>
            </w:r>
            <w:r>
              <w:rPr>
                <w:rFonts w:hint="eastAsia" w:ascii="宋体" w:hAnsi="宋体" w:cs="宋体"/>
                <w:color w:val="auto"/>
                <w:kern w:val="0"/>
                <w:szCs w:val="28"/>
                <w:highlight w:val="none"/>
                <w:lang w:val="en-US" w:eastAsia="zh-CN"/>
              </w:rPr>
              <w:t>上</w:t>
            </w:r>
            <w:r>
              <w:rPr>
                <w:rFonts w:hint="eastAsia" w:ascii="宋体" w:hAnsi="宋体" w:cs="宋体"/>
                <w:color w:val="auto"/>
                <w:kern w:val="0"/>
                <w:szCs w:val="21"/>
                <w:highlight w:val="none"/>
              </w:rPr>
              <w:t>午</w:t>
            </w:r>
            <w:r>
              <w:rPr>
                <w:rFonts w:hint="eastAsia" w:ascii="宋体" w:hAnsi="宋体" w:cs="宋体"/>
                <w:color w:val="auto"/>
                <w:kern w:val="0"/>
                <w:szCs w:val="21"/>
                <w:highlight w:val="none"/>
                <w:lang w:val="en-US" w:eastAsia="zh-CN"/>
              </w:rPr>
              <w:t>09:30</w:t>
            </w:r>
            <w:r>
              <w:rPr>
                <w:rFonts w:hint="eastAsia" w:ascii="宋体" w:hAnsi="宋体" w:eastAsia="宋体" w:cs="宋体"/>
                <w:color w:val="auto"/>
                <w:kern w:val="0"/>
                <w:szCs w:val="21"/>
                <w:highlight w:val="none"/>
              </w:rPr>
              <w:t xml:space="preserve">   </w:t>
            </w:r>
          </w:p>
          <w:p w14:paraId="189B50CD">
            <w:pPr>
              <w:widowControl/>
              <w:spacing w:line="240" w:lineRule="auto"/>
              <w:ind w:right="0" w:rightChars="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地点：</w:t>
            </w:r>
            <w:r>
              <w:rPr>
                <w:rFonts w:hint="eastAsia" w:ascii="宋体" w:hAnsi="宋体" w:cs="宋体"/>
                <w:color w:val="auto"/>
                <w:kern w:val="0"/>
                <w:szCs w:val="21"/>
                <w:highlight w:val="none"/>
              </w:rPr>
              <w:t>台州市椒江区开发大道东段818号台州湾新区海虹街道</w:t>
            </w:r>
            <w:r>
              <w:rPr>
                <w:rFonts w:hint="eastAsia" w:ascii="宋体" w:hAnsi="宋体" w:cs="宋体"/>
                <w:color w:val="auto"/>
                <w:kern w:val="0"/>
                <w:szCs w:val="21"/>
                <w:highlight w:val="none"/>
                <w:lang w:val="en-US" w:eastAsia="zh-CN"/>
              </w:rPr>
              <w:t>办事处六</w:t>
            </w:r>
            <w:r>
              <w:rPr>
                <w:rFonts w:hint="eastAsia" w:ascii="宋体" w:hAnsi="宋体" w:cs="宋体"/>
                <w:color w:val="auto"/>
                <w:kern w:val="0"/>
                <w:szCs w:val="21"/>
                <w:highlight w:val="none"/>
              </w:rPr>
              <w:t>楼大厅</w:t>
            </w:r>
          </w:p>
        </w:tc>
      </w:tr>
      <w:tr w14:paraId="20EF3E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57" w:hRule="atLeast"/>
          <w:jc w:val="center"/>
        </w:trPr>
        <w:tc>
          <w:tcPr>
            <w:tcW w:w="924" w:type="dxa"/>
            <w:noWrap w:val="0"/>
            <w:vAlign w:val="center"/>
          </w:tcPr>
          <w:p w14:paraId="7F5A509F">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8907" w:type="dxa"/>
            <w:gridSpan w:val="2"/>
            <w:noWrap w:val="0"/>
            <w:vAlign w:val="center"/>
          </w:tcPr>
          <w:p w14:paraId="59325842">
            <w:pPr>
              <w:rPr>
                <w:rFonts w:hint="eastAsia" w:ascii="宋体" w:hAnsi="宋体" w:cs="宋体"/>
                <w:color w:val="auto"/>
                <w:kern w:val="0"/>
                <w:szCs w:val="21"/>
                <w:highlight w:val="none"/>
              </w:rPr>
            </w:pPr>
            <w:r>
              <w:rPr>
                <w:rFonts w:hint="eastAsia" w:ascii="宋体" w:hAnsi="宋体" w:cs="宋体"/>
                <w:color w:val="auto"/>
                <w:kern w:val="0"/>
                <w:szCs w:val="21"/>
                <w:highlight w:val="none"/>
              </w:rPr>
              <w:t>开标程序：</w:t>
            </w:r>
          </w:p>
          <w:p w14:paraId="32AC947D">
            <w:pPr>
              <w:rPr>
                <w:rFonts w:hint="eastAsia" w:ascii="宋体" w:hAnsi="宋体" w:cs="宋体"/>
                <w:color w:val="auto"/>
                <w:kern w:val="0"/>
                <w:szCs w:val="21"/>
                <w:highlight w:val="none"/>
              </w:rPr>
            </w:pPr>
            <w:r>
              <w:rPr>
                <w:rFonts w:hint="eastAsia" w:ascii="宋体" w:hAnsi="宋体" w:cs="宋体"/>
                <w:color w:val="auto"/>
                <w:kern w:val="0"/>
                <w:szCs w:val="21"/>
                <w:highlight w:val="none"/>
              </w:rPr>
              <w:t>（1）投标人下列人员经招标人（招标代理机构）确认身份后再签名报到，以证明其出席开标会议：投标人法定代表人或委托代理人（必须出具本</w:t>
            </w:r>
            <w:r>
              <w:rPr>
                <w:rFonts w:hint="eastAsia" w:ascii="宋体" w:hAnsi="宋体" w:cs="宋体"/>
                <w:color w:val="auto"/>
                <w:kern w:val="0"/>
                <w:szCs w:val="21"/>
                <w:highlight w:val="none"/>
                <w:lang w:val="en-US" w:eastAsia="zh-CN"/>
              </w:rPr>
              <w:t>项目</w:t>
            </w:r>
            <w:r>
              <w:rPr>
                <w:rFonts w:hint="eastAsia" w:ascii="宋体" w:hAnsi="宋体" w:cs="宋体"/>
                <w:color w:val="auto"/>
                <w:kern w:val="0"/>
                <w:szCs w:val="21"/>
                <w:highlight w:val="none"/>
              </w:rPr>
              <w:t>授权委托书原件）应持本人有效身份证原件参加开标会议；</w:t>
            </w:r>
          </w:p>
          <w:p w14:paraId="2B69907D">
            <w:pP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（2）密封情况检查：由投标人法定代表人（或委托代理人）检查并签字确认；</w:t>
            </w:r>
            <w:r>
              <w:rPr>
                <w:rFonts w:hint="eastAsia" w:ascii="宋体" w:hAnsi="宋体" w:cs="宋体"/>
                <w:color w:val="auto"/>
                <w:kern w:val="0"/>
                <w:szCs w:val="21"/>
                <w:highlight w:val="none"/>
                <w:lang w:val="en-US" w:eastAsia="zh-CN"/>
              </w:rPr>
              <w:t xml:space="preserve"> </w:t>
            </w:r>
          </w:p>
          <w:p w14:paraId="5F4A94DE">
            <w:pPr>
              <w:ind w:left="103" w:hanging="102" w:hangingChars="49"/>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开启商务标</w:t>
            </w:r>
            <w:r>
              <w:rPr>
                <w:rFonts w:hint="eastAsia" w:ascii="宋体" w:hAnsi="宋体" w:cs="宋体"/>
                <w:color w:val="auto"/>
                <w:kern w:val="0"/>
                <w:szCs w:val="21"/>
                <w:highlight w:val="none"/>
              </w:rPr>
              <w:t>。</w:t>
            </w:r>
          </w:p>
        </w:tc>
      </w:tr>
      <w:tr w14:paraId="7411C95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924" w:type="dxa"/>
            <w:noWrap w:val="0"/>
            <w:vAlign w:val="center"/>
          </w:tcPr>
          <w:p w14:paraId="699027A8">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8907" w:type="dxa"/>
            <w:gridSpan w:val="2"/>
            <w:noWrap w:val="0"/>
            <w:vAlign w:val="center"/>
          </w:tcPr>
          <w:p w14:paraId="769BD1BA">
            <w:pPr>
              <w:rPr>
                <w:rFonts w:hint="eastAsia" w:ascii="宋体" w:hAnsi="宋体" w:cs="宋体"/>
                <w:color w:val="auto"/>
                <w:kern w:val="0"/>
                <w:szCs w:val="21"/>
                <w:highlight w:val="none"/>
              </w:rPr>
            </w:pPr>
            <w:r>
              <w:rPr>
                <w:rFonts w:hint="eastAsia" w:ascii="宋体" w:hAnsi="宋体" w:cs="宋体"/>
                <w:color w:val="auto"/>
                <w:kern w:val="0"/>
                <w:szCs w:val="21"/>
                <w:highlight w:val="none"/>
              </w:rPr>
              <w:t>评标办法：详见第</w:t>
            </w:r>
            <w:r>
              <w:rPr>
                <w:rFonts w:hint="eastAsia" w:ascii="宋体" w:hAnsi="宋体" w:cs="宋体"/>
                <w:color w:val="auto"/>
                <w:kern w:val="0"/>
                <w:szCs w:val="21"/>
                <w:highlight w:val="none"/>
                <w:lang w:val="en-US" w:eastAsia="zh-CN"/>
              </w:rPr>
              <w:t>四</w:t>
            </w:r>
            <w:r>
              <w:rPr>
                <w:rFonts w:hint="eastAsia" w:ascii="宋体" w:hAnsi="宋体" w:cs="宋体"/>
                <w:color w:val="auto"/>
                <w:kern w:val="0"/>
                <w:szCs w:val="21"/>
                <w:highlight w:val="none"/>
              </w:rPr>
              <w:t>章</w:t>
            </w:r>
          </w:p>
        </w:tc>
      </w:tr>
      <w:tr w14:paraId="2B28D66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24" w:type="dxa"/>
            <w:noWrap w:val="0"/>
            <w:vAlign w:val="center"/>
          </w:tcPr>
          <w:p w14:paraId="46AE0E45">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8907" w:type="dxa"/>
            <w:gridSpan w:val="2"/>
            <w:noWrap w:val="0"/>
            <w:vAlign w:val="center"/>
          </w:tcPr>
          <w:p w14:paraId="22285735">
            <w:pPr>
              <w:rPr>
                <w:rFonts w:hint="eastAsia" w:ascii="宋体" w:hAnsi="宋体" w:cs="宋体"/>
                <w:color w:val="auto"/>
                <w:kern w:val="0"/>
                <w:szCs w:val="21"/>
                <w:highlight w:val="none"/>
              </w:rPr>
            </w:pPr>
            <w:r>
              <w:rPr>
                <w:rFonts w:hint="eastAsia" w:ascii="宋体" w:hAnsi="宋体" w:cs="宋体"/>
                <w:color w:val="auto"/>
                <w:highlight w:val="none"/>
              </w:rPr>
              <w:t>履约保证金的收取及退还:中标人在合同签订前向招标人缴纳</w:t>
            </w:r>
            <w:r>
              <w:rPr>
                <w:rFonts w:hint="eastAsia" w:ascii="宋体" w:hAnsi="宋体" w:cs="宋体"/>
                <w:color w:val="auto"/>
                <w:highlight w:val="none"/>
                <w:lang w:val="en-US" w:eastAsia="zh-CN"/>
              </w:rPr>
              <w:t>合同金额的2%</w:t>
            </w:r>
            <w:r>
              <w:rPr>
                <w:rFonts w:hint="eastAsia" w:ascii="宋体" w:hAnsi="宋体" w:cs="宋体"/>
                <w:color w:val="auto"/>
                <w:highlight w:val="none"/>
              </w:rPr>
              <w:t>履约保证金</w:t>
            </w:r>
            <w:r>
              <w:rPr>
                <w:rFonts w:hint="eastAsia" w:ascii="宋体" w:hAnsi="宋体" w:cs="宋体"/>
                <w:color w:val="auto"/>
                <w:highlight w:val="none"/>
                <w:lang w:eastAsia="zh-CN"/>
              </w:rPr>
              <w:t>，</w:t>
            </w:r>
            <w:r>
              <w:rPr>
                <w:rFonts w:hint="eastAsia" w:ascii="宋体" w:hAnsi="宋体" w:cs="宋体"/>
                <w:color w:val="auto"/>
                <w:highlight w:val="none"/>
              </w:rPr>
              <w:t>采用现金</w:t>
            </w:r>
            <w:r>
              <w:rPr>
                <w:rFonts w:hint="eastAsia" w:ascii="宋体" w:hAnsi="宋体" w:cs="宋体"/>
                <w:color w:val="auto"/>
                <w:highlight w:val="none"/>
                <w:lang w:val="en-US" w:eastAsia="zh-CN"/>
              </w:rPr>
              <w:t>转账</w:t>
            </w:r>
            <w:r>
              <w:rPr>
                <w:rFonts w:hint="eastAsia" w:ascii="宋体" w:hAnsi="宋体" w:cs="宋体"/>
                <w:color w:val="auto"/>
                <w:highlight w:val="none"/>
              </w:rPr>
              <w:t>形式</w:t>
            </w:r>
            <w:r>
              <w:rPr>
                <w:rFonts w:hint="eastAsia" w:ascii="宋体" w:hAnsi="宋体" w:cs="宋体"/>
                <w:color w:val="auto"/>
                <w:highlight w:val="none"/>
                <w:lang w:eastAsia="zh-CN"/>
              </w:rPr>
              <w:t>。</w:t>
            </w:r>
            <w:r>
              <w:rPr>
                <w:rFonts w:hint="eastAsia" w:ascii="宋体" w:hAnsi="宋体" w:cs="宋体"/>
                <w:color w:val="auto"/>
                <w:highlight w:val="none"/>
              </w:rPr>
              <w:t>在合同到期且所有项目内容经验收合格后15日内无息退还。</w:t>
            </w:r>
          </w:p>
        </w:tc>
      </w:tr>
    </w:tbl>
    <w:p w14:paraId="5692DC67">
      <w:pPr>
        <w:rPr>
          <w:rFonts w:hint="eastAsia"/>
          <w:color w:val="auto"/>
          <w:highlight w:val="none"/>
        </w:rPr>
      </w:pPr>
    </w:p>
    <w:p w14:paraId="3F75D189">
      <w:pPr>
        <w:pStyle w:val="24"/>
        <w:rPr>
          <w:rFonts w:hint="eastAsia"/>
          <w:color w:val="auto"/>
          <w:highlight w:val="none"/>
        </w:rPr>
      </w:pPr>
    </w:p>
    <w:p w14:paraId="4F805476">
      <w:pPr>
        <w:pStyle w:val="24"/>
        <w:rPr>
          <w:rFonts w:hint="eastAsia"/>
          <w:color w:val="auto"/>
          <w:highlight w:val="none"/>
        </w:rPr>
      </w:pPr>
    </w:p>
    <w:p w14:paraId="151B7A66">
      <w:pPr>
        <w:pStyle w:val="24"/>
        <w:rPr>
          <w:rFonts w:hint="eastAsia"/>
          <w:color w:val="auto"/>
          <w:highlight w:val="none"/>
        </w:rPr>
      </w:pPr>
    </w:p>
    <w:p w14:paraId="6C066A4C">
      <w:pPr>
        <w:pStyle w:val="2"/>
        <w:tabs>
          <w:tab w:val="left" w:pos="360"/>
        </w:tabs>
        <w:spacing w:line="240" w:lineRule="auto"/>
        <w:rPr>
          <w:rFonts w:hint="eastAsia" w:cs="Times New Roman"/>
          <w:color w:val="auto"/>
          <w:sz w:val="32"/>
          <w:szCs w:val="20"/>
          <w:highlight w:val="none"/>
        </w:rPr>
      </w:pPr>
      <w:bookmarkStart w:id="5" w:name="_Toc500208464"/>
      <w:bookmarkStart w:id="6" w:name="_Toc500209413"/>
      <w:r>
        <w:rPr>
          <w:rFonts w:hint="eastAsia" w:cs="Times New Roman"/>
          <w:color w:val="auto"/>
          <w:sz w:val="32"/>
          <w:szCs w:val="20"/>
          <w:highlight w:val="none"/>
        </w:rPr>
        <w:t xml:space="preserve"> </w:t>
      </w:r>
      <w:bookmarkStart w:id="7" w:name="_Toc458127840"/>
      <w:r>
        <w:rPr>
          <w:rFonts w:hint="eastAsia" w:cs="Times New Roman"/>
          <w:color w:val="auto"/>
          <w:sz w:val="32"/>
          <w:szCs w:val="20"/>
          <w:highlight w:val="none"/>
        </w:rPr>
        <w:t>第一节  总  则</w:t>
      </w:r>
      <w:bookmarkEnd w:id="5"/>
      <w:bookmarkEnd w:id="6"/>
      <w:bookmarkEnd w:id="7"/>
    </w:p>
    <w:p w14:paraId="33E01346">
      <w:pPr>
        <w:pStyle w:val="4"/>
        <w:tabs>
          <w:tab w:val="left" w:pos="360"/>
        </w:tabs>
        <w:ind w:left="0"/>
        <w:rPr>
          <w:rFonts w:hint="eastAsia"/>
          <w:color w:val="auto"/>
          <w:highlight w:val="none"/>
        </w:rPr>
      </w:pPr>
      <w:bookmarkStart w:id="8" w:name="_Toc458127841"/>
      <w:bookmarkStart w:id="9" w:name="_Toc188333752"/>
      <w:bookmarkStart w:id="10" w:name="_Toc169487776"/>
      <w:bookmarkStart w:id="11" w:name="_Toc155342528"/>
      <w:bookmarkStart w:id="12" w:name="_Toc188339045"/>
      <w:bookmarkStart w:id="13" w:name="_Toc500208465"/>
      <w:r>
        <w:rPr>
          <w:rFonts w:hint="eastAsia"/>
          <w:color w:val="auto"/>
          <w:highlight w:val="none"/>
        </w:rPr>
        <w:t>项目说明</w:t>
      </w:r>
      <w:bookmarkEnd w:id="8"/>
      <w:bookmarkEnd w:id="9"/>
      <w:bookmarkEnd w:id="10"/>
      <w:bookmarkEnd w:id="11"/>
      <w:bookmarkEnd w:id="12"/>
    </w:p>
    <w:p w14:paraId="0083E82A">
      <w:pPr>
        <w:pStyle w:val="5"/>
        <w:tabs>
          <w:tab w:val="left" w:pos="360"/>
        </w:tabs>
        <w:ind w:left="0" w:leftChars="0" w:firstLine="420" w:firstLineChars="200"/>
        <w:rPr>
          <w:rFonts w:hint="eastAsia" w:ascii="Arial" w:hAnsi="Arial" w:eastAsia="宋体"/>
          <w:color w:val="auto"/>
          <w:sz w:val="21"/>
          <w:highlight w:val="none"/>
        </w:rPr>
      </w:pPr>
      <w:r>
        <w:rPr>
          <w:rFonts w:hint="eastAsia" w:ascii="Arial" w:hAnsi="Arial" w:eastAsia="宋体"/>
          <w:color w:val="auto"/>
          <w:sz w:val="21"/>
          <w:highlight w:val="none"/>
        </w:rPr>
        <w:t>1.1</w:t>
      </w:r>
      <w:r>
        <w:rPr>
          <w:rFonts w:hint="eastAsia" w:ascii="Arial" w:hAnsi="宋体" w:eastAsia="宋体"/>
          <w:color w:val="auto"/>
          <w:sz w:val="21"/>
          <w:highlight w:val="none"/>
        </w:rPr>
        <w:t>本招标项目说明详见本须知前附表。</w:t>
      </w:r>
    </w:p>
    <w:p w14:paraId="5B41969E">
      <w:pPr>
        <w:pStyle w:val="4"/>
        <w:tabs>
          <w:tab w:val="left" w:pos="360"/>
        </w:tabs>
        <w:ind w:left="0"/>
        <w:rPr>
          <w:rFonts w:hint="eastAsia"/>
          <w:color w:val="auto"/>
          <w:highlight w:val="none"/>
        </w:rPr>
      </w:pPr>
      <w:bookmarkStart w:id="14" w:name="_Toc458127842"/>
      <w:bookmarkStart w:id="15" w:name="_Toc188333753"/>
      <w:bookmarkStart w:id="16" w:name="_Toc155342529"/>
      <w:bookmarkStart w:id="17" w:name="_Toc188339046"/>
      <w:bookmarkStart w:id="18" w:name="_Toc169487777"/>
      <w:r>
        <w:rPr>
          <w:rFonts w:hint="eastAsia"/>
          <w:color w:val="auto"/>
          <w:highlight w:val="none"/>
        </w:rPr>
        <w:t>招标范围</w:t>
      </w:r>
      <w:bookmarkEnd w:id="13"/>
      <w:bookmarkEnd w:id="14"/>
      <w:bookmarkEnd w:id="15"/>
      <w:bookmarkEnd w:id="16"/>
      <w:bookmarkEnd w:id="17"/>
      <w:bookmarkEnd w:id="18"/>
    </w:p>
    <w:p w14:paraId="2213A44D">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bookmarkStart w:id="19" w:name="_Toc500208466"/>
      <w:r>
        <w:rPr>
          <w:rFonts w:hint="eastAsia" w:ascii="Arial"/>
          <w:color w:val="auto"/>
          <w:highlight w:val="none"/>
        </w:rPr>
        <w:t>本招标项目的招标范围详见本须知前附表。</w:t>
      </w:r>
    </w:p>
    <w:p w14:paraId="589AAAFD">
      <w:pPr>
        <w:pStyle w:val="4"/>
        <w:tabs>
          <w:tab w:val="left" w:pos="360"/>
        </w:tabs>
        <w:ind w:left="0"/>
        <w:rPr>
          <w:rFonts w:hint="eastAsia"/>
          <w:color w:val="auto"/>
          <w:highlight w:val="none"/>
        </w:rPr>
      </w:pPr>
      <w:bookmarkStart w:id="20" w:name="_Toc155342530"/>
      <w:bookmarkStart w:id="21" w:name="_Toc188333754"/>
      <w:bookmarkStart w:id="22" w:name="_Toc188339047"/>
      <w:bookmarkStart w:id="23" w:name="_Toc169487778"/>
      <w:bookmarkStart w:id="24" w:name="_Toc458127843"/>
      <w:r>
        <w:rPr>
          <w:rFonts w:hint="eastAsia"/>
          <w:color w:val="auto"/>
          <w:highlight w:val="none"/>
        </w:rPr>
        <w:t>资金来源</w:t>
      </w:r>
      <w:bookmarkEnd w:id="19"/>
      <w:bookmarkEnd w:id="20"/>
      <w:bookmarkEnd w:id="21"/>
      <w:bookmarkEnd w:id="22"/>
      <w:bookmarkEnd w:id="23"/>
      <w:bookmarkEnd w:id="24"/>
    </w:p>
    <w:p w14:paraId="60E3E892">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本招标项目资金来源详见本须知前附表。</w:t>
      </w:r>
    </w:p>
    <w:p w14:paraId="272BB878">
      <w:pPr>
        <w:pStyle w:val="4"/>
        <w:tabs>
          <w:tab w:val="left" w:pos="360"/>
        </w:tabs>
        <w:ind w:left="0"/>
        <w:rPr>
          <w:rFonts w:hint="eastAsia"/>
          <w:color w:val="auto"/>
          <w:highlight w:val="none"/>
        </w:rPr>
      </w:pPr>
      <w:bookmarkStart w:id="25" w:name="_Toc458127844"/>
      <w:bookmarkStart w:id="26" w:name="_Toc155342531"/>
      <w:bookmarkStart w:id="27" w:name="_Toc169487779"/>
      <w:bookmarkStart w:id="28" w:name="_Toc188339048"/>
      <w:bookmarkStart w:id="29" w:name="_Toc188333755"/>
      <w:r>
        <w:rPr>
          <w:rFonts w:hint="eastAsia"/>
          <w:color w:val="auto"/>
          <w:highlight w:val="none"/>
        </w:rPr>
        <w:t>投标资格</w:t>
      </w:r>
      <w:bookmarkEnd w:id="25"/>
      <w:bookmarkEnd w:id="26"/>
      <w:bookmarkEnd w:id="27"/>
      <w:bookmarkEnd w:id="28"/>
      <w:bookmarkEnd w:id="29"/>
    </w:p>
    <w:p w14:paraId="55969CE5">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投标人须具备的条件详见本须知前附表。</w:t>
      </w:r>
    </w:p>
    <w:p w14:paraId="6A9FDF03">
      <w:pPr>
        <w:pStyle w:val="4"/>
        <w:tabs>
          <w:tab w:val="left" w:pos="360"/>
        </w:tabs>
        <w:ind w:left="0"/>
        <w:rPr>
          <w:rFonts w:hint="eastAsia"/>
          <w:color w:val="auto"/>
          <w:highlight w:val="none"/>
        </w:rPr>
      </w:pPr>
      <w:bookmarkStart w:id="30" w:name="_Toc458127845"/>
      <w:bookmarkStart w:id="31" w:name="_Toc188339049"/>
      <w:bookmarkStart w:id="32" w:name="_Toc188333756"/>
      <w:bookmarkStart w:id="33" w:name="_Toc155342532"/>
      <w:bookmarkStart w:id="34" w:name="_Toc169487780"/>
      <w:r>
        <w:rPr>
          <w:rFonts w:hint="eastAsia"/>
          <w:color w:val="auto"/>
          <w:highlight w:val="none"/>
        </w:rPr>
        <w:t>投标费用</w:t>
      </w:r>
      <w:bookmarkEnd w:id="30"/>
      <w:bookmarkEnd w:id="31"/>
      <w:bookmarkEnd w:id="32"/>
      <w:bookmarkEnd w:id="33"/>
      <w:bookmarkEnd w:id="34"/>
    </w:p>
    <w:p w14:paraId="49D8FD2E">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投标人应自行承担其参加投标活动自身发生的费用。</w:t>
      </w:r>
    </w:p>
    <w:p w14:paraId="1C532402">
      <w:pPr>
        <w:pStyle w:val="4"/>
        <w:tabs>
          <w:tab w:val="left" w:pos="360"/>
        </w:tabs>
        <w:ind w:left="0"/>
        <w:rPr>
          <w:rFonts w:hint="eastAsia" w:ascii="Arial" w:hAnsi="Arial" w:cs="Times New Roman"/>
          <w:b/>
          <w:color w:val="auto"/>
          <w:highlight w:val="none"/>
        </w:rPr>
      </w:pPr>
      <w:r>
        <w:rPr>
          <w:rFonts w:hint="eastAsia" w:ascii="Arial" w:hAnsi="Arial" w:cs="Times New Roman"/>
          <w:b/>
          <w:color w:val="auto"/>
          <w:highlight w:val="none"/>
        </w:rPr>
        <w:t>投标保证金</w:t>
      </w:r>
      <w:r>
        <w:rPr>
          <w:rFonts w:hint="eastAsia" w:ascii="Arial" w:hAnsi="Arial" w:cs="Times New Roman"/>
          <w:b/>
          <w:color w:val="auto"/>
          <w:highlight w:val="none"/>
          <w:lang w:eastAsia="zh-CN"/>
        </w:rPr>
        <w:t>：</w:t>
      </w:r>
    </w:p>
    <w:p w14:paraId="1FD1687C">
      <w:pPr>
        <w:pStyle w:val="8"/>
        <w:numPr>
          <w:ilvl w:val="1"/>
          <w:numId w:val="1"/>
        </w:numPr>
        <w:tabs>
          <w:tab w:val="left" w:pos="360"/>
          <w:tab w:val="left" w:pos="574"/>
        </w:tabs>
        <w:spacing w:after="0" w:line="288" w:lineRule="auto"/>
        <w:ind w:left="0" w:firstLine="420" w:firstLineChars="200"/>
        <w:rPr>
          <w:rFonts w:hint="eastAsia" w:ascii="Arial" w:hAnsi="Calibri" w:eastAsia="宋体" w:cs="Times New Roman"/>
          <w:color w:val="auto"/>
          <w:highlight w:val="none"/>
        </w:rPr>
      </w:pPr>
      <w:r>
        <w:rPr>
          <w:rFonts w:hint="eastAsia" w:ascii="Arial" w:hAnsi="Calibri" w:eastAsia="宋体" w:cs="Times New Roman"/>
          <w:color w:val="auto"/>
          <w:highlight w:val="none"/>
        </w:rPr>
        <w:t>投标人须按规定提交投标保证金。否则，其投标将被拒绝</w:t>
      </w:r>
      <w:r>
        <w:rPr>
          <w:rFonts w:hint="eastAsia" w:ascii="Arial" w:cs="Times New Roman"/>
          <w:color w:val="auto"/>
          <w:highlight w:val="none"/>
          <w:lang w:eastAsia="zh-CN"/>
        </w:rPr>
        <w:t>。</w:t>
      </w:r>
    </w:p>
    <w:p w14:paraId="432783F2">
      <w:pPr>
        <w:pStyle w:val="8"/>
        <w:numPr>
          <w:ilvl w:val="1"/>
          <w:numId w:val="1"/>
        </w:numPr>
        <w:tabs>
          <w:tab w:val="left" w:pos="360"/>
          <w:tab w:val="left" w:pos="574"/>
        </w:tabs>
        <w:spacing w:after="0" w:line="288" w:lineRule="auto"/>
        <w:ind w:left="0" w:firstLine="420" w:firstLineChars="200"/>
        <w:rPr>
          <w:rFonts w:hint="eastAsia" w:ascii="Arial" w:hAnsi="Calibri" w:eastAsia="宋体" w:cs="Times New Roman"/>
          <w:color w:val="auto"/>
          <w:highlight w:val="none"/>
        </w:rPr>
      </w:pPr>
      <w:r>
        <w:rPr>
          <w:rFonts w:hint="eastAsia" w:ascii="Arial" w:hAnsi="Calibri" w:eastAsia="宋体" w:cs="Times New Roman"/>
          <w:color w:val="auto"/>
          <w:highlight w:val="none"/>
        </w:rPr>
        <w:t>保证金形式</w:t>
      </w:r>
      <w:r>
        <w:rPr>
          <w:rFonts w:hint="eastAsia" w:ascii="Arial" w:cs="Times New Roman"/>
          <w:color w:val="auto"/>
          <w:highlight w:val="none"/>
          <w:lang w:eastAsia="zh-CN"/>
        </w:rPr>
        <w:t>：</w:t>
      </w:r>
      <w:r>
        <w:rPr>
          <w:rFonts w:hint="eastAsia" w:ascii="Arial" w:hAnsi="Calibri" w:eastAsia="宋体" w:cs="Times New Roman"/>
          <w:color w:val="auto"/>
          <w:highlight w:val="none"/>
        </w:rPr>
        <w:t>转账、电汇、银行汇票、银行保函、保险机构保证保险保单、融资担保公司保函。</w:t>
      </w:r>
    </w:p>
    <w:p w14:paraId="208324FF">
      <w:pPr>
        <w:pStyle w:val="8"/>
        <w:numPr>
          <w:ilvl w:val="1"/>
          <w:numId w:val="1"/>
        </w:numPr>
        <w:tabs>
          <w:tab w:val="left" w:pos="360"/>
          <w:tab w:val="left" w:pos="574"/>
        </w:tabs>
        <w:spacing w:after="0" w:line="288" w:lineRule="auto"/>
        <w:ind w:left="0" w:firstLine="420" w:firstLineChars="200"/>
        <w:rPr>
          <w:rFonts w:hint="eastAsia" w:ascii="Arial" w:hAnsi="Calibri" w:eastAsia="宋体" w:cs="Times New Roman"/>
          <w:color w:val="auto"/>
          <w:highlight w:val="none"/>
        </w:rPr>
      </w:pPr>
      <w:r>
        <w:rPr>
          <w:rFonts w:hint="eastAsia" w:ascii="Arial" w:hAnsi="Calibri" w:eastAsia="宋体" w:cs="Times New Roman"/>
          <w:color w:val="auto"/>
          <w:highlight w:val="none"/>
        </w:rPr>
        <w:t>投标人有下列情形之一的，投标保证金将不予退还</w:t>
      </w:r>
      <w:r>
        <w:rPr>
          <w:rFonts w:hint="eastAsia" w:ascii="Arial" w:hAnsi="Calibri" w:eastAsia="宋体" w:cs="Times New Roman"/>
          <w:color w:val="auto"/>
          <w:highlight w:val="none"/>
          <w:lang w:eastAsia="zh-CN"/>
        </w:rPr>
        <w:t>：</w:t>
      </w:r>
    </w:p>
    <w:p w14:paraId="7334328B">
      <w:pPr>
        <w:pStyle w:val="8"/>
        <w:numPr>
          <w:ilvl w:val="0"/>
          <w:numId w:val="0"/>
        </w:numPr>
        <w:tabs>
          <w:tab w:val="left" w:pos="360"/>
          <w:tab w:val="left" w:pos="574"/>
        </w:tabs>
        <w:spacing w:after="0" w:line="288" w:lineRule="auto"/>
        <w:ind w:leftChars="200"/>
        <w:rPr>
          <w:rFonts w:hint="eastAsia" w:ascii="Arial" w:hAnsi="Calibri" w:eastAsia="宋体" w:cs="Times New Roman"/>
          <w:color w:val="auto"/>
          <w:highlight w:val="none"/>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1</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投标人在投标有效期内撤回投标文件的</w:t>
      </w:r>
      <w:r>
        <w:rPr>
          <w:rFonts w:hint="eastAsia" w:ascii="Arial" w:hAnsi="Calibri" w:eastAsia="宋体" w:cs="Times New Roman"/>
          <w:color w:val="auto"/>
          <w:highlight w:val="none"/>
          <w:lang w:eastAsia="zh-CN"/>
        </w:rPr>
        <w:t>；</w:t>
      </w:r>
    </w:p>
    <w:p w14:paraId="4D28B1B7">
      <w:pPr>
        <w:pStyle w:val="8"/>
        <w:numPr>
          <w:ilvl w:val="0"/>
          <w:numId w:val="0"/>
        </w:numPr>
        <w:tabs>
          <w:tab w:val="left" w:pos="360"/>
          <w:tab w:val="left" w:pos="574"/>
        </w:tabs>
        <w:spacing w:after="0" w:line="288" w:lineRule="auto"/>
        <w:ind w:firstLine="420" w:firstLine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2</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未按规定提交</w:t>
      </w:r>
      <w:r>
        <w:rPr>
          <w:rFonts w:hint="eastAsia" w:ascii="Arial" w:cs="Times New Roman"/>
          <w:color w:val="auto"/>
          <w:highlight w:val="none"/>
          <w:lang w:val="en-US" w:eastAsia="zh-CN"/>
        </w:rPr>
        <w:t>履</w:t>
      </w:r>
      <w:r>
        <w:rPr>
          <w:rFonts w:hint="eastAsia" w:ascii="Arial" w:hAnsi="Calibri" w:eastAsia="宋体" w:cs="Times New Roman"/>
          <w:color w:val="auto"/>
          <w:highlight w:val="none"/>
        </w:rPr>
        <w:t>约保证金的</w:t>
      </w:r>
      <w:r>
        <w:rPr>
          <w:rFonts w:hint="eastAsia" w:ascii="Arial" w:hAnsi="Calibri" w:eastAsia="宋体" w:cs="Times New Roman"/>
          <w:color w:val="auto"/>
          <w:highlight w:val="none"/>
          <w:lang w:eastAsia="zh-CN"/>
        </w:rPr>
        <w:t>；</w:t>
      </w:r>
    </w:p>
    <w:p w14:paraId="2A0BFCB3">
      <w:pPr>
        <w:pStyle w:val="8"/>
        <w:numPr>
          <w:ilvl w:val="0"/>
          <w:numId w:val="0"/>
        </w:numPr>
        <w:tabs>
          <w:tab w:val="left" w:pos="360"/>
          <w:tab w:val="left" w:pos="574"/>
        </w:tabs>
        <w:spacing w:after="0" w:line="288" w:lineRule="auto"/>
        <w:ind w:firstLine="420" w:firstLine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3</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投标人在投标过程中弄虚作假，提供虚假材料的</w:t>
      </w:r>
      <w:r>
        <w:rPr>
          <w:rFonts w:hint="eastAsia" w:ascii="Arial" w:hAnsi="Calibri" w:eastAsia="宋体" w:cs="Times New Roman"/>
          <w:color w:val="auto"/>
          <w:highlight w:val="none"/>
          <w:lang w:eastAsia="zh-CN"/>
        </w:rPr>
        <w:t>；</w:t>
      </w:r>
    </w:p>
    <w:p w14:paraId="135FE21E">
      <w:pPr>
        <w:pStyle w:val="8"/>
        <w:numPr>
          <w:ilvl w:val="0"/>
          <w:numId w:val="0"/>
        </w:numPr>
        <w:tabs>
          <w:tab w:val="left" w:pos="360"/>
          <w:tab w:val="left" w:pos="574"/>
        </w:tabs>
        <w:spacing w:after="0" w:line="288" w:lineRule="auto"/>
        <w:ind w:left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4</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中标人无正当理由不与</w:t>
      </w:r>
      <w:r>
        <w:rPr>
          <w:rFonts w:hint="eastAsia" w:ascii="Arial" w:cs="Times New Roman"/>
          <w:color w:val="auto"/>
          <w:highlight w:val="none"/>
          <w:lang w:eastAsia="zh-CN"/>
        </w:rPr>
        <w:t>招标人</w:t>
      </w:r>
      <w:r>
        <w:rPr>
          <w:rFonts w:hint="eastAsia" w:ascii="Arial" w:hAnsi="Calibri" w:eastAsia="宋体" w:cs="Times New Roman"/>
          <w:color w:val="auto"/>
          <w:highlight w:val="none"/>
        </w:rPr>
        <w:t>签订合同的</w:t>
      </w:r>
      <w:r>
        <w:rPr>
          <w:rFonts w:hint="eastAsia" w:ascii="Arial" w:hAnsi="Calibri" w:eastAsia="宋体" w:cs="Times New Roman"/>
          <w:color w:val="auto"/>
          <w:highlight w:val="none"/>
          <w:lang w:eastAsia="zh-CN"/>
        </w:rPr>
        <w:t>；</w:t>
      </w:r>
    </w:p>
    <w:p w14:paraId="07D97FF7">
      <w:pPr>
        <w:pStyle w:val="8"/>
        <w:numPr>
          <w:ilvl w:val="0"/>
          <w:numId w:val="0"/>
        </w:numPr>
        <w:tabs>
          <w:tab w:val="left" w:pos="360"/>
          <w:tab w:val="left" w:pos="574"/>
        </w:tabs>
        <w:spacing w:after="0" w:line="288" w:lineRule="auto"/>
        <w:ind w:left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5</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将中标项目转让给他人</w:t>
      </w:r>
      <w:r>
        <w:rPr>
          <w:rFonts w:hint="eastAsia" w:ascii="Arial" w:cs="Times New Roman"/>
          <w:color w:val="auto"/>
          <w:highlight w:val="none"/>
          <w:lang w:eastAsia="zh-CN"/>
        </w:rPr>
        <w:t>，</w:t>
      </w:r>
      <w:r>
        <w:rPr>
          <w:rFonts w:hint="eastAsia" w:ascii="Arial" w:hAnsi="Calibri" w:eastAsia="宋体" w:cs="Times New Roman"/>
          <w:color w:val="auto"/>
          <w:highlight w:val="none"/>
        </w:rPr>
        <w:t>或者在投标文件中未说明且未经招标</w:t>
      </w:r>
      <w:r>
        <w:rPr>
          <w:rFonts w:hint="eastAsia" w:ascii="Arial" w:cs="Times New Roman"/>
          <w:color w:val="auto"/>
          <w:highlight w:val="none"/>
          <w:lang w:val="en-US" w:eastAsia="zh-CN"/>
        </w:rPr>
        <w:t>人</w:t>
      </w:r>
      <w:r>
        <w:rPr>
          <w:rFonts w:hint="eastAsia" w:ascii="Arial" w:hAnsi="Calibri" w:eastAsia="宋体" w:cs="Times New Roman"/>
          <w:color w:val="auto"/>
          <w:highlight w:val="none"/>
        </w:rPr>
        <w:t>同意将中标项目分包给他人的</w:t>
      </w:r>
      <w:r>
        <w:rPr>
          <w:rFonts w:hint="eastAsia" w:ascii="Arial" w:hAnsi="Calibri" w:eastAsia="宋体" w:cs="Times New Roman"/>
          <w:color w:val="auto"/>
          <w:highlight w:val="none"/>
          <w:lang w:eastAsia="zh-CN"/>
        </w:rPr>
        <w:t>；</w:t>
      </w:r>
    </w:p>
    <w:p w14:paraId="759BCB2E">
      <w:pPr>
        <w:pStyle w:val="8"/>
        <w:numPr>
          <w:ilvl w:val="0"/>
          <w:numId w:val="0"/>
        </w:numPr>
        <w:tabs>
          <w:tab w:val="left" w:pos="360"/>
          <w:tab w:val="left" w:pos="574"/>
        </w:tabs>
        <w:spacing w:after="0" w:line="288" w:lineRule="auto"/>
        <w:ind w:leftChars="200"/>
        <w:rPr>
          <w:rFonts w:hint="eastAsia" w:ascii="Arial" w:hAnsi="Arial" w:eastAsia="宋体"/>
          <w:color w:val="auto"/>
          <w:highlight w:val="none"/>
          <w:lang w:eastAsia="zh-CN"/>
        </w:rPr>
      </w:pPr>
      <w:r>
        <w:rPr>
          <w:rFonts w:hint="eastAsia" w:ascii="Arial" w:hAnsi="Calibri" w:eastAsia="宋体" w:cs="Times New Roman"/>
          <w:color w:val="auto"/>
          <w:highlight w:val="none"/>
          <w:lang w:eastAsia="zh-CN"/>
        </w:rPr>
        <w:t>（</w:t>
      </w:r>
      <w:r>
        <w:rPr>
          <w:rFonts w:hint="eastAsia" w:ascii="Arial" w:cs="Times New Roman"/>
          <w:color w:val="auto"/>
          <w:highlight w:val="none"/>
          <w:lang w:val="en-US" w:eastAsia="zh-CN"/>
        </w:rPr>
        <w:t>6</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其他严重扰乱招投标程序的</w:t>
      </w:r>
      <w:r>
        <w:rPr>
          <w:rFonts w:hint="eastAsia" w:ascii="Arial" w:hAnsi="Calibri" w:eastAsia="宋体" w:cs="Times New Roman"/>
          <w:color w:val="auto"/>
          <w:highlight w:val="none"/>
          <w:lang w:eastAsia="zh-CN"/>
        </w:rPr>
        <w:t>。</w:t>
      </w:r>
    </w:p>
    <w:p w14:paraId="55D53D10">
      <w:pPr>
        <w:pStyle w:val="4"/>
        <w:tabs>
          <w:tab w:val="left" w:pos="360"/>
        </w:tabs>
        <w:ind w:left="0"/>
        <w:rPr>
          <w:rFonts w:hint="eastAsia"/>
          <w:color w:val="auto"/>
          <w:highlight w:val="none"/>
        </w:rPr>
      </w:pPr>
      <w:bookmarkStart w:id="35" w:name="_Toc188333758"/>
      <w:bookmarkStart w:id="36" w:name="_Toc188339051"/>
      <w:bookmarkStart w:id="37" w:name="_Toc458127846"/>
      <w:bookmarkStart w:id="38" w:name="_Toc155342534"/>
      <w:bookmarkStart w:id="39" w:name="_Toc169487782"/>
      <w:r>
        <w:rPr>
          <w:rFonts w:hint="eastAsia"/>
          <w:color w:val="auto"/>
          <w:highlight w:val="none"/>
        </w:rPr>
        <w:t>踏勘现场</w:t>
      </w:r>
      <w:bookmarkEnd w:id="35"/>
      <w:bookmarkEnd w:id="36"/>
      <w:bookmarkEnd w:id="37"/>
      <w:bookmarkEnd w:id="38"/>
      <w:bookmarkEnd w:id="39"/>
    </w:p>
    <w:p w14:paraId="497225C1">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本项目招标人不统一组织现场踏勘。投标人可自行对工程施工现场和周围环境进行踏勘，以获取编制投标文件和签署合同所需的资料</w:t>
      </w:r>
      <w:r>
        <w:rPr>
          <w:rFonts w:hint="eastAsia" w:ascii="Arial"/>
          <w:color w:val="auto"/>
          <w:highlight w:val="none"/>
          <w:lang w:eastAsia="zh-CN"/>
        </w:rPr>
        <w:t>。</w:t>
      </w:r>
      <w:r>
        <w:rPr>
          <w:rFonts w:hint="eastAsia" w:ascii="Arial"/>
          <w:color w:val="auto"/>
          <w:highlight w:val="none"/>
        </w:rPr>
        <w:t>踏勘现场所发生的费用由投标人自己承担。</w:t>
      </w:r>
    </w:p>
    <w:p w14:paraId="0C878181">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招标人向投标人提供的有关施工现场的资料和数据，是招标人现有的能使投标人利用的资料。招标人对投标人由此而作出的推论、理解、结论概不负责。</w:t>
      </w:r>
    </w:p>
    <w:p w14:paraId="2A996E1A">
      <w:pPr>
        <w:pStyle w:val="8"/>
        <w:numPr>
          <w:ilvl w:val="-1"/>
          <w:numId w:val="0"/>
        </w:numPr>
        <w:tabs>
          <w:tab w:val="left" w:pos="360"/>
          <w:tab w:val="left" w:pos="574"/>
        </w:tabs>
        <w:spacing w:after="0" w:line="288" w:lineRule="auto"/>
        <w:ind w:left="0" w:leftChars="0" w:firstLine="420" w:firstLineChars="200"/>
        <w:jc w:val="left"/>
        <w:rPr>
          <w:rFonts w:hint="eastAsia" w:ascii="Arial" w:hAnsi="Calibri" w:eastAsia="宋体" w:cs="Times New Roman"/>
          <w:b w:val="0"/>
          <w:color w:val="auto"/>
          <w:kern w:val="2"/>
          <w:sz w:val="21"/>
          <w:highlight w:val="none"/>
        </w:rPr>
      </w:pPr>
      <w:r>
        <w:rPr>
          <w:rFonts w:hint="eastAsia" w:ascii="Arial" w:cs="Times New Roman"/>
          <w:color w:val="auto"/>
          <w:highlight w:val="none"/>
          <w:lang w:val="en-US" w:eastAsia="zh-CN"/>
        </w:rPr>
        <w:t>7.3</w:t>
      </w:r>
      <w:r>
        <w:rPr>
          <w:rFonts w:hint="eastAsia" w:ascii="Arial" w:eastAsia="宋体" w:cs="Times New Roman"/>
          <w:color w:val="auto"/>
          <w:highlight w:val="none"/>
        </w:rPr>
        <w:t>除招标人向投标人提供本工程有关的情况外，投标人应通过自行调查取得与承包本项目可</w:t>
      </w:r>
      <w:bookmarkStart w:id="40" w:name="_Toc500209414"/>
      <w:bookmarkStart w:id="41" w:name="_Toc500208467"/>
      <w:r>
        <w:rPr>
          <w:rFonts w:hint="eastAsia" w:ascii="Arial" w:eastAsia="宋体" w:cs="Times New Roman"/>
          <w:color w:val="auto"/>
          <w:highlight w:val="none"/>
        </w:rPr>
        <w:t>能发</w:t>
      </w:r>
      <w:r>
        <w:rPr>
          <w:rFonts w:hint="eastAsia" w:ascii="Arial" w:eastAsia="宋体" w:cs="Times New Roman"/>
          <w:color w:val="auto"/>
          <w:highlight w:val="none"/>
          <w:lang w:val="en-US" w:eastAsia="zh-CN"/>
        </w:rPr>
        <w:t>生</w:t>
      </w:r>
      <w:r>
        <w:rPr>
          <w:rFonts w:hint="eastAsia" w:ascii="Arial" w:eastAsia="宋体" w:cs="Times New Roman"/>
          <w:color w:val="auto"/>
          <w:highlight w:val="none"/>
        </w:rPr>
        <w:t>的费用等有关的全部情况，包括交通、环保、治安等规定和要求；其费用投标人自理。</w:t>
      </w:r>
    </w:p>
    <w:p w14:paraId="0E934B1B">
      <w:pPr>
        <w:pStyle w:val="2"/>
        <w:tabs>
          <w:tab w:val="left" w:pos="360"/>
        </w:tabs>
        <w:rPr>
          <w:rFonts w:hint="eastAsia"/>
          <w:color w:val="auto"/>
          <w:highlight w:val="none"/>
        </w:rPr>
      </w:pPr>
      <w:bookmarkStart w:id="42" w:name="_Toc458127847"/>
      <w:r>
        <w:rPr>
          <w:rFonts w:hint="eastAsia"/>
          <w:color w:val="auto"/>
          <w:highlight w:val="none"/>
        </w:rPr>
        <w:t>第二节  招标文件</w:t>
      </w:r>
      <w:bookmarkEnd w:id="40"/>
      <w:bookmarkEnd w:id="41"/>
      <w:bookmarkEnd w:id="42"/>
    </w:p>
    <w:p w14:paraId="23C89D83">
      <w:pPr>
        <w:pStyle w:val="4"/>
        <w:tabs>
          <w:tab w:val="left" w:pos="360"/>
        </w:tabs>
        <w:ind w:left="0"/>
        <w:rPr>
          <w:rFonts w:hint="eastAsia"/>
          <w:color w:val="auto"/>
          <w:highlight w:val="none"/>
        </w:rPr>
      </w:pPr>
      <w:bookmarkStart w:id="43" w:name="_Toc155342536"/>
      <w:bookmarkStart w:id="44" w:name="_Toc169487784"/>
      <w:bookmarkStart w:id="45" w:name="_Toc188339053"/>
      <w:bookmarkStart w:id="46" w:name="_Toc500208468"/>
      <w:bookmarkStart w:id="47" w:name="_Toc188333760"/>
      <w:bookmarkStart w:id="48" w:name="_Toc458127848"/>
      <w:r>
        <w:rPr>
          <w:rFonts w:hint="eastAsia"/>
          <w:color w:val="auto"/>
          <w:highlight w:val="none"/>
        </w:rPr>
        <w:t>招标文件的组成</w:t>
      </w:r>
      <w:bookmarkEnd w:id="43"/>
      <w:bookmarkEnd w:id="44"/>
      <w:bookmarkEnd w:id="45"/>
      <w:bookmarkEnd w:id="46"/>
      <w:bookmarkEnd w:id="47"/>
      <w:bookmarkEnd w:id="48"/>
    </w:p>
    <w:p w14:paraId="622BC8F5">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招标文件包括下列内容：</w:t>
      </w:r>
    </w:p>
    <w:p w14:paraId="00AB0A97">
      <w:pPr>
        <w:pStyle w:val="8"/>
        <w:tabs>
          <w:tab w:val="left" w:pos="360"/>
        </w:tabs>
        <w:ind w:firstLine="420" w:firstLineChars="200"/>
        <w:rPr>
          <w:rFonts w:hint="eastAsia" w:ascii="Arial"/>
          <w:color w:val="auto"/>
          <w:highlight w:val="none"/>
          <w:lang w:val="en-US" w:eastAsia="zh-CN"/>
        </w:rPr>
      </w:pPr>
      <w:r>
        <w:rPr>
          <w:rFonts w:hint="eastAsia" w:ascii="Arial"/>
          <w:color w:val="auto"/>
          <w:highlight w:val="none"/>
          <w:lang w:val="en-US" w:eastAsia="zh-CN"/>
        </w:rPr>
        <w:t>招标公告；</w:t>
      </w:r>
    </w:p>
    <w:p w14:paraId="012E24D1">
      <w:pPr>
        <w:pStyle w:val="8"/>
        <w:tabs>
          <w:tab w:val="left" w:pos="360"/>
        </w:tabs>
        <w:ind w:firstLine="420" w:firstLineChars="200"/>
        <w:rPr>
          <w:rFonts w:hint="eastAsia" w:ascii="Arial" w:hAnsi="Arial"/>
          <w:color w:val="auto"/>
          <w:highlight w:val="none"/>
        </w:rPr>
      </w:pPr>
      <w:r>
        <w:rPr>
          <w:rFonts w:hint="eastAsia" w:ascii="Arial"/>
          <w:color w:val="auto"/>
          <w:highlight w:val="none"/>
          <w:lang w:val="en-US" w:eastAsia="zh-CN"/>
        </w:rPr>
        <w:t>招标需求</w:t>
      </w:r>
      <w:r>
        <w:rPr>
          <w:rFonts w:hint="eastAsia" w:ascii="Arial"/>
          <w:color w:val="auto"/>
          <w:highlight w:val="none"/>
        </w:rPr>
        <w:t>；</w:t>
      </w:r>
    </w:p>
    <w:p w14:paraId="10F308FF">
      <w:pPr>
        <w:pStyle w:val="8"/>
        <w:tabs>
          <w:tab w:val="left" w:pos="360"/>
        </w:tabs>
        <w:ind w:firstLine="420" w:firstLineChars="200"/>
        <w:rPr>
          <w:rFonts w:hint="eastAsia" w:ascii="Arial" w:hAnsi="Arial"/>
          <w:color w:val="auto"/>
          <w:highlight w:val="none"/>
        </w:rPr>
      </w:pPr>
      <w:r>
        <w:rPr>
          <w:rFonts w:hint="eastAsia" w:ascii="Arial"/>
          <w:color w:val="auto"/>
          <w:highlight w:val="none"/>
          <w:lang w:val="en-US" w:eastAsia="zh-CN"/>
        </w:rPr>
        <w:t>投标须知</w:t>
      </w:r>
      <w:r>
        <w:rPr>
          <w:rFonts w:hint="eastAsia" w:ascii="Arial"/>
          <w:color w:val="auto"/>
          <w:highlight w:val="none"/>
        </w:rPr>
        <w:t>；</w:t>
      </w:r>
    </w:p>
    <w:p w14:paraId="497BAF5E">
      <w:pPr>
        <w:pStyle w:val="8"/>
        <w:tabs>
          <w:tab w:val="left" w:pos="360"/>
        </w:tabs>
        <w:ind w:firstLine="420" w:firstLineChars="200"/>
        <w:rPr>
          <w:rFonts w:hint="eastAsia" w:ascii="Arial" w:hAnsi="Arial"/>
          <w:color w:val="auto"/>
          <w:highlight w:val="none"/>
        </w:rPr>
      </w:pPr>
      <w:r>
        <w:rPr>
          <w:rFonts w:hint="eastAsia" w:ascii="Arial"/>
          <w:color w:val="auto"/>
          <w:highlight w:val="none"/>
        </w:rPr>
        <w:t>评标办法；</w:t>
      </w:r>
    </w:p>
    <w:p w14:paraId="45EF1CB4">
      <w:pPr>
        <w:pStyle w:val="8"/>
        <w:tabs>
          <w:tab w:val="left" w:pos="360"/>
        </w:tabs>
        <w:ind w:firstLine="420" w:firstLineChars="200"/>
        <w:rPr>
          <w:rFonts w:hint="eastAsia" w:ascii="Arial" w:hAnsi="Arial"/>
          <w:color w:val="auto"/>
          <w:highlight w:val="none"/>
        </w:rPr>
      </w:pPr>
      <w:r>
        <w:rPr>
          <w:rFonts w:hint="eastAsia" w:ascii="Arial"/>
          <w:color w:val="auto"/>
          <w:highlight w:val="none"/>
          <w:lang w:val="en-US" w:eastAsia="zh-CN"/>
        </w:rPr>
        <w:t>采购合同</w:t>
      </w:r>
      <w:r>
        <w:rPr>
          <w:rFonts w:hint="eastAsia" w:ascii="Arial"/>
          <w:color w:val="auto"/>
          <w:highlight w:val="none"/>
        </w:rPr>
        <w:t>；</w:t>
      </w:r>
    </w:p>
    <w:p w14:paraId="275CCBF2">
      <w:pPr>
        <w:pStyle w:val="8"/>
        <w:tabs>
          <w:tab w:val="left" w:pos="360"/>
        </w:tabs>
        <w:ind w:firstLine="420" w:firstLineChars="200"/>
        <w:rPr>
          <w:rFonts w:hint="eastAsia" w:ascii="Arial" w:eastAsia="宋体"/>
          <w:color w:val="auto"/>
          <w:highlight w:val="none"/>
          <w:lang w:eastAsia="zh-CN"/>
        </w:rPr>
      </w:pPr>
      <w:r>
        <w:rPr>
          <w:rFonts w:hint="eastAsia" w:ascii="Arial"/>
          <w:color w:val="auto"/>
          <w:highlight w:val="none"/>
        </w:rPr>
        <w:t>投标文件格式</w:t>
      </w:r>
      <w:r>
        <w:rPr>
          <w:rFonts w:hint="eastAsia" w:ascii="Arial"/>
          <w:color w:val="auto"/>
          <w:highlight w:val="none"/>
          <w:lang w:eastAsia="zh-CN"/>
        </w:rPr>
        <w:t>。</w:t>
      </w:r>
    </w:p>
    <w:p w14:paraId="4FC7E9D7">
      <w:pPr>
        <w:pStyle w:val="8"/>
        <w:numPr>
          <w:ilvl w:val="1"/>
          <w:numId w:val="1"/>
        </w:numPr>
        <w:tabs>
          <w:tab w:val="left" w:pos="360"/>
          <w:tab w:val="left" w:pos="574"/>
        </w:tabs>
        <w:spacing w:after="0" w:line="288" w:lineRule="auto"/>
        <w:ind w:left="0" w:firstLine="422" w:firstLineChars="200"/>
        <w:rPr>
          <w:rFonts w:hint="eastAsia" w:ascii="Arial" w:hAnsi="Arial"/>
          <w:color w:val="auto"/>
          <w:highlight w:val="none"/>
        </w:rPr>
      </w:pPr>
      <w:r>
        <w:rPr>
          <w:rFonts w:hint="eastAsia" w:ascii="黑体" w:eastAsia="黑体"/>
          <w:b/>
          <w:color w:val="auto"/>
          <w:highlight w:val="none"/>
        </w:rPr>
        <w:t>除上款内容外，招标人在提交投标文件截止时间前，发布在网上（发布招标公告的媒体上）对招标文件的澄清或修改内容，均为招标文件的组成部分，对招标人和投标人起约束作用，投标人应经常浏览发布招标公告的媒体。</w:t>
      </w:r>
    </w:p>
    <w:p w14:paraId="1BCDA836">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color w:val="auto"/>
          <w:highlight w:val="none"/>
        </w:rPr>
        <w:t>投标人</w:t>
      </w:r>
      <w:r>
        <w:rPr>
          <w:rFonts w:hint="eastAsia"/>
          <w:color w:val="auto"/>
          <w:highlight w:val="none"/>
        </w:rPr>
        <w:t>通过</w:t>
      </w:r>
      <w:r>
        <w:rPr>
          <w:rFonts w:hint="eastAsia"/>
          <w:color w:val="auto"/>
          <w:highlight w:val="none"/>
          <w:lang w:val="en-US" w:eastAsia="zh-CN"/>
        </w:rPr>
        <w:t>现场报名</w:t>
      </w:r>
      <w:r>
        <w:rPr>
          <w:rFonts w:hint="eastAsia"/>
          <w:color w:val="auto"/>
          <w:highlight w:val="none"/>
        </w:rPr>
        <w:t>的方式获取招标文件及相关附件。投标人在</w:t>
      </w:r>
      <w:r>
        <w:rPr>
          <w:color w:val="auto"/>
          <w:highlight w:val="none"/>
        </w:rPr>
        <w:t>获取招标文件后，应仔细检查招标文件的所有内容，如有残缺等问题</w:t>
      </w:r>
      <w:r>
        <w:rPr>
          <w:rFonts w:hint="eastAsia"/>
          <w:color w:val="auto"/>
          <w:highlight w:val="none"/>
        </w:rPr>
        <w:t>建议自</w:t>
      </w:r>
      <w:r>
        <w:rPr>
          <w:rFonts w:hint="eastAsia"/>
          <w:color w:val="auto"/>
          <w:highlight w:val="none"/>
          <w:lang w:val="en-US" w:eastAsia="zh-CN"/>
        </w:rPr>
        <w:t>获取</w:t>
      </w:r>
      <w:r>
        <w:rPr>
          <w:rFonts w:hint="eastAsia"/>
          <w:color w:val="auto"/>
          <w:highlight w:val="none"/>
        </w:rPr>
        <w:t>招标文件3日内</w:t>
      </w:r>
      <w:r>
        <w:rPr>
          <w:color w:val="auto"/>
          <w:highlight w:val="none"/>
        </w:rPr>
        <w:t>向招标人提出，否则，由此引起的损失由投标人自己承担。投标人应同时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14:paraId="552EDAF4">
      <w:pPr>
        <w:pStyle w:val="4"/>
        <w:tabs>
          <w:tab w:val="left" w:pos="360"/>
        </w:tabs>
        <w:ind w:left="0"/>
        <w:rPr>
          <w:rFonts w:hint="eastAsia"/>
          <w:color w:val="auto"/>
          <w:highlight w:val="none"/>
        </w:rPr>
      </w:pPr>
      <w:bookmarkStart w:id="49" w:name="_Toc500208469"/>
      <w:bookmarkStart w:id="50" w:name="_Toc188339054"/>
      <w:bookmarkStart w:id="51" w:name="_Toc458127849"/>
      <w:bookmarkStart w:id="52" w:name="_Toc188333761"/>
      <w:bookmarkStart w:id="53" w:name="_Toc155342537"/>
      <w:bookmarkStart w:id="54" w:name="_Toc169487785"/>
      <w:r>
        <w:rPr>
          <w:rFonts w:hint="eastAsia"/>
          <w:color w:val="auto"/>
          <w:highlight w:val="none"/>
        </w:rPr>
        <w:t>招标文件的</w:t>
      </w:r>
      <w:bookmarkEnd w:id="49"/>
      <w:r>
        <w:rPr>
          <w:rFonts w:hint="eastAsia"/>
          <w:color w:val="auto"/>
          <w:highlight w:val="none"/>
        </w:rPr>
        <w:t>澄清</w:t>
      </w:r>
      <w:bookmarkEnd w:id="50"/>
      <w:bookmarkEnd w:id="51"/>
      <w:bookmarkEnd w:id="52"/>
      <w:bookmarkEnd w:id="53"/>
      <w:bookmarkEnd w:id="54"/>
    </w:p>
    <w:p w14:paraId="3DE2CB3B">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color w:val="auto"/>
          <w:highlight w:val="none"/>
        </w:rPr>
        <w:t>投标人获取招标文件后，若有问题需要澄清，建议自招标文件</w:t>
      </w:r>
      <w:r>
        <w:rPr>
          <w:rFonts w:hint="eastAsia"/>
          <w:color w:val="auto"/>
          <w:highlight w:val="none"/>
          <w:lang w:val="en-US" w:eastAsia="zh-CN"/>
        </w:rPr>
        <w:t>获取</w:t>
      </w:r>
      <w:r>
        <w:rPr>
          <w:rFonts w:hint="eastAsia"/>
          <w:color w:val="auto"/>
          <w:highlight w:val="none"/>
        </w:rPr>
        <w:t>3日内，以书面形式向招标人提出。招标人及招标代理机构的任何工作人员对投标人所作的任何口头解释、介绍、答复，只能供投标人参考，对招标人无任何约束力。</w:t>
      </w:r>
    </w:p>
    <w:p w14:paraId="72F4E6A1">
      <w:pPr>
        <w:pStyle w:val="4"/>
        <w:tabs>
          <w:tab w:val="left" w:pos="360"/>
        </w:tabs>
        <w:ind w:left="0"/>
        <w:rPr>
          <w:rFonts w:hint="eastAsia"/>
          <w:color w:val="auto"/>
          <w:highlight w:val="none"/>
        </w:rPr>
      </w:pPr>
      <w:bookmarkStart w:id="55" w:name="_Toc500208470"/>
      <w:bookmarkStart w:id="56" w:name="_Toc155342538"/>
      <w:bookmarkStart w:id="57" w:name="_Toc458127850"/>
      <w:bookmarkStart w:id="58" w:name="_Toc169487786"/>
      <w:bookmarkStart w:id="59" w:name="_Toc188339055"/>
      <w:bookmarkStart w:id="60" w:name="_Toc188333762"/>
      <w:r>
        <w:rPr>
          <w:rFonts w:hint="eastAsia"/>
          <w:color w:val="auto"/>
          <w:highlight w:val="none"/>
        </w:rPr>
        <w:t>招标文件的修改</w:t>
      </w:r>
      <w:bookmarkEnd w:id="55"/>
      <w:bookmarkEnd w:id="56"/>
      <w:bookmarkEnd w:id="57"/>
      <w:bookmarkEnd w:id="58"/>
      <w:bookmarkEnd w:id="59"/>
      <w:bookmarkEnd w:id="60"/>
    </w:p>
    <w:p w14:paraId="31AC64FD">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bookmarkStart w:id="61" w:name="_Toc188333763"/>
      <w:bookmarkStart w:id="62" w:name="_Toc155342539"/>
      <w:bookmarkStart w:id="63" w:name="_Toc188339056"/>
      <w:bookmarkStart w:id="64" w:name="_Toc169487787"/>
      <w:r>
        <w:rPr>
          <w:rFonts w:hint="eastAsia" w:ascii="Arial"/>
          <w:color w:val="auto"/>
          <w:highlight w:val="none"/>
        </w:rPr>
        <w:t>在投标截止日期前，招标人可能以补充通知的方式修改招标文件。</w:t>
      </w:r>
    </w:p>
    <w:p w14:paraId="098C53FE">
      <w:pPr>
        <w:spacing w:line="360" w:lineRule="auto"/>
        <w:ind w:firstLine="420" w:firstLineChars="200"/>
        <w:rPr>
          <w:rFonts w:hint="eastAsia" w:ascii="Arial" w:hAnsi="宋体"/>
          <w:color w:val="auto"/>
          <w:highlight w:val="none"/>
        </w:rPr>
      </w:pPr>
      <w:r>
        <w:rPr>
          <w:rFonts w:hint="eastAsia" w:ascii="Arial" w:hAnsi="宋体"/>
          <w:color w:val="auto"/>
          <w:highlight w:val="none"/>
          <w:lang w:val="en-US" w:eastAsia="zh-CN"/>
        </w:rPr>
        <w:t>10.2</w:t>
      </w:r>
      <w:r>
        <w:rPr>
          <w:rFonts w:hint="eastAsia" w:ascii="Arial" w:hAnsi="宋体"/>
          <w:color w:val="auto"/>
          <w:highlight w:val="none"/>
        </w:rPr>
        <w:t>招标文件的澄清、修改、补充等内容均以发布（发布招标公告的媒体上）的内容为准。当招标文件、招标文件的澄清、修改、补充等在同一内容的表述上不一致时，以最后发出的文件为准。</w:t>
      </w:r>
    </w:p>
    <w:p w14:paraId="23ED2274">
      <w:pPr>
        <w:spacing w:line="360" w:lineRule="auto"/>
        <w:ind w:firstLine="420" w:firstLineChars="200"/>
        <w:rPr>
          <w:rFonts w:hint="eastAsia" w:ascii="Arial" w:hAnsi="宋体"/>
          <w:color w:val="auto"/>
          <w:highlight w:val="none"/>
        </w:rPr>
      </w:pPr>
      <w:r>
        <w:rPr>
          <w:rFonts w:hint="eastAsia" w:ascii="Arial" w:hAnsi="宋体"/>
          <w:color w:val="auto"/>
          <w:highlight w:val="none"/>
          <w:lang w:val="en-US" w:eastAsia="zh-CN"/>
        </w:rPr>
        <w:t>10.3</w:t>
      </w:r>
      <w:r>
        <w:rPr>
          <w:rFonts w:hint="eastAsia" w:ascii="Arial" w:hAnsi="宋体"/>
          <w:color w:val="auto"/>
          <w:highlight w:val="none"/>
        </w:rPr>
        <w:t>招标文件的澄清、修改、补充等内容将发布在网上（发布招标公告的媒体上），这些内容作为招标文件的组成部分，对投标人起约束作用。</w:t>
      </w:r>
    </w:p>
    <w:bookmarkEnd w:id="61"/>
    <w:bookmarkEnd w:id="62"/>
    <w:bookmarkEnd w:id="63"/>
    <w:bookmarkEnd w:id="64"/>
    <w:p w14:paraId="3C283A6F">
      <w:pPr>
        <w:pStyle w:val="4"/>
        <w:tabs>
          <w:tab w:val="left" w:pos="360"/>
        </w:tabs>
        <w:ind w:left="0"/>
        <w:rPr>
          <w:rFonts w:hint="eastAsia"/>
          <w:color w:val="auto"/>
          <w:highlight w:val="none"/>
        </w:rPr>
      </w:pPr>
      <w:bookmarkStart w:id="65" w:name="_Toc458127851"/>
      <w:bookmarkStart w:id="66" w:name="_Toc188339057"/>
      <w:bookmarkStart w:id="67" w:name="_Toc169487788"/>
      <w:bookmarkStart w:id="68" w:name="_Toc188333764"/>
      <w:bookmarkStart w:id="69" w:name="_Toc155342540"/>
      <w:r>
        <w:rPr>
          <w:rFonts w:hint="eastAsia"/>
          <w:color w:val="auto"/>
          <w:highlight w:val="none"/>
        </w:rPr>
        <w:t>招标文件的解释权</w:t>
      </w:r>
      <w:bookmarkEnd w:id="65"/>
      <w:bookmarkEnd w:id="66"/>
      <w:bookmarkEnd w:id="67"/>
      <w:bookmarkEnd w:id="68"/>
      <w:bookmarkEnd w:id="69"/>
    </w:p>
    <w:p w14:paraId="1D782F15">
      <w:pPr>
        <w:pStyle w:val="8"/>
        <w:numPr>
          <w:ilvl w:val="-1"/>
          <w:numId w:val="0"/>
        </w:numPr>
        <w:tabs>
          <w:tab w:val="left" w:pos="360"/>
          <w:tab w:val="left" w:pos="574"/>
        </w:tabs>
        <w:spacing w:after="0" w:line="288" w:lineRule="auto"/>
        <w:ind w:left="420" w:leftChars="200" w:firstLine="0" w:firstLineChars="0"/>
        <w:rPr>
          <w:rFonts w:hint="eastAsia"/>
          <w:color w:val="auto"/>
          <w:highlight w:val="none"/>
        </w:rPr>
      </w:pPr>
      <w:r>
        <w:rPr>
          <w:rFonts w:hint="eastAsia" w:ascii="Arial" w:hAnsi="宋体"/>
          <w:color w:val="auto"/>
          <w:highlight w:val="none"/>
          <w:lang w:val="en-US" w:eastAsia="zh-CN"/>
        </w:rPr>
        <w:t>11.1</w:t>
      </w:r>
      <w:r>
        <w:rPr>
          <w:rFonts w:hint="eastAsia" w:ascii="Arial"/>
          <w:color w:val="auto"/>
          <w:highlight w:val="none"/>
        </w:rPr>
        <w:t>本招标文件（包括澄清、修改、补充文件、书面答复等）的解释权属招标</w:t>
      </w:r>
      <w:r>
        <w:rPr>
          <w:rFonts w:hint="eastAsia" w:ascii="Arial" w:cs="宋体"/>
          <w:color w:val="auto"/>
          <w:highlight w:val="none"/>
        </w:rPr>
        <w:t>人</w:t>
      </w:r>
      <w:r>
        <w:rPr>
          <w:rFonts w:hint="eastAsia" w:ascii="Arial"/>
          <w:color w:val="auto"/>
          <w:highlight w:val="none"/>
        </w:rPr>
        <w:t>。</w:t>
      </w:r>
      <w:bookmarkStart w:id="70" w:name="_Toc500209416"/>
      <w:bookmarkStart w:id="71" w:name="_Toc500208475"/>
    </w:p>
    <w:p w14:paraId="570F91B1">
      <w:pPr>
        <w:pStyle w:val="2"/>
        <w:tabs>
          <w:tab w:val="left" w:pos="360"/>
        </w:tabs>
        <w:rPr>
          <w:color w:val="auto"/>
          <w:highlight w:val="none"/>
        </w:rPr>
      </w:pPr>
      <w:bookmarkStart w:id="72" w:name="_Toc458127852"/>
      <w:r>
        <w:rPr>
          <w:rFonts w:hint="eastAsia"/>
          <w:color w:val="auto"/>
          <w:highlight w:val="none"/>
        </w:rPr>
        <w:t>第三节  投标文件的编制</w:t>
      </w:r>
      <w:bookmarkEnd w:id="70"/>
      <w:bookmarkEnd w:id="71"/>
      <w:bookmarkEnd w:id="72"/>
    </w:p>
    <w:p w14:paraId="1A99CEF9">
      <w:pPr>
        <w:pStyle w:val="4"/>
        <w:tabs>
          <w:tab w:val="left" w:pos="360"/>
        </w:tabs>
        <w:ind w:left="0"/>
        <w:rPr>
          <w:rFonts w:hint="eastAsia"/>
          <w:color w:val="auto"/>
          <w:highlight w:val="none"/>
        </w:rPr>
      </w:pPr>
      <w:bookmarkStart w:id="73" w:name="_Toc155342542"/>
      <w:bookmarkStart w:id="74" w:name="_Toc458127853"/>
      <w:bookmarkStart w:id="75" w:name="_Toc188333766"/>
      <w:bookmarkStart w:id="76" w:name="_Toc188339059"/>
      <w:bookmarkStart w:id="77" w:name="_Toc500208476"/>
      <w:bookmarkStart w:id="78" w:name="_Toc169487790"/>
      <w:bookmarkStart w:id="79" w:name="_Toc69095786"/>
      <w:bookmarkStart w:id="80" w:name="_Toc500208477"/>
      <w:r>
        <w:rPr>
          <w:rFonts w:hint="eastAsia"/>
          <w:color w:val="auto"/>
          <w:highlight w:val="none"/>
        </w:rPr>
        <w:t>投标文件的组成</w:t>
      </w:r>
      <w:bookmarkEnd w:id="73"/>
      <w:bookmarkEnd w:id="74"/>
      <w:bookmarkEnd w:id="75"/>
      <w:bookmarkEnd w:id="76"/>
      <w:bookmarkEnd w:id="77"/>
      <w:bookmarkEnd w:id="78"/>
      <w:bookmarkEnd w:id="79"/>
    </w:p>
    <w:p w14:paraId="098A8C3B">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本招标工程项目的投标文件组成详见本须知前附表。</w:t>
      </w:r>
    </w:p>
    <w:p w14:paraId="2FD5FA9B">
      <w:pPr>
        <w:pStyle w:val="4"/>
        <w:tabs>
          <w:tab w:val="left" w:pos="360"/>
        </w:tabs>
        <w:ind w:left="0"/>
        <w:rPr>
          <w:rFonts w:hint="eastAsia"/>
          <w:color w:val="auto"/>
          <w:highlight w:val="none"/>
        </w:rPr>
      </w:pPr>
      <w:bookmarkStart w:id="81" w:name="_Toc155342544"/>
      <w:bookmarkStart w:id="82" w:name="_Toc169487791"/>
      <w:bookmarkStart w:id="83" w:name="_Toc188333767"/>
      <w:bookmarkStart w:id="84" w:name="_Toc458127854"/>
      <w:bookmarkStart w:id="85" w:name="_Toc188339060"/>
      <w:r>
        <w:rPr>
          <w:rFonts w:hint="eastAsia"/>
          <w:color w:val="auto"/>
          <w:highlight w:val="none"/>
        </w:rPr>
        <w:t>投标文件的格式</w:t>
      </w:r>
      <w:bookmarkEnd w:id="81"/>
      <w:bookmarkEnd w:id="82"/>
      <w:bookmarkEnd w:id="83"/>
      <w:bookmarkEnd w:id="84"/>
      <w:bookmarkEnd w:id="85"/>
    </w:p>
    <w:p w14:paraId="014A707C">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本招标项目的投标文件格式要求详见本须知前附表。</w:t>
      </w:r>
    </w:p>
    <w:p w14:paraId="1E9D8B49">
      <w:pPr>
        <w:pStyle w:val="4"/>
        <w:tabs>
          <w:tab w:val="left" w:pos="360"/>
        </w:tabs>
        <w:ind w:left="0"/>
        <w:rPr>
          <w:rFonts w:hint="eastAsia"/>
          <w:color w:val="auto"/>
          <w:highlight w:val="none"/>
        </w:rPr>
      </w:pPr>
      <w:bookmarkStart w:id="86" w:name="_Toc155342545"/>
      <w:bookmarkStart w:id="87" w:name="_Toc188333768"/>
      <w:bookmarkStart w:id="88" w:name="_Toc458127855"/>
      <w:bookmarkStart w:id="89" w:name="_Toc188339061"/>
      <w:bookmarkStart w:id="90" w:name="_Toc169487792"/>
      <w:r>
        <w:rPr>
          <w:rFonts w:hint="eastAsia"/>
          <w:color w:val="auto"/>
          <w:highlight w:val="none"/>
        </w:rPr>
        <w:t>投标报价组成</w:t>
      </w:r>
      <w:bookmarkEnd w:id="86"/>
      <w:bookmarkEnd w:id="87"/>
      <w:bookmarkEnd w:id="88"/>
      <w:bookmarkEnd w:id="89"/>
      <w:bookmarkEnd w:id="90"/>
    </w:p>
    <w:p w14:paraId="1FAF38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olor w:val="auto"/>
          <w:szCs w:val="21"/>
          <w:highlight w:val="none"/>
        </w:rPr>
      </w:pPr>
      <w:r>
        <w:rPr>
          <w:rFonts w:hint="eastAsia" w:ascii="Arial" w:hAnsi="宋体" w:eastAsia="宋体" w:cs="Times New Roman"/>
          <w:color w:val="auto"/>
          <w:highlight w:val="none"/>
        </w:rPr>
        <w:t>1</w:t>
      </w:r>
      <w:r>
        <w:rPr>
          <w:rFonts w:hint="eastAsia" w:ascii="Arial" w:hAnsi="宋体" w:eastAsia="宋体" w:cs="Times New Roman"/>
          <w:color w:val="auto"/>
          <w:highlight w:val="none"/>
          <w:lang w:val="en-US" w:eastAsia="zh-CN"/>
        </w:rPr>
        <w:t>4</w:t>
      </w:r>
      <w:r>
        <w:rPr>
          <w:rFonts w:hint="eastAsia" w:ascii="Arial" w:hAnsi="宋体" w:eastAsia="宋体" w:cs="Times New Roman"/>
          <w:color w:val="auto"/>
          <w:highlight w:val="none"/>
        </w:rPr>
        <w:t>.1</w:t>
      </w:r>
      <w:r>
        <w:rPr>
          <w:rFonts w:hint="eastAsia"/>
          <w:color w:val="auto"/>
          <w:highlight w:val="none"/>
        </w:rPr>
        <w:t>报价方式：</w:t>
      </w:r>
      <w:bookmarkStart w:id="91" w:name="_Toc155342546"/>
      <w:bookmarkStart w:id="92" w:name="_Toc169487793"/>
      <w:bookmarkStart w:id="93" w:name="_Toc188339062"/>
      <w:bookmarkStart w:id="94" w:name="_Toc188333769"/>
      <w:bookmarkStart w:id="95" w:name="_Toc458127856"/>
      <w:bookmarkStart w:id="96" w:name="_Toc500208474"/>
      <w:r>
        <w:rPr>
          <w:rFonts w:hint="eastAsia"/>
          <w:color w:val="auto"/>
          <w:highlight w:val="none"/>
        </w:rPr>
        <w:t>固定单价。</w:t>
      </w:r>
    </w:p>
    <w:p w14:paraId="7CDE93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ascii="Arial" w:hAnsi="宋体" w:eastAsia="宋体" w:cs="Times New Roman"/>
          <w:color w:val="auto"/>
          <w:highlight w:val="none"/>
        </w:rPr>
        <w:t>1</w:t>
      </w:r>
      <w:r>
        <w:rPr>
          <w:rFonts w:hint="eastAsia" w:ascii="Arial" w:hAnsi="宋体" w:eastAsia="宋体" w:cs="Times New Roman"/>
          <w:color w:val="auto"/>
          <w:highlight w:val="none"/>
          <w:lang w:val="en-US" w:eastAsia="zh-CN"/>
        </w:rPr>
        <w:t>4</w:t>
      </w:r>
      <w:r>
        <w:rPr>
          <w:rFonts w:hint="eastAsia" w:ascii="Arial" w:hAnsi="宋体" w:eastAsia="宋体" w:cs="Times New Roman"/>
          <w:color w:val="auto"/>
          <w:highlight w:val="none"/>
        </w:rPr>
        <w:t>.2</w:t>
      </w:r>
      <w:r>
        <w:rPr>
          <w:rFonts w:hint="eastAsia"/>
          <w:color w:val="auto"/>
          <w:highlight w:val="none"/>
        </w:rPr>
        <w:t>投标报价要求</w:t>
      </w:r>
      <w:bookmarkEnd w:id="91"/>
      <w:bookmarkEnd w:id="92"/>
      <w:bookmarkEnd w:id="93"/>
      <w:bookmarkEnd w:id="94"/>
      <w:bookmarkEnd w:id="95"/>
      <w:r>
        <w:rPr>
          <w:rFonts w:hint="eastAsia"/>
          <w:color w:val="auto"/>
          <w:highlight w:val="none"/>
        </w:rPr>
        <w:t>：</w:t>
      </w:r>
      <w:r>
        <w:rPr>
          <w:rFonts w:hint="eastAsia" w:ascii="宋体" w:hAnsi="宋体" w:cs="宋体"/>
          <w:color w:val="auto"/>
          <w:kern w:val="0"/>
          <w:szCs w:val="21"/>
          <w:highlight w:val="none"/>
          <w:lang w:val="en-US" w:eastAsia="zh-CN"/>
        </w:rPr>
        <w:t>投标报价为本次水稻秧苗采购的费用。</w:t>
      </w:r>
      <w:r>
        <w:rPr>
          <w:rFonts w:hint="eastAsia" w:ascii="宋体" w:hAnsi="宋体" w:cs="宋体"/>
          <w:color w:val="auto"/>
          <w:kern w:val="0"/>
          <w:szCs w:val="21"/>
          <w:highlight w:val="none"/>
        </w:rPr>
        <w:t>各投标人应根据招标人提供的相关资料及要求，以及本</w:t>
      </w:r>
      <w:r>
        <w:rPr>
          <w:rFonts w:hint="eastAsia" w:ascii="宋体" w:hAnsi="宋体" w:cs="宋体"/>
          <w:color w:val="auto"/>
          <w:kern w:val="0"/>
          <w:szCs w:val="21"/>
          <w:highlight w:val="none"/>
          <w:lang w:val="en-US" w:eastAsia="zh-CN"/>
        </w:rPr>
        <w:t>项目</w:t>
      </w:r>
      <w:r>
        <w:rPr>
          <w:rFonts w:hint="eastAsia" w:ascii="宋体" w:hAnsi="宋体" w:cs="宋体"/>
          <w:color w:val="auto"/>
          <w:kern w:val="0"/>
          <w:szCs w:val="21"/>
          <w:highlight w:val="none"/>
        </w:rPr>
        <w:t>实际情况和自身的综合实力，竞报投标报价。</w:t>
      </w:r>
    </w:p>
    <w:bookmarkEnd w:id="96"/>
    <w:p w14:paraId="394C3330">
      <w:pPr>
        <w:pStyle w:val="8"/>
        <w:keepNext w:val="0"/>
        <w:keepLines w:val="0"/>
        <w:pageBreakBefore w:val="0"/>
        <w:widowControl w:val="0"/>
        <w:tabs>
          <w:tab w:val="left" w:pos="574"/>
        </w:tabs>
        <w:kinsoku/>
        <w:wordWrap/>
        <w:overflowPunct/>
        <w:topLinePunct w:val="0"/>
        <w:autoSpaceDE/>
        <w:autoSpaceDN/>
        <w:bidi w:val="0"/>
        <w:adjustRightInd/>
        <w:snapToGrid/>
        <w:spacing w:after="0" w:line="300" w:lineRule="auto"/>
        <w:ind w:firstLine="420" w:firstLineChars="200"/>
        <w:textAlignment w:val="auto"/>
        <w:rPr>
          <w:rFonts w:hint="eastAsia"/>
          <w:color w:val="auto"/>
          <w:highlight w:val="none"/>
        </w:rPr>
      </w:pPr>
      <w:bookmarkStart w:id="97" w:name="_Toc169487794"/>
      <w:bookmarkStart w:id="98" w:name="_Toc188339063"/>
      <w:bookmarkStart w:id="99" w:name="_Toc155342547"/>
      <w:bookmarkStart w:id="100" w:name="_Toc188333770"/>
      <w:r>
        <w:rPr>
          <w:rFonts w:hint="eastAsia" w:ascii="Arial" w:hAnsi="宋体" w:eastAsia="宋体" w:cs="Times New Roman"/>
          <w:color w:val="auto"/>
          <w:highlight w:val="none"/>
        </w:rPr>
        <w:t>1</w:t>
      </w:r>
      <w:r>
        <w:rPr>
          <w:rFonts w:hint="eastAsia" w:ascii="Arial" w:hAnsi="宋体" w:eastAsia="宋体" w:cs="Times New Roman"/>
          <w:color w:val="auto"/>
          <w:highlight w:val="none"/>
          <w:lang w:val="en-US" w:eastAsia="zh-CN"/>
        </w:rPr>
        <w:t>4</w:t>
      </w:r>
      <w:r>
        <w:rPr>
          <w:rFonts w:hint="eastAsia" w:ascii="Arial" w:hAnsi="宋体" w:eastAsia="宋体" w:cs="Times New Roman"/>
          <w:color w:val="auto"/>
          <w:highlight w:val="none"/>
        </w:rPr>
        <w:t>.3</w:t>
      </w:r>
      <w:r>
        <w:rPr>
          <w:rFonts w:hint="eastAsia"/>
          <w:color w:val="auto"/>
          <w:highlight w:val="none"/>
        </w:rPr>
        <w:t>招标文件规定应由投标人自行确定的费用，投标人应根据招标文件附件格式和报价要求，结合</w:t>
      </w:r>
      <w:r>
        <w:rPr>
          <w:rFonts w:hint="eastAsia"/>
          <w:color w:val="auto"/>
          <w:highlight w:val="none"/>
          <w:lang w:val="en-US" w:eastAsia="zh-CN"/>
        </w:rPr>
        <w:t>项目</w:t>
      </w:r>
      <w:r>
        <w:rPr>
          <w:rFonts w:hint="eastAsia"/>
          <w:color w:val="auto"/>
          <w:highlight w:val="none"/>
        </w:rPr>
        <w:t>的实际情况、市场行情、技术方案和企业的管理水平，综合分析后自主确定报价。</w:t>
      </w:r>
    </w:p>
    <w:p w14:paraId="2E7DD794">
      <w:pPr>
        <w:pStyle w:val="4"/>
        <w:tabs>
          <w:tab w:val="left" w:pos="360"/>
        </w:tabs>
        <w:spacing w:line="300" w:lineRule="auto"/>
        <w:ind w:left="0"/>
        <w:rPr>
          <w:rFonts w:hint="eastAsia"/>
          <w:color w:val="auto"/>
          <w:highlight w:val="none"/>
        </w:rPr>
      </w:pPr>
      <w:bookmarkStart w:id="101" w:name="_Toc458127857"/>
      <w:r>
        <w:rPr>
          <w:rFonts w:hint="eastAsia"/>
          <w:color w:val="auto"/>
          <w:highlight w:val="none"/>
        </w:rPr>
        <w:t>投标</w:t>
      </w:r>
      <w:bookmarkEnd w:id="80"/>
      <w:r>
        <w:rPr>
          <w:rFonts w:hint="eastAsia"/>
          <w:color w:val="auto"/>
          <w:highlight w:val="none"/>
        </w:rPr>
        <w:t>担保</w:t>
      </w:r>
      <w:bookmarkEnd w:id="97"/>
      <w:bookmarkEnd w:id="98"/>
      <w:bookmarkEnd w:id="99"/>
      <w:bookmarkEnd w:id="100"/>
      <w:bookmarkEnd w:id="101"/>
    </w:p>
    <w:p w14:paraId="10F2FAE2">
      <w:pPr>
        <w:spacing w:line="400" w:lineRule="exact"/>
        <w:ind w:firstLine="420" w:firstLineChars="200"/>
        <w:rPr>
          <w:rFonts w:hint="default" w:ascii="Arial" w:hAnsi="宋体" w:eastAsia="宋体"/>
          <w:color w:val="auto"/>
          <w:highlight w:val="none"/>
          <w:lang w:val="en-US" w:eastAsia="zh-CN"/>
        </w:rPr>
      </w:pPr>
      <w:bookmarkStart w:id="102" w:name="_Toc188333771"/>
      <w:bookmarkStart w:id="103" w:name="_Toc188339064"/>
      <w:bookmarkStart w:id="104" w:name="_Toc169487795"/>
      <w:bookmarkStart w:id="105" w:name="_Toc155342548"/>
      <w:bookmarkStart w:id="106" w:name="_Toc500208478"/>
      <w:r>
        <w:rPr>
          <w:rFonts w:hint="eastAsia" w:ascii="Arial" w:hAnsi="宋体"/>
          <w:color w:val="auto"/>
          <w:highlight w:val="none"/>
          <w:lang w:val="en-US" w:eastAsia="zh-CN"/>
        </w:rPr>
        <w:t>15.1本项目设置投标担保，要求详见</w:t>
      </w:r>
      <w:r>
        <w:rPr>
          <w:rFonts w:hint="eastAsia" w:ascii="Arial"/>
          <w:color w:val="auto"/>
          <w:highlight w:val="none"/>
        </w:rPr>
        <w:t>本须知前附表</w:t>
      </w:r>
      <w:r>
        <w:rPr>
          <w:rFonts w:hint="eastAsia" w:ascii="Arial" w:hAnsi="宋体"/>
          <w:color w:val="auto"/>
          <w:highlight w:val="none"/>
          <w:lang w:val="en-US" w:eastAsia="zh-CN"/>
        </w:rPr>
        <w:t>。</w:t>
      </w:r>
    </w:p>
    <w:p w14:paraId="75625CBE">
      <w:pPr>
        <w:pStyle w:val="4"/>
        <w:tabs>
          <w:tab w:val="left" w:pos="360"/>
        </w:tabs>
        <w:spacing w:line="300" w:lineRule="auto"/>
        <w:ind w:left="0"/>
        <w:rPr>
          <w:rFonts w:hint="eastAsia"/>
          <w:color w:val="auto"/>
          <w:highlight w:val="none"/>
        </w:rPr>
      </w:pPr>
      <w:bookmarkStart w:id="107" w:name="_Toc458127858"/>
      <w:r>
        <w:rPr>
          <w:rFonts w:hint="eastAsia"/>
          <w:color w:val="auto"/>
          <w:highlight w:val="none"/>
        </w:rPr>
        <w:t>投标有效期</w:t>
      </w:r>
      <w:bookmarkEnd w:id="102"/>
      <w:bookmarkEnd w:id="103"/>
      <w:bookmarkEnd w:id="104"/>
      <w:bookmarkEnd w:id="105"/>
      <w:bookmarkEnd w:id="107"/>
    </w:p>
    <w:p w14:paraId="78C0826C">
      <w:pPr>
        <w:pStyle w:val="8"/>
        <w:numPr>
          <w:ilvl w:val="1"/>
          <w:numId w:val="1"/>
        </w:numPr>
        <w:tabs>
          <w:tab w:val="left" w:pos="360"/>
          <w:tab w:val="left" w:pos="574"/>
        </w:tabs>
        <w:spacing w:after="0" w:line="300" w:lineRule="auto"/>
        <w:ind w:left="0" w:firstLine="420" w:firstLineChars="200"/>
        <w:rPr>
          <w:rFonts w:hint="eastAsia" w:ascii="Arial" w:hAnsi="Arial"/>
          <w:color w:val="auto"/>
          <w:highlight w:val="none"/>
        </w:rPr>
      </w:pPr>
      <w:r>
        <w:rPr>
          <w:rFonts w:ascii="Arial"/>
          <w:color w:val="auto"/>
          <w:highlight w:val="none"/>
        </w:rPr>
        <w:t>投标有效期</w:t>
      </w:r>
      <w:r>
        <w:rPr>
          <w:rFonts w:hint="eastAsia" w:ascii="Arial"/>
          <w:color w:val="auto"/>
          <w:highlight w:val="none"/>
        </w:rPr>
        <w:t>详</w:t>
      </w:r>
      <w:r>
        <w:rPr>
          <w:rFonts w:ascii="Arial"/>
          <w:color w:val="auto"/>
          <w:highlight w:val="none"/>
        </w:rPr>
        <w:t>见本须知前附表，在此期限内，凡符合本招标文件要求的投标文件均保持有效。</w:t>
      </w:r>
    </w:p>
    <w:p w14:paraId="23156880">
      <w:pPr>
        <w:pStyle w:val="8"/>
        <w:numPr>
          <w:ilvl w:val="1"/>
          <w:numId w:val="1"/>
        </w:numPr>
        <w:tabs>
          <w:tab w:val="left" w:pos="360"/>
          <w:tab w:val="left" w:pos="574"/>
        </w:tabs>
        <w:spacing w:after="0" w:line="300" w:lineRule="auto"/>
        <w:ind w:left="0" w:firstLine="420" w:firstLineChars="200"/>
        <w:rPr>
          <w:rFonts w:hint="eastAsia" w:ascii="Arial" w:hAnsi="Arial"/>
          <w:color w:val="auto"/>
          <w:highlight w:val="none"/>
        </w:rPr>
      </w:pPr>
      <w:r>
        <w:rPr>
          <w:rFonts w:hint="eastAsia" w:ascii="Arial"/>
          <w:color w:val="auto"/>
          <w:highlight w:val="none"/>
        </w:rPr>
        <w:t>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关于投标担保的退还与没收的规定仍然适用。</w:t>
      </w:r>
    </w:p>
    <w:bookmarkEnd w:id="106"/>
    <w:p w14:paraId="3F9C0B48">
      <w:pPr>
        <w:pStyle w:val="4"/>
        <w:tabs>
          <w:tab w:val="left" w:pos="360"/>
        </w:tabs>
        <w:spacing w:line="300" w:lineRule="auto"/>
        <w:ind w:left="0"/>
        <w:rPr>
          <w:rFonts w:hint="eastAsia"/>
          <w:color w:val="auto"/>
          <w:highlight w:val="none"/>
        </w:rPr>
      </w:pPr>
      <w:bookmarkStart w:id="108" w:name="_Toc155342549"/>
      <w:bookmarkStart w:id="109" w:name="_Toc458127859"/>
      <w:bookmarkStart w:id="110" w:name="_Toc169487796"/>
      <w:bookmarkStart w:id="111" w:name="_Toc188333772"/>
      <w:bookmarkStart w:id="112" w:name="_Toc500208479"/>
      <w:bookmarkStart w:id="113" w:name="_Toc188339065"/>
      <w:r>
        <w:rPr>
          <w:rFonts w:hint="eastAsia"/>
          <w:color w:val="auto"/>
          <w:highlight w:val="none"/>
        </w:rPr>
        <w:t>投标文件的份数和签署</w:t>
      </w:r>
      <w:bookmarkEnd w:id="108"/>
      <w:bookmarkEnd w:id="109"/>
      <w:bookmarkEnd w:id="110"/>
      <w:bookmarkEnd w:id="111"/>
      <w:bookmarkEnd w:id="112"/>
      <w:bookmarkEnd w:id="113"/>
    </w:p>
    <w:p w14:paraId="6FEC9BAE">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投标人按本须知前附表规定的份数递交投标文件。</w:t>
      </w:r>
    </w:p>
    <w:p w14:paraId="5AB3243A">
      <w:pPr>
        <w:pStyle w:val="8"/>
        <w:numPr>
          <w:ilvl w:val="1"/>
          <w:numId w:val="1"/>
        </w:numPr>
        <w:tabs>
          <w:tab w:val="left" w:pos="360"/>
          <w:tab w:val="left" w:pos="574"/>
        </w:tabs>
        <w:spacing w:after="0" w:line="288" w:lineRule="auto"/>
        <w:ind w:left="0" w:firstLine="422" w:firstLineChars="200"/>
        <w:rPr>
          <w:rFonts w:hint="eastAsia" w:ascii="Arial" w:hAnsi="Arial"/>
          <w:color w:val="auto"/>
          <w:highlight w:val="none"/>
        </w:rPr>
      </w:pPr>
      <w:r>
        <w:rPr>
          <w:rFonts w:hint="eastAsia" w:eastAsia="黑体"/>
          <w:b/>
          <w:bCs/>
          <w:color w:val="auto"/>
          <w:highlight w:val="none"/>
        </w:rPr>
        <w:t>招标文件附件注明签署或盖章的，投标人均按要求签署或盖章。</w:t>
      </w:r>
    </w:p>
    <w:p w14:paraId="51916EE5">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当正本与副本不一致时，以正本为准。如未注明正副本的，由评标委员会或工作人员随机抽签确定一本作为正本。</w:t>
      </w:r>
    </w:p>
    <w:p w14:paraId="4C433FA3">
      <w:pPr>
        <w:pStyle w:val="2"/>
        <w:tabs>
          <w:tab w:val="left" w:pos="360"/>
        </w:tabs>
        <w:rPr>
          <w:rFonts w:hint="eastAsia"/>
          <w:color w:val="auto"/>
          <w:highlight w:val="none"/>
        </w:rPr>
      </w:pPr>
      <w:bookmarkStart w:id="114" w:name="_Toc458127860"/>
      <w:bookmarkStart w:id="115" w:name="_Toc500209417"/>
      <w:bookmarkStart w:id="116" w:name="_Toc500208480"/>
      <w:r>
        <w:rPr>
          <w:rFonts w:hint="eastAsia"/>
          <w:color w:val="auto"/>
          <w:highlight w:val="none"/>
        </w:rPr>
        <w:t>第四节  投标文件的递交</w:t>
      </w:r>
      <w:bookmarkEnd w:id="114"/>
      <w:bookmarkEnd w:id="115"/>
      <w:bookmarkEnd w:id="116"/>
    </w:p>
    <w:p w14:paraId="386C50E2">
      <w:pPr>
        <w:pStyle w:val="4"/>
        <w:tabs>
          <w:tab w:val="left" w:pos="360"/>
        </w:tabs>
        <w:ind w:left="0"/>
        <w:rPr>
          <w:rFonts w:hint="eastAsia"/>
          <w:color w:val="auto"/>
          <w:highlight w:val="none"/>
        </w:rPr>
      </w:pPr>
      <w:bookmarkStart w:id="117" w:name="_Toc169487798"/>
      <w:bookmarkStart w:id="118" w:name="_Toc458127861"/>
      <w:bookmarkStart w:id="119" w:name="_Toc155342551"/>
      <w:bookmarkStart w:id="120" w:name="_Toc500208481"/>
      <w:bookmarkStart w:id="121" w:name="_Toc188333774"/>
      <w:bookmarkStart w:id="122" w:name="_Toc188339067"/>
      <w:r>
        <w:rPr>
          <w:rFonts w:hint="eastAsia"/>
          <w:color w:val="auto"/>
          <w:highlight w:val="none"/>
        </w:rPr>
        <w:t>投标文件的装订、密封与标志</w:t>
      </w:r>
      <w:bookmarkEnd w:id="117"/>
      <w:bookmarkEnd w:id="118"/>
      <w:bookmarkEnd w:id="119"/>
      <w:bookmarkEnd w:id="120"/>
      <w:bookmarkEnd w:id="121"/>
      <w:bookmarkEnd w:id="122"/>
    </w:p>
    <w:p w14:paraId="48B2F40E">
      <w:pPr>
        <w:pStyle w:val="8"/>
        <w:numPr>
          <w:ilvl w:val="1"/>
          <w:numId w:val="1"/>
        </w:numPr>
        <w:tabs>
          <w:tab w:val="left" w:pos="360"/>
          <w:tab w:val="left" w:pos="574"/>
        </w:tabs>
        <w:spacing w:after="0" w:line="288" w:lineRule="auto"/>
        <w:ind w:left="0" w:firstLine="420" w:firstLineChars="200"/>
        <w:rPr>
          <w:rFonts w:hint="eastAsia" w:ascii="黑体" w:hAnsi="Arial" w:eastAsia="黑体"/>
          <w:color w:val="auto"/>
          <w:highlight w:val="none"/>
        </w:rPr>
      </w:pPr>
      <w:r>
        <w:rPr>
          <w:rFonts w:hint="eastAsia" w:ascii="Arial"/>
          <w:color w:val="auto"/>
          <w:highlight w:val="none"/>
        </w:rPr>
        <w:t>投标人应将投标文件按规定密封，并注明项目名称、投标人名称。</w:t>
      </w:r>
    </w:p>
    <w:p w14:paraId="2B4D7DDB">
      <w:pPr>
        <w:pStyle w:val="8"/>
        <w:numPr>
          <w:ilvl w:val="1"/>
          <w:numId w:val="1"/>
        </w:numPr>
        <w:tabs>
          <w:tab w:val="left" w:pos="360"/>
          <w:tab w:val="left" w:pos="574"/>
        </w:tabs>
        <w:spacing w:after="0" w:line="288" w:lineRule="auto"/>
        <w:ind w:left="0" w:firstLine="422" w:firstLineChars="200"/>
        <w:rPr>
          <w:rFonts w:hint="eastAsia" w:ascii="黑体" w:hAnsi="Arial" w:eastAsia="黑体"/>
          <w:b/>
          <w:color w:val="auto"/>
          <w:highlight w:val="none"/>
        </w:rPr>
      </w:pPr>
      <w:r>
        <w:rPr>
          <w:rFonts w:hint="eastAsia" w:ascii="黑体" w:eastAsia="黑体"/>
          <w:b/>
          <w:color w:val="auto"/>
          <w:highlight w:val="none"/>
        </w:rPr>
        <w:t>密封袋封口处加盖单位公章或法人代表或委托代理人印章或签字</w:t>
      </w:r>
      <w:r>
        <w:rPr>
          <w:rFonts w:hint="eastAsia" w:ascii="黑体" w:hAnsi="Arial" w:eastAsia="黑体"/>
          <w:b/>
          <w:color w:val="auto"/>
          <w:highlight w:val="none"/>
        </w:rPr>
        <w:t>。</w:t>
      </w:r>
    </w:p>
    <w:p w14:paraId="3C70B2E7">
      <w:pPr>
        <w:pStyle w:val="8"/>
        <w:numPr>
          <w:ilvl w:val="1"/>
          <w:numId w:val="1"/>
        </w:numPr>
        <w:tabs>
          <w:tab w:val="left" w:pos="360"/>
          <w:tab w:val="left" w:pos="574"/>
        </w:tabs>
        <w:spacing w:after="0" w:line="288" w:lineRule="auto"/>
        <w:ind w:left="0" w:firstLine="420" w:firstLineChars="200"/>
        <w:rPr>
          <w:rFonts w:hint="eastAsia" w:ascii="Arial" w:hAnsi="Arial"/>
          <w:bCs/>
          <w:color w:val="auto"/>
          <w:highlight w:val="none"/>
        </w:rPr>
      </w:pPr>
      <w:r>
        <w:rPr>
          <w:rFonts w:hint="eastAsia" w:ascii="Arial"/>
          <w:bCs/>
          <w:color w:val="auto"/>
          <w:highlight w:val="none"/>
        </w:rPr>
        <w:t>投标文件的密封及装订要求详见本须知前附表。</w:t>
      </w:r>
    </w:p>
    <w:p w14:paraId="2A45C24A">
      <w:pPr>
        <w:pStyle w:val="4"/>
        <w:tabs>
          <w:tab w:val="left" w:pos="360"/>
        </w:tabs>
        <w:ind w:left="0"/>
        <w:rPr>
          <w:rFonts w:hint="eastAsia"/>
          <w:color w:val="auto"/>
          <w:highlight w:val="none"/>
        </w:rPr>
      </w:pPr>
      <w:bookmarkStart w:id="123" w:name="_Toc188339068"/>
      <w:bookmarkStart w:id="124" w:name="_Toc169487799"/>
      <w:bookmarkStart w:id="125" w:name="_Toc458127862"/>
      <w:bookmarkStart w:id="126" w:name="_Toc155342552"/>
      <w:bookmarkStart w:id="127" w:name="_Toc188333775"/>
      <w:bookmarkStart w:id="128" w:name="_Toc500208482"/>
      <w:r>
        <w:rPr>
          <w:rFonts w:hint="eastAsia"/>
          <w:color w:val="auto"/>
          <w:highlight w:val="none"/>
        </w:rPr>
        <w:t>投标文件的递交</w:t>
      </w:r>
      <w:bookmarkEnd w:id="123"/>
      <w:bookmarkEnd w:id="124"/>
      <w:bookmarkEnd w:id="125"/>
      <w:bookmarkEnd w:id="126"/>
      <w:bookmarkEnd w:id="127"/>
    </w:p>
    <w:p w14:paraId="46A52F23">
      <w:pPr>
        <w:pStyle w:val="8"/>
        <w:tabs>
          <w:tab w:val="left" w:pos="720"/>
        </w:tabs>
        <w:ind w:firstLine="420" w:firstLineChars="200"/>
        <w:rPr>
          <w:rFonts w:hint="eastAsia"/>
          <w:color w:val="auto"/>
          <w:highlight w:val="none"/>
        </w:rPr>
      </w:pPr>
      <w:r>
        <w:rPr>
          <w:rFonts w:hint="eastAsia" w:ascii="Arial" w:hAnsi="宋体"/>
          <w:color w:val="auto"/>
          <w:highlight w:val="none"/>
          <w:lang w:val="en-US" w:eastAsia="zh-CN"/>
        </w:rPr>
        <w:t>19</w:t>
      </w:r>
      <w:r>
        <w:rPr>
          <w:rFonts w:hint="eastAsia" w:ascii="Arial" w:hAnsi="宋体"/>
          <w:color w:val="auto"/>
          <w:highlight w:val="none"/>
        </w:rPr>
        <w:t>.1投标人应按本须知前附表规定的地点，在本须知前附表规定的截止时间前提交投标文件。</w:t>
      </w:r>
    </w:p>
    <w:p w14:paraId="1AED69A9">
      <w:pPr>
        <w:pStyle w:val="8"/>
        <w:tabs>
          <w:tab w:val="left" w:pos="720"/>
        </w:tabs>
        <w:ind w:firstLine="422" w:firstLineChars="200"/>
        <w:rPr>
          <w:rFonts w:hint="eastAsia" w:ascii="Arial" w:hAnsi="宋体" w:eastAsia="宋体"/>
          <w:b/>
          <w:bCs/>
          <w:color w:val="auto"/>
          <w:highlight w:val="none"/>
        </w:rPr>
      </w:pPr>
      <w:bookmarkStart w:id="129" w:name="_Toc188333776"/>
      <w:bookmarkStart w:id="130" w:name="_Toc169487800"/>
      <w:bookmarkStart w:id="131" w:name="_Toc188339069"/>
      <w:bookmarkStart w:id="132" w:name="_Toc155342553"/>
      <w:r>
        <w:rPr>
          <w:rFonts w:hint="eastAsia" w:ascii="Arial" w:hAnsi="宋体" w:eastAsia="宋体"/>
          <w:b/>
          <w:bCs/>
          <w:color w:val="auto"/>
          <w:highlight w:val="none"/>
          <w:lang w:val="en-US" w:eastAsia="zh-CN"/>
        </w:rPr>
        <w:t>19</w:t>
      </w:r>
      <w:r>
        <w:rPr>
          <w:rFonts w:hint="eastAsia" w:ascii="Arial" w:hAnsi="宋体" w:eastAsia="宋体"/>
          <w:b/>
          <w:bCs/>
          <w:color w:val="auto"/>
          <w:highlight w:val="none"/>
        </w:rPr>
        <w:t>.2投标人提交投标文件时需同时满足本须知前附表要求，否则该投标文件予以拒收。</w:t>
      </w:r>
    </w:p>
    <w:p w14:paraId="73EFBB6C">
      <w:pPr>
        <w:pStyle w:val="4"/>
        <w:tabs>
          <w:tab w:val="left" w:pos="360"/>
        </w:tabs>
        <w:ind w:left="0"/>
        <w:rPr>
          <w:rFonts w:hint="eastAsia"/>
          <w:color w:val="auto"/>
          <w:highlight w:val="none"/>
        </w:rPr>
      </w:pPr>
      <w:bookmarkStart w:id="133" w:name="_Toc458127863"/>
      <w:r>
        <w:rPr>
          <w:rFonts w:hint="eastAsia"/>
          <w:color w:val="auto"/>
          <w:highlight w:val="none"/>
        </w:rPr>
        <w:t>投标截止期</w:t>
      </w:r>
      <w:bookmarkEnd w:id="128"/>
      <w:bookmarkEnd w:id="129"/>
      <w:bookmarkEnd w:id="130"/>
      <w:bookmarkEnd w:id="131"/>
      <w:bookmarkEnd w:id="132"/>
      <w:bookmarkEnd w:id="133"/>
    </w:p>
    <w:p w14:paraId="317E422B">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投标文件的截止时间</w:t>
      </w:r>
      <w:r>
        <w:rPr>
          <w:rFonts w:hint="eastAsia" w:ascii="Arial"/>
          <w:color w:val="auto"/>
          <w:highlight w:val="none"/>
        </w:rPr>
        <w:t>详见</w:t>
      </w:r>
      <w:r>
        <w:rPr>
          <w:rFonts w:ascii="Arial"/>
          <w:color w:val="auto"/>
          <w:highlight w:val="none"/>
        </w:rPr>
        <w:t>本须知前附表。</w:t>
      </w:r>
    </w:p>
    <w:p w14:paraId="5F08758F">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招标人可以补充通知的方式，酌情延长提交投标文件的截止时间。在此情况下，投标人的所有权利和义务以及投标人受制约的截止时间，均以延长后新的投标截止时间为准。</w:t>
      </w:r>
    </w:p>
    <w:p w14:paraId="4F0D1BF9">
      <w:pPr>
        <w:pStyle w:val="4"/>
        <w:tabs>
          <w:tab w:val="left" w:pos="360"/>
        </w:tabs>
        <w:ind w:left="0"/>
        <w:rPr>
          <w:rFonts w:hint="eastAsia"/>
          <w:color w:val="auto"/>
          <w:highlight w:val="none"/>
        </w:rPr>
      </w:pPr>
      <w:bookmarkStart w:id="134" w:name="_Toc155342554"/>
      <w:bookmarkStart w:id="135" w:name="_Toc188339070"/>
      <w:bookmarkStart w:id="136" w:name="_Toc188333777"/>
      <w:bookmarkStart w:id="137" w:name="_Toc500208483"/>
      <w:bookmarkStart w:id="138" w:name="_Toc169487801"/>
      <w:bookmarkStart w:id="139" w:name="_Toc458127864"/>
      <w:r>
        <w:rPr>
          <w:rFonts w:hint="eastAsia"/>
          <w:color w:val="auto"/>
          <w:highlight w:val="none"/>
        </w:rPr>
        <w:t>投标文件的补充、修改与撤回</w:t>
      </w:r>
      <w:bookmarkEnd w:id="134"/>
      <w:bookmarkEnd w:id="135"/>
      <w:bookmarkEnd w:id="136"/>
      <w:bookmarkEnd w:id="137"/>
      <w:bookmarkEnd w:id="138"/>
      <w:bookmarkEnd w:id="139"/>
    </w:p>
    <w:p w14:paraId="4DCB7146">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投标人在提交投标文件以后，在规定的投标截止时间之前，可以书面形式补充修改或撤回已提交的投标文件，并以书面形式通知招标人。补充、修改的内容为投标文件的组成部分。</w:t>
      </w:r>
    </w:p>
    <w:p w14:paraId="4A19D038">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投标人对投标文件的补充、修改，应按本</w:t>
      </w:r>
      <w:r>
        <w:rPr>
          <w:rFonts w:hint="eastAsia" w:ascii="Arial"/>
          <w:color w:val="auto"/>
          <w:highlight w:val="none"/>
        </w:rPr>
        <w:t>节</w:t>
      </w:r>
      <w:r>
        <w:rPr>
          <w:rFonts w:ascii="Arial"/>
          <w:color w:val="auto"/>
          <w:highlight w:val="none"/>
        </w:rPr>
        <w:t>有关</w:t>
      </w:r>
      <w:r>
        <w:rPr>
          <w:rFonts w:hint="eastAsia" w:ascii="Arial"/>
          <w:color w:val="auto"/>
          <w:highlight w:val="none"/>
        </w:rPr>
        <w:t>投标文件</w:t>
      </w:r>
      <w:r>
        <w:rPr>
          <w:rFonts w:ascii="Arial"/>
          <w:color w:val="auto"/>
          <w:highlight w:val="none"/>
        </w:rPr>
        <w:t>规定密封、标记和提交，并在投标文件密封袋上清楚标明</w:t>
      </w:r>
      <w:r>
        <w:rPr>
          <w:rFonts w:ascii="Arial" w:hAnsi="Arial"/>
          <w:color w:val="auto"/>
          <w:highlight w:val="none"/>
        </w:rPr>
        <w:t>“</w:t>
      </w:r>
      <w:r>
        <w:rPr>
          <w:rFonts w:ascii="Arial"/>
          <w:color w:val="auto"/>
          <w:highlight w:val="none"/>
        </w:rPr>
        <w:t>补充、修改</w:t>
      </w:r>
      <w:r>
        <w:rPr>
          <w:rFonts w:ascii="Arial" w:hAnsi="Arial"/>
          <w:color w:val="auto"/>
          <w:highlight w:val="none"/>
        </w:rPr>
        <w:t>”</w:t>
      </w:r>
      <w:r>
        <w:rPr>
          <w:rFonts w:ascii="Arial"/>
          <w:color w:val="auto"/>
          <w:highlight w:val="none"/>
        </w:rPr>
        <w:t>或</w:t>
      </w:r>
      <w:r>
        <w:rPr>
          <w:rFonts w:ascii="Arial" w:hAnsi="Arial"/>
          <w:color w:val="auto"/>
          <w:highlight w:val="none"/>
        </w:rPr>
        <w:t>“</w:t>
      </w:r>
      <w:r>
        <w:rPr>
          <w:rFonts w:ascii="Arial"/>
          <w:color w:val="auto"/>
          <w:highlight w:val="none"/>
        </w:rPr>
        <w:t>撤回</w:t>
      </w:r>
      <w:r>
        <w:rPr>
          <w:rFonts w:ascii="Arial" w:hAnsi="Arial"/>
          <w:color w:val="auto"/>
          <w:highlight w:val="none"/>
        </w:rPr>
        <w:t>”</w:t>
      </w:r>
      <w:r>
        <w:rPr>
          <w:rFonts w:ascii="Arial"/>
          <w:color w:val="auto"/>
          <w:highlight w:val="none"/>
        </w:rPr>
        <w:t>字样。</w:t>
      </w:r>
    </w:p>
    <w:p w14:paraId="7BFC3FAF">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在投标截止时间之后，投标人不得补充、修改投标文件。</w:t>
      </w:r>
    </w:p>
    <w:p w14:paraId="10051E4B">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在投标截止时间至投标有效期满之前，投标人不得撤回其投标文件，否则其投标担保将被没收。</w:t>
      </w:r>
    </w:p>
    <w:p w14:paraId="7FDCE715">
      <w:pPr>
        <w:pStyle w:val="2"/>
        <w:tabs>
          <w:tab w:val="left" w:pos="360"/>
        </w:tabs>
        <w:rPr>
          <w:rFonts w:hint="eastAsia"/>
          <w:color w:val="auto"/>
          <w:highlight w:val="none"/>
        </w:rPr>
      </w:pPr>
      <w:bookmarkStart w:id="140" w:name="_Toc500208484"/>
      <w:bookmarkStart w:id="141" w:name="_Toc500209418"/>
      <w:bookmarkStart w:id="142" w:name="_Toc458127865"/>
      <w:r>
        <w:rPr>
          <w:rFonts w:hint="eastAsia"/>
          <w:color w:val="auto"/>
          <w:highlight w:val="none"/>
        </w:rPr>
        <w:t>第五节 开标</w:t>
      </w:r>
      <w:bookmarkEnd w:id="140"/>
      <w:bookmarkEnd w:id="141"/>
      <w:bookmarkEnd w:id="142"/>
    </w:p>
    <w:p w14:paraId="1D1AEADD">
      <w:pPr>
        <w:pStyle w:val="4"/>
        <w:tabs>
          <w:tab w:val="left" w:pos="360"/>
        </w:tabs>
        <w:ind w:left="0"/>
        <w:rPr>
          <w:rFonts w:hint="eastAsia"/>
          <w:color w:val="auto"/>
          <w:highlight w:val="none"/>
        </w:rPr>
      </w:pPr>
      <w:bookmarkStart w:id="143" w:name="_Toc169487803"/>
      <w:bookmarkStart w:id="144" w:name="_Toc155342556"/>
      <w:bookmarkStart w:id="145" w:name="_Toc188333779"/>
      <w:bookmarkStart w:id="146" w:name="_Toc500208485"/>
      <w:bookmarkStart w:id="147" w:name="_Toc458127866"/>
      <w:bookmarkStart w:id="148" w:name="_Toc188339072"/>
      <w:r>
        <w:rPr>
          <w:rFonts w:hint="eastAsia"/>
          <w:color w:val="auto"/>
          <w:highlight w:val="none"/>
        </w:rPr>
        <w:t>开标</w:t>
      </w:r>
      <w:bookmarkEnd w:id="143"/>
      <w:bookmarkEnd w:id="144"/>
      <w:bookmarkEnd w:id="145"/>
      <w:bookmarkEnd w:id="146"/>
      <w:bookmarkEnd w:id="147"/>
      <w:bookmarkEnd w:id="148"/>
    </w:p>
    <w:p w14:paraId="4E4754F6">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hint="eastAsia" w:ascii="Arial"/>
          <w:color w:val="auto"/>
          <w:highlight w:val="none"/>
        </w:rPr>
        <w:t>招标人将于投标截止时间的同一时间按本须知前附表规定的地点公开举行开标会议。</w:t>
      </w:r>
    </w:p>
    <w:p w14:paraId="7358B1ED">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开标会议由招标人或招标代理机构组织并主持。</w:t>
      </w:r>
    </w:p>
    <w:p w14:paraId="6C3ECDF6">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开标顺序</w:t>
      </w:r>
      <w:r>
        <w:rPr>
          <w:rFonts w:hint="eastAsia" w:ascii="Arial"/>
          <w:bCs/>
          <w:color w:val="auto"/>
          <w:highlight w:val="none"/>
        </w:rPr>
        <w:t>详见本须知前附表。</w:t>
      </w:r>
      <w:r>
        <w:rPr>
          <w:rFonts w:hint="eastAsia" w:ascii="Arial" w:hAnsi="Arial"/>
          <w:color w:val="auto"/>
          <w:highlight w:val="none"/>
        </w:rPr>
        <w:t xml:space="preserve"> </w:t>
      </w:r>
    </w:p>
    <w:p w14:paraId="122C73F6">
      <w:pPr>
        <w:pStyle w:val="4"/>
        <w:tabs>
          <w:tab w:val="left" w:pos="360"/>
        </w:tabs>
        <w:ind w:left="0"/>
        <w:rPr>
          <w:rFonts w:hint="eastAsia"/>
          <w:color w:val="auto"/>
          <w:highlight w:val="none"/>
        </w:rPr>
      </w:pPr>
      <w:bookmarkStart w:id="149" w:name="_Toc188333780"/>
      <w:bookmarkStart w:id="150" w:name="_Toc188339073"/>
      <w:bookmarkStart w:id="151" w:name="_Toc458127867"/>
      <w:bookmarkStart w:id="152" w:name="_Toc169487804"/>
      <w:bookmarkStart w:id="153" w:name="_Toc155342557"/>
      <w:r>
        <w:rPr>
          <w:rFonts w:hint="eastAsia"/>
          <w:color w:val="auto"/>
          <w:highlight w:val="none"/>
        </w:rPr>
        <w:t>投标文件公布</w:t>
      </w:r>
      <w:bookmarkEnd w:id="149"/>
      <w:bookmarkEnd w:id="150"/>
      <w:bookmarkEnd w:id="151"/>
      <w:bookmarkEnd w:id="152"/>
      <w:bookmarkEnd w:id="153"/>
    </w:p>
    <w:p w14:paraId="63E51551">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由投标人或其推选的代表检查投标文件的密封情况</w:t>
      </w:r>
      <w:r>
        <w:rPr>
          <w:rFonts w:hint="eastAsia" w:ascii="Arial"/>
          <w:color w:val="auto"/>
          <w:highlight w:val="none"/>
        </w:rPr>
        <w:t>，未按本招标文件要求密封的投标文件则退还投标人，经确认无误后，由有关工作人员当众拆封，宣读投标承诺的主要内容。</w:t>
      </w:r>
    </w:p>
    <w:p w14:paraId="3FC6828F">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招标</w:t>
      </w:r>
      <w:r>
        <w:rPr>
          <w:rFonts w:hint="eastAsia" w:ascii="Arial"/>
          <w:color w:val="auto"/>
          <w:highlight w:val="none"/>
          <w:lang w:eastAsia="zh-CN"/>
        </w:rPr>
        <w:t>代理</w:t>
      </w:r>
      <w:r>
        <w:rPr>
          <w:rFonts w:hint="eastAsia" w:ascii="Arial"/>
          <w:color w:val="auto"/>
          <w:highlight w:val="none"/>
        </w:rPr>
        <w:t>将对开标过程进行记录，以存档备查</w:t>
      </w:r>
      <w:r>
        <w:rPr>
          <w:rFonts w:ascii="Arial"/>
          <w:color w:val="auto"/>
          <w:highlight w:val="none"/>
        </w:rPr>
        <w:t>。</w:t>
      </w:r>
    </w:p>
    <w:p w14:paraId="1501C743">
      <w:pPr>
        <w:pStyle w:val="2"/>
        <w:tabs>
          <w:tab w:val="left" w:pos="360"/>
        </w:tabs>
        <w:rPr>
          <w:rFonts w:hint="eastAsia"/>
          <w:color w:val="auto"/>
          <w:highlight w:val="none"/>
        </w:rPr>
      </w:pPr>
      <w:bookmarkStart w:id="154" w:name="_Toc500209419"/>
      <w:bookmarkStart w:id="155" w:name="_Toc458127868"/>
      <w:bookmarkStart w:id="156" w:name="_Toc500208488"/>
      <w:bookmarkStart w:id="157" w:name="_Toc500209420"/>
      <w:bookmarkStart w:id="158" w:name="_Toc500208495"/>
      <w:r>
        <w:rPr>
          <w:rFonts w:hint="eastAsia"/>
          <w:color w:val="auto"/>
          <w:highlight w:val="none"/>
        </w:rPr>
        <w:t>第六节  评标</w:t>
      </w:r>
      <w:bookmarkEnd w:id="154"/>
      <w:bookmarkEnd w:id="155"/>
      <w:bookmarkEnd w:id="156"/>
    </w:p>
    <w:p w14:paraId="23056200">
      <w:pPr>
        <w:pStyle w:val="4"/>
        <w:tabs>
          <w:tab w:val="left" w:pos="360"/>
        </w:tabs>
        <w:ind w:left="0"/>
        <w:rPr>
          <w:rFonts w:hint="eastAsia"/>
          <w:color w:val="auto"/>
          <w:highlight w:val="none"/>
        </w:rPr>
      </w:pPr>
      <w:bookmarkStart w:id="159" w:name="_Toc188333782"/>
      <w:bookmarkStart w:id="160" w:name="_Toc500208489"/>
      <w:bookmarkStart w:id="161" w:name="_Toc169487806"/>
      <w:bookmarkStart w:id="162" w:name="_Toc188339075"/>
      <w:bookmarkStart w:id="163" w:name="_Toc155342559"/>
      <w:bookmarkStart w:id="164" w:name="_Toc458127869"/>
      <w:r>
        <w:rPr>
          <w:rFonts w:hint="eastAsia"/>
          <w:color w:val="auto"/>
          <w:highlight w:val="none"/>
        </w:rPr>
        <w:t>评标会议</w:t>
      </w:r>
      <w:bookmarkEnd w:id="159"/>
      <w:bookmarkEnd w:id="160"/>
      <w:bookmarkEnd w:id="161"/>
      <w:bookmarkEnd w:id="162"/>
      <w:bookmarkEnd w:id="163"/>
      <w:bookmarkEnd w:id="164"/>
    </w:p>
    <w:p w14:paraId="4D430A35">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评标委员会由招标</w:t>
      </w:r>
      <w:r>
        <w:rPr>
          <w:rFonts w:hint="eastAsia" w:ascii="Arial"/>
          <w:color w:val="auto"/>
          <w:highlight w:val="none"/>
          <w:lang w:eastAsia="zh-CN"/>
        </w:rPr>
        <w:t>代理</w:t>
      </w:r>
      <w:r>
        <w:rPr>
          <w:rFonts w:ascii="Arial"/>
          <w:color w:val="auto"/>
          <w:highlight w:val="none"/>
        </w:rPr>
        <w:t>依法组建，负责评标活动。</w:t>
      </w:r>
    </w:p>
    <w:p w14:paraId="6A497DAE">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开标结束后，开始评标，评标采用保密方式进行。</w:t>
      </w:r>
    </w:p>
    <w:p w14:paraId="7084794D">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hint="eastAsia" w:ascii="Arial"/>
          <w:color w:val="auto"/>
          <w:highlight w:val="none"/>
        </w:rPr>
        <w:t>评标委员会在评标前须签订《公正评标承诺书》。</w:t>
      </w:r>
    </w:p>
    <w:p w14:paraId="23C86B99">
      <w:pPr>
        <w:pStyle w:val="4"/>
        <w:tabs>
          <w:tab w:val="left" w:pos="360"/>
        </w:tabs>
        <w:ind w:left="0"/>
        <w:rPr>
          <w:color w:val="auto"/>
          <w:highlight w:val="none"/>
        </w:rPr>
      </w:pPr>
      <w:bookmarkStart w:id="165" w:name="_Toc188333783"/>
      <w:bookmarkStart w:id="166" w:name="_Toc188339076"/>
      <w:bookmarkStart w:id="167" w:name="_Toc155342560"/>
      <w:bookmarkStart w:id="168" w:name="_Toc458127870"/>
      <w:bookmarkStart w:id="169" w:name="_Toc169487807"/>
      <w:r>
        <w:rPr>
          <w:rFonts w:hint="eastAsia"/>
          <w:color w:val="auto"/>
          <w:highlight w:val="none"/>
        </w:rPr>
        <w:t>评标过程的保密</w:t>
      </w:r>
      <w:bookmarkEnd w:id="165"/>
      <w:bookmarkEnd w:id="166"/>
      <w:bookmarkEnd w:id="167"/>
      <w:bookmarkEnd w:id="168"/>
      <w:bookmarkEnd w:id="169"/>
    </w:p>
    <w:p w14:paraId="57EF7B6D">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开标后，直至授予中标人合同为止，凡属于对投标文件的审查、澄清、评价和比较的有关资料以及中标候选人的推荐情况，与评标有关的其他任何情况均严格保密。</w:t>
      </w:r>
    </w:p>
    <w:p w14:paraId="10D3C4C5">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在投标文件的评审和比较、中标候选人推荐以及授予合同的过程中，投标人向招标人和评标委员会施加影响的任何行为，都将会导致其投标被拒绝。</w:t>
      </w:r>
    </w:p>
    <w:p w14:paraId="5B250B44">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中标人确定后，招标人不对未中标人就评标过程以及未能中标原因作出任何解释。未中标人不得向评标委员会组成人员或其他有关人员索问评标过程的情况和材料。</w:t>
      </w:r>
    </w:p>
    <w:p w14:paraId="237A07A1">
      <w:pPr>
        <w:pStyle w:val="4"/>
        <w:tabs>
          <w:tab w:val="left" w:pos="360"/>
        </w:tabs>
        <w:ind w:left="0"/>
        <w:rPr>
          <w:rFonts w:hint="eastAsia"/>
          <w:color w:val="auto"/>
          <w:highlight w:val="none"/>
        </w:rPr>
      </w:pPr>
      <w:bookmarkStart w:id="170" w:name="_Toc188339077"/>
      <w:bookmarkStart w:id="171" w:name="_Toc155342561"/>
      <w:bookmarkStart w:id="172" w:name="_Toc188333784"/>
      <w:bookmarkStart w:id="173" w:name="_Toc458127871"/>
      <w:bookmarkStart w:id="174" w:name="_Toc169487808"/>
      <w:r>
        <w:rPr>
          <w:rFonts w:hint="eastAsia"/>
          <w:color w:val="auto"/>
          <w:highlight w:val="none"/>
        </w:rPr>
        <w:t>投标文件符合性鉴定</w:t>
      </w:r>
      <w:bookmarkEnd w:id="170"/>
      <w:bookmarkEnd w:id="171"/>
      <w:bookmarkEnd w:id="172"/>
      <w:bookmarkEnd w:id="173"/>
      <w:bookmarkEnd w:id="174"/>
    </w:p>
    <w:p w14:paraId="48BAEBB3">
      <w:pPr>
        <w:pStyle w:val="8"/>
        <w:tabs>
          <w:tab w:val="left" w:pos="360"/>
        </w:tabs>
        <w:ind w:left="-189" w:leftChars="-90" w:firstLine="630" w:firstLineChars="300"/>
        <w:rPr>
          <w:rFonts w:hint="eastAsia" w:ascii="Arial" w:hAnsi="Arial"/>
          <w:color w:val="auto"/>
          <w:highlight w:val="none"/>
        </w:rPr>
      </w:pPr>
      <w:r>
        <w:rPr>
          <w:rFonts w:hint="eastAsia" w:ascii="Arial"/>
          <w:color w:val="auto"/>
          <w:highlight w:val="none"/>
        </w:rPr>
        <w:t>2</w:t>
      </w:r>
      <w:r>
        <w:rPr>
          <w:rFonts w:hint="eastAsia" w:ascii="Arial"/>
          <w:color w:val="auto"/>
          <w:highlight w:val="none"/>
          <w:lang w:val="en-US" w:eastAsia="zh-CN"/>
        </w:rPr>
        <w:t>6</w:t>
      </w:r>
      <w:r>
        <w:rPr>
          <w:rFonts w:hint="eastAsia" w:ascii="Arial"/>
          <w:color w:val="auto"/>
          <w:highlight w:val="none"/>
        </w:rPr>
        <w:t>.1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w:t>
      </w:r>
      <w:r>
        <w:rPr>
          <w:rFonts w:hint="eastAsia" w:ascii="Arial"/>
          <w:b/>
          <w:color w:val="auto"/>
          <w:highlight w:val="none"/>
          <w:u w:val="single"/>
        </w:rPr>
        <w:t>报价实质内容</w:t>
      </w:r>
      <w:r>
        <w:rPr>
          <w:rFonts w:hint="eastAsia" w:ascii="Arial"/>
          <w:color w:val="auto"/>
          <w:highlight w:val="none"/>
        </w:rPr>
        <w:t>的承诺是否响应招标文件要求等。投标文件是否响应招标文件实质性内容由评标委员会界定。</w:t>
      </w:r>
      <w:r>
        <w:rPr>
          <w:rFonts w:hint="eastAsia" w:ascii="Arial" w:hAnsi="Arial"/>
          <w:color w:val="auto"/>
          <w:highlight w:val="none"/>
        </w:rPr>
        <w:t xml:space="preserve"> </w:t>
      </w:r>
    </w:p>
    <w:p w14:paraId="70F9A073">
      <w:pPr>
        <w:pStyle w:val="8"/>
        <w:tabs>
          <w:tab w:val="left" w:pos="360"/>
        </w:tabs>
        <w:ind w:left="-189" w:leftChars="-90" w:firstLine="630" w:firstLineChars="300"/>
        <w:rPr>
          <w:rFonts w:hint="eastAsia" w:ascii="Arial" w:hAnsi="Arial"/>
          <w:color w:val="auto"/>
          <w:highlight w:val="none"/>
        </w:rPr>
      </w:pPr>
      <w:r>
        <w:rPr>
          <w:rFonts w:hint="eastAsia" w:ascii="Arial" w:hAnsi="Arial"/>
          <w:color w:val="auto"/>
          <w:highlight w:val="none"/>
        </w:rPr>
        <w:t>2</w:t>
      </w:r>
      <w:r>
        <w:rPr>
          <w:rFonts w:hint="eastAsia" w:ascii="Arial" w:hAnsi="Arial"/>
          <w:color w:val="auto"/>
          <w:highlight w:val="none"/>
          <w:lang w:val="en-US" w:eastAsia="zh-CN"/>
        </w:rPr>
        <w:t>6</w:t>
      </w:r>
      <w:r>
        <w:rPr>
          <w:rFonts w:hint="eastAsia" w:ascii="Arial" w:hAnsi="Arial"/>
          <w:color w:val="auto"/>
          <w:highlight w:val="none"/>
        </w:rPr>
        <w:t>.2</w:t>
      </w:r>
      <w:r>
        <w:rPr>
          <w:rFonts w:hint="eastAsia" w:ascii="Arial"/>
          <w:color w:val="auto"/>
          <w:highlight w:val="none"/>
        </w:rPr>
        <w:t>如果投标文件实质上不响应招标文件各项要求，评标委员会将予以拒绝，并且不允许投标人通过修改或撤消其不符合要求的差异或保留，使之成为具有响应性的投标</w:t>
      </w:r>
      <w:r>
        <w:rPr>
          <w:rFonts w:ascii="Arial"/>
          <w:color w:val="auto"/>
          <w:highlight w:val="none"/>
        </w:rPr>
        <w:t>。</w:t>
      </w:r>
    </w:p>
    <w:p w14:paraId="22F5AC9F">
      <w:pPr>
        <w:pStyle w:val="4"/>
        <w:tabs>
          <w:tab w:val="left" w:pos="360"/>
        </w:tabs>
        <w:ind w:left="0"/>
        <w:rPr>
          <w:color w:val="auto"/>
          <w:highlight w:val="none"/>
        </w:rPr>
      </w:pPr>
      <w:bookmarkStart w:id="175" w:name="_Toc188339078"/>
      <w:bookmarkStart w:id="176" w:name="_Toc188333785"/>
      <w:bookmarkStart w:id="177" w:name="_Toc458127872"/>
      <w:bookmarkStart w:id="178" w:name="_Toc169487809"/>
      <w:bookmarkStart w:id="179" w:name="_Toc155342562"/>
      <w:r>
        <w:rPr>
          <w:rFonts w:hint="eastAsia"/>
          <w:color w:val="auto"/>
          <w:highlight w:val="none"/>
        </w:rPr>
        <w:t>投标文件的澄清</w:t>
      </w:r>
      <w:bookmarkEnd w:id="175"/>
      <w:bookmarkEnd w:id="176"/>
      <w:bookmarkEnd w:id="177"/>
      <w:bookmarkEnd w:id="178"/>
      <w:bookmarkEnd w:id="179"/>
    </w:p>
    <w:p w14:paraId="1B369909">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14:paraId="00B496FC">
      <w:pPr>
        <w:pStyle w:val="8"/>
        <w:numPr>
          <w:ilvl w:val="1"/>
          <w:numId w:val="1"/>
        </w:numPr>
        <w:tabs>
          <w:tab w:val="left" w:pos="360"/>
          <w:tab w:val="left" w:pos="574"/>
        </w:tabs>
        <w:spacing w:after="0" w:line="288" w:lineRule="auto"/>
        <w:ind w:left="0" w:firstLine="420" w:firstLineChars="200"/>
        <w:rPr>
          <w:rFonts w:hint="eastAsia" w:ascii="Arial" w:hAnsi="Arial"/>
          <w:color w:val="auto"/>
          <w:szCs w:val="21"/>
          <w:highlight w:val="none"/>
        </w:rPr>
      </w:pPr>
      <w:r>
        <w:rPr>
          <w:rFonts w:hint="eastAsia" w:ascii="Arial"/>
          <w:color w:val="auto"/>
          <w:highlight w:val="none"/>
        </w:rPr>
        <w:t>评审过程中，评标委员会可能以书面形式通知投标人要求投标人就投标文件中的内容进行澄清</w:t>
      </w:r>
      <w:r>
        <w:rPr>
          <w:rFonts w:ascii="Arial"/>
          <w:color w:val="auto"/>
          <w:highlight w:val="none"/>
        </w:rPr>
        <w:t>，</w:t>
      </w:r>
      <w:r>
        <w:rPr>
          <w:rFonts w:hint="eastAsia" w:ascii="Arial"/>
          <w:color w:val="auto"/>
          <w:highlight w:val="none"/>
        </w:rPr>
        <w:t>投标人应按要求进行书面答复。</w:t>
      </w:r>
      <w:r>
        <w:rPr>
          <w:rFonts w:hint="eastAsia" w:ascii="Arial"/>
          <w:color w:val="auto"/>
          <w:szCs w:val="21"/>
          <w:highlight w:val="none"/>
        </w:rPr>
        <w:t>书面答复须有投标全权代表签字并作为投标文件的一部分。</w:t>
      </w:r>
    </w:p>
    <w:p w14:paraId="1414791E">
      <w:pPr>
        <w:pStyle w:val="4"/>
        <w:tabs>
          <w:tab w:val="left" w:pos="360"/>
        </w:tabs>
        <w:ind w:left="0"/>
        <w:rPr>
          <w:rFonts w:hint="eastAsia"/>
          <w:color w:val="auto"/>
          <w:highlight w:val="none"/>
        </w:rPr>
      </w:pPr>
      <w:bookmarkStart w:id="180" w:name="_Toc155342563"/>
      <w:bookmarkStart w:id="181" w:name="_Toc188333786"/>
      <w:bookmarkStart w:id="182" w:name="_Toc188339079"/>
      <w:bookmarkStart w:id="183" w:name="_Toc458127873"/>
      <w:bookmarkStart w:id="184" w:name="_Toc169487810"/>
      <w:r>
        <w:rPr>
          <w:rFonts w:hint="eastAsia"/>
          <w:color w:val="auto"/>
          <w:highlight w:val="none"/>
        </w:rPr>
        <w:t>投标文件的评审</w:t>
      </w:r>
      <w:bookmarkEnd w:id="180"/>
      <w:bookmarkEnd w:id="181"/>
      <w:bookmarkEnd w:id="182"/>
      <w:bookmarkEnd w:id="183"/>
      <w:bookmarkEnd w:id="184"/>
    </w:p>
    <w:p w14:paraId="646FFF62">
      <w:pPr>
        <w:pStyle w:val="8"/>
        <w:numPr>
          <w:ilvl w:val="1"/>
          <w:numId w:val="1"/>
        </w:numPr>
        <w:tabs>
          <w:tab w:val="left" w:pos="360"/>
          <w:tab w:val="left" w:pos="574"/>
        </w:tabs>
        <w:spacing w:after="0" w:line="288" w:lineRule="auto"/>
        <w:ind w:left="0" w:firstLine="422" w:firstLineChars="200"/>
        <w:rPr>
          <w:rFonts w:hint="eastAsia" w:ascii="黑体" w:eastAsia="黑体"/>
          <w:b/>
          <w:color w:val="auto"/>
          <w:highlight w:val="none"/>
          <w:u w:val="single"/>
        </w:rPr>
      </w:pPr>
      <w:r>
        <w:rPr>
          <w:rFonts w:hint="eastAsia" w:ascii="黑体" w:eastAsia="黑体"/>
          <w:b/>
          <w:color w:val="auto"/>
          <w:highlight w:val="none"/>
          <w:u w:val="single"/>
        </w:rPr>
        <w:t>评标委员会在评标过程中发现投标人的投标文件存在以下情形之一的，应当向投标人质询，如投标人拒绝说明或不能合理说明理由的，则评标委员会可以认定该投标人有串通投标的嫌疑，其投标文件按无效标处理：</w:t>
      </w:r>
    </w:p>
    <w:p w14:paraId="1019646A">
      <w:pPr>
        <w:pStyle w:val="5"/>
        <w:tabs>
          <w:tab w:val="left" w:pos="360"/>
        </w:tabs>
        <w:adjustRightInd w:val="0"/>
        <w:snapToGrid w:val="0"/>
        <w:spacing w:line="288" w:lineRule="auto"/>
        <w:ind w:firstLine="420" w:firstLineChars="200"/>
        <w:rPr>
          <w:rFonts w:hint="eastAsia" w:ascii="Arial" w:hAnsi="Arial" w:eastAsia="宋体"/>
          <w:color w:val="auto"/>
          <w:sz w:val="21"/>
          <w:highlight w:val="none"/>
        </w:rPr>
      </w:pPr>
      <w:r>
        <w:rPr>
          <w:rFonts w:hint="eastAsia" w:ascii="Arial" w:hAnsi="宋体" w:eastAsia="宋体"/>
          <w:color w:val="auto"/>
          <w:sz w:val="21"/>
          <w:highlight w:val="none"/>
        </w:rPr>
        <w:t>（</w:t>
      </w:r>
      <w:r>
        <w:rPr>
          <w:rFonts w:hint="eastAsia" w:ascii="Arial" w:hAnsi="Arial" w:eastAsia="宋体"/>
          <w:color w:val="auto"/>
          <w:sz w:val="21"/>
          <w:highlight w:val="none"/>
        </w:rPr>
        <w:t>1</w:t>
      </w:r>
      <w:r>
        <w:rPr>
          <w:rFonts w:hint="eastAsia" w:ascii="Arial" w:hAnsi="宋体" w:eastAsia="宋体"/>
          <w:color w:val="auto"/>
          <w:sz w:val="21"/>
          <w:highlight w:val="none"/>
        </w:rPr>
        <w:t>）投标文件内容存在错漏之处一致或异常雷同现象；</w:t>
      </w:r>
    </w:p>
    <w:p w14:paraId="34C63FCA">
      <w:pPr>
        <w:pStyle w:val="5"/>
        <w:tabs>
          <w:tab w:val="left" w:pos="360"/>
        </w:tabs>
        <w:adjustRightInd w:val="0"/>
        <w:snapToGrid w:val="0"/>
        <w:spacing w:line="288" w:lineRule="auto"/>
        <w:ind w:firstLine="420" w:firstLineChars="200"/>
        <w:rPr>
          <w:rFonts w:hint="eastAsia" w:ascii="Arial" w:hAnsi="Arial" w:eastAsia="宋体"/>
          <w:color w:val="auto"/>
          <w:sz w:val="21"/>
          <w:highlight w:val="none"/>
        </w:rPr>
      </w:pPr>
      <w:r>
        <w:rPr>
          <w:rFonts w:hint="eastAsia" w:ascii="Arial" w:hAnsi="宋体" w:eastAsia="宋体"/>
          <w:color w:val="auto"/>
          <w:sz w:val="21"/>
          <w:highlight w:val="none"/>
        </w:rPr>
        <w:t>（</w:t>
      </w:r>
      <w:r>
        <w:rPr>
          <w:rFonts w:hint="eastAsia" w:ascii="Arial" w:hAnsi="Arial" w:eastAsia="宋体"/>
          <w:color w:val="auto"/>
          <w:sz w:val="21"/>
          <w:highlight w:val="none"/>
        </w:rPr>
        <w:t>2</w:t>
      </w:r>
      <w:r>
        <w:rPr>
          <w:rFonts w:hint="eastAsia" w:ascii="Arial" w:hAnsi="宋体" w:eastAsia="宋体"/>
          <w:color w:val="auto"/>
          <w:sz w:val="21"/>
          <w:highlight w:val="none"/>
        </w:rPr>
        <w:t>）投标文件由同一单位或同一人编制；</w:t>
      </w:r>
    </w:p>
    <w:p w14:paraId="114F16D6">
      <w:pPr>
        <w:pStyle w:val="5"/>
        <w:tabs>
          <w:tab w:val="left" w:pos="360"/>
        </w:tabs>
        <w:spacing w:line="288" w:lineRule="auto"/>
        <w:rPr>
          <w:rFonts w:hint="eastAsia" w:ascii="Arial" w:hAnsi="Arial" w:eastAsia="宋体"/>
          <w:color w:val="auto"/>
          <w:sz w:val="21"/>
          <w:szCs w:val="21"/>
          <w:highlight w:val="none"/>
        </w:rPr>
      </w:pPr>
      <w:r>
        <w:rPr>
          <w:rFonts w:hint="eastAsia" w:ascii="Arial" w:hAnsi="宋体" w:eastAsia="宋体"/>
          <w:color w:val="auto"/>
          <w:sz w:val="21"/>
          <w:highlight w:val="none"/>
          <w:lang w:val="en-US" w:eastAsia="zh-CN"/>
        </w:rPr>
        <w:t>（</w:t>
      </w:r>
      <w:r>
        <w:rPr>
          <w:rFonts w:hint="eastAsia" w:ascii="Arial" w:hAnsi="宋体" w:eastAsia="宋体"/>
          <w:color w:val="auto"/>
          <w:sz w:val="21"/>
          <w:highlight w:val="none"/>
        </w:rPr>
        <w:t>3）涉嫌故意拉高或压低投标报价。</w:t>
      </w:r>
    </w:p>
    <w:p w14:paraId="7006ABA0">
      <w:pPr>
        <w:pStyle w:val="8"/>
        <w:numPr>
          <w:ilvl w:val="1"/>
          <w:numId w:val="1"/>
        </w:numPr>
        <w:tabs>
          <w:tab w:val="left" w:pos="360"/>
          <w:tab w:val="left" w:pos="574"/>
        </w:tabs>
        <w:spacing w:after="0" w:line="288" w:lineRule="auto"/>
        <w:ind w:left="0" w:firstLine="422" w:firstLineChars="200"/>
        <w:rPr>
          <w:rFonts w:hint="eastAsia" w:ascii="黑体" w:eastAsia="黑体"/>
          <w:b/>
          <w:color w:val="auto"/>
          <w:highlight w:val="none"/>
          <w:u w:val="single"/>
        </w:rPr>
      </w:pPr>
      <w:r>
        <w:rPr>
          <w:rFonts w:hint="eastAsia" w:ascii="黑体" w:eastAsia="黑体"/>
          <w:b/>
          <w:color w:val="auto"/>
          <w:highlight w:val="none"/>
          <w:u w:val="single"/>
        </w:rPr>
        <w:t>投标文件有下列情形之一的，由评标委员会初审初审并经询标后按无效标处理：</w:t>
      </w:r>
    </w:p>
    <w:p w14:paraId="25031C0E">
      <w:pPr>
        <w:pStyle w:val="8"/>
        <w:tabs>
          <w:tab w:val="left" w:pos="360"/>
        </w:tabs>
        <w:ind w:firstLine="420" w:firstLineChars="200"/>
        <w:rPr>
          <w:rFonts w:hint="eastAsia" w:ascii="Arial"/>
          <w:color w:val="auto"/>
          <w:highlight w:val="none"/>
        </w:rPr>
      </w:pPr>
      <w:r>
        <w:rPr>
          <w:rFonts w:hint="eastAsia" w:ascii="Arial"/>
          <w:color w:val="auto"/>
          <w:highlight w:val="none"/>
        </w:rPr>
        <w:t>（1）投标人递交两份或多份内容不同的投标文件，或在一份投标文件中对同一招标项目报有两个或多个报价，且未声明哪一个有效，按招标文件规定提交备选投标方案的除外；</w:t>
      </w:r>
    </w:p>
    <w:p w14:paraId="3E39803D">
      <w:pPr>
        <w:pStyle w:val="8"/>
        <w:tabs>
          <w:tab w:val="left" w:pos="360"/>
        </w:tabs>
        <w:ind w:firstLine="420" w:firstLineChars="200"/>
        <w:rPr>
          <w:rFonts w:hint="eastAsia" w:ascii="Arial"/>
          <w:color w:val="auto"/>
          <w:highlight w:val="none"/>
        </w:rPr>
      </w:pPr>
      <w:r>
        <w:rPr>
          <w:rFonts w:hint="eastAsia" w:ascii="Arial"/>
          <w:color w:val="auto"/>
          <w:highlight w:val="none"/>
        </w:rPr>
        <w:t>（2）投标文件未按招标文件签署条款要求签章的；</w:t>
      </w:r>
    </w:p>
    <w:p w14:paraId="0E42E59B">
      <w:pPr>
        <w:pStyle w:val="8"/>
        <w:tabs>
          <w:tab w:val="left" w:pos="360"/>
        </w:tabs>
        <w:ind w:firstLine="420" w:firstLineChars="200"/>
        <w:rPr>
          <w:rFonts w:hint="eastAsia" w:ascii="Arial"/>
          <w:color w:val="auto"/>
          <w:highlight w:val="none"/>
        </w:rPr>
      </w:pPr>
      <w:r>
        <w:rPr>
          <w:rFonts w:hint="eastAsia" w:ascii="Arial"/>
          <w:color w:val="auto"/>
          <w:highlight w:val="none"/>
        </w:rPr>
        <w:t>（3）投标文件份数不符合</w:t>
      </w:r>
      <w:r>
        <w:rPr>
          <w:rFonts w:ascii="Arial"/>
          <w:color w:val="auto"/>
          <w:highlight w:val="none"/>
        </w:rPr>
        <w:t>招标文件</w:t>
      </w:r>
      <w:r>
        <w:rPr>
          <w:rFonts w:hint="eastAsia" w:ascii="Arial"/>
          <w:color w:val="auto"/>
          <w:highlight w:val="none"/>
        </w:rPr>
        <w:t>前附表</w:t>
      </w:r>
      <w:r>
        <w:rPr>
          <w:rFonts w:ascii="Arial"/>
          <w:color w:val="auto"/>
          <w:highlight w:val="none"/>
        </w:rPr>
        <w:t>要求</w:t>
      </w:r>
      <w:r>
        <w:rPr>
          <w:rFonts w:hint="eastAsia" w:ascii="Arial"/>
          <w:color w:val="auto"/>
          <w:highlight w:val="none"/>
        </w:rPr>
        <w:t>；</w:t>
      </w:r>
    </w:p>
    <w:p w14:paraId="69F73E07">
      <w:pPr>
        <w:pStyle w:val="8"/>
        <w:tabs>
          <w:tab w:val="left" w:pos="360"/>
        </w:tabs>
        <w:ind w:firstLine="420" w:firstLineChars="200"/>
        <w:rPr>
          <w:rFonts w:hint="eastAsia" w:ascii="Arial"/>
          <w:color w:val="auto"/>
          <w:highlight w:val="none"/>
        </w:rPr>
      </w:pPr>
      <w:r>
        <w:rPr>
          <w:rFonts w:hint="eastAsia" w:ascii="Arial"/>
          <w:color w:val="auto"/>
          <w:highlight w:val="none"/>
        </w:rPr>
        <w:t>（4）投标文件组成不符合招标文件要求的；</w:t>
      </w:r>
    </w:p>
    <w:p w14:paraId="47BA2826">
      <w:pPr>
        <w:pStyle w:val="8"/>
        <w:tabs>
          <w:tab w:val="left" w:pos="360"/>
        </w:tabs>
        <w:ind w:firstLine="420" w:firstLineChars="200"/>
        <w:rPr>
          <w:rFonts w:hint="eastAsia" w:ascii="Arial"/>
          <w:color w:val="auto"/>
          <w:highlight w:val="none"/>
        </w:rPr>
      </w:pPr>
      <w:r>
        <w:rPr>
          <w:rFonts w:hint="eastAsia" w:ascii="Arial"/>
          <w:color w:val="auto"/>
          <w:highlight w:val="none"/>
        </w:rPr>
        <w:t>（5）投标人资格要求不满足要求的；</w:t>
      </w:r>
    </w:p>
    <w:p w14:paraId="02719E82">
      <w:pPr>
        <w:pStyle w:val="8"/>
        <w:tabs>
          <w:tab w:val="left" w:pos="360"/>
        </w:tabs>
        <w:ind w:firstLine="420" w:firstLineChars="200"/>
        <w:rPr>
          <w:rFonts w:hint="eastAsia" w:ascii="Arial"/>
          <w:color w:val="auto"/>
          <w:highlight w:val="none"/>
        </w:rPr>
      </w:pPr>
      <w:r>
        <w:rPr>
          <w:rFonts w:hint="eastAsia" w:ascii="Arial"/>
          <w:color w:val="auto"/>
          <w:highlight w:val="none"/>
        </w:rPr>
        <w:t>（6）法律法规规定无效标的</w:t>
      </w:r>
      <w:r>
        <w:rPr>
          <w:rFonts w:hint="eastAsia" w:ascii="Arial"/>
          <w:color w:val="auto"/>
          <w:highlight w:val="none"/>
          <w:lang w:eastAsia="zh-CN"/>
        </w:rPr>
        <w:t>；</w:t>
      </w:r>
    </w:p>
    <w:p w14:paraId="3D7B1EEB">
      <w:pPr>
        <w:pStyle w:val="8"/>
        <w:tabs>
          <w:tab w:val="left" w:pos="360"/>
        </w:tabs>
        <w:ind w:firstLine="420" w:firstLineChars="200"/>
        <w:rPr>
          <w:rFonts w:hint="default" w:ascii="Arial" w:eastAsia="宋体"/>
          <w:color w:val="auto"/>
          <w:highlight w:val="none"/>
          <w:lang w:val="en-US" w:eastAsia="zh-CN"/>
        </w:rPr>
      </w:pPr>
      <w:r>
        <w:rPr>
          <w:rFonts w:hint="eastAsia" w:ascii="Arial"/>
          <w:color w:val="auto"/>
          <w:highlight w:val="none"/>
          <w:lang w:eastAsia="zh-CN"/>
        </w:rPr>
        <w:t>（</w:t>
      </w:r>
      <w:r>
        <w:rPr>
          <w:rFonts w:hint="eastAsia" w:ascii="Arial"/>
          <w:color w:val="auto"/>
          <w:highlight w:val="none"/>
          <w:lang w:val="en-US" w:eastAsia="zh-CN"/>
        </w:rPr>
        <w:t>7）招标文件规定其他无效标情形。</w:t>
      </w:r>
    </w:p>
    <w:p w14:paraId="4F10E00C">
      <w:pPr>
        <w:pStyle w:val="8"/>
        <w:numPr>
          <w:ilvl w:val="-1"/>
          <w:numId w:val="0"/>
        </w:numPr>
        <w:tabs>
          <w:tab w:val="left" w:pos="720"/>
        </w:tabs>
        <w:spacing w:after="0" w:line="240" w:lineRule="auto"/>
        <w:ind w:left="0" w:firstLine="422" w:firstLineChars="200"/>
        <w:rPr>
          <w:rFonts w:hint="eastAsia" w:ascii="Arial" w:hAnsi="宋体" w:eastAsia="宋体"/>
          <w:b w:val="0"/>
          <w:color w:val="auto"/>
          <w:highlight w:val="none"/>
          <w:u w:val="none"/>
        </w:rPr>
      </w:pPr>
      <w:r>
        <w:rPr>
          <w:rFonts w:hint="eastAsia" w:ascii="Arial" w:hAnsi="宋体" w:eastAsia="宋体"/>
          <w:b/>
          <w:bCs/>
          <w:color w:val="auto"/>
          <w:highlight w:val="none"/>
          <w:u w:val="none"/>
          <w:lang w:val="en-US" w:eastAsia="zh-CN"/>
        </w:rPr>
        <w:t>28.3</w:t>
      </w:r>
      <w:r>
        <w:rPr>
          <w:rFonts w:hint="eastAsia" w:ascii="Arial" w:hAnsi="宋体" w:eastAsia="宋体"/>
          <w:b/>
          <w:bCs/>
          <w:color w:val="auto"/>
          <w:highlight w:val="none"/>
          <w:u w:val="none"/>
        </w:rPr>
        <w:t>投标文件有下列情形之一的，由评标委员会进行实质性评审并经询标后按无效标处理：</w:t>
      </w:r>
    </w:p>
    <w:p w14:paraId="383055F2">
      <w:pPr>
        <w:pStyle w:val="5"/>
        <w:tabs>
          <w:tab w:val="left" w:pos="360"/>
        </w:tabs>
        <w:spacing w:line="336" w:lineRule="auto"/>
        <w:ind w:firstLine="420" w:firstLineChars="200"/>
        <w:rPr>
          <w:rFonts w:hint="eastAsia" w:ascii="Arial" w:hAnsi="宋体" w:eastAsia="宋体"/>
          <w:bCs/>
          <w:color w:val="auto"/>
          <w:sz w:val="21"/>
          <w:highlight w:val="none"/>
        </w:rPr>
      </w:pPr>
      <w:r>
        <w:rPr>
          <w:rFonts w:hint="eastAsia" w:ascii="Arial" w:hAnsi="宋体" w:eastAsia="宋体"/>
          <w:bCs/>
          <w:color w:val="auto"/>
          <w:sz w:val="21"/>
          <w:highlight w:val="none"/>
        </w:rPr>
        <w:t>（1）投标承诺的报价等不符合招标文件要求的；</w:t>
      </w:r>
    </w:p>
    <w:p w14:paraId="1E1144BB">
      <w:pPr>
        <w:pStyle w:val="5"/>
        <w:tabs>
          <w:tab w:val="left" w:pos="360"/>
        </w:tabs>
        <w:spacing w:line="336" w:lineRule="auto"/>
        <w:ind w:firstLine="420" w:firstLineChars="200"/>
        <w:rPr>
          <w:rFonts w:hint="eastAsia" w:ascii="Arial" w:hAnsi="宋体" w:eastAsia="宋体"/>
          <w:bCs/>
          <w:color w:val="auto"/>
          <w:sz w:val="21"/>
          <w:highlight w:val="none"/>
        </w:rPr>
      </w:pPr>
      <w:r>
        <w:rPr>
          <w:rFonts w:hint="eastAsia" w:ascii="Arial" w:hAnsi="宋体" w:eastAsia="宋体"/>
          <w:bCs/>
          <w:color w:val="auto"/>
          <w:sz w:val="21"/>
          <w:highlight w:val="none"/>
        </w:rPr>
        <w:t>（2）未按招标文件要求进行报价的；</w:t>
      </w:r>
    </w:p>
    <w:p w14:paraId="07EBEA83">
      <w:pPr>
        <w:pStyle w:val="5"/>
        <w:tabs>
          <w:tab w:val="left" w:pos="360"/>
        </w:tabs>
        <w:spacing w:line="336" w:lineRule="auto"/>
        <w:ind w:firstLine="420" w:firstLineChars="200"/>
        <w:rPr>
          <w:rFonts w:hint="eastAsia" w:ascii="Arial" w:hAnsi="宋体" w:eastAsia="宋体"/>
          <w:bCs/>
          <w:color w:val="auto"/>
          <w:sz w:val="21"/>
          <w:highlight w:val="none"/>
        </w:rPr>
      </w:pPr>
      <w:r>
        <w:rPr>
          <w:rFonts w:hint="eastAsia" w:ascii="Arial" w:hAnsi="宋体" w:eastAsia="宋体"/>
          <w:bCs/>
          <w:color w:val="auto"/>
          <w:sz w:val="21"/>
          <w:highlight w:val="none"/>
        </w:rPr>
        <w:t>（3）违反招标文件其他实质性条款规定的。</w:t>
      </w:r>
    </w:p>
    <w:p w14:paraId="0CDAB55A">
      <w:pPr>
        <w:pStyle w:val="8"/>
        <w:numPr>
          <w:ilvl w:val="-1"/>
          <w:numId w:val="0"/>
        </w:numPr>
        <w:tabs>
          <w:tab w:val="left" w:pos="720"/>
        </w:tabs>
        <w:spacing w:after="0" w:line="240" w:lineRule="auto"/>
        <w:ind w:left="0" w:firstLine="420" w:firstLineChars="200"/>
        <w:rPr>
          <w:rFonts w:hint="eastAsia" w:ascii="Arial" w:hAnsi="宋体"/>
          <w:color w:val="auto"/>
          <w:highlight w:val="none"/>
        </w:rPr>
      </w:pPr>
      <w:r>
        <w:rPr>
          <w:rFonts w:hint="eastAsia" w:ascii="Arial" w:hAnsi="宋体"/>
          <w:color w:val="auto"/>
          <w:highlight w:val="none"/>
          <w:lang w:val="en-US" w:eastAsia="zh-CN"/>
        </w:rPr>
        <w:t>28.4</w:t>
      </w:r>
      <w:r>
        <w:rPr>
          <w:rFonts w:hint="eastAsia" w:ascii="Arial" w:hAnsi="宋体"/>
          <w:color w:val="auto"/>
          <w:highlight w:val="none"/>
        </w:rPr>
        <w:t>如有效标不足三家使得投标明显缺乏竞争的，评标委员会可以否决全部投标。所有投标被否决的，则本次招标失败，重新组织招标。</w:t>
      </w:r>
    </w:p>
    <w:p w14:paraId="41158A42">
      <w:pPr>
        <w:pStyle w:val="4"/>
        <w:tabs>
          <w:tab w:val="left" w:pos="360"/>
        </w:tabs>
        <w:ind w:left="0"/>
        <w:rPr>
          <w:rFonts w:hint="eastAsia"/>
          <w:color w:val="auto"/>
          <w:highlight w:val="none"/>
        </w:rPr>
      </w:pPr>
      <w:bookmarkStart w:id="185" w:name="_Toc188333787"/>
      <w:bookmarkStart w:id="186" w:name="_Toc155342564"/>
      <w:bookmarkStart w:id="187" w:name="_Toc188339080"/>
      <w:bookmarkStart w:id="188" w:name="_Toc169487811"/>
      <w:bookmarkStart w:id="189" w:name="_Toc458127874"/>
      <w:r>
        <w:rPr>
          <w:rFonts w:hint="eastAsia"/>
          <w:color w:val="auto"/>
          <w:highlight w:val="none"/>
        </w:rPr>
        <w:t>商务标的修正</w:t>
      </w:r>
      <w:bookmarkEnd w:id="185"/>
      <w:bookmarkEnd w:id="186"/>
      <w:bookmarkEnd w:id="187"/>
      <w:bookmarkEnd w:id="188"/>
      <w:bookmarkEnd w:id="189"/>
    </w:p>
    <w:p w14:paraId="01C917D4">
      <w:pPr>
        <w:pStyle w:val="8"/>
        <w:numPr>
          <w:ilvl w:val="0"/>
          <w:numId w:val="0"/>
        </w:numPr>
        <w:tabs>
          <w:tab w:val="left" w:pos="720"/>
        </w:tabs>
        <w:spacing w:after="0" w:line="240" w:lineRule="auto"/>
        <w:ind w:firstLine="420" w:firstLineChars="200"/>
        <w:rPr>
          <w:rFonts w:hint="eastAsia" w:ascii="Arial" w:hAnsi="宋体"/>
          <w:color w:val="auto"/>
          <w:highlight w:val="none"/>
        </w:rPr>
      </w:pPr>
      <w:bookmarkStart w:id="190" w:name="OLE_LINK5"/>
      <w:r>
        <w:rPr>
          <w:rFonts w:hint="eastAsia" w:ascii="Arial" w:hAnsi="宋体"/>
          <w:color w:val="auto"/>
          <w:highlight w:val="none"/>
          <w:lang w:val="en-US" w:eastAsia="zh-CN"/>
        </w:rPr>
        <w:t>29.1</w:t>
      </w:r>
      <w:r>
        <w:rPr>
          <w:rFonts w:hint="eastAsia" w:ascii="Arial" w:hAnsi="宋体"/>
          <w:color w:val="auto"/>
          <w:highlight w:val="none"/>
        </w:rPr>
        <w:t>评标委员会将对确定为实质上响应招标文件要求的投标文件进行校核</w:t>
      </w:r>
      <w:bookmarkEnd w:id="190"/>
      <w:bookmarkStart w:id="191" w:name="_Toc188339081"/>
      <w:bookmarkStart w:id="192" w:name="_Toc169487812"/>
      <w:bookmarkStart w:id="193" w:name="_Toc188333788"/>
      <w:bookmarkStart w:id="194" w:name="_Toc155342565"/>
      <w:r>
        <w:rPr>
          <w:rFonts w:hint="eastAsia" w:ascii="Arial" w:hAnsi="宋体"/>
          <w:color w:val="auto"/>
          <w:highlight w:val="none"/>
          <w:lang w:eastAsia="zh-CN"/>
        </w:rPr>
        <w:t>，</w:t>
      </w:r>
      <w:r>
        <w:rPr>
          <w:rFonts w:hint="eastAsia" w:ascii="Arial" w:hAnsi="宋体"/>
          <w:color w:val="auto"/>
          <w:highlight w:val="none"/>
        </w:rPr>
        <w:t>投标文件中投标承诺书内容与投标报价明细清单中相应内容不一致的，以投标承诺书为准；</w:t>
      </w:r>
    </w:p>
    <w:p w14:paraId="22B84B27">
      <w:pPr>
        <w:pStyle w:val="8"/>
        <w:numPr>
          <w:ilvl w:val="0"/>
          <w:numId w:val="0"/>
        </w:numPr>
        <w:tabs>
          <w:tab w:val="left" w:pos="720"/>
        </w:tabs>
        <w:spacing w:line="240" w:lineRule="auto"/>
        <w:ind w:firstLine="420"/>
        <w:rPr>
          <w:rFonts w:hint="eastAsia" w:ascii="Arial" w:hAnsi="宋体" w:eastAsia="宋体" w:cs="Times New Roman"/>
          <w:color w:val="auto"/>
          <w:spacing w:val="0"/>
          <w:sz w:val="21"/>
          <w:szCs w:val="24"/>
          <w:highlight w:val="none"/>
          <w:lang w:val="en-US" w:eastAsia="zh-CN"/>
        </w:rPr>
      </w:pPr>
      <w:r>
        <w:rPr>
          <w:rFonts w:hint="eastAsia" w:ascii="Arial" w:hAnsi="宋体" w:eastAsia="宋体" w:cs="Times New Roman"/>
          <w:color w:val="auto"/>
          <w:spacing w:val="0"/>
          <w:sz w:val="21"/>
          <w:szCs w:val="24"/>
          <w:highlight w:val="none"/>
          <w:lang w:val="en-US" w:eastAsia="zh-CN"/>
        </w:rPr>
        <w:t>29.2大写金额和小写金额不一致的，以大写金额为准。</w:t>
      </w:r>
    </w:p>
    <w:p w14:paraId="168B6CDB">
      <w:pPr>
        <w:pStyle w:val="8"/>
        <w:numPr>
          <w:ilvl w:val="0"/>
          <w:numId w:val="0"/>
        </w:numPr>
        <w:tabs>
          <w:tab w:val="left" w:pos="720"/>
        </w:tabs>
        <w:spacing w:line="240" w:lineRule="auto"/>
        <w:ind w:firstLine="420"/>
        <w:rPr>
          <w:rFonts w:hint="eastAsia" w:ascii="Arial" w:hAnsi="宋体"/>
          <w:color w:val="auto"/>
          <w:highlight w:val="none"/>
        </w:rPr>
      </w:pPr>
      <w:r>
        <w:rPr>
          <w:rFonts w:hint="eastAsia" w:ascii="Arial" w:hAnsi="宋体" w:cs="Times New Roman"/>
          <w:color w:val="auto"/>
          <w:spacing w:val="0"/>
          <w:sz w:val="21"/>
          <w:szCs w:val="24"/>
          <w:highlight w:val="none"/>
          <w:lang w:val="en-US" w:eastAsia="zh-CN"/>
        </w:rPr>
        <w:t>29.3</w:t>
      </w:r>
      <w:r>
        <w:rPr>
          <w:rFonts w:hint="eastAsia" w:ascii="Arial" w:hAnsi="宋体" w:eastAsia="宋体" w:cs="Times New Roman"/>
          <w:color w:val="auto"/>
          <w:spacing w:val="0"/>
          <w:sz w:val="21"/>
          <w:szCs w:val="24"/>
          <w:highlight w:val="none"/>
          <w:lang w:val="en-US" w:eastAsia="zh-CN"/>
        </w:rPr>
        <w:t>总价金额与按单价汇总金额不一致的，以总价金额为准，合理调整单价。</w:t>
      </w:r>
    </w:p>
    <w:p w14:paraId="74B88C07">
      <w:pPr>
        <w:pStyle w:val="12"/>
        <w:tabs>
          <w:tab w:val="left" w:pos="360"/>
        </w:tabs>
        <w:spacing w:before="156" w:beforeLines="50" w:line="360" w:lineRule="atLeast"/>
        <w:ind w:left="0" w:leftChars="0" w:firstLine="0" w:firstLineChars="0"/>
        <w:rPr>
          <w:rFonts w:hint="eastAsia" w:ascii="Arial" w:hAnsi="Arial" w:eastAsia="黑体"/>
          <w:b/>
          <w:color w:val="auto"/>
          <w:highlight w:val="none"/>
        </w:rPr>
      </w:pPr>
      <w:r>
        <w:rPr>
          <w:rFonts w:hint="eastAsia" w:ascii="Arial" w:hAnsi="Arial" w:eastAsia="黑体"/>
          <w:b/>
          <w:color w:val="auto"/>
          <w:highlight w:val="none"/>
        </w:rPr>
        <w:t>3</w:t>
      </w:r>
      <w:r>
        <w:rPr>
          <w:rFonts w:hint="eastAsia" w:ascii="Arial" w:hAnsi="Arial" w:eastAsia="黑体"/>
          <w:b/>
          <w:color w:val="auto"/>
          <w:highlight w:val="none"/>
          <w:lang w:val="en-US" w:eastAsia="zh-CN"/>
        </w:rPr>
        <w:t>0</w:t>
      </w:r>
      <w:r>
        <w:rPr>
          <w:rFonts w:hint="eastAsia" w:ascii="Arial" w:hAnsi="Arial" w:eastAsia="黑体"/>
          <w:b/>
          <w:color w:val="auto"/>
          <w:highlight w:val="none"/>
        </w:rPr>
        <w:t>.评标办法</w:t>
      </w:r>
      <w:bookmarkEnd w:id="191"/>
      <w:bookmarkEnd w:id="192"/>
      <w:bookmarkEnd w:id="193"/>
      <w:bookmarkEnd w:id="194"/>
    </w:p>
    <w:p w14:paraId="24ADC970">
      <w:pPr>
        <w:pStyle w:val="5"/>
        <w:tabs>
          <w:tab w:val="left" w:pos="360"/>
        </w:tabs>
        <w:spacing w:line="324" w:lineRule="auto"/>
        <w:rPr>
          <w:rFonts w:hint="eastAsia" w:ascii="Arial" w:hAnsi="Arial" w:eastAsia="宋体"/>
          <w:bCs/>
          <w:color w:val="auto"/>
          <w:sz w:val="21"/>
          <w:highlight w:val="none"/>
        </w:rPr>
      </w:pPr>
      <w:r>
        <w:rPr>
          <w:rFonts w:hint="eastAsia" w:ascii="Arial" w:hAnsi="宋体" w:eastAsia="宋体"/>
          <w:bCs/>
          <w:color w:val="auto"/>
          <w:sz w:val="21"/>
          <w:highlight w:val="none"/>
        </w:rPr>
        <w:t>3</w:t>
      </w:r>
      <w:r>
        <w:rPr>
          <w:rFonts w:hint="eastAsia" w:ascii="Arial" w:hAnsi="宋体" w:eastAsia="宋体"/>
          <w:bCs/>
          <w:color w:val="auto"/>
          <w:sz w:val="21"/>
          <w:highlight w:val="none"/>
          <w:lang w:val="en-US" w:eastAsia="zh-CN"/>
        </w:rPr>
        <w:t>0</w:t>
      </w:r>
      <w:r>
        <w:rPr>
          <w:rFonts w:hint="eastAsia" w:ascii="Arial" w:hAnsi="宋体" w:eastAsia="宋体"/>
          <w:bCs/>
          <w:color w:val="auto"/>
          <w:sz w:val="21"/>
          <w:highlight w:val="none"/>
        </w:rPr>
        <w:t>.1本项目采用的评标办法见本须知前附表，具体内容详见本招标文件第</w:t>
      </w:r>
      <w:r>
        <w:rPr>
          <w:rFonts w:hint="eastAsia" w:ascii="Arial" w:hAnsi="宋体" w:eastAsia="宋体"/>
          <w:bCs/>
          <w:color w:val="auto"/>
          <w:sz w:val="21"/>
          <w:highlight w:val="none"/>
          <w:lang w:val="en-US" w:eastAsia="zh-CN"/>
        </w:rPr>
        <w:t>四</w:t>
      </w:r>
      <w:r>
        <w:rPr>
          <w:rFonts w:hint="eastAsia" w:ascii="Arial" w:hAnsi="宋体" w:eastAsia="宋体"/>
          <w:bCs/>
          <w:color w:val="auto"/>
          <w:sz w:val="21"/>
          <w:highlight w:val="none"/>
        </w:rPr>
        <w:t>章。</w:t>
      </w:r>
    </w:p>
    <w:p w14:paraId="47700843">
      <w:pPr>
        <w:pStyle w:val="2"/>
        <w:tabs>
          <w:tab w:val="left" w:pos="360"/>
        </w:tabs>
        <w:spacing w:line="360" w:lineRule="auto"/>
        <w:rPr>
          <w:rFonts w:hint="eastAsia"/>
          <w:color w:val="auto"/>
          <w:highlight w:val="none"/>
        </w:rPr>
      </w:pPr>
      <w:bookmarkStart w:id="195" w:name="_Toc458127875"/>
      <w:r>
        <w:rPr>
          <w:rFonts w:hint="eastAsia"/>
          <w:color w:val="auto"/>
          <w:highlight w:val="none"/>
        </w:rPr>
        <w:t>第七节  授予合同</w:t>
      </w:r>
      <w:bookmarkEnd w:id="157"/>
      <w:bookmarkEnd w:id="158"/>
      <w:bookmarkEnd w:id="195"/>
    </w:p>
    <w:p w14:paraId="28B4BAF8">
      <w:pPr>
        <w:pStyle w:val="4"/>
        <w:numPr>
          <w:ilvl w:val="0"/>
          <w:numId w:val="0"/>
        </w:numPr>
        <w:tabs>
          <w:tab w:val="left" w:pos="360"/>
        </w:tabs>
        <w:spacing w:line="360" w:lineRule="auto"/>
        <w:rPr>
          <w:rFonts w:hint="eastAsia"/>
          <w:color w:val="auto"/>
          <w:highlight w:val="none"/>
        </w:rPr>
      </w:pPr>
      <w:bookmarkStart w:id="196" w:name="_Toc155342567"/>
      <w:bookmarkStart w:id="197" w:name="_Toc188339083"/>
      <w:bookmarkStart w:id="198" w:name="_Toc188333790"/>
      <w:bookmarkStart w:id="199" w:name="_Toc458127876"/>
      <w:bookmarkStart w:id="200" w:name="_Toc169487814"/>
      <w:bookmarkStart w:id="201" w:name="_Toc500208496"/>
      <w:r>
        <w:rPr>
          <w:rFonts w:hint="eastAsia"/>
          <w:color w:val="auto"/>
          <w:highlight w:val="none"/>
        </w:rPr>
        <w:t>3</w:t>
      </w:r>
      <w:r>
        <w:rPr>
          <w:rFonts w:hint="eastAsia"/>
          <w:color w:val="auto"/>
          <w:highlight w:val="none"/>
          <w:lang w:val="en-US" w:eastAsia="zh-CN"/>
        </w:rPr>
        <w:t>1</w:t>
      </w:r>
      <w:r>
        <w:rPr>
          <w:rFonts w:hint="eastAsia"/>
          <w:color w:val="auto"/>
          <w:highlight w:val="none"/>
        </w:rPr>
        <w:t>.中标候选人公示</w:t>
      </w:r>
      <w:bookmarkEnd w:id="196"/>
      <w:bookmarkEnd w:id="197"/>
      <w:bookmarkEnd w:id="198"/>
      <w:bookmarkEnd w:id="199"/>
      <w:bookmarkEnd w:id="200"/>
    </w:p>
    <w:p w14:paraId="3B7101FA">
      <w:pPr>
        <w:widowControl w:val="0"/>
        <w:spacing w:line="360" w:lineRule="auto"/>
        <w:ind w:firstLine="420" w:firstLineChars="200"/>
        <w:rPr>
          <w:rFonts w:hint="eastAsia" w:ascii="Arial" w:hAnsi="宋体"/>
          <w:color w:val="auto"/>
          <w:highlight w:val="none"/>
        </w:rPr>
      </w:pPr>
      <w:bookmarkStart w:id="202" w:name="_Toc155342568"/>
      <w:bookmarkStart w:id="203" w:name="_Toc169487815"/>
      <w:r>
        <w:rPr>
          <w:rFonts w:hint="eastAsia" w:ascii="Arial" w:hAnsi="宋体" w:eastAsia="宋体" w:cs="Times New Roman"/>
          <w:color w:val="auto"/>
          <w:highlight w:val="none"/>
        </w:rPr>
        <w:t>3</w:t>
      </w:r>
      <w:r>
        <w:rPr>
          <w:rFonts w:hint="eastAsia" w:ascii="Arial" w:hAnsi="宋体" w:cs="Times New Roman"/>
          <w:color w:val="auto"/>
          <w:highlight w:val="none"/>
          <w:lang w:val="en-US" w:eastAsia="zh-CN"/>
        </w:rPr>
        <w:t>1</w:t>
      </w:r>
      <w:r>
        <w:rPr>
          <w:rFonts w:hint="eastAsia" w:ascii="Arial" w:hAnsi="宋体" w:eastAsia="宋体" w:cs="Times New Roman"/>
          <w:color w:val="auto"/>
          <w:highlight w:val="none"/>
        </w:rPr>
        <w:t>.1</w:t>
      </w:r>
      <w:r>
        <w:rPr>
          <w:rFonts w:hint="eastAsia" w:ascii="Arial" w:hAnsi="宋体"/>
          <w:color w:val="auto"/>
          <w:highlight w:val="none"/>
        </w:rPr>
        <w:t>招标人应当将评标委员会推荐的中标候选人进行公示，公示期不得少于3日。</w:t>
      </w:r>
    </w:p>
    <w:p w14:paraId="0B787009">
      <w:pPr>
        <w:spacing w:line="360" w:lineRule="auto"/>
        <w:ind w:firstLine="420" w:firstLineChars="200"/>
        <w:rPr>
          <w:rFonts w:hint="eastAsia" w:ascii="Arial" w:hAnsi="宋体" w:eastAsia="宋体"/>
          <w:color w:val="auto"/>
          <w:sz w:val="21"/>
          <w:highlight w:val="none"/>
        </w:rPr>
      </w:pPr>
      <w:r>
        <w:rPr>
          <w:rFonts w:hint="eastAsia" w:ascii="Arial" w:hAnsi="宋体" w:eastAsia="宋体"/>
          <w:color w:val="auto"/>
          <w:sz w:val="21"/>
          <w:highlight w:val="none"/>
        </w:rPr>
        <w:t>3</w:t>
      </w:r>
      <w:r>
        <w:rPr>
          <w:rFonts w:hint="eastAsia" w:ascii="Arial" w:hAnsi="宋体" w:eastAsia="宋体"/>
          <w:color w:val="auto"/>
          <w:sz w:val="21"/>
          <w:highlight w:val="none"/>
          <w:lang w:val="en-US" w:eastAsia="zh-CN"/>
        </w:rPr>
        <w:t>1.</w:t>
      </w:r>
      <w:r>
        <w:rPr>
          <w:rFonts w:hint="eastAsia" w:ascii="Arial" w:hAnsi="宋体" w:eastAsia="宋体"/>
          <w:color w:val="auto"/>
          <w:sz w:val="21"/>
          <w:highlight w:val="none"/>
        </w:rPr>
        <w:t>2公示期间，对中标候选人资格有异议的，可向招标人（招标代理机构）提出（附相关有效证明材料），招标人（招标代理机构）应给予答复。投标人对答复不服或认为招标人（招标代理机构）有违反有关规定及其他弄虚作假情形的，可在接到答复之日起3日内向主管部门书面申请核查，并提交相关材料。</w:t>
      </w:r>
    </w:p>
    <w:p w14:paraId="66DB0465">
      <w:pPr>
        <w:widowControl w:val="0"/>
        <w:spacing w:line="360" w:lineRule="auto"/>
        <w:ind w:firstLine="420" w:firstLineChars="200"/>
        <w:rPr>
          <w:rFonts w:hint="eastAsia" w:ascii="Arial" w:hAnsi="宋体"/>
          <w:color w:val="auto"/>
          <w:highlight w:val="none"/>
        </w:rPr>
      </w:pPr>
      <w:r>
        <w:rPr>
          <w:rFonts w:hint="eastAsia" w:ascii="Arial" w:hAnsi="宋体" w:eastAsia="宋体" w:cs="Times New Roman"/>
          <w:color w:val="auto"/>
          <w:highlight w:val="none"/>
        </w:rPr>
        <w:t>3</w:t>
      </w:r>
      <w:r>
        <w:rPr>
          <w:rFonts w:hint="eastAsia" w:ascii="Arial" w:hAnsi="宋体" w:cs="Times New Roman"/>
          <w:color w:val="auto"/>
          <w:highlight w:val="none"/>
          <w:lang w:val="en-US" w:eastAsia="zh-CN"/>
        </w:rPr>
        <w:t>1</w:t>
      </w:r>
      <w:r>
        <w:rPr>
          <w:rFonts w:hint="eastAsia" w:ascii="Arial" w:hAnsi="宋体" w:eastAsia="宋体" w:cs="Times New Roman"/>
          <w:color w:val="auto"/>
          <w:highlight w:val="none"/>
        </w:rPr>
        <w:t>.3</w:t>
      </w:r>
      <w:r>
        <w:rPr>
          <w:rFonts w:hint="eastAsia" w:ascii="Arial" w:hAnsi="宋体"/>
          <w:color w:val="auto"/>
          <w:highlight w:val="none"/>
        </w:rPr>
        <w:t>涉及中标候选人投标资格等情形的，招标人（招标代理机构）可以书面形式要求其进行澄清或说明。中标候选人应自收到书面通知之日起3日内进行澄清或说明。</w:t>
      </w:r>
    </w:p>
    <w:bookmarkEnd w:id="201"/>
    <w:bookmarkEnd w:id="202"/>
    <w:bookmarkEnd w:id="203"/>
    <w:p w14:paraId="29D23F24">
      <w:pPr>
        <w:pStyle w:val="4"/>
        <w:numPr>
          <w:ilvl w:val="0"/>
          <w:numId w:val="0"/>
        </w:numPr>
        <w:tabs>
          <w:tab w:val="left" w:pos="360"/>
        </w:tabs>
        <w:rPr>
          <w:rFonts w:hint="eastAsia"/>
          <w:color w:val="auto"/>
          <w:highlight w:val="none"/>
        </w:rPr>
      </w:pPr>
      <w:bookmarkStart w:id="204" w:name="_Toc188339085"/>
      <w:bookmarkStart w:id="205" w:name="_Toc188333792"/>
      <w:bookmarkStart w:id="206" w:name="_Toc458127877"/>
      <w:bookmarkStart w:id="207" w:name="_Toc169487816"/>
      <w:r>
        <w:rPr>
          <w:rFonts w:hint="eastAsia"/>
          <w:color w:val="auto"/>
          <w:highlight w:val="none"/>
        </w:rPr>
        <w:t>3</w:t>
      </w:r>
      <w:r>
        <w:rPr>
          <w:rFonts w:hint="eastAsia"/>
          <w:color w:val="auto"/>
          <w:highlight w:val="none"/>
          <w:lang w:val="en-US" w:eastAsia="zh-CN"/>
        </w:rPr>
        <w:t>2</w:t>
      </w:r>
      <w:r>
        <w:rPr>
          <w:rFonts w:hint="eastAsia"/>
          <w:color w:val="auto"/>
          <w:highlight w:val="none"/>
        </w:rPr>
        <w:t>.中标通知书</w:t>
      </w:r>
      <w:bookmarkEnd w:id="204"/>
      <w:bookmarkEnd w:id="205"/>
      <w:bookmarkEnd w:id="206"/>
      <w:bookmarkEnd w:id="207"/>
    </w:p>
    <w:p w14:paraId="446B0AA6">
      <w:pPr>
        <w:spacing w:line="360" w:lineRule="auto"/>
        <w:ind w:firstLine="420" w:firstLineChars="200"/>
        <w:rPr>
          <w:rFonts w:hint="eastAsia" w:ascii="Arial" w:hAnsi="宋体"/>
          <w:color w:val="auto"/>
          <w:highlight w:val="none"/>
        </w:rPr>
      </w:pPr>
      <w:bookmarkStart w:id="208" w:name="_Toc169487817"/>
      <w:bookmarkStart w:id="209" w:name="_Toc188333793"/>
      <w:bookmarkStart w:id="210" w:name="_Toc188339086"/>
      <w:bookmarkStart w:id="211" w:name="_Toc155342569"/>
      <w:r>
        <w:rPr>
          <w:rFonts w:hint="eastAsia" w:ascii="Arial" w:hAnsi="宋体"/>
          <w:color w:val="auto"/>
          <w:highlight w:val="none"/>
        </w:rPr>
        <w:t>3</w:t>
      </w:r>
      <w:r>
        <w:rPr>
          <w:rFonts w:hint="eastAsia" w:ascii="Arial" w:hAnsi="宋体"/>
          <w:color w:val="auto"/>
          <w:highlight w:val="none"/>
          <w:lang w:val="en-US" w:eastAsia="zh-CN"/>
        </w:rPr>
        <w:t>2</w:t>
      </w:r>
      <w:r>
        <w:rPr>
          <w:rFonts w:hint="eastAsia" w:ascii="Arial" w:hAnsi="宋体"/>
          <w:color w:val="auto"/>
          <w:highlight w:val="none"/>
        </w:rPr>
        <w:t>.1招标人应确定中标候选人为中标人，中标候选人放弃中标，或者因不可抗力提出不能履行合同，或者招标文件规定应当提交履约担保而在规定的期限内未能提交的，本次招标失败，重新组织招标。</w:t>
      </w:r>
    </w:p>
    <w:p w14:paraId="4F9D700C">
      <w:pPr>
        <w:spacing w:line="360" w:lineRule="auto"/>
        <w:ind w:firstLine="420" w:firstLineChars="200"/>
        <w:rPr>
          <w:rFonts w:hint="eastAsia" w:ascii="Arial" w:hAnsi="宋体"/>
          <w:color w:val="auto"/>
          <w:highlight w:val="none"/>
        </w:rPr>
      </w:pPr>
      <w:r>
        <w:rPr>
          <w:rFonts w:hint="eastAsia" w:ascii="Arial" w:hAnsi="宋体"/>
          <w:color w:val="auto"/>
          <w:highlight w:val="none"/>
        </w:rPr>
        <w:t>3</w:t>
      </w:r>
      <w:r>
        <w:rPr>
          <w:rFonts w:hint="eastAsia" w:ascii="Arial" w:hAnsi="宋体"/>
          <w:color w:val="auto"/>
          <w:highlight w:val="none"/>
          <w:lang w:val="en-US" w:eastAsia="zh-CN"/>
        </w:rPr>
        <w:t>2</w:t>
      </w:r>
      <w:r>
        <w:rPr>
          <w:rFonts w:hint="eastAsia" w:ascii="Arial" w:hAnsi="宋体"/>
          <w:color w:val="auto"/>
          <w:highlight w:val="none"/>
        </w:rPr>
        <w:t>.2中标人确定后，招标人应当向中标人发出《中标通知书》。</w:t>
      </w:r>
    </w:p>
    <w:p w14:paraId="3995F8E6">
      <w:pPr>
        <w:spacing w:line="360" w:lineRule="auto"/>
        <w:ind w:firstLine="420" w:firstLineChars="200"/>
        <w:rPr>
          <w:rFonts w:hint="eastAsia" w:ascii="宋体" w:hAnsi="宋体"/>
          <w:color w:val="auto"/>
          <w:highlight w:val="none"/>
        </w:rPr>
      </w:pPr>
      <w:r>
        <w:rPr>
          <w:rFonts w:hint="eastAsia" w:ascii="Arial" w:hAnsi="宋体"/>
          <w:color w:val="auto"/>
          <w:highlight w:val="none"/>
        </w:rPr>
        <w:t>3</w:t>
      </w:r>
      <w:r>
        <w:rPr>
          <w:rFonts w:hint="eastAsia" w:ascii="Arial" w:hAnsi="宋体"/>
          <w:color w:val="auto"/>
          <w:highlight w:val="none"/>
          <w:lang w:val="en-US" w:eastAsia="zh-CN"/>
        </w:rPr>
        <w:t>2</w:t>
      </w:r>
      <w:r>
        <w:rPr>
          <w:rFonts w:hint="eastAsia" w:ascii="Arial" w:hAnsi="宋体"/>
          <w:color w:val="auto"/>
          <w:highlight w:val="none"/>
        </w:rPr>
        <w:t>.3《中标通知书》对招标人和中标人具有法律约束力。《中标通知书》发出后，如中标人违反法律法规规定而中标无效的，应承担相应的法律责任，本次招标失败。</w:t>
      </w:r>
    </w:p>
    <w:p w14:paraId="5C8A51CC">
      <w:pPr>
        <w:pStyle w:val="4"/>
        <w:numPr>
          <w:ilvl w:val="0"/>
          <w:numId w:val="0"/>
        </w:numPr>
        <w:tabs>
          <w:tab w:val="left" w:pos="360"/>
        </w:tabs>
        <w:rPr>
          <w:rFonts w:hint="eastAsia"/>
          <w:color w:val="auto"/>
          <w:highlight w:val="none"/>
        </w:rPr>
      </w:pPr>
      <w:bookmarkStart w:id="212" w:name="_Toc458127878"/>
      <w:r>
        <w:rPr>
          <w:rFonts w:hint="eastAsia"/>
          <w:color w:val="auto"/>
          <w:highlight w:val="none"/>
        </w:rPr>
        <w:t>3</w:t>
      </w:r>
      <w:r>
        <w:rPr>
          <w:rFonts w:hint="eastAsia"/>
          <w:color w:val="auto"/>
          <w:highlight w:val="none"/>
          <w:lang w:val="en-US" w:eastAsia="zh-CN"/>
        </w:rPr>
        <w:t>3</w:t>
      </w:r>
      <w:r>
        <w:rPr>
          <w:rFonts w:hint="eastAsia"/>
          <w:color w:val="auto"/>
          <w:highlight w:val="none"/>
        </w:rPr>
        <w:t>.合同签订</w:t>
      </w:r>
      <w:bookmarkEnd w:id="208"/>
      <w:bookmarkEnd w:id="209"/>
      <w:bookmarkEnd w:id="210"/>
      <w:bookmarkEnd w:id="211"/>
      <w:bookmarkEnd w:id="212"/>
    </w:p>
    <w:p w14:paraId="78ADF8EF">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color w:val="auto"/>
          <w:szCs w:val="24"/>
          <w:highlight w:val="none"/>
        </w:rPr>
        <w:t>3</w:t>
      </w:r>
      <w:r>
        <w:rPr>
          <w:rFonts w:hint="eastAsia" w:ascii="Arial" w:hAnsi="宋体"/>
          <w:color w:val="auto"/>
          <w:szCs w:val="24"/>
          <w:highlight w:val="none"/>
          <w:lang w:val="en-US" w:eastAsia="zh-CN"/>
        </w:rPr>
        <w:t>3</w:t>
      </w:r>
      <w:r>
        <w:rPr>
          <w:rFonts w:hint="eastAsia" w:ascii="Arial" w:hAnsi="宋体"/>
          <w:color w:val="auto"/>
          <w:szCs w:val="24"/>
          <w:highlight w:val="none"/>
        </w:rPr>
        <w:t>.1</w:t>
      </w:r>
      <w:r>
        <w:rPr>
          <w:rFonts w:hint="eastAsia" w:ascii="Arial" w:hAnsi="宋体"/>
          <w:color w:val="auto"/>
          <w:szCs w:val="24"/>
          <w:highlight w:val="none"/>
          <w:lang w:val="en-US" w:eastAsia="zh-CN"/>
        </w:rPr>
        <w:t>招标人</w:t>
      </w:r>
      <w:r>
        <w:rPr>
          <w:rFonts w:hint="eastAsia" w:ascii="Arial" w:hAnsi="宋体"/>
          <w:color w:val="auto"/>
          <w:szCs w:val="24"/>
          <w:highlight w:val="none"/>
        </w:rPr>
        <w:t>自《中标通知书》发出之日起</w:t>
      </w:r>
      <w:r>
        <w:rPr>
          <w:rFonts w:hint="eastAsia" w:ascii="Arial" w:hAnsi="宋体" w:eastAsia="宋体" w:cs="Times New Roman"/>
          <w:color w:val="auto"/>
          <w:szCs w:val="24"/>
          <w:highlight w:val="none"/>
          <w:lang w:val="en-US" w:eastAsia="zh-CN"/>
        </w:rPr>
        <w:t>10</w:t>
      </w:r>
      <w:r>
        <w:rPr>
          <w:rFonts w:hint="eastAsia" w:ascii="Arial" w:hAnsi="宋体"/>
          <w:color w:val="auto"/>
          <w:szCs w:val="24"/>
          <w:highlight w:val="none"/>
        </w:rPr>
        <w:t>日内</w:t>
      </w:r>
      <w:r>
        <w:rPr>
          <w:rFonts w:hint="eastAsia" w:ascii="Arial" w:hAnsi="宋体" w:eastAsia="宋体" w:cs="Times New Roman"/>
          <w:color w:val="auto"/>
          <w:kern w:val="2"/>
          <w:sz w:val="21"/>
          <w:szCs w:val="24"/>
          <w:highlight w:val="none"/>
          <w:lang w:val="en-US" w:eastAsia="zh-CN" w:bidi="ar-SA"/>
        </w:rPr>
        <w:t>，按照招标文件和中标人投标文件内容要求，与中标人签订合同。所签订的合同不得对招标文件确定的事项和中标人投标文件作实质性修改。</w:t>
      </w:r>
    </w:p>
    <w:p w14:paraId="7877C1F7">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.2</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不得向中标人提出任何不合理的要求作为签订合同的条件。</w:t>
      </w:r>
    </w:p>
    <w:p w14:paraId="37031926">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.3中标人无故拖延、拒签合同的，将取消中标资格。</w:t>
      </w:r>
    </w:p>
    <w:p w14:paraId="03609ED2">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.4中标人拒绝与</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签订合同的，</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可以重新开展</w:t>
      </w:r>
      <w:r>
        <w:rPr>
          <w:rFonts w:hint="eastAsia" w:ascii="Arial" w:hAnsi="宋体" w:cs="Times New Roman"/>
          <w:color w:val="auto"/>
          <w:kern w:val="2"/>
          <w:sz w:val="21"/>
          <w:szCs w:val="24"/>
          <w:highlight w:val="none"/>
          <w:lang w:val="en-US" w:eastAsia="zh-CN" w:bidi="ar-SA"/>
        </w:rPr>
        <w:t>招标</w:t>
      </w:r>
      <w:r>
        <w:rPr>
          <w:rFonts w:hint="eastAsia" w:ascii="Arial" w:hAnsi="宋体" w:eastAsia="宋体" w:cs="Times New Roman"/>
          <w:color w:val="auto"/>
          <w:kern w:val="2"/>
          <w:sz w:val="21"/>
          <w:szCs w:val="24"/>
          <w:highlight w:val="none"/>
          <w:lang w:val="en-US" w:eastAsia="zh-CN" w:bidi="ar-SA"/>
        </w:rPr>
        <w:t>活动。同时，拒绝与</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签订合同的中标人，</w:t>
      </w:r>
      <w:r>
        <w:rPr>
          <w:rFonts w:hint="eastAsia" w:ascii="Arial" w:hAnsi="宋体" w:cs="Times New Roman"/>
          <w:color w:val="auto"/>
          <w:kern w:val="2"/>
          <w:sz w:val="21"/>
          <w:szCs w:val="24"/>
          <w:highlight w:val="none"/>
          <w:lang w:val="en-US" w:eastAsia="zh-CN" w:bidi="ar-SA"/>
        </w:rPr>
        <w:t>没收投标保证金</w:t>
      </w:r>
      <w:r>
        <w:rPr>
          <w:rFonts w:hint="eastAsia" w:ascii="Arial" w:hAnsi="宋体" w:eastAsia="宋体" w:cs="Times New Roman"/>
          <w:color w:val="auto"/>
          <w:kern w:val="2"/>
          <w:sz w:val="21"/>
          <w:szCs w:val="24"/>
          <w:highlight w:val="none"/>
          <w:lang w:val="en-US" w:eastAsia="zh-CN" w:bidi="ar-SA"/>
        </w:rPr>
        <w:t>。</w:t>
      </w:r>
    </w:p>
    <w:p w14:paraId="02BD5C54">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.5询问或者质疑事项可能影响中标结果的，</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应当暂停签订合同，已经签订合同的，应当中止履行合同。</w:t>
      </w:r>
    </w:p>
    <w:p w14:paraId="5E4FFDF8">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w:t>
      </w:r>
      <w:r>
        <w:rPr>
          <w:rFonts w:hint="eastAsia" w:ascii="Arial" w:hAnsi="宋体" w:cs="Times New Roman"/>
          <w:color w:val="auto"/>
          <w:kern w:val="2"/>
          <w:sz w:val="21"/>
          <w:szCs w:val="24"/>
          <w:highlight w:val="none"/>
          <w:lang w:val="en-US" w:eastAsia="zh-CN" w:bidi="ar-SA"/>
        </w:rPr>
        <w:t>6</w:t>
      </w:r>
      <w:r>
        <w:rPr>
          <w:rFonts w:hint="eastAsia" w:ascii="Arial" w:hAnsi="宋体" w:eastAsia="宋体" w:cs="Times New Roman"/>
          <w:color w:val="auto"/>
          <w:kern w:val="2"/>
          <w:sz w:val="21"/>
          <w:szCs w:val="24"/>
          <w:highlight w:val="none"/>
          <w:lang w:val="en-US" w:eastAsia="zh-CN" w:bidi="ar-SA"/>
        </w:rPr>
        <w:t>中标人应在签订合同前向招标人提交履约保证金，未提交履约保证金的，不授予合同。履约保证金的收取及退还详见投标人须知前附表。</w:t>
      </w:r>
    </w:p>
    <w:p w14:paraId="6238717B">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w:t>
      </w:r>
      <w:r>
        <w:rPr>
          <w:rFonts w:hint="eastAsia" w:ascii="Arial" w:hAnsi="宋体" w:cs="Times New Roman"/>
          <w:color w:val="auto"/>
          <w:kern w:val="2"/>
          <w:sz w:val="21"/>
          <w:szCs w:val="24"/>
          <w:highlight w:val="none"/>
          <w:lang w:val="en-US" w:eastAsia="zh-CN" w:bidi="ar-SA"/>
        </w:rPr>
        <w:t>7</w:t>
      </w:r>
      <w:r>
        <w:rPr>
          <w:rFonts w:hint="eastAsia" w:ascii="Arial" w:hAnsi="宋体" w:eastAsia="宋体" w:cs="Times New Roman"/>
          <w:color w:val="auto"/>
          <w:kern w:val="2"/>
          <w:sz w:val="21"/>
          <w:szCs w:val="24"/>
          <w:highlight w:val="none"/>
          <w:lang w:val="en-US" w:eastAsia="zh-CN" w:bidi="ar-SA"/>
        </w:rPr>
        <w:t>签订合同后，如中标人不按双方合同约定履约，则没收其全部履约保证金，履约保证金不足以赔偿损失的，按实际损失赔偿。</w:t>
      </w:r>
    </w:p>
    <w:p w14:paraId="6238B560">
      <w:pPr>
        <w:pStyle w:val="8"/>
        <w:tabs>
          <w:tab w:val="left" w:pos="720"/>
        </w:tabs>
        <w:spacing w:line="276" w:lineRule="auto"/>
        <w:ind w:firstLine="420" w:firstLineChars="200"/>
        <w:rPr>
          <w:rFonts w:hint="eastAsia"/>
          <w:color w:val="auto"/>
          <w:highlight w:val="none"/>
        </w:rPr>
      </w:pPr>
    </w:p>
    <w:p w14:paraId="55F0F4B7">
      <w:pPr>
        <w:spacing w:line="420" w:lineRule="exact"/>
        <w:jc w:val="center"/>
        <w:rPr>
          <w:rFonts w:ascii="黑体" w:eastAsia="黑体"/>
          <w:color w:val="auto"/>
          <w:kern w:val="21"/>
          <w:sz w:val="28"/>
          <w:szCs w:val="28"/>
          <w:highlight w:val="none"/>
        </w:rPr>
        <w:sectPr>
          <w:pgSz w:w="11906" w:h="16838"/>
          <w:pgMar w:top="1418" w:right="1134" w:bottom="1361" w:left="1134" w:header="851" w:footer="992" w:gutter="0"/>
          <w:pgNumType w:fmt="decimal"/>
          <w:cols w:space="720" w:num="1"/>
          <w:titlePg/>
          <w:docGrid w:type="lines" w:linePitch="312" w:charSpace="0"/>
        </w:sectPr>
      </w:pPr>
    </w:p>
    <w:p w14:paraId="4355970B">
      <w:pPr>
        <w:spacing w:line="420" w:lineRule="exact"/>
        <w:jc w:val="center"/>
        <w:rPr>
          <w:rFonts w:hint="eastAsia" w:ascii="黑体" w:eastAsia="黑体"/>
          <w:color w:val="auto"/>
          <w:kern w:val="21"/>
          <w:sz w:val="28"/>
          <w:szCs w:val="28"/>
          <w:highlight w:val="none"/>
        </w:rPr>
      </w:pPr>
      <w:r>
        <w:rPr>
          <w:rFonts w:hint="eastAsia" w:ascii="黑体" w:eastAsia="黑体"/>
          <w:color w:val="auto"/>
          <w:kern w:val="21"/>
          <w:sz w:val="28"/>
          <w:szCs w:val="28"/>
          <w:highlight w:val="none"/>
        </w:rPr>
        <w:t>第</w:t>
      </w:r>
      <w:r>
        <w:rPr>
          <w:rFonts w:hint="eastAsia" w:ascii="黑体" w:eastAsia="黑体"/>
          <w:color w:val="auto"/>
          <w:kern w:val="21"/>
          <w:sz w:val="28"/>
          <w:szCs w:val="28"/>
          <w:highlight w:val="none"/>
          <w:lang w:val="en-US" w:eastAsia="zh-CN"/>
        </w:rPr>
        <w:t>四</w:t>
      </w:r>
      <w:r>
        <w:rPr>
          <w:rFonts w:hint="eastAsia" w:ascii="黑体" w:eastAsia="黑体"/>
          <w:color w:val="auto"/>
          <w:kern w:val="21"/>
          <w:sz w:val="28"/>
          <w:szCs w:val="28"/>
          <w:highlight w:val="none"/>
        </w:rPr>
        <w:t>章  评标办法</w:t>
      </w:r>
    </w:p>
    <w:p w14:paraId="4C189EE4">
      <w:pPr>
        <w:spacing w:line="420" w:lineRule="exact"/>
        <w:jc w:val="center"/>
        <w:rPr>
          <w:rFonts w:hint="eastAsia" w:ascii="黑体" w:eastAsia="黑体"/>
          <w:color w:val="auto"/>
          <w:kern w:val="21"/>
          <w:szCs w:val="21"/>
          <w:highlight w:val="none"/>
        </w:rPr>
      </w:pPr>
    </w:p>
    <w:p w14:paraId="5BF3E321">
      <w:pPr>
        <w:spacing w:line="480" w:lineRule="exact"/>
        <w:rPr>
          <w:rFonts w:ascii="黑体" w:eastAsia="黑体"/>
          <w:color w:val="auto"/>
          <w:kern w:val="21"/>
          <w:szCs w:val="21"/>
          <w:highlight w:val="none"/>
        </w:rPr>
      </w:pPr>
      <w:r>
        <w:rPr>
          <w:rFonts w:ascii="黑体" w:eastAsia="黑体"/>
          <w:color w:val="auto"/>
          <w:kern w:val="21"/>
          <w:szCs w:val="21"/>
          <w:highlight w:val="none"/>
        </w:rPr>
        <w:t>（一）评标组织</w:t>
      </w:r>
    </w:p>
    <w:p w14:paraId="3B4E6612">
      <w:pPr>
        <w:snapToGrid w:val="0"/>
        <w:spacing w:line="480" w:lineRule="exact"/>
        <w:ind w:firstLine="567"/>
        <w:rPr>
          <w:rFonts w:hint="eastAsia" w:ascii="宋体" w:hAnsi="宋体"/>
          <w:color w:val="auto"/>
          <w:szCs w:val="21"/>
          <w:highlight w:val="none"/>
        </w:rPr>
      </w:pPr>
      <w:r>
        <w:rPr>
          <w:rFonts w:ascii="宋体" w:hAnsi="宋体"/>
          <w:color w:val="auto"/>
          <w:szCs w:val="21"/>
          <w:highlight w:val="none"/>
        </w:rPr>
        <w:t>招标</w:t>
      </w:r>
      <w:r>
        <w:rPr>
          <w:rFonts w:hint="eastAsia" w:ascii="宋体" w:hAnsi="宋体"/>
          <w:color w:val="auto"/>
          <w:szCs w:val="21"/>
          <w:highlight w:val="none"/>
        </w:rPr>
        <w:t>单位</w:t>
      </w:r>
      <w:r>
        <w:rPr>
          <w:rFonts w:hint="eastAsia" w:ascii="宋体" w:hAnsi="宋体"/>
          <w:color w:val="auto"/>
          <w:szCs w:val="21"/>
          <w:highlight w:val="none"/>
          <w:lang w:val="en-US" w:eastAsia="zh-CN"/>
        </w:rPr>
        <w:t>或招标代理机构</w:t>
      </w:r>
      <w:r>
        <w:rPr>
          <w:rFonts w:hint="eastAsia" w:ascii="宋体" w:hAnsi="宋体"/>
          <w:color w:val="auto"/>
          <w:szCs w:val="21"/>
          <w:highlight w:val="none"/>
        </w:rPr>
        <w:t>根据实际情况</w:t>
      </w:r>
      <w:r>
        <w:rPr>
          <w:rFonts w:ascii="宋体" w:hAnsi="宋体"/>
          <w:color w:val="auto"/>
          <w:szCs w:val="21"/>
          <w:highlight w:val="none"/>
        </w:rPr>
        <w:t>组成评标小组。</w:t>
      </w:r>
    </w:p>
    <w:p w14:paraId="0806EB3F">
      <w:pPr>
        <w:spacing w:line="480" w:lineRule="exact"/>
        <w:rPr>
          <w:rFonts w:ascii="黑体" w:eastAsia="黑体"/>
          <w:color w:val="auto"/>
          <w:kern w:val="21"/>
          <w:szCs w:val="21"/>
          <w:highlight w:val="none"/>
        </w:rPr>
      </w:pPr>
      <w:r>
        <w:rPr>
          <w:rFonts w:ascii="黑体" w:eastAsia="黑体"/>
          <w:color w:val="auto"/>
          <w:kern w:val="21"/>
          <w:szCs w:val="21"/>
          <w:highlight w:val="none"/>
        </w:rPr>
        <w:t>（</w:t>
      </w:r>
      <w:r>
        <w:rPr>
          <w:rFonts w:hint="eastAsia" w:ascii="黑体" w:eastAsia="黑体"/>
          <w:color w:val="auto"/>
          <w:kern w:val="21"/>
          <w:szCs w:val="21"/>
          <w:highlight w:val="none"/>
        </w:rPr>
        <w:t>二</w:t>
      </w:r>
      <w:r>
        <w:rPr>
          <w:rFonts w:ascii="黑体" w:eastAsia="黑体"/>
          <w:color w:val="auto"/>
          <w:kern w:val="21"/>
          <w:szCs w:val="21"/>
          <w:highlight w:val="none"/>
        </w:rPr>
        <w:t>）评标原则</w:t>
      </w:r>
    </w:p>
    <w:p w14:paraId="18D7FD1F">
      <w:pPr>
        <w:snapToGrid w:val="0"/>
        <w:spacing w:line="480" w:lineRule="exact"/>
        <w:ind w:firstLine="567"/>
        <w:rPr>
          <w:rFonts w:ascii="宋体" w:hAnsi="宋体"/>
          <w:color w:val="auto"/>
          <w:szCs w:val="21"/>
          <w:highlight w:val="none"/>
        </w:rPr>
      </w:pPr>
      <w:r>
        <w:rPr>
          <w:rFonts w:ascii="宋体" w:hAnsi="宋体"/>
          <w:color w:val="auto"/>
          <w:szCs w:val="21"/>
          <w:highlight w:val="none"/>
        </w:rPr>
        <w:t>遵循公开、公平、公正、诚实、信用</w:t>
      </w:r>
      <w:r>
        <w:rPr>
          <w:rFonts w:hint="eastAsia" w:ascii="宋体" w:hAnsi="宋体"/>
          <w:color w:val="auto"/>
          <w:szCs w:val="21"/>
          <w:highlight w:val="none"/>
        </w:rPr>
        <w:t>、科学、合法</w:t>
      </w:r>
      <w:r>
        <w:rPr>
          <w:rFonts w:ascii="宋体" w:hAnsi="宋体"/>
          <w:color w:val="auto"/>
          <w:szCs w:val="21"/>
          <w:highlight w:val="none"/>
        </w:rPr>
        <w:t>的原则。</w:t>
      </w:r>
    </w:p>
    <w:p w14:paraId="2FE51265">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（三）符合性审查</w:t>
      </w:r>
    </w:p>
    <w:p w14:paraId="533E0DDA">
      <w:pPr>
        <w:snapToGrid w:val="0"/>
        <w:spacing w:line="480" w:lineRule="exact"/>
        <w:ind w:firstLine="567"/>
        <w:rPr>
          <w:rFonts w:hint="eastAsia" w:ascii="宋体" w:hAnsi="宋体"/>
          <w:color w:val="auto"/>
          <w:szCs w:val="21"/>
          <w:highlight w:val="none"/>
        </w:rPr>
      </w:pPr>
      <w:r>
        <w:rPr>
          <w:rFonts w:hint="eastAsia" w:ascii="宋体" w:hAnsi="宋体"/>
          <w:color w:val="auto"/>
          <w:szCs w:val="21"/>
          <w:highlight w:val="none"/>
        </w:rPr>
        <w:t>投标文件必须符合招标文件第</w:t>
      </w:r>
      <w:r>
        <w:rPr>
          <w:rFonts w:hint="eastAsia" w:ascii="宋体" w:hAnsi="宋体"/>
          <w:color w:val="auto"/>
          <w:szCs w:val="21"/>
          <w:highlight w:val="none"/>
          <w:lang w:val="en-US" w:eastAsia="zh-CN"/>
        </w:rPr>
        <w:t>三</w:t>
      </w:r>
      <w:r>
        <w:rPr>
          <w:rFonts w:hint="eastAsia" w:ascii="宋体" w:hAnsi="宋体"/>
          <w:color w:val="auto"/>
          <w:szCs w:val="21"/>
          <w:highlight w:val="none"/>
        </w:rPr>
        <w:t>章投标须知的要求，否则招标人将视情况给予废标处理。</w:t>
      </w:r>
    </w:p>
    <w:p w14:paraId="026547A9">
      <w:pPr>
        <w:snapToGrid w:val="0"/>
        <w:spacing w:line="480" w:lineRule="exact"/>
        <w:ind w:firstLine="517" w:firstLineChars="245"/>
        <w:rPr>
          <w:rFonts w:ascii="宋体" w:hAnsi="宋体"/>
          <w:color w:val="auto"/>
          <w:szCs w:val="21"/>
          <w:highlight w:val="none"/>
        </w:rPr>
      </w:pPr>
      <w:r>
        <w:rPr>
          <w:rFonts w:ascii="宋体" w:hAnsi="宋体"/>
          <w:b/>
          <w:color w:val="auto"/>
          <w:szCs w:val="21"/>
          <w:highlight w:val="none"/>
        </w:rPr>
        <w:t>投标文件有下列情况之一者视为无效：</w:t>
      </w:r>
    </w:p>
    <w:p w14:paraId="1F59524F">
      <w:pPr>
        <w:keepNext w:val="0"/>
        <w:keepLines w:val="0"/>
        <w:pageBreakBefore w:val="0"/>
        <w:widowControl w:val="0"/>
        <w:kinsoku/>
        <w:wordWrap/>
        <w:overflowPunct/>
        <w:topLinePunct w:val="0"/>
        <w:autoSpaceDE/>
        <w:autoSpaceDN/>
        <w:bidi w:val="0"/>
        <w:adjustRightInd/>
        <w:spacing w:line="480" w:lineRule="exact"/>
        <w:ind w:firstLine="420" w:firstLineChars="200"/>
        <w:jc w:val="left"/>
        <w:textAlignment w:val="auto"/>
        <w:rPr>
          <w:rFonts w:hint="eastAsia" w:ascii="宋体" w:hAnsi="宋体"/>
          <w:color w:val="auto"/>
          <w:spacing w:val="-6"/>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、投标人未按本招标文件的要求编制的；</w:t>
      </w:r>
    </w:p>
    <w:p w14:paraId="335B55AD">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、投标人的报价超出投标报价有效范围的或未承诺的</w:t>
      </w:r>
      <w:r>
        <w:rPr>
          <w:rFonts w:ascii="宋体" w:hAnsi="宋体"/>
          <w:color w:val="auto"/>
          <w:szCs w:val="21"/>
          <w:highlight w:val="none"/>
        </w:rPr>
        <w:t>；</w:t>
      </w:r>
    </w:p>
    <w:p w14:paraId="73CC76D5">
      <w:pPr>
        <w:keepNext w:val="0"/>
        <w:keepLines w:val="0"/>
        <w:pageBreakBefore w:val="0"/>
        <w:widowControl w:val="0"/>
        <w:kinsoku/>
        <w:wordWrap/>
        <w:overflowPunct/>
        <w:topLinePunct w:val="0"/>
        <w:autoSpaceDE/>
        <w:autoSpaceDN/>
        <w:bidi w:val="0"/>
        <w:adjustRightInd/>
        <w:spacing w:line="480" w:lineRule="exact"/>
        <w:ind w:firstLine="396" w:firstLineChars="200"/>
        <w:jc w:val="left"/>
        <w:textAlignment w:val="auto"/>
        <w:rPr>
          <w:rFonts w:hint="eastAsia" w:ascii="宋体" w:hAnsi="宋体"/>
          <w:color w:val="auto"/>
          <w:szCs w:val="21"/>
          <w:highlight w:val="none"/>
        </w:rPr>
      </w:pPr>
      <w:r>
        <w:rPr>
          <w:rFonts w:hint="eastAsia" w:ascii="宋体" w:hAnsi="宋体"/>
          <w:color w:val="auto"/>
          <w:spacing w:val="-6"/>
          <w:szCs w:val="21"/>
          <w:highlight w:val="none"/>
          <w:lang w:val="en-US" w:eastAsia="zh-CN"/>
        </w:rPr>
        <w:t>3</w:t>
      </w:r>
      <w:r>
        <w:rPr>
          <w:rFonts w:hint="eastAsia" w:ascii="宋体" w:hAnsi="宋体"/>
          <w:color w:val="auto"/>
          <w:spacing w:val="-6"/>
          <w:szCs w:val="21"/>
          <w:highlight w:val="none"/>
        </w:rPr>
        <w:t>、</w:t>
      </w:r>
      <w:r>
        <w:rPr>
          <w:rFonts w:hint="eastAsia" w:ascii="宋体" w:hAnsi="宋体"/>
          <w:color w:val="auto"/>
          <w:szCs w:val="21"/>
          <w:highlight w:val="none"/>
        </w:rPr>
        <w:t>投标文件其他实质上未响应招标文件要求的。</w:t>
      </w:r>
    </w:p>
    <w:p w14:paraId="592972D6">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（四）评标办法：</w:t>
      </w:r>
    </w:p>
    <w:p w14:paraId="5E5DE9BF">
      <w:pPr>
        <w:tabs>
          <w:tab w:val="left" w:pos="540"/>
          <w:tab w:val="left" w:pos="882"/>
        </w:tabs>
        <w:spacing w:line="500" w:lineRule="exact"/>
        <w:ind w:firstLine="444" w:firstLineChars="200"/>
        <w:rPr>
          <w:rFonts w:hint="eastAsia" w:ascii="新宋体" w:hAnsi="新宋体" w:eastAsia="新宋体" w:cs="Arial"/>
          <w:color w:val="auto"/>
          <w:spacing w:val="6"/>
          <w:szCs w:val="21"/>
          <w:highlight w:val="none"/>
          <w:lang w:eastAsia="zh-CN"/>
        </w:rPr>
      </w:pPr>
      <w:r>
        <w:rPr>
          <w:rFonts w:hint="eastAsia" w:ascii="新宋体" w:hAnsi="新宋体" w:eastAsia="新宋体" w:cs="Arial"/>
          <w:color w:val="auto"/>
          <w:spacing w:val="6"/>
          <w:szCs w:val="21"/>
          <w:highlight w:val="none"/>
        </w:rPr>
        <w:t>1、评标委员会先对投标人的资格进行评审，不符合要求的，作无效标处理，不再进入下一阶段评审</w:t>
      </w:r>
      <w:r>
        <w:rPr>
          <w:rFonts w:hint="eastAsia" w:ascii="新宋体" w:hAnsi="新宋体" w:eastAsia="新宋体" w:cs="Arial"/>
          <w:color w:val="auto"/>
          <w:spacing w:val="6"/>
          <w:szCs w:val="21"/>
          <w:highlight w:val="none"/>
          <w:lang w:eastAsia="zh-CN"/>
        </w:rPr>
        <w:t>。</w:t>
      </w:r>
    </w:p>
    <w:p w14:paraId="23BD4D7F">
      <w:pPr>
        <w:spacing w:line="360" w:lineRule="auto"/>
        <w:ind w:firstLine="420"/>
        <w:rPr>
          <w:rFonts w:hint="eastAsia" w:ascii="宋体" w:hAnsi="宋体" w:cs="宋体"/>
          <w:b/>
          <w:bCs/>
          <w:color w:val="auto"/>
          <w:szCs w:val="21"/>
          <w:highlight w:val="none"/>
        </w:rPr>
      </w:pPr>
      <w:r>
        <w:rPr>
          <w:rFonts w:hint="eastAsia" w:ascii="新宋体" w:hAnsi="新宋体" w:eastAsia="新宋体" w:cs="Arial"/>
          <w:color w:val="auto"/>
          <w:spacing w:val="6"/>
          <w:szCs w:val="21"/>
          <w:highlight w:val="none"/>
          <w:lang w:val="en-US" w:eastAsia="zh-CN"/>
        </w:rPr>
        <w:t>2</w:t>
      </w:r>
      <w:r>
        <w:rPr>
          <w:rFonts w:hint="eastAsia" w:ascii="宋体" w:hAnsi="宋体" w:cs="宋体"/>
          <w:b/>
          <w:bCs/>
          <w:color w:val="auto"/>
          <w:szCs w:val="21"/>
          <w:highlight w:val="none"/>
        </w:rPr>
        <w:t>、中标候选人的确定。</w:t>
      </w:r>
    </w:p>
    <w:p w14:paraId="34710005">
      <w:pPr>
        <w:spacing w:line="360" w:lineRule="auto"/>
        <w:ind w:firstLine="420"/>
        <w:rPr>
          <w:rFonts w:hint="eastAsia" w:ascii="新宋体" w:hAnsi="新宋体" w:eastAsia="新宋体" w:cs="Arial"/>
          <w:b/>
          <w:bCs/>
          <w:color w:val="auto"/>
          <w:spacing w:val="6"/>
          <w:szCs w:val="21"/>
          <w:highlight w:val="none"/>
          <w:lang w:eastAsia="zh-CN"/>
        </w:rPr>
      </w:pPr>
      <w:r>
        <w:rPr>
          <w:rFonts w:hint="eastAsia" w:ascii="宋体" w:hAnsi="宋体" w:cs="宋体"/>
          <w:b/>
          <w:bCs/>
          <w:color w:val="auto"/>
          <w:szCs w:val="21"/>
          <w:highlight w:val="none"/>
        </w:rPr>
        <w:t>在所有经评审的有效报价中，评标委员会确定投标报价最低者为中标候选人（如投标报价相同的，则抽签确定）。</w:t>
      </w:r>
    </w:p>
    <w:p w14:paraId="4C3545C9">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（五）确定中标人</w:t>
      </w:r>
    </w:p>
    <w:p w14:paraId="28A7D4E1">
      <w:pPr>
        <w:spacing w:line="480" w:lineRule="exact"/>
        <w:ind w:firstLine="444" w:firstLineChars="200"/>
        <w:rPr>
          <w:rFonts w:hint="eastAsia" w:ascii="黑体" w:eastAsia="黑体"/>
          <w:color w:val="auto"/>
          <w:kern w:val="21"/>
          <w:szCs w:val="21"/>
          <w:highlight w:val="none"/>
        </w:rPr>
      </w:pPr>
      <w:r>
        <w:rPr>
          <w:rFonts w:hint="eastAsia" w:ascii="新宋体" w:hAnsi="新宋体" w:eastAsia="新宋体" w:cs="Arial"/>
          <w:color w:val="auto"/>
          <w:spacing w:val="6"/>
          <w:szCs w:val="21"/>
          <w:highlight w:val="none"/>
        </w:rPr>
        <w:t>招标人应确定中标候选人为中标人，中标候选人放弃中标，或者因不可抗力提出不能履行合同，或者招标文件规定应当提交履约担保而在规定的期限内未能提交的，本次招标失败，重新组织招标。</w:t>
      </w:r>
    </w:p>
    <w:p w14:paraId="68453CFB">
      <w:pPr>
        <w:spacing w:line="480" w:lineRule="exact"/>
        <w:rPr>
          <w:rFonts w:ascii="黑体" w:eastAsia="黑体"/>
          <w:color w:val="auto"/>
          <w:kern w:val="21"/>
          <w:szCs w:val="21"/>
          <w:highlight w:val="none"/>
        </w:rPr>
      </w:pPr>
      <w:r>
        <w:rPr>
          <w:rFonts w:hint="eastAsia" w:ascii="黑体" w:eastAsia="黑体"/>
          <w:color w:val="auto"/>
          <w:kern w:val="21"/>
          <w:szCs w:val="21"/>
          <w:highlight w:val="none"/>
        </w:rPr>
        <w:t>（六）</w:t>
      </w:r>
      <w:r>
        <w:rPr>
          <w:rFonts w:ascii="黑体" w:eastAsia="黑体"/>
          <w:color w:val="auto"/>
          <w:kern w:val="21"/>
          <w:szCs w:val="21"/>
          <w:highlight w:val="none"/>
        </w:rPr>
        <w:t>投标文件的澄清</w:t>
      </w:r>
    </w:p>
    <w:p w14:paraId="15695EC9">
      <w:pPr>
        <w:snapToGrid w:val="0"/>
        <w:spacing w:line="480" w:lineRule="exact"/>
        <w:ind w:firstLine="420" w:firstLineChars="200"/>
        <w:rPr>
          <w:rFonts w:ascii="宋体" w:hAnsi="宋体"/>
          <w:color w:val="auto"/>
          <w:szCs w:val="21"/>
          <w:highlight w:val="none"/>
        </w:rPr>
      </w:pPr>
      <w:r>
        <w:rPr>
          <w:rFonts w:ascii="宋体" w:hAnsi="宋体"/>
          <w:color w:val="auto"/>
          <w:szCs w:val="21"/>
          <w:highlight w:val="none"/>
        </w:rPr>
        <w:t>为了有助于投标文件的审查、评价和比较，评标小组可以个别地要求投标</w:t>
      </w:r>
      <w:r>
        <w:rPr>
          <w:rFonts w:hint="eastAsia" w:ascii="宋体" w:hAnsi="宋体"/>
          <w:color w:val="auto"/>
          <w:szCs w:val="21"/>
          <w:highlight w:val="none"/>
        </w:rPr>
        <w:t>人</w:t>
      </w:r>
      <w:r>
        <w:rPr>
          <w:rFonts w:ascii="宋体" w:hAnsi="宋体"/>
          <w:color w:val="auto"/>
          <w:szCs w:val="21"/>
          <w:highlight w:val="none"/>
        </w:rPr>
        <w:t>澄清其投标文件。有关澄清的要求和签复，应以书面形式进行，但不允许更改投标报价或投标的实质性内容。</w:t>
      </w:r>
    </w:p>
    <w:p w14:paraId="4D4B1528">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（七）</w:t>
      </w:r>
      <w:r>
        <w:rPr>
          <w:rFonts w:ascii="黑体" w:eastAsia="黑体"/>
          <w:color w:val="auto"/>
          <w:kern w:val="21"/>
          <w:szCs w:val="21"/>
          <w:highlight w:val="none"/>
        </w:rPr>
        <w:t>评标内容的保密</w:t>
      </w:r>
      <w:r>
        <w:rPr>
          <w:rFonts w:hint="eastAsia" w:ascii="黑体" w:eastAsia="黑体"/>
          <w:color w:val="auto"/>
          <w:kern w:val="21"/>
          <w:szCs w:val="21"/>
          <w:highlight w:val="none"/>
        </w:rPr>
        <w:t xml:space="preserve">   </w:t>
      </w:r>
    </w:p>
    <w:p w14:paraId="7F70E054">
      <w:pPr>
        <w:snapToGrid w:val="0"/>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开标后，直到宣布授予中标</w:t>
      </w:r>
      <w:r>
        <w:rPr>
          <w:rFonts w:hint="eastAsia" w:ascii="宋体" w:hAnsi="宋体"/>
          <w:color w:val="auto"/>
          <w:szCs w:val="21"/>
          <w:highlight w:val="none"/>
        </w:rPr>
        <w:t>人</w:t>
      </w:r>
      <w:r>
        <w:rPr>
          <w:rFonts w:ascii="宋体" w:hAnsi="宋体"/>
          <w:color w:val="auto"/>
          <w:szCs w:val="21"/>
          <w:highlight w:val="none"/>
        </w:rPr>
        <w:t>合同为止，凡属于审查、澄清、评价和比较投标的所有资料、有关授予合同的信息，都不应向投标</w:t>
      </w:r>
      <w:r>
        <w:rPr>
          <w:rFonts w:hint="eastAsia" w:ascii="宋体" w:hAnsi="宋体"/>
          <w:color w:val="auto"/>
          <w:szCs w:val="21"/>
          <w:highlight w:val="none"/>
        </w:rPr>
        <w:t>人</w:t>
      </w:r>
      <w:r>
        <w:rPr>
          <w:rFonts w:ascii="宋体" w:hAnsi="宋体"/>
          <w:color w:val="auto"/>
          <w:szCs w:val="21"/>
          <w:highlight w:val="none"/>
        </w:rPr>
        <w:t>或与评标无关的其他人泄露。在评标过程中，投标</w:t>
      </w:r>
      <w:r>
        <w:rPr>
          <w:rFonts w:hint="eastAsia" w:ascii="宋体" w:hAnsi="宋体"/>
          <w:color w:val="auto"/>
          <w:szCs w:val="21"/>
          <w:highlight w:val="none"/>
        </w:rPr>
        <w:t>人</w:t>
      </w:r>
      <w:r>
        <w:rPr>
          <w:rFonts w:ascii="宋体" w:hAnsi="宋体"/>
          <w:color w:val="auto"/>
          <w:szCs w:val="21"/>
          <w:highlight w:val="none"/>
        </w:rPr>
        <w:t>对招标</w:t>
      </w:r>
      <w:r>
        <w:rPr>
          <w:rFonts w:hint="eastAsia" w:ascii="宋体" w:hAnsi="宋体"/>
          <w:color w:val="auto"/>
          <w:szCs w:val="21"/>
          <w:highlight w:val="none"/>
        </w:rPr>
        <w:t>人或</w:t>
      </w:r>
      <w:r>
        <w:rPr>
          <w:rFonts w:ascii="宋体" w:hAnsi="宋体"/>
          <w:color w:val="auto"/>
          <w:szCs w:val="21"/>
          <w:highlight w:val="none"/>
        </w:rPr>
        <w:t>评标</w:t>
      </w:r>
      <w:r>
        <w:rPr>
          <w:rFonts w:hint="eastAsia" w:ascii="宋体" w:hAnsi="宋体"/>
          <w:color w:val="auto"/>
          <w:szCs w:val="21"/>
          <w:highlight w:val="none"/>
        </w:rPr>
        <w:t>小组</w:t>
      </w:r>
      <w:r>
        <w:rPr>
          <w:rFonts w:ascii="宋体" w:hAnsi="宋体"/>
          <w:color w:val="auto"/>
          <w:szCs w:val="21"/>
          <w:highlight w:val="none"/>
        </w:rPr>
        <w:t>施加影响的任何行为，都将导致取消投标资格。</w:t>
      </w:r>
    </w:p>
    <w:p w14:paraId="57881B4F">
      <w:pPr>
        <w:numPr>
          <w:ilvl w:val="0"/>
          <w:numId w:val="0"/>
        </w:numPr>
        <w:spacing w:line="360" w:lineRule="auto"/>
        <w:ind w:left="720" w:leftChars="0"/>
        <w:jc w:val="center"/>
        <w:rPr>
          <w:rFonts w:ascii="宋体" w:hAnsi="宋体" w:eastAsia="宋体"/>
          <w:b/>
          <w:color w:val="000000" w:themeColor="text1"/>
          <w:sz w:val="36"/>
          <w:szCs w:val="36"/>
          <w:highlight w:val="none"/>
          <w14:textFill>
            <w14:solidFill>
              <w14:schemeClr w14:val="tx1"/>
            </w14:solidFill>
          </w14:textFill>
        </w:rPr>
      </w:pPr>
      <w:r>
        <w:rPr>
          <w:rFonts w:ascii="黑体" w:eastAsia="黑体"/>
          <w:color w:val="auto"/>
          <w:kern w:val="21"/>
          <w:szCs w:val="21"/>
          <w:highlight w:val="none"/>
        </w:rPr>
        <w:br w:type="page"/>
      </w:r>
      <w:r>
        <w:rPr>
          <w:rFonts w:hint="eastAsia" w:ascii="黑体" w:eastAsia="黑体"/>
          <w:color w:val="auto"/>
          <w:kern w:val="21"/>
          <w:sz w:val="30"/>
          <w:szCs w:val="30"/>
          <w:highlight w:val="none"/>
        </w:rPr>
        <w:t>第</w:t>
      </w:r>
      <w:r>
        <w:rPr>
          <w:rFonts w:hint="eastAsia" w:ascii="黑体" w:eastAsia="黑体"/>
          <w:color w:val="auto"/>
          <w:kern w:val="21"/>
          <w:sz w:val="30"/>
          <w:szCs w:val="30"/>
          <w:highlight w:val="none"/>
          <w:lang w:val="en-US" w:eastAsia="zh-CN"/>
        </w:rPr>
        <w:t>五</w:t>
      </w:r>
      <w:r>
        <w:rPr>
          <w:rFonts w:hint="eastAsia" w:ascii="黑体" w:eastAsia="黑体"/>
          <w:color w:val="auto"/>
          <w:kern w:val="21"/>
          <w:sz w:val="30"/>
          <w:szCs w:val="30"/>
          <w:highlight w:val="none"/>
        </w:rPr>
        <w:t>章</w:t>
      </w:r>
      <w:r>
        <w:rPr>
          <w:rFonts w:hint="eastAsia" w:ascii="黑体" w:eastAsia="黑体"/>
          <w:color w:val="auto"/>
          <w:kern w:val="21"/>
          <w:sz w:val="30"/>
          <w:szCs w:val="30"/>
          <w:highlight w:val="none"/>
        </w:rPr>
        <w:tab/>
      </w:r>
      <w:r>
        <w:rPr>
          <w:rFonts w:hint="eastAsia" w:ascii="黑体" w:eastAsia="黑体"/>
          <w:color w:val="auto"/>
          <w:kern w:val="21"/>
          <w:sz w:val="30"/>
          <w:szCs w:val="30"/>
          <w:highlight w:val="none"/>
        </w:rPr>
        <w:tab/>
      </w:r>
      <w:r>
        <w:rPr>
          <w:rFonts w:hint="eastAsia" w:ascii="黑体" w:eastAsia="黑体"/>
          <w:color w:val="auto"/>
          <w:kern w:val="21"/>
          <w:sz w:val="30"/>
          <w:szCs w:val="30"/>
          <w:highlight w:val="none"/>
          <w:lang w:val="en-US" w:eastAsia="zh-CN"/>
        </w:rPr>
        <w:t>合同格式</w:t>
      </w:r>
    </w:p>
    <w:p w14:paraId="2FD62B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44"/>
          <w:szCs w:val="44"/>
        </w:rPr>
      </w:pPr>
      <w:r>
        <w:rPr>
          <w:rFonts w:hint="eastAsia" w:asciiTheme="minorEastAsia" w:hAnsiTheme="minorEastAsia" w:eastAsiaTheme="minorEastAsia" w:cstheme="minorEastAsia"/>
          <w:sz w:val="36"/>
          <w:szCs w:val="36"/>
          <w:lang w:val="en-US" w:eastAsia="zh-CN"/>
        </w:rPr>
        <w:t>台州东茂观光农业开发有限公司2025年水稻秧苗采购（重新招标）合同</w:t>
      </w:r>
    </w:p>
    <w:p w14:paraId="53107D57">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甲方（委托方）：台州东茂观光农业开发有限公司</w:t>
      </w:r>
    </w:p>
    <w:p w14:paraId="0E74E8E2">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乙方（受托方）：</w:t>
      </w:r>
      <w:r>
        <w:rPr>
          <w:rFonts w:hint="eastAsia" w:asciiTheme="majorEastAsia" w:hAnsiTheme="majorEastAsia" w:eastAsiaTheme="majorEastAsia" w:cstheme="majorEastAsia"/>
          <w:sz w:val="24"/>
          <w:szCs w:val="24"/>
          <w:lang w:val="en-US" w:eastAsia="zh-CN"/>
        </w:rPr>
        <w:t xml:space="preserve"> </w:t>
      </w:r>
    </w:p>
    <w:p w14:paraId="7BF75DC4">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rPr>
        <w:t>为明确甲乙双方在水稻</w:t>
      </w:r>
      <w:r>
        <w:rPr>
          <w:rFonts w:hint="eastAsia" w:asciiTheme="majorEastAsia" w:hAnsiTheme="majorEastAsia" w:eastAsiaTheme="majorEastAsia" w:cstheme="majorEastAsia"/>
          <w:sz w:val="24"/>
          <w:szCs w:val="24"/>
          <w:lang w:val="en-US" w:eastAsia="zh-CN"/>
        </w:rPr>
        <w:t>秧苗采购</w:t>
      </w:r>
      <w:r>
        <w:rPr>
          <w:rFonts w:hint="eastAsia" w:asciiTheme="majorEastAsia" w:hAnsiTheme="majorEastAsia" w:eastAsiaTheme="majorEastAsia" w:cstheme="majorEastAsia"/>
          <w:sz w:val="24"/>
          <w:szCs w:val="24"/>
        </w:rPr>
        <w:t>过程中的权利和义务，根据《中华人民共和国</w:t>
      </w:r>
      <w:r>
        <w:rPr>
          <w:rFonts w:hint="eastAsia" w:asciiTheme="majorEastAsia" w:hAnsiTheme="majorEastAsia" w:eastAsiaTheme="majorEastAsia" w:cstheme="majorEastAsia"/>
          <w:sz w:val="24"/>
          <w:szCs w:val="24"/>
          <w:lang w:val="en-US" w:eastAsia="zh-CN"/>
        </w:rPr>
        <w:t>民法典</w:t>
      </w:r>
      <w:r>
        <w:rPr>
          <w:rFonts w:hint="eastAsia" w:asciiTheme="majorEastAsia" w:hAnsiTheme="majorEastAsia" w:eastAsiaTheme="majorEastAsia" w:cstheme="majorEastAsia"/>
          <w:sz w:val="24"/>
          <w:szCs w:val="24"/>
        </w:rPr>
        <w:t>》等相关法律法规，甲乙双方在平等自愿、协商一致的基础上签订本合同。</w:t>
      </w:r>
    </w:p>
    <w:p w14:paraId="14B8D5DA">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第一条 合同内容和商品描述</w:t>
      </w:r>
    </w:p>
    <w:p w14:paraId="0983EDD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1、甲方向乙方采购水稻秧苗，用于公司农业生产。</w:t>
      </w:r>
    </w:p>
    <w:p w14:paraId="384626E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2、秧苗数量与标准：品种为杂交水稻甬优1540的秧苗，共需采购约65000盘，每盘448钵秧苗，每钵2-3苗，秧苗附带基质球，交付苗高至少达到15公分，秧龄18-20天，纯度96%以上，净度98%以上，</w:t>
      </w:r>
      <w:r>
        <w:rPr>
          <w:rFonts w:hint="eastAsia" w:asciiTheme="majorEastAsia" w:hAnsiTheme="majorEastAsia" w:eastAsiaTheme="majorEastAsia" w:cstheme="majorEastAsia"/>
          <w:i w:val="0"/>
          <w:color w:val="000000"/>
          <w:sz w:val="24"/>
          <w:szCs w:val="24"/>
          <w:highlight w:val="none"/>
          <w:u w:val="none"/>
          <w:lang w:val="en-US" w:eastAsia="zh-CN"/>
        </w:rPr>
        <w:t>发芽率80%以上，无恶苗病。</w:t>
      </w:r>
    </w:p>
    <w:p w14:paraId="55C1825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3、秧苗全费用综合单价为每盘</w:t>
      </w:r>
      <w:r>
        <w:rPr>
          <w:rFonts w:hint="eastAsia" w:asciiTheme="majorEastAsia" w:hAnsiTheme="majorEastAsia" w:eastAsiaTheme="majorEastAsia" w:cstheme="majorEastAsia"/>
          <w:sz w:val="24"/>
          <w:szCs w:val="24"/>
          <w:highlight w:val="none"/>
          <w:u w:val="single"/>
          <w:lang w:val="en-US" w:eastAsia="zh-CN"/>
        </w:rPr>
        <w:t xml:space="preserve">      </w:t>
      </w:r>
      <w:r>
        <w:rPr>
          <w:rFonts w:hint="eastAsia" w:asciiTheme="majorEastAsia" w:hAnsiTheme="majorEastAsia" w:eastAsiaTheme="majorEastAsia" w:cstheme="majorEastAsia"/>
          <w:sz w:val="24"/>
          <w:szCs w:val="24"/>
          <w:highlight w:val="none"/>
          <w:lang w:val="en-US" w:eastAsia="zh-CN"/>
        </w:rPr>
        <w:t>元，单价包干，费用包含稻种、育秧至运输到甲方指定地点当中的所有相关费用。</w:t>
      </w:r>
    </w:p>
    <w:p w14:paraId="243644D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2" w:firstLineChars="200"/>
        <w:jc w:val="left"/>
        <w:textAlignment w:val="auto"/>
        <w:rPr>
          <w:rFonts w:hint="eastAsia" w:asciiTheme="majorEastAsia" w:hAnsiTheme="majorEastAsia" w:eastAsiaTheme="majorEastAsia" w:cstheme="majorEastAsia"/>
          <w:b/>
          <w:bCs/>
          <w:sz w:val="24"/>
          <w:szCs w:val="24"/>
          <w:highlight w:val="none"/>
          <w:lang w:val="en-US" w:eastAsia="zh-CN"/>
        </w:rPr>
      </w:pPr>
      <w:r>
        <w:rPr>
          <w:rFonts w:hint="eastAsia" w:asciiTheme="majorEastAsia" w:hAnsiTheme="majorEastAsia" w:eastAsiaTheme="majorEastAsia" w:cstheme="majorEastAsia"/>
          <w:b/>
          <w:bCs/>
          <w:sz w:val="24"/>
          <w:szCs w:val="24"/>
          <w:highlight w:val="none"/>
          <w:u w:val="none"/>
          <w:lang w:val="en-US" w:eastAsia="zh-CN"/>
        </w:rPr>
        <w:t>最终</w:t>
      </w:r>
      <w:r>
        <w:rPr>
          <w:rFonts w:hint="eastAsia" w:asciiTheme="majorEastAsia" w:hAnsiTheme="majorEastAsia" w:eastAsiaTheme="majorEastAsia" w:cstheme="majorEastAsia"/>
          <w:b/>
          <w:bCs/>
          <w:sz w:val="24"/>
          <w:szCs w:val="24"/>
          <w:highlight w:val="none"/>
          <w:lang w:val="en-US" w:eastAsia="zh-CN"/>
        </w:rPr>
        <w:t>合同总价（含税）以实际交付数量为准进行结算</w:t>
      </w:r>
      <w:r>
        <w:rPr>
          <w:rFonts w:hint="eastAsia" w:asciiTheme="majorEastAsia" w:hAnsiTheme="majorEastAsia" w:eastAsiaTheme="majorEastAsia" w:cstheme="majorEastAsia"/>
          <w:sz w:val="24"/>
          <w:szCs w:val="24"/>
          <w:highlight w:val="none"/>
          <w:lang w:val="en-US" w:eastAsia="zh-CN"/>
        </w:rPr>
        <w:t>。</w:t>
      </w:r>
      <w:r>
        <w:rPr>
          <w:rFonts w:hint="eastAsia" w:asciiTheme="majorEastAsia" w:hAnsiTheme="majorEastAsia" w:eastAsiaTheme="majorEastAsia" w:cstheme="majorEastAsia"/>
          <w:b/>
          <w:bCs/>
          <w:sz w:val="24"/>
          <w:szCs w:val="24"/>
          <w:highlight w:val="none"/>
          <w:lang w:val="en-US" w:eastAsia="zh-CN"/>
        </w:rPr>
        <w:t>最终合同总价=全费用综合单价*数量。</w:t>
      </w:r>
    </w:p>
    <w:p w14:paraId="4E12B560">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rPr>
        <w:t>第</w:t>
      </w:r>
      <w:r>
        <w:rPr>
          <w:rFonts w:hint="eastAsia" w:asciiTheme="majorEastAsia" w:hAnsiTheme="majorEastAsia" w:eastAsiaTheme="majorEastAsia" w:cstheme="majorEastAsia"/>
          <w:sz w:val="24"/>
          <w:szCs w:val="24"/>
          <w:highlight w:val="none"/>
          <w:lang w:val="en-US" w:eastAsia="zh-CN"/>
        </w:rPr>
        <w:t>二</w:t>
      </w:r>
      <w:r>
        <w:rPr>
          <w:rFonts w:hint="eastAsia" w:asciiTheme="majorEastAsia" w:hAnsiTheme="majorEastAsia" w:eastAsiaTheme="majorEastAsia" w:cstheme="majorEastAsia"/>
          <w:sz w:val="24"/>
          <w:szCs w:val="24"/>
          <w:highlight w:val="none"/>
        </w:rPr>
        <w:t xml:space="preserve">条 </w:t>
      </w:r>
      <w:r>
        <w:rPr>
          <w:rFonts w:hint="eastAsia" w:asciiTheme="majorEastAsia" w:hAnsiTheme="majorEastAsia" w:eastAsiaTheme="majorEastAsia" w:cstheme="majorEastAsia"/>
          <w:sz w:val="24"/>
          <w:szCs w:val="24"/>
          <w:highlight w:val="none"/>
          <w:lang w:val="en-US" w:eastAsia="zh-CN"/>
        </w:rPr>
        <w:t>秧苗交付要求</w:t>
      </w:r>
    </w:p>
    <w:p w14:paraId="5D37BFBC">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乙方在签订合同后（即2025年     月      日起），乙方根据甲方要求分批提供符合要求的秧苗</w:t>
      </w:r>
      <w:r>
        <w:rPr>
          <w:rFonts w:hint="eastAsia" w:asciiTheme="majorEastAsia" w:hAnsiTheme="majorEastAsia" w:eastAsiaTheme="majorEastAsia" w:cstheme="majorEastAsia"/>
          <w:sz w:val="24"/>
          <w:szCs w:val="24"/>
          <w:highlight w:val="none"/>
        </w:rPr>
        <w:t>。</w:t>
      </w:r>
    </w:p>
    <w:p w14:paraId="0AEB6BFB">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rPr>
        <w:t>第</w:t>
      </w:r>
      <w:r>
        <w:rPr>
          <w:rFonts w:hint="eastAsia" w:asciiTheme="majorEastAsia" w:hAnsiTheme="majorEastAsia" w:eastAsiaTheme="majorEastAsia" w:cstheme="majorEastAsia"/>
          <w:sz w:val="24"/>
          <w:szCs w:val="24"/>
          <w:highlight w:val="none"/>
          <w:lang w:val="en-US" w:eastAsia="zh-CN"/>
        </w:rPr>
        <w:t>三</w:t>
      </w:r>
      <w:r>
        <w:rPr>
          <w:rFonts w:hint="eastAsia" w:asciiTheme="majorEastAsia" w:hAnsiTheme="majorEastAsia" w:eastAsiaTheme="majorEastAsia" w:cstheme="majorEastAsia"/>
          <w:sz w:val="24"/>
          <w:szCs w:val="24"/>
          <w:highlight w:val="none"/>
        </w:rPr>
        <w:t xml:space="preserve">条 </w:t>
      </w:r>
      <w:r>
        <w:rPr>
          <w:rFonts w:hint="eastAsia" w:asciiTheme="majorEastAsia" w:hAnsiTheme="majorEastAsia" w:eastAsiaTheme="majorEastAsia" w:cstheme="majorEastAsia"/>
          <w:sz w:val="24"/>
          <w:szCs w:val="24"/>
          <w:highlight w:val="none"/>
          <w:lang w:val="en-US" w:eastAsia="zh-CN"/>
        </w:rPr>
        <w:t>付款方式</w:t>
      </w:r>
    </w:p>
    <w:p w14:paraId="2F1A410B">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rPr>
        <w:t>1、甲方应在合同签订</w:t>
      </w:r>
      <w:r>
        <w:rPr>
          <w:rFonts w:hint="eastAsia" w:asciiTheme="majorEastAsia" w:hAnsiTheme="majorEastAsia" w:eastAsiaTheme="majorEastAsia" w:cstheme="majorEastAsia"/>
          <w:sz w:val="24"/>
          <w:szCs w:val="24"/>
          <w:highlight w:val="none"/>
          <w:lang w:val="en-US" w:eastAsia="zh-CN"/>
        </w:rPr>
        <w:t>后一个月内</w:t>
      </w:r>
      <w:r>
        <w:rPr>
          <w:rFonts w:hint="eastAsia" w:asciiTheme="majorEastAsia" w:hAnsiTheme="majorEastAsia" w:eastAsiaTheme="majorEastAsia" w:cstheme="majorEastAsia"/>
          <w:sz w:val="24"/>
          <w:szCs w:val="24"/>
          <w:highlight w:val="none"/>
        </w:rPr>
        <w:t>支付</w:t>
      </w:r>
      <w:r>
        <w:rPr>
          <w:rFonts w:hint="eastAsia" w:asciiTheme="majorEastAsia" w:hAnsiTheme="majorEastAsia" w:eastAsiaTheme="majorEastAsia" w:cstheme="majorEastAsia"/>
          <w:sz w:val="24"/>
          <w:szCs w:val="24"/>
          <w:highlight w:val="none"/>
          <w:lang w:val="en-US" w:eastAsia="zh-CN"/>
        </w:rPr>
        <w:t>暂定合同总价的30%作为预付款</w:t>
      </w:r>
      <w:r>
        <w:rPr>
          <w:rFonts w:hint="eastAsia" w:asciiTheme="majorEastAsia" w:hAnsiTheme="majorEastAsia" w:eastAsiaTheme="majorEastAsia" w:cstheme="majorEastAsia"/>
          <w:sz w:val="24"/>
          <w:szCs w:val="24"/>
          <w:highlight w:val="none"/>
        </w:rPr>
        <w:t>。</w:t>
      </w:r>
    </w:p>
    <w:p w14:paraId="73146136">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rPr>
        <w:t>2、育秧开始</w:t>
      </w:r>
      <w:r>
        <w:rPr>
          <w:rFonts w:hint="eastAsia" w:asciiTheme="majorEastAsia" w:hAnsiTheme="majorEastAsia" w:eastAsiaTheme="majorEastAsia" w:cstheme="majorEastAsia"/>
          <w:sz w:val="24"/>
          <w:szCs w:val="24"/>
          <w:highlight w:val="none"/>
          <w:lang w:val="en-US" w:eastAsia="zh-CN"/>
        </w:rPr>
        <w:t>后15天内，支付暂定合同总价的20%。</w:t>
      </w:r>
    </w:p>
    <w:p w14:paraId="05205C16">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rPr>
        <w:t>3、育秧完成</w:t>
      </w:r>
      <w:r>
        <w:rPr>
          <w:rFonts w:hint="eastAsia" w:asciiTheme="majorEastAsia" w:hAnsiTheme="majorEastAsia" w:eastAsiaTheme="majorEastAsia" w:cstheme="majorEastAsia"/>
          <w:sz w:val="24"/>
          <w:szCs w:val="24"/>
          <w:highlight w:val="none"/>
          <w:lang w:val="en-US" w:eastAsia="zh-CN"/>
        </w:rPr>
        <w:t>并交付后15天内，支付暂定合同总价的30%。</w:t>
      </w:r>
    </w:p>
    <w:p w14:paraId="62D60564">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4、剩余款项根据数量、质量核准后30天内付清。</w:t>
      </w:r>
    </w:p>
    <w:p w14:paraId="5F21B89E">
      <w:pPr>
        <w:pStyle w:val="10"/>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注：乙方结算货款时，须开具正规税务增值税发票。</w:t>
      </w:r>
    </w:p>
    <w:p w14:paraId="5BA45CD2">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第</w:t>
      </w:r>
      <w:r>
        <w:rPr>
          <w:rFonts w:hint="eastAsia" w:asciiTheme="majorEastAsia" w:hAnsiTheme="majorEastAsia" w:eastAsiaTheme="majorEastAsia" w:cstheme="majorEastAsia"/>
          <w:sz w:val="24"/>
          <w:szCs w:val="24"/>
          <w:highlight w:val="none"/>
          <w:lang w:val="en-US" w:eastAsia="zh-CN"/>
        </w:rPr>
        <w:t>四</w:t>
      </w:r>
      <w:r>
        <w:rPr>
          <w:rFonts w:hint="eastAsia" w:asciiTheme="majorEastAsia" w:hAnsiTheme="majorEastAsia" w:eastAsiaTheme="majorEastAsia" w:cstheme="majorEastAsia"/>
          <w:sz w:val="24"/>
          <w:szCs w:val="24"/>
          <w:highlight w:val="none"/>
        </w:rPr>
        <w:t>条 验收标准及程序</w:t>
      </w:r>
    </w:p>
    <w:p w14:paraId="67103306">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default"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1、根据甲方要求，秧苗分期分批次育苗</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val="en-US" w:eastAsia="zh-CN"/>
        </w:rPr>
        <w:t>6月上旬开始育秧，具体时间等甲方通知，7月10日之前，全部清空。</w:t>
      </w:r>
    </w:p>
    <w:p w14:paraId="24EF52FE">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rPr>
        <w:t>甲方应在</w:t>
      </w:r>
      <w:r>
        <w:rPr>
          <w:rFonts w:hint="eastAsia" w:asciiTheme="majorEastAsia" w:hAnsiTheme="majorEastAsia" w:eastAsiaTheme="majorEastAsia" w:cstheme="majorEastAsia"/>
          <w:sz w:val="24"/>
          <w:szCs w:val="24"/>
          <w:highlight w:val="none"/>
          <w:lang w:val="en-US" w:eastAsia="zh-CN"/>
        </w:rPr>
        <w:t>交付时</w:t>
      </w:r>
      <w:r>
        <w:rPr>
          <w:rFonts w:hint="eastAsia" w:asciiTheme="majorEastAsia" w:hAnsiTheme="majorEastAsia" w:eastAsiaTheme="majorEastAsia" w:cstheme="majorEastAsia"/>
          <w:sz w:val="24"/>
          <w:szCs w:val="24"/>
          <w:highlight w:val="none"/>
        </w:rPr>
        <w:t>对</w:t>
      </w:r>
      <w:r>
        <w:rPr>
          <w:rFonts w:hint="eastAsia" w:asciiTheme="majorEastAsia" w:hAnsiTheme="majorEastAsia" w:eastAsiaTheme="majorEastAsia" w:cstheme="majorEastAsia"/>
          <w:sz w:val="24"/>
          <w:szCs w:val="24"/>
          <w:highlight w:val="none"/>
          <w:lang w:val="en-US" w:eastAsia="zh-CN"/>
        </w:rPr>
        <w:t>秧</w:t>
      </w:r>
      <w:r>
        <w:rPr>
          <w:rFonts w:hint="eastAsia" w:asciiTheme="majorEastAsia" w:hAnsiTheme="majorEastAsia" w:eastAsiaTheme="majorEastAsia" w:cstheme="majorEastAsia"/>
          <w:sz w:val="24"/>
          <w:szCs w:val="24"/>
          <w:highlight w:val="none"/>
        </w:rPr>
        <w:t>苗进行验收</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rPr>
        <w:t>验收标准为苗高</w:t>
      </w:r>
      <w:r>
        <w:rPr>
          <w:rFonts w:hint="eastAsia" w:asciiTheme="majorEastAsia" w:hAnsiTheme="majorEastAsia" w:eastAsiaTheme="majorEastAsia" w:cstheme="majorEastAsia"/>
          <w:sz w:val="24"/>
          <w:szCs w:val="24"/>
          <w:highlight w:val="none"/>
          <w:lang w:val="en-US" w:eastAsia="zh-CN"/>
        </w:rPr>
        <w:t>至少</w:t>
      </w:r>
      <w:r>
        <w:rPr>
          <w:rFonts w:hint="eastAsia" w:asciiTheme="majorEastAsia" w:hAnsiTheme="majorEastAsia" w:eastAsiaTheme="majorEastAsia" w:cstheme="majorEastAsia"/>
          <w:sz w:val="24"/>
          <w:szCs w:val="24"/>
          <w:highlight w:val="none"/>
        </w:rPr>
        <w:t>达到</w:t>
      </w:r>
      <w:r>
        <w:rPr>
          <w:rFonts w:hint="eastAsia" w:asciiTheme="majorEastAsia" w:hAnsiTheme="majorEastAsia" w:eastAsiaTheme="majorEastAsia" w:cstheme="majorEastAsia"/>
          <w:sz w:val="24"/>
          <w:szCs w:val="24"/>
          <w:highlight w:val="none"/>
          <w:lang w:val="en-US" w:eastAsia="zh-CN"/>
        </w:rPr>
        <w:t>15</w:t>
      </w:r>
      <w:r>
        <w:rPr>
          <w:rFonts w:hint="eastAsia" w:asciiTheme="majorEastAsia" w:hAnsiTheme="majorEastAsia" w:eastAsiaTheme="majorEastAsia" w:cstheme="majorEastAsia"/>
          <w:sz w:val="24"/>
          <w:szCs w:val="24"/>
          <w:highlight w:val="none"/>
        </w:rPr>
        <w:t>公分，</w:t>
      </w:r>
      <w:r>
        <w:rPr>
          <w:rFonts w:hint="eastAsia" w:asciiTheme="majorEastAsia" w:hAnsiTheme="majorEastAsia" w:eastAsiaTheme="majorEastAsia" w:cstheme="majorEastAsia"/>
          <w:sz w:val="24"/>
          <w:szCs w:val="24"/>
          <w:highlight w:val="none"/>
          <w:lang w:val="en-US" w:eastAsia="zh-CN"/>
        </w:rPr>
        <w:t>秧龄18-20天，纯度96%以上，净度98%以上，</w:t>
      </w:r>
      <w:r>
        <w:rPr>
          <w:rFonts w:hint="eastAsia" w:asciiTheme="majorEastAsia" w:hAnsiTheme="majorEastAsia" w:eastAsiaTheme="majorEastAsia" w:cstheme="majorEastAsia"/>
          <w:i w:val="0"/>
          <w:color w:val="000000"/>
          <w:sz w:val="24"/>
          <w:szCs w:val="24"/>
          <w:highlight w:val="none"/>
          <w:u w:val="none"/>
          <w:lang w:val="en-US" w:eastAsia="zh-CN"/>
        </w:rPr>
        <w:t>发芽率80%以上，</w:t>
      </w:r>
      <w:r>
        <w:rPr>
          <w:rFonts w:hint="eastAsia" w:asciiTheme="majorEastAsia" w:hAnsiTheme="majorEastAsia" w:eastAsiaTheme="majorEastAsia" w:cstheme="majorEastAsia"/>
          <w:sz w:val="24"/>
          <w:szCs w:val="24"/>
          <w:highlight w:val="none"/>
          <w:lang w:val="en-US" w:eastAsia="zh-CN"/>
        </w:rPr>
        <w:t>秧苗</w:t>
      </w:r>
      <w:r>
        <w:rPr>
          <w:rFonts w:hint="eastAsia" w:asciiTheme="majorEastAsia" w:hAnsiTheme="majorEastAsia" w:eastAsiaTheme="majorEastAsia" w:cstheme="majorEastAsia"/>
          <w:sz w:val="24"/>
          <w:szCs w:val="24"/>
          <w:highlight w:val="none"/>
        </w:rPr>
        <w:t>整齐，健康无病虫害</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i w:val="0"/>
          <w:color w:val="000000"/>
          <w:sz w:val="24"/>
          <w:szCs w:val="24"/>
          <w:highlight w:val="none"/>
          <w:u w:val="none"/>
          <w:lang w:val="en-US" w:eastAsia="zh-CN"/>
        </w:rPr>
        <w:t>无恶苗病等</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rPr>
        <w:t>。</w:t>
      </w:r>
    </w:p>
    <w:p w14:paraId="48A986DE">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3、验收合格后，乙方根据甲方要求安排秧苗分批次运输到指定地点，运输费用及相关人员风险由乙方承担。</w:t>
      </w:r>
    </w:p>
    <w:p w14:paraId="5DEC4469">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4、运输过程中需考虑秧苗的成活率，运输过程中秧苗死亡导致甲方拒收，造成的损失乙方需自行承担。</w:t>
      </w:r>
    </w:p>
    <w:p w14:paraId="371172BF">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第</w:t>
      </w:r>
      <w:r>
        <w:rPr>
          <w:rFonts w:hint="eastAsia" w:asciiTheme="majorEastAsia" w:hAnsiTheme="majorEastAsia" w:eastAsiaTheme="majorEastAsia" w:cstheme="majorEastAsia"/>
          <w:sz w:val="24"/>
          <w:szCs w:val="24"/>
          <w:highlight w:val="none"/>
          <w:lang w:val="en-US" w:eastAsia="zh-CN"/>
        </w:rPr>
        <w:t>五</w:t>
      </w:r>
      <w:r>
        <w:rPr>
          <w:rFonts w:hint="eastAsia" w:asciiTheme="majorEastAsia" w:hAnsiTheme="majorEastAsia" w:eastAsiaTheme="majorEastAsia" w:cstheme="majorEastAsia"/>
          <w:sz w:val="24"/>
          <w:szCs w:val="24"/>
          <w:highlight w:val="none"/>
        </w:rPr>
        <w:t>条 违约责任</w:t>
      </w:r>
    </w:p>
    <w:p w14:paraId="0DAC9663">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lang w:val="en-US" w:eastAsia="zh-CN"/>
        </w:rPr>
        <w:t>1、</w:t>
      </w:r>
      <w:r>
        <w:rPr>
          <w:rFonts w:hint="eastAsia" w:asciiTheme="majorEastAsia" w:hAnsiTheme="majorEastAsia" w:eastAsiaTheme="majorEastAsia" w:cstheme="majorEastAsia"/>
          <w:sz w:val="24"/>
          <w:szCs w:val="24"/>
          <w:highlight w:val="none"/>
        </w:rPr>
        <w:t>甲方未按时支付</w:t>
      </w:r>
      <w:r>
        <w:rPr>
          <w:rFonts w:hint="eastAsia" w:asciiTheme="majorEastAsia" w:hAnsiTheme="majorEastAsia" w:eastAsiaTheme="majorEastAsia" w:cstheme="majorEastAsia"/>
          <w:sz w:val="24"/>
          <w:szCs w:val="24"/>
          <w:highlight w:val="none"/>
          <w:lang w:val="en-US" w:eastAsia="zh-CN"/>
        </w:rPr>
        <w:t>货款</w:t>
      </w:r>
      <w:r>
        <w:rPr>
          <w:rFonts w:hint="eastAsia" w:asciiTheme="majorEastAsia" w:hAnsiTheme="majorEastAsia" w:eastAsiaTheme="majorEastAsia" w:cstheme="majorEastAsia"/>
          <w:sz w:val="24"/>
          <w:szCs w:val="24"/>
          <w:highlight w:val="none"/>
        </w:rPr>
        <w:t>，乙方有权延迟</w:t>
      </w:r>
      <w:r>
        <w:rPr>
          <w:rFonts w:hint="eastAsia" w:asciiTheme="majorEastAsia" w:hAnsiTheme="majorEastAsia" w:eastAsiaTheme="majorEastAsia" w:cstheme="majorEastAsia"/>
          <w:sz w:val="24"/>
          <w:szCs w:val="24"/>
          <w:highlight w:val="none"/>
          <w:lang w:val="en-US" w:eastAsia="zh-CN"/>
        </w:rPr>
        <w:t>交付</w:t>
      </w:r>
      <w:r>
        <w:rPr>
          <w:rFonts w:hint="eastAsia" w:asciiTheme="majorEastAsia" w:hAnsiTheme="majorEastAsia" w:eastAsiaTheme="majorEastAsia" w:cstheme="majorEastAsia"/>
          <w:sz w:val="24"/>
          <w:szCs w:val="24"/>
          <w:highlight w:val="none"/>
        </w:rPr>
        <w:t>时间</w:t>
      </w:r>
      <w:r>
        <w:rPr>
          <w:rFonts w:hint="eastAsia" w:asciiTheme="majorEastAsia" w:hAnsiTheme="majorEastAsia" w:eastAsiaTheme="majorEastAsia" w:cstheme="majorEastAsia"/>
          <w:sz w:val="24"/>
          <w:szCs w:val="24"/>
          <w:highlight w:val="none"/>
          <w:lang w:eastAsia="zh-CN"/>
        </w:rPr>
        <w:t>。</w:t>
      </w:r>
    </w:p>
    <w:p w14:paraId="35F4E513">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rPr>
        <w:t>乙方</w:t>
      </w:r>
      <w:r>
        <w:rPr>
          <w:rFonts w:hint="eastAsia" w:asciiTheme="majorEastAsia" w:hAnsiTheme="majorEastAsia" w:eastAsiaTheme="majorEastAsia" w:cstheme="majorEastAsia"/>
          <w:sz w:val="24"/>
          <w:szCs w:val="24"/>
          <w:highlight w:val="none"/>
          <w:lang w:val="en-US" w:eastAsia="zh-CN"/>
        </w:rPr>
        <w:t>交付秧苗</w:t>
      </w:r>
      <w:r>
        <w:rPr>
          <w:rFonts w:hint="eastAsia" w:asciiTheme="majorEastAsia" w:hAnsiTheme="majorEastAsia" w:eastAsiaTheme="majorEastAsia" w:cstheme="majorEastAsia"/>
          <w:sz w:val="24"/>
          <w:szCs w:val="24"/>
          <w:highlight w:val="none"/>
        </w:rPr>
        <w:t>不符合合同要求，甲方有权要求乙方进行补救，或解除合同并要求赔偿损失。</w:t>
      </w:r>
    </w:p>
    <w:p w14:paraId="14A53440">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default"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3、若供苗达不到要求总数的80%，乙方赔偿5%合同总价，其它按实支付。</w:t>
      </w:r>
    </w:p>
    <w:p w14:paraId="2445E498">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第</w:t>
      </w:r>
      <w:r>
        <w:rPr>
          <w:rFonts w:hint="eastAsia" w:asciiTheme="majorEastAsia" w:hAnsiTheme="majorEastAsia" w:eastAsiaTheme="majorEastAsia" w:cstheme="majorEastAsia"/>
          <w:sz w:val="24"/>
          <w:szCs w:val="24"/>
          <w:highlight w:val="none"/>
          <w:lang w:val="en-US" w:eastAsia="zh-CN"/>
        </w:rPr>
        <w:t>六</w:t>
      </w:r>
      <w:r>
        <w:rPr>
          <w:rFonts w:hint="eastAsia" w:asciiTheme="majorEastAsia" w:hAnsiTheme="majorEastAsia" w:eastAsiaTheme="majorEastAsia" w:cstheme="majorEastAsia"/>
          <w:sz w:val="24"/>
          <w:szCs w:val="24"/>
          <w:highlight w:val="none"/>
        </w:rPr>
        <w:t>条 不可抗力</w:t>
      </w:r>
    </w:p>
    <w:p w14:paraId="4253C85A">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1、</w:t>
      </w:r>
      <w:r>
        <w:rPr>
          <w:rFonts w:hint="eastAsia" w:asciiTheme="majorEastAsia" w:hAnsiTheme="majorEastAsia" w:eastAsiaTheme="majorEastAsia" w:cstheme="majorEastAsia"/>
          <w:sz w:val="24"/>
          <w:szCs w:val="24"/>
          <w:highlight w:val="none"/>
        </w:rPr>
        <w:t>因不可抗力因素</w:t>
      </w:r>
      <w:r>
        <w:rPr>
          <w:rFonts w:hint="eastAsia" w:asciiTheme="majorEastAsia" w:hAnsiTheme="majorEastAsia" w:eastAsiaTheme="majorEastAsia" w:cstheme="majorEastAsia"/>
          <w:sz w:val="24"/>
          <w:szCs w:val="24"/>
          <w:highlight w:val="none"/>
          <w:lang w:val="en-US" w:eastAsia="zh-CN"/>
        </w:rPr>
        <w:t>如暴雨、台风、冰雹等，</w:t>
      </w:r>
      <w:r>
        <w:rPr>
          <w:rFonts w:hint="eastAsia" w:asciiTheme="majorEastAsia" w:hAnsiTheme="majorEastAsia" w:eastAsiaTheme="majorEastAsia" w:cstheme="majorEastAsia"/>
          <w:sz w:val="24"/>
          <w:szCs w:val="24"/>
          <w:highlight w:val="none"/>
        </w:rPr>
        <w:t>导致合同无法履行，双方应及时协商解决。</w:t>
      </w:r>
    </w:p>
    <w:p w14:paraId="70F28306">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不可抗力事件应及时通知</w:t>
      </w:r>
      <w:r>
        <w:rPr>
          <w:rFonts w:hint="eastAsia" w:asciiTheme="majorEastAsia" w:hAnsiTheme="majorEastAsia" w:eastAsiaTheme="majorEastAsia" w:cstheme="majorEastAsia"/>
          <w:sz w:val="24"/>
          <w:szCs w:val="24"/>
          <w:lang w:val="en-US" w:eastAsia="zh-CN"/>
        </w:rPr>
        <w:t>甲方</w:t>
      </w:r>
      <w:r>
        <w:rPr>
          <w:rFonts w:hint="eastAsia" w:asciiTheme="majorEastAsia" w:hAnsiTheme="majorEastAsia" w:eastAsiaTheme="majorEastAsia" w:cstheme="majorEastAsia"/>
          <w:sz w:val="24"/>
          <w:szCs w:val="24"/>
        </w:rPr>
        <w:t>，并提供相关证明文件。</w:t>
      </w:r>
    </w:p>
    <w:p w14:paraId="52F6136A">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w:t>
      </w:r>
      <w:r>
        <w:rPr>
          <w:rFonts w:hint="eastAsia" w:asciiTheme="majorEastAsia" w:hAnsiTheme="majorEastAsia" w:eastAsiaTheme="majorEastAsia" w:cstheme="majorEastAsia"/>
          <w:sz w:val="24"/>
          <w:szCs w:val="24"/>
          <w:lang w:val="en-US" w:eastAsia="zh-CN"/>
        </w:rPr>
        <w:t>七</w:t>
      </w:r>
      <w:r>
        <w:rPr>
          <w:rFonts w:hint="eastAsia" w:asciiTheme="majorEastAsia" w:hAnsiTheme="majorEastAsia" w:eastAsiaTheme="majorEastAsia" w:cstheme="majorEastAsia"/>
          <w:sz w:val="24"/>
          <w:szCs w:val="24"/>
        </w:rPr>
        <w:t>条 争议解决</w:t>
      </w:r>
    </w:p>
    <w:p w14:paraId="1E0A3571">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1、合</w:t>
      </w:r>
      <w:r>
        <w:rPr>
          <w:rFonts w:hint="eastAsia" w:asciiTheme="majorEastAsia" w:hAnsiTheme="majorEastAsia" w:eastAsiaTheme="majorEastAsia" w:cstheme="majorEastAsia"/>
          <w:sz w:val="24"/>
          <w:szCs w:val="24"/>
        </w:rPr>
        <w:t>同履行过程中如发生争议，双方应友好协商解决。</w:t>
      </w:r>
    </w:p>
    <w:p w14:paraId="25717F52">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协商不成的，任何一方均可向合同签订地人民法院提起诉讼。</w:t>
      </w:r>
      <w:r>
        <w:rPr>
          <w:rFonts w:hint="eastAsia" w:asciiTheme="majorEastAsia" w:hAnsiTheme="majorEastAsia" w:eastAsiaTheme="majorEastAsia" w:cstheme="majorEastAsia"/>
          <w:sz w:val="24"/>
          <w:szCs w:val="24"/>
          <w:lang w:val="en-US" w:eastAsia="zh-CN"/>
        </w:rPr>
        <w:t>本合同签订地为椒江。</w:t>
      </w:r>
    </w:p>
    <w:p w14:paraId="15A72997">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w:t>
      </w:r>
      <w:r>
        <w:rPr>
          <w:rFonts w:hint="eastAsia" w:asciiTheme="majorEastAsia" w:hAnsiTheme="majorEastAsia" w:eastAsiaTheme="majorEastAsia" w:cstheme="majorEastAsia"/>
          <w:sz w:val="24"/>
          <w:szCs w:val="24"/>
          <w:lang w:val="en-US" w:eastAsia="zh-CN"/>
        </w:rPr>
        <w:t>八</w:t>
      </w:r>
      <w:r>
        <w:rPr>
          <w:rFonts w:hint="eastAsia" w:asciiTheme="majorEastAsia" w:hAnsiTheme="majorEastAsia" w:eastAsiaTheme="majorEastAsia" w:cstheme="majorEastAsia"/>
          <w:sz w:val="24"/>
          <w:szCs w:val="24"/>
        </w:rPr>
        <w:t>条 合同生效及其他</w:t>
      </w:r>
    </w:p>
    <w:p w14:paraId="74487702">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本合同自双方签字盖章之日起生效。</w:t>
      </w:r>
    </w:p>
    <w:p w14:paraId="5625C8A6">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本合同一式</w:t>
      </w:r>
      <w:r>
        <w:rPr>
          <w:rFonts w:hint="eastAsia" w:asciiTheme="majorEastAsia" w:hAnsiTheme="majorEastAsia" w:eastAsiaTheme="majorEastAsia" w:cstheme="majorEastAsia"/>
          <w:sz w:val="24"/>
          <w:szCs w:val="24"/>
          <w:lang w:val="en-US" w:eastAsia="zh-CN"/>
        </w:rPr>
        <w:t>六</w:t>
      </w:r>
      <w:r>
        <w:rPr>
          <w:rFonts w:hint="eastAsia" w:asciiTheme="majorEastAsia" w:hAnsiTheme="majorEastAsia" w:eastAsiaTheme="majorEastAsia" w:cstheme="majorEastAsia"/>
          <w:sz w:val="24"/>
          <w:szCs w:val="24"/>
        </w:rPr>
        <w:t>份，甲乙双方各执</w:t>
      </w:r>
      <w:r>
        <w:rPr>
          <w:rFonts w:hint="eastAsia" w:asciiTheme="majorEastAsia" w:hAnsiTheme="majorEastAsia" w:eastAsiaTheme="majorEastAsia" w:cstheme="majorEastAsia"/>
          <w:sz w:val="24"/>
          <w:szCs w:val="24"/>
          <w:lang w:val="en-US" w:eastAsia="zh-CN"/>
        </w:rPr>
        <w:t>三</w:t>
      </w:r>
      <w:r>
        <w:rPr>
          <w:rFonts w:hint="eastAsia" w:asciiTheme="majorEastAsia" w:hAnsiTheme="majorEastAsia" w:eastAsiaTheme="majorEastAsia" w:cstheme="majorEastAsia"/>
          <w:sz w:val="24"/>
          <w:szCs w:val="24"/>
        </w:rPr>
        <w:t>份，具有同等法律效力。</w:t>
      </w:r>
    </w:p>
    <w:p w14:paraId="610169E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ajorEastAsia" w:hAnsiTheme="majorEastAsia" w:eastAsiaTheme="majorEastAsia" w:cstheme="majorEastAsia"/>
          <w:sz w:val="24"/>
          <w:szCs w:val="24"/>
        </w:rPr>
      </w:pPr>
    </w:p>
    <w:p w14:paraId="428FAFD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甲  方（公章）：　　          乙  方（公章）：</w:t>
      </w:r>
    </w:p>
    <w:p w14:paraId="0065997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　               法定代表人：</w:t>
      </w:r>
    </w:p>
    <w:p w14:paraId="69E027F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经办人：                     经办人：</w:t>
      </w:r>
    </w:p>
    <w:p w14:paraId="373AC5D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电</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话：                     电　话：</w:t>
      </w:r>
    </w:p>
    <w:p w14:paraId="2473DB03">
      <w:pPr>
        <w:keepNext w:val="0"/>
        <w:keepLines w:val="0"/>
        <w:pageBreakBefore w:val="0"/>
        <w:widowControl w:val="0"/>
        <w:kinsoku/>
        <w:wordWrap/>
        <w:overflowPunct/>
        <w:topLinePunct w:val="0"/>
        <w:autoSpaceDE/>
        <w:autoSpaceDN/>
        <w:bidi w:val="0"/>
        <w:adjustRightInd/>
        <w:snapToGrid/>
        <w:spacing w:line="540" w:lineRule="exact"/>
        <w:ind w:left="5600" w:hanging="4800" w:hangingChars="20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 xml:space="preserve">开户银行：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开户银行：</w:t>
      </w:r>
    </w:p>
    <w:p w14:paraId="5BEF1C2D">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账</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号：</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账　号：</w:t>
      </w:r>
      <w:r>
        <w:rPr>
          <w:rFonts w:hint="eastAsia" w:asciiTheme="majorEastAsia" w:hAnsiTheme="majorEastAsia" w:eastAsiaTheme="majorEastAsia" w:cstheme="majorEastAsia"/>
          <w:sz w:val="24"/>
          <w:szCs w:val="24"/>
          <w:lang w:val="en-US" w:eastAsia="zh-CN"/>
        </w:rPr>
        <w:t xml:space="preserve"> </w:t>
      </w:r>
    </w:p>
    <w:p w14:paraId="3C062F4E">
      <w:pPr>
        <w:keepNext w:val="0"/>
        <w:keepLines w:val="0"/>
        <w:pageBreakBefore w:val="0"/>
        <w:widowControl w:val="0"/>
        <w:kinsoku/>
        <w:wordWrap/>
        <w:overflowPunct/>
        <w:topLinePunct w:val="0"/>
        <w:autoSpaceDE/>
        <w:autoSpaceDN/>
        <w:bidi w:val="0"/>
        <w:adjustRightInd/>
        <w:snapToGrid/>
        <w:spacing w:line="540" w:lineRule="exact"/>
        <w:ind w:firstLine="3840" w:firstLineChars="1600"/>
        <w:textAlignment w:val="auto"/>
        <w:rPr>
          <w:rFonts w:hint="eastAsia" w:asciiTheme="majorEastAsia" w:hAnsiTheme="majorEastAsia" w:eastAsiaTheme="majorEastAsia" w:cstheme="majorEastAsia"/>
          <w:sz w:val="24"/>
          <w:szCs w:val="24"/>
          <w:lang w:val="en-US" w:eastAsia="zh-CN"/>
        </w:rPr>
      </w:pPr>
    </w:p>
    <w:p w14:paraId="489FE8C0">
      <w:pPr>
        <w:keepNext w:val="0"/>
        <w:keepLines w:val="0"/>
        <w:pageBreakBefore w:val="0"/>
        <w:widowControl w:val="0"/>
        <w:kinsoku/>
        <w:wordWrap/>
        <w:overflowPunct/>
        <w:topLinePunct w:val="0"/>
        <w:autoSpaceDE/>
        <w:autoSpaceDN/>
        <w:bidi w:val="0"/>
        <w:adjustRightInd/>
        <w:snapToGrid/>
        <w:spacing w:line="540" w:lineRule="exact"/>
        <w:ind w:firstLine="3840" w:firstLineChars="16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日期：______年____月____日</w:t>
      </w:r>
    </w:p>
    <w:p w14:paraId="2B68C0D7">
      <w:pPr>
        <w:snapToGrid w:val="0"/>
        <w:spacing w:line="480" w:lineRule="exact"/>
        <w:ind w:firstLine="567"/>
        <w:rPr>
          <w:rFonts w:hint="eastAsia" w:ascii="宋体" w:hAnsi="宋体"/>
          <w:color w:val="auto"/>
          <w:szCs w:val="21"/>
          <w:highlight w:val="none"/>
        </w:rPr>
      </w:pPr>
    </w:p>
    <w:p w14:paraId="4E683DDB">
      <w:pPr>
        <w:spacing w:line="360" w:lineRule="auto"/>
        <w:jc w:val="center"/>
        <w:rPr>
          <w:rFonts w:hint="eastAsia" w:ascii="宋体" w:hAnsi="宋体"/>
          <w:b/>
          <w:color w:val="auto"/>
          <w:sz w:val="36"/>
          <w:szCs w:val="36"/>
          <w:highlight w:val="none"/>
        </w:rPr>
      </w:pPr>
    </w:p>
    <w:p w14:paraId="67E7711F">
      <w:pPr>
        <w:spacing w:line="360" w:lineRule="auto"/>
        <w:jc w:val="center"/>
        <w:rPr>
          <w:rFonts w:hint="eastAsia" w:ascii="宋体" w:hAnsi="宋体"/>
          <w:b/>
          <w:color w:val="auto"/>
          <w:sz w:val="36"/>
          <w:szCs w:val="36"/>
          <w:highlight w:val="none"/>
        </w:rPr>
      </w:pPr>
    </w:p>
    <w:p w14:paraId="224E0572">
      <w:pPr>
        <w:spacing w:line="360" w:lineRule="auto"/>
        <w:jc w:val="center"/>
        <w:rPr>
          <w:rFonts w:hint="eastAsia" w:ascii="宋体" w:hAnsi="宋体"/>
          <w:b/>
          <w:color w:val="auto"/>
          <w:sz w:val="36"/>
          <w:szCs w:val="36"/>
          <w:highlight w:val="none"/>
        </w:rPr>
      </w:pPr>
    </w:p>
    <w:p w14:paraId="7F884349">
      <w:pPr>
        <w:spacing w:line="360" w:lineRule="auto"/>
        <w:jc w:val="center"/>
        <w:rPr>
          <w:rFonts w:hint="eastAsia" w:ascii="宋体" w:hAnsi="宋体"/>
          <w:b/>
          <w:color w:val="auto"/>
          <w:sz w:val="36"/>
          <w:szCs w:val="36"/>
          <w:highlight w:val="none"/>
        </w:rPr>
      </w:pPr>
    </w:p>
    <w:p w14:paraId="6B0232E9">
      <w:pPr>
        <w:spacing w:line="360" w:lineRule="auto"/>
        <w:jc w:val="center"/>
        <w:rPr>
          <w:rFonts w:hint="eastAsia" w:ascii="宋体" w:hAnsi="宋体"/>
          <w:b/>
          <w:color w:val="auto"/>
          <w:sz w:val="36"/>
          <w:szCs w:val="36"/>
          <w:highlight w:val="none"/>
        </w:rPr>
      </w:pPr>
    </w:p>
    <w:p w14:paraId="48762484">
      <w:pPr>
        <w:spacing w:line="360" w:lineRule="auto"/>
        <w:jc w:val="center"/>
        <w:rPr>
          <w:rFonts w:hint="eastAsia" w:ascii="宋体" w:hAnsi="宋体"/>
          <w:b/>
          <w:color w:val="auto"/>
          <w:sz w:val="36"/>
          <w:szCs w:val="36"/>
          <w:highlight w:val="none"/>
        </w:rPr>
      </w:pPr>
    </w:p>
    <w:p w14:paraId="48DCFB2D">
      <w:pPr>
        <w:spacing w:line="360" w:lineRule="auto"/>
        <w:jc w:val="center"/>
        <w:rPr>
          <w:rFonts w:hint="eastAsia" w:ascii="宋体" w:hAnsi="宋体"/>
          <w:b/>
          <w:color w:val="auto"/>
          <w:sz w:val="36"/>
          <w:szCs w:val="36"/>
          <w:highlight w:val="none"/>
        </w:rPr>
      </w:pPr>
    </w:p>
    <w:p w14:paraId="36E6EE90">
      <w:pPr>
        <w:spacing w:line="360" w:lineRule="auto"/>
        <w:jc w:val="center"/>
        <w:rPr>
          <w:rFonts w:hint="eastAsia" w:ascii="宋体" w:hAnsi="宋体"/>
          <w:b/>
          <w:color w:val="auto"/>
          <w:sz w:val="36"/>
          <w:szCs w:val="36"/>
          <w:highlight w:val="none"/>
        </w:rPr>
      </w:pPr>
    </w:p>
    <w:p w14:paraId="43319578">
      <w:pPr>
        <w:spacing w:line="360" w:lineRule="auto"/>
        <w:jc w:val="center"/>
        <w:rPr>
          <w:rFonts w:hint="eastAsia" w:ascii="宋体" w:hAnsi="宋体"/>
          <w:b/>
          <w:color w:val="auto"/>
          <w:sz w:val="36"/>
          <w:szCs w:val="36"/>
          <w:highlight w:val="none"/>
        </w:rPr>
      </w:pPr>
    </w:p>
    <w:p w14:paraId="4659FDC2">
      <w:pPr>
        <w:spacing w:line="360" w:lineRule="auto"/>
        <w:jc w:val="center"/>
        <w:rPr>
          <w:rFonts w:hint="eastAsia" w:ascii="宋体" w:hAnsi="宋体"/>
          <w:b/>
          <w:color w:val="auto"/>
          <w:sz w:val="36"/>
          <w:szCs w:val="36"/>
          <w:highlight w:val="none"/>
        </w:rPr>
      </w:pPr>
    </w:p>
    <w:p w14:paraId="7F9ADE75">
      <w:pPr>
        <w:spacing w:line="360" w:lineRule="auto"/>
        <w:jc w:val="center"/>
        <w:rPr>
          <w:rFonts w:hint="eastAsia" w:ascii="宋体" w:hAnsi="宋体"/>
          <w:b/>
          <w:color w:val="auto"/>
          <w:sz w:val="36"/>
          <w:szCs w:val="36"/>
          <w:highlight w:val="none"/>
        </w:rPr>
      </w:pPr>
    </w:p>
    <w:p w14:paraId="2A665096">
      <w:pPr>
        <w:spacing w:line="360" w:lineRule="auto"/>
        <w:jc w:val="center"/>
        <w:rPr>
          <w:rFonts w:hint="eastAsia" w:ascii="宋体" w:hAnsi="宋体"/>
          <w:b/>
          <w:color w:val="auto"/>
          <w:sz w:val="36"/>
          <w:szCs w:val="36"/>
          <w:highlight w:val="none"/>
        </w:rPr>
      </w:pPr>
    </w:p>
    <w:p w14:paraId="722858FC">
      <w:pPr>
        <w:spacing w:line="360" w:lineRule="auto"/>
        <w:jc w:val="center"/>
        <w:rPr>
          <w:rFonts w:hint="eastAsia" w:ascii="宋体" w:hAnsi="宋体"/>
          <w:b/>
          <w:color w:val="auto"/>
          <w:sz w:val="36"/>
          <w:szCs w:val="36"/>
          <w:highlight w:val="none"/>
        </w:rPr>
      </w:pPr>
    </w:p>
    <w:p w14:paraId="1A93F2C0">
      <w:pPr>
        <w:spacing w:line="360" w:lineRule="auto"/>
        <w:jc w:val="center"/>
        <w:rPr>
          <w:rFonts w:hint="eastAsia" w:ascii="宋体" w:hAnsi="宋体"/>
          <w:b/>
          <w:color w:val="auto"/>
          <w:sz w:val="36"/>
          <w:szCs w:val="36"/>
          <w:highlight w:val="none"/>
        </w:rPr>
      </w:pPr>
    </w:p>
    <w:p w14:paraId="0E9C13A8">
      <w:pPr>
        <w:spacing w:line="360" w:lineRule="auto"/>
        <w:jc w:val="center"/>
        <w:rPr>
          <w:rFonts w:hint="eastAsia" w:ascii="宋体" w:hAnsi="宋体"/>
          <w:b/>
          <w:color w:val="auto"/>
          <w:sz w:val="36"/>
          <w:szCs w:val="36"/>
          <w:highlight w:val="none"/>
        </w:rPr>
      </w:pPr>
    </w:p>
    <w:p w14:paraId="128D7D99">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第</w:t>
      </w:r>
      <w:r>
        <w:rPr>
          <w:rFonts w:hint="eastAsia" w:ascii="宋体" w:hAnsi="宋体"/>
          <w:b/>
          <w:color w:val="auto"/>
          <w:sz w:val="36"/>
          <w:szCs w:val="36"/>
          <w:highlight w:val="none"/>
          <w:lang w:val="en-US" w:eastAsia="zh-CN"/>
        </w:rPr>
        <w:t>六</w:t>
      </w:r>
      <w:r>
        <w:rPr>
          <w:rFonts w:hint="eastAsia" w:ascii="宋体" w:hAnsi="宋体"/>
          <w:b/>
          <w:color w:val="auto"/>
          <w:sz w:val="36"/>
          <w:szCs w:val="36"/>
          <w:highlight w:val="none"/>
        </w:rPr>
        <w:t>章 投标文件格式</w:t>
      </w:r>
    </w:p>
    <w:p w14:paraId="45D83232">
      <w:pPr>
        <w:spacing w:line="360" w:lineRule="auto"/>
        <w:jc w:val="center"/>
        <w:rPr>
          <w:rFonts w:hint="eastAsia" w:ascii="宋体" w:hAnsi="宋体"/>
          <w:color w:val="auto"/>
          <w:sz w:val="36"/>
          <w:szCs w:val="36"/>
          <w:highlight w:val="none"/>
          <w:u w:val="single"/>
          <w:lang w:val="en-US" w:eastAsia="zh-CN"/>
        </w:rPr>
      </w:pPr>
    </w:p>
    <w:p w14:paraId="7F79FF46">
      <w:pPr>
        <w:spacing w:line="360" w:lineRule="auto"/>
        <w:jc w:val="center"/>
        <w:rPr>
          <w:b/>
          <w:bCs/>
          <w:color w:val="auto"/>
          <w:sz w:val="36"/>
          <w:szCs w:val="36"/>
          <w:highlight w:val="none"/>
        </w:rPr>
      </w:pPr>
      <w:r>
        <w:rPr>
          <w:rFonts w:hint="eastAsia"/>
          <w:b/>
          <w:bCs/>
          <w:color w:val="auto"/>
          <w:sz w:val="36"/>
          <w:szCs w:val="36"/>
          <w:highlight w:val="none"/>
          <w:lang w:val="en-US" w:eastAsia="zh-CN"/>
        </w:rPr>
        <w:t>商务</w:t>
      </w:r>
      <w:r>
        <w:rPr>
          <w:rFonts w:hint="eastAsia"/>
          <w:b/>
          <w:bCs/>
          <w:color w:val="auto"/>
          <w:sz w:val="36"/>
          <w:szCs w:val="36"/>
          <w:highlight w:val="none"/>
        </w:rPr>
        <w:t>标目录</w:t>
      </w:r>
    </w:p>
    <w:p w14:paraId="6E4E6EF9">
      <w:pPr>
        <w:spacing w:line="360" w:lineRule="auto"/>
        <w:ind w:firstLine="560" w:firstLineChars="200"/>
        <w:rPr>
          <w:color w:val="auto"/>
          <w:sz w:val="28"/>
          <w:szCs w:val="36"/>
          <w:highlight w:val="none"/>
        </w:rPr>
      </w:pPr>
    </w:p>
    <w:p w14:paraId="21FA0B9D">
      <w:pPr>
        <w:numPr>
          <w:ilvl w:val="0"/>
          <w:numId w:val="4"/>
        </w:numPr>
        <w:autoSpaceDE w:val="0"/>
        <w:autoSpaceDN w:val="0"/>
        <w:adjustRightInd w:val="0"/>
        <w:spacing w:line="360" w:lineRule="auto"/>
        <w:ind w:left="-60" w:leftChars="0" w:firstLine="480" w:firstLineChars="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营业执照副本复印件。</w:t>
      </w:r>
    </w:p>
    <w:p w14:paraId="06A62078">
      <w:pPr>
        <w:numPr>
          <w:ilvl w:val="0"/>
          <w:numId w:val="4"/>
        </w:numPr>
        <w:autoSpaceDE w:val="0"/>
        <w:autoSpaceDN w:val="0"/>
        <w:adjustRightInd w:val="0"/>
        <w:spacing w:line="360" w:lineRule="auto"/>
        <w:ind w:left="-60" w:leftChars="0" w:firstLine="480" w:firstLineChars="0"/>
        <w:rPr>
          <w:rFonts w:ascii="宋体" w:hAnsi="宋体"/>
          <w:color w:val="auto"/>
          <w:sz w:val="24"/>
          <w:highlight w:val="none"/>
        </w:rPr>
      </w:pPr>
      <w:r>
        <w:rPr>
          <w:rFonts w:hint="eastAsia" w:ascii="宋体" w:hAnsi="宋体"/>
          <w:color w:val="auto"/>
          <w:sz w:val="24"/>
          <w:highlight w:val="none"/>
          <w:lang w:eastAsia="zh-CN"/>
        </w:rPr>
        <w:t>法定代表人授权委托书</w:t>
      </w: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如法定代表人参加投标的无需提供，</w:t>
      </w:r>
      <w:r>
        <w:rPr>
          <w:rFonts w:hint="eastAsia" w:ascii="宋体" w:hAnsi="宋体"/>
          <w:color w:val="auto"/>
          <w:kern w:val="0"/>
          <w:sz w:val="24"/>
          <w:highlight w:val="none"/>
        </w:rPr>
        <w:t>格式见附件</w:t>
      </w: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w:t>
      </w:r>
    </w:p>
    <w:p w14:paraId="0C32AA1E">
      <w:pPr>
        <w:numPr>
          <w:ilvl w:val="0"/>
          <w:numId w:val="4"/>
        </w:numPr>
        <w:spacing w:line="360" w:lineRule="auto"/>
        <w:ind w:left="-60" w:leftChars="0" w:firstLine="480" w:firstLineChars="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投标承诺书（附件</w:t>
      </w:r>
      <w:r>
        <w:rPr>
          <w:rFonts w:hint="eastAsia" w:ascii="宋体" w:hAnsi="宋体" w:cs="Times New Roman"/>
          <w:color w:val="auto"/>
          <w:kern w:val="2"/>
          <w:sz w:val="24"/>
          <w:szCs w:val="24"/>
          <w:highlight w:val="none"/>
          <w:lang w:val="en-US" w:eastAsia="zh-CN" w:bidi="ar-SA"/>
        </w:rPr>
        <w:t>2</w:t>
      </w:r>
      <w:r>
        <w:rPr>
          <w:rFonts w:hint="eastAsia" w:ascii="宋体" w:hAnsi="宋体" w:eastAsia="宋体" w:cs="Times New Roman"/>
          <w:color w:val="auto"/>
          <w:kern w:val="2"/>
          <w:sz w:val="24"/>
          <w:szCs w:val="24"/>
          <w:highlight w:val="none"/>
          <w:lang w:val="en-US" w:eastAsia="zh-CN" w:bidi="ar-SA"/>
        </w:rPr>
        <w:t>）</w:t>
      </w:r>
      <w:r>
        <w:rPr>
          <w:rFonts w:hint="eastAsia" w:ascii="宋体" w:hAnsi="宋体" w:cs="Times New Roman"/>
          <w:color w:val="auto"/>
          <w:kern w:val="2"/>
          <w:sz w:val="24"/>
          <w:szCs w:val="24"/>
          <w:highlight w:val="none"/>
          <w:lang w:val="en-US" w:eastAsia="zh-CN" w:bidi="ar-SA"/>
        </w:rPr>
        <w:t>。</w:t>
      </w:r>
    </w:p>
    <w:p w14:paraId="74BCCECE">
      <w:pPr>
        <w:numPr>
          <w:ilvl w:val="0"/>
          <w:numId w:val="4"/>
        </w:numPr>
        <w:spacing w:line="360" w:lineRule="auto"/>
        <w:ind w:left="-60" w:leftChars="0" w:firstLine="480" w:firstLineChars="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投标报价明细清单</w:t>
      </w:r>
      <w:r>
        <w:rPr>
          <w:rFonts w:hint="eastAsia" w:ascii="宋体" w:hAnsi="宋体" w:eastAsia="宋体" w:cs="Times New Roman"/>
          <w:color w:val="auto"/>
          <w:kern w:val="2"/>
          <w:sz w:val="24"/>
          <w:szCs w:val="24"/>
          <w:highlight w:val="none"/>
          <w:lang w:val="en-US" w:eastAsia="zh-CN" w:bidi="ar-SA"/>
        </w:rPr>
        <w:t>（附件</w:t>
      </w:r>
      <w:r>
        <w:rPr>
          <w:rFonts w:hint="eastAsia" w:ascii="宋体" w:hAnsi="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w:t>
      </w:r>
      <w:r>
        <w:rPr>
          <w:rFonts w:hint="eastAsia" w:ascii="宋体" w:hAnsi="宋体" w:cs="Times New Roman"/>
          <w:color w:val="auto"/>
          <w:kern w:val="2"/>
          <w:sz w:val="24"/>
          <w:szCs w:val="24"/>
          <w:highlight w:val="none"/>
          <w:lang w:val="en-US" w:eastAsia="zh-CN" w:bidi="ar-SA"/>
        </w:rPr>
        <w:t>。</w:t>
      </w:r>
    </w:p>
    <w:p w14:paraId="73E2B786">
      <w:pPr>
        <w:spacing w:line="360" w:lineRule="auto"/>
        <w:ind w:left="420"/>
        <w:rPr>
          <w:rFonts w:ascii="宋体" w:hAnsi="宋体"/>
          <w:b/>
          <w:color w:val="auto"/>
          <w:sz w:val="28"/>
          <w:highlight w:val="none"/>
        </w:rPr>
      </w:pPr>
    </w:p>
    <w:p w14:paraId="445CB5C7">
      <w:pPr>
        <w:pStyle w:val="30"/>
        <w:rPr>
          <w:rFonts w:ascii="宋体" w:hAnsi="宋体"/>
          <w:b/>
          <w:color w:val="auto"/>
          <w:sz w:val="28"/>
          <w:highlight w:val="none"/>
        </w:rPr>
      </w:pPr>
    </w:p>
    <w:p w14:paraId="10BCB54C">
      <w:pPr>
        <w:pStyle w:val="30"/>
        <w:rPr>
          <w:rFonts w:ascii="宋体" w:hAnsi="宋体"/>
          <w:b/>
          <w:color w:val="auto"/>
          <w:sz w:val="28"/>
          <w:highlight w:val="none"/>
        </w:rPr>
      </w:pPr>
    </w:p>
    <w:p w14:paraId="1FDB159E">
      <w:pPr>
        <w:spacing w:line="360" w:lineRule="auto"/>
        <w:ind w:left="420"/>
        <w:rPr>
          <w:rFonts w:ascii="宋体" w:hAnsi="宋体"/>
          <w:b/>
          <w:color w:val="auto"/>
          <w:sz w:val="28"/>
          <w:highlight w:val="none"/>
        </w:rPr>
      </w:pPr>
    </w:p>
    <w:p w14:paraId="595C2C6E">
      <w:pPr>
        <w:spacing w:line="360" w:lineRule="auto"/>
        <w:ind w:left="420"/>
        <w:rPr>
          <w:rFonts w:ascii="宋体" w:hAnsi="宋体"/>
          <w:b/>
          <w:color w:val="auto"/>
          <w:sz w:val="28"/>
          <w:highlight w:val="none"/>
        </w:rPr>
      </w:pPr>
    </w:p>
    <w:p w14:paraId="4422BFA0">
      <w:pPr>
        <w:rPr>
          <w:rFonts w:ascii="宋体" w:hAnsi="宋体"/>
          <w:b/>
          <w:color w:val="auto"/>
          <w:sz w:val="28"/>
          <w:highlight w:val="none"/>
        </w:rPr>
      </w:pPr>
      <w:r>
        <w:rPr>
          <w:rFonts w:hint="eastAsia" w:ascii="宋体" w:hAnsi="宋体"/>
          <w:b/>
          <w:color w:val="auto"/>
          <w:sz w:val="28"/>
          <w:highlight w:val="none"/>
        </w:rPr>
        <w:br w:type="page"/>
      </w:r>
    </w:p>
    <w:p w14:paraId="06F750DE">
      <w:pPr>
        <w:spacing w:line="312"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 xml:space="preserve">1 </w:t>
      </w:r>
    </w:p>
    <w:p w14:paraId="732E6F32">
      <w:pPr>
        <w:adjustRightInd w:val="0"/>
        <w:snapToGrid w:val="0"/>
        <w:spacing w:beforeLines="50" w:line="360" w:lineRule="auto"/>
        <w:jc w:val="center"/>
        <w:rPr>
          <w:rFonts w:eastAsia="黑体"/>
          <w:color w:val="auto"/>
          <w:sz w:val="44"/>
          <w:szCs w:val="20"/>
          <w:highlight w:val="none"/>
        </w:rPr>
      </w:pPr>
      <w:r>
        <w:rPr>
          <w:rFonts w:hint="eastAsia" w:eastAsia="黑体"/>
          <w:color w:val="auto"/>
          <w:sz w:val="44"/>
          <w:szCs w:val="20"/>
          <w:highlight w:val="none"/>
        </w:rPr>
        <w:t>法定代表人授权委托书</w:t>
      </w:r>
    </w:p>
    <w:p w14:paraId="5CA0385B">
      <w:pPr>
        <w:adjustRightInd w:val="0"/>
        <w:snapToGrid w:val="0"/>
        <w:spacing w:beforeLines="50" w:line="360" w:lineRule="auto"/>
        <w:ind w:left="1644" w:hanging="1643" w:hangingChars="587"/>
        <w:jc w:val="center"/>
        <w:rPr>
          <w:color w:val="auto"/>
          <w:sz w:val="28"/>
          <w:szCs w:val="28"/>
          <w:highlight w:val="none"/>
        </w:rPr>
      </w:pPr>
      <w:r>
        <w:rPr>
          <w:rFonts w:hint="eastAsia"/>
          <w:color w:val="auto"/>
          <w:sz w:val="28"/>
          <w:szCs w:val="28"/>
          <w:highlight w:val="none"/>
        </w:rPr>
        <w:t>（参考格式）</w:t>
      </w:r>
    </w:p>
    <w:p w14:paraId="648FCDFC">
      <w:pPr>
        <w:adjustRightInd w:val="0"/>
        <w:snapToGrid w:val="0"/>
        <w:spacing w:beforeLines="50" w:line="360" w:lineRule="auto"/>
        <w:ind w:firstLine="600"/>
        <w:rPr>
          <w:color w:val="auto"/>
          <w:sz w:val="28"/>
          <w:szCs w:val="28"/>
          <w:highlight w:val="none"/>
        </w:rPr>
      </w:pPr>
      <w:r>
        <w:rPr>
          <w:rFonts w:hint="eastAsia" w:ascii="宋体" w:hAnsi="宋体" w:eastAsia="宋体" w:cs="宋体"/>
          <w:color w:val="auto"/>
          <w:spacing w:val="-8"/>
          <w:sz w:val="24"/>
          <w:highlight w:val="none"/>
          <w:lang w:val="en-US" w:eastAsia="zh-CN"/>
        </w:rPr>
        <w:t>本授权委托书声明：我</w:t>
      </w:r>
      <w:r>
        <w:rPr>
          <w:rFonts w:hint="eastAsia" w:ascii="宋体" w:hAnsi="宋体" w:eastAsia="宋体" w:cs="宋体"/>
          <w:color w:val="auto"/>
          <w:spacing w:val="-8"/>
          <w:sz w:val="24"/>
          <w:highlight w:val="none"/>
          <w:u w:val="single"/>
          <w:lang w:val="en-US" w:eastAsia="zh-CN"/>
        </w:rPr>
        <w:t xml:space="preserve">        （姓名）</w:t>
      </w:r>
      <w:r>
        <w:rPr>
          <w:rFonts w:hint="eastAsia" w:ascii="宋体" w:hAnsi="宋体" w:eastAsia="宋体" w:cs="宋体"/>
          <w:color w:val="auto"/>
          <w:spacing w:val="-8"/>
          <w:sz w:val="24"/>
          <w:highlight w:val="none"/>
          <w:lang w:val="en-US" w:eastAsia="zh-CN"/>
        </w:rPr>
        <w:t>系</w:t>
      </w:r>
      <w:r>
        <w:rPr>
          <w:rFonts w:hint="eastAsia" w:ascii="宋体" w:hAnsi="宋体" w:eastAsia="宋体" w:cs="宋体"/>
          <w:color w:val="auto"/>
          <w:spacing w:val="-8"/>
          <w:sz w:val="24"/>
          <w:highlight w:val="none"/>
          <w:u w:val="single"/>
          <w:lang w:val="en-US" w:eastAsia="zh-CN"/>
        </w:rPr>
        <w:t xml:space="preserve">      </w:t>
      </w:r>
      <w:r>
        <w:rPr>
          <w:rFonts w:hint="eastAsia" w:ascii="宋体" w:hAnsi="宋体" w:cs="宋体"/>
          <w:color w:val="auto"/>
          <w:spacing w:val="-8"/>
          <w:sz w:val="24"/>
          <w:highlight w:val="none"/>
          <w:u w:val="single"/>
          <w:lang w:val="en-US" w:eastAsia="zh-CN"/>
        </w:rPr>
        <w:t xml:space="preserve">        </w:t>
      </w:r>
      <w:r>
        <w:rPr>
          <w:rFonts w:hint="eastAsia" w:ascii="宋体" w:hAnsi="宋体" w:eastAsia="宋体" w:cs="宋体"/>
          <w:color w:val="auto"/>
          <w:spacing w:val="-8"/>
          <w:sz w:val="24"/>
          <w:highlight w:val="none"/>
          <w:u w:val="single"/>
          <w:lang w:val="en-US" w:eastAsia="zh-CN"/>
        </w:rPr>
        <w:t xml:space="preserve">     （投标人）</w:t>
      </w:r>
      <w:r>
        <w:rPr>
          <w:rFonts w:hint="eastAsia" w:ascii="宋体" w:hAnsi="宋体" w:eastAsia="宋体" w:cs="宋体"/>
          <w:color w:val="auto"/>
          <w:spacing w:val="-8"/>
          <w:sz w:val="24"/>
          <w:highlight w:val="none"/>
          <w:lang w:val="en-US" w:eastAsia="zh-CN"/>
        </w:rPr>
        <w:t>的法定代表人，现授权委托我单位</w:t>
      </w:r>
      <w:r>
        <w:rPr>
          <w:rFonts w:hint="eastAsia" w:ascii="宋体" w:hAnsi="宋体" w:eastAsia="宋体" w:cs="宋体"/>
          <w:color w:val="auto"/>
          <w:spacing w:val="-8"/>
          <w:sz w:val="24"/>
          <w:highlight w:val="none"/>
          <w:u w:val="single"/>
          <w:lang w:val="en-US" w:eastAsia="zh-CN"/>
        </w:rPr>
        <w:t xml:space="preserve">       （姓名）</w:t>
      </w:r>
      <w:r>
        <w:rPr>
          <w:rFonts w:hint="eastAsia" w:ascii="宋体" w:hAnsi="宋体" w:eastAsia="宋体" w:cs="宋体"/>
          <w:color w:val="auto"/>
          <w:spacing w:val="-8"/>
          <w:sz w:val="24"/>
          <w:highlight w:val="none"/>
          <w:lang w:val="en-US" w:eastAsia="zh-CN"/>
        </w:rPr>
        <w:t>（以下称“授权代表” ），以本单位的名义参加</w:t>
      </w:r>
      <w:r>
        <w:rPr>
          <w:rFonts w:hint="eastAsia" w:ascii="宋体" w:hAnsi="宋体" w:cs="宋体"/>
          <w:color w:val="auto"/>
          <w:spacing w:val="-8"/>
          <w:sz w:val="24"/>
          <w:highlight w:val="none"/>
          <w:lang w:val="en-US" w:eastAsia="zh-CN"/>
        </w:rPr>
        <w:t>台州东茂观光农业开发有限公司</w:t>
      </w:r>
      <w:r>
        <w:rPr>
          <w:rFonts w:hint="eastAsia" w:ascii="宋体" w:hAnsi="宋体" w:eastAsia="宋体" w:cs="宋体"/>
          <w:color w:val="auto"/>
          <w:spacing w:val="-8"/>
          <w:sz w:val="24"/>
          <w:highlight w:val="none"/>
          <w:lang w:val="en-US" w:eastAsia="zh-CN"/>
        </w:rPr>
        <w:t>（招标人）的</w:t>
      </w:r>
      <w:r>
        <w:rPr>
          <w:rFonts w:hint="eastAsia" w:ascii="宋体" w:hAnsi="宋体" w:cs="宋体"/>
          <w:color w:val="auto"/>
          <w:spacing w:val="-8"/>
          <w:sz w:val="24"/>
          <w:highlight w:val="none"/>
          <w:lang w:val="en-US" w:eastAsia="zh-CN"/>
        </w:rPr>
        <w:t>台州东茂观光农业开发有限公司2025年水稻秧苗采购（重新招标）</w:t>
      </w:r>
      <w:r>
        <w:rPr>
          <w:rFonts w:hint="eastAsia" w:ascii="宋体" w:hAnsi="宋体" w:eastAsia="宋体" w:cs="宋体"/>
          <w:color w:val="auto"/>
          <w:spacing w:val="-8"/>
          <w:sz w:val="24"/>
          <w:highlight w:val="none"/>
          <w:lang w:val="en-US" w:eastAsia="zh-CN"/>
        </w:rPr>
        <w:t>（项目名称）的投标。授权代表在该项目招投标活动中的一切事务，我均予以承认。</w:t>
      </w:r>
    </w:p>
    <w:p w14:paraId="597FD9E0">
      <w:pPr>
        <w:adjustRightInd w:val="0"/>
        <w:snapToGrid w:val="0"/>
        <w:spacing w:beforeLines="50" w:line="360" w:lineRule="auto"/>
        <w:ind w:firstLine="600"/>
        <w:rPr>
          <w:rFonts w:hint="eastAsia"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代理人无转委权，特此委托。</w:t>
      </w:r>
    </w:p>
    <w:p w14:paraId="07F93F21">
      <w:pPr>
        <w:adjustRightInd w:val="0"/>
        <w:snapToGrid w:val="0"/>
        <w:spacing w:beforeLines="50" w:line="360" w:lineRule="auto"/>
        <w:ind w:firstLine="600"/>
        <w:rPr>
          <w:rFonts w:hint="default" w:ascii="宋体" w:hAnsi="宋体" w:eastAsia="宋体" w:cs="宋体"/>
          <w:color w:val="auto"/>
          <w:spacing w:val="-8"/>
          <w:sz w:val="24"/>
          <w:highlight w:val="none"/>
          <w:u w:val="single"/>
          <w:lang w:val="en-US" w:eastAsia="zh-CN"/>
        </w:rPr>
      </w:pPr>
      <w:r>
        <w:rPr>
          <w:rFonts w:hint="eastAsia" w:ascii="宋体" w:hAnsi="宋体" w:eastAsia="宋体" w:cs="宋体"/>
          <w:color w:val="auto"/>
          <w:spacing w:val="-8"/>
          <w:sz w:val="24"/>
          <w:highlight w:val="none"/>
          <w:lang w:val="en-US" w:eastAsia="zh-CN"/>
        </w:rPr>
        <w:t>授权代表身份证号：</w:t>
      </w:r>
      <w:r>
        <w:rPr>
          <w:rFonts w:hint="eastAsia" w:ascii="宋体" w:hAnsi="宋体" w:eastAsia="宋体" w:cs="宋体"/>
          <w:color w:val="auto"/>
          <w:spacing w:val="-8"/>
          <w:sz w:val="24"/>
          <w:highlight w:val="none"/>
          <w:u w:val="none"/>
          <w:lang w:val="en-US" w:eastAsia="zh-CN"/>
        </w:rPr>
        <w:t xml:space="preserve">             </w:t>
      </w:r>
    </w:p>
    <w:p w14:paraId="44E8BD64">
      <w:pPr>
        <w:adjustRightInd w:val="0"/>
        <w:snapToGrid w:val="0"/>
        <w:spacing w:beforeLines="50" w:line="360" w:lineRule="auto"/>
        <w:ind w:firstLine="600"/>
        <w:rPr>
          <w:rFonts w:hint="default"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授权代表联系电话：</w:t>
      </w:r>
      <w:r>
        <w:rPr>
          <w:rFonts w:hint="eastAsia" w:ascii="宋体" w:hAnsi="宋体" w:eastAsia="宋体" w:cs="宋体"/>
          <w:color w:val="auto"/>
          <w:spacing w:val="-8"/>
          <w:sz w:val="24"/>
          <w:highlight w:val="none"/>
          <w:u w:val="none"/>
          <w:lang w:val="en-US" w:eastAsia="zh-CN"/>
        </w:rPr>
        <w:t xml:space="preserve">             </w:t>
      </w:r>
    </w:p>
    <w:p w14:paraId="0A44ACB0">
      <w:pPr>
        <w:adjustRightInd w:val="0"/>
        <w:snapToGrid w:val="0"/>
        <w:spacing w:beforeLines="50" w:line="360" w:lineRule="auto"/>
        <w:ind w:firstLine="600"/>
        <w:rPr>
          <w:rFonts w:hint="default"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 xml:space="preserve">授权代表电子邮箱：             </w:t>
      </w:r>
    </w:p>
    <w:p w14:paraId="1456EE07">
      <w:pPr>
        <w:rPr>
          <w:rFonts w:eastAsia="仿宋_GB2312"/>
          <w:color w:val="auto"/>
          <w:sz w:val="28"/>
          <w:szCs w:val="28"/>
          <w:highlight w:val="none"/>
        </w:rPr>
      </w:pPr>
    </w:p>
    <w:p w14:paraId="4122857F">
      <w:pPr>
        <w:widowControl/>
        <w:snapToGrid w:val="0"/>
        <w:spacing w:line="360" w:lineRule="auto"/>
        <w:rPr>
          <w:rFonts w:eastAsia="仿宋_GB2312"/>
          <w:color w:val="auto"/>
          <w:sz w:val="28"/>
          <w:szCs w:val="28"/>
          <w:highlight w:val="none"/>
        </w:rPr>
      </w:pPr>
    </w:p>
    <w:p w14:paraId="5CCD1B41">
      <w:pPr>
        <w:widowControl/>
        <w:snapToGrid w:val="0"/>
        <w:spacing w:line="360" w:lineRule="auto"/>
        <w:rPr>
          <w:rFonts w:eastAsia="仿宋_GB2312"/>
          <w:color w:val="auto"/>
          <w:sz w:val="28"/>
          <w:szCs w:val="28"/>
          <w:highlight w:val="none"/>
        </w:rPr>
      </w:pPr>
    </w:p>
    <w:p w14:paraId="07837758">
      <w:pPr>
        <w:widowControl/>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法定代表人（签字或</w:t>
      </w:r>
      <w:r>
        <w:rPr>
          <w:rFonts w:hint="eastAsia" w:ascii="宋体" w:hAnsi="宋体" w:cs="宋体"/>
          <w:color w:val="auto"/>
          <w:sz w:val="28"/>
          <w:szCs w:val="28"/>
          <w:highlight w:val="none"/>
          <w:lang w:eastAsia="zh-CN"/>
        </w:rPr>
        <w:t>盖章</w:t>
      </w:r>
      <w:r>
        <w:rPr>
          <w:rFonts w:hint="eastAsia" w:ascii="宋体" w:hAnsi="宋体" w:cs="宋体"/>
          <w:color w:val="auto"/>
          <w:sz w:val="28"/>
          <w:szCs w:val="28"/>
          <w:highlight w:val="none"/>
        </w:rPr>
        <w:t>）：     授权代表 (签字或</w:t>
      </w:r>
      <w:r>
        <w:rPr>
          <w:rFonts w:hint="eastAsia" w:ascii="宋体" w:hAnsi="宋体" w:cs="宋体"/>
          <w:color w:val="auto"/>
          <w:sz w:val="28"/>
          <w:szCs w:val="28"/>
          <w:highlight w:val="none"/>
          <w:lang w:eastAsia="zh-CN"/>
        </w:rPr>
        <w:t>盖章</w:t>
      </w:r>
      <w:r>
        <w:rPr>
          <w:rFonts w:hint="eastAsia" w:ascii="宋体" w:hAnsi="宋体" w:cs="宋体"/>
          <w:color w:val="auto"/>
          <w:sz w:val="28"/>
          <w:szCs w:val="28"/>
          <w:highlight w:val="none"/>
        </w:rPr>
        <w:t>) :</w:t>
      </w:r>
    </w:p>
    <w:p w14:paraId="5A5558F6">
      <w:pPr>
        <w:widowControl/>
        <w:snapToGrid w:val="0"/>
        <w:spacing w:line="360" w:lineRule="auto"/>
        <w:ind w:left="280" w:hanging="280" w:hangingChars="100"/>
        <w:rPr>
          <w:rFonts w:ascii="宋体" w:hAnsi="宋体" w:cs="宋体"/>
          <w:color w:val="auto"/>
          <w:sz w:val="28"/>
          <w:szCs w:val="28"/>
          <w:highlight w:val="none"/>
        </w:rPr>
      </w:pPr>
      <w:r>
        <w:rPr>
          <w:rFonts w:hint="eastAsia" w:ascii="宋体" w:hAnsi="宋体" w:cs="宋体"/>
          <w:color w:val="auto"/>
          <w:sz w:val="28"/>
          <w:szCs w:val="28"/>
          <w:highlight w:val="none"/>
        </w:rPr>
        <w:t>投标人（盖单位</w:t>
      </w:r>
      <w:r>
        <w:rPr>
          <w:rFonts w:hint="eastAsia" w:ascii="宋体" w:hAnsi="宋体" w:cs="宋体"/>
          <w:color w:val="auto"/>
          <w:sz w:val="28"/>
          <w:szCs w:val="28"/>
          <w:highlight w:val="none"/>
          <w:lang w:eastAsia="zh-CN"/>
        </w:rPr>
        <w:t>公章</w:t>
      </w:r>
      <w:r>
        <w:rPr>
          <w:rFonts w:hint="eastAsia" w:ascii="宋体" w:hAnsi="宋体" w:cs="宋体"/>
          <w:color w:val="auto"/>
          <w:sz w:val="28"/>
          <w:szCs w:val="28"/>
          <w:highlight w:val="none"/>
        </w:rPr>
        <w:t>）：</w:t>
      </w:r>
    </w:p>
    <w:p w14:paraId="51DEF1BE">
      <w:pPr>
        <w:widowControl/>
        <w:snapToGrid w:val="0"/>
        <w:spacing w:line="360" w:lineRule="auto"/>
        <w:ind w:left="280" w:hanging="280" w:hangingChars="100"/>
        <w:rPr>
          <w:rFonts w:ascii="宋体" w:hAnsi="宋体" w:cs="宋体"/>
          <w:color w:val="auto"/>
          <w:sz w:val="28"/>
          <w:szCs w:val="28"/>
          <w:highlight w:val="none"/>
        </w:rPr>
      </w:pPr>
    </w:p>
    <w:p w14:paraId="6023CB24">
      <w:pPr>
        <w:adjustRightInd w:val="0"/>
        <w:snapToGrid w:val="0"/>
        <w:spacing w:beforeLines="50" w:line="360" w:lineRule="auto"/>
        <w:jc w:val="right"/>
        <w:rPr>
          <w:color w:val="auto"/>
          <w:sz w:val="28"/>
          <w:szCs w:val="28"/>
          <w:highlight w:val="none"/>
        </w:rPr>
      </w:pPr>
      <w:r>
        <w:rPr>
          <w:rFonts w:hint="eastAsia" w:ascii="宋体" w:hAnsi="宋体" w:cs="宋体"/>
          <w:color w:val="auto"/>
          <w:sz w:val="28"/>
          <w:szCs w:val="28"/>
          <w:highlight w:val="none"/>
        </w:rPr>
        <w:t xml:space="preserve">                                 日期: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5E1FA45D">
      <w:pPr>
        <w:rPr>
          <w:color w:val="auto"/>
          <w:highlight w:val="none"/>
        </w:rPr>
      </w:pPr>
      <w:r>
        <w:rPr>
          <w:rFonts w:hint="eastAsia" w:ascii="宋体" w:hAnsi="宋体"/>
          <w:b/>
          <w:color w:val="auto"/>
          <w:sz w:val="28"/>
          <w:highlight w:val="none"/>
        </w:rPr>
        <w:br w:type="page"/>
      </w:r>
    </w:p>
    <w:p w14:paraId="7B2CE387">
      <w:pPr>
        <w:adjustRightInd w:val="0"/>
        <w:snapToGrid w:val="0"/>
        <w:spacing w:line="360" w:lineRule="auto"/>
        <w:ind w:right="480"/>
        <w:rPr>
          <w:rFonts w:ascii="宋体" w:hAnsi="宋体"/>
          <w:b/>
          <w:color w:val="auto"/>
          <w:sz w:val="28"/>
          <w:highlight w:val="none"/>
        </w:rPr>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pPr>
    </w:p>
    <w:p w14:paraId="10806242">
      <w:pPr>
        <w:spacing w:line="360"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2</w:t>
      </w:r>
    </w:p>
    <w:p w14:paraId="4373600A">
      <w:pPr>
        <w:snapToGrid w:val="0"/>
        <w:spacing w:line="480" w:lineRule="exact"/>
        <w:ind w:firstLine="723" w:firstLineChars="200"/>
        <w:jc w:val="center"/>
        <w:rPr>
          <w:rFonts w:ascii="宋体" w:hAnsi="宋体"/>
          <w:b/>
          <w:bCs/>
          <w:color w:val="auto"/>
          <w:sz w:val="30"/>
          <w:szCs w:val="30"/>
          <w:highlight w:val="none"/>
        </w:rPr>
      </w:pPr>
      <w:r>
        <w:rPr>
          <w:rFonts w:hint="eastAsia" w:ascii="宋体" w:hAnsi="宋体"/>
          <w:b/>
          <w:bCs/>
          <w:color w:val="auto"/>
          <w:sz w:val="36"/>
          <w:szCs w:val="36"/>
          <w:highlight w:val="none"/>
        </w:rPr>
        <w:t>投 标 承 诺 书</w:t>
      </w:r>
    </w:p>
    <w:p w14:paraId="08FD6A5B">
      <w:pPr>
        <w:snapToGrid w:val="0"/>
        <w:spacing w:line="480" w:lineRule="exact"/>
        <w:rPr>
          <w:rFonts w:hint="eastAsia" w:ascii="宋体" w:hAnsi="宋体" w:cs="宋体"/>
          <w:bCs/>
          <w:color w:val="auto"/>
          <w:sz w:val="24"/>
          <w:highlight w:val="none"/>
        </w:rPr>
      </w:pPr>
    </w:p>
    <w:p w14:paraId="5422A0F9">
      <w:pPr>
        <w:snapToGrid w:val="0"/>
        <w:spacing w:line="480" w:lineRule="exact"/>
        <w:rPr>
          <w:rFonts w:hint="eastAsia" w:ascii="宋体" w:hAnsi="宋体" w:eastAsia="宋体" w:cs="宋体"/>
          <w:color w:val="auto"/>
          <w:sz w:val="24"/>
          <w:highlight w:val="none"/>
          <w:lang w:eastAsia="zh-CN"/>
        </w:rPr>
      </w:pPr>
      <w:r>
        <w:rPr>
          <w:rFonts w:hint="eastAsia" w:ascii="宋体" w:hAnsi="宋体" w:cs="宋体"/>
          <w:bCs/>
          <w:color w:val="auto"/>
          <w:sz w:val="24"/>
          <w:highlight w:val="none"/>
        </w:rPr>
        <w:t>致：</w:t>
      </w:r>
      <w:r>
        <w:rPr>
          <w:rFonts w:hint="eastAsia" w:ascii="宋体" w:hAnsi="宋体" w:cs="宋体"/>
          <w:bCs/>
          <w:color w:val="auto"/>
          <w:sz w:val="24"/>
          <w:highlight w:val="none"/>
          <w:lang w:eastAsia="zh-CN"/>
        </w:rPr>
        <w:t>台州东茂观光农业开发有限公司</w:t>
      </w:r>
    </w:p>
    <w:p w14:paraId="165C8BEF">
      <w:pPr>
        <w:spacing w:line="480" w:lineRule="exact"/>
        <w:rPr>
          <w:rFonts w:ascii="宋体" w:hAnsi="宋体" w:cs="宋体"/>
          <w:color w:val="auto"/>
          <w:spacing w:val="-8"/>
          <w:sz w:val="24"/>
          <w:highlight w:val="none"/>
        </w:rPr>
      </w:pPr>
      <w:r>
        <w:rPr>
          <w:rFonts w:hint="eastAsia" w:ascii="宋体" w:hAnsi="宋体" w:cs="宋体"/>
          <w:color w:val="auto"/>
          <w:spacing w:val="-8"/>
          <w:sz w:val="24"/>
          <w:highlight w:val="none"/>
        </w:rPr>
        <w:t xml:space="preserve"> </w:t>
      </w:r>
      <w:r>
        <w:rPr>
          <w:rFonts w:hint="eastAsia" w:ascii="宋体" w:hAnsi="宋体" w:cs="宋体"/>
          <w:color w:val="auto"/>
          <w:spacing w:val="-8"/>
          <w:sz w:val="24"/>
          <w:highlight w:val="none"/>
          <w:lang w:val="en-US" w:eastAsia="zh-CN"/>
        </w:rPr>
        <w:t xml:space="preserve">    一、根据已收到的招标文件，按照有关的规定，经考察现场和研究本次招标文件后, 我方在全部同意招标文件的各项规定和要求的基础上，经慎重考虑，并愿意接受</w:t>
      </w:r>
      <w:r>
        <w:rPr>
          <w:rFonts w:hint="eastAsia" w:ascii="宋体" w:hAnsi="宋体" w:cs="宋体"/>
          <w:color w:val="auto"/>
          <w:spacing w:val="-8"/>
          <w:sz w:val="24"/>
          <w:highlight w:val="none"/>
          <w:u w:val="single"/>
          <w:lang w:val="en-US" w:eastAsia="zh-CN"/>
        </w:rPr>
        <w:t xml:space="preserve">          </w:t>
      </w:r>
      <w:r>
        <w:rPr>
          <w:rFonts w:hint="eastAsia" w:ascii="宋体" w:hAnsi="宋体" w:cs="宋体"/>
          <w:color w:val="auto"/>
          <w:spacing w:val="-8"/>
          <w:sz w:val="24"/>
          <w:highlight w:val="none"/>
          <w:u w:val="none"/>
          <w:lang w:val="en-US" w:eastAsia="zh-CN"/>
        </w:rPr>
        <w:t>元/盘，</w:t>
      </w:r>
      <w:r>
        <w:rPr>
          <w:rFonts w:hint="eastAsia" w:ascii="宋体" w:hAnsi="宋体" w:cs="宋体"/>
          <w:color w:val="auto"/>
          <w:spacing w:val="-8"/>
          <w:sz w:val="24"/>
          <w:highlight w:val="none"/>
          <w:lang w:val="en-US" w:eastAsia="zh-CN"/>
        </w:rPr>
        <w:t>（不得高于13元/盘，小数点后保留两位小数)的投标报价承包</w:t>
      </w:r>
      <w:r>
        <w:rPr>
          <w:rFonts w:hint="eastAsia" w:ascii="宋体" w:hAnsi="宋体" w:cs="宋体"/>
          <w:color w:val="auto"/>
          <w:spacing w:val="-8"/>
          <w:sz w:val="24"/>
          <w:highlight w:val="none"/>
          <w:u w:val="single"/>
          <w:lang w:val="en-US" w:eastAsia="zh-CN"/>
        </w:rPr>
        <w:t>台州东茂观光农业开发有限公司2025年水稻秧苗采购（重新招标）</w:t>
      </w:r>
      <w:r>
        <w:rPr>
          <w:rFonts w:hint="eastAsia" w:ascii="宋体" w:hAnsi="宋体" w:cs="宋体"/>
          <w:color w:val="auto"/>
          <w:spacing w:val="-8"/>
          <w:sz w:val="24"/>
          <w:highlight w:val="none"/>
          <w:lang w:val="en-US" w:eastAsia="zh-CN"/>
        </w:rPr>
        <w:t>（标段名称）。</w:t>
      </w:r>
      <w:r>
        <w:rPr>
          <w:rFonts w:hint="eastAsia" w:ascii="宋体" w:hAnsi="宋体" w:cs="宋体"/>
          <w:color w:val="auto"/>
          <w:sz w:val="24"/>
          <w:highlight w:val="none"/>
        </w:rPr>
        <w:t xml:space="preserve"> </w:t>
      </w:r>
    </w:p>
    <w:p w14:paraId="2072565B">
      <w:pPr>
        <w:snapToGrid w:val="0"/>
        <w:spacing w:line="480" w:lineRule="exact"/>
        <w:ind w:firstLine="487"/>
        <w:rPr>
          <w:rFonts w:ascii="宋体" w:hAnsi="宋体" w:cs="宋体"/>
          <w:color w:val="auto"/>
          <w:sz w:val="24"/>
          <w:highlight w:val="none"/>
        </w:rPr>
      </w:pPr>
      <w:r>
        <w:rPr>
          <w:rFonts w:hint="eastAsia" w:ascii="宋体" w:hAnsi="宋体" w:cs="宋体"/>
          <w:color w:val="auto"/>
          <w:sz w:val="24"/>
          <w:highlight w:val="none"/>
        </w:rPr>
        <w:t>二、一旦我方中标，在全部同意招标文件内容前提下，我方保证：</w:t>
      </w:r>
    </w:p>
    <w:p w14:paraId="57E408DD">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1、严格遵守招标文件和承包合同中的各项条款。</w:t>
      </w:r>
    </w:p>
    <w:p w14:paraId="62258081">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2、严格遵守招标过程中的各项规定，不搞破坏招标的各项活动。</w:t>
      </w:r>
    </w:p>
    <w:p w14:paraId="5AFB3DEC">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3、我方在经营活动中自觉接受卫生、环保、安全等各项检查。</w:t>
      </w:r>
    </w:p>
    <w:p w14:paraId="30D5D9B1">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4、本次招投标中无论是否中标，</w:t>
      </w:r>
      <w:r>
        <w:rPr>
          <w:rFonts w:hint="eastAsia" w:ascii="宋体" w:hAnsi="宋体" w:cs="宋体"/>
          <w:color w:val="auto"/>
          <w:sz w:val="24"/>
          <w:highlight w:val="none"/>
          <w:lang w:eastAsia="zh-CN"/>
        </w:rPr>
        <w:t>我方</w:t>
      </w:r>
      <w:r>
        <w:rPr>
          <w:rFonts w:hint="eastAsia" w:ascii="宋体" w:hAnsi="宋体" w:cs="宋体"/>
          <w:color w:val="auto"/>
          <w:sz w:val="24"/>
          <w:highlight w:val="none"/>
        </w:rPr>
        <w:t>的各项投标费用全部自行承担。</w:t>
      </w:r>
    </w:p>
    <w:p w14:paraId="0B7F75EA">
      <w:pPr>
        <w:snapToGrid w:val="0"/>
        <w:spacing w:line="480" w:lineRule="exact"/>
        <w:ind w:firstLine="453"/>
        <w:rPr>
          <w:rFonts w:ascii="宋体" w:hAnsi="宋体" w:cs="宋体"/>
          <w:color w:val="auto"/>
          <w:sz w:val="24"/>
          <w:highlight w:val="none"/>
        </w:rPr>
      </w:pPr>
      <w:r>
        <w:rPr>
          <w:rFonts w:hint="eastAsia" w:ascii="宋体" w:hAnsi="宋体" w:cs="宋体"/>
          <w:color w:val="auto"/>
          <w:sz w:val="24"/>
          <w:highlight w:val="none"/>
        </w:rPr>
        <w:t>三、如果我</w:t>
      </w:r>
      <w:r>
        <w:rPr>
          <w:rFonts w:hint="eastAsia" w:ascii="宋体" w:hAnsi="宋体" w:cs="宋体"/>
          <w:color w:val="auto"/>
          <w:sz w:val="24"/>
          <w:highlight w:val="none"/>
          <w:lang w:eastAsia="zh-CN"/>
        </w:rPr>
        <w:t>方</w:t>
      </w:r>
      <w:r>
        <w:rPr>
          <w:rFonts w:hint="eastAsia" w:ascii="宋体" w:hAnsi="宋体" w:cs="宋体"/>
          <w:color w:val="auto"/>
          <w:sz w:val="24"/>
          <w:highlight w:val="none"/>
        </w:rPr>
        <w:t>中标，我方将按照招标文件规定提交履约保证金，并根据招标文件要求承担相应责任。</w:t>
      </w:r>
    </w:p>
    <w:p w14:paraId="34E5685A">
      <w:pPr>
        <w:snapToGrid w:val="0"/>
        <w:spacing w:line="480" w:lineRule="exact"/>
        <w:ind w:firstLine="453"/>
        <w:rPr>
          <w:rFonts w:ascii="宋体" w:hAnsi="宋体" w:cs="宋体"/>
          <w:color w:val="auto"/>
          <w:sz w:val="24"/>
          <w:highlight w:val="none"/>
        </w:rPr>
      </w:pPr>
      <w:r>
        <w:rPr>
          <w:rFonts w:hint="eastAsia" w:ascii="宋体" w:hAnsi="宋体" w:cs="宋体"/>
          <w:color w:val="auto"/>
          <w:sz w:val="24"/>
          <w:highlight w:val="none"/>
        </w:rPr>
        <w:t>四、除非另外达成协议并生效，本投标文件将构成约束我们双方的合同。</w:t>
      </w:r>
    </w:p>
    <w:p w14:paraId="2C82A37F">
      <w:pPr>
        <w:snapToGrid w:val="0"/>
        <w:spacing w:line="480" w:lineRule="exact"/>
        <w:ind w:firstLine="720" w:firstLineChars="300"/>
        <w:jc w:val="left"/>
        <w:rPr>
          <w:rFonts w:ascii="宋体" w:hAnsi="宋体" w:cs="宋体"/>
          <w:color w:val="auto"/>
          <w:sz w:val="24"/>
          <w:highlight w:val="none"/>
        </w:rPr>
      </w:pPr>
    </w:p>
    <w:p w14:paraId="7ABB5A41">
      <w:pPr>
        <w:snapToGrid w:val="0"/>
        <w:spacing w:line="480" w:lineRule="exact"/>
        <w:ind w:firstLine="720" w:firstLineChars="300"/>
        <w:jc w:val="left"/>
        <w:rPr>
          <w:rFonts w:ascii="宋体" w:hAnsi="宋体" w:cs="宋体"/>
          <w:color w:val="auto"/>
          <w:sz w:val="24"/>
          <w:highlight w:val="none"/>
        </w:rPr>
      </w:pPr>
    </w:p>
    <w:p w14:paraId="1D5E928A">
      <w:pPr>
        <w:pStyle w:val="17"/>
        <w:jc w:val="center"/>
        <w:rPr>
          <w:rFonts w:hint="eastAsia"/>
          <w:color w:val="auto"/>
          <w:sz w:val="24"/>
          <w:highlight w:val="none"/>
        </w:rPr>
      </w:pPr>
      <w:r>
        <w:rPr>
          <w:rFonts w:hint="eastAsia"/>
          <w:color w:val="auto"/>
          <w:sz w:val="24"/>
          <w:highlight w:val="none"/>
          <w:lang w:val="en-US" w:eastAsia="zh-CN"/>
        </w:rPr>
        <w:t xml:space="preserve">                </w:t>
      </w:r>
      <w:r>
        <w:rPr>
          <w:rFonts w:hint="eastAsia"/>
          <w:color w:val="auto"/>
          <w:sz w:val="24"/>
          <w:highlight w:val="none"/>
        </w:rPr>
        <w:t>法定代表人（签字或盖章）：</w:t>
      </w:r>
    </w:p>
    <w:p w14:paraId="2E1A454B">
      <w:pPr>
        <w:pStyle w:val="17"/>
        <w:jc w:val="right"/>
        <w:rPr>
          <w:rFonts w:hint="eastAsia"/>
          <w:color w:val="auto"/>
          <w:sz w:val="24"/>
          <w:highlight w:val="none"/>
        </w:rPr>
      </w:pPr>
    </w:p>
    <w:p w14:paraId="0B3B9A41">
      <w:pPr>
        <w:pStyle w:val="17"/>
        <w:jc w:val="center"/>
        <w:rPr>
          <w:rFonts w:hint="eastAsia"/>
          <w:color w:val="auto"/>
          <w:sz w:val="24"/>
          <w:highlight w:val="none"/>
        </w:rPr>
      </w:pPr>
      <w:r>
        <w:rPr>
          <w:rFonts w:hint="eastAsia"/>
          <w:color w:val="auto"/>
          <w:sz w:val="24"/>
          <w:highlight w:val="none"/>
          <w:lang w:val="en-US" w:eastAsia="zh-CN"/>
        </w:rPr>
        <w:t xml:space="preserve">            </w:t>
      </w:r>
      <w:r>
        <w:rPr>
          <w:rFonts w:hint="eastAsia"/>
          <w:color w:val="auto"/>
          <w:sz w:val="24"/>
          <w:highlight w:val="none"/>
        </w:rPr>
        <w:t>投标人（盖单位公章）：</w:t>
      </w:r>
    </w:p>
    <w:p w14:paraId="528FA3E7">
      <w:pPr>
        <w:pStyle w:val="17"/>
        <w:jc w:val="right"/>
        <w:rPr>
          <w:rFonts w:hint="eastAsia"/>
          <w:color w:val="auto"/>
          <w:sz w:val="24"/>
          <w:highlight w:val="none"/>
        </w:rPr>
      </w:pPr>
    </w:p>
    <w:p w14:paraId="26458D95">
      <w:pPr>
        <w:pStyle w:val="17"/>
        <w:ind w:firstLine="4080" w:firstLineChars="1700"/>
        <w:jc w:val="both"/>
        <w:rPr>
          <w:rFonts w:hint="eastAsia"/>
          <w:color w:val="auto"/>
          <w:sz w:val="24"/>
          <w:highlight w:val="none"/>
        </w:rPr>
      </w:pPr>
      <w:r>
        <w:rPr>
          <w:rFonts w:hint="eastAsia"/>
          <w:color w:val="auto"/>
          <w:sz w:val="24"/>
          <w:highlight w:val="none"/>
        </w:rPr>
        <w:t>日期：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14:paraId="32F0A278">
      <w:pPr>
        <w:rPr>
          <w:rFonts w:hint="eastAsia"/>
          <w:color w:val="auto"/>
          <w:sz w:val="24"/>
          <w:highlight w:val="none"/>
        </w:rPr>
      </w:pPr>
    </w:p>
    <w:p w14:paraId="09D9DA90">
      <w:pPr>
        <w:rPr>
          <w:rFonts w:hint="eastAsia"/>
          <w:color w:val="auto"/>
          <w:sz w:val="24"/>
          <w:highlight w:val="none"/>
        </w:rPr>
      </w:pPr>
    </w:p>
    <w:p w14:paraId="5245538E">
      <w:pPr>
        <w:rPr>
          <w:rFonts w:hint="eastAsia"/>
          <w:color w:val="auto"/>
          <w:sz w:val="24"/>
          <w:highlight w:val="none"/>
        </w:rPr>
      </w:pPr>
    </w:p>
    <w:p w14:paraId="4182BED7">
      <w:pPr>
        <w:rPr>
          <w:rFonts w:hint="eastAsia"/>
          <w:color w:val="auto"/>
          <w:sz w:val="24"/>
          <w:highlight w:val="none"/>
        </w:rPr>
      </w:pPr>
    </w:p>
    <w:p w14:paraId="1DD951B2">
      <w:pPr>
        <w:rPr>
          <w:rFonts w:hint="eastAsia"/>
          <w:color w:val="auto"/>
          <w:sz w:val="24"/>
          <w:highlight w:val="none"/>
        </w:rPr>
      </w:pPr>
    </w:p>
    <w:p w14:paraId="4D6CE5F3">
      <w:pPr>
        <w:rPr>
          <w:rFonts w:hint="eastAsia"/>
          <w:color w:val="auto"/>
          <w:sz w:val="24"/>
          <w:highlight w:val="none"/>
        </w:rPr>
      </w:pPr>
    </w:p>
    <w:p w14:paraId="03468B39">
      <w:pPr>
        <w:rPr>
          <w:rFonts w:hint="eastAsia"/>
          <w:color w:val="auto"/>
          <w:sz w:val="24"/>
          <w:highlight w:val="none"/>
        </w:rPr>
      </w:pPr>
    </w:p>
    <w:p w14:paraId="199CE464">
      <w:pPr>
        <w:spacing w:line="360" w:lineRule="auto"/>
        <w:rPr>
          <w:rFonts w:hint="eastAsia" w:ascii="宋体" w:hAnsi="宋体"/>
          <w:b/>
          <w:color w:val="auto"/>
          <w:sz w:val="28"/>
          <w:highlight w:val="none"/>
        </w:rPr>
      </w:pPr>
    </w:p>
    <w:p w14:paraId="2A12A966">
      <w:pPr>
        <w:spacing w:line="360"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3</w:t>
      </w:r>
    </w:p>
    <w:p w14:paraId="62A21457">
      <w:pPr>
        <w:pStyle w:val="17"/>
        <w:numPr>
          <w:ilvl w:val="0"/>
          <w:numId w:val="0"/>
        </w:numPr>
        <w:jc w:val="center"/>
        <w:rPr>
          <w:rFonts w:hint="eastAsia"/>
          <w:sz w:val="36"/>
          <w:szCs w:val="36"/>
        </w:rPr>
      </w:pPr>
      <w:r>
        <w:rPr>
          <w:rFonts w:hint="eastAsia"/>
          <w:sz w:val="36"/>
          <w:szCs w:val="36"/>
        </w:rPr>
        <w:t>投标报价明细清单</w:t>
      </w:r>
    </w:p>
    <w:p w14:paraId="6F1A6863">
      <w:pPr>
        <w:pStyle w:val="17"/>
        <w:numPr>
          <w:ilvl w:val="0"/>
          <w:numId w:val="0"/>
        </w:numPr>
        <w:jc w:val="center"/>
        <w:rPr>
          <w:rFonts w:hint="eastAsia"/>
          <w:sz w:val="36"/>
          <w:szCs w:val="36"/>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991"/>
        <w:gridCol w:w="2603"/>
        <w:gridCol w:w="669"/>
        <w:gridCol w:w="777"/>
        <w:gridCol w:w="1568"/>
        <w:gridCol w:w="1459"/>
      </w:tblGrid>
      <w:tr w14:paraId="5D194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61" w:type="dxa"/>
            <w:noWrap w:val="0"/>
            <w:vAlign w:val="center"/>
          </w:tcPr>
          <w:p w14:paraId="674BB4E6">
            <w:pPr>
              <w:keepNext w:val="0"/>
              <w:keepLines w:val="0"/>
              <w:widowControl/>
              <w:suppressLineNumbers w:val="0"/>
              <w:jc w:val="center"/>
              <w:textAlignment w:val="center"/>
              <w:rPr>
                <w:rFonts w:hint="eastAsia" w:ascii="宋体" w:hAnsi="宋体" w:eastAsia="宋体" w:cs="Calibri"/>
                <w:b/>
                <w:bCs/>
                <w:color w:val="auto"/>
                <w:sz w:val="20"/>
                <w:szCs w:val="20"/>
                <w:highlight w:val="none"/>
                <w:vertAlign w:val="baseline"/>
              </w:rPr>
            </w:pPr>
            <w:r>
              <w:rPr>
                <w:rFonts w:hint="eastAsia" w:ascii="宋体" w:hAnsi="宋体" w:eastAsia="宋体" w:cs="宋体"/>
                <w:i w:val="0"/>
                <w:color w:val="000000"/>
                <w:kern w:val="0"/>
                <w:sz w:val="20"/>
                <w:szCs w:val="20"/>
                <w:u w:val="none"/>
                <w:lang w:val="en-US" w:eastAsia="zh-CN" w:bidi="ar"/>
              </w:rPr>
              <w:t>序号</w:t>
            </w:r>
          </w:p>
        </w:tc>
        <w:tc>
          <w:tcPr>
            <w:tcW w:w="991" w:type="dxa"/>
            <w:noWrap w:val="0"/>
            <w:vAlign w:val="center"/>
          </w:tcPr>
          <w:p w14:paraId="75F95AA7">
            <w:pPr>
              <w:keepNext w:val="0"/>
              <w:keepLines w:val="0"/>
              <w:widowControl/>
              <w:suppressLineNumbers w:val="0"/>
              <w:jc w:val="center"/>
              <w:textAlignment w:val="center"/>
              <w:rPr>
                <w:rFonts w:hint="eastAsia" w:ascii="宋体" w:hAnsi="宋体" w:eastAsia="宋体" w:cs="Calibri"/>
                <w:b/>
                <w:bCs/>
                <w:color w:val="auto"/>
                <w:sz w:val="20"/>
                <w:szCs w:val="20"/>
                <w:highlight w:val="none"/>
                <w:vertAlign w:val="baseline"/>
              </w:rPr>
            </w:pPr>
            <w:r>
              <w:rPr>
                <w:rFonts w:hint="eastAsia" w:ascii="宋体" w:hAnsi="宋体" w:eastAsia="宋体" w:cs="宋体"/>
                <w:i w:val="0"/>
                <w:color w:val="000000"/>
                <w:kern w:val="0"/>
                <w:sz w:val="20"/>
                <w:szCs w:val="20"/>
                <w:u w:val="none"/>
                <w:lang w:val="en-US" w:eastAsia="zh-CN" w:bidi="ar"/>
              </w:rPr>
              <w:t>项目名称</w:t>
            </w:r>
          </w:p>
        </w:tc>
        <w:tc>
          <w:tcPr>
            <w:tcW w:w="2603" w:type="dxa"/>
            <w:noWrap w:val="0"/>
            <w:vAlign w:val="center"/>
          </w:tcPr>
          <w:p w14:paraId="4240144E">
            <w:pPr>
              <w:keepNext w:val="0"/>
              <w:keepLines w:val="0"/>
              <w:widowControl/>
              <w:suppressLineNumbers w:val="0"/>
              <w:jc w:val="center"/>
              <w:textAlignment w:val="center"/>
              <w:rPr>
                <w:rFonts w:hint="eastAsia" w:ascii="宋体" w:hAnsi="宋体" w:eastAsia="宋体" w:cs="Calibri"/>
                <w:b/>
                <w:bCs/>
                <w:color w:val="auto"/>
                <w:sz w:val="20"/>
                <w:szCs w:val="20"/>
                <w:highlight w:val="none"/>
                <w:vertAlign w:val="baseline"/>
              </w:rPr>
            </w:pPr>
            <w:r>
              <w:rPr>
                <w:rFonts w:hint="eastAsia" w:ascii="宋体" w:hAnsi="宋体" w:eastAsia="宋体" w:cs="宋体"/>
                <w:i w:val="0"/>
                <w:color w:val="000000"/>
                <w:kern w:val="0"/>
                <w:sz w:val="20"/>
                <w:szCs w:val="20"/>
                <w:u w:val="none"/>
                <w:lang w:val="en-US" w:eastAsia="zh-CN" w:bidi="ar"/>
              </w:rPr>
              <w:t>项目特征</w:t>
            </w:r>
          </w:p>
        </w:tc>
        <w:tc>
          <w:tcPr>
            <w:tcW w:w="669" w:type="dxa"/>
            <w:noWrap w:val="0"/>
            <w:vAlign w:val="center"/>
          </w:tcPr>
          <w:p w14:paraId="237BC369">
            <w:pPr>
              <w:keepNext w:val="0"/>
              <w:keepLines w:val="0"/>
              <w:widowControl/>
              <w:suppressLineNumbers w:val="0"/>
              <w:jc w:val="center"/>
              <w:textAlignment w:val="center"/>
              <w:rPr>
                <w:rFonts w:hint="eastAsia" w:ascii="宋体" w:hAnsi="宋体" w:eastAsia="宋体" w:cs="Calibri"/>
                <w:b/>
                <w:bCs/>
                <w:color w:val="auto"/>
                <w:sz w:val="20"/>
                <w:szCs w:val="20"/>
                <w:highlight w:val="none"/>
                <w:vertAlign w:val="baseline"/>
              </w:rPr>
            </w:pPr>
            <w:r>
              <w:rPr>
                <w:rFonts w:hint="eastAsia" w:ascii="宋体" w:hAnsi="宋体" w:eastAsia="宋体" w:cs="宋体"/>
                <w:i w:val="0"/>
                <w:color w:val="000000"/>
                <w:kern w:val="0"/>
                <w:sz w:val="20"/>
                <w:szCs w:val="20"/>
                <w:u w:val="none"/>
                <w:lang w:val="en-US" w:eastAsia="zh-CN" w:bidi="ar"/>
              </w:rPr>
              <w:t>计量单位</w:t>
            </w:r>
          </w:p>
        </w:tc>
        <w:tc>
          <w:tcPr>
            <w:tcW w:w="777" w:type="dxa"/>
            <w:noWrap w:val="0"/>
            <w:vAlign w:val="center"/>
          </w:tcPr>
          <w:p w14:paraId="6F165C0E">
            <w:pPr>
              <w:keepNext w:val="0"/>
              <w:keepLines w:val="0"/>
              <w:widowControl/>
              <w:suppressLineNumbers w:val="0"/>
              <w:jc w:val="center"/>
              <w:textAlignment w:val="center"/>
              <w:rPr>
                <w:rFonts w:hint="eastAsia" w:ascii="宋体" w:hAnsi="宋体" w:eastAsia="宋体" w:cs="Calibri"/>
                <w:b/>
                <w:bCs/>
                <w:color w:val="auto"/>
                <w:sz w:val="20"/>
                <w:szCs w:val="20"/>
                <w:highlight w:val="none"/>
                <w:vertAlign w:val="baseline"/>
              </w:rPr>
            </w:pPr>
            <w:r>
              <w:rPr>
                <w:rFonts w:hint="eastAsia" w:cs="Calibri"/>
                <w:i w:val="0"/>
                <w:color w:val="000000"/>
                <w:kern w:val="0"/>
                <w:sz w:val="20"/>
                <w:szCs w:val="20"/>
                <w:u w:val="none"/>
                <w:lang w:val="en-US" w:eastAsia="zh-CN" w:bidi="ar"/>
              </w:rPr>
              <w:t>暂估</w:t>
            </w:r>
            <w:r>
              <w:rPr>
                <w:rFonts w:hint="eastAsia" w:ascii="宋体" w:hAnsi="宋体" w:eastAsia="宋体" w:cs="宋体"/>
                <w:i w:val="0"/>
                <w:color w:val="000000"/>
                <w:kern w:val="0"/>
                <w:sz w:val="20"/>
                <w:szCs w:val="20"/>
                <w:u w:val="none"/>
                <w:lang w:val="en-US" w:eastAsia="zh-CN" w:bidi="ar"/>
              </w:rPr>
              <w:t>量</w:t>
            </w:r>
          </w:p>
        </w:tc>
        <w:tc>
          <w:tcPr>
            <w:tcW w:w="1568" w:type="dxa"/>
            <w:noWrap w:val="0"/>
            <w:vAlign w:val="center"/>
          </w:tcPr>
          <w:p w14:paraId="6CE9F906">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全费用综合单价上限（元</w:t>
            </w:r>
            <w:r>
              <w:rPr>
                <w:rFonts w:hint="eastAsia" w:ascii="宋体" w:hAnsi="宋体" w:cs="宋体"/>
                <w:i w:val="0"/>
                <w:color w:val="000000"/>
                <w:kern w:val="0"/>
                <w:sz w:val="20"/>
                <w:szCs w:val="20"/>
                <w:u w:val="none"/>
                <w:lang w:val="en-US" w:eastAsia="zh-CN" w:bidi="ar"/>
              </w:rPr>
              <w:t>/盘</w:t>
            </w:r>
            <w:r>
              <w:rPr>
                <w:rFonts w:hint="eastAsia" w:ascii="宋体" w:hAnsi="宋体" w:eastAsia="宋体" w:cs="宋体"/>
                <w:i w:val="0"/>
                <w:color w:val="000000"/>
                <w:kern w:val="0"/>
                <w:sz w:val="20"/>
                <w:szCs w:val="20"/>
                <w:u w:val="none"/>
                <w:lang w:val="en-US" w:eastAsia="zh-CN" w:bidi="ar"/>
              </w:rPr>
              <w:t>）</w:t>
            </w:r>
          </w:p>
        </w:tc>
        <w:tc>
          <w:tcPr>
            <w:tcW w:w="1459" w:type="dxa"/>
            <w:noWrap w:val="0"/>
            <w:vAlign w:val="center"/>
          </w:tcPr>
          <w:p w14:paraId="1FCF043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全费用综合综合单价（元）</w:t>
            </w:r>
          </w:p>
        </w:tc>
      </w:tr>
      <w:tr w14:paraId="5C89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noWrap w:val="0"/>
            <w:vAlign w:val="center"/>
          </w:tcPr>
          <w:p w14:paraId="7FD756FB">
            <w:pPr>
              <w:keepNext w:val="0"/>
              <w:keepLines w:val="0"/>
              <w:widowControl/>
              <w:suppressLineNumbers w:val="0"/>
              <w:jc w:val="center"/>
              <w:textAlignment w:val="center"/>
              <w:rPr>
                <w:rFonts w:hint="eastAsia" w:ascii="宋体" w:hAnsi="宋体" w:eastAsia="宋体" w:cs="Calibri"/>
                <w:b/>
                <w:bCs/>
                <w:color w:val="auto"/>
                <w:sz w:val="20"/>
                <w:szCs w:val="20"/>
                <w:highlight w:val="none"/>
                <w:vertAlign w:val="baseline"/>
              </w:rPr>
            </w:pPr>
            <w:r>
              <w:rPr>
                <w:rFonts w:hint="eastAsia" w:ascii="宋体" w:hAnsi="宋体" w:eastAsia="宋体" w:cs="宋体"/>
                <w:i w:val="0"/>
                <w:iCs w:val="0"/>
                <w:color w:val="000000"/>
                <w:kern w:val="0"/>
                <w:sz w:val="20"/>
                <w:szCs w:val="20"/>
                <w:u w:val="none"/>
                <w:lang w:val="en-US" w:eastAsia="zh-CN" w:bidi="ar"/>
              </w:rPr>
              <w:t>1</w:t>
            </w:r>
          </w:p>
        </w:tc>
        <w:tc>
          <w:tcPr>
            <w:tcW w:w="991" w:type="dxa"/>
            <w:noWrap w:val="0"/>
            <w:vAlign w:val="center"/>
          </w:tcPr>
          <w:p w14:paraId="11313902">
            <w:pPr>
              <w:keepNext w:val="0"/>
              <w:keepLines w:val="0"/>
              <w:widowControl/>
              <w:suppressLineNumbers w:val="0"/>
              <w:jc w:val="center"/>
              <w:textAlignment w:val="center"/>
              <w:rPr>
                <w:rFonts w:hint="eastAsia" w:ascii="宋体" w:hAnsi="宋体" w:eastAsia="宋体" w:cs="Calibri"/>
                <w:b/>
                <w:bCs/>
                <w:color w:val="auto"/>
                <w:sz w:val="20"/>
                <w:szCs w:val="20"/>
                <w:highlight w:val="none"/>
                <w:vertAlign w:val="baseline"/>
              </w:rPr>
            </w:pPr>
            <w:r>
              <w:rPr>
                <w:rFonts w:hint="eastAsia" w:ascii="宋体" w:hAnsi="宋体" w:eastAsia="宋体" w:cs="Calibri"/>
                <w:b/>
                <w:bCs/>
                <w:color w:val="auto"/>
                <w:sz w:val="20"/>
                <w:szCs w:val="20"/>
                <w:highlight w:val="none"/>
                <w:vertAlign w:val="baseline"/>
              </w:rPr>
              <w:t>杂交水稻甬优1540的秧苗</w:t>
            </w:r>
          </w:p>
        </w:tc>
        <w:tc>
          <w:tcPr>
            <w:tcW w:w="2603" w:type="dxa"/>
            <w:noWrap w:val="0"/>
            <w:vAlign w:val="center"/>
          </w:tcPr>
          <w:p w14:paraId="15E3EDF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每盘448钵秧苗，每钵2-3苗，秧苗附带基质球，交付苗高至少达到15公分，秧龄18-20天，纯度96%以上，净度98%以上，发芽率80%以上，无恶苗病。</w:t>
            </w:r>
          </w:p>
        </w:tc>
        <w:tc>
          <w:tcPr>
            <w:tcW w:w="669" w:type="dxa"/>
            <w:noWrap w:val="0"/>
            <w:vAlign w:val="center"/>
          </w:tcPr>
          <w:p w14:paraId="30688521">
            <w:pPr>
              <w:keepNext w:val="0"/>
              <w:keepLines w:val="0"/>
              <w:widowControl/>
              <w:suppressLineNumbers w:val="0"/>
              <w:jc w:val="center"/>
              <w:textAlignment w:val="center"/>
              <w:rPr>
                <w:rFonts w:hint="eastAsia" w:ascii="宋体" w:hAnsi="宋体" w:eastAsia="宋体" w:cs="Calibri"/>
                <w:b/>
                <w:bCs/>
                <w:color w:val="auto"/>
                <w:sz w:val="20"/>
                <w:szCs w:val="20"/>
                <w:highlight w:val="none"/>
                <w:vertAlign w:val="baseline"/>
              </w:rPr>
            </w:pPr>
            <w:r>
              <w:rPr>
                <w:rFonts w:hint="eastAsia" w:ascii="宋体" w:hAnsi="宋体" w:eastAsia="宋体" w:cs="Calibri"/>
                <w:b/>
                <w:bCs/>
                <w:color w:val="auto"/>
                <w:sz w:val="20"/>
                <w:szCs w:val="20"/>
                <w:highlight w:val="none"/>
                <w:vertAlign w:val="baseline"/>
              </w:rPr>
              <w:t>盘</w:t>
            </w:r>
          </w:p>
        </w:tc>
        <w:tc>
          <w:tcPr>
            <w:tcW w:w="777" w:type="dxa"/>
            <w:noWrap w:val="0"/>
            <w:vAlign w:val="center"/>
          </w:tcPr>
          <w:p w14:paraId="6B574911">
            <w:pPr>
              <w:keepNext w:val="0"/>
              <w:keepLines w:val="0"/>
              <w:widowControl/>
              <w:suppressLineNumbers w:val="0"/>
              <w:jc w:val="center"/>
              <w:textAlignment w:val="center"/>
              <w:rPr>
                <w:rFonts w:hint="eastAsia" w:ascii="宋体" w:hAnsi="宋体" w:eastAsia="宋体" w:cs="Calibri"/>
                <w:b/>
                <w:bCs/>
                <w:color w:val="auto"/>
                <w:sz w:val="20"/>
                <w:szCs w:val="20"/>
                <w:highlight w:val="none"/>
                <w:vertAlign w:val="baseline"/>
                <w:lang w:eastAsia="zh-CN"/>
              </w:rPr>
            </w:pPr>
            <w:r>
              <w:rPr>
                <w:rFonts w:hint="eastAsia" w:ascii="宋体" w:hAnsi="宋体" w:cs="Calibri"/>
                <w:b/>
                <w:bCs/>
                <w:color w:val="auto"/>
                <w:sz w:val="20"/>
                <w:szCs w:val="20"/>
                <w:highlight w:val="none"/>
                <w:vertAlign w:val="baseline"/>
                <w:lang w:eastAsia="zh-CN"/>
              </w:rPr>
              <w:t>65000</w:t>
            </w:r>
          </w:p>
        </w:tc>
        <w:tc>
          <w:tcPr>
            <w:tcW w:w="1568" w:type="dxa"/>
            <w:noWrap w:val="0"/>
            <w:vAlign w:val="center"/>
          </w:tcPr>
          <w:p w14:paraId="4D1CFFAB">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13.00</w:t>
            </w:r>
          </w:p>
        </w:tc>
        <w:tc>
          <w:tcPr>
            <w:tcW w:w="1459" w:type="dxa"/>
            <w:noWrap w:val="0"/>
            <w:vAlign w:val="center"/>
          </w:tcPr>
          <w:p w14:paraId="4B58D2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7054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7"/>
            <w:noWrap w:val="0"/>
            <w:vAlign w:val="center"/>
          </w:tcPr>
          <w:p w14:paraId="3F1407FA">
            <w:pPr>
              <w:snapToGrid w:val="0"/>
              <w:spacing w:before="50" w:after="5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sz w:val="24"/>
                <w:u w:val="single"/>
              </w:rPr>
              <w:t>(转结至附件2：投标承诺书</w:t>
            </w:r>
            <w:r>
              <w:rPr>
                <w:rFonts w:hint="eastAsia" w:ascii="宋体" w:hAnsi="宋体" w:cs="宋体"/>
                <w:sz w:val="24"/>
                <w:highlight w:val="none"/>
                <w:u w:val="single"/>
              </w:rPr>
              <w:t>）（全费用综合综合单价小数点后保留两位小数，否则作无效标处理）</w:t>
            </w:r>
          </w:p>
        </w:tc>
      </w:tr>
    </w:tbl>
    <w:p w14:paraId="71E256A8">
      <w:pPr>
        <w:pStyle w:val="17"/>
        <w:jc w:val="right"/>
        <w:rPr>
          <w:rFonts w:hint="eastAsia"/>
          <w:color w:val="auto"/>
          <w:sz w:val="24"/>
          <w:highlight w:val="none"/>
        </w:rPr>
      </w:pPr>
      <w:r>
        <w:rPr>
          <w:rFonts w:hint="eastAsia"/>
          <w:color w:val="auto"/>
          <w:sz w:val="24"/>
          <w:highlight w:val="none"/>
        </w:rPr>
        <w:t>法定代表人（签字或盖章）：</w:t>
      </w:r>
    </w:p>
    <w:p w14:paraId="2F0D26E6">
      <w:pPr>
        <w:pStyle w:val="17"/>
        <w:jc w:val="right"/>
        <w:rPr>
          <w:rFonts w:hint="eastAsia"/>
          <w:color w:val="auto"/>
          <w:sz w:val="24"/>
          <w:highlight w:val="none"/>
        </w:rPr>
      </w:pPr>
    </w:p>
    <w:p w14:paraId="7BF8A6BE">
      <w:pPr>
        <w:pStyle w:val="17"/>
        <w:jc w:val="right"/>
        <w:rPr>
          <w:rFonts w:hint="eastAsia"/>
          <w:color w:val="auto"/>
          <w:sz w:val="24"/>
          <w:highlight w:val="none"/>
        </w:rPr>
      </w:pPr>
      <w:r>
        <w:rPr>
          <w:rFonts w:hint="eastAsia"/>
          <w:color w:val="auto"/>
          <w:sz w:val="24"/>
          <w:highlight w:val="none"/>
          <w:lang w:val="en-US" w:eastAsia="zh-CN"/>
        </w:rPr>
        <w:t xml:space="preserve">            </w:t>
      </w:r>
      <w:r>
        <w:rPr>
          <w:rFonts w:hint="eastAsia"/>
          <w:color w:val="auto"/>
          <w:sz w:val="24"/>
          <w:highlight w:val="none"/>
        </w:rPr>
        <w:t>投标人（盖单位公章）：</w:t>
      </w:r>
    </w:p>
    <w:p w14:paraId="06B9BFA4">
      <w:pPr>
        <w:pStyle w:val="17"/>
        <w:jc w:val="right"/>
        <w:rPr>
          <w:rFonts w:hint="eastAsia"/>
          <w:color w:val="auto"/>
          <w:sz w:val="24"/>
          <w:highlight w:val="none"/>
        </w:rPr>
      </w:pPr>
    </w:p>
    <w:p w14:paraId="46BADCF1">
      <w:pPr>
        <w:pStyle w:val="17"/>
        <w:ind w:firstLine="4080" w:firstLineChars="1700"/>
        <w:jc w:val="right"/>
        <w:rPr>
          <w:rFonts w:hint="eastAsia"/>
          <w:color w:val="auto"/>
          <w:sz w:val="24"/>
          <w:highlight w:val="none"/>
        </w:rPr>
      </w:pPr>
      <w:r>
        <w:rPr>
          <w:rFonts w:hint="eastAsia"/>
          <w:color w:val="auto"/>
          <w:sz w:val="24"/>
          <w:highlight w:val="none"/>
        </w:rPr>
        <w:t>日期：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14:paraId="250458E4">
      <w:pPr>
        <w:rPr>
          <w:rFonts w:hint="default"/>
          <w:color w:val="auto"/>
          <w:sz w:val="24"/>
          <w:highlight w:val="none"/>
          <w:lang w:val="en-US" w:eastAsia="zh-CN"/>
        </w:rPr>
      </w:pPr>
    </w:p>
    <w:p w14:paraId="67DA774E">
      <w:pPr>
        <w:rPr>
          <w:rFonts w:hint="eastAsia"/>
          <w:color w:val="auto"/>
          <w:sz w:val="24"/>
          <w:highlight w:val="none"/>
        </w:rPr>
      </w:pPr>
    </w:p>
    <w:p w14:paraId="570911F9">
      <w:pPr>
        <w:rPr>
          <w:rFonts w:hint="eastAsia"/>
          <w:color w:val="auto"/>
          <w:sz w:val="24"/>
          <w:highlight w:val="none"/>
        </w:rPr>
      </w:pPr>
    </w:p>
    <w:p w14:paraId="541B2923">
      <w:pPr>
        <w:rPr>
          <w:rFonts w:hint="default"/>
          <w:color w:val="auto"/>
          <w:sz w:val="24"/>
          <w:highlight w:val="none"/>
          <w:lang w:val="en-US" w:eastAsia="zh-CN"/>
        </w:rPr>
      </w:pPr>
    </w:p>
    <w:sectPr>
      <w:footerReference r:id="rId10" w:type="first"/>
      <w:footerReference r:id="rId9" w:type="default"/>
      <w:pgSz w:w="11906" w:h="16838"/>
      <w:pgMar w:top="1418" w:right="1474" w:bottom="1361" w:left="1474" w:header="851" w:footer="992" w:gutter="0"/>
      <w:pgNumType w:fmt="decimal" w:start="29"/>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Helvetica">
    <w:panose1 w:val="020B0604020202020204"/>
    <w:charset w:val="00"/>
    <w:family w:val="swiss"/>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6666F">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0D1D91">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2F0D1D91">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A88DF">
    <w:pPr>
      <w:pStyle w:val="13"/>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14:paraId="3D8D3E94">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95F0A">
    <w:pPr>
      <w:pStyle w:val="13"/>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A0610F">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v:fill on="f" focussize="0,0"/>
              <v:stroke on="f"/>
              <v:imagedata o:title=""/>
              <o:lock v:ext="edit" aspectratio="f"/>
              <v:textbox inset="0mm,0mm,0mm,0mm" style="mso-fit-shape-to-text:t;">
                <w:txbxContent>
                  <w:p w14:paraId="3BA0610F">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5231D">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256565CA">
                          <w:pPr>
                            <w:pStyle w:val="13"/>
                          </w:pPr>
                          <w:r>
                            <w:fldChar w:fldCharType="begin"/>
                          </w:r>
                          <w:r>
                            <w:instrText xml:space="preserve"> PAGE  \* MERGEFORMAT </w:instrText>
                          </w:r>
                          <w:r>
                            <w:fldChar w:fldCharType="separate"/>
                          </w:r>
                          <w:r>
                            <w:t>22</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qbtRfRAQAAqwMAAA4AAABkcnMvZTJvRG9jLnhtbK1TzY7TMBC+I/EO&#10;lu80bYVQFDVdIVWLkBCstPAAruM0lvynGbdJeQB4A05cuPNcfQ7GTtJdlsseuCQz4/E3830z3twM&#10;1rCTAtTe1Xy1WHKmnPSNdoeaf/l8+6rkDKNwjTDeqZqfFfKb7csXmz5Uau07bxoFjEAcVn2oeRdj&#10;qIoCZaeswIUPytFh68GKSC4cigZET+jWFOvl8k3Re2gCeKkQKbobD/mECM8B9G2rpdp5ebTKxREV&#10;lBGRKGGnA/Jt7rZtlYyf2hZVZKbmxDTmLxUhe5++xXYjqgOI0Gk5tSCe08ITTlZoR0WvUDsRBTuC&#10;/gfKagkefRsX0ttiJJIVIRar5RNt7jsRVOZCUmO4io7/D1Z+PN0B003NX6+WJIoTlmZ++fH98vP3&#10;5dc3ViaF+oAVJd6HO5g8JDPRHVqw6U9E2JBVPV9VVUNkkoKrcl2WCVvS2ewQTvFwPQDGd8pbloya&#10;A40tqylOHzCOqXNKqub8rTaG4qIy7q8AYY4RlWc/3U79jx0nKw77YaKx982Z6NNroKqdh6+c9bQL&#10;NXe0+pyZ946kTmszGzAb+9kQTtLFmo8NY3h7jNRdbjoVGysQ2eTQDDPtad/Skjz2c9bDG9v+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Cam7UX0QEAAKsDAAAOAAAAAAAAAAEAIAAAAB8BAABk&#10;cnMvZTJvRG9jLnhtbFBLBQYAAAAABgAGAFkBAABiBQAAAAA=&#10;">
              <v:fill on="f" focussize="0,0"/>
              <v:stroke on="f"/>
              <v:imagedata o:title=""/>
              <o:lock v:ext="edit" aspectratio="f"/>
              <v:textbox inset="0mm,0mm,0mm,0mm" style="mso-fit-shape-to-text:t;">
                <w:txbxContent>
                  <w:p w14:paraId="256565CA">
                    <w:pPr>
                      <w:pStyle w:val="13"/>
                    </w:pPr>
                    <w:r>
                      <w:fldChar w:fldCharType="begin"/>
                    </w:r>
                    <w:r>
                      <w:instrText xml:space="preserve"> PAGE  \* MERGEFORMAT </w:instrText>
                    </w:r>
                    <w:r>
                      <w:fldChar w:fldCharType="separate"/>
                    </w:r>
                    <w:r>
                      <w:t>22</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74391">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71F74">
                          <w:pPr>
                            <w:pStyle w:val="1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D071F74">
                    <w:pPr>
                      <w:pStyle w:val="1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6A9C4">
    <w:pPr>
      <w:pStyle w:val="13"/>
      <w:tabs>
        <w:tab w:val="center" w:pos="4479"/>
        <w:tab w:val="clear" w:pos="4153"/>
      </w:tabs>
      <w:rPr>
        <w:rFonts w:hint="eastAsia" w:eastAsia="宋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0CE08">
                          <w:pPr>
                            <w:pStyle w:val="13"/>
                            <w:rPr>
                              <w:rFonts w:hint="default" w:eastAsia="宋体"/>
                              <w:lang w:val="en-US" w:eastAsia="zh-CN"/>
                            </w:rPr>
                          </w:pPr>
                          <w:r>
                            <w:rPr>
                              <w:rFonts w:hint="eastAsia"/>
                              <w:lang w:val="en-US" w:eastAsia="zh-CN"/>
                            </w:rPr>
                            <w:t>24</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B50CE08">
                    <w:pPr>
                      <w:pStyle w:val="13"/>
                      <w:rPr>
                        <w:rFonts w:hint="default" w:eastAsia="宋体"/>
                        <w:lang w:val="en-US" w:eastAsia="zh-CN"/>
                      </w:rPr>
                    </w:pPr>
                    <w:r>
                      <w:rPr>
                        <w:rFonts w:hint="eastAsia"/>
                        <w:lang w:val="en-US" w:eastAsia="zh-CN"/>
                      </w:rPr>
                      <w:t>24</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751C5">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16EBB">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0F745E"/>
    <w:multiLevelType w:val="singleLevel"/>
    <w:tmpl w:val="C40F745E"/>
    <w:lvl w:ilvl="0" w:tentative="0">
      <w:start w:val="1"/>
      <w:numFmt w:val="decimal"/>
      <w:suff w:val="nothing"/>
      <w:lvlText w:val="（%1）"/>
      <w:lvlJc w:val="left"/>
      <w:pPr>
        <w:ind w:left="-60"/>
      </w:pPr>
    </w:lvl>
  </w:abstractNum>
  <w:abstractNum w:abstractNumId="1">
    <w:nsid w:val="00000006"/>
    <w:multiLevelType w:val="multilevel"/>
    <w:tmpl w:val="00000006"/>
    <w:lvl w:ilvl="0" w:tentative="0">
      <w:start w:val="1"/>
      <w:numFmt w:val="decimal"/>
      <w:pStyle w:val="4"/>
      <w:suff w:val="nothing"/>
      <w:lvlText w:val="%1."/>
      <w:lvlJc w:val="left"/>
      <w:pPr>
        <w:ind w:left="720" w:firstLine="0"/>
      </w:pPr>
      <w:rPr>
        <w:rFonts w:hint="eastAsia"/>
      </w:rPr>
    </w:lvl>
    <w:lvl w:ilvl="1" w:tentative="0">
      <w:start w:val="1"/>
      <w:numFmt w:val="decimal"/>
      <w:suff w:val="space"/>
      <w:lvlText w:val="%1.%2"/>
      <w:lvlJc w:val="left"/>
      <w:pPr>
        <w:ind w:left="142" w:firstLine="425"/>
      </w:pPr>
      <w:rPr>
        <w:rFonts w:hint="eastAsia"/>
        <w:b w:val="0"/>
        <w:i w:val="0"/>
      </w:rPr>
    </w:lvl>
    <w:lvl w:ilvl="2" w:tentative="0">
      <w:start w:val="1"/>
      <w:numFmt w:val="decimal"/>
      <w:lvlText w:val="%1.%2.%3."/>
      <w:lvlJc w:val="left"/>
      <w:pPr>
        <w:tabs>
          <w:tab w:val="left" w:pos="422"/>
        </w:tabs>
        <w:ind w:left="422" w:hanging="709"/>
      </w:pPr>
      <w:rPr>
        <w:rFonts w:hint="eastAsia"/>
      </w:rPr>
    </w:lvl>
    <w:lvl w:ilvl="3" w:tentative="0">
      <w:start w:val="1"/>
      <w:numFmt w:val="decimal"/>
      <w:lvlText w:val="%1.%2.%3.%4."/>
      <w:lvlJc w:val="left"/>
      <w:pPr>
        <w:tabs>
          <w:tab w:val="left" w:pos="564"/>
        </w:tabs>
        <w:ind w:left="564" w:hanging="851"/>
      </w:pPr>
      <w:rPr>
        <w:rFonts w:hint="eastAsia"/>
      </w:rPr>
    </w:lvl>
    <w:lvl w:ilvl="4" w:tentative="0">
      <w:start w:val="1"/>
      <w:numFmt w:val="decimal"/>
      <w:lvlText w:val="%1.%2.%3.%4.%5."/>
      <w:lvlJc w:val="left"/>
      <w:pPr>
        <w:tabs>
          <w:tab w:val="left" w:pos="705"/>
        </w:tabs>
        <w:ind w:left="705" w:hanging="992"/>
      </w:pPr>
      <w:rPr>
        <w:rFonts w:hint="eastAsia"/>
      </w:rPr>
    </w:lvl>
    <w:lvl w:ilvl="5" w:tentative="0">
      <w:start w:val="1"/>
      <w:numFmt w:val="decimal"/>
      <w:lvlText w:val="%1.%2.%3.%4.%5.%6."/>
      <w:lvlJc w:val="left"/>
      <w:pPr>
        <w:tabs>
          <w:tab w:val="left" w:pos="847"/>
        </w:tabs>
        <w:ind w:left="847" w:hanging="1134"/>
      </w:pPr>
      <w:rPr>
        <w:rFonts w:hint="eastAsia"/>
      </w:rPr>
    </w:lvl>
    <w:lvl w:ilvl="6" w:tentative="0">
      <w:start w:val="1"/>
      <w:numFmt w:val="decimal"/>
      <w:lvlText w:val="%1.%2.%3.%4.%5.%6.%7."/>
      <w:lvlJc w:val="left"/>
      <w:pPr>
        <w:tabs>
          <w:tab w:val="left" w:pos="989"/>
        </w:tabs>
        <w:ind w:left="989" w:hanging="1276"/>
      </w:pPr>
      <w:rPr>
        <w:rFonts w:hint="eastAsia"/>
      </w:rPr>
    </w:lvl>
    <w:lvl w:ilvl="7" w:tentative="0">
      <w:start w:val="1"/>
      <w:numFmt w:val="decimal"/>
      <w:lvlText w:val="%1.%2.%3.%4.%5.%6.%7.%8."/>
      <w:lvlJc w:val="left"/>
      <w:pPr>
        <w:tabs>
          <w:tab w:val="left" w:pos="1131"/>
        </w:tabs>
        <w:ind w:left="1131" w:hanging="1418"/>
      </w:pPr>
      <w:rPr>
        <w:rFonts w:hint="eastAsia"/>
      </w:rPr>
    </w:lvl>
    <w:lvl w:ilvl="8" w:tentative="0">
      <w:start w:val="1"/>
      <w:numFmt w:val="decimal"/>
      <w:lvlText w:val="%1.%2.%3.%4.%5.%6.%7.%8.%9."/>
      <w:lvlJc w:val="left"/>
      <w:pPr>
        <w:tabs>
          <w:tab w:val="left" w:pos="1272"/>
        </w:tabs>
        <w:ind w:left="1272" w:hanging="1559"/>
      </w:pPr>
      <w:rPr>
        <w:rFonts w:hint="eastAsia"/>
      </w:rPr>
    </w:lvl>
  </w:abstractNum>
  <w:abstractNum w:abstractNumId="2">
    <w:nsid w:val="36E9B8AA"/>
    <w:multiLevelType w:val="singleLevel"/>
    <w:tmpl w:val="36E9B8AA"/>
    <w:lvl w:ilvl="0" w:tentative="0">
      <w:start w:val="1"/>
      <w:numFmt w:val="decimal"/>
      <w:suff w:val="nothing"/>
      <w:lvlText w:val="（%1）"/>
      <w:lvlJc w:val="left"/>
    </w:lvl>
  </w:abstractNum>
  <w:abstractNum w:abstractNumId="3">
    <w:nsid w:val="42C4FB1F"/>
    <w:multiLevelType w:val="singleLevel"/>
    <w:tmpl w:val="42C4FB1F"/>
    <w:lvl w:ilvl="0" w:tentative="0">
      <w:start w:val="3"/>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numRestart w:val="eachPage"/>
  </w:footnotePr>
  <w:endnotePr>
    <w:numRestart w:val="eachSect"/>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xMzc3NGQ1ZGNjZGI1M2Q5ODNhNmZlYzVmYTIwMDEifQ=="/>
    <w:docVar w:name="KSO_WPS_MARK_KEY" w:val="3727ce13-0b62-4787-a722-dce356e38fbc"/>
  </w:docVars>
  <w:rsids>
    <w:rsidRoot w:val="008953AC"/>
    <w:rsid w:val="0000161D"/>
    <w:rsid w:val="000040F5"/>
    <w:rsid w:val="00022E0F"/>
    <w:rsid w:val="00024C85"/>
    <w:rsid w:val="00046699"/>
    <w:rsid w:val="00053D8A"/>
    <w:rsid w:val="000673F8"/>
    <w:rsid w:val="00097C99"/>
    <w:rsid w:val="000A6348"/>
    <w:rsid w:val="000B573C"/>
    <w:rsid w:val="000B5CDC"/>
    <w:rsid w:val="000E6660"/>
    <w:rsid w:val="000F6C82"/>
    <w:rsid w:val="001113B3"/>
    <w:rsid w:val="001223EA"/>
    <w:rsid w:val="001243B8"/>
    <w:rsid w:val="00132B29"/>
    <w:rsid w:val="001451E6"/>
    <w:rsid w:val="00162B8E"/>
    <w:rsid w:val="00187F55"/>
    <w:rsid w:val="001E0B90"/>
    <w:rsid w:val="002024F0"/>
    <w:rsid w:val="00206FC4"/>
    <w:rsid w:val="00221315"/>
    <w:rsid w:val="00234103"/>
    <w:rsid w:val="00263C0F"/>
    <w:rsid w:val="002917FA"/>
    <w:rsid w:val="00291AFA"/>
    <w:rsid w:val="002A1344"/>
    <w:rsid w:val="00311E9E"/>
    <w:rsid w:val="0035727F"/>
    <w:rsid w:val="00384C34"/>
    <w:rsid w:val="00386D20"/>
    <w:rsid w:val="003B343A"/>
    <w:rsid w:val="003D0021"/>
    <w:rsid w:val="004056D7"/>
    <w:rsid w:val="00443541"/>
    <w:rsid w:val="004A0B64"/>
    <w:rsid w:val="004A2904"/>
    <w:rsid w:val="004B790C"/>
    <w:rsid w:val="004C5189"/>
    <w:rsid w:val="004F08DD"/>
    <w:rsid w:val="005042B0"/>
    <w:rsid w:val="00571720"/>
    <w:rsid w:val="005A0231"/>
    <w:rsid w:val="005E3015"/>
    <w:rsid w:val="00614F01"/>
    <w:rsid w:val="006323E6"/>
    <w:rsid w:val="00633FF0"/>
    <w:rsid w:val="006551B8"/>
    <w:rsid w:val="00661F64"/>
    <w:rsid w:val="00675FA8"/>
    <w:rsid w:val="00684D77"/>
    <w:rsid w:val="006A29DC"/>
    <w:rsid w:val="006A3C6F"/>
    <w:rsid w:val="006B4838"/>
    <w:rsid w:val="006E47A1"/>
    <w:rsid w:val="00705714"/>
    <w:rsid w:val="007202E6"/>
    <w:rsid w:val="007A122B"/>
    <w:rsid w:val="007B6001"/>
    <w:rsid w:val="007D2D44"/>
    <w:rsid w:val="00824B3C"/>
    <w:rsid w:val="00874687"/>
    <w:rsid w:val="008773A2"/>
    <w:rsid w:val="008953AC"/>
    <w:rsid w:val="008D76E0"/>
    <w:rsid w:val="008F20DB"/>
    <w:rsid w:val="0091331C"/>
    <w:rsid w:val="009249F2"/>
    <w:rsid w:val="00925C5C"/>
    <w:rsid w:val="00932816"/>
    <w:rsid w:val="00977B14"/>
    <w:rsid w:val="009929D2"/>
    <w:rsid w:val="009D4DFE"/>
    <w:rsid w:val="00A201BD"/>
    <w:rsid w:val="00A63A5A"/>
    <w:rsid w:val="00B326CB"/>
    <w:rsid w:val="00B44B3D"/>
    <w:rsid w:val="00B50A1F"/>
    <w:rsid w:val="00B70951"/>
    <w:rsid w:val="00BB14B3"/>
    <w:rsid w:val="00BB2AEB"/>
    <w:rsid w:val="00C0529B"/>
    <w:rsid w:val="00C76A50"/>
    <w:rsid w:val="00C91DC2"/>
    <w:rsid w:val="00C96023"/>
    <w:rsid w:val="00C97AD2"/>
    <w:rsid w:val="00CC5C4D"/>
    <w:rsid w:val="00CE4580"/>
    <w:rsid w:val="00CE51E4"/>
    <w:rsid w:val="00CF2FE2"/>
    <w:rsid w:val="00D042A4"/>
    <w:rsid w:val="00D16CE1"/>
    <w:rsid w:val="00D225CB"/>
    <w:rsid w:val="00D3750B"/>
    <w:rsid w:val="00D67B2D"/>
    <w:rsid w:val="00DF57BE"/>
    <w:rsid w:val="00E36979"/>
    <w:rsid w:val="00E41C68"/>
    <w:rsid w:val="00EB4711"/>
    <w:rsid w:val="00EC4EAC"/>
    <w:rsid w:val="00EF4AE4"/>
    <w:rsid w:val="00F01150"/>
    <w:rsid w:val="00F24B0C"/>
    <w:rsid w:val="00F31467"/>
    <w:rsid w:val="00F52B3E"/>
    <w:rsid w:val="00F93A20"/>
    <w:rsid w:val="00FA3A0B"/>
    <w:rsid w:val="00FB48BF"/>
    <w:rsid w:val="00FC0EC6"/>
    <w:rsid w:val="00FE015D"/>
    <w:rsid w:val="00FE3B9A"/>
    <w:rsid w:val="01453E77"/>
    <w:rsid w:val="015A1084"/>
    <w:rsid w:val="015E6884"/>
    <w:rsid w:val="022D115B"/>
    <w:rsid w:val="02331ABF"/>
    <w:rsid w:val="024E4B4B"/>
    <w:rsid w:val="030B6598"/>
    <w:rsid w:val="038E2770"/>
    <w:rsid w:val="03E1775F"/>
    <w:rsid w:val="04253689"/>
    <w:rsid w:val="045B09ED"/>
    <w:rsid w:val="04610993"/>
    <w:rsid w:val="04633D09"/>
    <w:rsid w:val="04C370F3"/>
    <w:rsid w:val="05445D91"/>
    <w:rsid w:val="054A6B59"/>
    <w:rsid w:val="059D7E63"/>
    <w:rsid w:val="059F40D0"/>
    <w:rsid w:val="05B57E60"/>
    <w:rsid w:val="05DE0F19"/>
    <w:rsid w:val="06361B7E"/>
    <w:rsid w:val="0639166E"/>
    <w:rsid w:val="06430990"/>
    <w:rsid w:val="06884022"/>
    <w:rsid w:val="06BA1A15"/>
    <w:rsid w:val="06F41D73"/>
    <w:rsid w:val="074774D9"/>
    <w:rsid w:val="07573F32"/>
    <w:rsid w:val="077A2867"/>
    <w:rsid w:val="07C02047"/>
    <w:rsid w:val="08145EEF"/>
    <w:rsid w:val="08E10825"/>
    <w:rsid w:val="08FF26FB"/>
    <w:rsid w:val="090C5F64"/>
    <w:rsid w:val="09B5725D"/>
    <w:rsid w:val="09D05E45"/>
    <w:rsid w:val="0A084F9A"/>
    <w:rsid w:val="0A4F76B2"/>
    <w:rsid w:val="0A7113D6"/>
    <w:rsid w:val="0A7B07B6"/>
    <w:rsid w:val="0AAB0D8C"/>
    <w:rsid w:val="0B1D50BA"/>
    <w:rsid w:val="0B2E00F7"/>
    <w:rsid w:val="0B662F05"/>
    <w:rsid w:val="0BF73B5D"/>
    <w:rsid w:val="0BFC73C5"/>
    <w:rsid w:val="0C183FF9"/>
    <w:rsid w:val="0C1F4E62"/>
    <w:rsid w:val="0C3E0D43"/>
    <w:rsid w:val="0C5F0057"/>
    <w:rsid w:val="0C8F24D0"/>
    <w:rsid w:val="0CF67BE1"/>
    <w:rsid w:val="0D1644B7"/>
    <w:rsid w:val="0E6D45AA"/>
    <w:rsid w:val="0E7538C7"/>
    <w:rsid w:val="0F5512C6"/>
    <w:rsid w:val="0F5B7254"/>
    <w:rsid w:val="0F8218EB"/>
    <w:rsid w:val="0F931DEF"/>
    <w:rsid w:val="0F947E99"/>
    <w:rsid w:val="0FBD6E6C"/>
    <w:rsid w:val="101E410D"/>
    <w:rsid w:val="10AD5132"/>
    <w:rsid w:val="11B604E3"/>
    <w:rsid w:val="11CB5870"/>
    <w:rsid w:val="12001794"/>
    <w:rsid w:val="12266F4A"/>
    <w:rsid w:val="129E3D0A"/>
    <w:rsid w:val="12E374CE"/>
    <w:rsid w:val="1323348A"/>
    <w:rsid w:val="13243D49"/>
    <w:rsid w:val="13370CE3"/>
    <w:rsid w:val="13A45249"/>
    <w:rsid w:val="141C6825"/>
    <w:rsid w:val="142C048D"/>
    <w:rsid w:val="148443FC"/>
    <w:rsid w:val="149C34F4"/>
    <w:rsid w:val="14AF011D"/>
    <w:rsid w:val="14AF256D"/>
    <w:rsid w:val="14B615D3"/>
    <w:rsid w:val="14C55B20"/>
    <w:rsid w:val="14E54E9B"/>
    <w:rsid w:val="15C251DC"/>
    <w:rsid w:val="15C80C85"/>
    <w:rsid w:val="15ED22D8"/>
    <w:rsid w:val="15F12D3F"/>
    <w:rsid w:val="164E6A70"/>
    <w:rsid w:val="16781D3E"/>
    <w:rsid w:val="167A7865"/>
    <w:rsid w:val="16965497"/>
    <w:rsid w:val="16A448E1"/>
    <w:rsid w:val="16C44F84"/>
    <w:rsid w:val="16F2179D"/>
    <w:rsid w:val="175E7D00"/>
    <w:rsid w:val="176127D3"/>
    <w:rsid w:val="17DB4BA4"/>
    <w:rsid w:val="17EC04BB"/>
    <w:rsid w:val="18552337"/>
    <w:rsid w:val="18B661E9"/>
    <w:rsid w:val="18DB573C"/>
    <w:rsid w:val="18E218AC"/>
    <w:rsid w:val="196F7429"/>
    <w:rsid w:val="19923117"/>
    <w:rsid w:val="199C5F2A"/>
    <w:rsid w:val="19A0570A"/>
    <w:rsid w:val="1A491A28"/>
    <w:rsid w:val="1AA650CC"/>
    <w:rsid w:val="1AAE6FFB"/>
    <w:rsid w:val="1AE300CE"/>
    <w:rsid w:val="1B441415"/>
    <w:rsid w:val="1B5763C6"/>
    <w:rsid w:val="1B667E5F"/>
    <w:rsid w:val="1BE063BC"/>
    <w:rsid w:val="1BEC4D61"/>
    <w:rsid w:val="1BF911B1"/>
    <w:rsid w:val="1C1E465D"/>
    <w:rsid w:val="1C4526C3"/>
    <w:rsid w:val="1C481262"/>
    <w:rsid w:val="1CAE2016"/>
    <w:rsid w:val="1D05392E"/>
    <w:rsid w:val="1D1316E8"/>
    <w:rsid w:val="1D320E99"/>
    <w:rsid w:val="1D372FAB"/>
    <w:rsid w:val="1D423E14"/>
    <w:rsid w:val="1D634765"/>
    <w:rsid w:val="1DAC006F"/>
    <w:rsid w:val="1E35503E"/>
    <w:rsid w:val="1E7159F1"/>
    <w:rsid w:val="1E756EA3"/>
    <w:rsid w:val="1F585672"/>
    <w:rsid w:val="1FA57A00"/>
    <w:rsid w:val="1FCF0C21"/>
    <w:rsid w:val="1FD61D13"/>
    <w:rsid w:val="1FEC3AE3"/>
    <w:rsid w:val="1FF70178"/>
    <w:rsid w:val="20044EB3"/>
    <w:rsid w:val="20B322F1"/>
    <w:rsid w:val="20E320BE"/>
    <w:rsid w:val="2102653B"/>
    <w:rsid w:val="21BE7580"/>
    <w:rsid w:val="220C58AE"/>
    <w:rsid w:val="22346735"/>
    <w:rsid w:val="225E5CFB"/>
    <w:rsid w:val="2296329D"/>
    <w:rsid w:val="229879F0"/>
    <w:rsid w:val="234D5F08"/>
    <w:rsid w:val="23534605"/>
    <w:rsid w:val="236C3656"/>
    <w:rsid w:val="23C5439D"/>
    <w:rsid w:val="23E755F8"/>
    <w:rsid w:val="23FA369A"/>
    <w:rsid w:val="23FF0E69"/>
    <w:rsid w:val="24057CE2"/>
    <w:rsid w:val="240B2444"/>
    <w:rsid w:val="242258D5"/>
    <w:rsid w:val="2441524A"/>
    <w:rsid w:val="245707FE"/>
    <w:rsid w:val="248C5333"/>
    <w:rsid w:val="24F63393"/>
    <w:rsid w:val="25173549"/>
    <w:rsid w:val="25227A45"/>
    <w:rsid w:val="25C1725E"/>
    <w:rsid w:val="26437C73"/>
    <w:rsid w:val="265C0D35"/>
    <w:rsid w:val="26865DB2"/>
    <w:rsid w:val="2707408F"/>
    <w:rsid w:val="27282B77"/>
    <w:rsid w:val="273B64DF"/>
    <w:rsid w:val="278A3680"/>
    <w:rsid w:val="27BE467A"/>
    <w:rsid w:val="27DC212D"/>
    <w:rsid w:val="27E73A2B"/>
    <w:rsid w:val="27F531EF"/>
    <w:rsid w:val="284D4DD9"/>
    <w:rsid w:val="28D9083E"/>
    <w:rsid w:val="29235B3A"/>
    <w:rsid w:val="293F0B3B"/>
    <w:rsid w:val="295B3526"/>
    <w:rsid w:val="29AB614E"/>
    <w:rsid w:val="29BF1010"/>
    <w:rsid w:val="2A4E0A0E"/>
    <w:rsid w:val="2A685C4B"/>
    <w:rsid w:val="2A8D4D24"/>
    <w:rsid w:val="2A9943B2"/>
    <w:rsid w:val="2AAF3B29"/>
    <w:rsid w:val="2AE915F9"/>
    <w:rsid w:val="2B3E6C5B"/>
    <w:rsid w:val="2B836D64"/>
    <w:rsid w:val="2B8E1683"/>
    <w:rsid w:val="2BB91563"/>
    <w:rsid w:val="2BE315B0"/>
    <w:rsid w:val="2BF0264B"/>
    <w:rsid w:val="2C325EBD"/>
    <w:rsid w:val="2C371465"/>
    <w:rsid w:val="2C484235"/>
    <w:rsid w:val="2C542B8F"/>
    <w:rsid w:val="2C932FD6"/>
    <w:rsid w:val="2CD3467D"/>
    <w:rsid w:val="2D105609"/>
    <w:rsid w:val="2D300825"/>
    <w:rsid w:val="2D433BC6"/>
    <w:rsid w:val="2D595FCE"/>
    <w:rsid w:val="2D6760A0"/>
    <w:rsid w:val="2DA72AFE"/>
    <w:rsid w:val="2DFB01CE"/>
    <w:rsid w:val="2E8157DC"/>
    <w:rsid w:val="2E913546"/>
    <w:rsid w:val="2ECF253A"/>
    <w:rsid w:val="2EF048BB"/>
    <w:rsid w:val="2F1B3392"/>
    <w:rsid w:val="2F3B6E03"/>
    <w:rsid w:val="2F5561B7"/>
    <w:rsid w:val="2F652DF4"/>
    <w:rsid w:val="2F9A02B6"/>
    <w:rsid w:val="2FE04785"/>
    <w:rsid w:val="301B57BD"/>
    <w:rsid w:val="302D729E"/>
    <w:rsid w:val="30A97F30"/>
    <w:rsid w:val="30C47C02"/>
    <w:rsid w:val="30D04F5E"/>
    <w:rsid w:val="30EE7533"/>
    <w:rsid w:val="324C4353"/>
    <w:rsid w:val="324E3C27"/>
    <w:rsid w:val="33812EF9"/>
    <w:rsid w:val="33C33478"/>
    <w:rsid w:val="33CE0F67"/>
    <w:rsid w:val="33DD7A09"/>
    <w:rsid w:val="34152897"/>
    <w:rsid w:val="343368DA"/>
    <w:rsid w:val="34514978"/>
    <w:rsid w:val="34675474"/>
    <w:rsid w:val="35335357"/>
    <w:rsid w:val="354A0CB8"/>
    <w:rsid w:val="356D0868"/>
    <w:rsid w:val="35A70B72"/>
    <w:rsid w:val="3619291F"/>
    <w:rsid w:val="363612FA"/>
    <w:rsid w:val="36536BFD"/>
    <w:rsid w:val="3653763E"/>
    <w:rsid w:val="36965B9D"/>
    <w:rsid w:val="36B349A1"/>
    <w:rsid w:val="371A00B9"/>
    <w:rsid w:val="373A6E70"/>
    <w:rsid w:val="37667C65"/>
    <w:rsid w:val="37F37E84"/>
    <w:rsid w:val="38127C22"/>
    <w:rsid w:val="38163E6F"/>
    <w:rsid w:val="3845787B"/>
    <w:rsid w:val="389961F3"/>
    <w:rsid w:val="38A8605B"/>
    <w:rsid w:val="38F123E6"/>
    <w:rsid w:val="390A1E92"/>
    <w:rsid w:val="39331E17"/>
    <w:rsid w:val="39F05264"/>
    <w:rsid w:val="3A6E6978"/>
    <w:rsid w:val="3A8B353F"/>
    <w:rsid w:val="3A946897"/>
    <w:rsid w:val="3ACA3128"/>
    <w:rsid w:val="3AEF1D20"/>
    <w:rsid w:val="3B6614D3"/>
    <w:rsid w:val="3B6723B6"/>
    <w:rsid w:val="3B8164DB"/>
    <w:rsid w:val="3BCA2BA0"/>
    <w:rsid w:val="3BDF83AF"/>
    <w:rsid w:val="3BF9056D"/>
    <w:rsid w:val="3C061DAC"/>
    <w:rsid w:val="3C7B6C5E"/>
    <w:rsid w:val="3C97039D"/>
    <w:rsid w:val="3CEC3B0E"/>
    <w:rsid w:val="3D4520CB"/>
    <w:rsid w:val="3D695DB9"/>
    <w:rsid w:val="3D7F0CC5"/>
    <w:rsid w:val="3D8466AB"/>
    <w:rsid w:val="3DBD17B8"/>
    <w:rsid w:val="3DEB478C"/>
    <w:rsid w:val="3F487C50"/>
    <w:rsid w:val="3F7D31EC"/>
    <w:rsid w:val="3F9F48BC"/>
    <w:rsid w:val="3FAE3F57"/>
    <w:rsid w:val="3FC47117"/>
    <w:rsid w:val="401A309F"/>
    <w:rsid w:val="40206285"/>
    <w:rsid w:val="40F53FEC"/>
    <w:rsid w:val="41195D48"/>
    <w:rsid w:val="412669CE"/>
    <w:rsid w:val="41447C62"/>
    <w:rsid w:val="416C231C"/>
    <w:rsid w:val="419021E9"/>
    <w:rsid w:val="41FC2203"/>
    <w:rsid w:val="420056A6"/>
    <w:rsid w:val="42246753"/>
    <w:rsid w:val="42293D69"/>
    <w:rsid w:val="422E46B0"/>
    <w:rsid w:val="423F358D"/>
    <w:rsid w:val="425151CA"/>
    <w:rsid w:val="42BD58F1"/>
    <w:rsid w:val="42C8712B"/>
    <w:rsid w:val="42CF2B62"/>
    <w:rsid w:val="430B16C1"/>
    <w:rsid w:val="43247306"/>
    <w:rsid w:val="43430F9D"/>
    <w:rsid w:val="43AA54E6"/>
    <w:rsid w:val="43DD6D2E"/>
    <w:rsid w:val="43EC32A0"/>
    <w:rsid w:val="43F46BD1"/>
    <w:rsid w:val="44AE0556"/>
    <w:rsid w:val="44FA25EC"/>
    <w:rsid w:val="45050ADD"/>
    <w:rsid w:val="456574BD"/>
    <w:rsid w:val="45943291"/>
    <w:rsid w:val="45C22AE7"/>
    <w:rsid w:val="46024FFD"/>
    <w:rsid w:val="46456C98"/>
    <w:rsid w:val="464C0026"/>
    <w:rsid w:val="46C65C0E"/>
    <w:rsid w:val="46DF0E9A"/>
    <w:rsid w:val="46F247F2"/>
    <w:rsid w:val="470B0E9D"/>
    <w:rsid w:val="471F5C14"/>
    <w:rsid w:val="473A4323"/>
    <w:rsid w:val="47881FFA"/>
    <w:rsid w:val="47941F36"/>
    <w:rsid w:val="47A3011A"/>
    <w:rsid w:val="47EF335F"/>
    <w:rsid w:val="48734BE0"/>
    <w:rsid w:val="487C044E"/>
    <w:rsid w:val="48822DA1"/>
    <w:rsid w:val="489A0A33"/>
    <w:rsid w:val="48BF4D6C"/>
    <w:rsid w:val="48CB76C5"/>
    <w:rsid w:val="491954EF"/>
    <w:rsid w:val="49205637"/>
    <w:rsid w:val="49474357"/>
    <w:rsid w:val="49482071"/>
    <w:rsid w:val="497A68DE"/>
    <w:rsid w:val="49C56A6D"/>
    <w:rsid w:val="4A2D4613"/>
    <w:rsid w:val="4A2E51B4"/>
    <w:rsid w:val="4A9B61B7"/>
    <w:rsid w:val="4AD45146"/>
    <w:rsid w:val="4B0C4FD6"/>
    <w:rsid w:val="4B3A0D95"/>
    <w:rsid w:val="4BEB6533"/>
    <w:rsid w:val="4C2C2DD4"/>
    <w:rsid w:val="4C2D4456"/>
    <w:rsid w:val="4C3457E4"/>
    <w:rsid w:val="4C8C73CE"/>
    <w:rsid w:val="4C92075D"/>
    <w:rsid w:val="4CA55CA6"/>
    <w:rsid w:val="4CB6723F"/>
    <w:rsid w:val="4CC02769"/>
    <w:rsid w:val="4CF877ED"/>
    <w:rsid w:val="4D0C6761"/>
    <w:rsid w:val="4D467EC5"/>
    <w:rsid w:val="4D66040A"/>
    <w:rsid w:val="4DC33854"/>
    <w:rsid w:val="4DCB03CA"/>
    <w:rsid w:val="4DD7220E"/>
    <w:rsid w:val="4DED0D83"/>
    <w:rsid w:val="4E925A93"/>
    <w:rsid w:val="4F351F9F"/>
    <w:rsid w:val="50270AD6"/>
    <w:rsid w:val="504B4D95"/>
    <w:rsid w:val="5066408E"/>
    <w:rsid w:val="509A4F5E"/>
    <w:rsid w:val="50C51101"/>
    <w:rsid w:val="50F46C84"/>
    <w:rsid w:val="510C32BB"/>
    <w:rsid w:val="5127725F"/>
    <w:rsid w:val="512F6441"/>
    <w:rsid w:val="51A30CAF"/>
    <w:rsid w:val="51F94933"/>
    <w:rsid w:val="52AA6800"/>
    <w:rsid w:val="535F0ED5"/>
    <w:rsid w:val="536A2433"/>
    <w:rsid w:val="53807561"/>
    <w:rsid w:val="53D77AC9"/>
    <w:rsid w:val="53EF5B15"/>
    <w:rsid w:val="53F536DE"/>
    <w:rsid w:val="544242E9"/>
    <w:rsid w:val="54764C3B"/>
    <w:rsid w:val="54B66B4D"/>
    <w:rsid w:val="54C1399D"/>
    <w:rsid w:val="55590B11"/>
    <w:rsid w:val="556B1E1E"/>
    <w:rsid w:val="559D089E"/>
    <w:rsid w:val="55EF4F8E"/>
    <w:rsid w:val="562F41CF"/>
    <w:rsid w:val="56417E01"/>
    <w:rsid w:val="56653CED"/>
    <w:rsid w:val="566E2784"/>
    <w:rsid w:val="56927CD7"/>
    <w:rsid w:val="56DA09B7"/>
    <w:rsid w:val="56DC53F6"/>
    <w:rsid w:val="56F42740"/>
    <w:rsid w:val="580F591E"/>
    <w:rsid w:val="584D36BF"/>
    <w:rsid w:val="58DC16DE"/>
    <w:rsid w:val="591141A9"/>
    <w:rsid w:val="59D625D1"/>
    <w:rsid w:val="5A0C5FF2"/>
    <w:rsid w:val="5A1B3CDE"/>
    <w:rsid w:val="5A7C4F26"/>
    <w:rsid w:val="5A9A35FE"/>
    <w:rsid w:val="5AD84127"/>
    <w:rsid w:val="5AE825BC"/>
    <w:rsid w:val="5B863B83"/>
    <w:rsid w:val="5B8F50C8"/>
    <w:rsid w:val="5BBB4F10"/>
    <w:rsid w:val="5BC5679E"/>
    <w:rsid w:val="5BD97B0B"/>
    <w:rsid w:val="5BE72873"/>
    <w:rsid w:val="5C0F3B78"/>
    <w:rsid w:val="5C25339C"/>
    <w:rsid w:val="5C55316E"/>
    <w:rsid w:val="5C853E3A"/>
    <w:rsid w:val="5D0E3E30"/>
    <w:rsid w:val="5D4B7D80"/>
    <w:rsid w:val="5D7057B5"/>
    <w:rsid w:val="5DF96DDF"/>
    <w:rsid w:val="5E0A1E55"/>
    <w:rsid w:val="5E16381E"/>
    <w:rsid w:val="5E2F405E"/>
    <w:rsid w:val="5E7631F1"/>
    <w:rsid w:val="5E7D1C5B"/>
    <w:rsid w:val="5E892FE8"/>
    <w:rsid w:val="5E9B3931"/>
    <w:rsid w:val="5EB6258D"/>
    <w:rsid w:val="5EBD48D2"/>
    <w:rsid w:val="5EEF48CF"/>
    <w:rsid w:val="5F02208A"/>
    <w:rsid w:val="5F6A7B95"/>
    <w:rsid w:val="5F6E5059"/>
    <w:rsid w:val="5F7F7711"/>
    <w:rsid w:val="5F99004C"/>
    <w:rsid w:val="6005151A"/>
    <w:rsid w:val="60233A43"/>
    <w:rsid w:val="60646F2C"/>
    <w:rsid w:val="60714E01"/>
    <w:rsid w:val="607A3298"/>
    <w:rsid w:val="60B62814"/>
    <w:rsid w:val="60BB607C"/>
    <w:rsid w:val="60E303C2"/>
    <w:rsid w:val="60F31CBA"/>
    <w:rsid w:val="611834CF"/>
    <w:rsid w:val="61722BDF"/>
    <w:rsid w:val="61860524"/>
    <w:rsid w:val="61AF5F59"/>
    <w:rsid w:val="61C91A08"/>
    <w:rsid w:val="61FB6988"/>
    <w:rsid w:val="621C0E48"/>
    <w:rsid w:val="62600C89"/>
    <w:rsid w:val="63043D0B"/>
    <w:rsid w:val="630F26B0"/>
    <w:rsid w:val="633F2F95"/>
    <w:rsid w:val="6353032A"/>
    <w:rsid w:val="63732C3E"/>
    <w:rsid w:val="63E1229E"/>
    <w:rsid w:val="64646589"/>
    <w:rsid w:val="648D7D30"/>
    <w:rsid w:val="64EC388A"/>
    <w:rsid w:val="656476AA"/>
    <w:rsid w:val="656960A7"/>
    <w:rsid w:val="65E7034F"/>
    <w:rsid w:val="661E47AC"/>
    <w:rsid w:val="66425A00"/>
    <w:rsid w:val="666E0DD8"/>
    <w:rsid w:val="66797174"/>
    <w:rsid w:val="66874857"/>
    <w:rsid w:val="66E326B3"/>
    <w:rsid w:val="672A5D0A"/>
    <w:rsid w:val="679D028A"/>
    <w:rsid w:val="67B043F0"/>
    <w:rsid w:val="67DF4D46"/>
    <w:rsid w:val="68236FAB"/>
    <w:rsid w:val="6840337A"/>
    <w:rsid w:val="684572FE"/>
    <w:rsid w:val="68B82FC8"/>
    <w:rsid w:val="68FB0A46"/>
    <w:rsid w:val="69194288"/>
    <w:rsid w:val="69877F2D"/>
    <w:rsid w:val="69B61AD7"/>
    <w:rsid w:val="6A324E2A"/>
    <w:rsid w:val="6ACF2E50"/>
    <w:rsid w:val="6B0B7C00"/>
    <w:rsid w:val="6B1765A5"/>
    <w:rsid w:val="6B7E3F68"/>
    <w:rsid w:val="6C3C4515"/>
    <w:rsid w:val="6C692E30"/>
    <w:rsid w:val="6CB43AA9"/>
    <w:rsid w:val="6DBE71AC"/>
    <w:rsid w:val="6DC522E8"/>
    <w:rsid w:val="6E2411A6"/>
    <w:rsid w:val="6E26667B"/>
    <w:rsid w:val="6F64080A"/>
    <w:rsid w:val="6FF02318"/>
    <w:rsid w:val="700E56C2"/>
    <w:rsid w:val="70470111"/>
    <w:rsid w:val="7093029F"/>
    <w:rsid w:val="70A94143"/>
    <w:rsid w:val="70BE1511"/>
    <w:rsid w:val="70DA2C20"/>
    <w:rsid w:val="70DF5DB7"/>
    <w:rsid w:val="70EC5417"/>
    <w:rsid w:val="71292381"/>
    <w:rsid w:val="714B51FB"/>
    <w:rsid w:val="715663EE"/>
    <w:rsid w:val="71892FC6"/>
    <w:rsid w:val="72583BFF"/>
    <w:rsid w:val="73335F46"/>
    <w:rsid w:val="73373C88"/>
    <w:rsid w:val="73944FA0"/>
    <w:rsid w:val="73A87AF6"/>
    <w:rsid w:val="73EA2E2E"/>
    <w:rsid w:val="745D310E"/>
    <w:rsid w:val="748A75A5"/>
    <w:rsid w:val="74C2200A"/>
    <w:rsid w:val="74F811F5"/>
    <w:rsid w:val="751122B7"/>
    <w:rsid w:val="75554DE9"/>
    <w:rsid w:val="75962213"/>
    <w:rsid w:val="75AB248B"/>
    <w:rsid w:val="75C96409"/>
    <w:rsid w:val="75DFC63D"/>
    <w:rsid w:val="75ED40DA"/>
    <w:rsid w:val="76465ACA"/>
    <w:rsid w:val="7654775F"/>
    <w:rsid w:val="7655416D"/>
    <w:rsid w:val="767D7C04"/>
    <w:rsid w:val="769A4C9C"/>
    <w:rsid w:val="76A2283E"/>
    <w:rsid w:val="76C7795F"/>
    <w:rsid w:val="76D62887"/>
    <w:rsid w:val="76DD68F5"/>
    <w:rsid w:val="76F6450C"/>
    <w:rsid w:val="77C67389"/>
    <w:rsid w:val="78026D64"/>
    <w:rsid w:val="78047EB1"/>
    <w:rsid w:val="780F7720"/>
    <w:rsid w:val="78D802CB"/>
    <w:rsid w:val="78E35D19"/>
    <w:rsid w:val="79A951B4"/>
    <w:rsid w:val="79F25F85"/>
    <w:rsid w:val="79FF775B"/>
    <w:rsid w:val="7A2D36EF"/>
    <w:rsid w:val="7AB31033"/>
    <w:rsid w:val="7AD65B35"/>
    <w:rsid w:val="7B16648C"/>
    <w:rsid w:val="7B8B4B71"/>
    <w:rsid w:val="7B933A26"/>
    <w:rsid w:val="7C263D76"/>
    <w:rsid w:val="7C3A19F0"/>
    <w:rsid w:val="7C547659"/>
    <w:rsid w:val="7CAD2DE1"/>
    <w:rsid w:val="7CEC6B1F"/>
    <w:rsid w:val="7D074D66"/>
    <w:rsid w:val="7D480840"/>
    <w:rsid w:val="7D5B0573"/>
    <w:rsid w:val="7D5D7D7B"/>
    <w:rsid w:val="7D9251FD"/>
    <w:rsid w:val="7DB36601"/>
    <w:rsid w:val="7DBC1FBF"/>
    <w:rsid w:val="7DBF07E9"/>
    <w:rsid w:val="7F7F2DC5"/>
    <w:rsid w:val="7FBB179D"/>
    <w:rsid w:val="7FD36AE7"/>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120" w:after="120"/>
      <w:jc w:val="center"/>
      <w:outlineLvl w:val="0"/>
    </w:pPr>
    <w:rPr>
      <w:rFonts w:ascii="Arial" w:hAnsi="Arial" w:eastAsia="黑体"/>
      <w:b/>
      <w:kern w:val="44"/>
      <w:sz w:val="32"/>
      <w:szCs w:val="20"/>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autoRedefine/>
    <w:qFormat/>
    <w:uiPriority w:val="0"/>
    <w:pPr>
      <w:keepNext/>
      <w:keepLines/>
      <w:numPr>
        <w:ilvl w:val="0"/>
        <w:numId w:val="1"/>
      </w:numPr>
      <w:tabs>
        <w:tab w:val="left" w:pos="287"/>
      </w:tabs>
      <w:spacing w:before="360" w:line="288" w:lineRule="auto"/>
      <w:jc w:val="left"/>
      <w:outlineLvl w:val="2"/>
    </w:pPr>
    <w:rPr>
      <w:rFonts w:ascii="Arial" w:hAnsi="Arial" w:eastAsia="黑体"/>
      <w:b/>
      <w:szCs w:val="20"/>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link w:val="26"/>
    <w:autoRedefine/>
    <w:qFormat/>
    <w:uiPriority w:val="0"/>
    <w:pPr>
      <w:ind w:firstLine="420"/>
    </w:pPr>
    <w:rPr>
      <w:rFonts w:eastAsia="仿宋_GB2312"/>
      <w:sz w:val="32"/>
      <w:szCs w:val="20"/>
    </w:rPr>
  </w:style>
  <w:style w:type="paragraph" w:styleId="6">
    <w:name w:val="annotation text"/>
    <w:basedOn w:val="1"/>
    <w:autoRedefine/>
    <w:qFormat/>
    <w:uiPriority w:val="0"/>
    <w:pPr>
      <w:jc w:val="left"/>
    </w:pPr>
  </w:style>
  <w:style w:type="paragraph" w:styleId="7">
    <w:name w:val="Body Text 3"/>
    <w:basedOn w:val="1"/>
    <w:link w:val="27"/>
    <w:autoRedefine/>
    <w:qFormat/>
    <w:uiPriority w:val="0"/>
    <w:pPr>
      <w:spacing w:after="120"/>
    </w:pPr>
    <w:rPr>
      <w:sz w:val="16"/>
      <w:szCs w:val="16"/>
    </w:rPr>
  </w:style>
  <w:style w:type="paragraph" w:styleId="8">
    <w:name w:val="Body Text"/>
    <w:basedOn w:val="1"/>
    <w:autoRedefine/>
    <w:qFormat/>
    <w:uiPriority w:val="0"/>
    <w:pPr>
      <w:spacing w:after="120"/>
    </w:pPr>
  </w:style>
  <w:style w:type="paragraph" w:styleId="9">
    <w:name w:val="Body Text Indent"/>
    <w:basedOn w:val="1"/>
    <w:autoRedefine/>
    <w:qFormat/>
    <w:uiPriority w:val="0"/>
    <w:pPr>
      <w:spacing w:after="120"/>
      <w:ind w:left="420" w:leftChars="200"/>
    </w:pPr>
  </w:style>
  <w:style w:type="paragraph" w:styleId="10">
    <w:name w:val="Plain Text"/>
    <w:basedOn w:val="1"/>
    <w:next w:val="11"/>
    <w:autoRedefine/>
    <w:qFormat/>
    <w:uiPriority w:val="0"/>
    <w:pPr>
      <w:spacing w:beforeLines="50" w:afterLines="50" w:line="400" w:lineRule="atLeast"/>
    </w:pPr>
    <w:rPr>
      <w:rFonts w:ascii="宋体" w:hAnsi="Courier New"/>
      <w:sz w:val="24"/>
    </w:rPr>
  </w:style>
  <w:style w:type="paragraph" w:styleId="11">
    <w:name w:val="Date"/>
    <w:basedOn w:val="1"/>
    <w:next w:val="1"/>
    <w:autoRedefine/>
    <w:qFormat/>
    <w:uiPriority w:val="0"/>
    <w:pPr>
      <w:ind w:left="2500" w:leftChars="2500"/>
    </w:pPr>
    <w:rPr>
      <w:rFonts w:ascii="Calibri" w:hAnsi="Calibri" w:eastAsia="楷体_GB2312" w:cs="宋体"/>
      <w:sz w:val="32"/>
      <w:szCs w:val="22"/>
    </w:rPr>
  </w:style>
  <w:style w:type="paragraph" w:styleId="12">
    <w:name w:val="Body Text Indent 2"/>
    <w:basedOn w:val="1"/>
    <w:autoRedefine/>
    <w:qFormat/>
    <w:uiPriority w:val="0"/>
    <w:pPr>
      <w:spacing w:after="120" w:line="480" w:lineRule="auto"/>
      <w:ind w:left="420" w:leftChars="200"/>
    </w:pPr>
  </w:style>
  <w:style w:type="paragraph" w:styleId="13">
    <w:name w:val="footer"/>
    <w:basedOn w:val="1"/>
    <w:link w:val="28"/>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16">
    <w:name w:val="Title"/>
    <w:basedOn w:val="1"/>
    <w:next w:val="1"/>
    <w:autoRedefine/>
    <w:qFormat/>
    <w:uiPriority w:val="0"/>
    <w:pPr>
      <w:spacing w:before="240" w:beforeLines="0" w:after="60" w:afterLines="0"/>
      <w:jc w:val="center"/>
      <w:outlineLvl w:val="0"/>
    </w:pPr>
    <w:rPr>
      <w:rFonts w:ascii="Cambria" w:hAnsi="Cambria" w:eastAsia="Cambria"/>
      <w:b/>
      <w:sz w:val="32"/>
      <w:szCs w:val="32"/>
    </w:rPr>
  </w:style>
  <w:style w:type="paragraph" w:styleId="17">
    <w:name w:val="Body Text First Indent 2"/>
    <w:basedOn w:val="9"/>
    <w:autoRedefine/>
    <w:qFormat/>
    <w:uiPriority w:val="0"/>
    <w:pPr>
      <w:ind w:firstLine="42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rPr>
      <w:b/>
    </w:rPr>
  </w:style>
  <w:style w:type="character" w:styleId="22">
    <w:name w:val="page number"/>
    <w:basedOn w:val="20"/>
    <w:autoRedefine/>
    <w:qFormat/>
    <w:uiPriority w:val="0"/>
  </w:style>
  <w:style w:type="character" w:styleId="23">
    <w:name w:val="Hyperlink"/>
    <w:basedOn w:val="20"/>
    <w:autoRedefine/>
    <w:qFormat/>
    <w:uiPriority w:val="0"/>
    <w:rPr>
      <w:color w:val="0000FF"/>
      <w:u w:val="single"/>
    </w:rPr>
  </w:style>
  <w:style w:type="paragraph" w:customStyle="1" w:styleId="24">
    <w:name w:val="签发人"/>
    <w:basedOn w:val="1"/>
    <w:autoRedefine/>
    <w:qFormat/>
    <w:uiPriority w:val="0"/>
    <w:rPr>
      <w:rFonts w:eastAsia="楷体"/>
      <w:sz w:val="32"/>
    </w:rPr>
  </w:style>
  <w:style w:type="paragraph" w:customStyle="1" w:styleId="2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6">
    <w:name w:val="正文缩进 Char"/>
    <w:link w:val="5"/>
    <w:autoRedefine/>
    <w:qFormat/>
    <w:uiPriority w:val="0"/>
    <w:rPr>
      <w:rFonts w:eastAsia="仿宋_GB2312"/>
      <w:kern w:val="2"/>
      <w:sz w:val="32"/>
      <w:lang w:val="en-US" w:eastAsia="zh-CN" w:bidi="ar-SA"/>
    </w:rPr>
  </w:style>
  <w:style w:type="character" w:customStyle="1" w:styleId="27">
    <w:name w:val="正文文本 3 Char"/>
    <w:link w:val="7"/>
    <w:autoRedefine/>
    <w:qFormat/>
    <w:uiPriority w:val="0"/>
    <w:rPr>
      <w:kern w:val="2"/>
      <w:sz w:val="16"/>
      <w:szCs w:val="16"/>
      <w:lang w:bidi="ar-SA"/>
    </w:rPr>
  </w:style>
  <w:style w:type="character" w:customStyle="1" w:styleId="28">
    <w:name w:val="页脚 Char"/>
    <w:link w:val="13"/>
    <w:autoRedefine/>
    <w:qFormat/>
    <w:uiPriority w:val="0"/>
    <w:rPr>
      <w:rFonts w:eastAsia="宋体"/>
      <w:kern w:val="2"/>
      <w:sz w:val="18"/>
      <w:szCs w:val="18"/>
      <w:lang w:val="en-US" w:eastAsia="zh-CN" w:bidi="ar-SA"/>
    </w:rPr>
  </w:style>
  <w:style w:type="paragraph" w:customStyle="1" w:styleId="29">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30">
    <w:name w:val="无间隔1"/>
    <w:autoRedefine/>
    <w:qFormat/>
    <w:uiPriority w:val="99"/>
    <w:pPr>
      <w:adjustRightInd w:val="0"/>
      <w:snapToGrid w:val="0"/>
    </w:pPr>
    <w:rPr>
      <w:rFonts w:ascii="Tahoma" w:hAnsi="Tahoma" w:eastAsia="微软雅黑" w:cs="宋体"/>
      <w:sz w:val="22"/>
      <w:szCs w:val="22"/>
      <w:lang w:val="en-US" w:eastAsia="zh-CN" w:bidi="ar-SA"/>
    </w:rPr>
  </w:style>
  <w:style w:type="paragraph" w:customStyle="1" w:styleId="31">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章正文"/>
    <w:basedOn w:val="1"/>
    <w:autoRedefine/>
    <w:qFormat/>
    <w:uiPriority w:val="0"/>
    <w:pPr>
      <w:spacing w:beforeLines="50" w:after="120" w:line="300" w:lineRule="auto"/>
      <w:ind w:firstLine="480"/>
    </w:pPr>
    <w:rPr>
      <w:rFonts w:ascii="Helvetica" w:hAnsi="Helvetica"/>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10165</Words>
  <Characters>10657</Characters>
  <Lines>79</Lines>
  <Paragraphs>22</Paragraphs>
  <TotalTime>12</TotalTime>
  <ScaleCrop>false</ScaleCrop>
  <LinksUpToDate>false</LinksUpToDate>
  <CharactersWithSpaces>11222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2023-04-14T11:28:00Z</dcterms:created>
  <dc:creator>Ken</dc:creator>
  <cp:lastModifiedBy>建设咨询</cp:lastModifiedBy>
  <cp:lastPrinted>2024-10-16T06:39:00Z</cp:lastPrinted>
  <dcterms:modified xsi:type="dcterms:W3CDTF">2024-11-15T05:32:38Z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7160249DE3974D89866875726CEFF14A_13</vt:lpwstr>
  </property>
</Properties>
</file>