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7CA9">
      <w:pPr>
        <w:tabs>
          <w:tab w:val="left" w:pos="720"/>
          <w:tab w:val="left" w:pos="2160"/>
          <w:tab w:val="left" w:pos="252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48140F9D">
      <w:pPr>
        <w:tabs>
          <w:tab w:val="left" w:pos="720"/>
          <w:tab w:val="left" w:pos="2160"/>
          <w:tab w:val="left" w:pos="252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257C572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F3ADF85">
      <w:pPr>
        <w:pStyle w:val="81"/>
        <w:jc w:val="center"/>
        <w:rPr>
          <w:rFonts w:hint="eastAsia" w:eastAsia="宋体"/>
          <w:b/>
          <w:bCs/>
          <w:color w:val="auto"/>
          <w:sz w:val="36"/>
          <w:szCs w:val="40"/>
          <w:highlight w:val="none"/>
          <w:lang w:eastAsia="zh-CN"/>
        </w:rPr>
      </w:pPr>
      <w:r>
        <w:rPr>
          <w:rFonts w:hint="eastAsia"/>
          <w:b/>
          <w:bCs/>
          <w:color w:val="auto"/>
          <w:sz w:val="36"/>
          <w:szCs w:val="40"/>
          <w:highlight w:val="none"/>
          <w:lang w:eastAsia="zh-CN"/>
        </w:rPr>
        <w:t>海塘提升工程生态修复区、管理房及巡查站、三山北堤用海图斑海域论证报告编制服务项目</w:t>
      </w:r>
    </w:p>
    <w:p w14:paraId="7B3E79E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6EA4D5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hAnsi="宋体" w:cs="Calibri Light"/>
          <w:color w:val="auto"/>
          <w:kern w:val="0"/>
          <w:szCs w:val="28"/>
          <w:highlight w:val="none"/>
        </w:rPr>
        <w:t>采购编号：</w:t>
      </w:r>
      <w:r>
        <w:rPr>
          <w:color w:val="auto"/>
          <w:highlight w:val="none"/>
        </w:rPr>
        <w:fldChar w:fldCharType="begin"/>
      </w:r>
      <w:r>
        <w:rPr>
          <w:color w:val="auto"/>
          <w:highlight w:val="none"/>
        </w:rPr>
        <w:instrText xml:space="preserve"> HYPERLINK "http://www.tzwztb.com/ztb/Framework/Main/Default.aspx?p=01001&amp;PrjId=I3310005276000328001" </w:instrText>
      </w:r>
      <w:r>
        <w:rPr>
          <w:color w:val="auto"/>
          <w:highlight w:val="none"/>
        </w:rPr>
        <w:fldChar w:fldCharType="separate"/>
      </w:r>
      <w:r>
        <w:rPr>
          <w:rFonts w:hint="eastAsia" w:ascii="宋体" w:hAnsi="宋体" w:cs="Calibri Light"/>
          <w:color w:val="auto"/>
          <w:kern w:val="0"/>
          <w:szCs w:val="28"/>
          <w:highlight w:val="none"/>
          <w:lang w:eastAsia="zh-CN"/>
        </w:rPr>
        <w:t>QBJ2025002</w:t>
      </w:r>
      <w:r>
        <w:rPr>
          <w:rFonts w:hint="eastAsia" w:ascii="宋体" w:hAnsi="宋体" w:cs="Calibri Light"/>
          <w:color w:val="auto"/>
          <w:kern w:val="0"/>
          <w:szCs w:val="28"/>
          <w:highlight w:val="none"/>
        </w:rPr>
        <w:fldChar w:fldCharType="end"/>
      </w:r>
      <w:r>
        <w:rPr>
          <w:rFonts w:hint="eastAsia" w:ascii="宋体" w:hAnsi="宋体" w:cs="Calibri Light"/>
          <w:color w:val="auto"/>
          <w:kern w:val="0"/>
          <w:szCs w:val="28"/>
          <w:highlight w:val="none"/>
        </w:rPr>
        <w:t xml:space="preserve">   </w:t>
      </w:r>
      <w:r>
        <w:rPr>
          <w:rFonts w:ascii="宋体" w:hAnsi="宋体" w:cs="Calibri Light"/>
          <w:color w:val="auto"/>
          <w:kern w:val="0"/>
          <w:szCs w:val="28"/>
          <w:highlight w:val="none"/>
        </w:rPr>
        <w:t xml:space="preserve">    </w:t>
      </w:r>
    </w:p>
    <w:p w14:paraId="2D26CFC9">
      <w:pPr>
        <w:tabs>
          <w:tab w:val="left" w:pos="1260"/>
        </w:tabs>
        <w:spacing w:line="640" w:lineRule="exact"/>
        <w:outlineLvl w:val="0"/>
        <w:rPr>
          <w:rFonts w:ascii="宋体" w:hAnsi="宋体"/>
          <w:color w:val="auto"/>
          <w:spacing w:val="20"/>
          <w:kern w:val="21"/>
          <w:sz w:val="30"/>
          <w:szCs w:val="30"/>
          <w:highlight w:val="none"/>
        </w:rPr>
      </w:pPr>
    </w:p>
    <w:p w14:paraId="457C2DE7">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采购人：</w:t>
      </w:r>
      <w:r>
        <w:rPr>
          <w:rFonts w:hint="eastAsia"/>
          <w:color w:val="auto"/>
          <w:sz w:val="28"/>
          <w:highlight w:val="none"/>
          <w:u w:val="single"/>
          <w:lang w:eastAsia="zh-CN"/>
        </w:rPr>
        <w:t>台州循环经济发展有限公司</w:t>
      </w:r>
      <w:r>
        <w:rPr>
          <w:rFonts w:hint="eastAsia" w:ascii="宋体" w:hAnsi="宋体"/>
          <w:color w:val="auto"/>
          <w:spacing w:val="20"/>
          <w:kern w:val="21"/>
          <w:sz w:val="30"/>
          <w:szCs w:val="30"/>
          <w:highlight w:val="none"/>
        </w:rPr>
        <w:t>（盖章）</w:t>
      </w:r>
    </w:p>
    <w:p w14:paraId="549D7A67">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eastAsia="zh-CN"/>
        </w:rPr>
        <w:t>陈先生</w:t>
      </w:r>
    </w:p>
    <w:p w14:paraId="0A05677A">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eastAsia="zh-CN"/>
        </w:rPr>
        <w:t>0576-88909826</w:t>
      </w:r>
      <w:r>
        <w:rPr>
          <w:rFonts w:hint="eastAsia" w:ascii="宋体" w:hAnsi="宋体"/>
          <w:color w:val="auto"/>
          <w:spacing w:val="20"/>
          <w:kern w:val="21"/>
          <w:sz w:val="30"/>
          <w:szCs w:val="30"/>
          <w:highlight w:val="none"/>
        </w:rPr>
        <w:t xml:space="preserve"> </w:t>
      </w:r>
    </w:p>
    <w:p w14:paraId="054CD7FB">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4AA77EEA">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lang w:eastAsia="zh-CN"/>
        </w:rPr>
        <w:t>洪璇</w:t>
      </w:r>
      <w:r>
        <w:rPr>
          <w:color w:val="auto"/>
          <w:sz w:val="28"/>
          <w:highlight w:val="none"/>
        </w:rPr>
        <w:t xml:space="preserve"> </w:t>
      </w:r>
    </w:p>
    <w:p w14:paraId="0A2EAB85">
      <w:pPr>
        <w:spacing w:line="480" w:lineRule="auto"/>
        <w:ind w:firstLine="1020" w:firstLineChars="30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lang w:eastAsia="zh-CN"/>
        </w:rPr>
        <w:t>0576-88517791</w:t>
      </w:r>
    </w:p>
    <w:p w14:paraId="0842527F">
      <w:pP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5</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01</w:t>
      </w:r>
      <w:r>
        <w:rPr>
          <w:rFonts w:hint="eastAsia" w:ascii="宋体" w:hAnsi="宋体"/>
          <w:color w:val="auto"/>
          <w:spacing w:val="20"/>
          <w:kern w:val="21"/>
          <w:sz w:val="30"/>
          <w:szCs w:val="30"/>
          <w:highlight w:val="none"/>
        </w:rPr>
        <w:t>月</w:t>
      </w:r>
    </w:p>
    <w:p w14:paraId="3FBDF8CA">
      <w:pPr>
        <w:spacing w:line="360" w:lineRule="auto"/>
        <w:rPr>
          <w:color w:val="auto"/>
          <w:highlight w:val="none"/>
        </w:rPr>
      </w:pPr>
    </w:p>
    <w:p w14:paraId="0555D854">
      <w:pPr>
        <w:pStyle w:val="37"/>
        <w:rPr>
          <w:color w:val="auto"/>
          <w:highlight w:val="none"/>
        </w:rPr>
      </w:pPr>
    </w:p>
    <w:p w14:paraId="7B9F028A">
      <w:pPr>
        <w:pStyle w:val="37"/>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8"/>
          <w:szCs w:val="28"/>
          <w:highlight w:val="none"/>
        </w:rPr>
      </w:sdtEndPr>
      <w:sdtContent>
        <w:p w14:paraId="3C4E104E">
          <w:pPr>
            <w:spacing w:line="480" w:lineRule="auto"/>
            <w:jc w:val="center"/>
            <w:rPr>
              <w:rFonts w:ascii="宋体" w:hAnsi="宋体"/>
              <w:color w:val="auto"/>
              <w:kern w:val="0"/>
              <w:sz w:val="28"/>
              <w:szCs w:val="28"/>
              <w:highlight w:val="none"/>
            </w:rPr>
          </w:pPr>
          <w:bookmarkStart w:id="0" w:name="_Toc25017_WPSOffice_Type1"/>
        </w:p>
        <w:p w14:paraId="60CB6484">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5CEE225F">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10D5F0B6">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63E57DFF">
          <w:pPr>
            <w:pStyle w:val="19"/>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1A405C5D">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1EF70EE3">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14ED15B1">
          <w:pPr>
            <w:pStyle w:val="19"/>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30573BE6">
      <w:pPr>
        <w:spacing w:line="480" w:lineRule="auto"/>
        <w:rPr>
          <w:color w:val="auto"/>
          <w:sz w:val="28"/>
          <w:szCs w:val="28"/>
          <w:highlight w:val="none"/>
        </w:rPr>
      </w:pPr>
    </w:p>
    <w:p w14:paraId="27A71715">
      <w:pPr>
        <w:spacing w:line="360" w:lineRule="auto"/>
        <w:rPr>
          <w:color w:val="auto"/>
          <w:highlight w:val="none"/>
        </w:rPr>
      </w:pPr>
    </w:p>
    <w:p w14:paraId="24759BAC">
      <w:pPr>
        <w:spacing w:line="360" w:lineRule="auto"/>
        <w:rPr>
          <w:color w:val="auto"/>
          <w:highlight w:val="none"/>
        </w:rPr>
      </w:pPr>
    </w:p>
    <w:p w14:paraId="62433981">
      <w:pPr>
        <w:spacing w:line="360" w:lineRule="auto"/>
        <w:rPr>
          <w:color w:val="auto"/>
          <w:highlight w:val="none"/>
        </w:rPr>
      </w:pPr>
    </w:p>
    <w:p w14:paraId="57220A44">
      <w:pPr>
        <w:spacing w:line="360" w:lineRule="auto"/>
        <w:rPr>
          <w:color w:val="auto"/>
          <w:highlight w:val="none"/>
        </w:rPr>
      </w:pPr>
    </w:p>
    <w:p w14:paraId="3235CFC5">
      <w:pPr>
        <w:spacing w:line="360" w:lineRule="auto"/>
        <w:rPr>
          <w:color w:val="auto"/>
          <w:highlight w:val="none"/>
        </w:rPr>
      </w:pPr>
    </w:p>
    <w:p w14:paraId="10282980">
      <w:pPr>
        <w:spacing w:line="360" w:lineRule="auto"/>
        <w:rPr>
          <w:color w:val="auto"/>
          <w:highlight w:val="none"/>
        </w:rPr>
      </w:pPr>
    </w:p>
    <w:p w14:paraId="0257C2F1">
      <w:pPr>
        <w:spacing w:line="360" w:lineRule="auto"/>
        <w:rPr>
          <w:color w:val="auto"/>
          <w:highlight w:val="none"/>
        </w:rPr>
      </w:pPr>
    </w:p>
    <w:p w14:paraId="61FBEAC8">
      <w:pPr>
        <w:spacing w:line="360" w:lineRule="auto"/>
        <w:rPr>
          <w:color w:val="auto"/>
          <w:highlight w:val="none"/>
        </w:rPr>
      </w:pPr>
    </w:p>
    <w:p w14:paraId="72D4031A">
      <w:pPr>
        <w:spacing w:line="360" w:lineRule="auto"/>
        <w:rPr>
          <w:color w:val="auto"/>
          <w:highlight w:val="none"/>
        </w:rPr>
      </w:pPr>
    </w:p>
    <w:p w14:paraId="58F21454">
      <w:pPr>
        <w:spacing w:line="360" w:lineRule="auto"/>
        <w:rPr>
          <w:color w:val="auto"/>
          <w:highlight w:val="none"/>
        </w:rPr>
      </w:pPr>
    </w:p>
    <w:p w14:paraId="3CFE23C3">
      <w:pPr>
        <w:spacing w:line="360" w:lineRule="auto"/>
        <w:rPr>
          <w:color w:val="auto"/>
          <w:highlight w:val="none"/>
        </w:rPr>
      </w:pPr>
    </w:p>
    <w:p w14:paraId="6E5BBE5E">
      <w:pPr>
        <w:spacing w:line="360" w:lineRule="auto"/>
        <w:rPr>
          <w:color w:val="auto"/>
          <w:highlight w:val="none"/>
        </w:rPr>
      </w:pPr>
    </w:p>
    <w:p w14:paraId="4DA5543F">
      <w:pPr>
        <w:spacing w:line="360" w:lineRule="auto"/>
        <w:rPr>
          <w:color w:val="auto"/>
          <w:highlight w:val="none"/>
        </w:rPr>
      </w:pPr>
    </w:p>
    <w:p w14:paraId="70D1BA97">
      <w:pPr>
        <w:spacing w:line="360" w:lineRule="auto"/>
        <w:rPr>
          <w:color w:val="auto"/>
          <w:highlight w:val="none"/>
        </w:rPr>
      </w:pPr>
    </w:p>
    <w:p w14:paraId="20F2CB21">
      <w:pPr>
        <w:spacing w:line="360" w:lineRule="auto"/>
        <w:rPr>
          <w:color w:val="auto"/>
          <w:highlight w:val="none"/>
        </w:rPr>
      </w:pPr>
    </w:p>
    <w:p w14:paraId="00BCA4FE">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13F1DDF3">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5" w:name="_Toc4350_WPSOffice_Level1"/>
      <w:r>
        <w:rPr>
          <w:rFonts w:hint="eastAsia" w:ascii="宋体" w:hAnsi="宋体" w:cs="宋体"/>
          <w:b/>
          <w:color w:val="auto"/>
          <w:kern w:val="0"/>
          <w:sz w:val="36"/>
          <w:szCs w:val="36"/>
          <w:highlight w:val="none"/>
        </w:rPr>
        <w:t>投标邀请</w:t>
      </w:r>
      <w:bookmarkEnd w:id="5"/>
    </w:p>
    <w:p w14:paraId="2630A542">
      <w:pPr>
        <w:pStyle w:val="3"/>
        <w:ind w:firstLine="480" w:firstLineChars="200"/>
        <w:rPr>
          <w:rFonts w:cs="宋体"/>
          <w:b w:val="0"/>
          <w:color w:val="auto"/>
          <w:sz w:val="24"/>
          <w:szCs w:val="24"/>
          <w:highlight w:val="none"/>
        </w:rPr>
      </w:pPr>
      <w:bookmarkStart w:id="6" w:name="_Toc35393621"/>
      <w:bookmarkStart w:id="7" w:name="_Toc35393790"/>
      <w:bookmarkStart w:id="8" w:name="_Toc28359002"/>
      <w:bookmarkStart w:id="9" w:name="_Toc28359079"/>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台州循环经济发展有限公司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海塘提升工程生态修复区、管理房及巡查站、三山北堤用海图斑海域论证报告编制服务项目</w:t>
      </w:r>
      <w:r>
        <w:rPr>
          <w:rFonts w:hint="eastAsia" w:cs="宋体"/>
          <w:b w:val="0"/>
          <w:color w:val="auto"/>
          <w:sz w:val="24"/>
          <w:szCs w:val="24"/>
          <w:highlight w:val="none"/>
        </w:rPr>
        <w:t>进行公开招标，欢迎符合资格条件的投标人参加投标。</w:t>
      </w:r>
    </w:p>
    <w:p w14:paraId="61D1D971">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14:paraId="2F167C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color w:val="auto"/>
          <w:highlight w:val="none"/>
        </w:rPr>
        <w:fldChar w:fldCharType="begin"/>
      </w:r>
      <w:r>
        <w:rPr>
          <w:color w:val="auto"/>
          <w:highlight w:val="none"/>
        </w:rPr>
        <w:instrText xml:space="preserve"> HYPERLINK "http://www.tzwztb.com/ztb/Framework/Main/Default.aspx?p=01001&amp;PrjId=I3310005276000328001" </w:instrText>
      </w:r>
      <w:r>
        <w:rPr>
          <w:color w:val="auto"/>
          <w:highlight w:val="none"/>
        </w:rPr>
        <w:fldChar w:fldCharType="separate"/>
      </w:r>
      <w:r>
        <w:rPr>
          <w:rFonts w:hint="eastAsia" w:ascii="宋体" w:hAnsi="宋体" w:cs="宋体"/>
          <w:color w:val="auto"/>
          <w:sz w:val="24"/>
          <w:highlight w:val="none"/>
          <w:lang w:eastAsia="zh-CN"/>
        </w:rPr>
        <w:t>QBJ2025002</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bookmarkEnd w:id="10"/>
    <w:p w14:paraId="52BB99DF">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海塘提升工程生态修复区、管理房及巡查站、三山北堤用海图斑海域论证报告编制服务项目</w:t>
      </w:r>
    </w:p>
    <w:tbl>
      <w:tblPr>
        <w:tblStyle w:val="28"/>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14:paraId="0D1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14:paraId="170DD5AB">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3112" w:type="dxa"/>
            <w:vAlign w:val="center"/>
          </w:tcPr>
          <w:p w14:paraId="55777171">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1040" w:type="dxa"/>
            <w:vAlign w:val="center"/>
          </w:tcPr>
          <w:p w14:paraId="008F03F7">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99" w:type="dxa"/>
            <w:vAlign w:val="center"/>
          </w:tcPr>
          <w:p w14:paraId="2726E2B0">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90" w:type="dxa"/>
            <w:vAlign w:val="center"/>
          </w:tcPr>
          <w:p w14:paraId="66D2575E">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14:paraId="408E9682">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72" w:type="dxa"/>
            <w:vAlign w:val="center"/>
          </w:tcPr>
          <w:p w14:paraId="21586001">
            <w:pPr>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3A8DF12F">
            <w:pPr>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0619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14:paraId="66991D61">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3112" w:type="dxa"/>
            <w:vAlign w:val="center"/>
          </w:tcPr>
          <w:p w14:paraId="37F20DFA">
            <w:pPr>
              <w:tabs>
                <w:tab w:val="left" w:pos="8280"/>
              </w:tabs>
              <w:autoSpaceDE w:val="0"/>
              <w:autoSpaceDN w:val="0"/>
              <w:adjustRightInd w:val="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海塘提升工程生态修复区、管理房及巡查站、三山北堤用海图斑海域论证报告编制服务项目</w:t>
            </w:r>
          </w:p>
        </w:tc>
        <w:tc>
          <w:tcPr>
            <w:tcW w:w="1040" w:type="dxa"/>
            <w:vAlign w:val="center"/>
          </w:tcPr>
          <w:p w14:paraId="688A9D3D">
            <w:pPr>
              <w:tabs>
                <w:tab w:val="left" w:pos="8280"/>
              </w:tabs>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799" w:type="dxa"/>
            <w:vAlign w:val="center"/>
          </w:tcPr>
          <w:p w14:paraId="50A0285C">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190" w:type="dxa"/>
            <w:vAlign w:val="center"/>
          </w:tcPr>
          <w:p w14:paraId="01EE51B7">
            <w:pPr>
              <w:tabs>
                <w:tab w:val="left" w:pos="8280"/>
              </w:tabs>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60</w:t>
            </w:r>
          </w:p>
        </w:tc>
        <w:tc>
          <w:tcPr>
            <w:tcW w:w="1372" w:type="dxa"/>
            <w:vAlign w:val="center"/>
          </w:tcPr>
          <w:p w14:paraId="6907264F">
            <w:pPr>
              <w:tabs>
                <w:tab w:val="left" w:pos="8280"/>
              </w:tabs>
              <w:autoSpaceDE w:val="0"/>
              <w:autoSpaceDN w:val="0"/>
              <w:adjustRightInd w:val="0"/>
              <w:jc w:val="center"/>
              <w:rPr>
                <w:rStyle w:val="71"/>
                <w:rFonts w:hint="default" w:ascii="宋体" w:hAnsi="宋体" w:eastAsia="宋体"/>
                <w:color w:val="auto"/>
                <w:szCs w:val="21"/>
                <w:highlight w:val="none"/>
                <w:lang w:val="en-US" w:eastAsia="zh-CN"/>
              </w:rPr>
            </w:pPr>
            <w:r>
              <w:rPr>
                <w:rStyle w:val="71"/>
                <w:rFonts w:hint="eastAsia" w:ascii="宋体" w:hAnsi="宋体"/>
                <w:color w:val="auto"/>
                <w:szCs w:val="21"/>
                <w:highlight w:val="none"/>
                <w:lang w:val="en-US" w:eastAsia="zh-CN"/>
              </w:rPr>
              <w:t>60</w:t>
            </w:r>
          </w:p>
        </w:tc>
      </w:tr>
    </w:tbl>
    <w:p w14:paraId="4F1E236B">
      <w:pPr>
        <w:pStyle w:val="3"/>
        <w:tabs>
          <w:tab w:val="left" w:pos="9660"/>
          <w:tab w:val="clear" w:pos="8280"/>
        </w:tabs>
        <w:ind w:right="23" w:firstLine="482" w:firstLineChars="200"/>
        <w:jc w:val="left"/>
        <w:rPr>
          <w:rFonts w:cs="宋体"/>
          <w:bCs/>
          <w:color w:val="auto"/>
          <w:sz w:val="24"/>
          <w:szCs w:val="24"/>
          <w:highlight w:val="none"/>
        </w:rPr>
      </w:pPr>
      <w:bookmarkStart w:id="11" w:name="_Toc35393622"/>
      <w:bookmarkStart w:id="12" w:name="_Toc28359003"/>
      <w:bookmarkStart w:id="13" w:name="_Toc28359080"/>
      <w:bookmarkStart w:id="14" w:name="_Toc35393791"/>
      <w:r>
        <w:rPr>
          <w:rFonts w:hint="eastAsia" w:cs="宋体"/>
          <w:bCs/>
          <w:color w:val="auto"/>
          <w:sz w:val="24"/>
          <w:szCs w:val="24"/>
          <w:highlight w:val="none"/>
        </w:rPr>
        <w:t>二、投标人的资格要求</w:t>
      </w:r>
      <w:bookmarkEnd w:id="11"/>
      <w:bookmarkEnd w:id="12"/>
      <w:bookmarkEnd w:id="13"/>
      <w:bookmarkEnd w:id="14"/>
    </w:p>
    <w:p w14:paraId="4BC6CEF4">
      <w:pPr>
        <w:spacing w:line="360" w:lineRule="auto"/>
        <w:ind w:firstLine="480" w:firstLineChars="200"/>
        <w:jc w:val="left"/>
        <w:rPr>
          <w:rFonts w:hint="eastAsia" w:ascii="宋体" w:hAnsi="宋体" w:cs="宋体"/>
          <w:color w:val="auto"/>
          <w:sz w:val="24"/>
          <w:highlight w:val="none"/>
        </w:rPr>
      </w:pPr>
      <w:bookmarkStart w:id="15" w:name="_Toc35393792"/>
      <w:bookmarkStart w:id="16" w:name="_Toc35393623"/>
      <w:bookmarkStart w:id="17" w:name="_Toc28359004"/>
      <w:bookmarkStart w:id="18" w:name="_Toc28359081"/>
      <w:r>
        <w:rPr>
          <w:rFonts w:hint="eastAsia" w:ascii="宋体" w:hAnsi="宋体" w:cs="宋体"/>
          <w:color w:val="auto"/>
          <w:sz w:val="24"/>
          <w:highlight w:val="none"/>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）具备提供本项目</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能力的投标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w:t>
      </w:r>
    </w:p>
    <w:p w14:paraId="6DD45F1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投标人具有测绘行政主管部门颁发的乙级及以上测绘资质证书（测绘专业包含海洋测绘）（依据《自然资源部办公厅关于印发测绘资质管理办法和测绘资质分类分级标准的通知》自然资办发[2021]43号）。</w:t>
      </w:r>
    </w:p>
    <w:p w14:paraId="3E7D5A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）本项目不接受联合体投标。</w:t>
      </w:r>
    </w:p>
    <w:p w14:paraId="0929EC7A">
      <w:pPr>
        <w:pStyle w:val="3"/>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14:paraId="5073CC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1A5A1B4">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5F1102B1">
      <w:pPr>
        <w:pStyle w:val="3"/>
        <w:ind w:right="0" w:firstLine="482" w:firstLineChars="200"/>
        <w:rPr>
          <w:rFonts w:cs="宋体"/>
          <w:bCs/>
          <w:color w:val="auto"/>
          <w:sz w:val="24"/>
          <w:szCs w:val="24"/>
          <w:highlight w:val="none"/>
        </w:rPr>
      </w:pPr>
      <w:bookmarkStart w:id="19" w:name="_Toc35393624"/>
      <w:bookmarkStart w:id="20" w:name="_Toc28359005"/>
      <w:bookmarkStart w:id="21" w:name="_Toc35393793"/>
      <w:bookmarkStart w:id="22" w:name="_Toc28359082"/>
      <w:r>
        <w:rPr>
          <w:rFonts w:hint="eastAsia" w:cs="宋体"/>
          <w:bCs/>
          <w:color w:val="auto"/>
          <w:sz w:val="24"/>
          <w:szCs w:val="24"/>
          <w:highlight w:val="none"/>
        </w:rPr>
        <w:t>四、提交投标文件</w:t>
      </w:r>
      <w:bookmarkEnd w:id="19"/>
      <w:bookmarkEnd w:id="20"/>
      <w:bookmarkEnd w:id="21"/>
      <w:bookmarkEnd w:id="22"/>
    </w:p>
    <w:p w14:paraId="6E61C95E">
      <w:pPr>
        <w:spacing w:line="360" w:lineRule="auto"/>
        <w:ind w:firstLine="480" w:firstLineChars="200"/>
        <w:jc w:val="left"/>
        <w:rPr>
          <w:rFonts w:ascii="宋体" w:hAnsi="宋体" w:cs="宋体"/>
          <w:color w:val="auto"/>
          <w:sz w:val="24"/>
          <w:highlight w:val="none"/>
        </w:rPr>
      </w:pPr>
      <w:bookmarkStart w:id="23" w:name="_Toc28359084"/>
      <w:bookmarkStart w:id="24" w:name="_Toc28359007"/>
      <w:bookmarkStart w:id="25" w:name="_Toc35393794"/>
      <w:bookmarkStart w:id="26" w:name="_Toc35393625"/>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08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点30分</w:t>
      </w:r>
      <w:r>
        <w:rPr>
          <w:rFonts w:hint="eastAsia" w:ascii="宋体" w:hAnsi="宋体" w:cs="宋体"/>
          <w:color w:val="auto"/>
          <w:sz w:val="24"/>
          <w:highlight w:val="none"/>
        </w:rPr>
        <w:t>（北京时间）</w:t>
      </w:r>
    </w:p>
    <w:p w14:paraId="301F43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23"/>
    <w:bookmarkEnd w:id="24"/>
    <w:bookmarkEnd w:id="25"/>
    <w:bookmarkEnd w:id="26"/>
    <w:p w14:paraId="2C67844C">
      <w:pPr>
        <w:pStyle w:val="11"/>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60AE734B">
      <w:pPr>
        <w:pStyle w:val="11"/>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2337EA41">
      <w:pPr>
        <w:pStyle w:val="11"/>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3BCE80D3">
      <w:pPr>
        <w:pStyle w:val="3"/>
        <w:ind w:right="0" w:firstLine="482" w:firstLineChars="200"/>
        <w:rPr>
          <w:rFonts w:cs="宋体"/>
          <w:bCs/>
          <w:color w:val="auto"/>
          <w:sz w:val="24"/>
          <w:szCs w:val="24"/>
          <w:highlight w:val="none"/>
        </w:rPr>
      </w:pPr>
      <w:bookmarkStart w:id="27" w:name="_Toc35393626"/>
      <w:bookmarkStart w:id="28" w:name="_Toc35393795"/>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14:paraId="55A1149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46016C69">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125805E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12000</w:t>
      </w:r>
      <w:r>
        <w:rPr>
          <w:rFonts w:hint="eastAsia" w:ascii="宋体" w:hAnsi="宋体" w:cs="宋体"/>
          <w:bCs/>
          <w:color w:val="auto"/>
          <w:kern w:val="0"/>
          <w:sz w:val="24"/>
          <w:highlight w:val="none"/>
        </w:rPr>
        <w:t>元。</w:t>
      </w:r>
    </w:p>
    <w:p w14:paraId="06E7B6D9">
      <w:pPr>
        <w:pStyle w:val="11"/>
        <w:ind w:left="0" w:leftChars="0" w:firstLine="480"/>
        <w:jc w:val="left"/>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2.投标保证金缴纳方式：现金转账、银行保函、保险机构保证保险保单、融资担保公司保函。</w:t>
      </w:r>
    </w:p>
    <w:p w14:paraId="73470E22">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7F5190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36B3BD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3B59F67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04B6A6D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color w:val="auto"/>
          <w:kern w:val="0"/>
          <w:sz w:val="24"/>
          <w:highlight w:val="none"/>
          <w:u w:val="single"/>
          <w:lang w:eastAsia="zh-CN"/>
        </w:rPr>
      </w:pPr>
      <w:r>
        <w:rPr>
          <w:rFonts w:hint="eastAsia" w:ascii="宋体" w:hAnsi="宋体" w:cs="宋体"/>
          <w:bCs/>
          <w:color w:val="auto"/>
          <w:kern w:val="0"/>
          <w:sz w:val="24"/>
          <w:highlight w:val="none"/>
        </w:rPr>
        <w:t>①工程保函的受益人：</w:t>
      </w:r>
      <w:r>
        <w:rPr>
          <w:rFonts w:hint="eastAsia" w:cs="宋体"/>
          <w:color w:val="auto"/>
          <w:sz w:val="24"/>
          <w:highlight w:val="none"/>
          <w:u w:val="single"/>
          <w:lang w:eastAsia="zh-CN"/>
        </w:rPr>
        <w:t>台州循环经济发展有限公司</w:t>
      </w:r>
    </w:p>
    <w:p w14:paraId="48DB088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（招标人名称）；</w:t>
      </w:r>
    </w:p>
    <w:p w14:paraId="049FCBB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68DE275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528E91E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5664B53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6913C91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5F05AEB8">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E9FBC3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14:paraId="56D1191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33829A2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（1）若是投标人的法定代表人递交工程保函的，应持法定代表人身份证明原件（姓名须与全国建设市场监管与诚信信息发布平台查询的相一致），否则工程保函不予签收。</w:t>
      </w:r>
    </w:p>
    <w:p w14:paraId="76733D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（2）若是投标人委托代理人递交工程保函的，应持针对本工程的法定代表人授权委托书原件（投标文件格式附件1）及身份证原件，否则工程保函不予签收。</w:t>
      </w:r>
    </w:p>
    <w:p w14:paraId="7CC7C1A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14:paraId="41B669E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2B17972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w:t>
      </w:r>
      <w:r>
        <w:rPr>
          <w:rFonts w:hint="eastAsia" w:ascii="宋体" w:hAnsi="宋体" w:cs="宋体"/>
          <w:bCs/>
          <w:color w:val="auto"/>
          <w:kern w:val="0"/>
          <w:sz w:val="24"/>
          <w:highlight w:val="none"/>
          <w:u w:val="single"/>
          <w:lang w:val="en-US" w:eastAsia="zh-CN"/>
        </w:rPr>
        <w:t>5</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02</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08</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14</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rPr>
        <w:t>00-</w:t>
      </w:r>
      <w:r>
        <w:rPr>
          <w:rFonts w:hint="eastAsia" w:ascii="宋体" w:hAnsi="宋体" w:cs="宋体"/>
          <w:bCs/>
          <w:color w:val="auto"/>
          <w:kern w:val="0"/>
          <w:sz w:val="24"/>
          <w:highlight w:val="none"/>
          <w:u w:val="single"/>
          <w:lang w:val="en-US" w:eastAsia="zh-CN"/>
        </w:rPr>
        <w:t>14</w:t>
      </w:r>
      <w:r>
        <w:rPr>
          <w:rFonts w:hint="eastAsia" w:ascii="宋体" w:hAnsi="宋体" w:cs="宋体"/>
          <w:bCs/>
          <w:color w:val="auto"/>
          <w:kern w:val="0"/>
          <w:sz w:val="24"/>
          <w:highlight w:val="none"/>
          <w:u w:val="single"/>
        </w:rPr>
        <w:t>：</w:t>
      </w:r>
      <w:r>
        <w:rPr>
          <w:rFonts w:ascii="宋体" w:hAnsi="宋体" w:cs="宋体"/>
          <w:bCs/>
          <w:color w:val="auto"/>
          <w:kern w:val="0"/>
          <w:sz w:val="24"/>
          <w:highlight w:val="none"/>
          <w:u w:val="single"/>
        </w:rPr>
        <w:t>3</w:t>
      </w:r>
      <w:r>
        <w:rPr>
          <w:rFonts w:hint="eastAsia" w:ascii="宋体" w:hAnsi="宋体" w:cs="宋体"/>
          <w:bCs/>
          <w:color w:val="auto"/>
          <w:kern w:val="0"/>
          <w:sz w:val="24"/>
          <w:highlight w:val="none"/>
          <w:u w:val="single"/>
        </w:rPr>
        <w:t>0</w:t>
      </w:r>
    </w:p>
    <w:p w14:paraId="5B3C964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51736782">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0576-885177</w:t>
      </w:r>
      <w:r>
        <w:rPr>
          <w:rFonts w:hint="eastAsia" w:ascii="宋体" w:hAnsi="宋体" w:cs="宋体"/>
          <w:bCs/>
          <w:color w:val="auto"/>
          <w:kern w:val="0"/>
          <w:sz w:val="24"/>
          <w:highlight w:val="none"/>
          <w:u w:val="single"/>
          <w:lang w:val="en-US" w:eastAsia="zh-CN"/>
        </w:rPr>
        <w:t>91</w:t>
      </w:r>
    </w:p>
    <w:p w14:paraId="7FC0551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14:paraId="19F29A15">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3、注意事项</w:t>
      </w:r>
    </w:p>
    <w:p w14:paraId="12CC2D58">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①若招标文件允许联合体投标且投标人以联合体身份投标的，由联合体牵头人提交投标保证金；</w:t>
      </w:r>
    </w:p>
    <w:p w14:paraId="5E9F70B2">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②以银行转账形式提交的投标保证金应当从投标人基本账户转出，购买工程保函的费用应当从投标人基本账户支付；</w:t>
      </w:r>
    </w:p>
    <w:p w14:paraId="7C23C2A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③若有疑问，请咨询技术服务热线：13454667697</w:t>
      </w:r>
    </w:p>
    <w:p w14:paraId="0D59E42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④以上未按要求提供或提供不清晰的，评标委员会可能做出不利于投标人的评审结果，由此造成的风险由投标人自行承担。</w:t>
      </w:r>
    </w:p>
    <w:p w14:paraId="739B3715">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202</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02</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08</w:t>
      </w:r>
      <w:r>
        <w:rPr>
          <w:rFonts w:hint="eastAsia" w:ascii="宋体" w:hAnsi="宋体" w:cs="宋体"/>
          <w:b/>
          <w:bCs/>
          <w:color w:val="auto"/>
          <w:kern w:val="0"/>
          <w:sz w:val="24"/>
          <w:highlight w:val="none"/>
        </w:rPr>
        <w:t>日下午16点前</w:t>
      </w:r>
    </w:p>
    <w:p w14:paraId="60FC6A2C">
      <w:pPr>
        <w:pStyle w:val="3"/>
        <w:ind w:right="0" w:firstLine="482" w:firstLineChars="200"/>
        <w:rPr>
          <w:rFonts w:cs="宋体"/>
          <w:bCs/>
          <w:color w:val="auto"/>
          <w:sz w:val="24"/>
          <w:szCs w:val="24"/>
          <w:highlight w:val="none"/>
        </w:rPr>
      </w:pPr>
      <w:bookmarkStart w:id="29" w:name="_Toc35393796"/>
      <w:bookmarkStart w:id="30" w:name="_Toc28359008"/>
      <w:bookmarkStart w:id="31" w:name="_Toc35393627"/>
      <w:bookmarkStart w:id="32" w:name="_Toc28359085"/>
      <w:r>
        <w:rPr>
          <w:rFonts w:hint="eastAsia" w:cs="宋体"/>
          <w:bCs/>
          <w:color w:val="auto"/>
          <w:sz w:val="24"/>
          <w:szCs w:val="24"/>
          <w:highlight w:val="none"/>
        </w:rPr>
        <w:t>八、</w:t>
      </w:r>
      <w:bookmarkEnd w:id="29"/>
      <w:bookmarkEnd w:id="30"/>
      <w:bookmarkEnd w:id="31"/>
      <w:bookmarkEnd w:id="32"/>
      <w:r>
        <w:rPr>
          <w:rFonts w:hint="eastAsia" w:cs="宋体"/>
          <w:bCs/>
          <w:color w:val="auto"/>
          <w:sz w:val="24"/>
          <w:szCs w:val="24"/>
          <w:highlight w:val="none"/>
        </w:rPr>
        <w:t>联系方式</w:t>
      </w:r>
    </w:p>
    <w:p w14:paraId="7A37A094">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1B0F8F3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u w:val="single"/>
          <w:lang w:eastAsia="zh-CN"/>
        </w:rPr>
        <w:t>台州循环经济发展有限公司</w:t>
      </w:r>
    </w:p>
    <w:p w14:paraId="10EFFBEC">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台州湾新区滨富东路733号东盛广场 1 幢</w:t>
      </w:r>
    </w:p>
    <w:p w14:paraId="271F1A09">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bookmarkStart w:id="33" w:name="_Toc28359009"/>
      <w:bookmarkStart w:id="34" w:name="_Toc28359086"/>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陈先生</w:t>
      </w:r>
    </w:p>
    <w:p w14:paraId="63214FE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0576-88909826</w:t>
      </w:r>
      <w:r>
        <w:rPr>
          <w:rFonts w:hint="eastAsia" w:ascii="宋体" w:hAnsi="宋体" w:cs="宋体"/>
          <w:color w:val="auto"/>
          <w:sz w:val="24"/>
          <w:highlight w:val="none"/>
          <w:u w:val="single"/>
        </w:rPr>
        <w:t xml:space="preserve"> </w:t>
      </w:r>
    </w:p>
    <w:bookmarkEnd w:id="33"/>
    <w:bookmarkEnd w:id="34"/>
    <w:p w14:paraId="1ABC18B7">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3E603E6A">
      <w:pPr>
        <w:spacing w:line="360" w:lineRule="auto"/>
        <w:ind w:firstLine="480" w:firstLineChars="200"/>
        <w:rPr>
          <w:rFonts w:ascii="宋体" w:hAnsi="宋体" w:cs="宋体"/>
          <w:color w:val="auto"/>
          <w:sz w:val="24"/>
          <w:highlight w:val="none"/>
          <w:u w:val="single"/>
        </w:rPr>
      </w:pPr>
      <w:bookmarkStart w:id="35" w:name="_Toc28359010"/>
      <w:bookmarkStart w:id="36"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4E836A2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浙江省台州市市府大道507号台州国际商务广场1幢（北门）十一楼</w:t>
      </w:r>
    </w:p>
    <w:p w14:paraId="5248EFE5">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洪璇</w:t>
      </w:r>
    </w:p>
    <w:p w14:paraId="612C33A2">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793ACB5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14:paraId="3073E6A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6C461E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644B976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台州湾新区行政审批与投资服务局</w:t>
      </w:r>
    </w:p>
    <w:p w14:paraId="45C2AF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0D78ACB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2753F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3CDDEF5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6CAA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蔡永正、王明月</w:t>
      </w:r>
    </w:p>
    <w:p w14:paraId="00F661FE">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0E03FDB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10D9EE5C">
      <w:pPr>
        <w:widowControl/>
        <w:spacing w:line="360" w:lineRule="auto"/>
        <w:ind w:firstLine="200"/>
        <w:jc w:val="right"/>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202</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en-US" w:eastAsia="zh-CN"/>
        </w:rPr>
        <w:t>01</w:t>
      </w:r>
      <w:r>
        <w:rPr>
          <w:rFonts w:hint="eastAsia" w:asciiTheme="minorEastAsia" w:hAnsiTheme="minorEastAsia" w:eastAsiaTheme="minorEastAsia" w:cstheme="minorEastAsia"/>
          <w:color w:val="auto"/>
          <w:kern w:val="0"/>
          <w:sz w:val="24"/>
          <w:highlight w:val="none"/>
        </w:rPr>
        <w:t>月</w:t>
      </w:r>
    </w:p>
    <w:p w14:paraId="2E679020">
      <w:pPr>
        <w:pStyle w:val="35"/>
        <w:ind w:firstLine="480"/>
        <w:rPr>
          <w:rFonts w:asciiTheme="minorEastAsia" w:hAnsiTheme="minorEastAsia" w:eastAsiaTheme="minorEastAsia" w:cstheme="minorEastAsia"/>
          <w:color w:val="auto"/>
          <w:kern w:val="0"/>
          <w:highlight w:val="none"/>
        </w:rPr>
      </w:pPr>
    </w:p>
    <w:p w14:paraId="20B6CFDE">
      <w:pPr>
        <w:pStyle w:val="35"/>
        <w:ind w:firstLine="480"/>
        <w:rPr>
          <w:rFonts w:asciiTheme="minorEastAsia" w:hAnsiTheme="minorEastAsia" w:eastAsiaTheme="minorEastAsia" w:cstheme="minorEastAsia"/>
          <w:color w:val="auto"/>
          <w:kern w:val="0"/>
          <w:highlight w:val="none"/>
        </w:rPr>
      </w:pPr>
    </w:p>
    <w:p w14:paraId="60B9326D">
      <w:pPr>
        <w:pStyle w:val="35"/>
        <w:ind w:firstLine="480"/>
        <w:rPr>
          <w:rFonts w:asciiTheme="minorEastAsia" w:hAnsiTheme="minorEastAsia" w:eastAsiaTheme="minorEastAsia" w:cstheme="minorEastAsia"/>
          <w:color w:val="auto"/>
          <w:kern w:val="0"/>
          <w:highlight w:val="none"/>
        </w:rPr>
      </w:pPr>
    </w:p>
    <w:p w14:paraId="4B0C9BB6">
      <w:pPr>
        <w:pStyle w:val="35"/>
        <w:ind w:firstLine="480"/>
        <w:rPr>
          <w:rFonts w:asciiTheme="minorEastAsia" w:hAnsiTheme="minorEastAsia" w:eastAsiaTheme="minorEastAsia" w:cstheme="minorEastAsia"/>
          <w:color w:val="auto"/>
          <w:kern w:val="0"/>
          <w:highlight w:val="none"/>
        </w:rPr>
      </w:pPr>
    </w:p>
    <w:p w14:paraId="7619558C">
      <w:pPr>
        <w:pStyle w:val="35"/>
        <w:ind w:firstLine="480"/>
        <w:rPr>
          <w:rFonts w:asciiTheme="minorEastAsia" w:hAnsiTheme="minorEastAsia" w:eastAsiaTheme="minorEastAsia" w:cstheme="minorEastAsia"/>
          <w:color w:val="auto"/>
          <w:kern w:val="0"/>
          <w:highlight w:val="none"/>
        </w:rPr>
      </w:pPr>
    </w:p>
    <w:p w14:paraId="3B33E2B6">
      <w:pPr>
        <w:pStyle w:val="35"/>
        <w:ind w:firstLine="480"/>
        <w:rPr>
          <w:rFonts w:asciiTheme="minorEastAsia" w:hAnsiTheme="minorEastAsia" w:eastAsiaTheme="minorEastAsia" w:cstheme="minorEastAsia"/>
          <w:color w:val="auto"/>
          <w:kern w:val="0"/>
          <w:highlight w:val="none"/>
        </w:rPr>
      </w:pPr>
    </w:p>
    <w:p w14:paraId="71B81F80">
      <w:pPr>
        <w:pStyle w:val="35"/>
        <w:ind w:firstLine="480"/>
        <w:rPr>
          <w:rFonts w:asciiTheme="minorEastAsia" w:hAnsiTheme="minorEastAsia" w:eastAsiaTheme="minorEastAsia" w:cstheme="minorEastAsia"/>
          <w:color w:val="auto"/>
          <w:kern w:val="0"/>
          <w:highlight w:val="none"/>
        </w:rPr>
      </w:pPr>
    </w:p>
    <w:p w14:paraId="61D4D9D6">
      <w:pPr>
        <w:pStyle w:val="35"/>
        <w:ind w:firstLine="480"/>
        <w:rPr>
          <w:rFonts w:asciiTheme="minorEastAsia" w:hAnsiTheme="minorEastAsia" w:eastAsiaTheme="minorEastAsia" w:cstheme="minorEastAsia"/>
          <w:color w:val="auto"/>
          <w:kern w:val="0"/>
          <w:highlight w:val="none"/>
        </w:rPr>
      </w:pPr>
    </w:p>
    <w:p w14:paraId="00D13D15">
      <w:pPr>
        <w:pStyle w:val="35"/>
        <w:ind w:firstLine="480"/>
        <w:rPr>
          <w:rFonts w:asciiTheme="minorEastAsia" w:hAnsiTheme="minorEastAsia" w:eastAsiaTheme="minorEastAsia" w:cstheme="minorEastAsia"/>
          <w:color w:val="auto"/>
          <w:kern w:val="0"/>
          <w:highlight w:val="none"/>
        </w:rPr>
      </w:pPr>
    </w:p>
    <w:p w14:paraId="77D46873">
      <w:pPr>
        <w:pStyle w:val="35"/>
        <w:ind w:firstLine="480"/>
        <w:rPr>
          <w:rFonts w:asciiTheme="minorEastAsia" w:hAnsiTheme="minorEastAsia" w:eastAsiaTheme="minorEastAsia" w:cstheme="minorEastAsia"/>
          <w:color w:val="auto"/>
          <w:kern w:val="0"/>
          <w:highlight w:val="none"/>
        </w:rPr>
      </w:pPr>
    </w:p>
    <w:p w14:paraId="0F451A5E">
      <w:pPr>
        <w:pStyle w:val="35"/>
        <w:ind w:firstLine="0" w:firstLineChars="0"/>
        <w:rPr>
          <w:rFonts w:asciiTheme="minorEastAsia" w:hAnsiTheme="minorEastAsia" w:eastAsiaTheme="minorEastAsia" w:cstheme="minorEastAsia"/>
          <w:color w:val="auto"/>
          <w:kern w:val="0"/>
          <w:highlight w:val="none"/>
        </w:rPr>
      </w:pPr>
    </w:p>
    <w:p w14:paraId="49CEBBB1">
      <w:pPr>
        <w:pStyle w:val="35"/>
        <w:ind w:firstLine="0" w:firstLineChars="0"/>
        <w:rPr>
          <w:rFonts w:asciiTheme="minorEastAsia" w:hAnsiTheme="minorEastAsia" w:eastAsiaTheme="minorEastAsia" w:cstheme="minorEastAsia"/>
          <w:color w:val="auto"/>
          <w:kern w:val="0"/>
          <w:highlight w:val="none"/>
        </w:rPr>
      </w:pPr>
    </w:p>
    <w:p w14:paraId="39448D64">
      <w:pPr>
        <w:pStyle w:val="35"/>
        <w:ind w:firstLine="0" w:firstLineChars="0"/>
        <w:rPr>
          <w:rFonts w:asciiTheme="minorEastAsia" w:hAnsiTheme="minorEastAsia" w:eastAsiaTheme="minorEastAsia" w:cstheme="minorEastAsia"/>
          <w:color w:val="auto"/>
          <w:kern w:val="0"/>
          <w:highlight w:val="none"/>
        </w:rPr>
      </w:pPr>
    </w:p>
    <w:p w14:paraId="6490AD9F">
      <w:pPr>
        <w:pStyle w:val="35"/>
        <w:ind w:firstLine="0" w:firstLineChars="0"/>
        <w:rPr>
          <w:rFonts w:asciiTheme="minorEastAsia" w:hAnsiTheme="minorEastAsia" w:eastAsiaTheme="minorEastAsia" w:cstheme="minorEastAsia"/>
          <w:color w:val="auto"/>
          <w:kern w:val="0"/>
          <w:highlight w:val="none"/>
        </w:rPr>
      </w:pPr>
    </w:p>
    <w:p w14:paraId="355C1CD0">
      <w:pPr>
        <w:pStyle w:val="35"/>
        <w:ind w:firstLine="0" w:firstLineChars="0"/>
        <w:rPr>
          <w:rFonts w:asciiTheme="minorEastAsia" w:hAnsiTheme="minorEastAsia" w:eastAsiaTheme="minorEastAsia" w:cstheme="minorEastAsia"/>
          <w:color w:val="auto"/>
          <w:kern w:val="0"/>
          <w:highlight w:val="none"/>
        </w:rPr>
      </w:pPr>
    </w:p>
    <w:p w14:paraId="4A86DD99">
      <w:pPr>
        <w:pStyle w:val="35"/>
        <w:ind w:firstLine="0" w:firstLineChars="0"/>
        <w:rPr>
          <w:rFonts w:asciiTheme="minorEastAsia" w:hAnsiTheme="minorEastAsia" w:eastAsiaTheme="minorEastAsia" w:cstheme="minorEastAsia"/>
          <w:color w:val="auto"/>
          <w:kern w:val="0"/>
          <w:highlight w:val="none"/>
        </w:rPr>
      </w:pPr>
    </w:p>
    <w:p w14:paraId="390488EF">
      <w:pPr>
        <w:pStyle w:val="35"/>
        <w:ind w:firstLine="0" w:firstLineChars="0"/>
        <w:rPr>
          <w:rFonts w:asciiTheme="minorEastAsia" w:hAnsiTheme="minorEastAsia" w:eastAsiaTheme="minorEastAsia" w:cstheme="minorEastAsia"/>
          <w:color w:val="auto"/>
          <w:kern w:val="0"/>
          <w:highlight w:val="none"/>
        </w:rPr>
      </w:pPr>
    </w:p>
    <w:p w14:paraId="1BE83D97">
      <w:pPr>
        <w:pStyle w:val="35"/>
        <w:ind w:firstLine="0" w:firstLineChars="0"/>
        <w:rPr>
          <w:rFonts w:asciiTheme="minorEastAsia" w:hAnsiTheme="minorEastAsia" w:eastAsiaTheme="minorEastAsia" w:cstheme="minorEastAsia"/>
          <w:color w:val="auto"/>
          <w:kern w:val="0"/>
          <w:highlight w:val="none"/>
        </w:rPr>
      </w:pPr>
    </w:p>
    <w:p w14:paraId="1113B1FC">
      <w:pPr>
        <w:pStyle w:val="35"/>
        <w:ind w:firstLine="0" w:firstLineChars="0"/>
        <w:rPr>
          <w:rFonts w:asciiTheme="minorEastAsia" w:hAnsiTheme="minorEastAsia" w:eastAsiaTheme="minorEastAsia" w:cstheme="minorEastAsia"/>
          <w:color w:val="auto"/>
          <w:kern w:val="0"/>
          <w:highlight w:val="none"/>
        </w:rPr>
      </w:pPr>
    </w:p>
    <w:p w14:paraId="58A87E5C">
      <w:pPr>
        <w:pStyle w:val="35"/>
        <w:ind w:firstLine="0" w:firstLineChars="0"/>
        <w:rPr>
          <w:rFonts w:asciiTheme="minorEastAsia" w:hAnsiTheme="minorEastAsia" w:eastAsiaTheme="minorEastAsia" w:cstheme="minorEastAsia"/>
          <w:color w:val="auto"/>
          <w:kern w:val="0"/>
          <w:highlight w:val="none"/>
        </w:rPr>
      </w:pPr>
    </w:p>
    <w:p w14:paraId="567E0CF1">
      <w:pPr>
        <w:pStyle w:val="35"/>
        <w:ind w:firstLine="0" w:firstLineChars="0"/>
        <w:rPr>
          <w:rFonts w:asciiTheme="minorEastAsia" w:hAnsiTheme="minorEastAsia" w:eastAsiaTheme="minorEastAsia" w:cstheme="minorEastAsia"/>
          <w:color w:val="auto"/>
          <w:kern w:val="0"/>
          <w:highlight w:val="none"/>
        </w:rPr>
      </w:pPr>
    </w:p>
    <w:p w14:paraId="14D7400F">
      <w:pPr>
        <w:pStyle w:val="35"/>
        <w:ind w:firstLine="0" w:firstLineChars="0"/>
        <w:rPr>
          <w:rFonts w:asciiTheme="minorEastAsia" w:hAnsiTheme="minorEastAsia" w:eastAsiaTheme="minorEastAsia" w:cstheme="minorEastAsia"/>
          <w:color w:val="auto"/>
          <w:kern w:val="0"/>
          <w:highlight w:val="none"/>
        </w:rPr>
      </w:pPr>
    </w:p>
    <w:p w14:paraId="3F63265D">
      <w:pPr>
        <w:pStyle w:val="35"/>
        <w:ind w:firstLine="0" w:firstLineChars="0"/>
        <w:rPr>
          <w:rFonts w:asciiTheme="minorEastAsia" w:hAnsiTheme="minorEastAsia" w:eastAsiaTheme="minorEastAsia" w:cstheme="minorEastAsia"/>
          <w:color w:val="auto"/>
          <w:kern w:val="0"/>
          <w:highlight w:val="none"/>
        </w:rPr>
      </w:pPr>
    </w:p>
    <w:bookmarkEnd w:id="35"/>
    <w:bookmarkEnd w:id="36"/>
    <w:p w14:paraId="51E66ED5">
      <w:pPr>
        <w:numPr>
          <w:ilvl w:val="0"/>
          <w:numId w:val="6"/>
        </w:numPr>
        <w:spacing w:line="360" w:lineRule="auto"/>
        <w:jc w:val="center"/>
        <w:rPr>
          <w:rFonts w:asciiTheme="minorEastAsia" w:hAnsiTheme="minorEastAsia" w:eastAsiaTheme="minorEastAsia"/>
          <w:b/>
          <w:color w:val="auto"/>
          <w:sz w:val="36"/>
          <w:szCs w:val="36"/>
          <w:highlight w:val="none"/>
        </w:rPr>
      </w:pPr>
      <w:bookmarkStart w:id="37" w:name="_Toc25017_WPSOffice_Level1"/>
      <w:r>
        <w:rPr>
          <w:rFonts w:hint="eastAsia" w:asciiTheme="minorEastAsia" w:hAnsiTheme="minorEastAsia" w:eastAsiaTheme="minorEastAsia"/>
          <w:b/>
          <w:color w:val="auto"/>
          <w:sz w:val="36"/>
          <w:szCs w:val="36"/>
          <w:highlight w:val="none"/>
        </w:rPr>
        <w:t>投标人须知</w:t>
      </w:r>
      <w:bookmarkEnd w:id="37"/>
    </w:p>
    <w:p w14:paraId="26434D26">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8"/>
        <w:tblpPr w:leftFromText="181" w:rightFromText="181" w:bottomFromText="170" w:vertAnchor="text" w:horzAnchor="page" w:tblpXSpec="center" w:tblpY="449"/>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18"/>
        <w:gridCol w:w="7266"/>
      </w:tblGrid>
      <w:tr w14:paraId="6BC6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95CEF">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591FED">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C6BBC2">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186B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1162F">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43DA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D1176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14:paraId="2825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99BADC">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778652">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DD757D">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否</w:t>
            </w:r>
          </w:p>
        </w:tc>
      </w:tr>
      <w:tr w14:paraId="3149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1B911">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AEF51B">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128995FC">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71FD2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70E5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B2A22B">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7890D2">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F147C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1906FF1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14:paraId="5721C85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50595A2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6B0B8D0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3)缴纳保证金（或购买、上传电子保函）后，点击“电子投标文件制作工具”，进入制作页面，签章并加密上传电子投标文件。</w:t>
            </w:r>
          </w:p>
        </w:tc>
      </w:tr>
      <w:tr w14:paraId="689E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245E15">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81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B25E69">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14:paraId="32C7E10D">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7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EC7D1F">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5E1A62A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5B4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5E9D18">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5544861">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质疑渠道</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BF656BD">
            <w:pPr>
              <w:spacing w:line="300" w:lineRule="auto"/>
              <w:ind w:firstLine="420" w:firstLineChars="200"/>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 xml:space="preserve"> 以书面形式向采购人、采购代理机构递交质疑函。</w:t>
            </w:r>
          </w:p>
        </w:tc>
      </w:tr>
      <w:tr w14:paraId="7524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2F170C">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3EDD5F2">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zh-CN"/>
              </w:rPr>
              <w:t>实质性条款</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729D804">
            <w:pPr>
              <w:spacing w:line="300" w:lineRule="auto"/>
              <w:ind w:firstLine="420" w:firstLineChars="200"/>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13A3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0B874A">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F34DF23">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主要性能参数</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7111F97">
            <w:pPr>
              <w:spacing w:line="300" w:lineRule="auto"/>
              <w:ind w:firstLine="420" w:firstLineChars="200"/>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带“★”的条款是主要性能参数。</w:t>
            </w:r>
          </w:p>
        </w:tc>
      </w:tr>
      <w:tr w14:paraId="22BE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8BDF25">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1E8C1C1">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书面形式</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A23D7B7">
            <w:pPr>
              <w:spacing w:line="300" w:lineRule="auto"/>
              <w:ind w:firstLine="420" w:firstLineChars="200"/>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包括电子邮件、信函、传真。</w:t>
            </w:r>
          </w:p>
        </w:tc>
      </w:tr>
      <w:tr w14:paraId="5F63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AAA16B">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F3C2AAE">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解释权</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0DA52B5">
            <w:pPr>
              <w:spacing w:line="300" w:lineRule="auto"/>
              <w:ind w:firstLine="420" w:firstLineChars="200"/>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本招标文件解释权属于采购人和采购组织机构。</w:t>
            </w:r>
          </w:p>
        </w:tc>
      </w:tr>
      <w:tr w14:paraId="5137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B3C7E1">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818"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7EBB91D">
            <w:pPr>
              <w:spacing w:line="300" w:lineRule="auto"/>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投标报价及费用</w:t>
            </w:r>
          </w:p>
        </w:tc>
        <w:tc>
          <w:tcPr>
            <w:tcW w:w="7266"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6F6345A">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14:paraId="083C3A7B">
            <w:pPr>
              <w:spacing w:line="300" w:lineRule="auto"/>
              <w:rPr>
                <w:rFonts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不论投标结果如何，投标人均应自行承担所有与投标有关的全部费用。</w:t>
            </w:r>
          </w:p>
        </w:tc>
      </w:tr>
    </w:tbl>
    <w:p w14:paraId="1C5447FC">
      <w:pPr>
        <w:pStyle w:val="14"/>
        <w:snapToGrid w:val="0"/>
        <w:spacing w:before="120" w:beforeLines="0" w:after="120" w:afterLines="0" w:line="240" w:lineRule="auto"/>
        <w:rPr>
          <w:rFonts w:hAnsi="宋体"/>
          <w:b/>
          <w:bCs/>
          <w:color w:val="auto"/>
          <w:sz w:val="30"/>
          <w:szCs w:val="30"/>
          <w:highlight w:val="none"/>
        </w:rPr>
      </w:pPr>
    </w:p>
    <w:p w14:paraId="7F93725E">
      <w:pPr>
        <w:pStyle w:val="14"/>
        <w:snapToGrid w:val="0"/>
        <w:spacing w:before="120" w:beforeLines="0" w:after="120" w:afterLines="0" w:line="240" w:lineRule="auto"/>
        <w:rPr>
          <w:rFonts w:hAnsi="宋体"/>
          <w:b w:val="0"/>
          <w:color w:val="auto"/>
          <w:sz w:val="30"/>
          <w:szCs w:val="30"/>
          <w:highlight w:val="none"/>
        </w:rPr>
      </w:pPr>
      <w:r>
        <w:rPr>
          <w:rFonts w:hAnsi="宋体"/>
          <w:b/>
          <w:bCs/>
          <w:color w:val="auto"/>
          <w:sz w:val="30"/>
          <w:szCs w:val="30"/>
          <w:highlight w:val="none"/>
        </w:rPr>
        <w:t>一、总  则</w:t>
      </w:r>
    </w:p>
    <w:p w14:paraId="79F6BE03">
      <w:pPr>
        <w:snapToGrid w:val="0"/>
        <w:spacing w:line="360" w:lineRule="auto"/>
        <w:ind w:firstLine="472"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适用范围</w:t>
      </w:r>
    </w:p>
    <w:p w14:paraId="3F83E12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14:paraId="3340C5FC">
      <w:pPr>
        <w:snapToGrid w:val="0"/>
        <w:spacing w:before="120" w:beforeLines="50" w:line="360" w:lineRule="auto"/>
        <w:ind w:firstLine="354" w:firstLineChars="147"/>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1429E3F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系指组织本次招标的代理机构（“招标人”）和</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w:t>
      </w:r>
    </w:p>
    <w:p w14:paraId="748A50A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14:paraId="38F14FD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人提供的一切设备、保险、税金、备品备件、工具、手册及其它有关技术资料和材料。</w:t>
      </w:r>
    </w:p>
    <w:p w14:paraId="733F713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4.“服务”系指招标文件规定投标人须承担的安装、调试、技术协助、校准、培训、技术指导以及其他类似的义务。</w:t>
      </w:r>
    </w:p>
    <w:p w14:paraId="2168F4D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人提供的产品和服务。</w:t>
      </w:r>
    </w:p>
    <w:p w14:paraId="4E946DD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14:paraId="0D1856A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6C777CCE">
      <w:pPr>
        <w:snapToGrid w:val="0"/>
        <w:spacing w:before="120" w:beforeLines="50" w:line="360" w:lineRule="auto"/>
        <w:ind w:firstLine="472"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5EFEB2F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14:paraId="660B2FAC">
      <w:pPr>
        <w:snapToGrid w:val="0"/>
        <w:spacing w:before="120" w:beforeLines="50" w:line="360" w:lineRule="auto"/>
        <w:ind w:firstLine="472"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0BB32992">
      <w:pPr>
        <w:pStyle w:val="1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投标人代表须提供有效身份证件。如投标人代表不是法定代表人，须有法定代表人出具的授权委托书。</w:t>
      </w:r>
    </w:p>
    <w:p w14:paraId="3573F08D">
      <w:pPr>
        <w:snapToGrid w:val="0"/>
        <w:spacing w:before="120" w:beforeLines="50" w:line="360" w:lineRule="auto"/>
        <w:ind w:firstLine="472"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r>
        <w:rPr>
          <w:rFonts w:hint="eastAsia" w:ascii="宋体" w:hAnsi="宋体" w:eastAsia="宋体" w:cs="宋体"/>
          <w:b/>
          <w:color w:val="auto"/>
          <w:sz w:val="24"/>
          <w:szCs w:val="24"/>
          <w:highlight w:val="none"/>
          <w:lang w:bidi="ar"/>
        </w:rPr>
        <w:t>及结算</w:t>
      </w:r>
    </w:p>
    <w:p w14:paraId="27E4334C">
      <w:pPr>
        <w:snapToGrid w:val="0"/>
        <w:spacing w:line="40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不论投标结果如何，投标人均应自行承担所有与投标有关的全部费用。</w:t>
      </w:r>
    </w:p>
    <w:p w14:paraId="6D1EDFB0">
      <w:pPr>
        <w:snapToGrid w:val="0"/>
        <w:spacing w:before="120" w:beforeLines="50"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14:paraId="443B5A37">
      <w:pPr>
        <w:snapToGrid w:val="0"/>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63AADFF0">
      <w:pPr>
        <w:snapToGrid w:val="0"/>
        <w:spacing w:before="120" w:beforeLines="50"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kern w:val="0"/>
          <w:sz w:val="24"/>
          <w:szCs w:val="24"/>
          <w:highlight w:val="none"/>
        </w:rPr>
        <w:t>转包与分包</w:t>
      </w:r>
    </w:p>
    <w:p w14:paraId="751AA40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1.本项目不允许转包。</w:t>
      </w:r>
    </w:p>
    <w:p w14:paraId="6FC441EB">
      <w:pPr>
        <w:snapToGrid w:val="0"/>
        <w:spacing w:before="120" w:beforeLines="50" w:line="360" w:lineRule="auto"/>
        <w:ind w:firstLine="472" w:firstLineChars="196"/>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（八）特别说明：</w:t>
      </w:r>
    </w:p>
    <w:p w14:paraId="4F41B582">
      <w:pPr>
        <w:pStyle w:val="14"/>
        <w:snapToGrid w:val="0"/>
        <w:spacing w:before="120"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、投标人投标所使用的资格、信誉、荣誉、业绩与企业认证必须为本法人所拥有。投标人投标所使用的</w:t>
      </w:r>
      <w:r>
        <w:rPr>
          <w:rFonts w:hint="eastAsia" w:ascii="宋体" w:hAnsi="宋体" w:eastAsia="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rPr>
        <w:t>项目实施人员必须为本法人员工（或必须为本法人或控股公司正式员工）。</w:t>
      </w:r>
    </w:p>
    <w:p w14:paraId="0232FF05">
      <w:pPr>
        <w:pStyle w:val="14"/>
        <w:snapToGrid w:val="0"/>
        <w:spacing w:before="120" w:after="120" w:line="360" w:lineRule="auto"/>
        <w:ind w:left="2" w:leftChars="1"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、投标人应仔细阅读招标文件的所有内容，按照招标文件的要求提交投标文件，并对所提供的全部资料的真实性承担法律责任。</w:t>
      </w:r>
    </w:p>
    <w:p w14:paraId="45C2E756">
      <w:pPr>
        <w:pStyle w:val="38"/>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、投标人在投标活动中提供任何虚假材料,其投标无效，并报监管部门查处</w:t>
      </w:r>
      <w:r>
        <w:rPr>
          <w:rFonts w:hint="eastAsia" w:ascii="宋体" w:hAnsi="宋体" w:eastAsia="宋体" w:cs="宋体"/>
          <w:color w:val="auto"/>
          <w:sz w:val="24"/>
          <w:szCs w:val="24"/>
          <w:highlight w:val="none"/>
          <w:lang w:eastAsia="zh-CN"/>
        </w:rPr>
        <w:t>。</w:t>
      </w:r>
    </w:p>
    <w:p w14:paraId="7CBE2C08">
      <w:pPr>
        <w:pStyle w:val="14"/>
        <w:snapToGrid w:val="0"/>
        <w:spacing w:before="120" w:after="120" w:line="360" w:lineRule="auto"/>
        <w:ind w:firstLine="470" w:firstLineChars="196"/>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p>
    <w:p w14:paraId="0319E81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51192C1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D3EE4CD">
      <w:pPr>
        <w:pStyle w:val="14"/>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二、招标文件</w:t>
      </w:r>
    </w:p>
    <w:p w14:paraId="1D4D83C2">
      <w:pPr>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14:paraId="4AF35E8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606BC1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14:paraId="4C3FC89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00172EF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14:paraId="0F63E63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02C6AE0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393376B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14:paraId="2B557C1E">
      <w:pPr>
        <w:snapToGrid w:val="0"/>
        <w:spacing w:before="120" w:beforeLines="50"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4B85270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5B44168D">
      <w:pPr>
        <w:pStyle w:val="5"/>
        <w:widowControl w:val="0"/>
        <w:tabs>
          <w:tab w:val="left" w:pos="720"/>
        </w:tabs>
        <w:snapToGrid w:val="0"/>
        <w:spacing w:before="120" w:beforeLines="50" w:after="120" w:line="360" w:lineRule="auto"/>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0F512651">
      <w:pPr>
        <w:pStyle w:val="14"/>
        <w:snapToGrid w:val="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int="eastAsia" w:ascii="宋体" w:hAnsi="宋体" w:eastAsia="宋体" w:cs="宋体"/>
          <w:bCs/>
          <w:color w:val="auto"/>
          <w:sz w:val="24"/>
          <w:szCs w:val="24"/>
          <w:highlight w:val="none"/>
        </w:rPr>
        <w:t>投标人应认真阅读本招标文件，发现其中有误或有不合理要求的，投标人必须在前附表规定的时间内以书面形式要求招标单位澄清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代理机构对已发出的招标文件进行必要澄清、答复、修改或补充的，应当在招标文件要求提交投标文件截止时间5日前，发布更正公告，并以书面形式通知所有招标文件收受人。</w:t>
      </w:r>
    </w:p>
    <w:p w14:paraId="5F672939">
      <w:pPr>
        <w:pStyle w:val="14"/>
        <w:snapToGrid w:val="0"/>
        <w:spacing w:before="120"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rPr>
        <w:t>代理机构必须以书面形式答复投标人要求澄清的问题，并将不包含问题来源的答复书面通知所有购买招标文件的投标人；除书面答复以外的其他澄清方式及澄清内容均无效。</w:t>
      </w:r>
    </w:p>
    <w:p w14:paraId="1EAB6C1E">
      <w:pPr>
        <w:pStyle w:val="14"/>
        <w:snapToGrid w:val="0"/>
        <w:spacing w:before="120"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3.招标文件澄清、答复、修改、补充的内容为招标文件的组成部分。当招标文件与招标文件的答复、澄清、修改、补充通知就同一内容的表述不一致时，以最后发出的书面文件为准。</w:t>
      </w:r>
    </w:p>
    <w:p w14:paraId="4F67A503">
      <w:pPr>
        <w:pStyle w:val="14"/>
        <w:snapToGrid w:val="0"/>
        <w:spacing w:before="120"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4.招标文件的澄清、答复、修改或补充都应该通过本代理机构以法定形式发布，</w:t>
      </w:r>
      <w:r>
        <w:rPr>
          <w:rFonts w:hint="eastAsia" w:ascii="宋体" w:hAnsi="宋体" w:eastAsia="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rPr>
        <w:t>人非通过本机构，不得擅自澄清、答复、修改或补充招标文件。</w:t>
      </w:r>
    </w:p>
    <w:p w14:paraId="350C22F2">
      <w:pPr>
        <w:pStyle w:val="14"/>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三、投标文件的编制</w:t>
      </w:r>
    </w:p>
    <w:p w14:paraId="50EA083F">
      <w:pPr>
        <w:snapToGrid w:val="0"/>
        <w:spacing w:line="360" w:lineRule="auto"/>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（一）投标文件的组成</w:t>
      </w:r>
    </w:p>
    <w:p w14:paraId="2E30612D">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资信技术</w:t>
      </w:r>
      <w:r>
        <w:rPr>
          <w:rFonts w:hint="eastAsia" w:asciiTheme="minorEastAsia" w:hAnsiTheme="minorEastAsia" w:eastAsiaTheme="minorEastAsia"/>
          <w:b/>
          <w:color w:val="auto"/>
          <w:sz w:val="24"/>
          <w:highlight w:val="none"/>
        </w:rPr>
        <w:t>标</w:t>
      </w:r>
      <w:r>
        <w:rPr>
          <w:rFonts w:hint="eastAsia" w:ascii="宋体" w:hAnsi="宋体"/>
          <w:b/>
          <w:color w:val="auto"/>
          <w:sz w:val="24"/>
          <w:highlight w:val="none"/>
        </w:rPr>
        <w:t>组成</w:t>
      </w:r>
    </w:p>
    <w:p w14:paraId="0EB93C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（1）诚信投标承诺书（</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w:t>
      </w:r>
    </w:p>
    <w:p w14:paraId="1DAD8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身份证明（格式详见附件</w:t>
      </w:r>
      <w:r>
        <w:rPr>
          <w:rFonts w:hint="eastAsia" w:ascii="宋体" w:hAnsi="宋体" w:cs="宋体"/>
          <w:color w:val="auto"/>
          <w:sz w:val="24"/>
          <w:highlight w:val="none"/>
        </w:rPr>
        <w:t>）；</w:t>
      </w:r>
    </w:p>
    <w:p w14:paraId="6FE8247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w:t>
      </w:r>
      <w:r>
        <w:rPr>
          <w:rFonts w:hint="eastAsia" w:ascii="宋体" w:hAnsi="宋体" w:cs="宋体"/>
          <w:color w:val="auto"/>
          <w:sz w:val="24"/>
          <w:highlight w:val="none"/>
          <w:lang w:val="en-US" w:eastAsia="zh-CN"/>
        </w:rPr>
        <w:t>格式详见附件</w:t>
      </w:r>
      <w:r>
        <w:rPr>
          <w:rFonts w:hint="eastAsia" w:ascii="宋体" w:hAnsi="宋体"/>
          <w:bCs/>
          <w:color w:val="auto"/>
          <w:sz w:val="24"/>
          <w:highlight w:val="none"/>
        </w:rPr>
        <w:t>）；</w:t>
      </w:r>
    </w:p>
    <w:p w14:paraId="20A81AC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w:t>
      </w:r>
      <w:r>
        <w:rPr>
          <w:rFonts w:hint="eastAsia" w:ascii="宋体" w:hAnsi="宋体" w:cs="宋体"/>
          <w:color w:val="auto"/>
          <w:sz w:val="24"/>
          <w:highlight w:val="none"/>
          <w:lang w:val="en-US" w:eastAsia="zh-CN"/>
        </w:rPr>
        <w:t>格式详见附件</w:t>
      </w:r>
      <w:r>
        <w:rPr>
          <w:rFonts w:hint="eastAsia" w:ascii="宋体" w:hAnsi="宋体"/>
          <w:bCs/>
          <w:color w:val="auto"/>
          <w:sz w:val="24"/>
          <w:highlight w:val="none"/>
        </w:rPr>
        <w:t>）；</w:t>
      </w:r>
    </w:p>
    <w:p w14:paraId="658974E6">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w:t>
      </w:r>
      <w:r>
        <w:rPr>
          <w:rFonts w:hint="eastAsia" w:ascii="宋体" w:hAnsi="宋体" w:cs="宋体"/>
          <w:color w:val="auto"/>
          <w:sz w:val="24"/>
          <w:highlight w:val="none"/>
          <w:lang w:val="en-US" w:eastAsia="zh-CN"/>
        </w:rPr>
        <w:t>格式详见附件</w:t>
      </w:r>
      <w:r>
        <w:rPr>
          <w:rFonts w:hint="eastAsia" w:ascii="Calibri" w:hAnsi="Calibri" w:cs="Calibri"/>
          <w:color w:val="auto"/>
          <w:sz w:val="24"/>
          <w:highlight w:val="none"/>
        </w:rPr>
        <w:t>）；</w:t>
      </w:r>
    </w:p>
    <w:p w14:paraId="66A6DDDC">
      <w:pPr>
        <w:pStyle w:val="6"/>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w:t>
      </w:r>
      <w:r>
        <w:rPr>
          <w:rFonts w:hint="eastAsia" w:ascii="宋体" w:hAnsi="宋体" w:cs="宋体"/>
          <w:color w:val="auto"/>
          <w:sz w:val="24"/>
          <w:highlight w:val="none"/>
          <w:lang w:val="en-US" w:eastAsia="zh-CN"/>
        </w:rPr>
        <w:t>格式详见附件</w:t>
      </w:r>
      <w:r>
        <w:rPr>
          <w:rFonts w:hint="eastAsia" w:ascii="宋体" w:hAnsi="宋体"/>
          <w:bCs/>
          <w:color w:val="auto"/>
          <w:sz w:val="24"/>
          <w:highlight w:val="none"/>
        </w:rPr>
        <w:t>）；</w:t>
      </w:r>
    </w:p>
    <w:p w14:paraId="2D24646B">
      <w:pPr>
        <w:pStyle w:val="6"/>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w:t>
      </w:r>
      <w:r>
        <w:rPr>
          <w:rFonts w:hint="eastAsia" w:ascii="宋体" w:hAnsi="宋体" w:cs="宋体"/>
          <w:color w:val="auto"/>
          <w:sz w:val="24"/>
          <w:highlight w:val="none"/>
          <w:lang w:val="en-US" w:eastAsia="zh-CN"/>
        </w:rPr>
        <w:t>格式详见附件</w:t>
      </w:r>
      <w:r>
        <w:rPr>
          <w:rFonts w:hint="eastAsia" w:ascii="宋体" w:hAnsi="宋体"/>
          <w:bCs/>
          <w:color w:val="auto"/>
          <w:sz w:val="24"/>
          <w:highlight w:val="none"/>
        </w:rPr>
        <w:t>）；</w:t>
      </w:r>
    </w:p>
    <w:p w14:paraId="6B2B7165">
      <w:pPr>
        <w:pStyle w:val="6"/>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14:paraId="5AAF7CCC">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lang w:val="en-US" w:eastAsia="zh-CN"/>
        </w:rPr>
        <w:t>2</w:t>
      </w:r>
      <w:r>
        <w:rPr>
          <w:rFonts w:hint="eastAsia" w:asciiTheme="minorEastAsia" w:hAnsiTheme="minorEastAsia" w:eastAsiaTheme="minorEastAsia"/>
          <w:b/>
          <w:color w:val="auto"/>
          <w:kern w:val="0"/>
          <w:sz w:val="24"/>
          <w:highlight w:val="none"/>
        </w:rPr>
        <w:t>、商务标组成</w:t>
      </w:r>
    </w:p>
    <w:p w14:paraId="2AACA030">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宋体" w:hAnsi="宋体" w:cs="宋体"/>
          <w:color w:val="auto"/>
          <w:sz w:val="24"/>
          <w:highlight w:val="none"/>
          <w:lang w:val="en-US" w:eastAsia="zh-CN"/>
        </w:rPr>
        <w:t>格式详见附件</w:t>
      </w:r>
      <w:r>
        <w:rPr>
          <w:rFonts w:hint="eastAsia" w:asciiTheme="minorEastAsia" w:hAnsiTheme="minorEastAsia" w:eastAsiaTheme="minorEastAsia"/>
          <w:color w:val="auto"/>
          <w:kern w:val="0"/>
          <w:sz w:val="24"/>
          <w:highlight w:val="none"/>
        </w:rPr>
        <w:t>）；</w:t>
      </w:r>
    </w:p>
    <w:p w14:paraId="235FA44A">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Theme="minorEastAsia" w:hAnsiTheme="minorEastAsia" w:eastAsiaTheme="minorEastAsia"/>
          <w:color w:val="auto"/>
          <w:kern w:val="0"/>
          <w:sz w:val="24"/>
          <w:highlight w:val="none"/>
        </w:rPr>
        <w:t>（2）针对报价投标人认为其他需要说明的。</w:t>
      </w:r>
    </w:p>
    <w:p w14:paraId="185F1453">
      <w:pPr>
        <w:snapToGrid w:val="0"/>
        <w:spacing w:line="360" w:lineRule="auto"/>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（二）</w:t>
      </w:r>
      <w:r>
        <w:rPr>
          <w:rFonts w:hint="eastAsia" w:ascii="宋体" w:hAnsi="宋体" w:eastAsia="宋体" w:cs="宋体"/>
          <w:b/>
          <w:color w:val="auto"/>
          <w:spacing w:val="-4"/>
          <w:sz w:val="24"/>
          <w:szCs w:val="24"/>
          <w:highlight w:val="none"/>
          <w:lang w:val="en-US" w:eastAsia="zh-CN" w:bidi="ar"/>
        </w:rPr>
        <w:t>招标</w:t>
      </w:r>
      <w:r>
        <w:rPr>
          <w:rFonts w:hint="eastAsia" w:ascii="宋体" w:hAnsi="宋体" w:eastAsia="宋体" w:cs="宋体"/>
          <w:b/>
          <w:color w:val="auto"/>
          <w:spacing w:val="-4"/>
          <w:sz w:val="24"/>
          <w:szCs w:val="24"/>
          <w:highlight w:val="none"/>
          <w:lang w:bidi="ar"/>
        </w:rPr>
        <w:t>项目评分索引表(该表格仅为方便评标之用，不涉及无效标条款，表格放置在</w:t>
      </w:r>
      <w:r>
        <w:rPr>
          <w:rFonts w:hint="eastAsia" w:ascii="宋体" w:hAnsi="宋体" w:eastAsia="宋体" w:cs="宋体"/>
          <w:b/>
          <w:color w:val="auto"/>
          <w:kern w:val="0"/>
          <w:sz w:val="24"/>
          <w:szCs w:val="24"/>
          <w:highlight w:val="none"/>
        </w:rPr>
        <w:t>资信</w:t>
      </w:r>
      <w:r>
        <w:rPr>
          <w:rFonts w:hint="eastAsia" w:ascii="宋体" w:hAnsi="宋体" w:eastAsia="宋体" w:cs="宋体"/>
          <w:b/>
          <w:color w:val="auto"/>
          <w:sz w:val="24"/>
          <w:szCs w:val="24"/>
          <w:highlight w:val="none"/>
          <w:lang w:bidi="ar"/>
        </w:rPr>
        <w:t>技术</w:t>
      </w:r>
      <w:r>
        <w:rPr>
          <w:rFonts w:hint="eastAsia" w:ascii="宋体" w:hAnsi="宋体" w:eastAsia="宋体" w:cs="宋体"/>
          <w:b/>
          <w:color w:val="auto"/>
          <w:spacing w:val="-4"/>
          <w:sz w:val="24"/>
          <w:szCs w:val="24"/>
          <w:highlight w:val="none"/>
          <w:lang w:bidi="ar"/>
        </w:rPr>
        <w:t>文件目录的前页，以方便评委进行评审，格式见第四章)</w:t>
      </w:r>
    </w:p>
    <w:p w14:paraId="406B155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14:paraId="695978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1796C2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05AC171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14:paraId="436B9F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14:paraId="3D3B42B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▲2.投标报价是履行合同的最终价格，包括</w:t>
      </w:r>
      <w:r>
        <w:rPr>
          <w:rFonts w:hint="eastAsia" w:ascii="宋体" w:hAnsi="宋体" w:eastAsia="宋体" w:cs="宋体"/>
          <w:bCs/>
          <w:color w:val="auto"/>
          <w:sz w:val="24"/>
          <w:szCs w:val="24"/>
          <w:highlight w:val="none"/>
        </w:rPr>
        <w:t>但不限于</w:t>
      </w:r>
      <w:r>
        <w:rPr>
          <w:rFonts w:hint="eastAsia" w:ascii="宋体" w:hAnsi="宋体" w:eastAsia="宋体" w:cs="宋体"/>
          <w:bCs/>
          <w:color w:val="auto"/>
          <w:sz w:val="24"/>
          <w:szCs w:val="24"/>
          <w:highlight w:val="none"/>
          <w:lang w:val="en-US" w:eastAsia="zh-CN"/>
        </w:rPr>
        <w:t>包含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如有漏项，视同已包含在其总项目中，合同总价不予调整。</w:t>
      </w:r>
    </w:p>
    <w:p w14:paraId="4B87D1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14:paraId="3C88AE6C">
      <w:pPr>
        <w:pStyle w:val="5"/>
        <w:widowControl w:val="0"/>
        <w:tabs>
          <w:tab w:val="left" w:pos="720"/>
        </w:tabs>
        <w:snapToGrid w:val="0"/>
        <w:spacing w:before="120" w:beforeLines="50" w:after="120" w:line="360" w:lineRule="auto"/>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14:paraId="0EF2F4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 90天投标文件应保持有效。中标人投标文件有效期延长至合同有效期。有效期不足的投标文件将被拒绝。</w:t>
      </w:r>
    </w:p>
    <w:p w14:paraId="012187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10E828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3.投标人可拒绝接受延期要求而不会导致投标保证金不被退回。同意延长有效期的投标人需要相应延长投标保证金的有效期，但不能修改投标文件内容。 </w:t>
      </w:r>
    </w:p>
    <w:p w14:paraId="08723B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4.中标人的投标文件自开标之日起至合同履行完毕止均应保持有效。</w:t>
      </w:r>
    </w:p>
    <w:p w14:paraId="2A3A90B0">
      <w:pPr>
        <w:pStyle w:val="5"/>
        <w:widowControl w:val="0"/>
        <w:tabs>
          <w:tab w:val="left" w:pos="720"/>
        </w:tabs>
        <w:snapToGrid w:val="0"/>
        <w:spacing w:after="0" w:afterLines="0" w:line="360" w:lineRule="auto"/>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w:t>
      </w:r>
    </w:p>
    <w:p w14:paraId="15E91F65">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1.投标人须按规定提交投标保证金。否则，其投标将被拒绝。</w:t>
      </w:r>
    </w:p>
    <w:p w14:paraId="76E7D8F4">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2.保证金形式：</w:t>
      </w:r>
      <w:r>
        <w:rPr>
          <w:rFonts w:hint="eastAsia" w:ascii="宋体" w:hAnsi="宋体" w:eastAsia="宋体" w:cs="宋体"/>
          <w:bCs/>
          <w:color w:val="auto"/>
          <w:sz w:val="24"/>
          <w:szCs w:val="24"/>
          <w:highlight w:val="none"/>
        </w:rPr>
        <w:t>银行保函、保险机构保证保险保单、融资担保公司保函。</w:t>
      </w:r>
    </w:p>
    <w:p w14:paraId="33E06BB1">
      <w:pPr>
        <w:snapToGrid w:val="0"/>
        <w:spacing w:line="400" w:lineRule="exact"/>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.投标人有下列情形之一的，投标保证金将不予退还：</w:t>
      </w:r>
    </w:p>
    <w:p w14:paraId="360E74CB">
      <w:pPr>
        <w:snapToGrid w:val="0"/>
        <w:spacing w:line="40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（1）投标人在投标有效期内撤回投标文件的；</w:t>
      </w:r>
    </w:p>
    <w:p w14:paraId="1FC4A563">
      <w:pPr>
        <w:snapToGrid w:val="0"/>
        <w:spacing w:line="40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307ADAE0">
      <w:pPr>
        <w:snapToGrid w:val="0"/>
        <w:spacing w:line="40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（3）投标人在投标过程中弄虚作假，提供虚假材料的；</w:t>
      </w:r>
    </w:p>
    <w:p w14:paraId="1DEE9C8B">
      <w:pPr>
        <w:snapToGrid w:val="0"/>
        <w:spacing w:line="4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（4）中标人无正当理由不与</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单位签订合同的；</w:t>
      </w:r>
    </w:p>
    <w:p w14:paraId="7DA00BB5">
      <w:pPr>
        <w:snapToGrid w:val="0"/>
        <w:spacing w:line="4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将中标项目转让给他人或者在投标文件中未说明且未经招标人同意，将中标项目分包给他人的；</w:t>
      </w:r>
    </w:p>
    <w:p w14:paraId="3EABE7E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（6）拒绝履行合同义务的；</w:t>
      </w:r>
    </w:p>
    <w:p w14:paraId="561C7BD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（7）有《关于印发&lt;台州市工程建设投标保函管理规定&gt;的通知》（台公管办〔2022〕2号）第十一条规定情形的。</w:t>
      </w:r>
    </w:p>
    <w:p w14:paraId="50807116">
      <w:pPr>
        <w:snapToGrid w:val="0"/>
        <w:spacing w:before="120" w:beforeLines="50" w:line="360" w:lineRule="auto"/>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（七）投标文件的签署和份数</w:t>
      </w:r>
    </w:p>
    <w:p w14:paraId="4545CCB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投标人按本招标文件规定的要求使用电子投标文件，投标文件内容不完整、编排混乱导致投标文件被误读、漏读或者查找不到相关内容的，是投标人的责任。</w:t>
      </w:r>
    </w:p>
    <w:p w14:paraId="566C6FE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2.投标文件须由投标人在规定位置盖章并由法定代表人或法定代表人的授权委托人签署或盖章，投标人应写全称。</w:t>
      </w:r>
    </w:p>
    <w:p w14:paraId="6359495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3.投标文件不得涂改，若有修改错漏处，须加盖单位公章或者法定代表人或授权委托人签字或盖章。投标文件因字迹潦草或表达不清所引起的后果由投标人负责。</w:t>
      </w:r>
    </w:p>
    <w:p w14:paraId="7D6E1FD1">
      <w:pPr>
        <w:snapToGrid w:val="0"/>
        <w:spacing w:before="120" w:beforeLines="50" w:line="360" w:lineRule="auto"/>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（八）投标文件的包装、递交、修改和撤回</w:t>
      </w:r>
    </w:p>
    <w:p w14:paraId="58BD3A2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1.本工程采用电子投标，无需纸质投标文件；</w:t>
      </w:r>
    </w:p>
    <w:p w14:paraId="714360C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2.投标人应在投标截止时间前上传投标文件。逾期上传的或者未上传指定系统的，视为投标文件未送达。</w:t>
      </w:r>
    </w:p>
    <w:p w14:paraId="260FF13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3.在规定的投标截止时间前，投标人可以修改或撤回已递交的电子投标文件；修改好后重新上传加密电子投标文件。 </w:t>
      </w:r>
    </w:p>
    <w:p w14:paraId="5DF242B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4.在投标截止时间至投标有效期满之前，投标人不得撤回其投标文件，否则其投标担保将被没收。</w:t>
      </w:r>
    </w:p>
    <w:p w14:paraId="6D185531">
      <w:pPr>
        <w:snapToGrid w:val="0"/>
        <w:spacing w:before="120" w:beforeLines="50" w:line="360" w:lineRule="auto"/>
        <w:ind w:firstLine="241" w:firstLineChars="1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14:paraId="121AE83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17F3624">
      <w:pPr>
        <w:snapToGri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1.在符合性审查和资信技术标评审时，如发现下列情形之一的，投标文件将被视为无效：</w:t>
      </w:r>
    </w:p>
    <w:p w14:paraId="00588589">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bidi="ar"/>
        </w:rPr>
        <w:t>资格证明文件不全的，或者不符合招标文件标明的资格要求的；</w:t>
      </w:r>
    </w:p>
    <w:p w14:paraId="5413181D">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lang w:bidi="ar"/>
        </w:rPr>
        <w:t>投标文件</w:t>
      </w:r>
      <w:r>
        <w:rPr>
          <w:rFonts w:hint="eastAsia" w:ascii="宋体" w:hAnsi="宋体" w:eastAsia="宋体" w:cs="宋体"/>
          <w:b/>
          <w:bCs/>
          <w:color w:val="auto"/>
          <w:sz w:val="24"/>
          <w:szCs w:val="24"/>
          <w:highlight w:val="none"/>
          <w:lang w:bidi="ar"/>
        </w:rPr>
        <w:t>在指定页面</w:t>
      </w:r>
      <w:r>
        <w:rPr>
          <w:rFonts w:hint="eastAsia" w:ascii="宋体" w:hAnsi="宋体" w:eastAsia="宋体" w:cs="宋体"/>
          <w:bCs/>
          <w:color w:val="auto"/>
          <w:sz w:val="24"/>
          <w:szCs w:val="24"/>
          <w:highlight w:val="none"/>
          <w:lang w:bidi="ar"/>
        </w:rPr>
        <w:t>无法定代表人或授权委托人盖章或签字、</w:t>
      </w:r>
      <w:r>
        <w:rPr>
          <w:rFonts w:hint="eastAsia" w:ascii="宋体" w:hAnsi="宋体" w:eastAsia="宋体" w:cs="宋体"/>
          <w:b/>
          <w:bCs/>
          <w:color w:val="auto"/>
          <w:sz w:val="24"/>
          <w:szCs w:val="24"/>
          <w:highlight w:val="none"/>
          <w:lang w:bidi="ar"/>
        </w:rPr>
        <w:t>未在指定页面盖公章、未提供法定代表人授权委托书、未提供投标函或者投标函格式不符合要求或填写项目不齐全的；</w:t>
      </w:r>
    </w:p>
    <w:p w14:paraId="139708CC">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（3）投标代表人未能出具身份证明或与法定代表人授权委托人身份不符的； </w:t>
      </w:r>
    </w:p>
    <w:p w14:paraId="3FD4A824">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（4）投标文件的实质性内容未使用中文表述、意思表述不明确、前后矛盾或者使用计量单位不符合招标文件要求的（经评标委员会认定并允许其当场更正的笔误除外）</w:t>
      </w:r>
    </w:p>
    <w:p w14:paraId="5AEDC8B9">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）投标有效期、服务时间等条款不能满足招标文件要求的；</w:t>
      </w:r>
    </w:p>
    <w:p w14:paraId="0720540C">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）未实质性响应招标文件要求或者投标文件有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人不能接受的附加条件的；</w:t>
      </w:r>
    </w:p>
    <w:p w14:paraId="712ED6F3">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）两家或两家以上投标单位上传投标文件的ip地址（或工程清单锁地址）相同，视为串标行为，取消评标资格。</w:t>
      </w:r>
    </w:p>
    <w:p w14:paraId="1C85D0F2">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）法律法规或规章规定属无效标情形的。</w:t>
      </w:r>
    </w:p>
    <w:p w14:paraId="140E40DA">
      <w:pPr>
        <w:pStyle w:val="10"/>
        <w:snapToGri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w:t>
      </w:r>
      <w:r>
        <w:rPr>
          <w:rFonts w:hint="eastAsia" w:ascii="宋体" w:hAnsi="宋体" w:cs="宋体"/>
          <w:b/>
          <w:bCs/>
          <w:color w:val="auto"/>
          <w:sz w:val="24"/>
          <w:szCs w:val="24"/>
          <w:highlight w:val="none"/>
          <w:lang w:eastAsia="zh-CN"/>
        </w:rPr>
        <w:t>商务标</w:t>
      </w:r>
      <w:r>
        <w:rPr>
          <w:rFonts w:hint="eastAsia" w:ascii="宋体" w:hAnsi="宋体" w:eastAsia="宋体" w:cs="宋体"/>
          <w:b/>
          <w:bCs/>
          <w:color w:val="auto"/>
          <w:sz w:val="24"/>
          <w:szCs w:val="24"/>
          <w:highlight w:val="none"/>
        </w:rPr>
        <w:t>评审时，如发现下列情形之一的，投标文件将被视为无效：</w:t>
      </w:r>
    </w:p>
    <w:p w14:paraId="04A9F80D">
      <w:pPr>
        <w:pStyle w:val="1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14:paraId="1CEBA0C3">
      <w:pPr>
        <w:pStyle w:val="1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（2）投标报价具有选择性，或者开标价格与投标文件承诺的优惠（折扣）价格不一致的；</w:t>
      </w:r>
    </w:p>
    <w:p w14:paraId="58FCA1DB">
      <w:pPr>
        <w:pStyle w:val="10"/>
        <w:snapToGrid w:val="0"/>
        <w:spacing w:line="360" w:lineRule="auto"/>
        <w:ind w:firstLine="480" w:firstLineChars="200"/>
        <w:rPr>
          <w:rFonts w:hAnsi="宋体"/>
          <w:color w:val="auto"/>
          <w:sz w:val="24"/>
          <w:highlight w:val="none"/>
        </w:rPr>
      </w:pPr>
      <w:r>
        <w:rPr>
          <w:rFonts w:hint="eastAsia" w:ascii="宋体" w:hAnsi="宋体" w:eastAsia="宋体" w:cs="宋体"/>
          <w:color w:val="auto"/>
          <w:sz w:val="24"/>
          <w:szCs w:val="24"/>
          <w:highlight w:val="none"/>
        </w:rPr>
        <w:t>（3）投标报价高于最高投标限价的。</w:t>
      </w:r>
    </w:p>
    <w:p w14:paraId="07B5F36E">
      <w:pPr>
        <w:pStyle w:val="14"/>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四、开标</w:t>
      </w:r>
    </w:p>
    <w:p w14:paraId="57F47B46">
      <w:pPr>
        <w:pStyle w:val="14"/>
        <w:snapToGrid w:val="0"/>
        <w:spacing w:before="0" w:beforeLines="0" w:after="0" w:afterLines="0" w:line="360" w:lineRule="auto"/>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（一）开标</w:t>
      </w:r>
    </w:p>
    <w:p w14:paraId="10BEEA10">
      <w:pPr>
        <w:pStyle w:val="24"/>
        <w:widowControl w:val="0"/>
        <w:snapToGrid w:val="0"/>
        <w:spacing w:before="120" w:beforeLines="50" w:beforeAutospacing="0" w:after="0" w:afterAutospacing="0"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投标人代表一律不参加现场开标，通过在线直播参与监督开标过程。直播网络地址：</w:t>
      </w:r>
      <w:r>
        <w:rPr>
          <w:rFonts w:hint="eastAsia" w:ascii="宋体" w:hAnsi="宋体" w:eastAsia="宋体" w:cs="宋体"/>
          <w:color w:val="auto"/>
          <w:sz w:val="24"/>
          <w:szCs w:val="24"/>
          <w:highlight w:val="none"/>
          <w:u w:val="single"/>
        </w:rPr>
        <w:t xml:space="preserve">http://www.tzwztb.com/live/ </w:t>
      </w:r>
      <w:r>
        <w:rPr>
          <w:rFonts w:hint="eastAsia" w:ascii="宋体" w:hAnsi="宋体" w:eastAsia="宋体" w:cs="宋体"/>
          <w:color w:val="auto"/>
          <w:sz w:val="24"/>
          <w:szCs w:val="24"/>
          <w:highlight w:val="none"/>
        </w:rPr>
        <w:t>。</w:t>
      </w:r>
    </w:p>
    <w:p w14:paraId="5A96A98B">
      <w:pPr>
        <w:pStyle w:val="14"/>
        <w:snapToGrid w:val="0"/>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（二）开标程序：</w:t>
      </w:r>
    </w:p>
    <w:p w14:paraId="2C88A05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1、开标由</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代理机构工作人员主持。</w:t>
      </w:r>
    </w:p>
    <w:p w14:paraId="13A5CA5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2、投标人可进行在线沟通。</w:t>
      </w:r>
    </w:p>
    <w:p w14:paraId="12622C3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人依法对资格证明文件进行审查，评标委员会对</w:t>
      </w:r>
      <w:r>
        <w:rPr>
          <w:rFonts w:hint="eastAsia" w:ascii="宋体" w:hAnsi="宋体" w:eastAsia="宋体" w:cs="宋体"/>
          <w:color w:val="auto"/>
          <w:sz w:val="24"/>
          <w:szCs w:val="24"/>
          <w:highlight w:val="none"/>
          <w:lang w:val="en-US" w:eastAsia="zh-CN"/>
        </w:rPr>
        <w:t>资信技术</w:t>
      </w:r>
      <w:r>
        <w:rPr>
          <w:rFonts w:hint="eastAsia" w:ascii="宋体" w:hAnsi="宋体" w:eastAsia="宋体" w:cs="宋体"/>
          <w:color w:val="auto"/>
          <w:sz w:val="24"/>
          <w:szCs w:val="24"/>
          <w:highlight w:val="none"/>
        </w:rPr>
        <w:t>文件进行评审。</w:t>
      </w:r>
    </w:p>
    <w:p w14:paraId="03AA9F1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资信技术</w:t>
      </w:r>
      <w:r>
        <w:rPr>
          <w:rFonts w:hint="eastAsia" w:ascii="宋体" w:hAnsi="宋体" w:eastAsia="宋体" w:cs="宋体"/>
          <w:color w:val="auto"/>
          <w:sz w:val="24"/>
          <w:szCs w:val="24"/>
          <w:highlight w:val="none"/>
        </w:rPr>
        <w:t>文件评审完成后，主持人宣告</w:t>
      </w:r>
      <w:r>
        <w:rPr>
          <w:rFonts w:hint="eastAsia" w:ascii="宋体" w:hAnsi="宋体" w:eastAsia="宋体" w:cs="宋体"/>
          <w:color w:val="auto"/>
          <w:sz w:val="24"/>
          <w:szCs w:val="24"/>
          <w:highlight w:val="none"/>
          <w:lang w:val="en-US" w:eastAsia="zh-CN"/>
        </w:rPr>
        <w:t>资信技术</w:t>
      </w:r>
      <w:r>
        <w:rPr>
          <w:rFonts w:hint="eastAsia" w:ascii="宋体" w:hAnsi="宋体" w:eastAsia="宋体" w:cs="宋体"/>
          <w:color w:val="auto"/>
          <w:sz w:val="24"/>
          <w:szCs w:val="24"/>
          <w:highlight w:val="none"/>
        </w:rPr>
        <w:t>文件评审无效投标人名称及理由，公布经资信技术文件评审符合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需求的投标人名单以及</w:t>
      </w:r>
      <w:r>
        <w:rPr>
          <w:rFonts w:hint="eastAsia" w:ascii="宋体" w:hAnsi="宋体" w:eastAsia="宋体" w:cs="宋体"/>
          <w:color w:val="auto"/>
          <w:sz w:val="24"/>
          <w:szCs w:val="24"/>
          <w:highlight w:val="none"/>
          <w:lang w:val="en-US" w:eastAsia="zh-CN"/>
        </w:rPr>
        <w:t>资信技术</w:t>
      </w:r>
      <w:r>
        <w:rPr>
          <w:rFonts w:hint="eastAsia" w:ascii="宋体" w:hAnsi="宋体" w:eastAsia="宋体" w:cs="宋体"/>
          <w:color w:val="auto"/>
          <w:sz w:val="24"/>
          <w:szCs w:val="24"/>
          <w:highlight w:val="none"/>
        </w:rPr>
        <w:t>文件得分情况。</w:t>
      </w:r>
    </w:p>
    <w:p w14:paraId="7B111F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5、开启各投标人</w:t>
      </w:r>
      <w:r>
        <w:rPr>
          <w:rFonts w:hint="eastAsia" w:ascii="宋体" w:hAnsi="宋体" w:cs="宋体"/>
          <w:color w:val="auto"/>
          <w:sz w:val="24"/>
          <w:szCs w:val="24"/>
          <w:highlight w:val="none"/>
          <w:lang w:eastAsia="zh-CN"/>
        </w:rPr>
        <w:t>商务标</w:t>
      </w:r>
      <w:r>
        <w:rPr>
          <w:rFonts w:hint="eastAsia" w:ascii="宋体" w:hAnsi="宋体" w:eastAsia="宋体" w:cs="宋体"/>
          <w:color w:val="auto"/>
          <w:sz w:val="24"/>
          <w:szCs w:val="24"/>
          <w:highlight w:val="none"/>
        </w:rPr>
        <w:t>。</w:t>
      </w:r>
    </w:p>
    <w:p w14:paraId="0585A62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6、当场制作并打印开标记录表，由唱标人、记录人、监督人当场签字确认。唱标结束后，由评标委员会对报价的合理性、准确性等进行审查核实。</w:t>
      </w:r>
    </w:p>
    <w:p w14:paraId="32D5B9A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7、评标结束后，主持人公布投标</w:t>
      </w:r>
      <w:r>
        <w:rPr>
          <w:rFonts w:hint="eastAsia" w:ascii="宋体" w:hAnsi="宋体" w:cs="宋体"/>
          <w:color w:val="auto"/>
          <w:sz w:val="24"/>
          <w:szCs w:val="24"/>
          <w:highlight w:val="none"/>
          <w:lang w:val="en-US" w:eastAsia="zh-CN"/>
        </w:rPr>
        <w:t>商务标</w:t>
      </w:r>
      <w:r>
        <w:rPr>
          <w:rFonts w:hint="eastAsia" w:ascii="宋体" w:hAnsi="宋体" w:eastAsia="宋体" w:cs="宋体"/>
          <w:color w:val="auto"/>
          <w:sz w:val="24"/>
          <w:szCs w:val="24"/>
          <w:highlight w:val="none"/>
        </w:rPr>
        <w:t>得分、综合得分以及推荐中标候选人排序名单。</w:t>
      </w:r>
    </w:p>
    <w:p w14:paraId="592E92F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8、开标会议结束。</w:t>
      </w:r>
    </w:p>
    <w:p w14:paraId="403B5C2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9、其他注意事项：</w:t>
      </w:r>
    </w:p>
    <w:p w14:paraId="0915F7C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w:t>
      </w:r>
      <w:r>
        <w:rPr>
          <w:rFonts w:hint="eastAsia" w:ascii="宋体" w:hAnsi="宋体" w:eastAsia="宋体" w:cs="宋体"/>
          <w:b/>
          <w:bCs/>
          <w:color w:val="auto"/>
          <w:sz w:val="24"/>
          <w:szCs w:val="24"/>
          <w:highlight w:val="none"/>
        </w:rPr>
        <w:t xml:space="preserve"> </w:t>
      </w:r>
    </w:p>
    <w:p w14:paraId="30ED95A2">
      <w:pPr>
        <w:pStyle w:val="14"/>
        <w:keepNext w:val="0"/>
        <w:keepLines w:val="0"/>
        <w:pageBreakBefore w:val="0"/>
        <w:widowControl w:val="0"/>
        <w:kinsoku/>
        <w:wordWrap/>
        <w:overflowPunct/>
        <w:topLinePunct w:val="0"/>
        <w:bidi w:val="0"/>
        <w:spacing w:before="120" w:after="120" w:line="360" w:lineRule="auto"/>
        <w:ind w:firstLine="540" w:firstLineChars="22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60EA3EA0">
      <w:pPr>
        <w:keepNext w:val="0"/>
        <w:keepLines w:val="0"/>
        <w:pageBreakBefore w:val="0"/>
        <w:widowControl w:val="0"/>
        <w:kinsoku/>
        <w:wordWrap/>
        <w:overflowPunct/>
        <w:topLinePunct w:val="0"/>
        <w:autoSpaceDE w:val="0"/>
        <w:autoSpaceDN w:val="0"/>
        <w:bidi w:val="0"/>
        <w:adjustRightInd w:val="0"/>
        <w:spacing w:line="360" w:lineRule="auto"/>
        <w:ind w:right="-14"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A18EFE6">
      <w:pPr>
        <w:autoSpaceDE w:val="0"/>
        <w:autoSpaceDN w:val="0"/>
        <w:adjustRightInd w:val="0"/>
        <w:spacing w:line="360" w:lineRule="auto"/>
        <w:ind w:right="-14"/>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重要事项说明：</w:t>
      </w:r>
    </w:p>
    <w:p w14:paraId="6F0B78C7">
      <w:pPr>
        <w:autoSpaceDE w:val="0"/>
        <w:autoSpaceDN w:val="0"/>
        <w:adjustRightInd w:val="0"/>
        <w:spacing w:line="360" w:lineRule="auto"/>
        <w:ind w:right="-14"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（1）开标项目的时间均以国家授时中心发布的时间为准。</w:t>
      </w:r>
    </w:p>
    <w:p w14:paraId="3F99A526">
      <w:pPr>
        <w:autoSpaceDE w:val="0"/>
        <w:autoSpaceDN w:val="0"/>
        <w:adjustRightInd w:val="0"/>
        <w:spacing w:line="360" w:lineRule="auto"/>
        <w:ind w:right="-14"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（2）若投标人已申请多把CA锁，请注意使用差别。因ca锁使用错误引发的问题，由投标人自己负责。</w:t>
      </w:r>
    </w:p>
    <w:p w14:paraId="1B68DEAD">
      <w:pPr>
        <w:pStyle w:val="14"/>
        <w:spacing w:before="120"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（3）如有疑问，请咨询平台技术服务电话：</w:t>
      </w:r>
      <w:r>
        <w:rPr>
          <w:rFonts w:hint="eastAsia" w:ascii="宋体" w:hAnsi="宋体" w:eastAsia="宋体" w:cs="宋体"/>
          <w:b w:val="0"/>
          <w:color w:val="auto"/>
          <w:sz w:val="24"/>
          <w:szCs w:val="24"/>
          <w:highlight w:val="none"/>
        </w:rPr>
        <w:t>蔡先生，13454667697；王女士，13757680207</w:t>
      </w:r>
      <w:r>
        <w:rPr>
          <w:rFonts w:hint="eastAsia" w:ascii="宋体" w:hAnsi="宋体" w:eastAsia="宋体" w:cs="宋体"/>
          <w:b w:val="0"/>
          <w:bCs/>
          <w:color w:val="auto"/>
          <w:sz w:val="24"/>
          <w:szCs w:val="24"/>
          <w:highlight w:val="none"/>
        </w:rPr>
        <w:t>。QQ “台州湾新区小额工程交易平台交流”（群号：435057190），进行业务咨询。此群也作为不见面开标的备用远程交互群。</w:t>
      </w:r>
    </w:p>
    <w:p w14:paraId="214CF11D">
      <w:pPr>
        <w:snapToGrid w:val="0"/>
        <w:spacing w:line="360" w:lineRule="auto"/>
        <w:ind w:firstLine="723" w:firstLineChars="3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（三）异常情况处理：</w:t>
      </w:r>
    </w:p>
    <w:p w14:paraId="54602AF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开评标</w:t>
      </w:r>
      <w:r>
        <w:rPr>
          <w:rFonts w:hint="eastAsia" w:ascii="宋体" w:hAnsi="宋体" w:eastAsia="宋体" w:cs="宋体"/>
          <w:color w:val="auto"/>
          <w:sz w:val="24"/>
          <w:szCs w:val="24"/>
          <w:highlight w:val="none"/>
        </w:rPr>
        <w:t>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机构可中止电子交易活动：</w:t>
      </w:r>
    </w:p>
    <w:p w14:paraId="4BEDC6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1、电子交易平台发生故障而无法登录访问的；</w:t>
      </w:r>
    </w:p>
    <w:p w14:paraId="358DFC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6F8F8B6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22991E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14:paraId="370AD1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4D1F50DE">
      <w:pPr>
        <w:snapToGrid w:val="0"/>
        <w:spacing w:line="360" w:lineRule="auto"/>
        <w:ind w:firstLine="480" w:firstLineChars="200"/>
        <w:rPr>
          <w:color w:val="auto"/>
          <w:highlight w:val="none"/>
        </w:rPr>
      </w:pPr>
      <w:r>
        <w:rPr>
          <w:rFonts w:hint="eastAsia" w:ascii="宋体" w:hAnsi="宋体" w:eastAsia="宋体" w:cs="宋体"/>
          <w:color w:val="auto"/>
          <w:sz w:val="24"/>
          <w:szCs w:val="24"/>
          <w:highlight w:val="none"/>
        </w:rPr>
        <w:t>出现前款规定情形，不影响</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公平、公正性的，</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机构可以待上述情形消除后继续组织电子交易活动。</w:t>
      </w:r>
    </w:p>
    <w:p w14:paraId="1BE55117">
      <w:pPr>
        <w:pStyle w:val="14"/>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五、评标</w:t>
      </w:r>
    </w:p>
    <w:p w14:paraId="5B031917">
      <w:pPr>
        <w:pStyle w:val="14"/>
        <w:snapToGrid w:val="0"/>
        <w:spacing w:before="120" w:after="120" w:line="360" w:lineRule="auto"/>
        <w:ind w:left="785" w:leftChars="128" w:hanging="516" w:hangingChars="21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（一）组建评标委员会</w:t>
      </w:r>
    </w:p>
    <w:p w14:paraId="29D77E54">
      <w:pPr>
        <w:pStyle w:val="24"/>
        <w:widowControl w:val="0"/>
        <w:snapToGrid w:val="0"/>
        <w:spacing w:before="120" w:beforeLines="5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评标由招标人依法组建的评标委员会负责。</w:t>
      </w:r>
    </w:p>
    <w:p w14:paraId="6FFD9470">
      <w:pPr>
        <w:pStyle w:val="14"/>
        <w:snapToGrid w:val="0"/>
        <w:spacing w:before="120" w:after="120" w:line="360" w:lineRule="auto"/>
        <w:ind w:left="787" w:leftChars="129" w:hanging="516" w:hangingChars="21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（二）评标的方式</w:t>
      </w:r>
    </w:p>
    <w:p w14:paraId="09C6D39F">
      <w:pPr>
        <w:pStyle w:val="14"/>
        <w:snapToGrid w:val="0"/>
        <w:spacing w:before="120" w:after="120" w:line="360" w:lineRule="auto"/>
        <w:ind w:left="719" w:leftChars="228" w:hanging="240" w:hanging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本项目采用不公开方式评标，评标的依据为招标文件和投标文件。</w:t>
      </w:r>
    </w:p>
    <w:p w14:paraId="04FFE11D">
      <w:pPr>
        <w:pStyle w:val="14"/>
        <w:snapToGrid w:val="0"/>
        <w:spacing w:before="120" w:after="120" w:line="360" w:lineRule="auto"/>
        <w:ind w:left="787" w:leftChars="129" w:hanging="516" w:hangingChars="21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w:t>
      </w:r>
      <w:r>
        <w:rPr>
          <w:rFonts w:hint="eastAsia" w:ascii="宋体" w:hAnsi="宋体" w:eastAsia="宋体" w:cs="宋体"/>
          <w:b w:val="0"/>
          <w:bCs/>
          <w:color w:val="auto"/>
          <w:sz w:val="24"/>
          <w:szCs w:val="24"/>
          <w:highlight w:val="none"/>
        </w:rPr>
        <w:t>评标程序</w:t>
      </w:r>
    </w:p>
    <w:p w14:paraId="071FEE50">
      <w:pPr>
        <w:snapToGri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14:paraId="1D0BCF13">
      <w:pPr>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人代表和代理机构工作人员协助评标委员会对投标人的资格和投标文件的完整性、合法性等进行审查。</w:t>
      </w:r>
    </w:p>
    <w:p w14:paraId="7763363F">
      <w:pPr>
        <w:snapToGri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14:paraId="127CB45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14:paraId="4164A69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2BCAA1C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（3）代理机构工作人员协助评标委员会根据本项目的评分标准计算各投标人的商务得分。</w:t>
      </w:r>
    </w:p>
    <w:p w14:paraId="512F8EA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（4）评标委员会完成评标后,评委对各部分得分汇总,计算出本项目最终得分。评标委员会按评标原则推荐中标候选人同时起草评标报告。</w:t>
      </w:r>
    </w:p>
    <w:p w14:paraId="3C4FACE9">
      <w:pPr>
        <w:snapToGrid w:val="0"/>
        <w:spacing w:line="360" w:lineRule="auto"/>
        <w:ind w:firstLine="359" w:firstLineChars="1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14:paraId="3D83571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18D891C">
      <w:pPr>
        <w:pStyle w:val="14"/>
        <w:snapToGrid w:val="0"/>
        <w:spacing w:before="120" w:after="120" w:line="360" w:lineRule="auto"/>
        <w:ind w:left="784" w:leftChars="129" w:hanging="513" w:hangingChars="214"/>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（五）错误修正</w:t>
      </w:r>
    </w:p>
    <w:p w14:paraId="4C83785D">
      <w:pPr>
        <w:pStyle w:val="24"/>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14:paraId="582A445E">
      <w:pPr>
        <w:pStyle w:val="24"/>
        <w:numPr>
          <w:ilvl w:val="0"/>
          <w:numId w:val="8"/>
        </w:numPr>
        <w:spacing w:before="0" w:beforeAutospacing="0" w:after="0" w:afterAutospacing="0" w:line="360" w:lineRule="auto"/>
        <w:ind w:left="48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台州湾新区小额工程电子交易平台”上开启的投标报价与电子投标文件中</w:t>
      </w:r>
    </w:p>
    <w:p w14:paraId="1F997BDD">
      <w:pPr>
        <w:pStyle w:val="24"/>
        <w:numPr>
          <w:ilvl w:val="0"/>
          <w:numId w:val="0"/>
        </w:numPr>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开标一览表内容不一致的，以电子投标文件中开标一览表为准；</w:t>
      </w:r>
    </w:p>
    <w:p w14:paraId="0DDCFD2E">
      <w:pPr>
        <w:pStyle w:val="24"/>
        <w:numPr>
          <w:ilvl w:val="0"/>
          <w:numId w:val="8"/>
        </w:numPr>
        <w:spacing w:before="0" w:beforeAutospacing="0" w:after="0" w:afterAutospacing="0" w:line="360" w:lineRule="auto"/>
        <w:ind w:left="48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投标文件中开标一览表内容与投标文件中相应内容不一致的，以开标一览表</w:t>
      </w:r>
    </w:p>
    <w:p w14:paraId="540F2C4C">
      <w:pPr>
        <w:pStyle w:val="24"/>
        <w:numPr>
          <w:ilvl w:val="0"/>
          <w:numId w:val="0"/>
        </w:numPr>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为准；</w:t>
      </w:r>
    </w:p>
    <w:p w14:paraId="32C8B97A">
      <w:pPr>
        <w:pStyle w:val="24"/>
        <w:numPr>
          <w:ilvl w:val="0"/>
          <w:numId w:val="8"/>
        </w:numPr>
        <w:spacing w:before="0" w:beforeAutospacing="0" w:after="0" w:afterAutospacing="0" w:line="360" w:lineRule="auto"/>
        <w:ind w:left="48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w:t>
      </w:r>
      <w:r>
        <w:rPr>
          <w:rFonts w:hint="eastAsia" w:ascii="宋体" w:hAnsi="宋体" w:eastAsia="宋体" w:cs="宋体"/>
          <w:color w:val="auto"/>
          <w:sz w:val="24"/>
          <w:szCs w:val="24"/>
          <w:highlight w:val="none"/>
          <w:lang w:val="en-US" w:eastAsia="zh-CN"/>
        </w:rPr>
        <w:t>报价明细表</w:t>
      </w:r>
      <w:r>
        <w:rPr>
          <w:rFonts w:hint="eastAsia" w:ascii="宋体" w:hAnsi="宋体" w:eastAsia="宋体" w:cs="宋体"/>
          <w:color w:val="auto"/>
          <w:sz w:val="24"/>
          <w:szCs w:val="24"/>
          <w:highlight w:val="none"/>
        </w:rPr>
        <w:t>内容与</w:t>
      </w:r>
      <w:r>
        <w:rPr>
          <w:rFonts w:hint="eastAsia" w:ascii="宋体" w:hAnsi="宋体" w:eastAsia="宋体" w:cs="宋体"/>
          <w:color w:val="auto"/>
          <w:sz w:val="24"/>
          <w:szCs w:val="24"/>
          <w:highlight w:val="none"/>
          <w:lang w:val="en-US" w:eastAsia="zh-CN"/>
        </w:rPr>
        <w:t>开标一览表内容不一致的，</w:t>
      </w:r>
      <w:r>
        <w:rPr>
          <w:rFonts w:hint="eastAsia" w:ascii="宋体" w:hAnsi="宋体" w:eastAsia="宋体" w:cs="宋体"/>
          <w:color w:val="auto"/>
          <w:sz w:val="24"/>
          <w:szCs w:val="24"/>
          <w:highlight w:val="none"/>
        </w:rPr>
        <w:t>以开标一览表为</w:t>
      </w:r>
    </w:p>
    <w:p w14:paraId="2371D069">
      <w:pPr>
        <w:pStyle w:val="24"/>
        <w:numPr>
          <w:ilvl w:val="0"/>
          <w:numId w:val="0"/>
        </w:numPr>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2AD19D8D">
      <w:pPr>
        <w:pStyle w:val="24"/>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、大写金额和小写金额不一致的，以大写金额为准；</w:t>
      </w:r>
    </w:p>
    <w:p w14:paraId="2069D649">
      <w:pPr>
        <w:pStyle w:val="24"/>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、单价金额小数点或者百分比有明显错位的，以开标一览表的总价为准，并修改单价；</w:t>
      </w:r>
    </w:p>
    <w:p w14:paraId="2403015D">
      <w:pPr>
        <w:pStyle w:val="24"/>
        <w:spacing w:before="0" w:beforeAutospacing="0" w:after="0" w:afterAutospacing="0"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、总价金额与按单价汇总金额不一致的，以单价金额计算结果为准。</w:t>
      </w:r>
    </w:p>
    <w:p w14:paraId="154836A0">
      <w:pPr>
        <w:pStyle w:val="24"/>
        <w:spacing w:before="0" w:beforeAutospacing="0" w:after="0" w:afterAutospacing="0"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14:paraId="72F8BF63">
      <w:pPr>
        <w:autoSpaceDE w:val="0"/>
        <w:autoSpaceDN w:val="0"/>
        <w:adjustRightInd w:val="0"/>
        <w:spacing w:line="360" w:lineRule="auto"/>
        <w:ind w:firstLine="359" w:firstLineChars="14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（六）有下列情况之一的，本次招标作为废标处理，除</w:t>
      </w:r>
      <w:r>
        <w:rPr>
          <w:rFonts w:hint="eastAsia" w:ascii="宋体" w:hAnsi="宋体" w:eastAsia="宋体" w:cs="宋体"/>
          <w:b/>
          <w:color w:val="auto"/>
          <w:kern w:val="0"/>
          <w:sz w:val="24"/>
          <w:szCs w:val="24"/>
          <w:highlight w:val="none"/>
          <w:lang w:val="en-US" w:eastAsia="zh-CN"/>
        </w:rPr>
        <w:t>招标</w:t>
      </w:r>
      <w:r>
        <w:rPr>
          <w:rFonts w:hint="eastAsia" w:ascii="宋体" w:hAnsi="宋体" w:eastAsia="宋体" w:cs="宋体"/>
          <w:b/>
          <w:color w:val="auto"/>
          <w:kern w:val="0"/>
          <w:sz w:val="24"/>
          <w:szCs w:val="24"/>
          <w:highlight w:val="none"/>
        </w:rPr>
        <w:t>任务取消外，由</w:t>
      </w:r>
      <w:r>
        <w:rPr>
          <w:rFonts w:hint="eastAsia" w:ascii="宋体" w:hAnsi="宋体" w:eastAsia="宋体" w:cs="宋体"/>
          <w:b/>
          <w:color w:val="auto"/>
          <w:kern w:val="0"/>
          <w:sz w:val="24"/>
          <w:szCs w:val="24"/>
          <w:highlight w:val="none"/>
          <w:lang w:val="en-US" w:eastAsia="zh-CN"/>
        </w:rPr>
        <w:t>招标</w:t>
      </w:r>
      <w:r>
        <w:rPr>
          <w:rFonts w:hint="eastAsia" w:ascii="宋体" w:hAnsi="宋体" w:eastAsia="宋体" w:cs="宋体"/>
          <w:b/>
          <w:color w:val="auto"/>
          <w:kern w:val="0"/>
          <w:sz w:val="24"/>
          <w:szCs w:val="24"/>
          <w:highlight w:val="none"/>
        </w:rPr>
        <w:t>人重新组织招标：</w:t>
      </w:r>
    </w:p>
    <w:p w14:paraId="7D5834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1、符合专业条件的供应商或者对招标文件作实质响应的供应商不足三家，评标委员会认定投标明显缺乏竞争的；</w:t>
      </w:r>
    </w:p>
    <w:p w14:paraId="17CF71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公正的违法、违规行为的；</w:t>
      </w:r>
    </w:p>
    <w:p w14:paraId="0C6B5A0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人不能支付的；</w:t>
      </w:r>
    </w:p>
    <w:p w14:paraId="53492A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任务取消的。</w:t>
      </w:r>
    </w:p>
    <w:p w14:paraId="732B83DF">
      <w:pPr>
        <w:pStyle w:val="14"/>
        <w:tabs>
          <w:tab w:val="left" w:pos="630"/>
        </w:tabs>
        <w:snapToGrid w:val="0"/>
        <w:spacing w:before="120" w:after="120" w:line="360" w:lineRule="auto"/>
        <w:ind w:firstLine="357" w:firstLineChars="1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（七）评标原则和评标办法</w:t>
      </w:r>
    </w:p>
    <w:p w14:paraId="24D3F41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585FE3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2、评标办法。具体评标内容及评分标准等详见《第四章：评标办法及评分标准》。</w:t>
      </w:r>
    </w:p>
    <w:p w14:paraId="29E8A34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（八）评标过程的监控</w:t>
      </w:r>
    </w:p>
    <w:p w14:paraId="0FF1BC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本项目评标过程实行全程录音、录像监控，投标人在评标过程中所进行的试图影响评标结果的不公正活动，可能导致其投标被拒绝。</w:t>
      </w:r>
    </w:p>
    <w:p w14:paraId="761BC6B6">
      <w:pPr>
        <w:snapToGrid w:val="0"/>
        <w:spacing w:line="360" w:lineRule="auto"/>
        <w:rPr>
          <w:rFonts w:hint="default"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六、</w:t>
      </w:r>
      <w:bookmarkStart w:id="38" w:name="_Toc155342567"/>
      <w:bookmarkStart w:id="39" w:name="_Toc169487814"/>
      <w:r>
        <w:rPr>
          <w:rFonts w:hint="default" w:ascii="宋体" w:hAnsi="宋体" w:eastAsia="宋体" w:cs="Times New Roman"/>
          <w:b/>
          <w:bCs/>
          <w:color w:val="auto"/>
          <w:kern w:val="2"/>
          <w:sz w:val="30"/>
          <w:szCs w:val="30"/>
          <w:highlight w:val="none"/>
          <w:lang w:val="en-US" w:eastAsia="zh-CN" w:bidi="ar-SA"/>
        </w:rPr>
        <w:t>中标候选人公示</w:t>
      </w:r>
      <w:bookmarkEnd w:id="38"/>
      <w:bookmarkEnd w:id="39"/>
    </w:p>
    <w:p w14:paraId="4BB07DA0">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1、招标人应当将评标委员会推荐的中标候选人在交易平台（发布招标公告的媒体上）进行公示，公示期不得少于3日（最后一日为工作日）。</w:t>
      </w:r>
    </w:p>
    <w:p w14:paraId="03F81C22">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6F3A1BE7">
      <w:pPr>
        <w:snapToGrid w:val="0"/>
        <w:spacing w:line="360" w:lineRule="auto"/>
        <w:ind w:firstLine="480" w:firstLineChars="200"/>
        <w:rPr>
          <w:rFonts w:hint="eastAsia" w:ascii="宋体" w:hAnsi="宋体" w:eastAsia="宋体" w:cs="Times New Roman"/>
          <w:color w:val="auto"/>
          <w:sz w:val="24"/>
          <w:highlight w:val="none"/>
          <w:lang w:val="en-US" w:eastAsia="zh-CN"/>
        </w:rPr>
      </w:pPr>
      <w:bookmarkStart w:id="40" w:name="_Toc237769281"/>
      <w:bookmarkStart w:id="41" w:name="_Toc321925409"/>
      <w:bookmarkStart w:id="42" w:name="_Toc372899726"/>
      <w:bookmarkStart w:id="43" w:name="_Toc283886232"/>
      <w:bookmarkStart w:id="44" w:name="_Toc394573920"/>
      <w:bookmarkStart w:id="45" w:name="_Toc237768817"/>
      <w:bookmarkStart w:id="46" w:name="_Toc282596287"/>
      <w:bookmarkStart w:id="47" w:name="_Toc283976523"/>
      <w:bookmarkStart w:id="48" w:name="_Toc372899849"/>
      <w:bookmarkStart w:id="49" w:name="_Toc288556274"/>
      <w:bookmarkStart w:id="50" w:name="_Toc4450"/>
      <w:r>
        <w:rPr>
          <w:rFonts w:hint="eastAsia" w:ascii="宋体" w:hAnsi="宋体" w:eastAsia="宋体" w:cs="Times New Roman"/>
          <w:color w:val="auto"/>
          <w:sz w:val="24"/>
          <w:highlight w:val="none"/>
          <w:lang w:val="en-US" w:eastAsia="zh-CN"/>
        </w:rPr>
        <w:t>3、中标候选人有以下情形之一的，其资格无效：</w:t>
      </w:r>
    </w:p>
    <w:p w14:paraId="19B9952C">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（1）投标资格不符合第一章第五项投标人的资格要求规定的；</w:t>
      </w:r>
    </w:p>
    <w:p w14:paraId="3194A2E0">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（2）投标人提供虚假材料骗取投标资格的；</w:t>
      </w:r>
    </w:p>
    <w:p w14:paraId="6889F063">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（3）按第四章“评标办法及评分标准”规定应作无效标处理的；</w:t>
      </w:r>
    </w:p>
    <w:p w14:paraId="443C174A">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（4）法律法规规定作无效标处理的其它情形。</w:t>
      </w:r>
    </w:p>
    <w:p w14:paraId="15C16A42">
      <w:pPr>
        <w:pStyle w:val="82"/>
        <w:spacing w:line="240" w:lineRule="auto"/>
        <w:ind w:left="0" w:firstLine="0"/>
        <w:rPr>
          <w:rFonts w:hint="default" w:ascii="宋体" w:hAnsi="宋体" w:eastAsia="宋体" w:cs="Times New Roman"/>
          <w:b/>
          <w:bCs/>
          <w:color w:val="auto"/>
          <w:kern w:val="2"/>
          <w:sz w:val="30"/>
          <w:szCs w:val="30"/>
          <w:highlight w:val="none"/>
          <w:lang w:val="en-US" w:eastAsia="zh-CN" w:bidi="ar-SA"/>
        </w:rPr>
      </w:pPr>
      <w:r>
        <w:rPr>
          <w:rFonts w:hint="default" w:ascii="宋体" w:hAnsi="宋体" w:eastAsia="宋体" w:cs="Times New Roman"/>
          <w:b/>
          <w:bCs/>
          <w:color w:val="auto"/>
          <w:kern w:val="2"/>
          <w:sz w:val="30"/>
          <w:szCs w:val="30"/>
          <w:highlight w:val="none"/>
          <w:lang w:val="en-US" w:eastAsia="zh-CN" w:bidi="ar-SA"/>
        </w:rPr>
        <w:t>七、中标通知书</w:t>
      </w:r>
      <w:bookmarkEnd w:id="40"/>
      <w:bookmarkEnd w:id="41"/>
      <w:bookmarkEnd w:id="42"/>
      <w:bookmarkEnd w:id="43"/>
      <w:bookmarkEnd w:id="44"/>
      <w:bookmarkEnd w:id="45"/>
      <w:bookmarkEnd w:id="46"/>
      <w:bookmarkEnd w:id="47"/>
      <w:bookmarkEnd w:id="48"/>
      <w:bookmarkEnd w:id="49"/>
      <w:bookmarkEnd w:id="50"/>
    </w:p>
    <w:p w14:paraId="282BC7E8">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val="en-US" w:eastAsia="zh-CN"/>
        </w:rPr>
        <w:t>招标人</w:t>
      </w:r>
      <w:r>
        <w:rPr>
          <w:rFonts w:hint="eastAsia" w:ascii="宋体" w:hAnsi="宋体" w:eastAsia="宋体" w:cs="Times New Roman"/>
          <w:color w:val="auto"/>
          <w:sz w:val="24"/>
          <w:highlight w:val="none"/>
        </w:rPr>
        <w:t>应当确定第一中标候选人为中标人。如涉及第二中标候选人和其他投标人资格无效的，评标结果不作调整。</w:t>
      </w:r>
    </w:p>
    <w:p w14:paraId="38A8F71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2、第一中标候选人放弃中标，或者因不可抗力提出不能履行合同，或者因违反本章第六条第3项规定造成其资格无效的，</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人应当确定第二中标候选人为中标人。如涉及其他投标人资格无效的，评标结果不作调整。如第二中标候选人存在上述同样情形的，本次招标失败，重新组织招标。</w:t>
      </w:r>
    </w:p>
    <w:p w14:paraId="04060DC2">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3、中标人确定后，</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人应当向中标人发出《中标通知书》。</w:t>
      </w:r>
    </w:p>
    <w:p w14:paraId="738FF691">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4、《中标通知书》对</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人和中标人具有法律约束力。《中标通知书》发出后，如中标人因违反法律法规规定而中标无效的，应承担相应的法律责任，本次招标失败，应重新组织招标。</w:t>
      </w:r>
    </w:p>
    <w:p w14:paraId="36496A41">
      <w:pPr>
        <w:pStyle w:val="14"/>
        <w:snapToGrid w:val="0"/>
        <w:spacing w:before="120" w:beforeLines="0" w:after="120" w:afterLines="0" w:line="240" w:lineRule="auto"/>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lang w:val="en-US" w:eastAsia="zh-CN"/>
        </w:rPr>
        <w:t>八</w:t>
      </w:r>
      <w:r>
        <w:rPr>
          <w:rFonts w:ascii="宋体" w:hAnsi="宋体" w:eastAsia="宋体" w:cs="Times New Roman"/>
          <w:b/>
          <w:bCs/>
          <w:color w:val="auto"/>
          <w:sz w:val="30"/>
          <w:szCs w:val="30"/>
          <w:highlight w:val="none"/>
        </w:rPr>
        <w:t>、合同授予</w:t>
      </w:r>
    </w:p>
    <w:p w14:paraId="74DE38CB">
      <w:pPr>
        <w:spacing w:line="360" w:lineRule="auto"/>
        <w:ind w:firstLine="482" w:firstLineChars="200"/>
        <w:rPr>
          <w:rFonts w:hAnsi="宋体"/>
          <w:b/>
          <w:color w:val="auto"/>
          <w:sz w:val="30"/>
          <w:szCs w:val="30"/>
          <w:highlight w:val="none"/>
        </w:rPr>
      </w:pPr>
      <w:r>
        <w:rPr>
          <w:rFonts w:hint="eastAsia" w:ascii="宋体" w:hAnsi="宋体" w:cs="宋体"/>
          <w:b/>
          <w:color w:val="auto"/>
          <w:sz w:val="24"/>
          <w:highlight w:val="none"/>
          <w:lang w:bidi="ar"/>
        </w:rPr>
        <w:t>（一）签订合同</w:t>
      </w:r>
    </w:p>
    <w:p w14:paraId="7F5B4247">
      <w:pPr>
        <w:pStyle w:val="24"/>
        <w:spacing w:before="0" w:beforeAutospacing="0" w:after="0" w:afterAutospacing="0" w:line="360" w:lineRule="auto"/>
        <w:ind w:firstLine="600" w:firstLineChars="250"/>
        <w:jc w:val="both"/>
        <w:rPr>
          <w:color w:val="auto"/>
          <w:highlight w:val="none"/>
        </w:rPr>
      </w:pPr>
      <w:r>
        <w:rPr>
          <w:color w:val="auto"/>
          <w:highlight w:val="none"/>
        </w:rPr>
        <w:t>1、</w:t>
      </w:r>
      <w:r>
        <w:rPr>
          <w:rFonts w:hint="eastAsia"/>
          <w:color w:val="auto"/>
          <w:highlight w:val="none"/>
          <w:lang w:val="en-US" w:eastAsia="zh-CN"/>
        </w:rPr>
        <w:t>招标</w:t>
      </w:r>
      <w:r>
        <w:rPr>
          <w:color w:val="auto"/>
          <w:highlight w:val="none"/>
        </w:rPr>
        <w:t>人应当自中标通知书发出之日起</w:t>
      </w:r>
      <w:r>
        <w:rPr>
          <w:b/>
          <w:bCs/>
          <w:color w:val="auto"/>
          <w:highlight w:val="none"/>
          <w:u w:val="single"/>
        </w:rPr>
        <w:t>30</w:t>
      </w:r>
      <w:r>
        <w:rPr>
          <w:color w:val="auto"/>
          <w:highlight w:val="none"/>
        </w:rPr>
        <w:t>日内，按照招标文件和中标人投标文件的规定，与中标人签订书面合同。所签订的合同不得对招标文件确定的事项和中标人投标文件作实质性修改。</w:t>
      </w:r>
    </w:p>
    <w:p w14:paraId="069F0FF9">
      <w:pPr>
        <w:pStyle w:val="24"/>
        <w:spacing w:before="0" w:beforeAutospacing="0" w:after="0" w:afterAutospacing="0" w:line="360" w:lineRule="auto"/>
        <w:ind w:firstLine="600" w:firstLineChars="250"/>
        <w:jc w:val="both"/>
        <w:rPr>
          <w:color w:val="auto"/>
          <w:highlight w:val="none"/>
        </w:rPr>
      </w:pPr>
      <w:r>
        <w:rPr>
          <w:color w:val="auto"/>
          <w:highlight w:val="none"/>
        </w:rPr>
        <w:t>2、</w:t>
      </w:r>
      <w:r>
        <w:rPr>
          <w:rFonts w:hint="eastAsia"/>
          <w:color w:val="auto"/>
          <w:highlight w:val="none"/>
          <w:lang w:val="en-US" w:eastAsia="zh-CN"/>
        </w:rPr>
        <w:t>招标</w:t>
      </w:r>
      <w:r>
        <w:rPr>
          <w:color w:val="auto"/>
          <w:highlight w:val="none"/>
        </w:rPr>
        <w:t>人不得向中标人提出任何不合理的要求作为签订合同的条件。</w:t>
      </w:r>
    </w:p>
    <w:p w14:paraId="449F9A4C">
      <w:pPr>
        <w:pStyle w:val="24"/>
        <w:spacing w:before="0" w:beforeAutospacing="0" w:after="0" w:afterAutospacing="0" w:line="360" w:lineRule="auto"/>
        <w:ind w:firstLine="600" w:firstLineChars="250"/>
        <w:jc w:val="both"/>
        <w:rPr>
          <w:color w:val="auto"/>
          <w:highlight w:val="none"/>
        </w:rPr>
      </w:pPr>
      <w:r>
        <w:rPr>
          <w:color w:val="auto"/>
          <w:highlight w:val="none"/>
        </w:rPr>
        <w:t>3、中标供应商无故拖延、拒签合同的,投标保证金将不予退回并取消中标资格。</w:t>
      </w:r>
    </w:p>
    <w:p w14:paraId="03E69510">
      <w:pPr>
        <w:pStyle w:val="8"/>
        <w:spacing w:line="360" w:lineRule="auto"/>
        <w:ind w:firstLine="720" w:firstLineChars="300"/>
        <w:jc w:val="both"/>
        <w:rPr>
          <w:rFonts w:asciiTheme="minorEastAsia" w:hAnsiTheme="minorEastAsia" w:eastAsiaTheme="minorEastAsia"/>
          <w:b/>
          <w:color w:val="auto"/>
          <w:sz w:val="36"/>
          <w:szCs w:val="36"/>
          <w:highlight w:val="none"/>
        </w:rPr>
      </w:pPr>
      <w:r>
        <w:rPr>
          <w:rFonts w:hint="eastAsia" w:ascii="宋体" w:hAnsi="宋体" w:eastAsia="宋体" w:cs="Times New Roman"/>
          <w:color w:val="auto"/>
          <w:kern w:val="0"/>
          <w:sz w:val="24"/>
          <w:szCs w:val="24"/>
          <w:highlight w:val="none"/>
          <w:lang w:val="en-US" w:eastAsia="zh-CN" w:bidi="ar-SA"/>
        </w:rPr>
        <w:t>4、中标供应商拒绝与招标人签订合同的，招标人可以按照评审报告推荐的中标候选人名单排序，确定下一候选人为中标供应商，也可以重新开展招标活动。同时，拒绝与招标人签订合同的供应商，由同级财政部门依法作出处理。</w:t>
      </w:r>
      <w:r>
        <w:rPr>
          <w:rFonts w:hint="eastAsia" w:ascii="宋体" w:hAnsi="宋体"/>
          <w:color w:val="auto"/>
          <w:sz w:val="24"/>
          <w:highlight w:val="none"/>
        </w:rPr>
        <w:br w:type="page"/>
      </w:r>
    </w:p>
    <w:p w14:paraId="223B31B4">
      <w:pPr>
        <w:numPr>
          <w:ilvl w:val="0"/>
          <w:numId w:val="6"/>
        </w:numPr>
        <w:spacing w:line="360" w:lineRule="auto"/>
        <w:jc w:val="center"/>
        <w:rPr>
          <w:rFonts w:asciiTheme="minorEastAsia" w:hAnsiTheme="minorEastAsia" w:eastAsiaTheme="minorEastAsia"/>
          <w:b/>
          <w:color w:val="auto"/>
          <w:sz w:val="36"/>
          <w:szCs w:val="36"/>
          <w:highlight w:val="none"/>
        </w:rPr>
      </w:pPr>
      <w:bookmarkStart w:id="51" w:name="_Toc13072_WPSOffice_Level1"/>
      <w:r>
        <w:rPr>
          <w:rFonts w:hint="eastAsia" w:asciiTheme="minorEastAsia" w:hAnsiTheme="minorEastAsia" w:eastAsiaTheme="minorEastAsia"/>
          <w:b/>
          <w:color w:val="auto"/>
          <w:sz w:val="36"/>
          <w:szCs w:val="36"/>
          <w:highlight w:val="none"/>
        </w:rPr>
        <w:t>招标需求</w:t>
      </w:r>
      <w:bookmarkEnd w:id="51"/>
    </w:p>
    <w:p w14:paraId="692093C0">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34FF8292">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28"/>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4669"/>
        <w:gridCol w:w="2071"/>
        <w:gridCol w:w="1708"/>
      </w:tblGrid>
      <w:tr w14:paraId="1EA1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43" w:type="dxa"/>
            <w:vAlign w:val="center"/>
          </w:tcPr>
          <w:p w14:paraId="50EE1B1D">
            <w:pPr>
              <w:tabs>
                <w:tab w:val="left" w:pos="8280"/>
              </w:tabs>
              <w:autoSpaceDE w:val="0"/>
              <w:autoSpaceDN w:val="0"/>
              <w:adjustRightInd w:val="0"/>
              <w:spacing w:line="360" w:lineRule="auto"/>
              <w:ind w:right="25"/>
              <w:jc w:val="center"/>
              <w:rPr>
                <w:b/>
                <w:color w:val="auto"/>
                <w:szCs w:val="21"/>
                <w:highlight w:val="none"/>
              </w:rPr>
            </w:pPr>
            <w:r>
              <w:rPr>
                <w:rFonts w:hint="eastAsia"/>
                <w:b/>
                <w:color w:val="auto"/>
                <w:szCs w:val="21"/>
                <w:highlight w:val="none"/>
              </w:rPr>
              <w:t>标段号</w:t>
            </w:r>
          </w:p>
        </w:tc>
        <w:tc>
          <w:tcPr>
            <w:tcW w:w="4669" w:type="dxa"/>
            <w:vAlign w:val="center"/>
          </w:tcPr>
          <w:p w14:paraId="2E978A00">
            <w:pPr>
              <w:tabs>
                <w:tab w:val="left" w:pos="8280"/>
              </w:tabs>
              <w:autoSpaceDE w:val="0"/>
              <w:autoSpaceDN w:val="0"/>
              <w:adjustRightInd w:val="0"/>
              <w:spacing w:line="360" w:lineRule="auto"/>
              <w:ind w:right="25" w:firstLine="105" w:firstLineChars="50"/>
              <w:jc w:val="center"/>
              <w:rPr>
                <w:b/>
                <w:color w:val="auto"/>
                <w:szCs w:val="21"/>
                <w:highlight w:val="none"/>
              </w:rPr>
            </w:pPr>
            <w:r>
              <w:rPr>
                <w:rFonts w:hint="eastAsia"/>
                <w:b/>
                <w:color w:val="auto"/>
                <w:szCs w:val="21"/>
                <w:highlight w:val="none"/>
              </w:rPr>
              <w:t>项目名称</w:t>
            </w:r>
          </w:p>
        </w:tc>
        <w:tc>
          <w:tcPr>
            <w:tcW w:w="2071" w:type="dxa"/>
            <w:vAlign w:val="center"/>
          </w:tcPr>
          <w:p w14:paraId="5365F3A4">
            <w:pPr>
              <w:tabs>
                <w:tab w:val="left" w:pos="8280"/>
              </w:tabs>
              <w:autoSpaceDE w:val="0"/>
              <w:autoSpaceDN w:val="0"/>
              <w:adjustRightInd w:val="0"/>
              <w:spacing w:line="360" w:lineRule="auto"/>
              <w:ind w:right="25"/>
              <w:jc w:val="center"/>
              <w:rPr>
                <w:b/>
                <w:color w:val="auto"/>
                <w:szCs w:val="21"/>
                <w:highlight w:val="none"/>
              </w:rPr>
            </w:pPr>
            <w:r>
              <w:rPr>
                <w:rFonts w:hint="eastAsia"/>
                <w:b/>
                <w:color w:val="auto"/>
                <w:szCs w:val="21"/>
                <w:highlight w:val="none"/>
              </w:rPr>
              <w:t>预算</w:t>
            </w:r>
          </w:p>
          <w:p w14:paraId="4D060139">
            <w:pPr>
              <w:tabs>
                <w:tab w:val="left" w:pos="8280"/>
              </w:tabs>
              <w:autoSpaceDE w:val="0"/>
              <w:autoSpaceDN w:val="0"/>
              <w:adjustRightInd w:val="0"/>
              <w:spacing w:line="360" w:lineRule="auto"/>
              <w:ind w:right="25"/>
              <w:jc w:val="center"/>
              <w:rPr>
                <w:b/>
                <w:color w:val="auto"/>
                <w:szCs w:val="21"/>
                <w:highlight w:val="none"/>
              </w:rPr>
            </w:pPr>
            <w:r>
              <w:rPr>
                <w:rFonts w:hint="eastAsia"/>
                <w:b/>
                <w:color w:val="auto"/>
                <w:szCs w:val="21"/>
                <w:highlight w:val="none"/>
              </w:rPr>
              <w:t>（元）</w:t>
            </w:r>
          </w:p>
        </w:tc>
        <w:tc>
          <w:tcPr>
            <w:tcW w:w="1708" w:type="dxa"/>
            <w:vAlign w:val="center"/>
          </w:tcPr>
          <w:p w14:paraId="4F2A9025">
            <w:pPr>
              <w:tabs>
                <w:tab w:val="left" w:pos="8280"/>
              </w:tabs>
              <w:autoSpaceDE w:val="0"/>
              <w:autoSpaceDN w:val="0"/>
              <w:adjustRightInd w:val="0"/>
              <w:spacing w:line="360" w:lineRule="auto"/>
              <w:ind w:right="25"/>
              <w:jc w:val="center"/>
              <w:rPr>
                <w:b/>
                <w:color w:val="auto"/>
                <w:szCs w:val="21"/>
                <w:highlight w:val="none"/>
              </w:rPr>
            </w:pPr>
            <w:r>
              <w:rPr>
                <w:rFonts w:hint="eastAsia"/>
                <w:b/>
                <w:color w:val="auto"/>
                <w:szCs w:val="21"/>
                <w:highlight w:val="none"/>
              </w:rPr>
              <w:t>交付地点</w:t>
            </w:r>
          </w:p>
        </w:tc>
      </w:tr>
      <w:tr w14:paraId="07D5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43" w:type="dxa"/>
            <w:vAlign w:val="center"/>
          </w:tcPr>
          <w:p w14:paraId="17B353DA">
            <w:pPr>
              <w:tabs>
                <w:tab w:val="left" w:pos="8280"/>
              </w:tabs>
              <w:autoSpaceDE w:val="0"/>
              <w:autoSpaceDN w:val="0"/>
              <w:adjustRightInd w:val="0"/>
              <w:spacing w:line="360" w:lineRule="auto"/>
              <w:ind w:right="25"/>
              <w:jc w:val="center"/>
              <w:rPr>
                <w:color w:val="auto"/>
                <w:sz w:val="22"/>
                <w:szCs w:val="22"/>
                <w:highlight w:val="none"/>
              </w:rPr>
            </w:pPr>
            <w:r>
              <w:rPr>
                <w:rFonts w:hint="eastAsia"/>
                <w:color w:val="auto"/>
                <w:sz w:val="22"/>
                <w:szCs w:val="22"/>
                <w:highlight w:val="none"/>
              </w:rPr>
              <w:t>1</w:t>
            </w:r>
          </w:p>
        </w:tc>
        <w:tc>
          <w:tcPr>
            <w:tcW w:w="4669" w:type="dxa"/>
            <w:vAlign w:val="center"/>
          </w:tcPr>
          <w:p w14:paraId="4FEBFF58">
            <w:pPr>
              <w:jc w:val="center"/>
              <w:rPr>
                <w:rFonts w:hint="eastAsia" w:eastAsia="宋体"/>
                <w:color w:val="auto"/>
                <w:sz w:val="22"/>
                <w:szCs w:val="22"/>
                <w:highlight w:val="none"/>
                <w:lang w:eastAsia="zh-CN"/>
              </w:rPr>
            </w:pPr>
            <w:r>
              <w:rPr>
                <w:rFonts w:hint="eastAsia"/>
                <w:color w:val="auto"/>
                <w:sz w:val="22"/>
                <w:szCs w:val="22"/>
                <w:highlight w:val="none"/>
                <w:lang w:eastAsia="zh-CN"/>
              </w:rPr>
              <w:t>海塘提升工程生态修复区、管理房及巡查站、三山北堤用海图斑海域论证报告编制服务项目</w:t>
            </w:r>
          </w:p>
        </w:tc>
        <w:tc>
          <w:tcPr>
            <w:tcW w:w="2071" w:type="dxa"/>
            <w:vAlign w:val="center"/>
          </w:tcPr>
          <w:p w14:paraId="2D326DD6">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60</w:t>
            </w:r>
          </w:p>
        </w:tc>
        <w:tc>
          <w:tcPr>
            <w:tcW w:w="1708" w:type="dxa"/>
            <w:vAlign w:val="center"/>
          </w:tcPr>
          <w:p w14:paraId="61688D5C">
            <w:pPr>
              <w:pStyle w:val="14"/>
              <w:spacing w:before="120" w:after="120"/>
              <w:rPr>
                <w:rFonts w:hAnsi="宋体" w:cs="宋体"/>
                <w:bCs/>
                <w:color w:val="auto"/>
                <w:sz w:val="22"/>
                <w:szCs w:val="22"/>
                <w:highlight w:val="none"/>
              </w:rPr>
            </w:pPr>
            <w:r>
              <w:rPr>
                <w:color w:val="auto"/>
                <w:sz w:val="22"/>
                <w:szCs w:val="22"/>
                <w:highlight w:val="none"/>
              </w:rPr>
              <w:t>采购人指定地点</w:t>
            </w:r>
          </w:p>
        </w:tc>
      </w:tr>
    </w:tbl>
    <w:p w14:paraId="011B9ED5">
      <w:pPr>
        <w:rPr>
          <w:color w:val="auto"/>
          <w:sz w:val="24"/>
          <w:highlight w:val="none"/>
        </w:rPr>
      </w:pPr>
    </w:p>
    <w:p w14:paraId="563B057F">
      <w:pPr>
        <w:tabs>
          <w:tab w:val="left" w:pos="8280"/>
        </w:tabs>
        <w:autoSpaceDE w:val="0"/>
        <w:autoSpaceDN w:val="0"/>
        <w:adjustRightInd w:val="0"/>
        <w:spacing w:line="360" w:lineRule="auto"/>
        <w:ind w:right="25"/>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二</w:t>
      </w:r>
      <w:r>
        <w:rPr>
          <w:rFonts w:hint="eastAsia" w:ascii="Times New Roman" w:hAnsi="Times New Roman" w:eastAsia="宋体" w:cs="Times New Roman"/>
          <w:b/>
          <w:color w:val="auto"/>
          <w:sz w:val="24"/>
          <w:highlight w:val="none"/>
        </w:rPr>
        <w:t>、招标需求</w:t>
      </w:r>
    </w:p>
    <w:p w14:paraId="763F3DE9">
      <w:pPr>
        <w:spacing w:line="360" w:lineRule="auto"/>
        <w:ind w:firstLine="482" w:firstLineChars="20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1、招标范围</w:t>
      </w:r>
    </w:p>
    <w:p w14:paraId="3CD5A7C3">
      <w:pPr>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本次工作内容为海塘提升工程生态修复区、管理房及巡查站</w:t>
      </w:r>
      <w:r>
        <w:rPr>
          <w:rFonts w:hint="eastAsia" w:cs="Times New Roman"/>
          <w:color w:val="auto"/>
          <w:sz w:val="24"/>
          <w:szCs w:val="24"/>
          <w:highlight w:val="none"/>
          <w:lang w:eastAsia="zh-CN"/>
        </w:rPr>
        <w:t>、三山北堤用海图斑</w:t>
      </w:r>
      <w:r>
        <w:rPr>
          <w:rFonts w:hint="eastAsia" w:ascii="Times New Roman" w:hAnsi="Times New Roman" w:cs="Times New Roman"/>
          <w:color w:val="auto"/>
          <w:sz w:val="24"/>
          <w:szCs w:val="24"/>
          <w:highlight w:val="none"/>
        </w:rPr>
        <w:t>等用海报批所需的海域论证报告编制服务。根据《浙江省海域使用管理条例》及《海域使用论证技术导则》等相关法律法规和技术规范的要求，在项目周边海域现场踏勘调研及项目资料收集分析的基础上，根据项目用海规模及所在海域特征确定论证等级，开展海塘提升工程生态修复区、管理房及巡查站</w:t>
      </w:r>
      <w:r>
        <w:rPr>
          <w:rFonts w:hint="eastAsia" w:cs="Times New Roman"/>
          <w:color w:val="auto"/>
          <w:sz w:val="24"/>
          <w:szCs w:val="24"/>
          <w:highlight w:val="none"/>
          <w:lang w:eastAsia="zh-CN"/>
        </w:rPr>
        <w:t>、三山北堤用海图斑</w:t>
      </w:r>
      <w:r>
        <w:rPr>
          <w:rFonts w:hint="eastAsia" w:ascii="Times New Roman" w:hAnsi="Times New Roman" w:cs="Times New Roman"/>
          <w:color w:val="auto"/>
          <w:sz w:val="24"/>
          <w:szCs w:val="24"/>
          <w:highlight w:val="none"/>
        </w:rPr>
        <w:t>等5个用海项目的海域使用论证工作，并编制上述5个用海项目的海域使用论证报告，通过主管部门的技术审查，提交最终成果文件。具体工作内容如下：</w:t>
      </w:r>
    </w:p>
    <w:p w14:paraId="3F4F1C6C">
      <w:pPr>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（1）海域论证所需的基础调查工作</w:t>
      </w:r>
    </w:p>
    <w:p w14:paraId="16D528A7">
      <w:pPr>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按照海域使用论证技术导则等相关法律法规、技术导则要求，结合项目所在区域概况及相关资料，对项目周边区域环境现状进行现状调查和资料收集；按照《海域使用论证技术导则》等要求，海域使用论证工作应充分收集和调查项目所在地的社会经济状况、自然资源、环境和生态现状（海洋水文、地形地貌冲淤、水质、沉积物、海洋生物质量等）、海域开发利用现状（海域使用现状、权属现状）、海洋功能区划、生态红线保护划分方案、其他相关规划（国家产业规划及政策、海洋经济发展规划、海洋环境保护规划、城乡规划等）、基础地理信息数据（地形图、遥感影像图、海岸线等）等资料。</w:t>
      </w:r>
    </w:p>
    <w:p w14:paraId="156FD920">
      <w:pPr>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（2）海域使用论证报告</w:t>
      </w:r>
    </w:p>
    <w:p w14:paraId="6E6F0F10">
      <w:pPr>
        <w:spacing w:line="360" w:lineRule="auto"/>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海域使用论证主要工作内容和目的为：依据《中华人民共和国海域使用管理法》、《海域使用权管理规定》、《浙江省海域使用管理条例》和《海域使用论证技术导则》等国家及行业法规、规范要求，根据项目位置、用海类型和用海规模，判定论证等级、确定论证范围和论证重点；按判定的论证等级调查收集与论证等级相符的海洋生态环境、海洋水文动力环境、渔业资源环境等现状资料；在详细了解和勘察项目所在区域海洋资源生态及其开发利用现状的基础上，科学客观地分析评价项目建设和用海的必要性；根据项目特点和海洋环境现状资料进行资源环境影响分析；根据项目所在位置，确定周边的用海权属情况，开展海域开发利用协调性分析；进行项目用海与海洋功能区划和相关规划的符合性分析；进行项目用海选址、方式、面积、期限的合理性分析；根据用海类型和用海规模对用海面积进行量算，确定用海面积，绘制宗海图；进行生态用海建设方案分析，提出海域使用对策措施；最终做出用海可行性论证结论，并提出项目用海的对策和建议。在上述工作基础上，最终编制形成海域使用论证报告，为自然资源行政主管部门进行海域使用确权提供技术支持。</w:t>
      </w:r>
    </w:p>
    <w:p w14:paraId="3181388B">
      <w:pPr>
        <w:spacing w:line="360" w:lineRule="auto"/>
        <w:ind w:firstLine="482" w:firstLineChars="20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、技术要求</w:t>
      </w:r>
    </w:p>
    <w:p w14:paraId="00D2C396">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项目资料以及项目所在区域概况及海洋功能区划要求、环境敏感程度，合理确定海域使用论证工作内容。在研究有关技术文件和项目基础资料，收集历史和现状资料的基础上，开展项目用海初步分析，确定论证等级、论证范围和论证内容，筛选和判定论证重点等，制定海域使用论证工作方案。进一步开展现场勘查，了解项目所在海域的地形地貌特征、海岸线位置和开发利用现状；走访相关部门和用海单位、个人，了解周边海域确权发证与实际使用情况。根据收集的相关资料情况分析确定现状调查方案。依据所获得的数据、资料，进行项目用海必要性分析、项目用海影响分析、海域开发协调分析、项目用海合理性分析和生态用海综合论证，提出海域使用论证结论和建议。</w:t>
      </w:r>
    </w:p>
    <w:p w14:paraId="0068ADF7">
      <w:pPr>
        <w:spacing w:line="360" w:lineRule="auto"/>
        <w:ind w:firstLine="482" w:firstLineChars="20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eastAsia" w:ascii="Times New Roman" w:hAnsi="Times New Roman" w:cs="Times New Roman"/>
          <w:b/>
          <w:color w:val="auto"/>
          <w:sz w:val="24"/>
          <w:szCs w:val="24"/>
          <w:highlight w:val="none"/>
        </w:rPr>
        <w:t>、技术规范</w:t>
      </w:r>
    </w:p>
    <w:p w14:paraId="166B60C5">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（1）《海域使用论证技术导则》（GB/T 42361-2023）；</w:t>
      </w:r>
    </w:p>
    <w:p w14:paraId="4218E048">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（2）《海域使用分类》（HY/T123-2009）；</w:t>
      </w:r>
    </w:p>
    <w:p w14:paraId="39CA53FA">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（3）《国土空间调查、规划、用途管制用地用海分类指南》（自然资办发〔2020〕51号）；</w:t>
      </w:r>
    </w:p>
    <w:p w14:paraId="3F6BD62E">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（4）《海水水质标准》（GB3097-1997）；</w:t>
      </w:r>
    </w:p>
    <w:p w14:paraId="1EA4CA73">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（5）《海洋沉积物质量》（GB18668-2002）；</w:t>
      </w:r>
    </w:p>
    <w:p w14:paraId="4A998C86">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（6）《海洋生物质量》（GB18421-2001）；</w:t>
      </w:r>
    </w:p>
    <w:p w14:paraId="61FCE2B6">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（7）《建设项目对海洋生物资源影响评价技术规程》（SC/T9110-2007）；</w:t>
      </w:r>
    </w:p>
    <w:p w14:paraId="6B23C627">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（8）《近岸海域环境监测技术规范》（HJ442-2008）；</w:t>
      </w:r>
    </w:p>
    <w:p w14:paraId="502506FA">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（9）《海洋监测规范》（GB17378-2007）；</w:t>
      </w:r>
    </w:p>
    <w:p w14:paraId="00FA5EC2">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（10）《海洋调查规范》（GB/T12763-2007）；</w:t>
      </w:r>
    </w:p>
    <w:p w14:paraId="7A3590C9">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（11）《海籍调查规范》（HY/T124-2009）；</w:t>
      </w:r>
    </w:p>
    <w:p w14:paraId="3CA727C1">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（12）《海域使用面积测量规范》（GB/HY070-2003）；</w:t>
      </w:r>
    </w:p>
    <w:p w14:paraId="515404F6">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（13）《宗海图编绘技术规范》（HY/T251-2018）。</w:t>
      </w:r>
    </w:p>
    <w:p w14:paraId="0EF08E5D">
      <w:pPr>
        <w:spacing w:line="360" w:lineRule="auto"/>
        <w:ind w:firstLine="482" w:firstLineChars="20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4</w:t>
      </w:r>
      <w:r>
        <w:rPr>
          <w:rFonts w:hint="eastAsia" w:ascii="Times New Roman" w:hAnsi="Times New Roman" w:cs="Times New Roman"/>
          <w:b/>
          <w:color w:val="auto"/>
          <w:sz w:val="24"/>
          <w:szCs w:val="24"/>
          <w:highlight w:val="none"/>
        </w:rPr>
        <w:t>、项目成果及质量要求</w:t>
      </w:r>
    </w:p>
    <w:p w14:paraId="1CD80E63">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本项目成果文件为《海域使用论证报告书》。</w:t>
      </w:r>
    </w:p>
    <w:p w14:paraId="713E5D46">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《海域使用论证报告书》质量须满足《海域使用论证技术导则》等相关技术规范、导则要求，并通过主管部门组织的专家评审。</w:t>
      </w:r>
    </w:p>
    <w:p w14:paraId="45D85835">
      <w:pPr>
        <w:spacing w:line="360" w:lineRule="auto"/>
        <w:ind w:firstLine="482" w:firstLineChars="20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5</w:t>
      </w:r>
      <w:r>
        <w:rPr>
          <w:rFonts w:hint="eastAsia" w:ascii="Times New Roman" w:hAnsi="Times New Roman" w:cs="Times New Roman"/>
          <w:b/>
          <w:color w:val="auto"/>
          <w:sz w:val="24"/>
          <w:szCs w:val="24"/>
          <w:highlight w:val="none"/>
        </w:rPr>
        <w:t>、项目服务期</w:t>
      </w:r>
    </w:p>
    <w:p w14:paraId="4241ADC2">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合同签订后</w:t>
      </w:r>
      <w:r>
        <w:rPr>
          <w:rFonts w:hint="eastAsia" w:cs="Times New Roman"/>
          <w:color w:val="auto"/>
          <w:sz w:val="24"/>
          <w:szCs w:val="24"/>
          <w:highlight w:val="none"/>
          <w:lang w:val="en-US" w:eastAsia="zh-CN"/>
        </w:rPr>
        <w:t>根据招标人所需报批项目</w:t>
      </w:r>
      <w:r>
        <w:rPr>
          <w:rFonts w:hint="eastAsia" w:cs="Times New Roman"/>
          <w:color w:val="auto"/>
          <w:sz w:val="24"/>
          <w:szCs w:val="24"/>
          <w:highlight w:val="none"/>
          <w:lang w:eastAsia="zh-CN"/>
        </w:rPr>
        <w:t>9</w:t>
      </w:r>
      <w:r>
        <w:rPr>
          <w:rFonts w:hint="eastAsia" w:cs="Times New Roman"/>
          <w:color w:val="auto"/>
          <w:sz w:val="24"/>
          <w:szCs w:val="24"/>
          <w:highlight w:val="none"/>
          <w:lang w:val="en-US" w:eastAsia="zh-CN"/>
        </w:rPr>
        <w:t>0</w:t>
      </w:r>
      <w:r>
        <w:rPr>
          <w:rFonts w:hint="eastAsia" w:ascii="Times New Roman" w:hAnsi="Times New Roman" w:cs="Times New Roman"/>
          <w:color w:val="auto"/>
          <w:sz w:val="24"/>
          <w:szCs w:val="24"/>
          <w:highlight w:val="none"/>
        </w:rPr>
        <w:t>天内提交项目成果文件。</w:t>
      </w:r>
    </w:p>
    <w:p w14:paraId="215143DE">
      <w:pPr>
        <w:spacing w:line="360" w:lineRule="auto"/>
        <w:ind w:firstLine="480" w:firstLineChars="200"/>
        <w:rPr>
          <w:rFonts w:ascii="宋体" w:hAnsi="宋体" w:cs="宋体"/>
          <w:color w:val="auto"/>
          <w:sz w:val="24"/>
          <w:highlight w:val="none"/>
        </w:rPr>
      </w:pPr>
    </w:p>
    <w:p w14:paraId="52217043">
      <w:pPr>
        <w:snapToGrid w:val="0"/>
        <w:spacing w:line="360" w:lineRule="auto"/>
        <w:ind w:firstLine="354" w:firstLineChars="169"/>
        <w:jc w:val="left"/>
        <w:rPr>
          <w:color w:val="auto"/>
          <w:highlight w:val="none"/>
        </w:rPr>
      </w:pPr>
    </w:p>
    <w:p w14:paraId="05F289FB">
      <w:pPr>
        <w:pStyle w:val="35"/>
        <w:ind w:firstLine="480"/>
        <w:rPr>
          <w:color w:val="auto"/>
          <w:highlight w:val="none"/>
        </w:rPr>
      </w:pPr>
    </w:p>
    <w:p w14:paraId="2D6453A3">
      <w:pPr>
        <w:pStyle w:val="35"/>
        <w:ind w:firstLine="480"/>
        <w:rPr>
          <w:color w:val="auto"/>
          <w:highlight w:val="none"/>
        </w:rPr>
      </w:pPr>
    </w:p>
    <w:p w14:paraId="3E51A1A5">
      <w:pPr>
        <w:pStyle w:val="35"/>
        <w:ind w:firstLine="480"/>
        <w:rPr>
          <w:color w:val="auto"/>
          <w:highlight w:val="none"/>
        </w:rPr>
      </w:pPr>
    </w:p>
    <w:p w14:paraId="716A5743">
      <w:pPr>
        <w:pStyle w:val="35"/>
        <w:ind w:firstLine="480"/>
        <w:rPr>
          <w:color w:val="auto"/>
          <w:highlight w:val="none"/>
        </w:rPr>
      </w:pPr>
    </w:p>
    <w:p w14:paraId="26DE218B">
      <w:pPr>
        <w:pStyle w:val="35"/>
        <w:ind w:firstLine="0" w:firstLineChars="0"/>
        <w:rPr>
          <w:color w:val="auto"/>
          <w:highlight w:val="none"/>
        </w:rPr>
      </w:pPr>
    </w:p>
    <w:p w14:paraId="4C4D1005">
      <w:pPr>
        <w:pStyle w:val="35"/>
        <w:ind w:firstLine="0" w:firstLineChars="0"/>
        <w:rPr>
          <w:color w:val="auto"/>
          <w:highlight w:val="none"/>
        </w:rPr>
      </w:pPr>
    </w:p>
    <w:p w14:paraId="1002AA30">
      <w:pPr>
        <w:pStyle w:val="35"/>
        <w:ind w:firstLine="0" w:firstLineChars="0"/>
        <w:rPr>
          <w:color w:val="auto"/>
          <w:highlight w:val="none"/>
        </w:rPr>
      </w:pPr>
    </w:p>
    <w:p w14:paraId="46B2B579">
      <w:pPr>
        <w:pStyle w:val="35"/>
        <w:ind w:firstLine="0" w:firstLineChars="0"/>
        <w:rPr>
          <w:color w:val="auto"/>
          <w:highlight w:val="none"/>
        </w:rPr>
      </w:pPr>
    </w:p>
    <w:p w14:paraId="66E40EA8">
      <w:pPr>
        <w:pStyle w:val="35"/>
        <w:ind w:firstLine="0" w:firstLineChars="0"/>
        <w:rPr>
          <w:color w:val="auto"/>
          <w:highlight w:val="none"/>
        </w:rPr>
      </w:pPr>
    </w:p>
    <w:p w14:paraId="6265D420">
      <w:pPr>
        <w:pStyle w:val="35"/>
        <w:ind w:firstLine="0" w:firstLineChars="0"/>
        <w:rPr>
          <w:color w:val="auto"/>
          <w:highlight w:val="none"/>
        </w:rPr>
      </w:pPr>
    </w:p>
    <w:p w14:paraId="59250C7B">
      <w:pPr>
        <w:pStyle w:val="35"/>
        <w:ind w:firstLine="0" w:firstLineChars="0"/>
        <w:rPr>
          <w:color w:val="auto"/>
          <w:highlight w:val="none"/>
        </w:rPr>
      </w:pPr>
    </w:p>
    <w:p w14:paraId="154DD310">
      <w:pPr>
        <w:pStyle w:val="35"/>
        <w:ind w:firstLine="0" w:firstLineChars="0"/>
        <w:rPr>
          <w:color w:val="auto"/>
          <w:highlight w:val="none"/>
        </w:rPr>
      </w:pPr>
    </w:p>
    <w:p w14:paraId="69A67E52">
      <w:pPr>
        <w:pStyle w:val="35"/>
        <w:ind w:firstLine="0" w:firstLineChars="0"/>
        <w:rPr>
          <w:color w:val="auto"/>
          <w:highlight w:val="none"/>
        </w:rPr>
      </w:pPr>
    </w:p>
    <w:p w14:paraId="05861B31">
      <w:pPr>
        <w:pStyle w:val="35"/>
        <w:ind w:firstLine="0" w:firstLineChars="0"/>
        <w:rPr>
          <w:color w:val="auto"/>
          <w:highlight w:val="none"/>
        </w:rPr>
      </w:pPr>
    </w:p>
    <w:p w14:paraId="49202F24">
      <w:pPr>
        <w:pStyle w:val="35"/>
        <w:ind w:firstLine="0" w:firstLineChars="0"/>
        <w:rPr>
          <w:color w:val="auto"/>
          <w:highlight w:val="none"/>
        </w:rPr>
      </w:pPr>
    </w:p>
    <w:p w14:paraId="11F60550">
      <w:pPr>
        <w:pStyle w:val="35"/>
        <w:ind w:firstLine="0" w:firstLineChars="0"/>
        <w:rPr>
          <w:color w:val="auto"/>
          <w:highlight w:val="none"/>
        </w:rPr>
      </w:pPr>
    </w:p>
    <w:p w14:paraId="0AF8E5D3">
      <w:pPr>
        <w:pStyle w:val="35"/>
        <w:ind w:firstLine="0" w:firstLineChars="0"/>
        <w:rPr>
          <w:color w:val="auto"/>
          <w:highlight w:val="none"/>
        </w:rPr>
      </w:pPr>
    </w:p>
    <w:p w14:paraId="34FB3B76">
      <w:pPr>
        <w:pStyle w:val="35"/>
        <w:ind w:firstLine="0" w:firstLineChars="0"/>
        <w:rPr>
          <w:color w:val="auto"/>
          <w:highlight w:val="none"/>
        </w:rPr>
      </w:pPr>
    </w:p>
    <w:p w14:paraId="14592EA0">
      <w:pPr>
        <w:pStyle w:val="35"/>
        <w:ind w:firstLine="0" w:firstLineChars="0"/>
        <w:rPr>
          <w:color w:val="auto"/>
          <w:highlight w:val="none"/>
        </w:rPr>
      </w:pPr>
    </w:p>
    <w:p w14:paraId="51A221CC">
      <w:pPr>
        <w:pStyle w:val="35"/>
        <w:ind w:firstLine="0" w:firstLineChars="0"/>
        <w:rPr>
          <w:color w:val="auto"/>
          <w:highlight w:val="none"/>
        </w:rPr>
      </w:pPr>
    </w:p>
    <w:p w14:paraId="1E2BB926">
      <w:pPr>
        <w:pStyle w:val="35"/>
        <w:ind w:firstLine="0" w:firstLineChars="0"/>
        <w:rPr>
          <w:color w:val="auto"/>
          <w:highlight w:val="none"/>
        </w:rPr>
      </w:pPr>
    </w:p>
    <w:p w14:paraId="57AB153F">
      <w:pPr>
        <w:pStyle w:val="35"/>
        <w:ind w:firstLine="0" w:firstLineChars="0"/>
        <w:rPr>
          <w:color w:val="auto"/>
          <w:highlight w:val="none"/>
        </w:rPr>
      </w:pPr>
    </w:p>
    <w:p w14:paraId="73F06E6C">
      <w:pPr>
        <w:pStyle w:val="35"/>
        <w:ind w:firstLine="0" w:firstLineChars="0"/>
        <w:rPr>
          <w:color w:val="auto"/>
          <w:highlight w:val="none"/>
        </w:rPr>
      </w:pPr>
    </w:p>
    <w:p w14:paraId="110504C3">
      <w:pPr>
        <w:pStyle w:val="35"/>
        <w:ind w:firstLine="0" w:firstLineChars="0"/>
        <w:rPr>
          <w:color w:val="auto"/>
          <w:highlight w:val="none"/>
        </w:rPr>
      </w:pPr>
    </w:p>
    <w:p w14:paraId="778E9910">
      <w:pPr>
        <w:pStyle w:val="35"/>
        <w:ind w:firstLine="0" w:firstLineChars="0"/>
        <w:rPr>
          <w:color w:val="auto"/>
          <w:highlight w:val="none"/>
        </w:rPr>
      </w:pPr>
    </w:p>
    <w:p w14:paraId="0AF1D22C">
      <w:pPr>
        <w:pStyle w:val="35"/>
        <w:ind w:firstLine="0" w:firstLineChars="0"/>
        <w:rPr>
          <w:color w:val="auto"/>
          <w:highlight w:val="none"/>
        </w:rPr>
      </w:pPr>
    </w:p>
    <w:p w14:paraId="35279C58">
      <w:pPr>
        <w:pStyle w:val="35"/>
        <w:ind w:firstLine="0" w:firstLineChars="0"/>
        <w:rPr>
          <w:color w:val="auto"/>
          <w:highlight w:val="none"/>
        </w:rPr>
      </w:pPr>
    </w:p>
    <w:p w14:paraId="004D12E2">
      <w:pPr>
        <w:pStyle w:val="35"/>
        <w:ind w:firstLine="0" w:firstLineChars="0"/>
        <w:rPr>
          <w:color w:val="auto"/>
          <w:highlight w:val="none"/>
        </w:rPr>
      </w:pPr>
    </w:p>
    <w:p w14:paraId="3B11D5C7">
      <w:pPr>
        <w:pStyle w:val="35"/>
        <w:ind w:firstLine="0" w:firstLineChars="0"/>
        <w:rPr>
          <w:color w:val="auto"/>
          <w:highlight w:val="none"/>
        </w:rPr>
      </w:pPr>
    </w:p>
    <w:p w14:paraId="55C3D423">
      <w:pPr>
        <w:pStyle w:val="35"/>
        <w:ind w:firstLine="0" w:firstLineChars="0"/>
        <w:rPr>
          <w:color w:val="auto"/>
          <w:highlight w:val="none"/>
        </w:rPr>
      </w:pPr>
    </w:p>
    <w:p w14:paraId="63D52CE6">
      <w:pPr>
        <w:numPr>
          <w:ilvl w:val="0"/>
          <w:numId w:val="6"/>
        </w:numPr>
        <w:spacing w:line="360" w:lineRule="auto"/>
        <w:jc w:val="center"/>
        <w:rPr>
          <w:rFonts w:asciiTheme="minorEastAsia" w:hAnsiTheme="minorEastAsia" w:eastAsiaTheme="minorEastAsia"/>
          <w:b/>
          <w:color w:val="auto"/>
          <w:sz w:val="36"/>
          <w:szCs w:val="36"/>
          <w:highlight w:val="none"/>
        </w:rPr>
      </w:pPr>
      <w:bookmarkStart w:id="52" w:name="_Toc31173_WPSOffice_Level1"/>
      <w:r>
        <w:rPr>
          <w:rFonts w:hint="eastAsia" w:asciiTheme="minorEastAsia" w:hAnsiTheme="minorEastAsia" w:eastAsiaTheme="minorEastAsia"/>
          <w:b/>
          <w:color w:val="auto"/>
          <w:sz w:val="36"/>
          <w:szCs w:val="36"/>
          <w:highlight w:val="none"/>
        </w:rPr>
        <w:t>评标</w:t>
      </w:r>
      <w:bookmarkEnd w:id="52"/>
    </w:p>
    <w:p w14:paraId="51B555CD">
      <w:pPr>
        <w:spacing w:before="120" w:beforeLines="50" w:after="120" w:afterLines="50" w:line="440" w:lineRule="exact"/>
        <w:ind w:firstLine="420"/>
        <w:rPr>
          <w:rFonts w:ascii="宋体" w:hAnsi="宋体" w:cs="宋体"/>
          <w:color w:val="auto"/>
          <w:sz w:val="24"/>
          <w:highlight w:val="none"/>
        </w:rPr>
      </w:pPr>
      <w:r>
        <w:rPr>
          <w:rFonts w:hint="eastAsia" w:ascii="宋体" w:hAnsi="宋体" w:cs="宋体"/>
          <w:color w:val="auto"/>
          <w:sz w:val="24"/>
          <w:highlight w:val="none"/>
          <w:lang w:bidi="ar"/>
        </w:rPr>
        <w:t>为公正、公平、科学地选择中标人，参照有关法律法规的规定，并结合本项目的实际，制定本办法。</w:t>
      </w:r>
    </w:p>
    <w:p w14:paraId="50697448">
      <w:pPr>
        <w:spacing w:before="120" w:beforeLines="50" w:after="120" w:afterLines="50" w:line="440" w:lineRule="exact"/>
        <w:ind w:firstLine="420"/>
        <w:rPr>
          <w:rFonts w:ascii="宋体" w:hAnsi="宋体" w:cs="宋体"/>
          <w:bCs/>
          <w:color w:val="auto"/>
          <w:sz w:val="24"/>
          <w:szCs w:val="48"/>
          <w:highlight w:val="none"/>
        </w:rPr>
      </w:pPr>
      <w:r>
        <w:rPr>
          <w:rFonts w:hint="eastAsia" w:ascii="宋体" w:hAnsi="宋体" w:cs="宋体"/>
          <w:color w:val="auto"/>
          <w:sz w:val="24"/>
          <w:highlight w:val="none"/>
          <w:lang w:bidi="ar"/>
        </w:rPr>
        <w:t>本办法适用于</w:t>
      </w:r>
      <w:r>
        <w:rPr>
          <w:rFonts w:hint="eastAsia" w:cs="宋体"/>
          <w:b/>
          <w:color w:val="auto"/>
          <w:sz w:val="24"/>
          <w:highlight w:val="none"/>
          <w:lang w:bidi="ar"/>
        </w:rPr>
        <w:t>本项目</w:t>
      </w:r>
      <w:r>
        <w:rPr>
          <w:rFonts w:hint="eastAsia" w:ascii="宋体" w:hAnsi="宋体" w:cs="宋体"/>
          <w:bCs/>
          <w:color w:val="auto"/>
          <w:sz w:val="24"/>
          <w:szCs w:val="48"/>
          <w:highlight w:val="none"/>
          <w:lang w:bidi="ar"/>
        </w:rPr>
        <w:t>的评标。</w:t>
      </w:r>
    </w:p>
    <w:p w14:paraId="5AC2551A">
      <w:pPr>
        <w:spacing w:before="120" w:beforeLines="50" w:after="120" w:afterLines="50" w:line="360" w:lineRule="auto"/>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5ADD92A8">
      <w:pPr>
        <w:spacing w:before="120" w:beforeLines="50" w:after="120" w:afterLines="50" w:line="4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lang w:bidi="ar"/>
        </w:rPr>
        <w:t>本次评标采用综合评分法，总分为100分，其中</w:t>
      </w:r>
      <w:r>
        <w:rPr>
          <w:rFonts w:hint="eastAsia" w:ascii="宋体" w:hAnsi="宋体" w:cs="宋体"/>
          <w:color w:val="auto"/>
          <w:sz w:val="24"/>
          <w:highlight w:val="none"/>
          <w:lang w:val="en-US" w:eastAsia="zh-CN" w:bidi="ar"/>
        </w:rPr>
        <w:t>资信技术分80分、商务分20分</w:t>
      </w:r>
      <w:r>
        <w:rPr>
          <w:rFonts w:hint="eastAsia" w:ascii="宋体" w:hAnsi="宋体" w:cs="宋体"/>
          <w:color w:val="auto"/>
          <w:sz w:val="24"/>
          <w:highlight w:val="none"/>
          <w:lang w:bidi="ar"/>
        </w:rPr>
        <w:t>。</w:t>
      </w:r>
      <w:r>
        <w:rPr>
          <w:rFonts w:hint="eastAsia" w:ascii="宋体" w:hAnsi="宋体" w:cs="宋体"/>
          <w:bCs/>
          <w:color w:val="auto"/>
          <w:sz w:val="24"/>
          <w:highlight w:val="none"/>
          <w:lang w:bidi="ar"/>
        </w:rPr>
        <w:t>评分过程中采用四舍五入法，并保留小数2位。</w:t>
      </w:r>
    </w:p>
    <w:p w14:paraId="4BAF1DFD">
      <w:pPr>
        <w:spacing w:line="360" w:lineRule="auto"/>
        <w:ind w:firstLine="241" w:firstLineChars="100"/>
        <w:rPr>
          <w:rFonts w:ascii="宋体" w:hAnsi="宋体"/>
          <w:b/>
          <w:color w:val="auto"/>
          <w:sz w:val="24"/>
          <w:highlight w:val="none"/>
          <w:lang w:bidi="ar"/>
        </w:rPr>
      </w:pPr>
      <w:r>
        <w:rPr>
          <w:rFonts w:hint="eastAsia" w:ascii="宋体" w:hAnsi="宋体"/>
          <w:b/>
          <w:color w:val="auto"/>
          <w:sz w:val="24"/>
          <w:highlight w:val="none"/>
          <w:lang w:bidi="ar"/>
        </w:rPr>
        <w:t>（一）资格审查</w:t>
      </w:r>
    </w:p>
    <w:p w14:paraId="56A29F12">
      <w:pPr>
        <w:spacing w:line="360" w:lineRule="auto"/>
        <w:ind w:firstLine="480" w:firstLineChars="200"/>
        <w:rPr>
          <w:rFonts w:ascii="宋体" w:hAnsi="宋体"/>
          <w:b/>
          <w:color w:val="auto"/>
          <w:sz w:val="24"/>
          <w:highlight w:val="none"/>
          <w:lang w:bidi="ar"/>
        </w:rPr>
      </w:pPr>
      <w:r>
        <w:rPr>
          <w:color w:val="auto"/>
          <w:sz w:val="24"/>
          <w:highlight w:val="none"/>
        </w:rPr>
        <w:t>评标委员会按照招标文件载明的资格后审条款，对投标人</w:t>
      </w:r>
      <w:r>
        <w:rPr>
          <w:rFonts w:hint="eastAsia"/>
          <w:color w:val="auto"/>
          <w:sz w:val="24"/>
          <w:highlight w:val="none"/>
        </w:rPr>
        <w:t>资格</w:t>
      </w:r>
      <w:r>
        <w:rPr>
          <w:color w:val="auto"/>
          <w:sz w:val="24"/>
          <w:highlight w:val="none"/>
        </w:rPr>
        <w:t>等进行审查，凡不符合资格后审要求的，以无效标处理，不再进入下一阶段评审。</w:t>
      </w:r>
    </w:p>
    <w:p w14:paraId="1338C565">
      <w:pPr>
        <w:pStyle w:val="24"/>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hint="eastAsia" w:ascii="宋体" w:hAnsi="宋体"/>
          <w:b/>
          <w:color w:val="auto"/>
          <w:sz w:val="24"/>
          <w:highlight w:val="none"/>
          <w:lang w:bidi="ar"/>
        </w:rPr>
        <w:t>（二）</w:t>
      </w:r>
      <w:r>
        <w:rPr>
          <w:rFonts w:hint="eastAsia" w:asciiTheme="minorEastAsia" w:hAnsiTheme="minorEastAsia" w:eastAsiaTheme="minorEastAsia"/>
          <w:b/>
          <w:bCs/>
          <w:color w:val="auto"/>
          <w:highlight w:val="none"/>
          <w:lang w:val="en-US" w:eastAsia="zh-CN"/>
        </w:rPr>
        <w:t>资信</w:t>
      </w:r>
      <w:r>
        <w:rPr>
          <w:rFonts w:ascii="Arial" w:hAnsi="Arial" w:cs="Arial" w:eastAsiaTheme="minorEastAsia"/>
          <w:b/>
          <w:bCs/>
          <w:color w:val="auto"/>
          <w:highlight w:val="none"/>
        </w:rPr>
        <w:t>技术标及商务标评审</w:t>
      </w:r>
    </w:p>
    <w:p w14:paraId="60AD9768">
      <w:pPr>
        <w:autoSpaceDE w:val="0"/>
        <w:autoSpaceDN w:val="0"/>
        <w:adjustRightInd w:val="0"/>
        <w:spacing w:line="360" w:lineRule="auto"/>
        <w:ind w:right="85" w:firstLine="240" w:firstLineChars="100"/>
        <w:rPr>
          <w:rFonts w:ascii="宋体"/>
          <w:b/>
          <w:bCs/>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14:paraId="12E7D163">
      <w:pPr>
        <w:autoSpaceDE w:val="0"/>
        <w:autoSpaceDN w:val="0"/>
        <w:adjustRightInd w:val="0"/>
        <w:spacing w:line="360" w:lineRule="auto"/>
        <w:ind w:right="85" w:firstLine="241" w:firstLineChars="100"/>
        <w:rPr>
          <w:rFonts w:ascii="宋体"/>
          <w:b/>
          <w:bCs/>
          <w:color w:val="auto"/>
          <w:sz w:val="24"/>
          <w:highlight w:val="none"/>
        </w:rPr>
      </w:pPr>
      <w:r>
        <w:rPr>
          <w:rFonts w:hint="eastAsia" w:ascii="宋体"/>
          <w:b/>
          <w:bCs/>
          <w:color w:val="auto"/>
          <w:sz w:val="24"/>
          <w:highlight w:val="none"/>
        </w:rPr>
        <w:t>1、评分标准</w:t>
      </w:r>
    </w:p>
    <w:tbl>
      <w:tblPr>
        <w:tblStyle w:val="28"/>
        <w:tblW w:w="522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44"/>
        <w:gridCol w:w="1394"/>
        <w:gridCol w:w="798"/>
        <w:gridCol w:w="6777"/>
      </w:tblGrid>
      <w:tr w14:paraId="0C53C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335" w:type="pct"/>
            <w:vAlign w:val="center"/>
          </w:tcPr>
          <w:p w14:paraId="15FFCCA1">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序号</w:t>
            </w:r>
          </w:p>
        </w:tc>
        <w:tc>
          <w:tcPr>
            <w:tcW w:w="725" w:type="pct"/>
            <w:tcBorders>
              <w:bottom w:val="single" w:color="auto" w:sz="4" w:space="0"/>
            </w:tcBorders>
            <w:vAlign w:val="center"/>
          </w:tcPr>
          <w:p w14:paraId="3811A676">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评定项目</w:t>
            </w:r>
          </w:p>
        </w:tc>
        <w:tc>
          <w:tcPr>
            <w:tcW w:w="415" w:type="pct"/>
            <w:vAlign w:val="center"/>
          </w:tcPr>
          <w:p w14:paraId="31B3B7AC">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分值</w:t>
            </w:r>
          </w:p>
          <w:p w14:paraId="656E4FE6">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范围</w:t>
            </w:r>
          </w:p>
        </w:tc>
        <w:tc>
          <w:tcPr>
            <w:tcW w:w="3523" w:type="pct"/>
            <w:tcBorders>
              <w:bottom w:val="single" w:color="auto" w:sz="4" w:space="0"/>
            </w:tcBorders>
            <w:vAlign w:val="center"/>
          </w:tcPr>
          <w:p w14:paraId="3D896013">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14:paraId="70CD6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96" w:hRule="atLeast"/>
          <w:jc w:val="center"/>
        </w:trPr>
        <w:tc>
          <w:tcPr>
            <w:tcW w:w="335" w:type="pct"/>
            <w:vAlign w:val="center"/>
          </w:tcPr>
          <w:p w14:paraId="2BF286D4">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0431B692">
            <w:pPr>
              <w:rPr>
                <w:rFonts w:ascii="Times New Roman" w:hAnsi="Times New Roman" w:cs="Times New Roman"/>
                <w:bCs/>
                <w:color w:val="auto"/>
                <w:kern w:val="28"/>
                <w:sz w:val="24"/>
                <w:szCs w:val="24"/>
                <w:highlight w:val="none"/>
              </w:rPr>
            </w:pPr>
            <w:r>
              <w:rPr>
                <w:rFonts w:ascii="Times New Roman" w:hAnsi="Times New Roman" w:cs="Times New Roman"/>
                <w:bCs/>
                <w:color w:val="auto"/>
                <w:kern w:val="28"/>
                <w:sz w:val="24"/>
                <w:szCs w:val="24"/>
                <w:highlight w:val="none"/>
              </w:rPr>
              <w:t>供应商证书情况</w:t>
            </w:r>
          </w:p>
        </w:tc>
        <w:tc>
          <w:tcPr>
            <w:tcW w:w="415" w:type="pct"/>
            <w:tcBorders>
              <w:bottom w:val="single" w:color="auto" w:sz="4" w:space="0"/>
            </w:tcBorders>
            <w:vAlign w:val="center"/>
          </w:tcPr>
          <w:p w14:paraId="26BAEDA0">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6</w:t>
            </w:r>
            <w:r>
              <w:rPr>
                <w:rFonts w:ascii="Times New Roman" w:hAnsi="Times New Roman" w:cs="Times New Roman"/>
                <w:color w:val="auto"/>
                <w:sz w:val="24"/>
                <w:szCs w:val="24"/>
                <w:highlight w:val="none"/>
              </w:rPr>
              <w:t>分</w:t>
            </w:r>
          </w:p>
        </w:tc>
        <w:tc>
          <w:tcPr>
            <w:tcW w:w="3523" w:type="pct"/>
            <w:tcBorders>
              <w:bottom w:val="single" w:color="auto" w:sz="4" w:space="0"/>
            </w:tcBorders>
            <w:vAlign w:val="center"/>
          </w:tcPr>
          <w:p w14:paraId="65E3F0C7">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供应商具有有效期内的质量管理体系认证证书（</w:t>
            </w:r>
            <w:r>
              <w:rPr>
                <w:rFonts w:hint="eastAsia" w:ascii="Times New Roman" w:hAnsi="Times New Roman" w:cs="Times New Roman"/>
                <w:color w:val="auto"/>
                <w:sz w:val="24"/>
                <w:szCs w:val="24"/>
                <w:highlight w:val="none"/>
              </w:rPr>
              <w:t>认证范围须同时包含海域使用论证报告编制及海洋测绘</w:t>
            </w:r>
            <w:r>
              <w:rPr>
                <w:rFonts w:ascii="Times New Roman" w:hAnsi="Times New Roman" w:cs="Times New Roman"/>
                <w:color w:val="auto"/>
                <w:sz w:val="24"/>
                <w:szCs w:val="24"/>
                <w:highlight w:val="none"/>
              </w:rPr>
              <w:t>）的得</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分；</w:t>
            </w:r>
          </w:p>
          <w:p w14:paraId="4603CA3A">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供应商具有有效期内的职业健康安全管理体系认证证书（</w:t>
            </w:r>
            <w:r>
              <w:rPr>
                <w:rFonts w:hint="eastAsia" w:ascii="Times New Roman" w:hAnsi="Times New Roman" w:cs="Times New Roman"/>
                <w:color w:val="auto"/>
                <w:sz w:val="24"/>
                <w:szCs w:val="24"/>
                <w:highlight w:val="none"/>
              </w:rPr>
              <w:t>认证范围须同时包含海域使用论证报告编制及海洋测绘</w:t>
            </w:r>
            <w:r>
              <w:rPr>
                <w:rFonts w:ascii="Times New Roman" w:hAnsi="Times New Roman" w:cs="Times New Roman"/>
                <w:color w:val="auto"/>
                <w:sz w:val="24"/>
                <w:szCs w:val="24"/>
                <w:highlight w:val="none"/>
              </w:rPr>
              <w:t>）的得</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分；</w:t>
            </w:r>
          </w:p>
          <w:p w14:paraId="75347507">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供应商具有</w:t>
            </w:r>
            <w:r>
              <w:rPr>
                <w:rFonts w:hint="eastAsia" w:ascii="Times New Roman" w:hAnsi="Times New Roman" w:cs="Times New Roman"/>
                <w:color w:val="auto"/>
                <w:sz w:val="24"/>
                <w:szCs w:val="24"/>
                <w:highlight w:val="none"/>
              </w:rPr>
              <w:t>有效期内的</w:t>
            </w:r>
            <w:r>
              <w:rPr>
                <w:rFonts w:ascii="Times New Roman" w:hAnsi="Times New Roman" w:cs="Times New Roman"/>
                <w:color w:val="auto"/>
                <w:sz w:val="24"/>
                <w:szCs w:val="24"/>
                <w:highlight w:val="none"/>
              </w:rPr>
              <w:t>环境管理体系认证证书（</w:t>
            </w:r>
            <w:r>
              <w:rPr>
                <w:rFonts w:hint="eastAsia" w:ascii="Times New Roman" w:hAnsi="Times New Roman" w:cs="Times New Roman"/>
                <w:color w:val="auto"/>
                <w:sz w:val="24"/>
                <w:szCs w:val="24"/>
                <w:highlight w:val="none"/>
              </w:rPr>
              <w:t>认证范围须同时包含海域使用论证报告编制及海洋测绘</w:t>
            </w:r>
            <w:r>
              <w:rPr>
                <w:rFonts w:ascii="Times New Roman" w:hAnsi="Times New Roman" w:cs="Times New Roman"/>
                <w:color w:val="auto"/>
                <w:sz w:val="24"/>
                <w:szCs w:val="24"/>
                <w:highlight w:val="none"/>
              </w:rPr>
              <w:t>）的得</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分；</w:t>
            </w:r>
          </w:p>
          <w:p w14:paraId="6B9DFA6E">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注：上述证书需提供相关材料加盖有效公章，未提供的不得分。</w:t>
            </w:r>
          </w:p>
        </w:tc>
      </w:tr>
      <w:tr w14:paraId="22B5E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96" w:hRule="atLeast"/>
          <w:jc w:val="center"/>
        </w:trPr>
        <w:tc>
          <w:tcPr>
            <w:tcW w:w="335" w:type="pct"/>
            <w:vAlign w:val="center"/>
          </w:tcPr>
          <w:p w14:paraId="000D5EBE">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276971FC">
            <w:pPr>
              <w:rPr>
                <w:rFonts w:ascii="Times New Roman" w:hAnsi="Times New Roman" w:cs="Times New Roman"/>
                <w:color w:val="auto"/>
                <w:sz w:val="24"/>
                <w:szCs w:val="24"/>
                <w:highlight w:val="none"/>
              </w:rPr>
            </w:pPr>
            <w:r>
              <w:rPr>
                <w:rFonts w:ascii="Times New Roman" w:hAnsi="Times New Roman" w:cs="Times New Roman"/>
                <w:bCs/>
                <w:color w:val="auto"/>
                <w:kern w:val="28"/>
                <w:sz w:val="24"/>
                <w:szCs w:val="24"/>
                <w:highlight w:val="none"/>
              </w:rPr>
              <w:t>拟投入本项目的人员情况</w:t>
            </w:r>
          </w:p>
        </w:tc>
        <w:tc>
          <w:tcPr>
            <w:tcW w:w="415" w:type="pct"/>
            <w:tcBorders>
              <w:bottom w:val="single" w:color="auto" w:sz="4" w:space="0"/>
            </w:tcBorders>
            <w:vAlign w:val="center"/>
          </w:tcPr>
          <w:p w14:paraId="64708FAD">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ascii="Times New Roman" w:hAnsi="Times New Roman" w:cs="Times New Roman"/>
                <w:color w:val="auto"/>
                <w:sz w:val="24"/>
                <w:szCs w:val="24"/>
                <w:highlight w:val="none"/>
              </w:rPr>
              <w:t>分</w:t>
            </w:r>
          </w:p>
        </w:tc>
        <w:tc>
          <w:tcPr>
            <w:tcW w:w="3523" w:type="pct"/>
            <w:tcBorders>
              <w:bottom w:val="single" w:color="auto" w:sz="4" w:space="0"/>
            </w:tcBorders>
            <w:vAlign w:val="center"/>
          </w:tcPr>
          <w:p w14:paraId="19400B47">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拟派项目负责人具有海洋相关专业</w:t>
            </w:r>
            <w:r>
              <w:rPr>
                <w:rFonts w:hint="eastAsia" w:cs="Times New Roman"/>
                <w:color w:val="auto"/>
                <w:sz w:val="24"/>
                <w:szCs w:val="24"/>
                <w:highlight w:val="none"/>
                <w:lang w:val="en-US" w:eastAsia="zh-CN"/>
              </w:rPr>
              <w:t>高级及以上职称</w:t>
            </w:r>
            <w:r>
              <w:rPr>
                <w:rFonts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得</w:t>
            </w: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分</w:t>
            </w:r>
            <w:r>
              <w:rPr>
                <w:rFonts w:hint="eastAsia" w:cs="Times New Roman"/>
                <w:color w:val="auto"/>
                <w:sz w:val="24"/>
                <w:szCs w:val="24"/>
                <w:highlight w:val="none"/>
                <w:lang w:eastAsia="zh-CN"/>
              </w:rPr>
              <w:t>，中级职称的得2分，没有不得分</w:t>
            </w:r>
            <w:r>
              <w:rPr>
                <w:rFonts w:ascii="Times New Roman" w:hAnsi="Times New Roman" w:cs="Times New Roman"/>
                <w:color w:val="auto"/>
                <w:sz w:val="24"/>
                <w:szCs w:val="24"/>
                <w:highlight w:val="none"/>
              </w:rPr>
              <w:t>。</w:t>
            </w:r>
          </w:p>
          <w:p w14:paraId="24C849BC">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（2）项目组成员具有</w:t>
            </w:r>
            <w:r>
              <w:rPr>
                <w:rFonts w:hint="eastAsia" w:cs="Times New Roman"/>
                <w:color w:val="auto"/>
                <w:sz w:val="24"/>
                <w:szCs w:val="24"/>
                <w:highlight w:val="none"/>
                <w:lang w:val="en-US" w:eastAsia="zh-CN"/>
              </w:rPr>
              <w:t>中级</w:t>
            </w:r>
            <w:r>
              <w:rPr>
                <w:rFonts w:hint="eastAsia" w:ascii="Times New Roman" w:hAnsi="Times New Roman" w:cs="Times New Roman"/>
                <w:color w:val="auto"/>
                <w:sz w:val="24"/>
                <w:szCs w:val="24"/>
                <w:highlight w:val="none"/>
              </w:rPr>
              <w:t>及以上职称的，每</w:t>
            </w:r>
            <w:r>
              <w:rPr>
                <w:rFonts w:hint="eastAsia" w:cs="Times New Roman"/>
                <w:color w:val="auto"/>
                <w:sz w:val="24"/>
                <w:szCs w:val="24"/>
                <w:highlight w:val="none"/>
                <w:lang w:val="en-US" w:eastAsia="zh-CN"/>
              </w:rPr>
              <w:t>提供</w:t>
            </w:r>
            <w:r>
              <w:rPr>
                <w:rFonts w:hint="eastAsia" w:ascii="Times New Roman" w:hAnsi="Times New Roman" w:cs="Times New Roman"/>
                <w:color w:val="auto"/>
                <w:sz w:val="24"/>
                <w:szCs w:val="24"/>
                <w:highlight w:val="none"/>
              </w:rPr>
              <w:t>1名得1分，最高得6分</w:t>
            </w:r>
            <w:r>
              <w:rPr>
                <w:rFonts w:ascii="Times New Roman" w:hAnsi="Times New Roman" w:cs="Times New Roman"/>
                <w:color w:val="auto"/>
                <w:sz w:val="24"/>
                <w:szCs w:val="24"/>
                <w:highlight w:val="none"/>
              </w:rPr>
              <w:t>。</w:t>
            </w:r>
          </w:p>
          <w:p w14:paraId="2697866C">
            <w:pPr>
              <w:rPr>
                <w:rFonts w:ascii="Times New Roman" w:hAnsi="Times New Roman" w:cs="Times New Roman"/>
                <w:color w:val="auto"/>
                <w:sz w:val="24"/>
                <w:szCs w:val="24"/>
                <w:highlight w:val="none"/>
              </w:rPr>
            </w:pPr>
            <w:r>
              <w:rPr>
                <w:b/>
                <w:color w:val="auto"/>
                <w:sz w:val="24"/>
                <w:szCs w:val="24"/>
                <w:highlight w:val="none"/>
              </w:rPr>
              <w:t>注：</w:t>
            </w:r>
            <w:r>
              <w:rPr>
                <w:rFonts w:hint="eastAsia"/>
                <w:b/>
                <w:color w:val="auto"/>
                <w:sz w:val="24"/>
                <w:szCs w:val="24"/>
                <w:highlight w:val="none"/>
                <w:lang w:val="en-US" w:eastAsia="zh-CN"/>
              </w:rPr>
              <w:t>项目组成员</w:t>
            </w:r>
            <w:r>
              <w:rPr>
                <w:b/>
                <w:color w:val="auto"/>
                <w:sz w:val="24"/>
                <w:szCs w:val="24"/>
                <w:highlight w:val="none"/>
              </w:rPr>
              <w:t>不包括项目总负责人</w:t>
            </w:r>
            <w:r>
              <w:rPr>
                <w:rFonts w:hint="eastAsia"/>
                <w:b/>
                <w:color w:val="auto"/>
                <w:sz w:val="24"/>
                <w:szCs w:val="24"/>
                <w:highlight w:val="none"/>
              </w:rPr>
              <w:t>及项目技术负责人且不得重复计算</w:t>
            </w:r>
            <w:r>
              <w:rPr>
                <w:b/>
                <w:color w:val="auto"/>
                <w:sz w:val="24"/>
                <w:szCs w:val="24"/>
                <w:highlight w:val="none"/>
              </w:rPr>
              <w:t>，投标人须提供对应人员</w:t>
            </w:r>
            <w:r>
              <w:rPr>
                <w:rFonts w:hint="eastAsia"/>
                <w:b/>
                <w:bCs/>
                <w:color w:val="auto"/>
                <w:sz w:val="24"/>
                <w:szCs w:val="24"/>
                <w:highlight w:val="none"/>
              </w:rPr>
              <w:t>近三个月中其中一个月</w:t>
            </w:r>
            <w:r>
              <w:rPr>
                <w:b/>
                <w:color w:val="auto"/>
                <w:sz w:val="24"/>
                <w:szCs w:val="24"/>
                <w:highlight w:val="none"/>
              </w:rPr>
              <w:t>的社保证明材料和证书复印件，不提供不得分（退休人员须提供退休证和返聘合同复印件，否则不得分）。上述人员为劳务派遣性质的， 还须提供相对应的劳务派遣合同复印件。</w:t>
            </w:r>
          </w:p>
        </w:tc>
      </w:tr>
      <w:tr w14:paraId="633D3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0" w:hRule="atLeast"/>
          <w:jc w:val="center"/>
        </w:trPr>
        <w:tc>
          <w:tcPr>
            <w:tcW w:w="335" w:type="pct"/>
            <w:vAlign w:val="center"/>
          </w:tcPr>
          <w:p w14:paraId="4F87CA02">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65E41775">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业绩情况</w:t>
            </w:r>
          </w:p>
        </w:tc>
        <w:tc>
          <w:tcPr>
            <w:tcW w:w="415" w:type="pct"/>
            <w:tcBorders>
              <w:top w:val="single" w:color="auto" w:sz="4" w:space="0"/>
            </w:tcBorders>
            <w:vAlign w:val="center"/>
          </w:tcPr>
          <w:p w14:paraId="40838F71">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2</w:t>
            </w:r>
            <w:r>
              <w:rPr>
                <w:rFonts w:ascii="Times New Roman" w:hAnsi="Times New Roman" w:cs="Times New Roman"/>
                <w:color w:val="auto"/>
                <w:sz w:val="24"/>
                <w:szCs w:val="24"/>
                <w:highlight w:val="none"/>
              </w:rPr>
              <w:t>分</w:t>
            </w:r>
          </w:p>
        </w:tc>
        <w:tc>
          <w:tcPr>
            <w:tcW w:w="3523" w:type="pct"/>
            <w:tcBorders>
              <w:top w:val="single" w:color="auto" w:sz="4" w:space="0"/>
            </w:tcBorders>
            <w:vAlign w:val="center"/>
          </w:tcPr>
          <w:p w14:paraId="0A63D996">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自202</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年1月1日起至投标截止时间止，投标人具有类似填海类项目海域使用论证业绩的每个得1分，本项最高</w:t>
            </w:r>
            <w:r>
              <w:rPr>
                <w:rFonts w:hint="eastAsia" w:cs="Times New Roman"/>
                <w:color w:val="auto"/>
                <w:sz w:val="24"/>
                <w:szCs w:val="24"/>
                <w:highlight w:val="none"/>
                <w:lang w:val="en-US" w:eastAsia="zh-CN"/>
              </w:rPr>
              <w:t>2</w:t>
            </w:r>
            <w:bookmarkStart w:id="70" w:name="_GoBack"/>
            <w:bookmarkEnd w:id="70"/>
            <w:r>
              <w:rPr>
                <w:rFonts w:hint="eastAsia" w:ascii="Times New Roman" w:hAnsi="Times New Roman" w:cs="Times New Roman"/>
                <w:color w:val="auto"/>
                <w:sz w:val="24"/>
                <w:szCs w:val="24"/>
                <w:highlight w:val="none"/>
              </w:rPr>
              <w:t>分。</w:t>
            </w:r>
          </w:p>
          <w:p w14:paraId="729D419C">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注：以合同签订时间为准，须提供合同复印件和论证报告书报批稿（封面及项目概况页），不提供则不得分。</w:t>
            </w:r>
          </w:p>
        </w:tc>
      </w:tr>
      <w:tr w14:paraId="2F6683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5" w:hRule="atLeast"/>
          <w:jc w:val="center"/>
        </w:trPr>
        <w:tc>
          <w:tcPr>
            <w:tcW w:w="335" w:type="pct"/>
            <w:tcBorders>
              <w:bottom w:val="single" w:color="auto" w:sz="4" w:space="0"/>
            </w:tcBorders>
            <w:vAlign w:val="center"/>
          </w:tcPr>
          <w:p w14:paraId="32726BF8">
            <w:pPr>
              <w:widowControl/>
              <w:numPr>
                <w:ilvl w:val="0"/>
                <w:numId w:val="9"/>
              </w:numPr>
              <w:jc w:val="center"/>
              <w:rPr>
                <w:rFonts w:ascii="Times New Roman" w:hAnsi="Times New Roman" w:cs="Times New Roman"/>
                <w:color w:val="auto"/>
                <w:sz w:val="24"/>
                <w:szCs w:val="24"/>
                <w:highlight w:val="none"/>
              </w:rPr>
            </w:pPr>
          </w:p>
        </w:tc>
        <w:tc>
          <w:tcPr>
            <w:tcW w:w="725" w:type="pct"/>
            <w:tcBorders>
              <w:bottom w:val="single" w:color="auto" w:sz="4" w:space="0"/>
            </w:tcBorders>
            <w:vAlign w:val="center"/>
          </w:tcPr>
          <w:p w14:paraId="186F152D">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对本项目背景的熟悉程度</w:t>
            </w:r>
          </w:p>
        </w:tc>
        <w:tc>
          <w:tcPr>
            <w:tcW w:w="415" w:type="pct"/>
            <w:tcBorders>
              <w:top w:val="single" w:color="auto" w:sz="4" w:space="0"/>
              <w:bottom w:val="single" w:color="auto" w:sz="4" w:space="0"/>
            </w:tcBorders>
            <w:vAlign w:val="center"/>
          </w:tcPr>
          <w:p w14:paraId="4354E251">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hint="eastAsia" w:ascii="Times New Roman" w:hAnsi="Times New Roman" w:cs="Times New Roman"/>
                <w:color w:val="auto"/>
                <w:sz w:val="24"/>
                <w:szCs w:val="24"/>
                <w:highlight w:val="none"/>
              </w:rPr>
              <w:t>分</w:t>
            </w:r>
          </w:p>
        </w:tc>
        <w:tc>
          <w:tcPr>
            <w:tcW w:w="3523" w:type="pct"/>
            <w:tcBorders>
              <w:bottom w:val="single" w:color="auto" w:sz="4" w:space="0"/>
            </w:tcBorders>
            <w:vAlign w:val="center"/>
          </w:tcPr>
          <w:p w14:paraId="780B097C">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根据投标供应商提供的对本项目背景的熟悉程度进行评审。优得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eastAsia" w:ascii="Times New Roman" w:hAnsi="Times New Roman" w:cs="Times New Roman"/>
                <w:color w:val="auto"/>
                <w:sz w:val="24"/>
                <w:szCs w:val="24"/>
                <w:highlight w:val="none"/>
              </w:rPr>
              <w:t>分，较好得</w:t>
            </w:r>
            <w:r>
              <w:rPr>
                <w:rFonts w:hint="eastAsia" w:cs="Times New Roman"/>
                <w:color w:val="auto"/>
                <w:sz w:val="24"/>
                <w:szCs w:val="24"/>
                <w:highlight w:val="none"/>
                <w:lang w:val="en-US" w:eastAsia="zh-CN"/>
              </w:rPr>
              <w:t>3.0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rPr>
              <w:t>分，一般得</w:t>
            </w:r>
            <w:r>
              <w:rPr>
                <w:rFonts w:hint="eastAsia" w:cs="Times New Roman"/>
                <w:color w:val="auto"/>
                <w:sz w:val="24"/>
                <w:szCs w:val="24"/>
                <w:highlight w:val="none"/>
                <w:lang w:val="en-US" w:eastAsia="zh-CN"/>
              </w:rPr>
              <w:t>0.1</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分。</w:t>
            </w:r>
            <w:r>
              <w:rPr>
                <w:rFonts w:hint="eastAsia" w:cs="Times New Roman"/>
                <w:color w:val="auto"/>
                <w:sz w:val="24"/>
                <w:szCs w:val="24"/>
                <w:highlight w:val="none"/>
                <w:lang w:val="en-US" w:eastAsia="zh-CN"/>
              </w:rPr>
              <w:t>不提供不得分。</w:t>
            </w:r>
          </w:p>
        </w:tc>
      </w:tr>
      <w:tr w14:paraId="463899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69" w:hRule="atLeast"/>
          <w:jc w:val="center"/>
        </w:trPr>
        <w:tc>
          <w:tcPr>
            <w:tcW w:w="335" w:type="pct"/>
            <w:tcBorders>
              <w:top w:val="single" w:color="auto" w:sz="4" w:space="0"/>
            </w:tcBorders>
            <w:vAlign w:val="center"/>
          </w:tcPr>
          <w:p w14:paraId="1BAF95C5">
            <w:pPr>
              <w:widowControl/>
              <w:numPr>
                <w:ilvl w:val="0"/>
                <w:numId w:val="9"/>
              </w:numPr>
              <w:jc w:val="center"/>
              <w:rPr>
                <w:rFonts w:ascii="Times New Roman" w:hAnsi="Times New Roman" w:cs="Times New Roman"/>
                <w:color w:val="auto"/>
                <w:sz w:val="24"/>
                <w:szCs w:val="24"/>
                <w:highlight w:val="none"/>
              </w:rPr>
            </w:pPr>
          </w:p>
        </w:tc>
        <w:tc>
          <w:tcPr>
            <w:tcW w:w="725" w:type="pct"/>
            <w:tcBorders>
              <w:top w:val="single" w:color="auto" w:sz="4" w:space="0"/>
            </w:tcBorders>
            <w:vAlign w:val="center"/>
          </w:tcPr>
          <w:p w14:paraId="4CFBBC3A">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技术方案</w:t>
            </w:r>
          </w:p>
        </w:tc>
        <w:tc>
          <w:tcPr>
            <w:tcW w:w="415" w:type="pct"/>
            <w:tcBorders>
              <w:top w:val="single" w:color="auto" w:sz="4" w:space="0"/>
            </w:tcBorders>
            <w:vAlign w:val="center"/>
          </w:tcPr>
          <w:p w14:paraId="0E319CB9">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ascii="Times New Roman" w:hAnsi="Times New Roman" w:cs="Times New Roman"/>
                <w:color w:val="auto"/>
                <w:sz w:val="24"/>
                <w:szCs w:val="24"/>
                <w:highlight w:val="none"/>
              </w:rPr>
              <w:t>1</w:t>
            </w:r>
            <w:r>
              <w:rPr>
                <w:rFonts w:hint="eastAsia" w:cs="Times New Roman"/>
                <w:color w:val="auto"/>
                <w:sz w:val="24"/>
                <w:szCs w:val="24"/>
                <w:highlight w:val="none"/>
                <w:lang w:val="en-US" w:eastAsia="zh-CN"/>
              </w:rPr>
              <w:t>8</w:t>
            </w:r>
            <w:r>
              <w:rPr>
                <w:rFonts w:ascii="Times New Roman" w:hAnsi="Times New Roman" w:cs="Times New Roman"/>
                <w:color w:val="auto"/>
                <w:sz w:val="24"/>
                <w:szCs w:val="24"/>
                <w:highlight w:val="none"/>
              </w:rPr>
              <w:t>分</w:t>
            </w:r>
          </w:p>
        </w:tc>
        <w:tc>
          <w:tcPr>
            <w:tcW w:w="3523" w:type="pct"/>
            <w:tcBorders>
              <w:top w:val="single" w:color="auto" w:sz="4" w:space="0"/>
            </w:tcBorders>
            <w:vAlign w:val="center"/>
          </w:tcPr>
          <w:p w14:paraId="490F7F29">
            <w:pPr>
              <w:rPr>
                <w:rFonts w:ascii="Times New Roman" w:hAnsi="Times New Roman" w:cs="Times New Roman"/>
                <w:color w:val="auto"/>
                <w:sz w:val="24"/>
                <w:szCs w:val="24"/>
                <w:highlight w:val="none"/>
                <w:lang w:val="zh-CN"/>
              </w:rPr>
            </w:pPr>
            <w:r>
              <w:rPr>
                <w:rFonts w:ascii="Times New Roman" w:hAnsi="Times New Roman" w:cs="Times New Roman"/>
                <w:color w:val="auto"/>
                <w:sz w:val="24"/>
                <w:szCs w:val="24"/>
                <w:highlight w:val="none"/>
                <w:lang w:val="zh-CN"/>
              </w:rPr>
              <w:t>从技术方案内容、制定的技术路线、响应招标文件规定的技术要求、最终成果与项目预期目标等方面由专家进行评审。</w:t>
            </w:r>
            <w:r>
              <w:rPr>
                <w:rFonts w:hint="eastAsia" w:ascii="Times New Roman" w:hAnsi="Times New Roman" w:cs="Times New Roman"/>
                <w:color w:val="auto"/>
                <w:sz w:val="24"/>
                <w:szCs w:val="24"/>
                <w:highlight w:val="none"/>
                <w:lang w:val="zh-CN"/>
              </w:rPr>
              <w:t>优得1</w:t>
            </w:r>
            <w:r>
              <w:rPr>
                <w:rFonts w:hint="eastAsia"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zh-CN"/>
              </w:rPr>
              <w:t>-1</w:t>
            </w:r>
            <w:r>
              <w:rPr>
                <w:rFonts w:hint="eastAsia" w:cs="Times New Roman"/>
                <w:color w:val="auto"/>
                <w:sz w:val="24"/>
                <w:szCs w:val="24"/>
                <w:highlight w:val="none"/>
                <w:lang w:val="en-US" w:eastAsia="zh-CN"/>
              </w:rPr>
              <w:t>8.0</w:t>
            </w:r>
            <w:r>
              <w:rPr>
                <w:rFonts w:hint="eastAsia" w:ascii="Times New Roman" w:hAnsi="Times New Roman" w:cs="Times New Roman"/>
                <w:color w:val="auto"/>
                <w:sz w:val="24"/>
                <w:szCs w:val="24"/>
                <w:highlight w:val="none"/>
                <w:lang w:val="zh-CN"/>
              </w:rPr>
              <w:t>分，较好得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lang w:val="zh-CN"/>
              </w:rPr>
              <w:t>-1</w:t>
            </w:r>
            <w:r>
              <w:rPr>
                <w:rFonts w:hint="eastAsia" w:cs="Times New Roman"/>
                <w:color w:val="auto"/>
                <w:sz w:val="24"/>
                <w:szCs w:val="24"/>
                <w:highlight w:val="none"/>
                <w:lang w:val="en-US" w:eastAsia="zh-CN"/>
              </w:rPr>
              <w:t>1.9</w:t>
            </w:r>
            <w:r>
              <w:rPr>
                <w:rFonts w:hint="eastAsia" w:ascii="Times New Roman" w:hAnsi="Times New Roman" w:cs="Times New Roman"/>
                <w:color w:val="auto"/>
                <w:sz w:val="24"/>
                <w:szCs w:val="24"/>
                <w:highlight w:val="none"/>
                <w:lang w:val="zh-CN"/>
              </w:rPr>
              <w:t>分，一般得0</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zh-CN"/>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lang w:val="zh-CN"/>
              </w:rPr>
              <w:t>分。不提供不得分。</w:t>
            </w:r>
          </w:p>
        </w:tc>
      </w:tr>
      <w:tr w14:paraId="1AE6B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62" w:hRule="atLeast"/>
          <w:jc w:val="center"/>
        </w:trPr>
        <w:tc>
          <w:tcPr>
            <w:tcW w:w="335" w:type="pct"/>
            <w:vAlign w:val="center"/>
          </w:tcPr>
          <w:p w14:paraId="7BAAEB3B">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6DA5826F">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针对本项目的特点和难点分析及解决措施</w:t>
            </w:r>
          </w:p>
        </w:tc>
        <w:tc>
          <w:tcPr>
            <w:tcW w:w="415" w:type="pct"/>
            <w:tcBorders>
              <w:top w:val="single" w:color="auto" w:sz="4" w:space="0"/>
            </w:tcBorders>
            <w:vAlign w:val="center"/>
          </w:tcPr>
          <w:p w14:paraId="62682350">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ascii="Times New Roman" w:hAnsi="Times New Roman" w:cs="Times New Roman"/>
                <w:color w:val="auto"/>
                <w:sz w:val="24"/>
                <w:szCs w:val="24"/>
                <w:highlight w:val="none"/>
              </w:rPr>
              <w:t>分</w:t>
            </w:r>
          </w:p>
        </w:tc>
        <w:tc>
          <w:tcPr>
            <w:tcW w:w="3523" w:type="pct"/>
            <w:vAlign w:val="center"/>
          </w:tcPr>
          <w:p w14:paraId="4892F43E">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根据投标供应商对本项目现状、存在的问题的难点、要点等问题进行调查剖析情况并针对性的提出克服难点和要点的解决措施由专家评审。</w:t>
            </w:r>
            <w:r>
              <w:rPr>
                <w:rFonts w:hint="eastAsia" w:ascii="Times New Roman" w:hAnsi="Times New Roman" w:cs="Times New Roman"/>
                <w:color w:val="auto"/>
                <w:sz w:val="24"/>
                <w:szCs w:val="24"/>
                <w:highlight w:val="none"/>
              </w:rPr>
              <w:t>优得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eastAsia" w:ascii="Times New Roman" w:hAnsi="Times New Roman" w:cs="Times New Roman"/>
                <w:color w:val="auto"/>
                <w:sz w:val="24"/>
                <w:szCs w:val="24"/>
                <w:highlight w:val="none"/>
              </w:rPr>
              <w:t>分，较好得</w:t>
            </w:r>
            <w:r>
              <w:rPr>
                <w:rFonts w:hint="eastAsia" w:cs="Times New Roman"/>
                <w:color w:val="auto"/>
                <w:sz w:val="24"/>
                <w:szCs w:val="24"/>
                <w:highlight w:val="none"/>
                <w:lang w:val="en-US" w:eastAsia="zh-CN"/>
              </w:rPr>
              <w:t>3.0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rPr>
              <w:t>分，一般得</w:t>
            </w:r>
            <w:r>
              <w:rPr>
                <w:rFonts w:hint="eastAsia" w:cs="Times New Roman"/>
                <w:color w:val="auto"/>
                <w:sz w:val="24"/>
                <w:szCs w:val="24"/>
                <w:highlight w:val="none"/>
                <w:lang w:val="en-US" w:eastAsia="zh-CN"/>
              </w:rPr>
              <w:t>0.1</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分。</w:t>
            </w:r>
            <w:r>
              <w:rPr>
                <w:rFonts w:hint="eastAsia" w:cs="Times New Roman"/>
                <w:color w:val="auto"/>
                <w:sz w:val="24"/>
                <w:szCs w:val="24"/>
                <w:highlight w:val="none"/>
                <w:lang w:val="en-US" w:eastAsia="zh-CN"/>
              </w:rPr>
              <w:t>不提供不得分。</w:t>
            </w:r>
          </w:p>
        </w:tc>
      </w:tr>
      <w:tr w14:paraId="5E364C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335" w:type="pct"/>
            <w:vAlign w:val="center"/>
          </w:tcPr>
          <w:p w14:paraId="13872B6E">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4DED1D65">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进度计划安排</w:t>
            </w:r>
          </w:p>
        </w:tc>
        <w:tc>
          <w:tcPr>
            <w:tcW w:w="415" w:type="pct"/>
            <w:tcBorders>
              <w:top w:val="single" w:color="auto" w:sz="4" w:space="0"/>
            </w:tcBorders>
            <w:vAlign w:val="center"/>
          </w:tcPr>
          <w:p w14:paraId="73F3ACB8">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ascii="Times New Roman" w:hAnsi="Times New Roman" w:cs="Times New Roman"/>
                <w:color w:val="auto"/>
                <w:sz w:val="24"/>
                <w:szCs w:val="24"/>
                <w:highlight w:val="none"/>
              </w:rPr>
              <w:t>分</w:t>
            </w:r>
          </w:p>
        </w:tc>
        <w:tc>
          <w:tcPr>
            <w:tcW w:w="3523" w:type="pct"/>
            <w:vAlign w:val="center"/>
          </w:tcPr>
          <w:p w14:paraId="6E885905">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根据供应商提供的针对本</w:t>
            </w:r>
            <w:r>
              <w:rPr>
                <w:rFonts w:ascii="Times New Roman" w:hAnsi="Times New Roman" w:cs="Times New Roman"/>
                <w:color w:val="auto"/>
                <w:kern w:val="28"/>
                <w:sz w:val="24"/>
                <w:szCs w:val="24"/>
                <w:highlight w:val="none"/>
              </w:rPr>
              <w:t>项目组织计划和安排是否具体、详细、合理，且便于实际应用，由专家评审。</w:t>
            </w:r>
            <w:r>
              <w:rPr>
                <w:rFonts w:hint="eastAsia" w:ascii="Times New Roman" w:hAnsi="Times New Roman" w:cs="Times New Roman"/>
                <w:color w:val="auto"/>
                <w:sz w:val="24"/>
                <w:szCs w:val="24"/>
                <w:highlight w:val="none"/>
              </w:rPr>
              <w:t>优得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eastAsia" w:ascii="Times New Roman" w:hAnsi="Times New Roman" w:cs="Times New Roman"/>
                <w:color w:val="auto"/>
                <w:sz w:val="24"/>
                <w:szCs w:val="24"/>
                <w:highlight w:val="none"/>
              </w:rPr>
              <w:t>分，较好得</w:t>
            </w:r>
            <w:r>
              <w:rPr>
                <w:rFonts w:hint="eastAsia" w:cs="Times New Roman"/>
                <w:color w:val="auto"/>
                <w:sz w:val="24"/>
                <w:szCs w:val="24"/>
                <w:highlight w:val="none"/>
                <w:lang w:val="en-US" w:eastAsia="zh-CN"/>
              </w:rPr>
              <w:t>3.0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rPr>
              <w:t>分，一般得</w:t>
            </w:r>
            <w:r>
              <w:rPr>
                <w:rFonts w:hint="eastAsia" w:cs="Times New Roman"/>
                <w:color w:val="auto"/>
                <w:sz w:val="24"/>
                <w:szCs w:val="24"/>
                <w:highlight w:val="none"/>
                <w:lang w:val="en-US" w:eastAsia="zh-CN"/>
              </w:rPr>
              <w:t>0.1</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分。</w:t>
            </w:r>
            <w:r>
              <w:rPr>
                <w:rFonts w:hint="eastAsia" w:cs="Times New Roman"/>
                <w:color w:val="auto"/>
                <w:sz w:val="24"/>
                <w:szCs w:val="24"/>
                <w:highlight w:val="none"/>
                <w:lang w:val="en-US" w:eastAsia="zh-CN"/>
              </w:rPr>
              <w:t>不提供不得分。</w:t>
            </w:r>
          </w:p>
        </w:tc>
      </w:tr>
      <w:tr w14:paraId="10D23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335" w:type="pct"/>
            <w:vAlign w:val="center"/>
          </w:tcPr>
          <w:p w14:paraId="34409404">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1C9FA03B">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质量保证措施</w:t>
            </w:r>
          </w:p>
        </w:tc>
        <w:tc>
          <w:tcPr>
            <w:tcW w:w="415" w:type="pct"/>
            <w:tcBorders>
              <w:top w:val="single" w:color="auto" w:sz="4" w:space="0"/>
              <w:bottom w:val="single" w:color="auto" w:sz="4" w:space="0"/>
            </w:tcBorders>
            <w:vAlign w:val="center"/>
          </w:tcPr>
          <w:p w14:paraId="47766B0E">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ascii="Times New Roman" w:hAnsi="Times New Roman" w:cs="Times New Roman"/>
                <w:color w:val="auto"/>
                <w:sz w:val="24"/>
                <w:szCs w:val="24"/>
                <w:highlight w:val="none"/>
              </w:rPr>
              <w:t>分</w:t>
            </w:r>
          </w:p>
        </w:tc>
        <w:tc>
          <w:tcPr>
            <w:tcW w:w="3523" w:type="pct"/>
            <w:vAlign w:val="center"/>
          </w:tcPr>
          <w:p w14:paraId="599B95A5">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根据供应商为保证本项目服务过程中的</w:t>
            </w:r>
            <w:r>
              <w:rPr>
                <w:rFonts w:ascii="Times New Roman" w:hAnsi="Times New Roman" w:cs="Times New Roman"/>
                <w:bCs/>
                <w:color w:val="auto"/>
                <w:sz w:val="24"/>
                <w:szCs w:val="24"/>
                <w:highlight w:val="none"/>
              </w:rPr>
              <w:t>质量控制</w:t>
            </w:r>
            <w:r>
              <w:rPr>
                <w:rFonts w:ascii="Times New Roman" w:hAnsi="Times New Roman" w:cs="Times New Roman"/>
                <w:color w:val="auto"/>
                <w:sz w:val="24"/>
                <w:szCs w:val="24"/>
                <w:highlight w:val="none"/>
              </w:rPr>
              <w:t>及质量保证措施是否能满足项目采购需求的合理性、科学性、全面性等方面情况。</w:t>
            </w:r>
            <w:r>
              <w:rPr>
                <w:rFonts w:hint="eastAsia" w:ascii="Times New Roman" w:hAnsi="Times New Roman" w:cs="Times New Roman"/>
                <w:color w:val="auto"/>
                <w:sz w:val="24"/>
                <w:szCs w:val="24"/>
                <w:highlight w:val="none"/>
              </w:rPr>
              <w:t>优得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eastAsia" w:ascii="Times New Roman" w:hAnsi="Times New Roman" w:cs="Times New Roman"/>
                <w:color w:val="auto"/>
                <w:sz w:val="24"/>
                <w:szCs w:val="24"/>
                <w:highlight w:val="none"/>
              </w:rPr>
              <w:t>分，较好得</w:t>
            </w:r>
            <w:r>
              <w:rPr>
                <w:rFonts w:hint="eastAsia" w:cs="Times New Roman"/>
                <w:color w:val="auto"/>
                <w:sz w:val="24"/>
                <w:szCs w:val="24"/>
                <w:highlight w:val="none"/>
                <w:lang w:val="en-US" w:eastAsia="zh-CN"/>
              </w:rPr>
              <w:t>3.0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rPr>
              <w:t>分，一般得</w:t>
            </w:r>
            <w:r>
              <w:rPr>
                <w:rFonts w:hint="eastAsia" w:cs="Times New Roman"/>
                <w:color w:val="auto"/>
                <w:sz w:val="24"/>
                <w:szCs w:val="24"/>
                <w:highlight w:val="none"/>
                <w:lang w:val="en-US" w:eastAsia="zh-CN"/>
              </w:rPr>
              <w:t>0.1</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分。</w:t>
            </w:r>
            <w:r>
              <w:rPr>
                <w:rFonts w:hint="eastAsia" w:cs="Times New Roman"/>
                <w:color w:val="auto"/>
                <w:sz w:val="24"/>
                <w:szCs w:val="24"/>
                <w:highlight w:val="none"/>
                <w:lang w:val="en-US" w:eastAsia="zh-CN"/>
              </w:rPr>
              <w:t>不提供不得分。</w:t>
            </w:r>
          </w:p>
        </w:tc>
      </w:tr>
      <w:tr w14:paraId="3C0539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52" w:hRule="atLeast"/>
          <w:jc w:val="center"/>
        </w:trPr>
        <w:tc>
          <w:tcPr>
            <w:tcW w:w="335" w:type="pct"/>
            <w:vAlign w:val="center"/>
          </w:tcPr>
          <w:p w14:paraId="7A31C26E">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34536EE0">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服务承诺及技术保障</w:t>
            </w:r>
          </w:p>
        </w:tc>
        <w:tc>
          <w:tcPr>
            <w:tcW w:w="415" w:type="pct"/>
            <w:tcBorders>
              <w:top w:val="single" w:color="auto" w:sz="4" w:space="0"/>
              <w:bottom w:val="single" w:color="auto" w:sz="4" w:space="0"/>
            </w:tcBorders>
            <w:vAlign w:val="center"/>
          </w:tcPr>
          <w:p w14:paraId="1B149782">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9</w:t>
            </w:r>
            <w:r>
              <w:rPr>
                <w:rFonts w:ascii="Times New Roman" w:hAnsi="Times New Roman" w:cs="Times New Roman"/>
                <w:color w:val="auto"/>
                <w:sz w:val="24"/>
                <w:szCs w:val="24"/>
                <w:highlight w:val="none"/>
              </w:rPr>
              <w:t>分</w:t>
            </w:r>
          </w:p>
        </w:tc>
        <w:tc>
          <w:tcPr>
            <w:tcW w:w="3523" w:type="pct"/>
            <w:vAlign w:val="center"/>
          </w:tcPr>
          <w:p w14:paraId="08A9027B">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根据投标人提供的服务承诺和技术保障措施进行评审。</w:t>
            </w:r>
            <w:r>
              <w:rPr>
                <w:rFonts w:hint="eastAsia" w:ascii="Times New Roman" w:hAnsi="Times New Roman" w:cs="Times New Roman"/>
                <w:color w:val="auto"/>
                <w:sz w:val="24"/>
                <w:szCs w:val="24"/>
                <w:highlight w:val="none"/>
              </w:rPr>
              <w:t>优得</w:t>
            </w:r>
            <w:r>
              <w:rPr>
                <w:rFonts w:hint="eastAsia" w:cs="Times New Roman"/>
                <w:color w:val="auto"/>
                <w:sz w:val="24"/>
                <w:szCs w:val="24"/>
                <w:highlight w:val="none"/>
                <w:lang w:val="en-US" w:eastAsia="zh-CN"/>
              </w:rPr>
              <w:t>6.0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eastAsia" w:ascii="Times New Roman" w:hAnsi="Times New Roman" w:cs="Times New Roman"/>
                <w:color w:val="auto"/>
                <w:sz w:val="24"/>
                <w:szCs w:val="24"/>
                <w:highlight w:val="none"/>
              </w:rPr>
              <w:t>分，较好得</w:t>
            </w:r>
            <w:r>
              <w:rPr>
                <w:rFonts w:hint="eastAsia" w:cs="Times New Roman"/>
                <w:color w:val="auto"/>
                <w:sz w:val="24"/>
                <w:szCs w:val="24"/>
                <w:highlight w:val="none"/>
                <w:lang w:val="en-US" w:eastAsia="zh-CN"/>
              </w:rPr>
              <w:t>3.0</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5.9</w:t>
            </w:r>
            <w:r>
              <w:rPr>
                <w:rFonts w:hint="eastAsia" w:ascii="Times New Roman" w:hAnsi="Times New Roman" w:cs="Times New Roman"/>
                <w:color w:val="auto"/>
                <w:sz w:val="24"/>
                <w:szCs w:val="24"/>
                <w:highlight w:val="none"/>
              </w:rPr>
              <w:t>分，一般得</w:t>
            </w:r>
            <w:r>
              <w:rPr>
                <w:rFonts w:hint="eastAsia" w:cs="Times New Roman"/>
                <w:color w:val="auto"/>
                <w:sz w:val="24"/>
                <w:szCs w:val="24"/>
                <w:highlight w:val="none"/>
                <w:lang w:val="en-US" w:eastAsia="zh-CN"/>
              </w:rPr>
              <w:t>0.1</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分。</w:t>
            </w:r>
            <w:r>
              <w:rPr>
                <w:rFonts w:hint="eastAsia" w:cs="Times New Roman"/>
                <w:color w:val="auto"/>
                <w:sz w:val="24"/>
                <w:szCs w:val="24"/>
                <w:highlight w:val="none"/>
                <w:lang w:val="en-US" w:eastAsia="zh-CN"/>
              </w:rPr>
              <w:t>不提供不得分。</w:t>
            </w:r>
          </w:p>
        </w:tc>
      </w:tr>
      <w:tr w14:paraId="56464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8" w:hRule="atLeast"/>
          <w:jc w:val="center"/>
        </w:trPr>
        <w:tc>
          <w:tcPr>
            <w:tcW w:w="335" w:type="pct"/>
            <w:vAlign w:val="center"/>
          </w:tcPr>
          <w:p w14:paraId="5231E711">
            <w:pPr>
              <w:widowControl/>
              <w:numPr>
                <w:ilvl w:val="0"/>
                <w:numId w:val="9"/>
              </w:numPr>
              <w:jc w:val="center"/>
              <w:rPr>
                <w:rFonts w:ascii="Times New Roman" w:hAnsi="Times New Roman" w:cs="Times New Roman"/>
                <w:color w:val="auto"/>
                <w:sz w:val="24"/>
                <w:szCs w:val="24"/>
                <w:highlight w:val="none"/>
              </w:rPr>
            </w:pPr>
          </w:p>
        </w:tc>
        <w:tc>
          <w:tcPr>
            <w:tcW w:w="725" w:type="pct"/>
            <w:vAlign w:val="center"/>
          </w:tcPr>
          <w:p w14:paraId="60390153">
            <w:pPr>
              <w:widowControl/>
              <w:spacing w:line="360" w:lineRule="auto"/>
              <w:jc w:val="left"/>
              <w:rPr>
                <w:rFonts w:ascii="Times New Roman" w:hAnsi="Times New Roman" w:cs="Times New Roman"/>
                <w:color w:val="auto"/>
                <w:sz w:val="24"/>
                <w:szCs w:val="24"/>
                <w:highlight w:val="none"/>
              </w:rPr>
            </w:pPr>
            <w:r>
              <w:rPr>
                <w:rFonts w:hint="eastAsia" w:ascii="Arial" w:hAnsi="Arial" w:cs="Arial"/>
                <w:b/>
                <w:bCs/>
                <w:color w:val="auto"/>
                <w:szCs w:val="21"/>
                <w:highlight w:val="none"/>
              </w:rPr>
              <w:t>商务得分</w:t>
            </w:r>
          </w:p>
        </w:tc>
        <w:tc>
          <w:tcPr>
            <w:tcW w:w="415" w:type="pct"/>
            <w:tcBorders>
              <w:top w:val="single" w:color="auto" w:sz="4" w:space="0"/>
            </w:tcBorders>
            <w:vAlign w:val="center"/>
          </w:tcPr>
          <w:p w14:paraId="3E625310">
            <w:pP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0-20分</w:t>
            </w:r>
          </w:p>
        </w:tc>
        <w:tc>
          <w:tcPr>
            <w:tcW w:w="3523" w:type="pct"/>
            <w:vAlign w:val="center"/>
          </w:tcPr>
          <w:p w14:paraId="7D55D36E">
            <w:pP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以合格投标人有效投标总报价中的最低价为基准价，基准价为20分。投标报价得分＝（评标基准价/投标报价）×20%×100（小数点后保留2位小数）。</w:t>
            </w:r>
          </w:p>
        </w:tc>
      </w:tr>
    </w:tbl>
    <w:p w14:paraId="4D71F493">
      <w:pPr>
        <w:pStyle w:val="27"/>
        <w:ind w:firstLine="0" w:firstLineChars="0"/>
        <w:rPr>
          <w:color w:val="auto"/>
          <w:highlight w:val="none"/>
        </w:rPr>
      </w:pPr>
    </w:p>
    <w:p w14:paraId="06D2567C">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483EC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0C797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46C3E3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7CDF10F0">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7C603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bCs/>
          <w:color w:val="auto"/>
          <w:sz w:val="24"/>
          <w:highlight w:val="none"/>
        </w:rPr>
        <w:t>若出现总得分相同时，按技术标得分由高到低顺序排列；若以上均相同的，则抽签确定</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投标文件满足招标文件全部实质性要求，且按照评审因素的量化指标评审得分最高的投标人为排名第一的为第一中标候选人，排名第二的为第二中标候选人。</w:t>
      </w:r>
    </w:p>
    <w:p w14:paraId="0EAAEE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5086D16C">
      <w:pPr>
        <w:spacing w:line="360" w:lineRule="auto"/>
        <w:ind w:firstLine="480"/>
        <w:rPr>
          <w:rFonts w:hint="eastAsia" w:ascii="宋体" w:hAnsi="宋体" w:cs="宋体"/>
          <w:color w:val="auto"/>
          <w:sz w:val="24"/>
          <w:highlight w:val="none"/>
        </w:rPr>
        <w:sectPr>
          <w:pgSz w:w="11906" w:h="16838"/>
          <w:pgMar w:top="1247" w:right="1361" w:bottom="1247" w:left="1361" w:header="851" w:footer="851" w:gutter="0"/>
          <w:pgNumType w:fmt="numberInDash"/>
          <w:cols w:space="720" w:num="1"/>
          <w:docGrid w:type="lines" w:linePitch="312" w:charSpace="0"/>
        </w:sectPr>
      </w:pPr>
      <w:r>
        <w:rPr>
          <w:rFonts w:hint="eastAsia" w:ascii="宋体" w:hAnsi="宋体" w:cs="宋体"/>
          <w:color w:val="auto"/>
          <w:sz w:val="24"/>
          <w:highlight w:val="none"/>
        </w:rPr>
        <w:t>评标委员会根据全体评标成员签字的原始评标记录和评标结果编写评标报告。</w:t>
      </w:r>
      <w:bookmarkStart w:id="53" w:name="_Toc27944_WPSOffice_Level1"/>
    </w:p>
    <w:bookmarkEnd w:id="53"/>
    <w:p w14:paraId="1E7137C2">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14:paraId="3530CF95">
      <w:pPr>
        <w:jc w:val="center"/>
        <w:rPr>
          <w:b/>
          <w:bCs/>
          <w:color w:val="auto"/>
          <w:sz w:val="52"/>
          <w:szCs w:val="52"/>
          <w:highlight w:val="none"/>
        </w:rPr>
      </w:pPr>
      <w:r>
        <w:rPr>
          <w:rFonts w:hint="eastAsia"/>
          <w:b/>
          <w:bCs/>
          <w:color w:val="auto"/>
          <w:sz w:val="52"/>
          <w:szCs w:val="52"/>
          <w:highlight w:val="none"/>
          <w:lang w:eastAsia="zh-CN"/>
        </w:rPr>
        <w:t>海塘提升工程生态修复区、管理房及巡查站、三山北堤用海图斑海域论证报告编制服务项目</w:t>
      </w:r>
      <w:r>
        <w:rPr>
          <w:rFonts w:hint="eastAsia"/>
          <w:b/>
          <w:bCs/>
          <w:color w:val="auto"/>
          <w:sz w:val="52"/>
          <w:szCs w:val="52"/>
          <w:highlight w:val="none"/>
        </w:rPr>
        <w:t>合同</w:t>
      </w:r>
    </w:p>
    <w:p w14:paraId="37EF89E5">
      <w:pPr>
        <w:rPr>
          <w:b/>
          <w:bCs/>
          <w:color w:val="auto"/>
          <w:highlight w:val="none"/>
        </w:rPr>
      </w:pPr>
    </w:p>
    <w:p w14:paraId="4A1B3AD0">
      <w:pPr>
        <w:rPr>
          <w:b/>
          <w:bCs/>
          <w:color w:val="auto"/>
          <w:highlight w:val="none"/>
        </w:rPr>
      </w:pPr>
    </w:p>
    <w:p w14:paraId="1DCA03B1">
      <w:pPr>
        <w:rPr>
          <w:b/>
          <w:bCs/>
          <w:color w:val="auto"/>
          <w:highlight w:val="none"/>
        </w:rPr>
      </w:pPr>
    </w:p>
    <w:p w14:paraId="13BAFB8C">
      <w:pPr>
        <w:rPr>
          <w:b/>
          <w:bCs/>
          <w:color w:val="auto"/>
          <w:highlight w:val="none"/>
        </w:rPr>
      </w:pPr>
    </w:p>
    <w:p w14:paraId="51C70ECB">
      <w:pPr>
        <w:rPr>
          <w:b/>
          <w:bCs/>
          <w:color w:val="auto"/>
          <w:highlight w:val="none"/>
        </w:rPr>
      </w:pPr>
    </w:p>
    <w:p w14:paraId="7756BCED">
      <w:pPr>
        <w:rPr>
          <w:b/>
          <w:bCs/>
          <w:color w:val="auto"/>
          <w:highlight w:val="none"/>
        </w:rPr>
      </w:pPr>
    </w:p>
    <w:p w14:paraId="053D094D">
      <w:pPr>
        <w:rPr>
          <w:b/>
          <w:bCs/>
          <w:color w:val="auto"/>
          <w:highlight w:val="none"/>
        </w:rPr>
      </w:pPr>
    </w:p>
    <w:p w14:paraId="08B4B409">
      <w:pPr>
        <w:rPr>
          <w:b/>
          <w:bCs/>
          <w:color w:val="auto"/>
          <w:sz w:val="30"/>
          <w:szCs w:val="30"/>
          <w:highlight w:val="none"/>
        </w:rPr>
      </w:pPr>
    </w:p>
    <w:p w14:paraId="5C4D6839">
      <w:pPr>
        <w:ind w:firstLine="1807" w:firstLineChars="600"/>
        <w:rPr>
          <w:b/>
          <w:bCs/>
          <w:color w:val="auto"/>
          <w:sz w:val="30"/>
          <w:szCs w:val="30"/>
          <w:highlight w:val="none"/>
        </w:rPr>
      </w:pPr>
    </w:p>
    <w:p w14:paraId="00997711">
      <w:pPr>
        <w:ind w:firstLine="1807" w:firstLineChars="600"/>
        <w:rPr>
          <w:b/>
          <w:bCs/>
          <w:color w:val="auto"/>
          <w:sz w:val="30"/>
          <w:szCs w:val="30"/>
          <w:highlight w:val="none"/>
        </w:rPr>
      </w:pPr>
    </w:p>
    <w:p w14:paraId="2F6B78E3">
      <w:pPr>
        <w:ind w:firstLine="1807" w:firstLineChars="600"/>
        <w:rPr>
          <w:b/>
          <w:bCs/>
          <w:color w:val="auto"/>
          <w:sz w:val="30"/>
          <w:szCs w:val="30"/>
          <w:highlight w:val="none"/>
        </w:rPr>
      </w:pPr>
    </w:p>
    <w:p w14:paraId="556D6EED">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海塘提升工程生态修复区、管理房及巡查站、三山北堤用海图斑海域论证报告编制服务项目</w:t>
      </w:r>
    </w:p>
    <w:p w14:paraId="17BC0FA8">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p>
    <w:p w14:paraId="35F6B34B">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rPr>
        <w:t xml:space="preserve"> </w:t>
      </w:r>
      <w:r>
        <w:rPr>
          <w:rFonts w:hint="eastAsia" w:ascii="宋体" w:hAnsi="宋体"/>
          <w:color w:val="auto"/>
          <w:sz w:val="28"/>
          <w:highlight w:val="none"/>
          <w:u w:val="single"/>
          <w:lang w:eastAsia="zh-CN"/>
        </w:rPr>
        <w:t>台州循环经济发展有限公司</w:t>
      </w:r>
      <w:r>
        <w:rPr>
          <w:rFonts w:hint="eastAsia" w:ascii="宋体" w:hAnsi="宋体"/>
          <w:color w:val="auto"/>
          <w:sz w:val="28"/>
          <w:highlight w:val="none"/>
          <w:u w:val="single"/>
        </w:rPr>
        <w:t xml:space="preserve">   </w:t>
      </w:r>
    </w:p>
    <w:p w14:paraId="6938826C">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p>
    <w:p w14:paraId="10D2F4C4">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14:paraId="67131C30">
      <w:pPr>
        <w:pStyle w:val="25"/>
        <w:rPr>
          <w:color w:val="auto"/>
          <w:highlight w:val="none"/>
        </w:rPr>
      </w:pPr>
    </w:p>
    <w:p w14:paraId="004EC646">
      <w:pPr>
        <w:rPr>
          <w:b/>
          <w:bCs/>
          <w:color w:val="auto"/>
          <w:sz w:val="30"/>
          <w:szCs w:val="30"/>
          <w:highlight w:val="none"/>
        </w:rPr>
      </w:pPr>
    </w:p>
    <w:p w14:paraId="15356EFA">
      <w:pPr>
        <w:rPr>
          <w:b/>
          <w:bCs/>
          <w:color w:val="auto"/>
          <w:highlight w:val="none"/>
        </w:rPr>
      </w:pPr>
    </w:p>
    <w:p w14:paraId="66F7CAEC">
      <w:pPr>
        <w:rPr>
          <w:b/>
          <w:bCs/>
          <w:color w:val="auto"/>
          <w:highlight w:val="none"/>
        </w:rPr>
      </w:pPr>
    </w:p>
    <w:p w14:paraId="304F0893">
      <w:pPr>
        <w:rPr>
          <w:b/>
          <w:bCs/>
          <w:color w:val="auto"/>
          <w:highlight w:val="none"/>
        </w:rPr>
      </w:pPr>
    </w:p>
    <w:p w14:paraId="573CEA47">
      <w:pPr>
        <w:adjustRightInd w:val="0"/>
        <w:snapToGrid w:val="0"/>
        <w:spacing w:line="324" w:lineRule="auto"/>
        <w:jc w:val="center"/>
        <w:outlineLvl w:val="0"/>
        <w:rPr>
          <w:rFonts w:ascii="黑体"/>
          <w:b/>
          <w:color w:val="auto"/>
          <w:sz w:val="30"/>
          <w:szCs w:val="30"/>
          <w:highlight w:val="none"/>
        </w:rPr>
      </w:pPr>
      <w:bookmarkStart w:id="54" w:name="_Toc5209"/>
      <w:r>
        <w:rPr>
          <w:rFonts w:hint="eastAsia" w:ascii="黑体"/>
          <w:b/>
          <w:color w:val="auto"/>
          <w:sz w:val="30"/>
          <w:szCs w:val="30"/>
          <w:highlight w:val="none"/>
        </w:rPr>
        <w:t>合同条款</w:t>
      </w:r>
      <w:bookmarkEnd w:id="54"/>
    </w:p>
    <w:p w14:paraId="684E9E25">
      <w:pPr>
        <w:adjustRightInd w:val="0"/>
        <w:snapToGrid w:val="0"/>
        <w:spacing w:line="324" w:lineRule="auto"/>
        <w:jc w:val="center"/>
        <w:outlineLvl w:val="0"/>
        <w:rPr>
          <w:rFonts w:ascii="黑体"/>
          <w:b/>
          <w:color w:val="auto"/>
          <w:sz w:val="28"/>
          <w:szCs w:val="28"/>
          <w:highlight w:val="none"/>
        </w:rPr>
      </w:pPr>
    </w:p>
    <w:p w14:paraId="65700818">
      <w:pPr>
        <w:spacing w:line="460" w:lineRule="exact"/>
        <w:ind w:firstLine="420" w:firstLineChars="200"/>
        <w:rPr>
          <w:color w:val="auto"/>
          <w:highlight w:val="none"/>
        </w:rPr>
      </w:pPr>
      <w:r>
        <w:rPr>
          <w:rFonts w:hint="eastAsia"/>
          <w:color w:val="auto"/>
          <w:highlight w:val="none"/>
        </w:rPr>
        <w:t>依据《中华人民共和国民法典》的规定，</w:t>
      </w:r>
      <w:r>
        <w:rPr>
          <w:rFonts w:hint="eastAsia"/>
          <w:color w:val="auto"/>
          <w:highlight w:val="none"/>
          <w:u w:val="single"/>
          <w:lang w:eastAsia="zh-CN"/>
        </w:rPr>
        <w:t>台州循环经济发展有限公司</w:t>
      </w:r>
      <w:r>
        <w:rPr>
          <w:rFonts w:hint="eastAsia"/>
          <w:color w:val="auto"/>
          <w:highlight w:val="none"/>
        </w:rPr>
        <w:t>（以下简称“发包人”)通过招标确定</w:t>
      </w:r>
      <w:r>
        <w:rPr>
          <w:rFonts w:hint="eastAsia"/>
          <w:color w:val="auto"/>
          <w:highlight w:val="none"/>
          <w:u w:val="single"/>
        </w:rPr>
        <w:t xml:space="preserve">                       </w:t>
      </w:r>
      <w:r>
        <w:rPr>
          <w:rFonts w:hint="eastAsia"/>
          <w:color w:val="auto"/>
          <w:highlight w:val="none"/>
        </w:rPr>
        <w:t>（以下简称“承包人”)为</w:t>
      </w:r>
      <w:r>
        <w:rPr>
          <w:rFonts w:hint="eastAsia"/>
          <w:color w:val="auto"/>
          <w:highlight w:val="none"/>
          <w:u w:val="single"/>
          <w:lang w:eastAsia="zh-CN"/>
        </w:rPr>
        <w:t>海塘提升工程生态修复区、管理房及巡查站、三山北堤用海图斑海域论证报告编制服务项目</w:t>
      </w:r>
      <w:r>
        <w:rPr>
          <w:rFonts w:hint="eastAsia"/>
          <w:color w:val="auto"/>
          <w:highlight w:val="none"/>
        </w:rPr>
        <w:t>的中标单位，双方就</w:t>
      </w:r>
      <w:r>
        <w:rPr>
          <w:rFonts w:hint="eastAsia"/>
          <w:color w:val="auto"/>
          <w:highlight w:val="none"/>
          <w:lang w:eastAsia="zh-CN"/>
        </w:rPr>
        <w:t>海塘提升工程生态修复区、管理房及巡查站、三山北堤用海图斑海域论证报告编制服务项目</w:t>
      </w:r>
      <w:r>
        <w:rPr>
          <w:rFonts w:hint="eastAsia"/>
          <w:color w:val="auto"/>
          <w:highlight w:val="none"/>
        </w:rPr>
        <w:t>事宜按下述条款和条件签署本合同（以下简称“合同”)：</w:t>
      </w:r>
    </w:p>
    <w:p w14:paraId="1C847547">
      <w:pPr>
        <w:spacing w:line="460" w:lineRule="exact"/>
        <w:ind w:firstLine="495"/>
        <w:rPr>
          <w:color w:val="auto"/>
          <w:highlight w:val="none"/>
        </w:rPr>
      </w:pPr>
      <w:r>
        <w:rPr>
          <w:rFonts w:hint="eastAsia"/>
          <w:color w:val="auto"/>
          <w:highlight w:val="none"/>
        </w:rPr>
        <w:t>1、合同方式与质量标准</w:t>
      </w:r>
      <w:r>
        <w:rPr>
          <w:color w:val="auto"/>
          <w:highlight w:val="none"/>
        </w:rPr>
        <w:t xml:space="preserve"> </w:t>
      </w:r>
      <w:r>
        <w:rPr>
          <w:rFonts w:hint="eastAsia"/>
          <w:color w:val="auto"/>
          <w:highlight w:val="none"/>
        </w:rPr>
        <w:t>：本项目采用固定</w:t>
      </w:r>
      <w:r>
        <w:rPr>
          <w:rFonts w:hint="eastAsia"/>
          <w:color w:val="auto"/>
          <w:highlight w:val="none"/>
          <w:lang w:val="en-US" w:eastAsia="zh-CN"/>
        </w:rPr>
        <w:t>单价</w:t>
      </w:r>
      <w:r>
        <w:rPr>
          <w:rFonts w:hint="eastAsia"/>
          <w:color w:val="auto"/>
          <w:highlight w:val="none"/>
        </w:rPr>
        <w:t>合同，报告质量以</w:t>
      </w:r>
      <w:r>
        <w:rPr>
          <w:color w:val="auto"/>
          <w:highlight w:val="none"/>
        </w:rPr>
        <w:t>专家</w:t>
      </w:r>
      <w:r>
        <w:rPr>
          <w:rFonts w:hint="eastAsia"/>
          <w:color w:val="auto"/>
          <w:highlight w:val="none"/>
        </w:rPr>
        <w:t>组评审</w:t>
      </w:r>
      <w:r>
        <w:rPr>
          <w:color w:val="auto"/>
          <w:highlight w:val="none"/>
        </w:rPr>
        <w:t>通过</w:t>
      </w:r>
      <w:r>
        <w:rPr>
          <w:rFonts w:hint="eastAsia"/>
          <w:color w:val="auto"/>
          <w:highlight w:val="none"/>
        </w:rPr>
        <w:t>依据</w:t>
      </w:r>
      <w:r>
        <w:rPr>
          <w:color w:val="auto"/>
          <w:highlight w:val="none"/>
        </w:rPr>
        <w:t>，协助</w:t>
      </w:r>
      <w:r>
        <w:rPr>
          <w:rFonts w:hint="eastAsia"/>
          <w:color w:val="auto"/>
          <w:highlight w:val="none"/>
        </w:rPr>
        <w:t>发包人向</w:t>
      </w:r>
      <w:r>
        <w:rPr>
          <w:color w:val="auto"/>
          <w:highlight w:val="none"/>
        </w:rPr>
        <w:t>海洋</w:t>
      </w:r>
      <w:r>
        <w:rPr>
          <w:rFonts w:hint="eastAsia"/>
          <w:color w:val="auto"/>
          <w:highlight w:val="none"/>
        </w:rPr>
        <w:t>行政</w:t>
      </w:r>
      <w:r>
        <w:rPr>
          <w:color w:val="auto"/>
          <w:highlight w:val="none"/>
        </w:rPr>
        <w:t>主管部门办理</w:t>
      </w:r>
      <w:r>
        <w:rPr>
          <w:rFonts w:hint="eastAsia"/>
          <w:color w:val="auto"/>
          <w:highlight w:val="none"/>
        </w:rPr>
        <w:t>申请项目用海材料。</w:t>
      </w:r>
    </w:p>
    <w:p w14:paraId="7615E664">
      <w:pPr>
        <w:spacing w:line="460" w:lineRule="exact"/>
        <w:ind w:firstLine="495"/>
        <w:rPr>
          <w:color w:val="auto"/>
          <w:highlight w:val="none"/>
        </w:rPr>
      </w:pPr>
      <w:r>
        <w:rPr>
          <w:rFonts w:hint="eastAsia"/>
          <w:color w:val="auto"/>
          <w:highlight w:val="none"/>
        </w:rPr>
        <w:t>2、履行期限和方式：</w:t>
      </w:r>
    </w:p>
    <w:tbl>
      <w:tblPr>
        <w:tblStyle w:val="28"/>
        <w:tblW w:w="947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047"/>
      </w:tblGrid>
      <w:tr w14:paraId="26FC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9" w:type="dxa"/>
            <w:vAlign w:val="center"/>
          </w:tcPr>
          <w:p w14:paraId="66D2B044">
            <w:pPr>
              <w:spacing w:line="460" w:lineRule="exact"/>
              <w:jc w:val="center"/>
              <w:rPr>
                <w:color w:val="auto"/>
                <w:szCs w:val="21"/>
                <w:highlight w:val="none"/>
              </w:rPr>
            </w:pPr>
            <w:r>
              <w:rPr>
                <w:rFonts w:hint="eastAsia"/>
                <w:color w:val="auto"/>
                <w:szCs w:val="21"/>
                <w:highlight w:val="none"/>
              </w:rPr>
              <w:t>序号</w:t>
            </w:r>
          </w:p>
        </w:tc>
        <w:tc>
          <w:tcPr>
            <w:tcW w:w="8047" w:type="dxa"/>
            <w:vAlign w:val="center"/>
          </w:tcPr>
          <w:p w14:paraId="699C0CE4">
            <w:pPr>
              <w:spacing w:line="460" w:lineRule="exact"/>
              <w:ind w:firstLine="495"/>
              <w:jc w:val="center"/>
              <w:rPr>
                <w:rFonts w:hint="eastAsia" w:eastAsia="宋体"/>
                <w:color w:val="auto"/>
                <w:szCs w:val="21"/>
                <w:highlight w:val="none"/>
                <w:lang w:eastAsia="zh-CN"/>
              </w:rPr>
            </w:pPr>
            <w:r>
              <w:rPr>
                <w:rFonts w:hint="eastAsia"/>
                <w:color w:val="auto"/>
                <w:szCs w:val="21"/>
                <w:highlight w:val="none"/>
              </w:rPr>
              <w:t>工作阶段</w:t>
            </w:r>
            <w:r>
              <w:rPr>
                <w:rFonts w:hint="eastAsia"/>
                <w:color w:val="auto"/>
                <w:szCs w:val="21"/>
                <w:highlight w:val="none"/>
                <w:lang w:eastAsia="zh-CN"/>
              </w:rPr>
              <w:t>（</w:t>
            </w:r>
            <w:r>
              <w:rPr>
                <w:rFonts w:hint="eastAsia"/>
                <w:color w:val="auto"/>
                <w:szCs w:val="21"/>
                <w:highlight w:val="none"/>
                <w:lang w:val="en-US" w:eastAsia="zh-CN"/>
              </w:rPr>
              <w:t>其中每个海域项目根据发包人需求</w:t>
            </w:r>
            <w:r>
              <w:rPr>
                <w:rFonts w:hint="eastAsia"/>
                <w:color w:val="auto"/>
                <w:szCs w:val="21"/>
                <w:highlight w:val="none"/>
                <w:lang w:eastAsia="zh-CN"/>
              </w:rPr>
              <w:t>单独报批）</w:t>
            </w:r>
          </w:p>
        </w:tc>
      </w:tr>
      <w:tr w14:paraId="17DD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429" w:type="dxa"/>
            <w:vAlign w:val="center"/>
          </w:tcPr>
          <w:p w14:paraId="031BE096">
            <w:pPr>
              <w:spacing w:line="460" w:lineRule="exact"/>
              <w:jc w:val="center"/>
              <w:rPr>
                <w:color w:val="auto"/>
                <w:szCs w:val="21"/>
                <w:highlight w:val="none"/>
              </w:rPr>
            </w:pPr>
            <w:r>
              <w:rPr>
                <w:rFonts w:hint="eastAsia"/>
                <w:color w:val="auto"/>
                <w:szCs w:val="21"/>
                <w:highlight w:val="none"/>
              </w:rPr>
              <w:t>1</w:t>
            </w:r>
          </w:p>
        </w:tc>
        <w:tc>
          <w:tcPr>
            <w:tcW w:w="8047" w:type="dxa"/>
            <w:vAlign w:val="center"/>
          </w:tcPr>
          <w:p w14:paraId="5DB4E6FF">
            <w:pPr>
              <w:spacing w:line="460" w:lineRule="exact"/>
              <w:ind w:firstLine="495"/>
              <w:jc w:val="left"/>
              <w:rPr>
                <w:color w:val="auto"/>
                <w:highlight w:val="none"/>
                <w:shd w:val="pct10" w:color="auto" w:fill="FFFFFF"/>
              </w:rPr>
            </w:pPr>
            <w:r>
              <w:rPr>
                <w:rFonts w:hint="eastAsia" w:ascii="宋体" w:hAnsi="宋体" w:cs="宋体"/>
                <w:color w:val="auto"/>
                <w:szCs w:val="21"/>
                <w:highlight w:val="none"/>
              </w:rPr>
              <w:t>承包人接收发包人提供的</w:t>
            </w:r>
            <w:r>
              <w:rPr>
                <w:rFonts w:hint="eastAsia" w:ascii="宋体" w:hAnsi="宋体" w:cs="宋体"/>
                <w:color w:val="auto"/>
                <w:szCs w:val="21"/>
                <w:highlight w:val="none"/>
                <w:lang w:val="en-US" w:eastAsia="zh-CN"/>
              </w:rPr>
              <w:t>所需</w:t>
            </w:r>
            <w:r>
              <w:rPr>
                <w:rFonts w:hint="eastAsia" w:ascii="宋体" w:hAnsi="宋体" w:cs="宋体"/>
                <w:color w:val="auto"/>
                <w:szCs w:val="21"/>
                <w:highlight w:val="none"/>
              </w:rPr>
              <w:t>海域使用论证前置相关资料后</w:t>
            </w:r>
            <w:r>
              <w:rPr>
                <w:rFonts w:hint="eastAsia" w:ascii="宋体" w:hAnsi="宋体" w:cs="宋体"/>
                <w:color w:val="auto"/>
                <w:szCs w:val="21"/>
                <w:highlight w:val="none"/>
                <w:u w:val="single"/>
                <w:lang w:val="en-US" w:eastAsia="zh-CN"/>
              </w:rPr>
              <w:t xml:space="preserve"> 40 </w:t>
            </w:r>
            <w:r>
              <w:rPr>
                <w:rFonts w:hint="eastAsia" w:ascii="宋体" w:hAnsi="宋体" w:cs="宋体"/>
                <w:color w:val="auto"/>
                <w:szCs w:val="21"/>
                <w:highlight w:val="none"/>
              </w:rPr>
              <w:t>天内提交</w:t>
            </w:r>
            <w:r>
              <w:rPr>
                <w:rFonts w:hint="eastAsia" w:ascii="宋体" w:hAnsi="宋体" w:cs="宋体"/>
                <w:color w:val="auto"/>
                <w:szCs w:val="21"/>
                <w:highlight w:val="none"/>
                <w:lang w:val="en-US" w:eastAsia="zh-CN"/>
              </w:rPr>
              <w:t>该</w:t>
            </w:r>
            <w:r>
              <w:rPr>
                <w:rFonts w:hint="eastAsia" w:ascii="宋体" w:hAnsi="宋体" w:cs="宋体"/>
                <w:color w:val="auto"/>
                <w:szCs w:val="21"/>
                <w:highlight w:val="none"/>
              </w:rPr>
              <w:t>用海项目海域论证报告书等相关资料（初稿）</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 xml:space="preserve"> 份。</w:t>
            </w:r>
          </w:p>
        </w:tc>
      </w:tr>
      <w:tr w14:paraId="0F75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29" w:type="dxa"/>
            <w:vAlign w:val="center"/>
          </w:tcPr>
          <w:p w14:paraId="7567F60E">
            <w:pPr>
              <w:spacing w:line="460" w:lineRule="exact"/>
              <w:jc w:val="center"/>
              <w:rPr>
                <w:color w:val="auto"/>
                <w:szCs w:val="21"/>
                <w:highlight w:val="none"/>
              </w:rPr>
            </w:pPr>
            <w:r>
              <w:rPr>
                <w:rFonts w:hint="eastAsia"/>
                <w:color w:val="auto"/>
                <w:szCs w:val="21"/>
                <w:highlight w:val="none"/>
              </w:rPr>
              <w:t>2</w:t>
            </w:r>
          </w:p>
        </w:tc>
        <w:tc>
          <w:tcPr>
            <w:tcW w:w="8047" w:type="dxa"/>
            <w:vAlign w:val="center"/>
          </w:tcPr>
          <w:p w14:paraId="40F7C12D">
            <w:pPr>
              <w:spacing w:line="460" w:lineRule="exact"/>
              <w:ind w:firstLine="495"/>
              <w:jc w:val="left"/>
              <w:rPr>
                <w:color w:val="auto"/>
                <w:szCs w:val="21"/>
                <w:highlight w:val="none"/>
              </w:rPr>
            </w:pPr>
            <w:r>
              <w:rPr>
                <w:rFonts w:hint="eastAsia" w:ascii="宋体" w:hAnsi="宋体" w:cs="宋体"/>
                <w:color w:val="auto"/>
                <w:szCs w:val="21"/>
                <w:highlight w:val="none"/>
                <w:lang w:val="en-US" w:eastAsia="zh-CN"/>
              </w:rPr>
              <w:t>所需</w:t>
            </w:r>
            <w:r>
              <w:rPr>
                <w:rFonts w:hint="eastAsia" w:ascii="宋体" w:hAnsi="宋体" w:cs="宋体"/>
                <w:color w:val="auto"/>
                <w:szCs w:val="21"/>
                <w:highlight w:val="none"/>
              </w:rPr>
              <w:t>用海项目海域论证报告书评审通过后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rPr>
              <w:t>天内提交用海项目海域论证报告书、海籍调查表、宗海图等相关资料（报批稿）</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份。</w:t>
            </w:r>
          </w:p>
        </w:tc>
      </w:tr>
    </w:tbl>
    <w:p w14:paraId="3A695923">
      <w:pPr>
        <w:spacing w:line="460" w:lineRule="exact"/>
        <w:ind w:firstLine="495"/>
        <w:rPr>
          <w:color w:val="auto"/>
          <w:highlight w:val="none"/>
        </w:rPr>
      </w:pPr>
      <w:r>
        <w:rPr>
          <w:rFonts w:hint="eastAsia"/>
          <w:color w:val="auto"/>
          <w:highlight w:val="none"/>
        </w:rPr>
        <w:t>3、验收评价方法：</w:t>
      </w:r>
    </w:p>
    <w:p w14:paraId="194452EB">
      <w:pPr>
        <w:spacing w:line="460" w:lineRule="exact"/>
        <w:ind w:firstLine="495"/>
        <w:rPr>
          <w:color w:val="auto"/>
          <w:highlight w:val="none"/>
        </w:rPr>
      </w:pPr>
      <w:r>
        <w:rPr>
          <w:rFonts w:hint="eastAsia"/>
          <w:color w:val="auto"/>
          <w:highlight w:val="none"/>
        </w:rPr>
        <w:t>本项目的最终成果是海域使用论证报告书，该文件的验收以相关的海洋行政主管部门审查通过为标准。在海域使用论证报告书编制完成且报送相关海洋行政主管部门组织审查后，承包人应当及时按审查意见进行报告的最后修改，并提交通过审查的最终报告。报告的评审和报批费用已经包含在合同总价中，发包人将不另行支付这部分费用。</w:t>
      </w:r>
    </w:p>
    <w:p w14:paraId="1E8FC82D">
      <w:pPr>
        <w:spacing w:line="460" w:lineRule="exact"/>
        <w:ind w:firstLine="495"/>
        <w:rPr>
          <w:color w:val="auto"/>
          <w:highlight w:val="none"/>
        </w:rPr>
      </w:pPr>
      <w:r>
        <w:rPr>
          <w:rFonts w:hint="eastAsia"/>
          <w:color w:val="auto"/>
          <w:highlight w:val="none"/>
        </w:rPr>
        <w:t>4、合同金额及支付方式：</w:t>
      </w:r>
    </w:p>
    <w:p w14:paraId="74063458">
      <w:pPr>
        <w:spacing w:line="460" w:lineRule="exact"/>
        <w:ind w:firstLine="495"/>
        <w:rPr>
          <w:rFonts w:hint="eastAsia"/>
          <w:color w:val="auto"/>
          <w:highlight w:val="none"/>
          <w:lang w:eastAsia="zh-CN"/>
        </w:rPr>
      </w:pPr>
      <w:r>
        <w:rPr>
          <w:rFonts w:hint="eastAsia"/>
          <w:color w:val="auto"/>
          <w:highlight w:val="none"/>
        </w:rPr>
        <w:t>根据上述合同文件要求</w:t>
      </w:r>
      <w:r>
        <w:rPr>
          <w:color w:val="auto"/>
          <w:highlight w:val="none"/>
        </w:rPr>
        <w:t>，</w:t>
      </w:r>
      <w:r>
        <w:rPr>
          <w:rFonts w:hint="eastAsia"/>
          <w:color w:val="auto"/>
          <w:highlight w:val="none"/>
        </w:rPr>
        <w:t>合同价格为人民币（大写）</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r>
        <w:rPr>
          <w:rFonts w:hint="eastAsia"/>
          <w:color w:val="auto"/>
          <w:highlight w:val="none"/>
          <w:lang w:eastAsia="zh-CN"/>
        </w:rPr>
        <w:t>。</w:t>
      </w:r>
    </w:p>
    <w:p w14:paraId="1B0B3D61">
      <w:pPr>
        <w:spacing w:line="460" w:lineRule="exact"/>
        <w:ind w:firstLine="495"/>
        <w:rPr>
          <w:rFonts w:hint="eastAsia"/>
          <w:color w:val="auto"/>
          <w:highlight w:val="none"/>
          <w:lang w:val="en-US" w:eastAsia="zh-CN"/>
        </w:rPr>
      </w:pPr>
      <w:r>
        <w:rPr>
          <w:rFonts w:hint="eastAsia"/>
          <w:color w:val="auto"/>
          <w:highlight w:val="none"/>
          <w:lang w:val="en-US" w:eastAsia="zh-CN"/>
        </w:rPr>
        <w:t>三个区块按合同签约价平分，其中生态修复区数量3，每块</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rPr>
        <w:t>管理房</w:t>
      </w:r>
      <w:r>
        <w:rPr>
          <w:rFonts w:hint="eastAsia"/>
          <w:color w:val="auto"/>
          <w:highlight w:val="none"/>
          <w:lang w:val="en-US" w:eastAsia="zh-CN"/>
        </w:rPr>
        <w:t>及</w:t>
      </w:r>
      <w:r>
        <w:rPr>
          <w:rFonts w:hint="eastAsia"/>
          <w:color w:val="auto"/>
          <w:highlight w:val="none"/>
        </w:rPr>
        <w:t>巡查站</w:t>
      </w:r>
      <w:r>
        <w:rPr>
          <w:rFonts w:hint="eastAsia"/>
          <w:color w:val="auto"/>
          <w:highlight w:val="none"/>
          <w:lang w:val="en-US" w:eastAsia="zh-CN"/>
        </w:rPr>
        <w:t>数量1，每块</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u w:val="none"/>
          <w:lang w:val="en-US" w:eastAsia="zh-CN"/>
        </w:rPr>
        <w:t>；</w:t>
      </w:r>
      <w:r>
        <w:rPr>
          <w:rFonts w:hint="eastAsia"/>
          <w:color w:val="auto"/>
          <w:highlight w:val="none"/>
        </w:rPr>
        <w:t>三山北堤用海图斑</w:t>
      </w:r>
      <w:r>
        <w:rPr>
          <w:rFonts w:hint="eastAsia"/>
          <w:color w:val="auto"/>
          <w:highlight w:val="none"/>
          <w:lang w:val="en-US" w:eastAsia="zh-CN"/>
        </w:rPr>
        <w:t>数量1，每块</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b/>
          <w:bCs/>
          <w:color w:val="auto"/>
          <w:highlight w:val="none"/>
          <w:lang w:val="en-US" w:eastAsia="zh-CN"/>
        </w:rPr>
        <w:t>每个区块结算以实际完成的数量为准。</w:t>
      </w:r>
    </w:p>
    <w:p w14:paraId="21B938E2">
      <w:pPr>
        <w:spacing w:line="460" w:lineRule="exact"/>
        <w:ind w:firstLine="495"/>
        <w:rPr>
          <w:rFonts w:hint="eastAsia"/>
          <w:color w:val="auto"/>
          <w:highlight w:val="none"/>
        </w:rPr>
      </w:pPr>
      <w:r>
        <w:rPr>
          <w:rFonts w:hint="eastAsia"/>
          <w:color w:val="auto"/>
          <w:highlight w:val="none"/>
        </w:rPr>
        <w:t>金额应是招标文件所确定的招标范围内全部工作内容的价格表现，其应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p>
    <w:p w14:paraId="7D91A16A">
      <w:pPr>
        <w:spacing w:line="460" w:lineRule="exact"/>
        <w:ind w:firstLine="495"/>
        <w:rPr>
          <w:color w:val="auto"/>
          <w:highlight w:val="none"/>
        </w:rPr>
      </w:pPr>
      <w:r>
        <w:rPr>
          <w:rFonts w:hint="eastAsia"/>
          <w:color w:val="auto"/>
          <w:highlight w:val="none"/>
        </w:rPr>
        <w:t>本合同采用分期支付的方式，具体方式如下：</w:t>
      </w:r>
    </w:p>
    <w:p w14:paraId="17E23430">
      <w:pPr>
        <w:pStyle w:val="10"/>
        <w:spacing w:line="360" w:lineRule="auto"/>
        <w:jc w:val="left"/>
        <w:rPr>
          <w:color w:val="auto"/>
          <w:highlight w:val="none"/>
        </w:rPr>
      </w:pPr>
      <w:r>
        <w:rPr>
          <w:rFonts w:hint="eastAsia"/>
          <w:color w:val="auto"/>
          <w:highlight w:val="none"/>
        </w:rPr>
        <w:t>（1）</w:t>
      </w:r>
      <w:r>
        <w:rPr>
          <w:rFonts w:hint="eastAsia"/>
          <w:color w:val="auto"/>
          <w:highlight w:val="none"/>
          <w:u w:val="single"/>
        </w:rPr>
        <w:t>双方合同签订后支付合同价的</w:t>
      </w:r>
      <w:r>
        <w:rPr>
          <w:rFonts w:hint="eastAsia"/>
          <w:color w:val="auto"/>
          <w:highlight w:val="none"/>
          <w:u w:val="single"/>
          <w:lang w:val="en-US" w:eastAsia="zh-CN"/>
        </w:rPr>
        <w:t>30</w:t>
      </w:r>
      <w:r>
        <w:rPr>
          <w:rFonts w:hint="eastAsia"/>
          <w:color w:val="auto"/>
          <w:highlight w:val="none"/>
          <w:u w:val="single"/>
        </w:rPr>
        <w:t>%</w:t>
      </w:r>
      <w:r>
        <w:rPr>
          <w:rFonts w:hint="eastAsia"/>
          <w:color w:val="auto"/>
          <w:highlight w:val="none"/>
        </w:rPr>
        <w:t xml:space="preserve">； </w:t>
      </w:r>
    </w:p>
    <w:p w14:paraId="7650B578">
      <w:pPr>
        <w:pStyle w:val="10"/>
        <w:spacing w:line="360" w:lineRule="auto"/>
        <w:jc w:val="left"/>
        <w:rPr>
          <w:color w:val="auto"/>
          <w:highlight w:val="none"/>
        </w:rPr>
      </w:pPr>
      <w:r>
        <w:rPr>
          <w:rFonts w:hint="eastAsia"/>
          <w:color w:val="auto"/>
          <w:highlight w:val="none"/>
        </w:rPr>
        <w:t>（2）</w:t>
      </w:r>
      <w:r>
        <w:rPr>
          <w:rFonts w:hint="eastAsia"/>
          <w:color w:val="auto"/>
          <w:highlight w:val="none"/>
          <w:u w:val="single"/>
        </w:rPr>
        <w:t>提交</w:t>
      </w:r>
      <w:r>
        <w:rPr>
          <w:rFonts w:hint="eastAsia"/>
          <w:color w:val="auto"/>
          <w:highlight w:val="none"/>
          <w:u w:val="single"/>
          <w:lang w:val="en-US" w:eastAsia="zh-CN"/>
        </w:rPr>
        <w:t>发包人所需</w:t>
      </w:r>
      <w:r>
        <w:rPr>
          <w:rFonts w:hint="eastAsia"/>
          <w:color w:val="auto"/>
          <w:highlight w:val="none"/>
          <w:u w:val="single"/>
        </w:rPr>
        <w:t>项目报告书（报批稿）支付</w:t>
      </w:r>
      <w:r>
        <w:rPr>
          <w:rFonts w:hint="eastAsia"/>
          <w:color w:val="auto"/>
          <w:highlight w:val="none"/>
          <w:u w:val="single"/>
          <w:lang w:val="en-US" w:eastAsia="zh-CN"/>
        </w:rPr>
        <w:t>对应用海项目合同价</w:t>
      </w:r>
      <w:r>
        <w:rPr>
          <w:rFonts w:hint="eastAsia"/>
          <w:color w:val="auto"/>
          <w:highlight w:val="none"/>
          <w:u w:val="single"/>
        </w:rPr>
        <w:t>的</w:t>
      </w:r>
      <w:r>
        <w:rPr>
          <w:rFonts w:hint="eastAsia"/>
          <w:color w:val="auto"/>
          <w:highlight w:val="none"/>
          <w:u w:val="single"/>
          <w:lang w:val="en-US" w:eastAsia="zh-CN"/>
        </w:rPr>
        <w:t>40</w:t>
      </w:r>
      <w:r>
        <w:rPr>
          <w:rFonts w:hint="eastAsia"/>
          <w:color w:val="auto"/>
          <w:highlight w:val="none"/>
          <w:u w:val="single"/>
        </w:rPr>
        <w:t>%；</w:t>
      </w:r>
    </w:p>
    <w:p w14:paraId="08B80985">
      <w:pPr>
        <w:pStyle w:val="10"/>
        <w:spacing w:line="360" w:lineRule="auto"/>
        <w:jc w:val="left"/>
        <w:rPr>
          <w:color w:val="auto"/>
          <w:highlight w:val="none"/>
        </w:rPr>
      </w:pPr>
      <w:r>
        <w:rPr>
          <w:rFonts w:hint="eastAsia"/>
          <w:color w:val="auto"/>
          <w:highlight w:val="none"/>
        </w:rPr>
        <w:t>（3）</w:t>
      </w:r>
      <w:r>
        <w:rPr>
          <w:rFonts w:hint="eastAsia"/>
          <w:color w:val="auto"/>
          <w:highlight w:val="none"/>
          <w:u w:val="single"/>
        </w:rPr>
        <w:t>取得项目批复</w:t>
      </w:r>
      <w:r>
        <w:rPr>
          <w:rFonts w:hint="eastAsia"/>
          <w:color w:val="auto"/>
          <w:highlight w:val="none"/>
          <w:u w:val="single"/>
          <w:lang w:val="en-US" w:eastAsia="zh-CN"/>
        </w:rPr>
        <w:t>后</w:t>
      </w:r>
      <w:r>
        <w:rPr>
          <w:rFonts w:hint="eastAsia"/>
          <w:color w:val="auto"/>
          <w:highlight w:val="none"/>
          <w:u w:val="single"/>
        </w:rPr>
        <w:t>支付</w:t>
      </w:r>
      <w:r>
        <w:rPr>
          <w:rFonts w:hint="eastAsia"/>
          <w:color w:val="auto"/>
          <w:highlight w:val="none"/>
          <w:u w:val="single"/>
          <w:lang w:val="en-US" w:eastAsia="zh-CN"/>
        </w:rPr>
        <w:t>对应用海项目剩余价款</w:t>
      </w:r>
      <w:r>
        <w:rPr>
          <w:rFonts w:hint="eastAsia"/>
          <w:color w:val="auto"/>
          <w:highlight w:val="none"/>
        </w:rPr>
        <w:t>。</w:t>
      </w:r>
    </w:p>
    <w:p w14:paraId="42105720">
      <w:pPr>
        <w:spacing w:line="460" w:lineRule="exact"/>
        <w:ind w:firstLine="495"/>
        <w:rPr>
          <w:color w:val="auto"/>
          <w:highlight w:val="none"/>
        </w:rPr>
      </w:pPr>
      <w:r>
        <w:rPr>
          <w:rFonts w:hint="eastAsia"/>
          <w:color w:val="auto"/>
          <w:highlight w:val="none"/>
        </w:rPr>
        <w:t>发包人收到承包人开具的正式发票后支付每期合同款。</w:t>
      </w:r>
    </w:p>
    <w:p w14:paraId="40B244C9">
      <w:pPr>
        <w:spacing w:line="460" w:lineRule="exact"/>
        <w:ind w:firstLine="495"/>
        <w:rPr>
          <w:color w:val="auto"/>
          <w:highlight w:val="none"/>
        </w:rPr>
      </w:pPr>
      <w:r>
        <w:rPr>
          <w:rFonts w:hint="eastAsia"/>
          <w:color w:val="auto"/>
          <w:highlight w:val="none"/>
        </w:rPr>
        <w:t>5、双方责任和义务：</w:t>
      </w:r>
    </w:p>
    <w:p w14:paraId="434F8604">
      <w:pPr>
        <w:spacing w:line="460" w:lineRule="exact"/>
        <w:ind w:firstLine="495"/>
        <w:rPr>
          <w:color w:val="auto"/>
          <w:highlight w:val="none"/>
        </w:rPr>
      </w:pP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发包人的责任和义务</w:t>
      </w:r>
    </w:p>
    <w:p w14:paraId="027D86C1">
      <w:pPr>
        <w:spacing w:line="460" w:lineRule="exact"/>
        <w:ind w:firstLine="495"/>
        <w:rPr>
          <w:color w:val="auto"/>
          <w:highlight w:val="none"/>
        </w:rPr>
      </w:pPr>
      <w:r>
        <w:rPr>
          <w:rFonts w:hint="eastAsia"/>
          <w:color w:val="auto"/>
          <w:highlight w:val="none"/>
        </w:rPr>
        <w:t>a、向承包人提供该项目海域论证所需的报告和资料，并对这些资料的解释和可靠性负责。</w:t>
      </w:r>
    </w:p>
    <w:p w14:paraId="5F98F0AC">
      <w:pPr>
        <w:spacing w:line="460" w:lineRule="exact"/>
        <w:ind w:firstLine="495"/>
        <w:rPr>
          <w:color w:val="auto"/>
          <w:highlight w:val="none"/>
        </w:rPr>
      </w:pPr>
      <w:r>
        <w:rPr>
          <w:rFonts w:hint="eastAsia"/>
          <w:color w:val="auto"/>
          <w:highlight w:val="none"/>
        </w:rPr>
        <w:t>b、对承包人的工作方案及人员组成进行审查，对项目技术质量进行监督。</w:t>
      </w:r>
    </w:p>
    <w:p w14:paraId="15D3FFE8">
      <w:pPr>
        <w:spacing w:line="460" w:lineRule="exact"/>
        <w:ind w:firstLine="495"/>
        <w:rPr>
          <w:color w:val="auto"/>
          <w:highlight w:val="none"/>
        </w:rPr>
      </w:pPr>
      <w:r>
        <w:rPr>
          <w:rFonts w:hint="eastAsia"/>
          <w:color w:val="auto"/>
          <w:highlight w:val="none"/>
        </w:rPr>
        <w:t>c、为承包人顺利完成报告编制任务提供必要的协助。</w:t>
      </w:r>
    </w:p>
    <w:p w14:paraId="1E934C54">
      <w:pPr>
        <w:spacing w:line="460" w:lineRule="exact"/>
        <w:ind w:firstLine="495"/>
        <w:rPr>
          <w:color w:val="auto"/>
          <w:highlight w:val="none"/>
        </w:rPr>
      </w:pPr>
      <w:r>
        <w:rPr>
          <w:rFonts w:hint="eastAsia"/>
          <w:color w:val="auto"/>
          <w:highlight w:val="none"/>
        </w:rPr>
        <w:t>d、按时支付承包人合同费用。</w:t>
      </w:r>
    </w:p>
    <w:p w14:paraId="3F72BC79">
      <w:pPr>
        <w:spacing w:line="460" w:lineRule="exact"/>
        <w:ind w:firstLine="495"/>
        <w:rPr>
          <w:color w:val="auto"/>
          <w:highlight w:val="none"/>
        </w:rPr>
      </w:pPr>
      <w:r>
        <w:rPr>
          <w:color w:val="auto"/>
          <w:highlight w:val="none"/>
        </w:rPr>
        <w:t xml:space="preserve"> (</w:t>
      </w:r>
      <w:r>
        <w:rPr>
          <w:rFonts w:hint="eastAsia"/>
          <w:color w:val="auto"/>
          <w:highlight w:val="none"/>
        </w:rPr>
        <w:t>2</w:t>
      </w:r>
      <w:r>
        <w:rPr>
          <w:color w:val="auto"/>
          <w:highlight w:val="none"/>
        </w:rPr>
        <w:t xml:space="preserve">) </w:t>
      </w:r>
      <w:r>
        <w:rPr>
          <w:rFonts w:hint="eastAsia"/>
          <w:color w:val="auto"/>
          <w:highlight w:val="none"/>
        </w:rPr>
        <w:t>承包人的责任和义务</w:t>
      </w:r>
    </w:p>
    <w:p w14:paraId="3E175120">
      <w:pPr>
        <w:spacing w:line="460" w:lineRule="exact"/>
        <w:ind w:firstLine="495"/>
        <w:rPr>
          <w:color w:val="auto"/>
          <w:highlight w:val="none"/>
        </w:rPr>
      </w:pPr>
      <w:r>
        <w:rPr>
          <w:rFonts w:hint="eastAsia"/>
          <w:color w:val="auto"/>
          <w:highlight w:val="none"/>
        </w:rPr>
        <w:t>a、配合主管部门完成海域使用论证报告书的评审，相关费用已包含在合同总价里。</w:t>
      </w:r>
    </w:p>
    <w:p w14:paraId="44B8A413">
      <w:pPr>
        <w:spacing w:line="460" w:lineRule="exact"/>
        <w:ind w:firstLine="495"/>
        <w:rPr>
          <w:color w:val="auto"/>
          <w:highlight w:val="none"/>
        </w:rPr>
      </w:pPr>
      <w:r>
        <w:rPr>
          <w:rFonts w:hint="eastAsia"/>
          <w:color w:val="auto"/>
          <w:highlight w:val="none"/>
        </w:rPr>
        <w:t>b、负责按照评审意见和海洋行政主管部门的要求对海域使用论证报告书进行修改完善。</w:t>
      </w:r>
    </w:p>
    <w:p w14:paraId="0AD344C5">
      <w:pPr>
        <w:spacing w:line="460" w:lineRule="exact"/>
        <w:ind w:firstLine="495"/>
        <w:rPr>
          <w:color w:val="auto"/>
          <w:highlight w:val="none"/>
        </w:rPr>
      </w:pPr>
      <w:r>
        <w:rPr>
          <w:rFonts w:hint="eastAsia"/>
          <w:color w:val="auto"/>
          <w:highlight w:val="none"/>
        </w:rPr>
        <w:t>c、根据合同第2、3条要求，按时完成相关工作。</w:t>
      </w:r>
    </w:p>
    <w:p w14:paraId="0C117CA8">
      <w:pPr>
        <w:spacing w:line="460" w:lineRule="exact"/>
        <w:ind w:firstLine="495"/>
        <w:rPr>
          <w:color w:val="auto"/>
          <w:highlight w:val="none"/>
        </w:rPr>
      </w:pPr>
      <w:r>
        <w:rPr>
          <w:rFonts w:hint="eastAsia"/>
          <w:color w:val="auto"/>
          <w:highlight w:val="none"/>
        </w:rPr>
        <w:t>d、严格遵守对成果资料和发包人提供的资料的保密责任。</w:t>
      </w:r>
    </w:p>
    <w:p w14:paraId="132F96B4">
      <w:pPr>
        <w:spacing w:line="460" w:lineRule="exact"/>
        <w:ind w:firstLine="495"/>
        <w:rPr>
          <w:color w:val="auto"/>
          <w:highlight w:val="none"/>
        </w:rPr>
      </w:pPr>
      <w:r>
        <w:rPr>
          <w:rFonts w:hint="eastAsia"/>
          <w:color w:val="auto"/>
          <w:highlight w:val="none"/>
        </w:rPr>
        <w:t>e、需按照发包人的要求完成对海籍调查表和宗海图的绘制。</w:t>
      </w:r>
    </w:p>
    <w:p w14:paraId="0B7B79C8">
      <w:pPr>
        <w:spacing w:line="460" w:lineRule="exact"/>
        <w:ind w:firstLine="495"/>
        <w:rPr>
          <w:color w:val="auto"/>
          <w:highlight w:val="none"/>
        </w:rPr>
      </w:pPr>
      <w:r>
        <w:rPr>
          <w:rFonts w:hint="eastAsia"/>
          <w:color w:val="auto"/>
          <w:highlight w:val="none"/>
        </w:rPr>
        <w:t>6、双方违约责任：</w:t>
      </w:r>
    </w:p>
    <w:p w14:paraId="4456B499">
      <w:pPr>
        <w:spacing w:line="460" w:lineRule="exact"/>
        <w:ind w:firstLine="495"/>
        <w:rPr>
          <w:color w:val="auto"/>
          <w:highlight w:val="none"/>
        </w:rPr>
      </w:pP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发包人的违约责任</w:t>
      </w:r>
    </w:p>
    <w:p w14:paraId="33374B23">
      <w:pPr>
        <w:spacing w:line="460" w:lineRule="exact"/>
        <w:ind w:firstLine="495"/>
        <w:rPr>
          <w:color w:val="auto"/>
          <w:highlight w:val="none"/>
        </w:rPr>
      </w:pPr>
      <w:r>
        <w:rPr>
          <w:rFonts w:hint="eastAsia"/>
          <w:color w:val="auto"/>
          <w:highlight w:val="none"/>
        </w:rPr>
        <w:t>a、 由于发包人自身原因中止合同</w:t>
      </w:r>
      <w:r>
        <w:rPr>
          <w:color w:val="auto"/>
          <w:highlight w:val="none"/>
        </w:rPr>
        <w:t>,</w:t>
      </w:r>
      <w:r>
        <w:rPr>
          <w:rFonts w:hint="eastAsia"/>
          <w:color w:val="auto"/>
          <w:highlight w:val="none"/>
        </w:rPr>
        <w:t xml:space="preserve"> 除应书面通知投标人外，发包人按投标人已完成的工作量比例向承包人支付相应比例的费用</w:t>
      </w:r>
      <w:r>
        <w:rPr>
          <w:color w:val="auto"/>
          <w:highlight w:val="none"/>
        </w:rPr>
        <w:t>,</w:t>
      </w:r>
      <w:r>
        <w:rPr>
          <w:rFonts w:hint="eastAsia"/>
          <w:color w:val="auto"/>
          <w:highlight w:val="none"/>
        </w:rPr>
        <w:t xml:space="preserve"> 同时终止合同关系。</w:t>
      </w:r>
    </w:p>
    <w:p w14:paraId="44D3D1BD">
      <w:pPr>
        <w:spacing w:line="460" w:lineRule="exact"/>
        <w:ind w:firstLine="495"/>
        <w:rPr>
          <w:color w:val="auto"/>
          <w:highlight w:val="none"/>
        </w:rPr>
      </w:pPr>
      <w:r>
        <w:rPr>
          <w:color w:val="auto"/>
          <w:highlight w:val="none"/>
        </w:rPr>
        <w:t xml:space="preserve"> (</w:t>
      </w:r>
      <w:r>
        <w:rPr>
          <w:rFonts w:hint="eastAsia"/>
          <w:color w:val="auto"/>
          <w:highlight w:val="none"/>
        </w:rPr>
        <w:t>2</w:t>
      </w:r>
      <w:r>
        <w:rPr>
          <w:color w:val="auto"/>
          <w:highlight w:val="none"/>
        </w:rPr>
        <w:t xml:space="preserve">) </w:t>
      </w:r>
      <w:r>
        <w:rPr>
          <w:rFonts w:hint="eastAsia"/>
          <w:color w:val="auto"/>
          <w:highlight w:val="none"/>
        </w:rPr>
        <w:t>承包人的违约责任</w:t>
      </w:r>
    </w:p>
    <w:p w14:paraId="23A71991">
      <w:pPr>
        <w:spacing w:line="460" w:lineRule="exact"/>
        <w:ind w:firstLine="495"/>
        <w:rPr>
          <w:color w:val="auto"/>
          <w:highlight w:val="none"/>
        </w:rPr>
      </w:pPr>
      <w:r>
        <w:rPr>
          <w:rFonts w:hint="eastAsia"/>
          <w:color w:val="auto"/>
          <w:highlight w:val="none"/>
        </w:rPr>
        <w:t>a、 由于承包人原因中止合同</w:t>
      </w:r>
      <w:r>
        <w:rPr>
          <w:color w:val="auto"/>
          <w:highlight w:val="none"/>
        </w:rPr>
        <w:t>,</w:t>
      </w:r>
      <w:r>
        <w:rPr>
          <w:rFonts w:hint="eastAsia"/>
          <w:color w:val="auto"/>
          <w:highlight w:val="none"/>
        </w:rPr>
        <w:t xml:space="preserve"> 承包人应全额返还发包人已支付的款项，并承担由此对发包人带来的其他损失</w:t>
      </w:r>
      <w:r>
        <w:rPr>
          <w:color w:val="auto"/>
          <w:highlight w:val="none"/>
        </w:rPr>
        <w:t>。</w:t>
      </w:r>
    </w:p>
    <w:p w14:paraId="1D4B2A5E">
      <w:pPr>
        <w:spacing w:line="460" w:lineRule="exact"/>
        <w:ind w:firstLine="495"/>
        <w:rPr>
          <w:color w:val="auto"/>
          <w:highlight w:val="none"/>
        </w:rPr>
      </w:pPr>
      <w:r>
        <w:rPr>
          <w:rFonts w:hint="eastAsia"/>
          <w:color w:val="auto"/>
          <w:highlight w:val="none"/>
        </w:rPr>
        <w:t>b、承包人应按合同工期完成工作任务。对第2、3条中规定的阶段性目标，若承包人不能及时完成，则扣罚违约金1000元/天，不超过总价的20%。但因不可抗拒的自然灾害造成承包人延误工期，经发包人同意，工期顺延。</w:t>
      </w:r>
    </w:p>
    <w:p w14:paraId="3E0EA568">
      <w:pPr>
        <w:spacing w:line="460" w:lineRule="exact"/>
        <w:ind w:firstLine="495"/>
        <w:rPr>
          <w:rFonts w:ascii="Calibri" w:hAnsi="Calibri"/>
          <w:color w:val="auto"/>
          <w:highlight w:val="none"/>
        </w:rPr>
      </w:pPr>
      <w:r>
        <w:rPr>
          <w:rFonts w:hint="eastAsia" w:ascii="Calibri" w:hAnsi="Calibri"/>
          <w:color w:val="auto"/>
          <w:highlight w:val="none"/>
        </w:rPr>
        <w:t>c、若中标人提交的技术服务成果，经采购人三次及以上退回中标人进行修改，仍未能通过验收的，则采购人有权解除台同。</w:t>
      </w:r>
    </w:p>
    <w:p w14:paraId="5F3F8255">
      <w:pPr>
        <w:spacing w:line="460" w:lineRule="exact"/>
        <w:ind w:firstLine="495"/>
        <w:rPr>
          <w:color w:val="auto"/>
          <w:highlight w:val="none"/>
        </w:rPr>
      </w:pPr>
      <w:r>
        <w:rPr>
          <w:rFonts w:hint="eastAsia"/>
          <w:color w:val="auto"/>
          <w:highlight w:val="none"/>
        </w:rPr>
        <w:t>7、分包</w:t>
      </w:r>
    </w:p>
    <w:p w14:paraId="7FB8DEB6">
      <w:pPr>
        <w:spacing w:line="460" w:lineRule="exact"/>
        <w:ind w:firstLine="495"/>
        <w:rPr>
          <w:color w:val="auto"/>
          <w:highlight w:val="none"/>
        </w:rPr>
      </w:pPr>
      <w:r>
        <w:rPr>
          <w:rFonts w:hint="eastAsia"/>
          <w:color w:val="auto"/>
          <w:highlight w:val="none"/>
        </w:rPr>
        <w:t>本项目允许承包人自行将海籍调查和宗海图绘制工作内容分包给具有相应测绘资质的单位，无需经过发包人同意。</w:t>
      </w:r>
    </w:p>
    <w:p w14:paraId="759FD454">
      <w:pPr>
        <w:spacing w:line="460" w:lineRule="exact"/>
        <w:ind w:firstLine="495"/>
        <w:rPr>
          <w:color w:val="auto"/>
          <w:highlight w:val="none"/>
        </w:rPr>
      </w:pPr>
      <w:r>
        <w:rPr>
          <w:rFonts w:hint="eastAsia"/>
          <w:color w:val="auto"/>
          <w:highlight w:val="none"/>
        </w:rPr>
        <w:t>8、技术情报和资料的保密：</w:t>
      </w:r>
    </w:p>
    <w:p w14:paraId="2A05DC61">
      <w:pPr>
        <w:spacing w:line="460" w:lineRule="exact"/>
        <w:ind w:firstLine="495"/>
        <w:rPr>
          <w:color w:val="auto"/>
          <w:highlight w:val="none"/>
        </w:rPr>
      </w:pPr>
      <w:r>
        <w:rPr>
          <w:rFonts w:hint="eastAsia"/>
          <w:color w:val="auto"/>
          <w:highlight w:val="none"/>
        </w:rPr>
        <w:t>全部技术成果归双方共有，但承包人对成果资料和发包人提供的所有资料负有保密的责任，未经发包人许可，承包人不得向第三方提供本合同范围内的研究成果。否则，发包人有权提起诉讼，由此引起的所有费用及损失由承包人承担。对本项目的宣传报道必须经发包人同意，否则造成的损失和影响，发包人有权通过法律途径取得追偿。本合同变更、解除及终止，本条款均有效。</w:t>
      </w:r>
    </w:p>
    <w:p w14:paraId="744ECFD8">
      <w:pPr>
        <w:spacing w:line="460" w:lineRule="exact"/>
        <w:ind w:firstLine="495"/>
        <w:rPr>
          <w:color w:val="auto"/>
          <w:highlight w:val="none"/>
        </w:rPr>
      </w:pPr>
      <w:r>
        <w:rPr>
          <w:rFonts w:hint="eastAsia"/>
          <w:color w:val="auto"/>
          <w:highlight w:val="none"/>
        </w:rPr>
        <w:t>9、本合同未尽事宜，双方应及时协商解决，签订的补充协议与本合同具有同等法律效力。本合同在履行过程中发生的争端，由双方当事人协商解决，或通过上级主管部门调解；若经过协商或调解仍不能达成一致时，任何一方均可向发包人所在地的人民法院起诉。本协议自生效之日起，若发生纠纷，由违约方赔偿守约方因纠纷所支付的费用（包括但不限于律师费、差旅费、诉讼费、保全费、鉴定费、评估费等）。</w:t>
      </w:r>
    </w:p>
    <w:p w14:paraId="37F902A1">
      <w:pPr>
        <w:spacing w:line="460" w:lineRule="exact"/>
        <w:ind w:left="105" w:leftChars="50" w:firstLine="367" w:firstLineChars="175"/>
        <w:rPr>
          <w:color w:val="auto"/>
          <w:highlight w:val="none"/>
        </w:rPr>
      </w:pPr>
      <w:r>
        <w:rPr>
          <w:rFonts w:hint="eastAsia"/>
          <w:color w:val="auto"/>
          <w:highlight w:val="none"/>
        </w:rPr>
        <w:t>10、本合同一式</w:t>
      </w:r>
      <w:r>
        <w:rPr>
          <w:rFonts w:hint="eastAsia"/>
          <w:color w:val="auto"/>
          <w:highlight w:val="none"/>
          <w:u w:val="single"/>
        </w:rPr>
        <w:t>肆</w:t>
      </w:r>
      <w:r>
        <w:rPr>
          <w:rFonts w:hint="eastAsia"/>
          <w:color w:val="auto"/>
          <w:highlight w:val="none"/>
        </w:rPr>
        <w:t>份，合同双方各执</w:t>
      </w:r>
      <w:r>
        <w:rPr>
          <w:rFonts w:hint="eastAsia"/>
          <w:color w:val="auto"/>
          <w:highlight w:val="none"/>
          <w:u w:val="single"/>
        </w:rPr>
        <w:t>贰</w:t>
      </w:r>
      <w:r>
        <w:rPr>
          <w:rFonts w:hint="eastAsia"/>
          <w:color w:val="auto"/>
          <w:highlight w:val="none"/>
        </w:rPr>
        <w:t>份，具有同等法律效力。</w:t>
      </w:r>
    </w:p>
    <w:p w14:paraId="06AFE6F9">
      <w:pPr>
        <w:spacing w:line="460" w:lineRule="exact"/>
        <w:ind w:firstLine="495"/>
        <w:rPr>
          <w:color w:val="auto"/>
          <w:highlight w:val="none"/>
        </w:rPr>
      </w:pPr>
      <w:r>
        <w:rPr>
          <w:rFonts w:hint="eastAsia"/>
          <w:color w:val="auto"/>
          <w:highlight w:val="none"/>
        </w:rPr>
        <w:t>11、合同生效</w:t>
      </w:r>
    </w:p>
    <w:p w14:paraId="2C17EE08">
      <w:pPr>
        <w:spacing w:line="460" w:lineRule="exact"/>
        <w:ind w:firstLine="495"/>
        <w:rPr>
          <w:color w:val="auto"/>
          <w:highlight w:val="none"/>
        </w:rPr>
      </w:pPr>
      <w:r>
        <w:rPr>
          <w:rFonts w:hint="eastAsia"/>
          <w:color w:val="auto"/>
          <w:highlight w:val="none"/>
        </w:rPr>
        <w:t>合同订立时间：</w:t>
      </w:r>
      <w:r>
        <w:rPr>
          <w:color w:val="auto"/>
          <w:highlight w:val="none"/>
        </w:rPr>
        <w:t xml:space="preserve">________ </w:t>
      </w:r>
      <w:r>
        <w:rPr>
          <w:rFonts w:hint="eastAsia"/>
          <w:color w:val="auto"/>
          <w:highlight w:val="none"/>
        </w:rPr>
        <w:t>年</w:t>
      </w:r>
      <w:r>
        <w:rPr>
          <w:color w:val="auto"/>
          <w:highlight w:val="none"/>
        </w:rPr>
        <w:t xml:space="preserve">__________ </w:t>
      </w:r>
      <w:r>
        <w:rPr>
          <w:rFonts w:hint="eastAsia"/>
          <w:color w:val="auto"/>
          <w:highlight w:val="none"/>
        </w:rPr>
        <w:t>月</w:t>
      </w:r>
      <w:r>
        <w:rPr>
          <w:color w:val="auto"/>
          <w:highlight w:val="none"/>
        </w:rPr>
        <w:t xml:space="preserve">__________ </w:t>
      </w:r>
      <w:r>
        <w:rPr>
          <w:rFonts w:hint="eastAsia"/>
          <w:color w:val="auto"/>
          <w:highlight w:val="none"/>
        </w:rPr>
        <w:t>日</w:t>
      </w:r>
    </w:p>
    <w:p w14:paraId="20F50CD5">
      <w:pPr>
        <w:spacing w:line="460" w:lineRule="exact"/>
        <w:ind w:firstLine="495"/>
        <w:rPr>
          <w:color w:val="auto"/>
          <w:highlight w:val="none"/>
        </w:rPr>
      </w:pPr>
      <w:r>
        <w:rPr>
          <w:rFonts w:hint="eastAsia"/>
          <w:color w:val="auto"/>
          <w:highlight w:val="none"/>
        </w:rPr>
        <w:t>合同订立地点：</w:t>
      </w:r>
      <w:r>
        <w:rPr>
          <w:rFonts w:hint="eastAsia"/>
          <w:color w:val="auto"/>
          <w:highlight w:val="none"/>
          <w:u w:val="single"/>
        </w:rPr>
        <w:t xml:space="preserve">          台州            </w:t>
      </w:r>
      <w:r>
        <w:rPr>
          <w:rFonts w:hint="eastAsia"/>
          <w:color w:val="auto"/>
          <w:highlight w:val="none"/>
        </w:rPr>
        <w:t xml:space="preserve">     </w:t>
      </w:r>
    </w:p>
    <w:p w14:paraId="0FF56BCE">
      <w:pPr>
        <w:spacing w:line="460" w:lineRule="exact"/>
        <w:ind w:firstLine="495"/>
        <w:rPr>
          <w:color w:val="auto"/>
          <w:highlight w:val="none"/>
        </w:rPr>
      </w:pPr>
      <w:r>
        <w:rPr>
          <w:rFonts w:hint="eastAsia"/>
          <w:color w:val="auto"/>
          <w:highlight w:val="none"/>
        </w:rPr>
        <w:t>本合同双方约定　签字（或印鉴）、盖</w:t>
      </w:r>
      <w:r>
        <w:rPr>
          <w:color w:val="auto"/>
          <w:highlight w:val="none"/>
        </w:rPr>
        <w:t>公</w:t>
      </w:r>
      <w:r>
        <w:rPr>
          <w:rFonts w:hint="eastAsia"/>
          <w:color w:val="auto"/>
          <w:highlight w:val="none"/>
        </w:rPr>
        <w:t>章后生效。</w:t>
      </w:r>
    </w:p>
    <w:p w14:paraId="00E63D28">
      <w:pPr>
        <w:rPr>
          <w:color w:val="auto"/>
          <w:highlight w:val="none"/>
        </w:rPr>
      </w:pPr>
    </w:p>
    <w:p w14:paraId="204EFAED">
      <w:pPr>
        <w:pStyle w:val="12"/>
        <w:numPr>
          <w:ilvl w:val="0"/>
          <w:numId w:val="0"/>
        </w:numPr>
        <w:ind w:left="420"/>
        <w:rPr>
          <w:color w:val="auto"/>
          <w:highlight w:val="none"/>
        </w:rPr>
      </w:pPr>
    </w:p>
    <w:p w14:paraId="07683D40">
      <w:pPr>
        <w:spacing w:line="460" w:lineRule="exact"/>
        <w:ind w:firstLine="495"/>
        <w:rPr>
          <w:color w:val="auto"/>
          <w:highlight w:val="none"/>
        </w:rPr>
      </w:pPr>
      <w:r>
        <w:rPr>
          <w:rFonts w:hint="eastAsia"/>
          <w:color w:val="auto"/>
          <w:highlight w:val="none"/>
        </w:rPr>
        <w:t>发包人(公章)：                　　  　　　　承包人(公章)：</w:t>
      </w:r>
    </w:p>
    <w:p w14:paraId="062958E4">
      <w:pPr>
        <w:spacing w:line="460" w:lineRule="exact"/>
        <w:ind w:firstLine="495"/>
        <w:rPr>
          <w:color w:val="auto"/>
          <w:highlight w:val="none"/>
        </w:rPr>
      </w:pPr>
      <w:r>
        <w:rPr>
          <w:rFonts w:hint="eastAsia"/>
          <w:color w:val="auto"/>
          <w:highlight w:val="none"/>
        </w:rPr>
        <w:t>住  所：                      　　　　　　　住  所：</w:t>
      </w:r>
    </w:p>
    <w:p w14:paraId="7384076B">
      <w:pPr>
        <w:spacing w:line="460" w:lineRule="exact"/>
        <w:ind w:firstLine="495"/>
        <w:rPr>
          <w:color w:val="auto"/>
          <w:highlight w:val="none"/>
        </w:rPr>
      </w:pPr>
      <w:r>
        <w:rPr>
          <w:rFonts w:hint="eastAsia"/>
          <w:color w:val="auto"/>
          <w:highlight w:val="none"/>
        </w:rPr>
        <w:t xml:space="preserve">法定代表人（签字或印鉴）：                </w:t>
      </w:r>
      <w:r>
        <w:rPr>
          <w:color w:val="auto"/>
          <w:highlight w:val="none"/>
        </w:rPr>
        <w:t>  </w:t>
      </w:r>
      <w:r>
        <w:rPr>
          <w:rFonts w:hint="eastAsia"/>
          <w:color w:val="auto"/>
          <w:highlight w:val="none"/>
        </w:rPr>
        <w:t>法定代表人（签字或印鉴）：</w:t>
      </w:r>
    </w:p>
    <w:p w14:paraId="68291850">
      <w:pPr>
        <w:spacing w:line="460" w:lineRule="exact"/>
        <w:ind w:firstLine="495"/>
        <w:rPr>
          <w:color w:val="auto"/>
          <w:highlight w:val="none"/>
        </w:rPr>
      </w:pPr>
      <w:r>
        <w:rPr>
          <w:rFonts w:hint="eastAsia"/>
          <w:color w:val="auto"/>
          <w:highlight w:val="none"/>
        </w:rPr>
        <w:t xml:space="preserve">委托代理人（签字或印鉴）：             </w:t>
      </w:r>
      <w:r>
        <w:rPr>
          <w:color w:val="auto"/>
          <w:highlight w:val="none"/>
        </w:rPr>
        <w:t>  </w:t>
      </w:r>
      <w:r>
        <w:rPr>
          <w:rFonts w:hint="eastAsia"/>
          <w:color w:val="auto"/>
          <w:highlight w:val="none"/>
        </w:rPr>
        <w:t xml:space="preserve">  </w:t>
      </w:r>
      <w:r>
        <w:rPr>
          <w:color w:val="auto"/>
          <w:highlight w:val="none"/>
        </w:rPr>
        <w:t>  </w:t>
      </w:r>
      <w:r>
        <w:rPr>
          <w:rFonts w:hint="eastAsia"/>
          <w:color w:val="auto"/>
          <w:highlight w:val="none"/>
        </w:rPr>
        <w:t>委托代理人（签字或印鉴）：</w:t>
      </w:r>
    </w:p>
    <w:p w14:paraId="2E79553F">
      <w:pPr>
        <w:spacing w:line="460" w:lineRule="exact"/>
        <w:ind w:firstLine="495"/>
        <w:rPr>
          <w:color w:val="auto"/>
          <w:highlight w:val="none"/>
        </w:rPr>
      </w:pPr>
      <w:r>
        <w:rPr>
          <w:rFonts w:hint="eastAsia"/>
          <w:color w:val="auto"/>
          <w:highlight w:val="none"/>
        </w:rPr>
        <w:t>电  话：                      　　　　　　　电  话：</w:t>
      </w:r>
    </w:p>
    <w:p w14:paraId="1CEDDB5D">
      <w:pPr>
        <w:spacing w:line="460" w:lineRule="exact"/>
        <w:ind w:firstLine="495"/>
        <w:rPr>
          <w:color w:val="auto"/>
          <w:highlight w:val="none"/>
        </w:rPr>
      </w:pPr>
      <w:r>
        <w:rPr>
          <w:rFonts w:hint="eastAsia"/>
          <w:color w:val="auto"/>
          <w:highlight w:val="none"/>
        </w:rPr>
        <w:t xml:space="preserve">传  真：                      　　　　　　　传  真：  </w:t>
      </w:r>
    </w:p>
    <w:p w14:paraId="1DF52447">
      <w:pPr>
        <w:spacing w:line="460" w:lineRule="exact"/>
        <w:ind w:firstLine="495"/>
        <w:rPr>
          <w:color w:val="auto"/>
          <w:highlight w:val="none"/>
        </w:rPr>
      </w:pPr>
      <w:r>
        <w:rPr>
          <w:rFonts w:hint="eastAsia"/>
          <w:color w:val="auto"/>
          <w:highlight w:val="none"/>
        </w:rPr>
        <w:t>开户银行：                    　　　　　　　开户银行：</w:t>
      </w:r>
    </w:p>
    <w:p w14:paraId="4DF57D8E">
      <w:pPr>
        <w:spacing w:line="460" w:lineRule="exact"/>
        <w:ind w:firstLine="495"/>
        <w:rPr>
          <w:color w:val="auto"/>
          <w:highlight w:val="none"/>
        </w:rPr>
      </w:pPr>
      <w:r>
        <w:rPr>
          <w:rFonts w:hint="eastAsia"/>
          <w:color w:val="auto"/>
          <w:highlight w:val="none"/>
        </w:rPr>
        <w:t>帐  号：                     　　 　　　　　帐  号：</w:t>
      </w:r>
    </w:p>
    <w:p w14:paraId="05AA14ED">
      <w:pPr>
        <w:spacing w:line="460" w:lineRule="exact"/>
        <w:ind w:firstLine="495"/>
        <w:rPr>
          <w:color w:val="auto"/>
          <w:highlight w:val="none"/>
        </w:rPr>
      </w:pPr>
      <w:r>
        <w:rPr>
          <w:rFonts w:hint="eastAsia"/>
          <w:color w:val="auto"/>
          <w:highlight w:val="none"/>
        </w:rPr>
        <w:t>邮政编码：                   　　　　 　　　邮政编码：</w:t>
      </w:r>
    </w:p>
    <w:p w14:paraId="46D59A37">
      <w:pPr>
        <w:pStyle w:val="2"/>
        <w:numPr>
          <w:ilvl w:val="0"/>
          <w:numId w:val="0"/>
        </w:numPr>
        <w:spacing w:before="0" w:after="0" w:line="360" w:lineRule="auto"/>
        <w:ind w:left="425"/>
        <w:jc w:val="both"/>
        <w:rPr>
          <w:color w:val="auto"/>
          <w:sz w:val="32"/>
          <w:szCs w:val="32"/>
          <w:highlight w:val="none"/>
        </w:rPr>
      </w:pPr>
    </w:p>
    <w:p w14:paraId="4F55885F">
      <w:pPr>
        <w:rPr>
          <w:rFonts w:ascii="仿宋" w:hAnsi="仿宋" w:eastAsia="仿宋" w:cs="仿宋"/>
          <w:color w:val="auto"/>
          <w:highlight w:val="none"/>
        </w:rPr>
      </w:pPr>
    </w:p>
    <w:p w14:paraId="6C6FFC7A">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14:paraId="00A25EFA">
      <w:pPr>
        <w:spacing w:line="360" w:lineRule="auto"/>
        <w:jc w:val="center"/>
        <w:rPr>
          <w:rFonts w:asciiTheme="minorEastAsia" w:hAnsiTheme="minorEastAsia" w:eastAsiaTheme="minorEastAsia"/>
          <w:b/>
          <w:color w:val="auto"/>
          <w:sz w:val="36"/>
          <w:szCs w:val="36"/>
          <w:highlight w:val="none"/>
        </w:rPr>
      </w:pPr>
      <w:bookmarkStart w:id="55" w:name="_Toc5481_WPSOffice_Level1"/>
      <w:r>
        <w:rPr>
          <w:rFonts w:hint="eastAsia" w:asciiTheme="minorEastAsia" w:hAnsiTheme="minorEastAsia" w:eastAsiaTheme="minorEastAsia"/>
          <w:b/>
          <w:color w:val="auto"/>
          <w:sz w:val="36"/>
          <w:szCs w:val="36"/>
          <w:highlight w:val="none"/>
        </w:rPr>
        <w:t>第六章 投标文件格式</w:t>
      </w:r>
      <w:bookmarkEnd w:id="55"/>
    </w:p>
    <w:p w14:paraId="172CFA85">
      <w:pPr>
        <w:rPr>
          <w:rFonts w:ascii="宋体" w:hAnsi="宋体"/>
          <w:b/>
          <w:color w:val="auto"/>
          <w:sz w:val="30"/>
          <w:szCs w:val="30"/>
          <w:highlight w:val="none"/>
        </w:rPr>
      </w:pPr>
    </w:p>
    <w:p w14:paraId="13EE284E">
      <w:pP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F146342">
      <w:pPr>
        <w:rPr>
          <w:rFonts w:hint="eastAsia" w:ascii="宋体" w:hAnsi="宋体"/>
          <w:b/>
          <w:color w:val="auto"/>
          <w:sz w:val="30"/>
          <w:szCs w:val="30"/>
          <w:highlight w:val="none"/>
        </w:rPr>
      </w:pPr>
    </w:p>
    <w:p w14:paraId="0EDA8AFB">
      <w:pPr>
        <w:rPr>
          <w:rFonts w:hint="eastAsia" w:ascii="宋体" w:hAnsi="宋体"/>
          <w:b/>
          <w:color w:val="auto"/>
          <w:sz w:val="30"/>
          <w:szCs w:val="30"/>
          <w:highlight w:val="none"/>
        </w:rPr>
      </w:pPr>
    </w:p>
    <w:p w14:paraId="4557E3F5">
      <w:pPr>
        <w:rPr>
          <w:rFonts w:hint="eastAsia" w:ascii="宋体" w:hAnsi="宋体"/>
          <w:b/>
          <w:color w:val="auto"/>
          <w:sz w:val="30"/>
          <w:szCs w:val="30"/>
          <w:highlight w:val="none"/>
        </w:rPr>
      </w:pPr>
    </w:p>
    <w:p w14:paraId="2FD6590E">
      <w:pPr>
        <w:rPr>
          <w:rFonts w:hint="eastAsia" w:ascii="宋体" w:hAnsi="宋体"/>
          <w:b/>
          <w:color w:val="auto"/>
          <w:sz w:val="30"/>
          <w:szCs w:val="30"/>
          <w:highlight w:val="none"/>
        </w:rPr>
      </w:pPr>
    </w:p>
    <w:p w14:paraId="171EFB8E">
      <w:pPr>
        <w:rPr>
          <w:rFonts w:hint="eastAsia" w:ascii="宋体" w:hAnsi="宋体"/>
          <w:b/>
          <w:color w:val="auto"/>
          <w:sz w:val="30"/>
          <w:szCs w:val="30"/>
          <w:highlight w:val="none"/>
        </w:rPr>
      </w:pPr>
    </w:p>
    <w:p w14:paraId="225DB7DC">
      <w:pPr>
        <w:rPr>
          <w:rFonts w:hint="eastAsia" w:ascii="宋体" w:hAnsi="宋体"/>
          <w:b/>
          <w:color w:val="auto"/>
          <w:sz w:val="30"/>
          <w:szCs w:val="30"/>
          <w:highlight w:val="none"/>
        </w:rPr>
      </w:pPr>
    </w:p>
    <w:p w14:paraId="39B36604">
      <w:pPr>
        <w:rPr>
          <w:rFonts w:hint="eastAsia" w:ascii="宋体" w:hAnsi="宋体"/>
          <w:b/>
          <w:color w:val="auto"/>
          <w:sz w:val="30"/>
          <w:szCs w:val="30"/>
          <w:highlight w:val="none"/>
        </w:rPr>
      </w:pPr>
    </w:p>
    <w:p w14:paraId="39565EB5">
      <w:pPr>
        <w:rPr>
          <w:rFonts w:hint="eastAsia" w:ascii="宋体" w:hAnsi="宋体"/>
          <w:b/>
          <w:color w:val="auto"/>
          <w:sz w:val="30"/>
          <w:szCs w:val="30"/>
          <w:highlight w:val="none"/>
        </w:rPr>
      </w:pPr>
    </w:p>
    <w:p w14:paraId="6300FCCA">
      <w:pPr>
        <w:rPr>
          <w:rFonts w:hint="eastAsia" w:ascii="宋体" w:hAnsi="宋体"/>
          <w:b/>
          <w:color w:val="auto"/>
          <w:sz w:val="30"/>
          <w:szCs w:val="30"/>
          <w:highlight w:val="none"/>
        </w:rPr>
      </w:pPr>
    </w:p>
    <w:p w14:paraId="5A60A862">
      <w:pPr>
        <w:rPr>
          <w:rFonts w:hint="eastAsia" w:ascii="宋体" w:hAnsi="宋体"/>
          <w:b/>
          <w:color w:val="auto"/>
          <w:sz w:val="30"/>
          <w:szCs w:val="30"/>
          <w:highlight w:val="none"/>
        </w:rPr>
      </w:pPr>
    </w:p>
    <w:p w14:paraId="2A2B354B">
      <w:pPr>
        <w:rPr>
          <w:rFonts w:hint="eastAsia" w:ascii="宋体" w:hAnsi="宋体"/>
          <w:b/>
          <w:color w:val="auto"/>
          <w:sz w:val="30"/>
          <w:szCs w:val="30"/>
          <w:highlight w:val="none"/>
        </w:rPr>
      </w:pPr>
    </w:p>
    <w:p w14:paraId="0BEDB096">
      <w:pPr>
        <w:rPr>
          <w:rFonts w:hint="eastAsia" w:ascii="宋体" w:hAnsi="宋体"/>
          <w:b/>
          <w:color w:val="auto"/>
          <w:sz w:val="30"/>
          <w:szCs w:val="30"/>
          <w:highlight w:val="none"/>
        </w:rPr>
      </w:pPr>
    </w:p>
    <w:p w14:paraId="0924690E">
      <w:pPr>
        <w:rPr>
          <w:rFonts w:hint="eastAsia" w:ascii="宋体" w:hAnsi="宋体"/>
          <w:b/>
          <w:color w:val="auto"/>
          <w:sz w:val="30"/>
          <w:szCs w:val="30"/>
          <w:highlight w:val="none"/>
        </w:rPr>
      </w:pPr>
    </w:p>
    <w:p w14:paraId="306FF055">
      <w:pPr>
        <w:rPr>
          <w:rFonts w:hint="eastAsia" w:ascii="宋体" w:hAnsi="宋体"/>
          <w:b/>
          <w:color w:val="auto"/>
          <w:sz w:val="30"/>
          <w:szCs w:val="30"/>
          <w:highlight w:val="none"/>
        </w:rPr>
      </w:pPr>
    </w:p>
    <w:p w14:paraId="13F953B9">
      <w:pPr>
        <w:rPr>
          <w:rFonts w:hint="eastAsia" w:ascii="宋体" w:hAnsi="宋体"/>
          <w:b/>
          <w:color w:val="auto"/>
          <w:sz w:val="30"/>
          <w:szCs w:val="30"/>
          <w:highlight w:val="none"/>
        </w:rPr>
      </w:pPr>
    </w:p>
    <w:p w14:paraId="71A58285">
      <w:pPr>
        <w:rPr>
          <w:rFonts w:hint="eastAsia" w:ascii="宋体" w:hAnsi="宋体"/>
          <w:b/>
          <w:color w:val="auto"/>
          <w:sz w:val="30"/>
          <w:szCs w:val="30"/>
          <w:highlight w:val="none"/>
        </w:rPr>
      </w:pPr>
    </w:p>
    <w:p w14:paraId="23A65BE3">
      <w:pPr>
        <w:rPr>
          <w:rFonts w:hint="eastAsia" w:ascii="宋体" w:hAnsi="宋体"/>
          <w:b/>
          <w:color w:val="auto"/>
          <w:sz w:val="30"/>
          <w:szCs w:val="30"/>
          <w:highlight w:val="none"/>
        </w:rPr>
      </w:pPr>
    </w:p>
    <w:p w14:paraId="0CEC2FA1">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5E5F8DD2">
      <w:pPr>
        <w:spacing w:line="360" w:lineRule="auto"/>
        <w:rPr>
          <w:rFonts w:asciiTheme="minorEastAsia" w:hAnsiTheme="minorEastAsia" w:eastAsiaTheme="minorEastAsia"/>
          <w:b/>
          <w:color w:val="auto"/>
          <w:sz w:val="30"/>
          <w:szCs w:val="30"/>
          <w:highlight w:val="none"/>
        </w:rPr>
      </w:pPr>
    </w:p>
    <w:p w14:paraId="63B4E5FF">
      <w:pPr>
        <w:pStyle w:val="12"/>
        <w:numPr>
          <w:ilvl w:val="0"/>
          <w:numId w:val="0"/>
        </w:numPr>
        <w:ind w:left="420"/>
        <w:rPr>
          <w:color w:val="auto"/>
          <w:highlight w:val="none"/>
        </w:rPr>
      </w:pPr>
    </w:p>
    <w:p w14:paraId="2EF77C12">
      <w:pPr>
        <w:spacing w:line="312" w:lineRule="auto"/>
        <w:rPr>
          <w:rFonts w:ascii="宋体" w:hAnsi="宋体"/>
          <w:b/>
          <w:color w:val="auto"/>
          <w:sz w:val="28"/>
          <w:highlight w:val="none"/>
        </w:rPr>
      </w:pPr>
      <w:r>
        <w:rPr>
          <w:rFonts w:hint="eastAsia" w:ascii="宋体" w:hAnsi="宋体"/>
          <w:b/>
          <w:color w:val="auto"/>
          <w:sz w:val="28"/>
          <w:highlight w:val="none"/>
        </w:rPr>
        <w:t>附件1</w:t>
      </w:r>
    </w:p>
    <w:p w14:paraId="7F51F54D">
      <w:pPr>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诚信投标承诺书</w:t>
      </w:r>
    </w:p>
    <w:p w14:paraId="3010120A">
      <w:pPr>
        <w:spacing w:line="300" w:lineRule="auto"/>
        <w:rPr>
          <w:rFonts w:hint="eastAsia" w:ascii="宋体" w:hAnsi="宋体" w:cs="宋体"/>
          <w:color w:val="auto"/>
          <w:sz w:val="24"/>
          <w:highlight w:val="none"/>
        </w:rPr>
      </w:pPr>
      <w:r>
        <w:rPr>
          <w:rFonts w:hint="eastAsia" w:ascii="宋体" w:hAnsi="宋体" w:cs="宋体"/>
          <w:color w:val="auto"/>
          <w:sz w:val="24"/>
          <w:highlight w:val="none"/>
        </w:rPr>
        <w:t>本人以企业法定代表人的身份郑重承诺：</w:t>
      </w:r>
    </w:p>
    <w:p w14:paraId="29AFF630">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w:t>
      </w:r>
    </w:p>
    <w:p w14:paraId="52997417">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14:paraId="633D0532">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14:paraId="7E03D9FC">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不与其他投标人相互串通投标报价，不排挤其他投标人的公平竞争、损害招标人的合法权益；</w:t>
      </w:r>
    </w:p>
    <w:p w14:paraId="203146EB">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不向招标人或者评标委员会成员行贿以牟取中标；</w:t>
      </w:r>
    </w:p>
    <w:p w14:paraId="4B803D50">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14:paraId="312BBCA0">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14:paraId="53EF12A4">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14:paraId="3A5C036E">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14:paraId="4F769CA4">
      <w:pPr>
        <w:spacing w:line="30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14:paraId="3EC3EB15">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本公司若有违反承诺内容的行为，自愿接受取消投标资格、记入信用档案、没收投标保证金等有关处理，愿意承担法律责任。如已中标的，自动放弃中标资格；给招标人造成损失的，依法承担赔偿责任。</w:t>
      </w:r>
    </w:p>
    <w:p w14:paraId="116573D2">
      <w:pPr>
        <w:spacing w:line="300" w:lineRule="auto"/>
        <w:rPr>
          <w:rFonts w:hint="eastAsia" w:ascii="宋体" w:hAnsi="宋体" w:cs="宋体"/>
          <w:color w:val="auto"/>
          <w:sz w:val="24"/>
          <w:highlight w:val="none"/>
        </w:rPr>
      </w:pPr>
    </w:p>
    <w:p w14:paraId="3A663754">
      <w:pPr>
        <w:pStyle w:val="22"/>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 xml:space="preserve">投标人（盖单位电子公章）：           </w:t>
      </w:r>
    </w:p>
    <w:p w14:paraId="76BA4BED">
      <w:pPr>
        <w:pStyle w:val="22"/>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14:paraId="377341A7">
      <w:pPr>
        <w:pStyle w:val="22"/>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D749848">
      <w:pPr>
        <w:adjustRightInd w:val="0"/>
        <w:snapToGrid w:val="0"/>
        <w:spacing w:line="360" w:lineRule="auto"/>
        <w:ind w:right="480"/>
        <w:rPr>
          <w:rFonts w:hint="eastAsia" w:ascii="宋体" w:hAnsi="宋体"/>
          <w:b/>
          <w:color w:val="auto"/>
          <w:sz w:val="28"/>
          <w:highlight w:val="none"/>
        </w:rPr>
      </w:pPr>
    </w:p>
    <w:p w14:paraId="68FC0F01">
      <w:pPr>
        <w:adjustRightInd w:val="0"/>
        <w:snapToGrid w:val="0"/>
        <w:spacing w:line="360" w:lineRule="auto"/>
        <w:ind w:right="480"/>
        <w:rPr>
          <w:rFonts w:hint="eastAsia" w:ascii="宋体" w:hAnsi="宋体"/>
          <w:b/>
          <w:color w:val="auto"/>
          <w:sz w:val="28"/>
          <w:highlight w:val="none"/>
        </w:rPr>
      </w:pPr>
    </w:p>
    <w:p w14:paraId="27ACA163">
      <w:pPr>
        <w:adjustRightInd w:val="0"/>
        <w:snapToGrid w:val="0"/>
        <w:spacing w:line="360" w:lineRule="auto"/>
        <w:ind w:right="480"/>
        <w:rPr>
          <w:rFonts w:hint="eastAsia" w:ascii="宋体" w:hAnsi="宋体"/>
          <w:b/>
          <w:color w:val="auto"/>
          <w:sz w:val="28"/>
          <w:highlight w:val="none"/>
        </w:rPr>
      </w:pPr>
    </w:p>
    <w:p w14:paraId="64414F6A">
      <w:pPr>
        <w:adjustRightInd w:val="0"/>
        <w:snapToGrid w:val="0"/>
        <w:spacing w:line="360" w:lineRule="auto"/>
        <w:ind w:right="480"/>
        <w:rPr>
          <w:rFonts w:hint="eastAsia" w:ascii="宋体" w:hAnsi="宋体"/>
          <w:b/>
          <w:color w:val="auto"/>
          <w:sz w:val="28"/>
          <w:highlight w:val="none"/>
        </w:rPr>
      </w:pPr>
    </w:p>
    <w:p w14:paraId="01545875">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0CDBF87C">
      <w:pPr>
        <w:spacing w:line="360" w:lineRule="auto"/>
        <w:ind w:firstLine="321" w:firstLineChars="100"/>
        <w:jc w:val="center"/>
        <w:rPr>
          <w:rFonts w:hAnsi="宋体"/>
          <w:b/>
          <w:color w:val="auto"/>
          <w:sz w:val="32"/>
          <w:szCs w:val="32"/>
          <w:highlight w:val="none"/>
          <w:u w:val="single"/>
        </w:rPr>
      </w:pPr>
      <w:bookmarkStart w:id="56" w:name="_Toc6870_WPSOffice_Level1"/>
      <w:bookmarkStart w:id="57"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6"/>
      <w:bookmarkEnd w:id="57"/>
    </w:p>
    <w:p w14:paraId="5B2B8811">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台州循环经济发展有限公司</w:t>
      </w:r>
      <w:r>
        <w:rPr>
          <w:rFonts w:hint="eastAsia" w:ascii="宋体" w:hAnsi="宋体" w:cs="宋体"/>
          <w:color w:val="auto"/>
          <w:kern w:val="0"/>
          <w:sz w:val="24"/>
          <w:highlight w:val="none"/>
        </w:rPr>
        <w:t>：</w:t>
      </w:r>
    </w:p>
    <w:p w14:paraId="0391A9B1">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s="宋体"/>
          <w:color w:val="auto"/>
          <w:kern w:val="0"/>
          <w:sz w:val="24"/>
          <w:highlight w:val="none"/>
          <w:u w:val="single"/>
          <w:lang w:eastAsia="zh-CN"/>
        </w:rPr>
        <w:t>海塘提升工程生态修复区、管理房及巡查站、三山北堤用海图斑海域论证报告编制服务项目</w:t>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1472DEF9">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7C74702">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7FC0DE8C">
      <w:pPr>
        <w:spacing w:line="360" w:lineRule="auto"/>
        <w:rPr>
          <w:color w:val="auto"/>
          <w:sz w:val="24"/>
          <w:highlight w:val="none"/>
        </w:rPr>
      </w:pPr>
    </w:p>
    <w:p w14:paraId="5F81262C">
      <w:pPr>
        <w:spacing w:line="360" w:lineRule="auto"/>
        <w:rPr>
          <w:color w:val="auto"/>
          <w:sz w:val="24"/>
          <w:highlight w:val="none"/>
        </w:rPr>
      </w:pPr>
      <w:r>
        <w:rPr>
          <w:rFonts w:hint="eastAsia" w:ascii="宋体"/>
          <w:color w:val="auto"/>
          <w:sz w:val="24"/>
          <w:highlight w:val="none"/>
        </w:rPr>
        <w:t>法定代表人签字或盖章：</w:t>
      </w:r>
    </w:p>
    <w:p w14:paraId="2D6A446F">
      <w:pPr>
        <w:spacing w:line="360" w:lineRule="auto"/>
        <w:rPr>
          <w:color w:val="auto"/>
          <w:sz w:val="24"/>
          <w:highlight w:val="none"/>
        </w:rPr>
      </w:pPr>
      <w:r>
        <w:rPr>
          <w:rFonts w:hint="eastAsia" w:ascii="宋体"/>
          <w:color w:val="auto"/>
          <w:sz w:val="24"/>
          <w:highlight w:val="none"/>
        </w:rPr>
        <w:t>投标人全称（公章）：                              日期：</w:t>
      </w:r>
    </w:p>
    <w:p w14:paraId="7037DDF0">
      <w:pPr>
        <w:spacing w:line="360" w:lineRule="auto"/>
        <w:rPr>
          <w:color w:val="auto"/>
          <w:sz w:val="24"/>
          <w:highlight w:val="none"/>
        </w:rPr>
      </w:pPr>
    </w:p>
    <w:p w14:paraId="3F2263F6">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0E7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E7AEC03">
            <w:pPr>
              <w:spacing w:line="360" w:lineRule="auto"/>
              <w:rPr>
                <w:rFonts w:ascii="宋体"/>
                <w:b/>
                <w:color w:val="auto"/>
                <w:sz w:val="24"/>
                <w:highlight w:val="none"/>
              </w:rPr>
            </w:pPr>
          </w:p>
          <w:p w14:paraId="5959A9D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495EB7B">
      <w:pPr>
        <w:spacing w:line="360" w:lineRule="auto"/>
        <w:rPr>
          <w:color w:val="auto"/>
          <w:sz w:val="24"/>
          <w:highlight w:val="none"/>
        </w:rPr>
      </w:pPr>
      <w:r>
        <w:rPr>
          <w:rFonts w:hint="eastAsia" w:ascii="宋体"/>
          <w:color w:val="auto"/>
          <w:sz w:val="24"/>
          <w:highlight w:val="none"/>
        </w:rPr>
        <w:t xml:space="preserve">法定代表人姓名：                                 </w:t>
      </w:r>
    </w:p>
    <w:p w14:paraId="0BD80049">
      <w:pPr>
        <w:spacing w:line="360" w:lineRule="auto"/>
        <w:rPr>
          <w:color w:val="auto"/>
          <w:sz w:val="24"/>
          <w:highlight w:val="none"/>
        </w:rPr>
      </w:pPr>
      <w:r>
        <w:rPr>
          <w:rFonts w:hint="eastAsia" w:ascii="宋体"/>
          <w:color w:val="auto"/>
          <w:sz w:val="24"/>
          <w:highlight w:val="none"/>
        </w:rPr>
        <w:t>传真：</w:t>
      </w:r>
    </w:p>
    <w:p w14:paraId="7F969894">
      <w:pPr>
        <w:spacing w:line="360" w:lineRule="auto"/>
        <w:rPr>
          <w:rFonts w:ascii="宋体"/>
          <w:color w:val="auto"/>
          <w:sz w:val="24"/>
          <w:highlight w:val="none"/>
        </w:rPr>
      </w:pPr>
      <w:r>
        <w:rPr>
          <w:rFonts w:hint="eastAsia" w:ascii="宋体"/>
          <w:color w:val="auto"/>
          <w:sz w:val="24"/>
          <w:highlight w:val="none"/>
        </w:rPr>
        <w:t>电话：</w:t>
      </w:r>
    </w:p>
    <w:p w14:paraId="3588E42E">
      <w:pPr>
        <w:spacing w:line="360" w:lineRule="auto"/>
        <w:rPr>
          <w:color w:val="auto"/>
          <w:sz w:val="24"/>
          <w:highlight w:val="none"/>
        </w:rPr>
      </w:pPr>
      <w:r>
        <w:rPr>
          <w:rFonts w:hint="eastAsia" w:ascii="宋体"/>
          <w:color w:val="auto"/>
          <w:sz w:val="24"/>
          <w:highlight w:val="none"/>
        </w:rPr>
        <w:t>详细通讯地址：</w:t>
      </w:r>
    </w:p>
    <w:p w14:paraId="202D2D0A">
      <w:pPr>
        <w:spacing w:line="360" w:lineRule="auto"/>
        <w:rPr>
          <w:rFonts w:ascii="宋体"/>
          <w:color w:val="auto"/>
          <w:sz w:val="24"/>
          <w:highlight w:val="none"/>
        </w:rPr>
      </w:pPr>
      <w:r>
        <w:rPr>
          <w:rFonts w:hint="eastAsia" w:ascii="宋体"/>
          <w:color w:val="auto"/>
          <w:sz w:val="24"/>
          <w:highlight w:val="none"/>
        </w:rPr>
        <w:t>邮政编码：</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80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9A9ED56">
            <w:pPr>
              <w:spacing w:line="360" w:lineRule="auto"/>
              <w:rPr>
                <w:rFonts w:ascii="宋体"/>
                <w:b/>
                <w:color w:val="auto"/>
                <w:sz w:val="24"/>
                <w:highlight w:val="none"/>
              </w:rPr>
            </w:pPr>
          </w:p>
          <w:p w14:paraId="071FD9A2">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2782C4DD">
      <w:pPr>
        <w:spacing w:line="360" w:lineRule="auto"/>
        <w:rPr>
          <w:rFonts w:ascii="宋体"/>
          <w:color w:val="auto"/>
          <w:sz w:val="24"/>
          <w:highlight w:val="none"/>
        </w:rPr>
      </w:pPr>
      <w:r>
        <w:rPr>
          <w:rFonts w:hint="eastAsia" w:ascii="宋体"/>
          <w:color w:val="auto"/>
          <w:sz w:val="24"/>
          <w:highlight w:val="none"/>
        </w:rPr>
        <w:t xml:space="preserve">全权代表姓名：       </w:t>
      </w:r>
    </w:p>
    <w:p w14:paraId="1F615B13">
      <w:pPr>
        <w:spacing w:line="360" w:lineRule="auto"/>
        <w:rPr>
          <w:color w:val="auto"/>
          <w:sz w:val="24"/>
          <w:highlight w:val="none"/>
        </w:rPr>
      </w:pPr>
      <w:r>
        <w:rPr>
          <w:rFonts w:hint="eastAsia" w:ascii="宋体"/>
          <w:color w:val="auto"/>
          <w:sz w:val="24"/>
          <w:highlight w:val="none"/>
        </w:rPr>
        <w:t xml:space="preserve">职务：                           </w:t>
      </w:r>
    </w:p>
    <w:p w14:paraId="67E9DDE3">
      <w:pPr>
        <w:spacing w:line="360" w:lineRule="auto"/>
        <w:rPr>
          <w:color w:val="auto"/>
          <w:sz w:val="24"/>
          <w:highlight w:val="none"/>
        </w:rPr>
      </w:pPr>
      <w:r>
        <w:rPr>
          <w:rFonts w:hint="eastAsia" w:ascii="宋体"/>
          <w:color w:val="auto"/>
          <w:sz w:val="24"/>
          <w:highlight w:val="none"/>
        </w:rPr>
        <w:t>传真：</w:t>
      </w:r>
    </w:p>
    <w:p w14:paraId="55421723">
      <w:pPr>
        <w:spacing w:line="360" w:lineRule="auto"/>
        <w:rPr>
          <w:rFonts w:ascii="宋体"/>
          <w:color w:val="auto"/>
          <w:sz w:val="24"/>
          <w:highlight w:val="none"/>
        </w:rPr>
      </w:pPr>
      <w:r>
        <w:rPr>
          <w:rFonts w:hint="eastAsia" w:ascii="宋体"/>
          <w:color w:val="auto"/>
          <w:sz w:val="24"/>
          <w:highlight w:val="none"/>
        </w:rPr>
        <w:t>电话：</w:t>
      </w:r>
    </w:p>
    <w:p w14:paraId="1F9819FF">
      <w:pPr>
        <w:spacing w:line="360" w:lineRule="auto"/>
        <w:rPr>
          <w:color w:val="auto"/>
          <w:sz w:val="24"/>
          <w:highlight w:val="none"/>
        </w:rPr>
      </w:pPr>
      <w:r>
        <w:rPr>
          <w:rFonts w:hint="eastAsia" w:ascii="宋体"/>
          <w:color w:val="auto"/>
          <w:sz w:val="24"/>
          <w:highlight w:val="none"/>
        </w:rPr>
        <w:t>详细通讯地址：</w:t>
      </w:r>
    </w:p>
    <w:p w14:paraId="74F04B2A">
      <w:pPr>
        <w:spacing w:line="360" w:lineRule="auto"/>
        <w:rPr>
          <w:rFonts w:ascii="宋体"/>
          <w:color w:val="auto"/>
          <w:sz w:val="24"/>
          <w:highlight w:val="none"/>
        </w:rPr>
      </w:pPr>
      <w:r>
        <w:rPr>
          <w:rFonts w:hint="eastAsia" w:ascii="宋体"/>
          <w:color w:val="auto"/>
          <w:sz w:val="24"/>
          <w:highlight w:val="none"/>
        </w:rPr>
        <w:t>邮政编码：</w:t>
      </w:r>
    </w:p>
    <w:p w14:paraId="0E60AC7C">
      <w:pPr>
        <w:rPr>
          <w:rFonts w:ascii="宋体" w:hAnsi="宋体"/>
          <w:b/>
          <w:color w:val="auto"/>
          <w:sz w:val="28"/>
          <w:highlight w:val="none"/>
        </w:rPr>
      </w:pPr>
      <w:r>
        <w:rPr>
          <w:rFonts w:hint="eastAsia" w:ascii="宋体" w:hAnsi="宋体"/>
          <w:b/>
          <w:color w:val="auto"/>
          <w:sz w:val="28"/>
          <w:highlight w:val="none"/>
        </w:rPr>
        <w:br w:type="page"/>
      </w:r>
      <w:bookmarkStart w:id="58" w:name="_Toc12331_WPSOffice_Level1"/>
      <w:bookmarkStart w:id="59" w:name="_Toc26389_WPSOffice_Level1"/>
      <w:bookmarkStart w:id="60" w:name="_Toc16825_WPSOffice_Level1"/>
    </w:p>
    <w:p w14:paraId="4B3C389A">
      <w:pPr>
        <w:pStyle w:val="25"/>
        <w:spacing w:before="0"/>
        <w:jc w:val="both"/>
        <w:outlineLvl w:val="1"/>
        <w:rPr>
          <w:b w:val="0"/>
          <w:color w:val="auto"/>
          <w:sz w:val="28"/>
          <w:szCs w:val="28"/>
          <w:highlight w:val="none"/>
        </w:rPr>
      </w:pPr>
      <w:r>
        <w:rPr>
          <w:rFonts w:hint="eastAsia" w:ascii="宋体" w:hAnsi="宋体"/>
          <w:b/>
          <w:color w:val="auto"/>
          <w:sz w:val="28"/>
          <w:highlight w:val="none"/>
        </w:rPr>
        <w:t>附件3</w:t>
      </w:r>
    </w:p>
    <w:p w14:paraId="552886F6">
      <w:pPr>
        <w:widowControl/>
        <w:spacing w:line="360" w:lineRule="auto"/>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32FADA6D">
      <w:pPr>
        <w:adjustRightInd w:val="0"/>
        <w:snapToGrid w:val="0"/>
        <w:spacing w:before="120" w:beforeLines="50" w:line="360" w:lineRule="auto"/>
        <w:jc w:val="center"/>
        <w:rPr>
          <w:color w:val="auto"/>
          <w:sz w:val="28"/>
          <w:highlight w:val="none"/>
        </w:rPr>
      </w:pPr>
      <w:r>
        <w:rPr>
          <w:rFonts w:hint="eastAsia"/>
          <w:color w:val="auto"/>
          <w:sz w:val="28"/>
          <w:highlight w:val="none"/>
        </w:rPr>
        <w:t>（参考样张）</w:t>
      </w:r>
    </w:p>
    <w:p w14:paraId="6228B458">
      <w:pPr>
        <w:widowControl/>
        <w:spacing w:line="360" w:lineRule="auto"/>
        <w:jc w:val="center"/>
        <w:rPr>
          <w:rFonts w:ascii="方正小标宋简体" w:hAnsi="方正小标宋简体"/>
          <w:color w:val="auto"/>
          <w:sz w:val="44"/>
          <w:szCs w:val="44"/>
          <w:highlight w:val="none"/>
        </w:rPr>
      </w:pPr>
    </w:p>
    <w:p w14:paraId="0DA9A9D3">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14:paraId="530F0247">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14:paraId="344B96F2">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14:paraId="7A2B9239">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14:paraId="2BFE3FDD">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14:paraId="1043EC77">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14:paraId="6187DF44">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14:paraId="3941B0E0">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14:paraId="24606FD1">
      <w:pPr>
        <w:autoSpaceDE w:val="0"/>
        <w:autoSpaceDN w:val="0"/>
        <w:adjustRightInd w:val="0"/>
        <w:snapToGrid w:val="0"/>
        <w:spacing w:line="360" w:lineRule="auto"/>
        <w:ind w:left="839" w:leftChars="266" w:hanging="280" w:hangingChars="100"/>
        <w:textAlignment w:val="baseline"/>
        <w:rPr>
          <w:rFonts w:ascii="宋体" w:hAnsi="宋体"/>
          <w:color w:val="auto"/>
          <w:kern w:val="0"/>
          <w:sz w:val="28"/>
          <w:szCs w:val="28"/>
          <w:highlight w:val="non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14:paraId="40E67B6B">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rPr>
      </w:pPr>
    </w:p>
    <w:p w14:paraId="610859E1">
      <w:pPr>
        <w:autoSpaceDE w:val="0"/>
        <w:autoSpaceDN w:val="0"/>
        <w:adjustRightInd w:val="0"/>
        <w:snapToGrid w:val="0"/>
        <w:spacing w:line="360" w:lineRule="auto"/>
        <w:ind w:firstLine="1120" w:firstLineChars="400"/>
        <w:textAlignment w:val="baseline"/>
        <w:rPr>
          <w:rFonts w:ascii="宋体" w:hAnsi="宋体"/>
          <w:color w:val="auto"/>
          <w:kern w:val="0"/>
          <w:sz w:val="28"/>
          <w:szCs w:val="28"/>
          <w:highlight w:val="none"/>
        </w:rPr>
      </w:pPr>
      <w:r>
        <w:rPr>
          <w:rFonts w:hint="eastAsia" w:ascii="宋体" w:hAnsi="宋体"/>
          <w:color w:val="auto"/>
          <w:kern w:val="0"/>
          <w:sz w:val="28"/>
          <w:szCs w:val="28"/>
          <w:highlight w:val="none"/>
        </w:rPr>
        <w:t>特此证明。</w:t>
      </w:r>
    </w:p>
    <w:p w14:paraId="08B6279E">
      <w:pPr>
        <w:autoSpaceDE w:val="0"/>
        <w:autoSpaceDN w:val="0"/>
        <w:adjustRightInd w:val="0"/>
        <w:snapToGrid w:val="0"/>
        <w:spacing w:line="360" w:lineRule="auto"/>
        <w:ind w:firstLine="1120" w:firstLineChars="400"/>
        <w:textAlignment w:val="baseline"/>
        <w:rPr>
          <w:rFonts w:ascii="宋体" w:hAnsi="宋体"/>
          <w:color w:val="auto"/>
          <w:kern w:val="0"/>
          <w:sz w:val="28"/>
          <w:szCs w:val="28"/>
          <w:highlight w:val="none"/>
        </w:rPr>
      </w:pPr>
    </w:p>
    <w:p w14:paraId="4CA10CA5">
      <w:pPr>
        <w:rPr>
          <w:rFonts w:hint="eastAsia" w:ascii="宋体" w:hAnsi="宋体" w:cs="宋体"/>
          <w:snapToGrid w:val="0"/>
          <w:color w:val="auto"/>
          <w:sz w:val="24"/>
          <w:highlight w:val="none"/>
        </w:rPr>
      </w:pPr>
      <w:r>
        <w:rPr>
          <w:rFonts w:hint="eastAsia" w:ascii="宋体" w:hAnsi="宋体"/>
          <w:color w:val="auto"/>
          <w:kern w:val="0"/>
          <w:sz w:val="28"/>
          <w:szCs w:val="28"/>
          <w:highlight w:val="none"/>
        </w:rPr>
        <w:t xml:space="preserve">                                   </w:t>
      </w:r>
      <w:r>
        <w:rPr>
          <w:rFonts w:hint="eastAsia" w:ascii="宋体" w:hAnsi="宋体" w:cs="宋体"/>
          <w:snapToGrid w:val="0"/>
          <w:color w:val="auto"/>
          <w:sz w:val="24"/>
          <w:highlight w:val="none"/>
        </w:rPr>
        <w:t>投标人： (盖单位电子公章)</w:t>
      </w:r>
    </w:p>
    <w:p w14:paraId="4B8B9197">
      <w:pPr>
        <w:ind w:firstLine="240" w:firstLineChars="100"/>
        <w:rPr>
          <w:rFonts w:hint="eastAsia" w:ascii="宋体" w:hAnsi="宋体" w:cs="宋体"/>
          <w:snapToGrid w:val="0"/>
          <w:color w:val="auto"/>
          <w:sz w:val="24"/>
          <w:highlight w:val="none"/>
        </w:rPr>
      </w:pPr>
    </w:p>
    <w:p w14:paraId="7DFE1859">
      <w:pPr>
        <w:jc w:val="right"/>
        <w:rPr>
          <w:rFonts w:ascii="宋体" w:hAnsi="宋体" w:cs="宋体"/>
          <w:color w:val="auto"/>
          <w:kern w:val="0"/>
          <w:sz w:val="28"/>
          <w:szCs w:val="28"/>
          <w:highlight w:val="none"/>
          <w:u w:val="single"/>
        </w:rPr>
      </w:pPr>
    </w:p>
    <w:p w14:paraId="073151BE">
      <w:pPr>
        <w:jc w:val="right"/>
        <w:rPr>
          <w:rFonts w:ascii="宋体" w:hAnsi="宋体"/>
          <w:b/>
          <w:color w:val="auto"/>
          <w:sz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bookmarkEnd w:id="58"/>
    <w:bookmarkEnd w:id="59"/>
    <w:bookmarkEnd w:id="60"/>
    <w:p w14:paraId="72AA4E23">
      <w:pPr>
        <w:spacing w:before="156" w:beforeLines="50" w:after="156" w:afterLines="50" w:line="360" w:lineRule="auto"/>
        <w:ind w:right="-10"/>
        <w:jc w:val="center"/>
        <w:rPr>
          <w:rFonts w:hint="eastAsia" w:ascii="宋体" w:hAnsi="宋体"/>
          <w:b/>
          <w:bCs/>
          <w:color w:val="auto"/>
          <w:sz w:val="32"/>
          <w:szCs w:val="32"/>
          <w:highlight w:val="none"/>
        </w:rPr>
      </w:pPr>
    </w:p>
    <w:p w14:paraId="155F2543">
      <w:pPr>
        <w:spacing w:before="156" w:beforeLines="50" w:after="156" w:afterLines="50" w:line="360" w:lineRule="auto"/>
        <w:ind w:right="-10"/>
        <w:jc w:val="center"/>
        <w:rPr>
          <w:rFonts w:hint="eastAsia" w:ascii="宋体" w:hAnsi="宋体"/>
          <w:b/>
          <w:bCs/>
          <w:color w:val="auto"/>
          <w:sz w:val="32"/>
          <w:szCs w:val="32"/>
          <w:highlight w:val="none"/>
        </w:rPr>
      </w:pPr>
    </w:p>
    <w:p w14:paraId="3F93447B">
      <w:pPr>
        <w:spacing w:before="156" w:beforeLines="50" w:after="156" w:afterLines="50" w:line="360" w:lineRule="auto"/>
        <w:ind w:right="-10"/>
        <w:jc w:val="center"/>
        <w:rPr>
          <w:rFonts w:hint="eastAsia" w:ascii="宋体" w:hAnsi="宋体"/>
          <w:b/>
          <w:bCs/>
          <w:color w:val="auto"/>
          <w:sz w:val="32"/>
          <w:szCs w:val="32"/>
          <w:highlight w:val="none"/>
        </w:rPr>
      </w:pPr>
    </w:p>
    <w:p w14:paraId="3074AC08">
      <w:pPr>
        <w:pStyle w:val="25"/>
        <w:spacing w:before="0"/>
        <w:jc w:val="both"/>
        <w:outlineLvl w:val="1"/>
        <w:rPr>
          <w:rFonts w:hint="eastAsia" w:eastAsia="宋体"/>
          <w:b w:val="0"/>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67EB8ECF">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5AF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24AE6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22BB33">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4FCD90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0F26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03E709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80D058">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9CC1F46">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20E6652">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91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36A52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812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F3D9106">
            <w:pPr>
              <w:autoSpaceDE w:val="0"/>
              <w:autoSpaceDN w:val="0"/>
              <w:adjustRightInd w:val="0"/>
              <w:snapToGrid w:val="0"/>
              <w:spacing w:line="360" w:lineRule="auto"/>
              <w:jc w:val="center"/>
              <w:rPr>
                <w:rFonts w:ascii="宋体" w:hAnsi="宋体"/>
                <w:color w:val="auto"/>
                <w:highlight w:val="none"/>
                <w:lang w:val="zh-CN"/>
              </w:rPr>
            </w:pPr>
          </w:p>
        </w:tc>
      </w:tr>
      <w:tr w14:paraId="4B20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D92485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A043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F0179C2">
            <w:pPr>
              <w:autoSpaceDE w:val="0"/>
              <w:autoSpaceDN w:val="0"/>
              <w:adjustRightInd w:val="0"/>
              <w:snapToGrid w:val="0"/>
              <w:spacing w:line="360" w:lineRule="auto"/>
              <w:jc w:val="center"/>
              <w:rPr>
                <w:rFonts w:ascii="宋体" w:hAnsi="宋体"/>
                <w:color w:val="auto"/>
                <w:highlight w:val="none"/>
                <w:lang w:val="zh-CN"/>
              </w:rPr>
            </w:pPr>
          </w:p>
        </w:tc>
      </w:tr>
      <w:tr w14:paraId="67A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14EBFB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7F9A9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F27440C">
            <w:pPr>
              <w:autoSpaceDE w:val="0"/>
              <w:autoSpaceDN w:val="0"/>
              <w:adjustRightInd w:val="0"/>
              <w:snapToGrid w:val="0"/>
              <w:spacing w:line="360" w:lineRule="auto"/>
              <w:jc w:val="center"/>
              <w:rPr>
                <w:rFonts w:ascii="宋体" w:hAnsi="宋体"/>
                <w:color w:val="auto"/>
                <w:highlight w:val="none"/>
                <w:lang w:val="zh-CN"/>
              </w:rPr>
            </w:pPr>
          </w:p>
        </w:tc>
      </w:tr>
      <w:tr w14:paraId="77DE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6F7947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B065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B597A3A">
            <w:pPr>
              <w:autoSpaceDE w:val="0"/>
              <w:autoSpaceDN w:val="0"/>
              <w:adjustRightInd w:val="0"/>
              <w:snapToGrid w:val="0"/>
              <w:spacing w:line="360" w:lineRule="auto"/>
              <w:jc w:val="center"/>
              <w:rPr>
                <w:rFonts w:ascii="宋体" w:hAnsi="宋体"/>
                <w:color w:val="auto"/>
                <w:highlight w:val="none"/>
                <w:lang w:val="zh-CN"/>
              </w:rPr>
            </w:pPr>
          </w:p>
        </w:tc>
      </w:tr>
      <w:tr w14:paraId="016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FF42E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76575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C7FC7F8">
            <w:pPr>
              <w:autoSpaceDE w:val="0"/>
              <w:autoSpaceDN w:val="0"/>
              <w:adjustRightInd w:val="0"/>
              <w:snapToGrid w:val="0"/>
              <w:spacing w:line="360" w:lineRule="auto"/>
              <w:jc w:val="center"/>
              <w:rPr>
                <w:rFonts w:ascii="宋体" w:hAnsi="宋体"/>
                <w:color w:val="auto"/>
                <w:highlight w:val="none"/>
                <w:lang w:val="zh-CN"/>
              </w:rPr>
            </w:pPr>
          </w:p>
        </w:tc>
      </w:tr>
      <w:tr w14:paraId="364C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E58D45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4141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3E7E3D">
            <w:pPr>
              <w:autoSpaceDE w:val="0"/>
              <w:autoSpaceDN w:val="0"/>
              <w:adjustRightInd w:val="0"/>
              <w:snapToGrid w:val="0"/>
              <w:spacing w:line="360" w:lineRule="auto"/>
              <w:jc w:val="center"/>
              <w:rPr>
                <w:rFonts w:ascii="宋体" w:hAnsi="宋体"/>
                <w:color w:val="auto"/>
                <w:highlight w:val="none"/>
                <w:lang w:val="zh-CN"/>
              </w:rPr>
            </w:pPr>
          </w:p>
        </w:tc>
      </w:tr>
      <w:tr w14:paraId="765A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0EA6619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E367DCD">
            <w:pPr>
              <w:autoSpaceDE w:val="0"/>
              <w:autoSpaceDN w:val="0"/>
              <w:adjustRightInd w:val="0"/>
              <w:snapToGrid w:val="0"/>
              <w:spacing w:line="360" w:lineRule="auto"/>
              <w:jc w:val="center"/>
              <w:rPr>
                <w:rFonts w:ascii="宋体" w:hAnsi="宋体"/>
                <w:color w:val="auto"/>
                <w:highlight w:val="none"/>
                <w:lang w:val="zh-CN"/>
              </w:rPr>
            </w:pPr>
          </w:p>
        </w:tc>
      </w:tr>
    </w:tbl>
    <w:p w14:paraId="5DA420BF">
      <w:pPr>
        <w:spacing w:line="360" w:lineRule="auto"/>
        <w:ind w:left="420"/>
        <w:rPr>
          <w:rFonts w:ascii="宋体" w:hAnsi="宋体"/>
          <w:color w:val="auto"/>
          <w:sz w:val="24"/>
          <w:highlight w:val="none"/>
        </w:rPr>
      </w:pPr>
    </w:p>
    <w:p w14:paraId="53C7D49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3AFB6D19">
      <w:pPr>
        <w:spacing w:line="360" w:lineRule="auto"/>
        <w:ind w:left="420"/>
        <w:rPr>
          <w:rFonts w:ascii="宋体" w:hAnsi="宋体"/>
          <w:color w:val="auto"/>
          <w:sz w:val="24"/>
          <w:highlight w:val="none"/>
        </w:rPr>
      </w:pPr>
    </w:p>
    <w:p w14:paraId="2D7394B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5CD854A">
      <w:pPr>
        <w:spacing w:line="360" w:lineRule="auto"/>
        <w:ind w:firstLine="435"/>
        <w:rPr>
          <w:rFonts w:ascii="宋体" w:hAnsi="宋体"/>
          <w:color w:val="auto"/>
          <w:sz w:val="24"/>
          <w:highlight w:val="none"/>
        </w:rPr>
      </w:pPr>
    </w:p>
    <w:p w14:paraId="38C034B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0ECEA34">
      <w:pPr>
        <w:spacing w:line="360" w:lineRule="auto"/>
        <w:ind w:firstLine="435"/>
        <w:rPr>
          <w:rFonts w:ascii="宋体" w:hAnsi="宋体"/>
          <w:color w:val="auto"/>
          <w:sz w:val="24"/>
          <w:highlight w:val="none"/>
        </w:rPr>
      </w:pPr>
    </w:p>
    <w:p w14:paraId="2EE0AC0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7BF0FFE">
      <w:pPr>
        <w:jc w:val="left"/>
        <w:rPr>
          <w:rFonts w:ascii="宋体" w:hAnsi="宋体"/>
          <w:b/>
          <w:bCs/>
          <w:color w:val="auto"/>
          <w:kern w:val="0"/>
          <w:sz w:val="32"/>
          <w:szCs w:val="32"/>
          <w:highlight w:val="none"/>
        </w:rPr>
      </w:pPr>
      <w:bookmarkStart w:id="61" w:name="_Toc26601_WPSOffice_Level1"/>
      <w:bookmarkStart w:id="62" w:name="_Toc12856_WPSOffice_Level1"/>
    </w:p>
    <w:p w14:paraId="64A1E6C9">
      <w:pPr>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5</w:t>
      </w:r>
    </w:p>
    <w:p w14:paraId="4694B9C6">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1D8D3F55">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24F8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600DB7">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B685F7">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913A20">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8F235">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C89E2A">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4B5421">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0920E2">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9F4803">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2EE48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23427C">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211C7B">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C9FFB">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5C3300">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F5A49D">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3957D5">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D8D94E">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AE133B">
            <w:pPr>
              <w:snapToGrid w:val="0"/>
              <w:spacing w:before="156" w:beforeLines="50" w:after="50" w:line="360" w:lineRule="auto"/>
              <w:rPr>
                <w:rFonts w:ascii="宋体" w:hAnsi="宋体"/>
                <w:b/>
                <w:color w:val="auto"/>
                <w:kern w:val="44"/>
                <w:szCs w:val="21"/>
                <w:highlight w:val="none"/>
              </w:rPr>
            </w:pPr>
          </w:p>
        </w:tc>
      </w:tr>
      <w:tr w14:paraId="73475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3E3CC0">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E65478">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B0EA86">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A248D4">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A6EBA0">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9923D5">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F3EBA2">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1702A">
            <w:pPr>
              <w:snapToGrid w:val="0"/>
              <w:spacing w:before="156" w:beforeLines="50" w:after="50" w:line="360" w:lineRule="auto"/>
              <w:rPr>
                <w:rFonts w:ascii="宋体" w:hAnsi="宋体"/>
                <w:b/>
                <w:color w:val="auto"/>
                <w:kern w:val="44"/>
                <w:szCs w:val="21"/>
                <w:highlight w:val="none"/>
              </w:rPr>
            </w:pPr>
          </w:p>
        </w:tc>
      </w:tr>
      <w:tr w14:paraId="392E1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A3B485">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65D553">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34A39">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07E7A7">
            <w:pPr>
              <w:pStyle w:val="15"/>
              <w:snapToGrid w:val="0"/>
              <w:spacing w:before="156"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1E5248">
            <w:pPr>
              <w:pStyle w:val="15"/>
              <w:snapToGrid w:val="0"/>
              <w:spacing w:before="156"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398F5A">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4109AC">
            <w:pPr>
              <w:snapToGrid w:val="0"/>
              <w:spacing w:before="156"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20CC05">
            <w:pPr>
              <w:snapToGrid w:val="0"/>
              <w:spacing w:before="156" w:beforeLines="50" w:after="50" w:line="360" w:lineRule="auto"/>
              <w:rPr>
                <w:rFonts w:ascii="宋体" w:hAnsi="宋体"/>
                <w:b/>
                <w:color w:val="auto"/>
                <w:kern w:val="44"/>
                <w:szCs w:val="21"/>
                <w:highlight w:val="none"/>
              </w:rPr>
            </w:pPr>
          </w:p>
        </w:tc>
      </w:tr>
      <w:tr w14:paraId="5A482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40864">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D056EC">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608A5C">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5ED4E8">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9F964B">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60AA21">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442119">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522965">
            <w:pPr>
              <w:snapToGrid w:val="0"/>
              <w:spacing w:before="156" w:beforeLines="50" w:after="50" w:line="360" w:lineRule="auto"/>
              <w:rPr>
                <w:rFonts w:ascii="宋体" w:hAnsi="宋体"/>
                <w:b/>
                <w:color w:val="auto"/>
                <w:kern w:val="44"/>
                <w:szCs w:val="21"/>
                <w:highlight w:val="none"/>
              </w:rPr>
            </w:pPr>
          </w:p>
        </w:tc>
      </w:tr>
      <w:tr w14:paraId="4C471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3DB241">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FE881E">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7F30D7">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D7B339">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DA5B9C">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501949">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C6E650">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44608B">
            <w:pPr>
              <w:snapToGrid w:val="0"/>
              <w:spacing w:before="156" w:beforeLines="50" w:after="50" w:line="360" w:lineRule="auto"/>
              <w:rPr>
                <w:rFonts w:ascii="宋体" w:hAnsi="宋体"/>
                <w:b/>
                <w:color w:val="auto"/>
                <w:kern w:val="44"/>
                <w:szCs w:val="21"/>
                <w:highlight w:val="none"/>
              </w:rPr>
            </w:pPr>
          </w:p>
        </w:tc>
      </w:tr>
    </w:tbl>
    <w:p w14:paraId="019DA1D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4237EC7B">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294B00F8">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3A7673F3">
      <w:pPr>
        <w:pStyle w:val="42"/>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14:paraId="0750279F">
      <w:pPr>
        <w:snapToGrid w:val="0"/>
        <w:spacing w:before="50" w:after="156" w:afterLines="50" w:line="360" w:lineRule="auto"/>
        <w:jc w:val="left"/>
        <w:rPr>
          <w:rFonts w:ascii="宋体" w:hAnsi="宋体"/>
          <w:color w:val="auto"/>
          <w:sz w:val="24"/>
          <w:szCs w:val="20"/>
          <w:highlight w:val="none"/>
        </w:rPr>
      </w:pPr>
    </w:p>
    <w:p w14:paraId="695B964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06DB826">
      <w:pPr>
        <w:spacing w:line="360" w:lineRule="auto"/>
        <w:ind w:left="420"/>
        <w:rPr>
          <w:rFonts w:ascii="宋体" w:hAnsi="宋体"/>
          <w:color w:val="auto"/>
          <w:sz w:val="24"/>
          <w:highlight w:val="none"/>
        </w:rPr>
      </w:pPr>
    </w:p>
    <w:p w14:paraId="2947180E">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9498F01">
      <w:pPr>
        <w:spacing w:line="360" w:lineRule="auto"/>
        <w:ind w:firstLine="435"/>
        <w:rPr>
          <w:rFonts w:ascii="宋体" w:hAnsi="宋体"/>
          <w:color w:val="auto"/>
          <w:sz w:val="24"/>
          <w:highlight w:val="none"/>
        </w:rPr>
      </w:pPr>
    </w:p>
    <w:p w14:paraId="2FA4754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E3A551F">
      <w:pPr>
        <w:spacing w:line="360" w:lineRule="auto"/>
        <w:ind w:firstLine="435"/>
        <w:rPr>
          <w:rFonts w:ascii="宋体" w:hAnsi="宋体"/>
          <w:color w:val="auto"/>
          <w:sz w:val="24"/>
          <w:highlight w:val="none"/>
        </w:rPr>
      </w:pPr>
    </w:p>
    <w:p w14:paraId="5DC476F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974F7DE">
      <w:pPr>
        <w:jc w:val="left"/>
        <w:rPr>
          <w:rFonts w:ascii="宋体" w:hAnsi="宋体"/>
          <w:b/>
          <w:bCs/>
          <w:color w:val="auto"/>
          <w:kern w:val="0"/>
          <w:sz w:val="32"/>
          <w:szCs w:val="32"/>
          <w:highlight w:val="none"/>
        </w:rPr>
      </w:pPr>
    </w:p>
    <w:p w14:paraId="7D42751E">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052FD28D">
      <w:pPr>
        <w:spacing w:line="360" w:lineRule="auto"/>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6</w:t>
      </w:r>
    </w:p>
    <w:p w14:paraId="40084123">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12F2DBA1">
      <w:pPr>
        <w:adjustRightInd w:val="0"/>
        <w:snapToGrid w:val="0"/>
        <w:ind w:firstLine="1205" w:firstLineChars="375"/>
        <w:jc w:val="center"/>
        <w:rPr>
          <w:rFonts w:ascii="宋体" w:hAnsi="宋体"/>
          <w:b/>
          <w:color w:val="auto"/>
          <w:kern w:val="0"/>
          <w:sz w:val="32"/>
          <w:szCs w:val="32"/>
          <w:highlight w:val="none"/>
        </w:rPr>
      </w:pPr>
    </w:p>
    <w:tbl>
      <w:tblPr>
        <w:tblStyle w:val="28"/>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14:paraId="21DF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2E530CFD">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2003" w:type="pct"/>
            <w:vAlign w:val="center"/>
          </w:tcPr>
          <w:p w14:paraId="6243FE0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401" w:type="pct"/>
            <w:vAlign w:val="center"/>
          </w:tcPr>
          <w:p w14:paraId="5AD9315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14:paraId="346E954E">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400" w:type="pct"/>
            <w:vAlign w:val="center"/>
          </w:tcPr>
          <w:p w14:paraId="784495B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14:paraId="3E51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394EA68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2003" w:type="pct"/>
            <w:vAlign w:val="center"/>
          </w:tcPr>
          <w:p w14:paraId="1D099F8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1401" w:type="pct"/>
            <w:vAlign w:val="center"/>
          </w:tcPr>
          <w:p w14:paraId="429ABA8C">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0DE35D5E">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14:paraId="51EF09B5">
            <w:pPr>
              <w:adjustRightInd w:val="0"/>
              <w:snapToGrid w:val="0"/>
              <w:spacing w:before="100" w:beforeAutospacing="1" w:after="100" w:afterAutospacing="1"/>
              <w:rPr>
                <w:rFonts w:ascii="宋体" w:hAnsi="宋体"/>
                <w:color w:val="auto"/>
                <w:sz w:val="24"/>
                <w:highlight w:val="none"/>
              </w:rPr>
            </w:pPr>
          </w:p>
        </w:tc>
      </w:tr>
      <w:tr w14:paraId="36F0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2D27855A">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2003" w:type="pct"/>
            <w:vAlign w:val="center"/>
          </w:tcPr>
          <w:p w14:paraId="31831178">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1401" w:type="pct"/>
            <w:vAlign w:val="center"/>
          </w:tcPr>
          <w:p w14:paraId="35D8802A">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29CCCEF6">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14:paraId="36B2B739">
            <w:pPr>
              <w:adjustRightInd w:val="0"/>
              <w:snapToGrid w:val="0"/>
              <w:spacing w:before="100" w:beforeAutospacing="1" w:after="100" w:afterAutospacing="1"/>
              <w:rPr>
                <w:rFonts w:ascii="宋体" w:hAnsi="宋体"/>
                <w:color w:val="auto"/>
                <w:sz w:val="24"/>
                <w:highlight w:val="none"/>
              </w:rPr>
            </w:pPr>
          </w:p>
        </w:tc>
      </w:tr>
      <w:tr w14:paraId="0CB9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85DEF3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2003" w:type="pct"/>
            <w:vAlign w:val="center"/>
          </w:tcPr>
          <w:p w14:paraId="158D46D7">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1BCB6B04">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4E9025DF">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4B8D180D">
            <w:pPr>
              <w:adjustRightInd w:val="0"/>
              <w:snapToGrid w:val="0"/>
              <w:spacing w:before="100" w:beforeAutospacing="1" w:after="100" w:afterAutospacing="1"/>
              <w:rPr>
                <w:rFonts w:ascii="宋体" w:hAnsi="宋体"/>
                <w:color w:val="auto"/>
                <w:sz w:val="24"/>
                <w:highlight w:val="none"/>
              </w:rPr>
            </w:pPr>
          </w:p>
        </w:tc>
      </w:tr>
      <w:tr w14:paraId="0F7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5D612605">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2003" w:type="pct"/>
            <w:vAlign w:val="center"/>
          </w:tcPr>
          <w:p w14:paraId="329FE5E4">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08E6D230">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584A3089">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078E62AA">
            <w:pPr>
              <w:adjustRightInd w:val="0"/>
              <w:snapToGrid w:val="0"/>
              <w:spacing w:before="100" w:beforeAutospacing="1" w:after="100" w:afterAutospacing="1"/>
              <w:rPr>
                <w:rFonts w:ascii="宋体" w:hAnsi="宋体"/>
                <w:color w:val="auto"/>
                <w:sz w:val="24"/>
                <w:highlight w:val="none"/>
              </w:rPr>
            </w:pPr>
          </w:p>
        </w:tc>
      </w:tr>
      <w:tr w14:paraId="2FF8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69F3965">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2003" w:type="pct"/>
            <w:vAlign w:val="center"/>
          </w:tcPr>
          <w:p w14:paraId="6D8F09E2">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475417D7">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21F59CCE">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4E747AD8">
            <w:pPr>
              <w:adjustRightInd w:val="0"/>
              <w:snapToGrid w:val="0"/>
              <w:spacing w:before="100" w:beforeAutospacing="1" w:after="100" w:afterAutospacing="1"/>
              <w:rPr>
                <w:rFonts w:ascii="宋体" w:hAnsi="宋体"/>
                <w:color w:val="auto"/>
                <w:sz w:val="24"/>
                <w:highlight w:val="none"/>
              </w:rPr>
            </w:pPr>
          </w:p>
        </w:tc>
      </w:tr>
      <w:tr w14:paraId="0576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7419CC1E">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2003" w:type="pct"/>
            <w:vAlign w:val="center"/>
          </w:tcPr>
          <w:p w14:paraId="3D4A9DDF">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66806AA5">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6DD8B6D9">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59A3F8E0">
            <w:pPr>
              <w:adjustRightInd w:val="0"/>
              <w:snapToGrid w:val="0"/>
              <w:spacing w:before="100" w:beforeAutospacing="1" w:after="100" w:afterAutospacing="1"/>
              <w:rPr>
                <w:rFonts w:ascii="宋体" w:hAnsi="宋体"/>
                <w:color w:val="auto"/>
                <w:sz w:val="24"/>
                <w:highlight w:val="none"/>
              </w:rPr>
            </w:pPr>
          </w:p>
        </w:tc>
      </w:tr>
      <w:tr w14:paraId="7A7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3450D328">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2003" w:type="pct"/>
            <w:vAlign w:val="center"/>
          </w:tcPr>
          <w:p w14:paraId="4FCBA29E">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1D888DB0">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75A83BA0">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2D09C1FF">
            <w:pPr>
              <w:adjustRightInd w:val="0"/>
              <w:snapToGrid w:val="0"/>
              <w:spacing w:before="100" w:beforeAutospacing="1" w:after="100" w:afterAutospacing="1"/>
              <w:rPr>
                <w:rFonts w:ascii="宋体" w:hAnsi="宋体"/>
                <w:color w:val="auto"/>
                <w:sz w:val="24"/>
                <w:highlight w:val="none"/>
              </w:rPr>
            </w:pPr>
          </w:p>
        </w:tc>
      </w:tr>
      <w:tr w14:paraId="3EA2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1BC3EFE9">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14:paraId="7F6EDCC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401" w:type="pct"/>
            <w:vAlign w:val="center"/>
          </w:tcPr>
          <w:p w14:paraId="7245B438">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71771BF8">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5140811B">
            <w:pPr>
              <w:adjustRightInd w:val="0"/>
              <w:snapToGrid w:val="0"/>
              <w:spacing w:before="100" w:beforeAutospacing="1" w:after="100" w:afterAutospacing="1"/>
              <w:rPr>
                <w:rFonts w:ascii="宋体" w:hAnsi="宋体"/>
                <w:color w:val="auto"/>
                <w:sz w:val="24"/>
                <w:highlight w:val="none"/>
              </w:rPr>
            </w:pPr>
          </w:p>
        </w:tc>
      </w:tr>
      <w:tr w14:paraId="1FB9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35F82F31">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14:paraId="156588BD">
            <w:pPr>
              <w:adjustRightInd w:val="0"/>
              <w:snapToGrid w:val="0"/>
              <w:spacing w:before="100" w:beforeAutospacing="1" w:after="100" w:afterAutospacing="1"/>
              <w:rPr>
                <w:rFonts w:ascii="宋体" w:hAnsi="宋体"/>
                <w:color w:val="auto"/>
                <w:sz w:val="24"/>
                <w:highlight w:val="none"/>
              </w:rPr>
            </w:pPr>
          </w:p>
        </w:tc>
        <w:tc>
          <w:tcPr>
            <w:tcW w:w="1401" w:type="pct"/>
            <w:vAlign w:val="center"/>
          </w:tcPr>
          <w:p w14:paraId="0F406200">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3ADB930E">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61C3C5D9">
            <w:pPr>
              <w:adjustRightInd w:val="0"/>
              <w:snapToGrid w:val="0"/>
              <w:spacing w:before="100" w:beforeAutospacing="1" w:after="100" w:afterAutospacing="1"/>
              <w:rPr>
                <w:rFonts w:ascii="宋体" w:hAnsi="宋体"/>
                <w:color w:val="auto"/>
                <w:sz w:val="24"/>
                <w:highlight w:val="none"/>
              </w:rPr>
            </w:pPr>
          </w:p>
        </w:tc>
      </w:tr>
    </w:tbl>
    <w:p w14:paraId="6A6712C9">
      <w:pPr>
        <w:pStyle w:val="14"/>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5336D90">
      <w:pPr>
        <w:pStyle w:val="14"/>
        <w:adjustRightInd w:val="0"/>
        <w:snapToGrid w:val="0"/>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14:paraId="0DE32717">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bookmarkEnd w:id="61"/>
    <w:bookmarkEnd w:id="62"/>
    <w:p w14:paraId="615D61AD">
      <w:pPr>
        <w:spacing w:line="360" w:lineRule="auto"/>
        <w:rPr>
          <w:rFonts w:ascii="宋体" w:hAnsi="宋体"/>
          <w:color w:val="auto"/>
          <w:sz w:val="24"/>
          <w:highlight w:val="none"/>
        </w:rPr>
      </w:pPr>
    </w:p>
    <w:p w14:paraId="2DD4349E">
      <w:pPr>
        <w:pStyle w:val="11"/>
        <w:rPr>
          <w:color w:val="auto"/>
          <w:highlight w:val="none"/>
        </w:rPr>
      </w:pPr>
    </w:p>
    <w:p w14:paraId="34AC90D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04EB22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EF593EC">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8EC067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BE45143">
      <w:pPr>
        <w:spacing w:line="360" w:lineRule="auto"/>
        <w:rPr>
          <w:rFonts w:ascii="宋体" w:hAnsi="宋体"/>
          <w:b/>
          <w:color w:val="auto"/>
          <w:sz w:val="28"/>
          <w:highlight w:val="none"/>
        </w:rPr>
      </w:pPr>
    </w:p>
    <w:p w14:paraId="56E3CE23">
      <w:pPr>
        <w:rPr>
          <w:rFonts w:ascii="宋体" w:hAnsi="宋体"/>
          <w:b/>
          <w:color w:val="auto"/>
          <w:sz w:val="28"/>
          <w:highlight w:val="none"/>
        </w:rPr>
      </w:pPr>
      <w:r>
        <w:rPr>
          <w:rFonts w:hint="eastAsia" w:ascii="宋体" w:hAnsi="宋体"/>
          <w:b/>
          <w:color w:val="auto"/>
          <w:sz w:val="28"/>
          <w:highlight w:val="none"/>
        </w:rPr>
        <w:br w:type="page"/>
      </w:r>
    </w:p>
    <w:p w14:paraId="5CA14F88">
      <w:pPr>
        <w:pStyle w:val="44"/>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721B3E22">
      <w:pPr>
        <w:pStyle w:val="45"/>
        <w:spacing w:line="360" w:lineRule="auto"/>
        <w:jc w:val="center"/>
        <w:rPr>
          <w:rFonts w:ascii="宋体" w:hAnsi="宋体" w:cs="Arial"/>
          <w:color w:val="auto"/>
          <w:sz w:val="28"/>
          <w:szCs w:val="28"/>
          <w:highlight w:val="none"/>
        </w:rPr>
      </w:pPr>
      <w:bookmarkStart w:id="63" w:name="_Toc17604_WPSOffice_Level1"/>
      <w:bookmarkStart w:id="64" w:name="_Toc11030_WPSOffice_Level1"/>
      <w:r>
        <w:rPr>
          <w:rFonts w:hint="eastAsia" w:ascii="宋体" w:hAnsi="宋体"/>
          <w:b/>
          <w:color w:val="auto"/>
          <w:sz w:val="32"/>
          <w:szCs w:val="32"/>
          <w:highlight w:val="none"/>
        </w:rPr>
        <w:t>证书一览表</w:t>
      </w:r>
      <w:bookmarkEnd w:id="63"/>
      <w:bookmarkEnd w:id="64"/>
    </w:p>
    <w:tbl>
      <w:tblPr>
        <w:tblStyle w:val="28"/>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4F0D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6AC0A1E7">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29925F4C">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1ED2132E">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5FADBCB5">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1D688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729747BA">
            <w:pPr>
              <w:pStyle w:val="45"/>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0E21B428">
            <w:pPr>
              <w:pStyle w:val="45"/>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51340745">
            <w:pPr>
              <w:pStyle w:val="45"/>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150835EB">
            <w:pPr>
              <w:pStyle w:val="45"/>
              <w:spacing w:line="360" w:lineRule="auto"/>
              <w:jc w:val="center"/>
              <w:rPr>
                <w:rFonts w:ascii="宋体" w:hAnsi="宋体" w:cs="Arial"/>
                <w:color w:val="auto"/>
                <w:szCs w:val="21"/>
                <w:highlight w:val="none"/>
              </w:rPr>
            </w:pPr>
          </w:p>
        </w:tc>
      </w:tr>
      <w:tr w14:paraId="79089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A36ABCB">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4CC6E794">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B73809E">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D0D8DDD">
            <w:pPr>
              <w:pStyle w:val="45"/>
              <w:spacing w:line="360" w:lineRule="auto"/>
              <w:jc w:val="center"/>
              <w:rPr>
                <w:rFonts w:ascii="宋体" w:hAnsi="宋体" w:cs="Arial"/>
                <w:color w:val="auto"/>
                <w:szCs w:val="21"/>
                <w:highlight w:val="none"/>
              </w:rPr>
            </w:pPr>
          </w:p>
        </w:tc>
      </w:tr>
      <w:tr w14:paraId="5D1DAC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03D5A79">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EF9CE23">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9D01A2D">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5EA8DAA">
            <w:pPr>
              <w:pStyle w:val="45"/>
              <w:spacing w:line="360" w:lineRule="auto"/>
              <w:jc w:val="center"/>
              <w:rPr>
                <w:rFonts w:ascii="宋体" w:hAnsi="宋体" w:cs="Arial"/>
                <w:color w:val="auto"/>
                <w:szCs w:val="21"/>
                <w:highlight w:val="none"/>
              </w:rPr>
            </w:pPr>
          </w:p>
        </w:tc>
      </w:tr>
      <w:tr w14:paraId="2D4C1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7301E96">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A24C7F7">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949D50C">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289AA9C">
            <w:pPr>
              <w:pStyle w:val="45"/>
              <w:spacing w:line="360" w:lineRule="auto"/>
              <w:jc w:val="center"/>
              <w:rPr>
                <w:rFonts w:ascii="宋体" w:hAnsi="宋体" w:cs="Arial"/>
                <w:color w:val="auto"/>
                <w:szCs w:val="21"/>
                <w:highlight w:val="none"/>
              </w:rPr>
            </w:pPr>
          </w:p>
        </w:tc>
      </w:tr>
      <w:tr w14:paraId="1288C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44E90F7">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24D1AD9B">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1DD3A7A">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AADED51">
            <w:pPr>
              <w:pStyle w:val="45"/>
              <w:spacing w:line="360" w:lineRule="auto"/>
              <w:jc w:val="center"/>
              <w:rPr>
                <w:rFonts w:ascii="宋体" w:hAnsi="宋体" w:cs="Arial"/>
                <w:color w:val="auto"/>
                <w:szCs w:val="21"/>
                <w:highlight w:val="none"/>
              </w:rPr>
            </w:pPr>
          </w:p>
        </w:tc>
      </w:tr>
      <w:tr w14:paraId="62687C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138FCDF">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9674607">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FC229B4">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9DC279B">
            <w:pPr>
              <w:pStyle w:val="45"/>
              <w:spacing w:line="360" w:lineRule="auto"/>
              <w:jc w:val="center"/>
              <w:rPr>
                <w:rFonts w:ascii="宋体" w:hAnsi="宋体" w:cs="Arial"/>
                <w:color w:val="auto"/>
                <w:szCs w:val="21"/>
                <w:highlight w:val="none"/>
              </w:rPr>
            </w:pPr>
          </w:p>
        </w:tc>
      </w:tr>
      <w:tr w14:paraId="1008E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09C4CC92">
            <w:pPr>
              <w:pStyle w:val="45"/>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4A32A915">
            <w:pPr>
              <w:pStyle w:val="45"/>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091E2ED6">
            <w:pPr>
              <w:pStyle w:val="45"/>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6B8BFE4C">
            <w:pPr>
              <w:pStyle w:val="45"/>
              <w:spacing w:line="360" w:lineRule="auto"/>
              <w:jc w:val="center"/>
              <w:rPr>
                <w:rFonts w:ascii="宋体" w:hAnsi="宋体" w:cs="Arial"/>
                <w:color w:val="auto"/>
                <w:szCs w:val="21"/>
                <w:highlight w:val="none"/>
              </w:rPr>
            </w:pPr>
          </w:p>
        </w:tc>
      </w:tr>
    </w:tbl>
    <w:p w14:paraId="4C33DD7E">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3C6B9D4A">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03954C3D">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670C4C2">
      <w:pPr>
        <w:pStyle w:val="45"/>
        <w:tabs>
          <w:tab w:val="left" w:pos="1050"/>
        </w:tabs>
        <w:spacing w:line="360" w:lineRule="auto"/>
        <w:rPr>
          <w:rFonts w:ascii="仿宋_GB2312" w:hAnsi="宋体" w:eastAsia="仿宋_GB2312"/>
          <w:color w:val="auto"/>
          <w:sz w:val="24"/>
          <w:highlight w:val="none"/>
        </w:rPr>
      </w:pPr>
    </w:p>
    <w:p w14:paraId="56DC80B9">
      <w:pPr>
        <w:pStyle w:val="45"/>
        <w:tabs>
          <w:tab w:val="left" w:pos="1050"/>
        </w:tabs>
        <w:spacing w:line="360" w:lineRule="auto"/>
        <w:ind w:firstLine="720" w:firstLineChars="300"/>
        <w:rPr>
          <w:rFonts w:ascii="仿宋_GB2312" w:hAnsi="宋体" w:eastAsia="仿宋_GB2312"/>
          <w:color w:val="auto"/>
          <w:sz w:val="24"/>
          <w:highlight w:val="none"/>
        </w:rPr>
      </w:pPr>
    </w:p>
    <w:p w14:paraId="31B9054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1A22EEBD">
      <w:pPr>
        <w:spacing w:line="360" w:lineRule="auto"/>
        <w:ind w:left="420"/>
        <w:rPr>
          <w:rFonts w:ascii="宋体" w:hAnsi="宋体"/>
          <w:color w:val="auto"/>
          <w:sz w:val="24"/>
          <w:highlight w:val="none"/>
        </w:rPr>
      </w:pPr>
    </w:p>
    <w:p w14:paraId="6658BAF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78549DD8">
      <w:pPr>
        <w:spacing w:line="360" w:lineRule="auto"/>
        <w:ind w:firstLine="435"/>
        <w:rPr>
          <w:rFonts w:ascii="宋体" w:hAnsi="宋体"/>
          <w:color w:val="auto"/>
          <w:sz w:val="24"/>
          <w:highlight w:val="none"/>
        </w:rPr>
      </w:pPr>
    </w:p>
    <w:p w14:paraId="756A640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E7E884D">
      <w:pPr>
        <w:spacing w:line="360" w:lineRule="auto"/>
        <w:rPr>
          <w:rFonts w:ascii="宋体" w:hAnsi="宋体"/>
          <w:color w:val="auto"/>
          <w:sz w:val="24"/>
          <w:highlight w:val="none"/>
        </w:rPr>
      </w:pPr>
    </w:p>
    <w:p w14:paraId="41447191">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6E1E64C">
      <w:pPr>
        <w:spacing w:line="360" w:lineRule="auto"/>
        <w:rPr>
          <w:rFonts w:ascii="宋体" w:hAnsi="宋体"/>
          <w:b/>
          <w:color w:val="auto"/>
          <w:sz w:val="28"/>
          <w:highlight w:val="none"/>
        </w:rPr>
      </w:pPr>
    </w:p>
    <w:p w14:paraId="589A8BA3">
      <w:pPr>
        <w:spacing w:line="360" w:lineRule="auto"/>
        <w:rPr>
          <w:rFonts w:ascii="宋体" w:hAnsi="宋体"/>
          <w:b/>
          <w:color w:val="auto"/>
          <w:sz w:val="28"/>
          <w:highlight w:val="none"/>
        </w:rPr>
      </w:pPr>
    </w:p>
    <w:p w14:paraId="11EF4B0C">
      <w:pPr>
        <w:spacing w:line="360" w:lineRule="auto"/>
        <w:rPr>
          <w:rFonts w:ascii="宋体" w:hAnsi="宋体"/>
          <w:b/>
          <w:color w:val="auto"/>
          <w:sz w:val="28"/>
          <w:highlight w:val="none"/>
        </w:rPr>
      </w:pPr>
    </w:p>
    <w:p w14:paraId="36BE795E">
      <w:pPr>
        <w:pStyle w:val="11"/>
        <w:ind w:left="0" w:leftChars="0" w:firstLine="0"/>
        <w:rPr>
          <w:rFonts w:ascii="宋体" w:hAnsi="宋体"/>
          <w:b/>
          <w:color w:val="auto"/>
          <w:sz w:val="28"/>
          <w:highlight w:val="none"/>
        </w:rPr>
      </w:pPr>
    </w:p>
    <w:p w14:paraId="208FD045">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FA9C5E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316A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CE7A33F">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DB1AC58">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C5E601C">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24C0826">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965DECD">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B55965">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F027D8C">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1653B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93DA1F">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3EB9C7">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75BF8F">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63C429">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17CA0D">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D6FABD">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F5BE82">
            <w:pPr>
              <w:pStyle w:val="44"/>
              <w:spacing w:line="360" w:lineRule="auto"/>
              <w:rPr>
                <w:rFonts w:asciiTheme="minorEastAsia" w:hAnsiTheme="minorEastAsia" w:eastAsiaTheme="minorEastAsia" w:cstheme="minorEastAsia"/>
                <w:color w:val="auto"/>
                <w:szCs w:val="21"/>
                <w:highlight w:val="none"/>
              </w:rPr>
            </w:pPr>
          </w:p>
        </w:tc>
      </w:tr>
      <w:tr w14:paraId="5CD21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CF8896">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6B72CD">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6F2095">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1EEACE">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B6CDF2">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53902A">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1DAE0B">
            <w:pPr>
              <w:pStyle w:val="44"/>
              <w:spacing w:line="360" w:lineRule="auto"/>
              <w:rPr>
                <w:rFonts w:asciiTheme="minorEastAsia" w:hAnsiTheme="minorEastAsia" w:eastAsiaTheme="minorEastAsia" w:cstheme="minorEastAsia"/>
                <w:color w:val="auto"/>
                <w:szCs w:val="21"/>
                <w:highlight w:val="none"/>
              </w:rPr>
            </w:pPr>
          </w:p>
        </w:tc>
      </w:tr>
      <w:tr w14:paraId="10CB0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776C1B">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321A69">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30306F">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84425C">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94DD7C">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F74DA4">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97DCC9">
            <w:pPr>
              <w:pStyle w:val="44"/>
              <w:spacing w:line="360" w:lineRule="auto"/>
              <w:rPr>
                <w:rFonts w:asciiTheme="minorEastAsia" w:hAnsiTheme="minorEastAsia" w:eastAsiaTheme="minorEastAsia" w:cstheme="minorEastAsia"/>
                <w:color w:val="auto"/>
                <w:szCs w:val="21"/>
                <w:highlight w:val="none"/>
              </w:rPr>
            </w:pPr>
          </w:p>
        </w:tc>
      </w:tr>
      <w:tr w14:paraId="6E527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85BE59">
            <w:pPr>
              <w:pStyle w:val="44"/>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927DD5">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C89E6A">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AB973D">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34325D">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0CFAD">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F043A6">
            <w:pPr>
              <w:pStyle w:val="44"/>
              <w:spacing w:line="360" w:lineRule="auto"/>
              <w:rPr>
                <w:rFonts w:asciiTheme="minorEastAsia" w:hAnsiTheme="minorEastAsia" w:eastAsiaTheme="minorEastAsia" w:cstheme="minorEastAsia"/>
                <w:color w:val="auto"/>
                <w:szCs w:val="21"/>
                <w:highlight w:val="none"/>
              </w:rPr>
            </w:pPr>
          </w:p>
        </w:tc>
      </w:tr>
      <w:tr w14:paraId="51CC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641561">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1D1147">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1D2749">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454744">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0DF793">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55798C">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909157">
            <w:pPr>
              <w:pStyle w:val="44"/>
              <w:spacing w:line="360" w:lineRule="auto"/>
              <w:rPr>
                <w:rFonts w:asciiTheme="minorEastAsia" w:hAnsiTheme="minorEastAsia" w:eastAsiaTheme="minorEastAsia" w:cstheme="minorEastAsia"/>
                <w:color w:val="auto"/>
                <w:szCs w:val="21"/>
                <w:highlight w:val="none"/>
              </w:rPr>
            </w:pPr>
          </w:p>
        </w:tc>
      </w:tr>
      <w:tr w14:paraId="37483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9CF353">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6A54FB">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55C2BE">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ACCF62">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DF1E82">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C02040">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6352F5">
            <w:pPr>
              <w:pStyle w:val="44"/>
              <w:spacing w:line="360" w:lineRule="auto"/>
              <w:rPr>
                <w:rFonts w:asciiTheme="minorEastAsia" w:hAnsiTheme="minorEastAsia" w:eastAsiaTheme="minorEastAsia" w:cstheme="minorEastAsia"/>
                <w:color w:val="auto"/>
                <w:szCs w:val="21"/>
                <w:highlight w:val="none"/>
              </w:rPr>
            </w:pPr>
          </w:p>
        </w:tc>
      </w:tr>
      <w:tr w14:paraId="626E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B3ED2D">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7BB9B1">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FED13B">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51E772">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95A084">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F87594">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AF2A2A">
            <w:pPr>
              <w:pStyle w:val="44"/>
              <w:spacing w:line="360" w:lineRule="auto"/>
              <w:rPr>
                <w:rFonts w:asciiTheme="minorEastAsia" w:hAnsiTheme="minorEastAsia" w:eastAsiaTheme="minorEastAsia" w:cstheme="minorEastAsia"/>
                <w:color w:val="auto"/>
                <w:szCs w:val="21"/>
                <w:highlight w:val="none"/>
              </w:rPr>
            </w:pPr>
          </w:p>
        </w:tc>
      </w:tr>
    </w:tbl>
    <w:p w14:paraId="2C34E118">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1EF89085">
      <w:pPr>
        <w:autoSpaceDE w:val="0"/>
        <w:autoSpaceDN w:val="0"/>
        <w:adjustRightInd w:val="0"/>
        <w:spacing w:before="156"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3FF46504">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6658720">
      <w:pPr>
        <w:spacing w:line="360" w:lineRule="auto"/>
        <w:rPr>
          <w:rFonts w:ascii="宋体" w:hAnsi="宋体"/>
          <w:color w:val="auto"/>
          <w:sz w:val="22"/>
          <w:szCs w:val="22"/>
          <w:highlight w:val="none"/>
        </w:rPr>
      </w:pPr>
    </w:p>
    <w:p w14:paraId="2A664A1B">
      <w:pPr>
        <w:pStyle w:val="11"/>
        <w:rPr>
          <w:color w:val="auto"/>
          <w:highlight w:val="none"/>
        </w:rPr>
      </w:pPr>
    </w:p>
    <w:p w14:paraId="47626F4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DFE4A72">
      <w:pPr>
        <w:spacing w:line="360" w:lineRule="auto"/>
        <w:ind w:left="420"/>
        <w:rPr>
          <w:rFonts w:ascii="宋体" w:hAnsi="宋体"/>
          <w:color w:val="auto"/>
          <w:sz w:val="24"/>
          <w:highlight w:val="none"/>
        </w:rPr>
      </w:pPr>
    </w:p>
    <w:p w14:paraId="6F01834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4F4A908">
      <w:pPr>
        <w:spacing w:line="360" w:lineRule="auto"/>
        <w:ind w:firstLine="435"/>
        <w:rPr>
          <w:rFonts w:ascii="宋体" w:hAnsi="宋体"/>
          <w:color w:val="auto"/>
          <w:sz w:val="24"/>
          <w:highlight w:val="none"/>
        </w:rPr>
      </w:pPr>
    </w:p>
    <w:p w14:paraId="36977F4F">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B59CFBF">
      <w:pPr>
        <w:spacing w:line="360" w:lineRule="auto"/>
        <w:rPr>
          <w:rFonts w:ascii="宋体" w:hAnsi="宋体"/>
          <w:color w:val="auto"/>
          <w:sz w:val="24"/>
          <w:highlight w:val="none"/>
        </w:rPr>
      </w:pPr>
    </w:p>
    <w:p w14:paraId="58D0C92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8B817AF">
      <w:pPr>
        <w:rPr>
          <w:color w:val="auto"/>
          <w:sz w:val="52"/>
          <w:szCs w:val="52"/>
          <w:highlight w:val="none"/>
        </w:rPr>
      </w:pPr>
      <w:bookmarkStart w:id="65" w:name="_Toc4615_WPSOffice_Level1"/>
      <w:bookmarkStart w:id="66" w:name="_Toc21322_WPSOffice_Level1"/>
      <w:bookmarkStart w:id="67" w:name="_Toc30468_WPSOffice_Level1"/>
    </w:p>
    <w:bookmarkEnd w:id="65"/>
    <w:bookmarkEnd w:id="66"/>
    <w:bookmarkEnd w:id="67"/>
    <w:p w14:paraId="23B5692F">
      <w:pPr>
        <w:jc w:val="center"/>
        <w:rPr>
          <w:color w:val="auto"/>
          <w:sz w:val="44"/>
          <w:szCs w:val="44"/>
          <w:highlight w:val="none"/>
        </w:rPr>
      </w:pPr>
    </w:p>
    <w:p w14:paraId="2A490854">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91C86FA">
      <w:pPr>
        <w:spacing w:line="360" w:lineRule="auto"/>
        <w:ind w:left="-2" w:hanging="2"/>
        <w:jc w:val="center"/>
        <w:rPr>
          <w:rFonts w:ascii="宋体" w:hAnsi="宋体"/>
          <w:b/>
          <w:color w:val="auto"/>
          <w:sz w:val="32"/>
          <w:szCs w:val="32"/>
          <w:highlight w:val="none"/>
        </w:rPr>
      </w:pPr>
      <w:bookmarkStart w:id="68" w:name="_Toc30363_WPSOffice_Level1"/>
      <w:bookmarkStart w:id="69" w:name="_Toc16144_WPSOffice_Level1"/>
      <w:r>
        <w:rPr>
          <w:rFonts w:hint="eastAsia" w:ascii="宋体" w:hAnsi="宋体"/>
          <w:b/>
          <w:color w:val="auto"/>
          <w:sz w:val="32"/>
          <w:szCs w:val="32"/>
          <w:highlight w:val="none"/>
        </w:rPr>
        <w:t>开标一览表</w:t>
      </w:r>
      <w:bookmarkEnd w:id="68"/>
      <w:bookmarkEnd w:id="69"/>
    </w:p>
    <w:p w14:paraId="1B1109D1">
      <w:pPr>
        <w:pStyle w:val="14"/>
        <w:spacing w:line="360" w:lineRule="auto"/>
        <w:ind w:firstLine="482" w:firstLineChars="200"/>
        <w:rPr>
          <w:rFonts w:hAnsi="宋体"/>
          <w:b/>
          <w:color w:val="auto"/>
          <w:sz w:val="24"/>
          <w:highlight w:val="none"/>
        </w:rPr>
      </w:pPr>
      <w:r>
        <w:rPr>
          <w:rFonts w:hAnsi="宋体"/>
          <w:b/>
          <w:color w:val="auto"/>
          <w:sz w:val="24"/>
          <w:highlight w:val="none"/>
        </w:rPr>
        <w:t>项目编号：</w:t>
      </w:r>
    </w:p>
    <w:p w14:paraId="7F7147DE">
      <w:pPr>
        <w:pStyle w:val="50"/>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p w14:paraId="68428F1B">
      <w:pPr>
        <w:snapToGrid w:val="0"/>
        <w:spacing w:before="50" w:after="50"/>
        <w:jc w:val="left"/>
        <w:rPr>
          <w:rFonts w:hint="eastAsia" w:ascii="Arial" w:hAnsi="Arial" w:eastAsia="宋体" w:cs="Arial"/>
          <w:color w:val="auto"/>
          <w:sz w:val="22"/>
          <w:szCs w:val="22"/>
          <w:highlight w:val="none"/>
          <w:lang w:eastAsia="zh-CN"/>
        </w:rPr>
      </w:pPr>
      <w:r>
        <w:rPr>
          <w:rFonts w:hint="eastAsia" w:ascii="Arial" w:hAnsi="Arial" w:cs="宋体"/>
          <w:color w:val="auto"/>
          <w:sz w:val="22"/>
          <w:szCs w:val="22"/>
          <w:highlight w:val="none"/>
        </w:rPr>
        <w:t>致：</w:t>
      </w:r>
      <w:r>
        <w:rPr>
          <w:rFonts w:hint="eastAsia" w:ascii="Arial" w:hAnsi="Arial" w:cs="宋体"/>
          <w:color w:val="auto"/>
          <w:sz w:val="22"/>
          <w:szCs w:val="22"/>
          <w:highlight w:val="none"/>
          <w:lang w:eastAsia="zh-CN"/>
        </w:rPr>
        <w:t>台州循环经济发展有限公司</w:t>
      </w:r>
    </w:p>
    <w:p w14:paraId="69319D9C">
      <w:pPr>
        <w:snapToGrid w:val="0"/>
        <w:ind w:firstLine="440" w:firstLineChars="200"/>
        <w:jc w:val="left"/>
        <w:rPr>
          <w:rFonts w:ascii="新宋体" w:hAnsi="新宋体" w:eastAsia="新宋体"/>
          <w:color w:val="auto"/>
          <w:szCs w:val="21"/>
          <w:highlight w:val="none"/>
        </w:rPr>
      </w:pPr>
      <w:r>
        <w:rPr>
          <w:rFonts w:ascii="Arial" w:hAnsi="Arial" w:cs="Arial"/>
          <w:color w:val="auto"/>
          <w:sz w:val="22"/>
          <w:szCs w:val="22"/>
          <w:highlight w:val="none"/>
        </w:rPr>
        <w:t>经研究，我们决定参加</w:t>
      </w:r>
      <w:r>
        <w:rPr>
          <w:rFonts w:hint="eastAsia" w:ascii="Arial" w:hAnsi="Arial" w:cs="Arial"/>
          <w:color w:val="auto"/>
          <w:sz w:val="22"/>
          <w:szCs w:val="22"/>
          <w:highlight w:val="none"/>
        </w:rPr>
        <w:t>你单位的</w:t>
      </w:r>
      <w:r>
        <w:rPr>
          <w:rFonts w:hint="eastAsia" w:ascii="宋体" w:hAnsi="宋体"/>
          <w:color w:val="auto"/>
          <w:sz w:val="22"/>
          <w:szCs w:val="22"/>
          <w:highlight w:val="none"/>
          <w:u w:val="single"/>
          <w:lang w:eastAsia="zh-CN"/>
        </w:rPr>
        <w:t>海塘提升工程生态修复区、管理房及巡查站、三山北堤用海图斑海域论证报告编制服务项目</w:t>
      </w:r>
      <w:r>
        <w:rPr>
          <w:rFonts w:ascii="Arial" w:hAnsi="Arial" w:cs="Arial"/>
          <w:color w:val="auto"/>
          <w:sz w:val="22"/>
          <w:szCs w:val="22"/>
          <w:highlight w:val="none"/>
        </w:rPr>
        <w:t>的</w:t>
      </w:r>
      <w:r>
        <w:rPr>
          <w:rFonts w:hint="eastAsia" w:ascii="Arial" w:hAnsi="Arial" w:cs="Arial"/>
          <w:color w:val="auto"/>
          <w:sz w:val="22"/>
          <w:highlight w:val="none"/>
        </w:rPr>
        <w:t>招标</w:t>
      </w:r>
      <w:r>
        <w:rPr>
          <w:rFonts w:ascii="Arial" w:hAnsi="Arial" w:cs="Arial"/>
          <w:color w:val="auto"/>
          <w:sz w:val="22"/>
          <w:highlight w:val="none"/>
        </w:rPr>
        <w:t>采购活动并提交</w:t>
      </w:r>
      <w:r>
        <w:rPr>
          <w:rFonts w:hint="eastAsia" w:ascii="Arial" w:hAnsi="Arial" w:cs="Arial"/>
          <w:color w:val="auto"/>
          <w:sz w:val="22"/>
          <w:highlight w:val="none"/>
        </w:rPr>
        <w:t>投标</w:t>
      </w:r>
      <w:r>
        <w:rPr>
          <w:rFonts w:ascii="Arial" w:hAnsi="Arial" w:cs="Arial"/>
          <w:color w:val="auto"/>
          <w:sz w:val="22"/>
          <w:highlight w:val="none"/>
        </w:rPr>
        <w:t>文件。为此，我方郑重声明以下诸点，并负法律责任。</w:t>
      </w:r>
    </w:p>
    <w:p w14:paraId="2CC572C9">
      <w:pPr>
        <w:pStyle w:val="10"/>
        <w:adjustRightInd w:val="0"/>
        <w:snapToGrid w:val="0"/>
        <w:rPr>
          <w:rFonts w:ascii="Arial" w:hAnsi="Arial" w:cs="Arial"/>
          <w:color w:val="auto"/>
          <w:sz w:val="22"/>
          <w:szCs w:val="22"/>
          <w:highlight w:val="none"/>
        </w:rPr>
      </w:pPr>
      <w:r>
        <w:rPr>
          <w:rFonts w:ascii="Arial" w:hAnsi="Arial" w:cs="Arial"/>
          <w:color w:val="auto"/>
          <w:sz w:val="22"/>
          <w:szCs w:val="22"/>
          <w:highlight w:val="none"/>
        </w:rPr>
        <w:t>1、如果我们的招标文件被接受，我们将履行招标文件中规定的每一项要求，并按我们投标文件中的承诺按期、按质、按量提供服务。</w:t>
      </w:r>
    </w:p>
    <w:p w14:paraId="06B73236">
      <w:pPr>
        <w:pStyle w:val="10"/>
        <w:adjustRightInd w:val="0"/>
        <w:snapToGrid w:val="0"/>
        <w:rPr>
          <w:rFonts w:ascii="Arial" w:hAnsi="Arial" w:cs="Arial"/>
          <w:color w:val="auto"/>
          <w:sz w:val="22"/>
          <w:szCs w:val="22"/>
          <w:highlight w:val="none"/>
        </w:rPr>
      </w:pPr>
      <w:r>
        <w:rPr>
          <w:rFonts w:ascii="Arial" w:hAnsi="Arial" w:cs="Arial"/>
          <w:color w:val="auto"/>
          <w:sz w:val="22"/>
          <w:szCs w:val="22"/>
          <w:highlight w:val="none"/>
        </w:rPr>
        <w:t>2、我们同意按采购文件规定遵守采购人有关采购的各项规定。</w:t>
      </w:r>
    </w:p>
    <w:p w14:paraId="0626B08C">
      <w:pPr>
        <w:pStyle w:val="10"/>
        <w:adjustRightInd w:val="0"/>
        <w:snapToGrid w:val="0"/>
        <w:rPr>
          <w:rFonts w:ascii="Arial" w:hAnsi="Arial" w:cs="Arial"/>
          <w:color w:val="auto"/>
          <w:sz w:val="22"/>
          <w:szCs w:val="22"/>
          <w:highlight w:val="none"/>
        </w:rPr>
      </w:pPr>
      <w:r>
        <w:rPr>
          <w:rFonts w:ascii="Arial" w:hAnsi="Arial" w:cs="Arial"/>
          <w:color w:val="auto"/>
          <w:sz w:val="22"/>
          <w:szCs w:val="22"/>
          <w:highlight w:val="none"/>
        </w:rPr>
        <w:t>3、我方同意提供按照贵方可能要求的与投标有关的一切数据或资料，我方若未成为成交投标人，采购人有权不做任何解释。</w:t>
      </w:r>
    </w:p>
    <w:p w14:paraId="72625A9A">
      <w:pPr>
        <w:ind w:firstLine="330" w:firstLineChars="150"/>
        <w:rPr>
          <w:rFonts w:ascii="宋体" w:hAnsi="宋体"/>
          <w:color w:val="auto"/>
          <w:sz w:val="22"/>
          <w:szCs w:val="22"/>
          <w:highlight w:val="none"/>
        </w:rPr>
      </w:pPr>
      <w:r>
        <w:rPr>
          <w:rFonts w:hint="eastAsia" w:ascii="Arial" w:hAnsi="Arial" w:cs="Arial"/>
          <w:color w:val="auto"/>
          <w:sz w:val="22"/>
          <w:szCs w:val="22"/>
          <w:highlight w:val="none"/>
        </w:rPr>
        <w:t>4、我方如果中标，将保证履行招标文件以及招标文件修改书（如有）中的全部责任和义务，按质、按量、按期完成《民法典》中的全部任务。</w:t>
      </w:r>
    </w:p>
    <w:tbl>
      <w:tblPr>
        <w:tblStyle w:val="28"/>
        <w:tblpPr w:leftFromText="181" w:rightFromText="181" w:bottomFromText="170" w:vertAnchor="text" w:tblpXSpec="center" w:tblpY="1"/>
        <w:tblOverlap w:val="never"/>
        <w:tblW w:w="86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74DB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bottom w:val="single" w:color="auto" w:sz="4" w:space="0"/>
              <w:right w:val="single" w:color="auto" w:sz="4" w:space="0"/>
            </w:tcBorders>
            <w:vAlign w:val="center"/>
          </w:tcPr>
          <w:p w14:paraId="186AD231">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left w:val="single" w:color="auto" w:sz="4" w:space="0"/>
              <w:bottom w:val="single" w:color="auto" w:sz="4" w:space="0"/>
              <w:right w:val="single" w:color="auto" w:sz="4" w:space="0"/>
            </w:tcBorders>
            <w:vAlign w:val="center"/>
          </w:tcPr>
          <w:p w14:paraId="32F666BF">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left w:val="single" w:color="auto" w:sz="4" w:space="0"/>
              <w:bottom w:val="single" w:color="auto" w:sz="4" w:space="0"/>
            </w:tcBorders>
            <w:vAlign w:val="center"/>
          </w:tcPr>
          <w:p w14:paraId="2A71DD3F">
            <w:pPr>
              <w:autoSpaceDE w:val="0"/>
              <w:autoSpaceDN w:val="0"/>
              <w:spacing w:line="450" w:lineRule="exact"/>
              <w:jc w:val="center"/>
              <w:textAlignment w:val="bottom"/>
              <w:rPr>
                <w:rFonts w:ascii="宋体" w:hAnsi="宋体"/>
                <w:color w:val="auto"/>
                <w:szCs w:val="21"/>
                <w:highlight w:val="none"/>
              </w:rPr>
            </w:pPr>
          </w:p>
        </w:tc>
      </w:tr>
      <w:tr w14:paraId="75F01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right w:val="single" w:color="auto" w:sz="4" w:space="0"/>
            </w:tcBorders>
            <w:vAlign w:val="center"/>
          </w:tcPr>
          <w:p w14:paraId="6CFEE080">
            <w:pPr>
              <w:rPr>
                <w:rFonts w:ascii="宋体" w:hAnsi="宋体"/>
                <w:color w:val="auto"/>
                <w:sz w:val="24"/>
                <w:highlight w:val="none"/>
              </w:rPr>
            </w:pPr>
          </w:p>
        </w:tc>
        <w:tc>
          <w:tcPr>
            <w:tcW w:w="1349" w:type="dxa"/>
            <w:tcBorders>
              <w:top w:val="single" w:color="auto" w:sz="4" w:space="0"/>
              <w:left w:val="single" w:color="auto" w:sz="4" w:space="0"/>
              <w:right w:val="single" w:color="auto" w:sz="4" w:space="0"/>
            </w:tcBorders>
            <w:vAlign w:val="center"/>
          </w:tcPr>
          <w:p w14:paraId="384771A8">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tcBorders>
            <w:vAlign w:val="center"/>
          </w:tcPr>
          <w:p w14:paraId="4913EDC0">
            <w:pPr>
              <w:autoSpaceDE w:val="0"/>
              <w:autoSpaceDN w:val="0"/>
              <w:spacing w:line="450" w:lineRule="exact"/>
              <w:jc w:val="center"/>
              <w:textAlignment w:val="bottom"/>
              <w:rPr>
                <w:rFonts w:ascii="宋体" w:hAnsi="宋体"/>
                <w:color w:val="auto"/>
                <w:szCs w:val="21"/>
                <w:highlight w:val="none"/>
              </w:rPr>
            </w:pPr>
          </w:p>
        </w:tc>
      </w:tr>
    </w:tbl>
    <w:p w14:paraId="62AC077B">
      <w:pPr>
        <w:spacing w:line="360" w:lineRule="auto"/>
        <w:rPr>
          <w:rFonts w:ascii="宋体" w:hAnsi="宋体"/>
          <w:color w:val="auto"/>
          <w:sz w:val="22"/>
          <w:szCs w:val="22"/>
          <w:highlight w:val="none"/>
        </w:rPr>
      </w:pPr>
      <w:r>
        <w:rPr>
          <w:rFonts w:hint="eastAsia" w:ascii="宋体" w:hAnsi="宋体"/>
          <w:b/>
          <w:color w:val="auto"/>
          <w:sz w:val="22"/>
          <w:szCs w:val="22"/>
          <w:highlight w:val="none"/>
        </w:rPr>
        <w:t>填报要求：</w:t>
      </w:r>
      <w:r>
        <w:rPr>
          <w:rFonts w:hint="eastAsia" w:ascii="宋体" w:hAnsi="宋体"/>
          <w:color w:val="auto"/>
          <w:sz w:val="22"/>
          <w:szCs w:val="22"/>
          <w:highlight w:val="none"/>
        </w:rPr>
        <w:t>投标报价是履行合同的最终价格，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14:paraId="0FB5A9B6">
      <w:pPr>
        <w:spacing w:line="360" w:lineRule="auto"/>
        <w:ind w:left="420"/>
        <w:rPr>
          <w:rFonts w:ascii="宋体" w:hAnsi="宋体"/>
          <w:color w:val="auto"/>
          <w:sz w:val="22"/>
          <w:szCs w:val="22"/>
          <w:highlight w:val="none"/>
        </w:rPr>
      </w:pPr>
      <w:r>
        <w:rPr>
          <w:rFonts w:hint="eastAsia" w:ascii="宋体" w:hAnsi="宋体"/>
          <w:color w:val="auto"/>
          <w:sz w:val="22"/>
          <w:szCs w:val="22"/>
          <w:highlight w:val="none"/>
        </w:rPr>
        <w:t>投标人名称（公章）：</w:t>
      </w:r>
    </w:p>
    <w:p w14:paraId="7F3D482C">
      <w:pPr>
        <w:spacing w:line="360" w:lineRule="auto"/>
        <w:ind w:left="420" w:firstLine="0"/>
        <w:rPr>
          <w:rFonts w:ascii="宋体" w:hAnsi="宋体"/>
          <w:color w:val="auto"/>
          <w:sz w:val="22"/>
          <w:szCs w:val="22"/>
          <w:highlight w:val="none"/>
        </w:rPr>
      </w:pPr>
      <w:r>
        <w:rPr>
          <w:rFonts w:hint="eastAsia" w:ascii="宋体" w:hAnsi="宋体"/>
          <w:color w:val="auto"/>
          <w:sz w:val="22"/>
          <w:szCs w:val="22"/>
          <w:highlight w:val="none"/>
        </w:rPr>
        <w:t>投标人代表签字：</w:t>
      </w:r>
    </w:p>
    <w:p w14:paraId="48FCFAF7">
      <w:pPr>
        <w:spacing w:line="360" w:lineRule="auto"/>
        <w:ind w:left="420" w:firstLine="0"/>
        <w:rPr>
          <w:rFonts w:ascii="宋体" w:hAnsi="宋体"/>
          <w:color w:val="auto"/>
          <w:sz w:val="22"/>
          <w:szCs w:val="22"/>
          <w:highlight w:val="none"/>
        </w:rPr>
      </w:pPr>
      <w:r>
        <w:rPr>
          <w:rFonts w:hint="eastAsia" w:ascii="宋体" w:hAnsi="宋体"/>
          <w:color w:val="auto"/>
          <w:sz w:val="22"/>
          <w:szCs w:val="22"/>
          <w:highlight w:val="none"/>
        </w:rPr>
        <w:t>职        务：</w:t>
      </w:r>
    </w:p>
    <w:p w14:paraId="788957F4">
      <w:pPr>
        <w:spacing w:line="360" w:lineRule="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日期：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AA33">
    <w:pPr>
      <w:pStyle w:val="5"/>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A76104">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2A7610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0459">
    <w:pPr>
      <w:pStyle w:val="5"/>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14:paraId="7EEC632E">
    <w:pPr>
      <w:pStyle w:val="5"/>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B88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E9D5EE">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32E9D5E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3B06">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EE0B49">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1EE0B49">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48D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407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E7171C12"/>
    <w:multiLevelType w:val="singleLevel"/>
    <w:tmpl w:val="E7171C12"/>
    <w:lvl w:ilvl="0" w:tentative="0">
      <w:start w:val="1"/>
      <w:numFmt w:val="bullet"/>
      <w:pStyle w:val="7"/>
      <w:lvlText w:val=""/>
      <w:lvlJc w:val="left"/>
      <w:pPr>
        <w:tabs>
          <w:tab w:val="left" w:pos="360"/>
        </w:tabs>
        <w:ind w:left="360" w:hanging="360"/>
      </w:pPr>
      <w:rPr>
        <w:rFonts w:hint="default" w:ascii="Wingdings" w:hAnsi="Wingdings"/>
      </w:rPr>
    </w:lvl>
  </w:abstractNum>
  <w:abstractNum w:abstractNumId="2">
    <w:nsid w:val="0000001D"/>
    <w:multiLevelType w:val="multilevel"/>
    <w:tmpl w:val="0000001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4">
    <w:nsid w:val="12FF92E1"/>
    <w:multiLevelType w:val="singleLevel"/>
    <w:tmpl w:val="12FF92E1"/>
    <w:lvl w:ilvl="0" w:tentative="0">
      <w:start w:val="1"/>
      <w:numFmt w:val="decimal"/>
      <w:suff w:val="nothing"/>
      <w:lvlText w:val="%1、"/>
      <w:lvlJc w:val="left"/>
      <w:pPr>
        <w:ind w:left="480" w:firstLine="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TJmNjQ4ODNkMzJhOWQxNzE3NmI0YmIyOWEyMzg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242E17"/>
    <w:rsid w:val="00255983"/>
    <w:rsid w:val="00291503"/>
    <w:rsid w:val="002A3D6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7006A"/>
    <w:rsid w:val="00492D29"/>
    <w:rsid w:val="0049548B"/>
    <w:rsid w:val="004C1DEC"/>
    <w:rsid w:val="004C66BE"/>
    <w:rsid w:val="004D0F07"/>
    <w:rsid w:val="004D1BD8"/>
    <w:rsid w:val="004D436F"/>
    <w:rsid w:val="004F3491"/>
    <w:rsid w:val="00520055"/>
    <w:rsid w:val="005617DF"/>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02A29"/>
    <w:rsid w:val="00712BFA"/>
    <w:rsid w:val="00736F7D"/>
    <w:rsid w:val="0074420C"/>
    <w:rsid w:val="007477AD"/>
    <w:rsid w:val="00753AE0"/>
    <w:rsid w:val="00770A08"/>
    <w:rsid w:val="00794BBF"/>
    <w:rsid w:val="007B7BC7"/>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A3A13"/>
    <w:rsid w:val="008C4C8B"/>
    <w:rsid w:val="008C57E4"/>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40A0F"/>
    <w:rsid w:val="00A51E78"/>
    <w:rsid w:val="00A5256C"/>
    <w:rsid w:val="00A52936"/>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D0A72"/>
    <w:rsid w:val="00CE2729"/>
    <w:rsid w:val="00D0009A"/>
    <w:rsid w:val="00D14AD5"/>
    <w:rsid w:val="00D246D4"/>
    <w:rsid w:val="00D325EC"/>
    <w:rsid w:val="00D40771"/>
    <w:rsid w:val="00D64FC1"/>
    <w:rsid w:val="00D655A0"/>
    <w:rsid w:val="00D81728"/>
    <w:rsid w:val="00DB1553"/>
    <w:rsid w:val="00DB4DE5"/>
    <w:rsid w:val="00DF0325"/>
    <w:rsid w:val="00E10F08"/>
    <w:rsid w:val="00E42018"/>
    <w:rsid w:val="00E45207"/>
    <w:rsid w:val="00E51C18"/>
    <w:rsid w:val="00EA3C27"/>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E990EFC"/>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B2302E"/>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032DC"/>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609E5"/>
    <w:rsid w:val="1A9F2503"/>
    <w:rsid w:val="1AA3486A"/>
    <w:rsid w:val="1ACE692C"/>
    <w:rsid w:val="1AE33064"/>
    <w:rsid w:val="1AF357C2"/>
    <w:rsid w:val="1B3B15AA"/>
    <w:rsid w:val="1B6A3FBF"/>
    <w:rsid w:val="1B6E5D82"/>
    <w:rsid w:val="1B8A2011"/>
    <w:rsid w:val="1B8C6B7B"/>
    <w:rsid w:val="1B9E29B4"/>
    <w:rsid w:val="1BB43FB4"/>
    <w:rsid w:val="1BBF65FB"/>
    <w:rsid w:val="1BC2281C"/>
    <w:rsid w:val="1BF657FB"/>
    <w:rsid w:val="1C153956"/>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4C5B16"/>
    <w:rsid w:val="1F6E3177"/>
    <w:rsid w:val="1F6F04BA"/>
    <w:rsid w:val="1F8129BD"/>
    <w:rsid w:val="1F826599"/>
    <w:rsid w:val="20027E74"/>
    <w:rsid w:val="2024650C"/>
    <w:rsid w:val="204663FA"/>
    <w:rsid w:val="20624FA2"/>
    <w:rsid w:val="206A1137"/>
    <w:rsid w:val="20835E3C"/>
    <w:rsid w:val="2084196D"/>
    <w:rsid w:val="20AA1825"/>
    <w:rsid w:val="20AB15E3"/>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284C9F"/>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9752C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2D3391"/>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640E37"/>
    <w:rsid w:val="2D814A75"/>
    <w:rsid w:val="2D8167C0"/>
    <w:rsid w:val="2D9C1D44"/>
    <w:rsid w:val="2DAB174B"/>
    <w:rsid w:val="2DAC3053"/>
    <w:rsid w:val="2DB40F04"/>
    <w:rsid w:val="2DB55317"/>
    <w:rsid w:val="2DD04A2C"/>
    <w:rsid w:val="2E073EDF"/>
    <w:rsid w:val="2E1A2D69"/>
    <w:rsid w:val="2E1C2312"/>
    <w:rsid w:val="2E450C2F"/>
    <w:rsid w:val="2E617376"/>
    <w:rsid w:val="2E925B8D"/>
    <w:rsid w:val="2E9C1D1B"/>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934F5"/>
    <w:rsid w:val="321F0CAE"/>
    <w:rsid w:val="321F3505"/>
    <w:rsid w:val="322B0318"/>
    <w:rsid w:val="32494369"/>
    <w:rsid w:val="324C0B81"/>
    <w:rsid w:val="32507DBD"/>
    <w:rsid w:val="32517D1E"/>
    <w:rsid w:val="326351F9"/>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23CAF"/>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886DD6"/>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EF6815"/>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5A0641"/>
    <w:rsid w:val="4A64259A"/>
    <w:rsid w:val="4AA4128B"/>
    <w:rsid w:val="4AA658AC"/>
    <w:rsid w:val="4AAA7028"/>
    <w:rsid w:val="4AD50D4A"/>
    <w:rsid w:val="4ADC75C4"/>
    <w:rsid w:val="4ADF4343"/>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2F19E1"/>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B4484"/>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B964B8"/>
    <w:rsid w:val="5CD26BB3"/>
    <w:rsid w:val="5CEB063E"/>
    <w:rsid w:val="5D0B0214"/>
    <w:rsid w:val="5D1A0A42"/>
    <w:rsid w:val="5D4F1710"/>
    <w:rsid w:val="5D704C15"/>
    <w:rsid w:val="5D71045F"/>
    <w:rsid w:val="5D740167"/>
    <w:rsid w:val="5D7B7702"/>
    <w:rsid w:val="5DA55EAC"/>
    <w:rsid w:val="5DAC626B"/>
    <w:rsid w:val="5DB778E4"/>
    <w:rsid w:val="5DC133FE"/>
    <w:rsid w:val="5DD43000"/>
    <w:rsid w:val="5E146811"/>
    <w:rsid w:val="5E3F1622"/>
    <w:rsid w:val="5E3F1ED0"/>
    <w:rsid w:val="5E4A015A"/>
    <w:rsid w:val="5E4E1E2F"/>
    <w:rsid w:val="5E7E280E"/>
    <w:rsid w:val="5EA343F9"/>
    <w:rsid w:val="5EE34D8A"/>
    <w:rsid w:val="5F164D5E"/>
    <w:rsid w:val="5F2D2E3D"/>
    <w:rsid w:val="5F4B4EC7"/>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8F2542"/>
    <w:rsid w:val="66921396"/>
    <w:rsid w:val="669A00A1"/>
    <w:rsid w:val="669A0A1D"/>
    <w:rsid w:val="66C77EC3"/>
    <w:rsid w:val="66CD32EE"/>
    <w:rsid w:val="66EF31C1"/>
    <w:rsid w:val="6722334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0A3E88"/>
    <w:rsid w:val="6B372870"/>
    <w:rsid w:val="6B401962"/>
    <w:rsid w:val="6B4C78DC"/>
    <w:rsid w:val="6B6D4BD4"/>
    <w:rsid w:val="6B736C65"/>
    <w:rsid w:val="6B884223"/>
    <w:rsid w:val="6BAB5034"/>
    <w:rsid w:val="6BCC6A33"/>
    <w:rsid w:val="6BE94680"/>
    <w:rsid w:val="6C1648A2"/>
    <w:rsid w:val="6C2B5B56"/>
    <w:rsid w:val="6C405A24"/>
    <w:rsid w:val="6C4A259F"/>
    <w:rsid w:val="6C4C1DDE"/>
    <w:rsid w:val="6C733663"/>
    <w:rsid w:val="6C7360A2"/>
    <w:rsid w:val="6C90164F"/>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BC2DD4"/>
    <w:rsid w:val="6FD156E3"/>
    <w:rsid w:val="6FD421E6"/>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CA611F"/>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5E6873"/>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76E68"/>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7B768A"/>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List Bullet"/>
    <w:basedOn w:val="1"/>
    <w:next w:val="1"/>
    <w:qFormat/>
    <w:uiPriority w:val="0"/>
    <w:pPr>
      <w:numPr>
        <w:ilvl w:val="0"/>
        <w:numId w:val="3"/>
      </w:numPr>
    </w:pPr>
  </w:style>
  <w:style w:type="paragraph" w:styleId="8">
    <w:name w:val="annotation text"/>
    <w:basedOn w:val="1"/>
    <w:link w:val="78"/>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1"/>
    <w:qFormat/>
    <w:uiPriority w:val="0"/>
    <w:pPr>
      <w:spacing w:after="120"/>
      <w:ind w:left="420" w:leftChars="200"/>
    </w:pPr>
  </w:style>
  <w:style w:type="paragraph" w:styleId="11">
    <w:name w:val="Body Text First Indent 2"/>
    <w:basedOn w:val="10"/>
    <w:qFormat/>
    <w:uiPriority w:val="0"/>
    <w:pPr>
      <w:ind w:firstLine="420"/>
    </w:pPr>
  </w:style>
  <w:style w:type="paragraph" w:styleId="12">
    <w:name w:val="List Bullet 2"/>
    <w:basedOn w:val="1"/>
    <w:next w:val="7"/>
    <w:qFormat/>
    <w:uiPriority w:val="0"/>
    <w:pPr>
      <w:numPr>
        <w:ilvl w:val="0"/>
        <w:numId w:val="4"/>
      </w:numPr>
    </w:pPr>
  </w:style>
  <w:style w:type="paragraph" w:styleId="13">
    <w:name w:val="toc 5"/>
    <w:basedOn w:val="1"/>
    <w:next w:val="1"/>
    <w:qFormat/>
    <w:uiPriority w:val="0"/>
    <w:pPr>
      <w:ind w:left="1680" w:leftChars="800"/>
    </w:pPr>
    <w:rPr>
      <w:rFonts w:ascii="Calibri" w:hAnsi="Calibri" w:cs="黑体"/>
      <w:szCs w:val="22"/>
    </w:rPr>
  </w:style>
  <w:style w:type="paragraph" w:styleId="14">
    <w:name w:val="Plain Text"/>
    <w:basedOn w:val="1"/>
    <w:next w:val="15"/>
    <w:link w:val="70"/>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6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Subtitle"/>
    <w:basedOn w:val="1"/>
    <w:next w:val="1"/>
    <w:qFormat/>
    <w:uiPriority w:val="11"/>
    <w:pPr>
      <w:spacing w:after="60"/>
      <w:jc w:val="center"/>
      <w:outlineLvl w:val="1"/>
    </w:pPr>
    <w:rPr>
      <w:rFonts w:ascii="Cambria" w:hAnsi="Cambria"/>
    </w:rPr>
  </w:style>
  <w:style w:type="paragraph" w:styleId="21">
    <w:name w:val="toc 6"/>
    <w:basedOn w:val="1"/>
    <w:next w:val="1"/>
    <w:unhideWhenUsed/>
    <w:qFormat/>
    <w:uiPriority w:val="39"/>
    <w:pPr>
      <w:ind w:left="2100" w:leftChars="1000"/>
    </w:pPr>
    <w:rPr>
      <w:rFonts w:ascii="Calibri" w:hAnsi="Calibri"/>
    </w:rPr>
  </w:style>
  <w:style w:type="paragraph" w:styleId="22">
    <w:name w:val="Body Text Indent 3"/>
    <w:basedOn w:val="1"/>
    <w:qFormat/>
    <w:uiPriority w:val="0"/>
    <w:pPr>
      <w:spacing w:after="120" w:afterLines="0"/>
      <w:ind w:left="420" w:leftChars="200"/>
    </w:pPr>
    <w:rPr>
      <w:sz w:val="16"/>
      <w:szCs w:val="16"/>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8"/>
    <w:next w:val="8"/>
    <w:link w:val="79"/>
    <w:qFormat/>
    <w:uiPriority w:val="0"/>
    <w:rPr>
      <w:b/>
      <w:bCs/>
    </w:rPr>
  </w:style>
  <w:style w:type="paragraph" w:styleId="27">
    <w:name w:val="Body Text First Indent"/>
    <w:basedOn w:val="9"/>
    <w:link w:val="80"/>
    <w:qFormat/>
    <w:uiPriority w:val="0"/>
    <w:pPr>
      <w:ind w:firstLine="200" w:firstLineChars="20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Strong"/>
    <w:basedOn w:val="30"/>
    <w:qFormat/>
    <w:uiPriority w:val="0"/>
    <w:rPr>
      <w:b/>
    </w:rPr>
  </w:style>
  <w:style w:type="character" w:styleId="32">
    <w:name w:val="Hyperlink"/>
    <w:qFormat/>
    <w:uiPriority w:val="0"/>
    <w:rPr>
      <w:color w:val="0000FF"/>
      <w:u w:val="single"/>
    </w:rPr>
  </w:style>
  <w:style w:type="character" w:styleId="33">
    <w:name w:val="annotation reference"/>
    <w:basedOn w:val="30"/>
    <w:qFormat/>
    <w:uiPriority w:val="0"/>
    <w:rPr>
      <w:sz w:val="21"/>
      <w:szCs w:val="21"/>
    </w:rPr>
  </w:style>
  <w:style w:type="paragraph" w:customStyle="1" w:styleId="34">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4、正文"/>
    <w:basedOn w:val="1"/>
    <w:qFormat/>
    <w:uiPriority w:val="0"/>
    <w:pPr>
      <w:ind w:firstLine="200" w:firstLineChars="200"/>
    </w:pPr>
    <w:rPr>
      <w:rFonts w:ascii="宋体"/>
      <w:sz w:val="24"/>
      <w:szCs w:val="28"/>
    </w:rPr>
  </w:style>
  <w:style w:type="paragraph" w:customStyle="1" w:styleId="36">
    <w:name w:val="表格文字"/>
    <w:basedOn w:val="1"/>
    <w:next w:val="9"/>
    <w:qFormat/>
    <w:uiPriority w:val="0"/>
    <w:pPr>
      <w:jc w:val="left"/>
      <w:textAlignment w:val="top"/>
    </w:pPr>
    <w:rPr>
      <w:sz w:val="18"/>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qFormat/>
    <w:uiPriority w:val="0"/>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0"/>
    <w:qFormat/>
    <w:uiPriority w:val="0"/>
    <w:rPr>
      <w:rFonts w:hint="default" w:ascii="Arial" w:hAnsi="Arial" w:cs="Arial"/>
      <w:color w:val="000000"/>
      <w:sz w:val="20"/>
      <w:szCs w:val="20"/>
      <w:u w:val="none"/>
    </w:rPr>
  </w:style>
  <w:style w:type="character" w:customStyle="1" w:styleId="54">
    <w:name w:val="font01"/>
    <w:basedOn w:val="30"/>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字符"/>
    <w:basedOn w:val="30"/>
    <w:link w:val="16"/>
    <w:qFormat/>
    <w:uiPriority w:val="0"/>
    <w:rPr>
      <w:kern w:val="2"/>
      <w:sz w:val="18"/>
      <w:szCs w:val="18"/>
    </w:rPr>
  </w:style>
  <w:style w:type="paragraph" w:customStyle="1" w:styleId="61">
    <w:name w:val="英文"/>
    <w:basedOn w:val="1"/>
    <w:link w:val="63"/>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5">
    <w:name w:val="正文段落"/>
    <w:basedOn w:val="1"/>
    <w:qFormat/>
    <w:uiPriority w:val="0"/>
    <w:pPr>
      <w:spacing w:line="360" w:lineRule="auto"/>
      <w:ind w:firstLine="200" w:firstLineChars="200"/>
    </w:pPr>
    <w:rPr>
      <w:rFonts w:eastAsia="仿宋"/>
      <w:sz w:val="28"/>
    </w:rPr>
  </w:style>
  <w:style w:type="paragraph" w:customStyle="1" w:styleId="66">
    <w:name w:val="Normal Indent1"/>
    <w:basedOn w:val="1"/>
    <w:qFormat/>
    <w:uiPriority w:val="0"/>
    <w:pPr>
      <w:ind w:firstLine="420" w:firstLineChars="200"/>
    </w:pPr>
  </w:style>
  <w:style w:type="paragraph" w:customStyle="1" w:styleId="6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列表段落1"/>
    <w:basedOn w:val="1"/>
    <w:qFormat/>
    <w:uiPriority w:val="0"/>
    <w:pPr>
      <w:ind w:firstLine="420" w:firstLineChars="200"/>
    </w:pPr>
  </w:style>
  <w:style w:type="character" w:customStyle="1" w:styleId="70">
    <w:name w:val="纯文本 字符"/>
    <w:link w:val="14"/>
    <w:qFormat/>
    <w:uiPriority w:val="0"/>
    <w:rPr>
      <w:rFonts w:ascii="宋体" w:hAnsi="Courier New" w:cstheme="minorBidi"/>
      <w:kern w:val="2"/>
      <w:sz w:val="21"/>
      <w:szCs w:val="24"/>
    </w:rPr>
  </w:style>
  <w:style w:type="character" w:customStyle="1" w:styleId="71">
    <w:name w:val="NormalCharacter"/>
    <w:qFormat/>
    <w:uiPriority w:val="0"/>
  </w:style>
  <w:style w:type="paragraph" w:customStyle="1" w:styleId="72">
    <w:name w:val="UserStyle_4"/>
    <w:basedOn w:val="1"/>
    <w:qFormat/>
    <w:uiPriority w:val="0"/>
    <w:pPr>
      <w:ind w:firstLine="420" w:firstLineChars="200"/>
    </w:pPr>
    <w:rPr>
      <w:sz w:val="24"/>
    </w:rPr>
  </w:style>
  <w:style w:type="paragraph" w:customStyle="1" w:styleId="73">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4">
    <w:name w:val="UserStyle_48"/>
    <w:basedOn w:val="1"/>
    <w:qFormat/>
    <w:uiPriority w:val="0"/>
    <w:pPr>
      <w:ind w:firstLine="420" w:firstLineChars="200"/>
    </w:pPr>
    <w:rPr>
      <w:szCs w:val="21"/>
    </w:rPr>
  </w:style>
  <w:style w:type="paragraph" w:customStyle="1" w:styleId="75">
    <w:name w:val="PlainText"/>
    <w:basedOn w:val="1"/>
    <w:qFormat/>
    <w:uiPriority w:val="0"/>
    <w:pPr>
      <w:spacing w:before="156" w:after="156" w:line="400" w:lineRule="atLeast"/>
    </w:pPr>
    <w:rPr>
      <w:rFonts w:ascii="宋体" w:hAnsi="Courier New"/>
      <w:sz w:val="24"/>
    </w:rPr>
  </w:style>
  <w:style w:type="paragraph" w:customStyle="1" w:styleId="76">
    <w:name w:val="UserStyle_29"/>
    <w:basedOn w:val="1"/>
    <w:qFormat/>
    <w:uiPriority w:val="0"/>
    <w:pPr>
      <w:ind w:firstLine="420" w:firstLineChars="200"/>
    </w:pPr>
    <w:rPr>
      <w:szCs w:val="22"/>
    </w:rPr>
  </w:style>
  <w:style w:type="table" w:customStyle="1" w:styleId="77">
    <w:name w:val="Table Normal"/>
    <w:unhideWhenUsed/>
    <w:qFormat/>
    <w:uiPriority w:val="0"/>
    <w:tblPr>
      <w:tblCellMar>
        <w:top w:w="0" w:type="dxa"/>
        <w:left w:w="0" w:type="dxa"/>
        <w:bottom w:w="0" w:type="dxa"/>
        <w:right w:w="0" w:type="dxa"/>
      </w:tblCellMar>
    </w:tblPr>
  </w:style>
  <w:style w:type="character" w:customStyle="1" w:styleId="78">
    <w:name w:val="批注文字 字符"/>
    <w:basedOn w:val="30"/>
    <w:link w:val="8"/>
    <w:qFormat/>
    <w:uiPriority w:val="0"/>
    <w:rPr>
      <w:kern w:val="2"/>
      <w:sz w:val="21"/>
      <w:szCs w:val="24"/>
    </w:rPr>
  </w:style>
  <w:style w:type="character" w:customStyle="1" w:styleId="79">
    <w:name w:val="批注主题 字符"/>
    <w:basedOn w:val="78"/>
    <w:link w:val="26"/>
    <w:qFormat/>
    <w:uiPriority w:val="0"/>
    <w:rPr>
      <w:b/>
      <w:bCs/>
      <w:kern w:val="2"/>
      <w:sz w:val="21"/>
      <w:szCs w:val="24"/>
    </w:rPr>
  </w:style>
  <w:style w:type="character" w:customStyle="1" w:styleId="80">
    <w:name w:val="正文文本首行缩进 字符"/>
    <w:basedOn w:val="30"/>
    <w:link w:val="27"/>
    <w:qFormat/>
    <w:uiPriority w:val="0"/>
    <w:rPr>
      <w:kern w:val="2"/>
      <w:sz w:val="24"/>
      <w:szCs w:val="24"/>
    </w:rPr>
  </w:style>
  <w:style w:type="paragraph" w:customStyle="1" w:styleId="8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样式 标题 3 + (中文) 黑体 小四 非加粗 段前: 7.8 磅 段后: 0 磅 行距: 固定值 20 磅"/>
    <w:basedOn w:val="4"/>
    <w:qFormat/>
    <w:uiPriority w:val="0"/>
    <w:pPr>
      <w:tabs>
        <w:tab w:val="left" w:pos="900"/>
        <w:tab w:val="clear" w:pos="8280"/>
      </w:tabs>
      <w:spacing w:before="0" w:after="0" w:line="400" w:lineRule="exact"/>
    </w:pPr>
    <w:rPr>
      <w:rFonts w:eastAsia="黑体" w:cs="宋体"/>
      <w:bCs w:val="0"/>
      <w:sz w:val="24"/>
      <w:szCs w:val="20"/>
    </w:rPr>
  </w:style>
  <w:style w:type="paragraph" w:customStyle="1" w:styleId="8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12586</Words>
  <Characters>13294</Characters>
  <Lines>174</Lines>
  <Paragraphs>49</Paragraphs>
  <TotalTime>6</TotalTime>
  <ScaleCrop>false</ScaleCrop>
  <LinksUpToDate>false</LinksUpToDate>
  <CharactersWithSpaces>13428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Administrator</cp:lastModifiedBy>
  <cp:lastPrinted>2023-10-22T08:08:00Z</cp:lastPrinted>
  <dcterms:modified xsi:type="dcterms:W3CDTF">2025-01-22T02:12:52Z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4715AD534C6D4B26B93DC20B1F702AB4_13</vt:lpwstr>
  </property>
  <property fmtid="{D5CDD505-2E9C-101B-9397-08002B2CF9AE}" pid="4" name="commondata">
    <vt:lpwstr>eyJoZGlkIjoiZWM5NTczMTg4N2ExZWZmMDU0MmIxMDc2NTJiZjIxOTMifQ==</vt:lpwstr>
  </property>
  <property fmtid="{D5CDD505-2E9C-101B-9397-08002B2CF9AE}" pid="5" name="KSOTemplateDocerSaveRecord">
    <vt:lpwstr>eyJoZGlkIjoiNzQwMDc0ODI0ZWE0MTY3NzU2YmE0NDJiOGZmOWU3YWUiLCJ1c2VySWQiOiIyMDQ1ODk4OTUifQ==</vt:lpwstr>
  </property>
</Properties>
</file>